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2.xml" ContentType="application/vnd.openxmlformats-officedocument.wordprocessingml.header+xml"/>
  <Override PartName="/word/footer5.xml" ContentType="application/vnd.openxmlformats-officedocument.wordprocessingml.footer+xml"/>
  <Default Extension="jpeg" ContentType="image/jpeg"/>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r>
        <w:rPr>
          <w:sz w:val="20"/>
        </w:rPr>
        <w:drawing>
          <wp:inline distT="0" distB="0" distL="0" distR="0">
            <wp:extent cx="9935135" cy="7677150"/>
            <wp:effectExtent l="0" t="0" r="0" b="0"/>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9935135" cy="7677150"/>
                    </a:xfrm>
                    <a:prstGeom prst="rect">
                      <a:avLst/>
                    </a:prstGeom>
                  </pic:spPr>
                </pic:pic>
              </a:graphicData>
            </a:graphic>
          </wp:inline>
        </w:drawing>
      </w:r>
      <w:r>
        <w:rPr>
          <w:sz w:val="20"/>
        </w:rPr>
      </w:r>
    </w:p>
    <w:p>
      <w:pPr>
        <w:spacing w:after="0"/>
        <w:rPr>
          <w:sz w:val="20"/>
        </w:rPr>
        <w:sectPr>
          <w:type w:val="continuous"/>
          <w:pgSz w:w="15840" w:h="12240" w:orient="landscape"/>
          <w:pgMar w:top="0" w:bottom="0" w:left="0" w:right="0"/>
        </w:sectPr>
      </w:pPr>
    </w:p>
    <w:p>
      <w:pPr>
        <w:pStyle w:val="BodyText"/>
        <w:rPr>
          <w:sz w:val="20"/>
        </w:rPr>
      </w:pPr>
      <w:r>
        <w:rPr/>
        <w:pict>
          <v:shape style="position:absolute;margin-left:63.52pt;margin-top:590.481018pt;width:424.35pt;height:13.65pt;mso-position-horizontal-relative:page;mso-position-vertical-relative:page;z-index:-211744" type="#_x0000_t202" filled="false" stroked="false">
            <v:textbox inset="0,0,0,0">
              <w:txbxContent>
                <w:p>
                  <w:pPr>
                    <w:spacing w:before="10"/>
                    <w:ind w:left="0" w:right="83" w:firstLine="0"/>
                    <w:jc w:val="center"/>
                    <w:rPr>
                      <w:rFonts w:ascii="Trebuchet MS"/>
                      <w:b/>
                      <w:i/>
                      <w:sz w:val="22"/>
                    </w:rPr>
                  </w:pPr>
                  <w:r>
                    <w:rPr>
                      <w:rFonts w:ascii="Trebuchet MS"/>
                      <w:b/>
                      <w:i/>
                      <w:color w:val="231F20"/>
                      <w:sz w:val="22"/>
                    </w:rPr>
                    <w:t>i</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8"/>
        </w:rPr>
      </w:pPr>
    </w:p>
    <w:p>
      <w:pPr>
        <w:spacing w:before="48"/>
        <w:ind w:left="1489" w:right="1489" w:firstLine="0"/>
        <w:jc w:val="center"/>
        <w:rPr>
          <w:rFonts w:ascii="Trebuchet MS"/>
          <w:b/>
          <w:sz w:val="28"/>
        </w:rPr>
      </w:pPr>
      <w:r>
        <w:rPr>
          <w:rFonts w:ascii="Trebuchet MS"/>
          <w:b/>
          <w:color w:val="231F20"/>
          <w:w w:val="115"/>
          <w:sz w:val="40"/>
        </w:rPr>
        <w:t>A</w:t>
      </w:r>
      <w:r>
        <w:rPr>
          <w:rFonts w:ascii="Trebuchet MS"/>
          <w:b/>
          <w:color w:val="231F20"/>
          <w:w w:val="115"/>
          <w:sz w:val="28"/>
        </w:rPr>
        <w:t>portAciones en</w:t>
      </w:r>
    </w:p>
    <w:p>
      <w:pPr>
        <w:spacing w:before="15"/>
        <w:ind w:left="1489" w:right="1489" w:firstLine="0"/>
        <w:jc w:val="center"/>
        <w:rPr>
          <w:rFonts w:ascii="Trebuchet MS" w:hAnsi="Trebuchet MS"/>
          <w:b/>
          <w:sz w:val="28"/>
        </w:rPr>
      </w:pPr>
      <w:r>
        <w:rPr>
          <w:rFonts w:ascii="Trebuchet MS" w:hAnsi="Trebuchet MS"/>
          <w:b/>
          <w:color w:val="231F20"/>
          <w:w w:val="110"/>
          <w:sz w:val="40"/>
        </w:rPr>
        <w:t>c</w:t>
      </w:r>
      <w:r>
        <w:rPr>
          <w:rFonts w:ascii="Trebuchet MS" w:hAnsi="Trebuchet MS"/>
          <w:b/>
          <w:color w:val="231F20"/>
          <w:w w:val="110"/>
          <w:sz w:val="28"/>
        </w:rPr>
        <w:t>ienciAs </w:t>
      </w:r>
      <w:r>
        <w:rPr>
          <w:rFonts w:ascii="Trebuchet MS" w:hAnsi="Trebuchet MS"/>
          <w:b/>
          <w:color w:val="231F20"/>
          <w:w w:val="110"/>
          <w:sz w:val="40"/>
        </w:rPr>
        <w:t>A</w:t>
      </w:r>
      <w:r>
        <w:rPr>
          <w:rFonts w:ascii="Trebuchet MS" w:hAnsi="Trebuchet MS"/>
          <w:b/>
          <w:color w:val="231F20"/>
          <w:w w:val="110"/>
          <w:sz w:val="28"/>
        </w:rPr>
        <w:t>gronómicAs y </w:t>
      </w:r>
      <w:r>
        <w:rPr>
          <w:rFonts w:ascii="Trebuchet MS" w:hAnsi="Trebuchet MS"/>
          <w:b/>
          <w:color w:val="231F20"/>
          <w:w w:val="110"/>
          <w:sz w:val="40"/>
        </w:rPr>
        <w:t>A</w:t>
      </w:r>
      <w:r>
        <w:rPr>
          <w:rFonts w:ascii="Trebuchet MS" w:hAnsi="Trebuchet MS"/>
          <w:b/>
          <w:color w:val="231F20"/>
          <w:w w:val="110"/>
          <w:sz w:val="28"/>
        </w:rPr>
        <w:t>mbientAles</w:t>
      </w:r>
    </w:p>
    <w:p>
      <w:pPr>
        <w:pStyle w:val="BodyText"/>
        <w:spacing w:before="8"/>
        <w:rPr>
          <w:rFonts w:ascii="Trebuchet MS"/>
          <w:b/>
          <w:sz w:val="22"/>
        </w:rPr>
      </w:pPr>
      <w:r>
        <w:rPr/>
        <w:drawing>
          <wp:anchor distT="0" distB="0" distL="0" distR="0" allowOverlap="1" layoutInCell="1" locked="0" behindDoc="0" simplePos="0" relativeHeight="0">
            <wp:simplePos x="0" y="0"/>
            <wp:positionH relativeFrom="page">
              <wp:posOffset>17462</wp:posOffset>
            </wp:positionH>
            <wp:positionV relativeFrom="paragraph">
              <wp:posOffset>192646</wp:posOffset>
            </wp:positionV>
            <wp:extent cx="155448" cy="155448"/>
            <wp:effectExtent l="0" t="0" r="0" b="0"/>
            <wp:wrapTopAndBottom/>
            <wp:docPr id="7" name="image2.png" descr=""/>
            <wp:cNvGraphicFramePr>
              <a:graphicFrameLocks noChangeAspect="1"/>
            </wp:cNvGraphicFramePr>
            <a:graphic>
              <a:graphicData uri="http://schemas.openxmlformats.org/drawingml/2006/picture">
                <pic:pic>
                  <pic:nvPicPr>
                    <pic:cNvPr id="8" name="image2.png"/>
                    <pic:cNvPicPr/>
                  </pic:nvPicPr>
                  <pic:blipFill>
                    <a:blip r:embed="rId8" cstate="print"/>
                    <a:stretch>
                      <a:fillRect/>
                    </a:stretch>
                  </pic:blipFill>
                  <pic:spPr>
                    <a:xfrm>
                      <a:off x="0" y="0"/>
                      <a:ext cx="155448" cy="155448"/>
                    </a:xfrm>
                    <a:prstGeom prst="rect">
                      <a:avLst/>
                    </a:prstGeom>
                  </pic:spPr>
                </pic:pic>
              </a:graphicData>
            </a:graphic>
          </wp:anchor>
        </w:drawing>
      </w:r>
      <w:r>
        <w:rPr/>
        <w:drawing>
          <wp:anchor distT="0" distB="0" distL="0" distR="0" allowOverlap="1" layoutInCell="1" locked="0" behindDoc="0" simplePos="0" relativeHeight="1048">
            <wp:simplePos x="0" y="0"/>
            <wp:positionH relativeFrom="page">
              <wp:posOffset>6761162</wp:posOffset>
            </wp:positionH>
            <wp:positionV relativeFrom="paragraph">
              <wp:posOffset>192646</wp:posOffset>
            </wp:positionV>
            <wp:extent cx="155448" cy="155448"/>
            <wp:effectExtent l="0" t="0" r="0" b="0"/>
            <wp:wrapTopAndBottom/>
            <wp:docPr id="9" name="image2.png" descr=""/>
            <wp:cNvGraphicFramePr>
              <a:graphicFrameLocks noChangeAspect="1"/>
            </wp:cNvGraphicFramePr>
            <a:graphic>
              <a:graphicData uri="http://schemas.openxmlformats.org/drawingml/2006/picture">
                <pic:pic>
                  <pic:nvPicPr>
                    <pic:cNvPr id="10" name="image2.png"/>
                    <pic:cNvPicPr/>
                  </pic:nvPicPr>
                  <pic:blipFill>
                    <a:blip r:embed="rId8" cstate="print"/>
                    <a:stretch>
                      <a:fillRect/>
                    </a:stretch>
                  </pic:blipFill>
                  <pic:spPr>
                    <a:xfrm>
                      <a:off x="0" y="0"/>
                      <a:ext cx="155448" cy="155448"/>
                    </a:xfrm>
                    <a:prstGeom prst="rect">
                      <a:avLst/>
                    </a:prstGeom>
                  </pic:spPr>
                </pic:pic>
              </a:graphicData>
            </a:graphic>
          </wp:anchor>
        </w:drawing>
      </w:r>
    </w:p>
    <w:p>
      <w:pPr>
        <w:spacing w:after="0"/>
        <w:rPr>
          <w:rFonts w:ascii="Trebuchet MS"/>
          <w:sz w:val="22"/>
        </w:rPr>
        <w:sectPr>
          <w:headerReference w:type="default" r:id="rId6"/>
          <w:footerReference w:type="default" r:id="rId7"/>
          <w:pgSz w:w="10920" w:h="13080"/>
          <w:pgMar w:header="0" w:footer="0" w:top="420" w:bottom="140" w:left="0" w:right="0"/>
          <w:pgNumType w:start="1"/>
        </w:sectPr>
      </w:pPr>
    </w:p>
    <w:p>
      <w:pPr>
        <w:pStyle w:val="BodyText"/>
        <w:rPr>
          <w:sz w:val="20"/>
        </w:rPr>
      </w:pPr>
      <w:r>
        <w:rPr/>
        <w:pict>
          <v:shape style="position:absolute;margin-left:61.394001pt;margin-top:591.047974pt;width:424.35pt;height:13.65pt;mso-position-horizontal-relative:page;mso-position-vertical-relative:page;z-index:-211720" type="#_x0000_t202" filled="false" stroked="false">
            <v:textbox inset="0,0,0,0">
              <w:txbxContent>
                <w:p>
                  <w:pPr>
                    <w:spacing w:before="5"/>
                    <w:ind w:left="4085" w:right="4085" w:firstLine="0"/>
                    <w:jc w:val="center"/>
                    <w:rPr>
                      <w:rFonts w:ascii="Trebuchet MS"/>
                      <w:b/>
                      <w:i/>
                      <w:sz w:val="22"/>
                    </w:rPr>
                  </w:pPr>
                  <w:r>
                    <w:rPr>
                      <w:rFonts w:ascii="Trebuchet MS"/>
                      <w:b/>
                      <w:i/>
                      <w:color w:val="231F20"/>
                      <w:sz w:val="22"/>
                    </w:rPr>
                    <w:t>ii</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pPr>
    </w:p>
    <w:p>
      <w:pPr>
        <w:tabs>
          <w:tab w:pos="10647" w:val="left" w:leader="none"/>
        </w:tabs>
        <w:spacing w:line="240" w:lineRule="auto"/>
        <w:ind w:left="27" w:right="-13" w:firstLine="0"/>
        <w:rPr>
          <w:sz w:val="20"/>
        </w:rPr>
      </w:pPr>
      <w:r>
        <w:rPr>
          <w:sz w:val="20"/>
        </w:rPr>
        <w:drawing>
          <wp:inline distT="0" distB="0" distL="0" distR="0">
            <wp:extent cx="155448" cy="155448"/>
            <wp:effectExtent l="0" t="0" r="0" b="0"/>
            <wp:docPr id="11" name="image2.png" descr=""/>
            <wp:cNvGraphicFramePr>
              <a:graphicFrameLocks noChangeAspect="1"/>
            </wp:cNvGraphicFramePr>
            <a:graphic>
              <a:graphicData uri="http://schemas.openxmlformats.org/drawingml/2006/picture">
                <pic:pic>
                  <pic:nvPicPr>
                    <pic:cNvPr id="12" name="image2.png"/>
                    <pic:cNvPicPr/>
                  </pic:nvPicPr>
                  <pic:blipFill>
                    <a:blip r:embed="rId8" cstate="print"/>
                    <a:stretch>
                      <a:fillRect/>
                    </a:stretch>
                  </pic:blipFill>
                  <pic:spPr>
                    <a:xfrm>
                      <a:off x="0" y="0"/>
                      <a:ext cx="155448" cy="155448"/>
                    </a:xfrm>
                    <a:prstGeom prst="rect">
                      <a:avLst/>
                    </a:prstGeom>
                  </pic:spPr>
                </pic:pic>
              </a:graphicData>
            </a:graphic>
          </wp:inline>
        </w:drawing>
      </w:r>
      <w:r>
        <w:rPr>
          <w:sz w:val="20"/>
        </w:rPr>
      </w:r>
      <w:r>
        <w:rPr>
          <w:sz w:val="20"/>
        </w:rPr>
        <w:tab/>
      </w:r>
      <w:r>
        <w:rPr>
          <w:sz w:val="20"/>
        </w:rPr>
        <w:drawing>
          <wp:inline distT="0" distB="0" distL="0" distR="0">
            <wp:extent cx="155448" cy="155448"/>
            <wp:effectExtent l="0" t="0" r="0" b="0"/>
            <wp:docPr id="13" name="image2.png" descr=""/>
            <wp:cNvGraphicFramePr>
              <a:graphicFrameLocks noChangeAspect="1"/>
            </wp:cNvGraphicFramePr>
            <a:graphic>
              <a:graphicData uri="http://schemas.openxmlformats.org/drawingml/2006/picture">
                <pic:pic>
                  <pic:nvPicPr>
                    <pic:cNvPr id="14" name="image2.png"/>
                    <pic:cNvPicPr/>
                  </pic:nvPicPr>
                  <pic:blipFill>
                    <a:blip r:embed="rId8" cstate="print"/>
                    <a:stretch>
                      <a:fillRect/>
                    </a:stretch>
                  </pic:blipFill>
                  <pic:spPr>
                    <a:xfrm>
                      <a:off x="0" y="0"/>
                      <a:ext cx="155448" cy="155448"/>
                    </a:xfrm>
                    <a:prstGeom prst="rect">
                      <a:avLst/>
                    </a:prstGeom>
                  </pic:spPr>
                </pic:pic>
              </a:graphicData>
            </a:graphic>
          </wp:inline>
        </w:drawing>
      </w:r>
      <w:r>
        <w:rPr>
          <w:sz w:val="20"/>
        </w:rPr>
      </w:r>
    </w:p>
    <w:p>
      <w:pPr>
        <w:spacing w:after="0" w:line="240" w:lineRule="auto"/>
        <w:rPr>
          <w:sz w:val="20"/>
        </w:rPr>
        <w:sectPr>
          <w:pgSz w:w="10920" w:h="13080"/>
          <w:pgMar w:header="0" w:footer="0" w:top="420" w:bottom="140" w:left="0" w:right="0"/>
        </w:sectPr>
      </w:pPr>
    </w:p>
    <w:p>
      <w:pPr>
        <w:pStyle w:val="BodyText"/>
        <w:rPr>
          <w:sz w:val="20"/>
        </w:rPr>
      </w:pPr>
      <w:r>
        <w:rPr/>
        <w:pict>
          <v:shape style="position:absolute;margin-left:61.394001pt;margin-top:591.047974pt;width:424.35pt;height:13.65pt;mso-position-horizontal-relative:page;mso-position-vertical-relative:page;z-index:-211696" type="#_x0000_t202" filled="false" stroked="false">
            <v:textbox inset="0,0,0,0">
              <w:txbxContent>
                <w:p>
                  <w:pPr>
                    <w:spacing w:line="255" w:lineRule="exact" w:before="0"/>
                    <w:ind w:left="4085" w:right="4085" w:firstLine="0"/>
                    <w:jc w:val="center"/>
                    <w:rPr>
                      <w:rFonts w:ascii="Trebuchet MS"/>
                      <w:b/>
                      <w:i/>
                      <w:sz w:val="22"/>
                    </w:rPr>
                  </w:pPr>
                  <w:r>
                    <w:rPr>
                      <w:rFonts w:ascii="Trebuchet MS"/>
                      <w:b/>
                      <w:i/>
                      <w:color w:val="231F20"/>
                      <w:sz w:val="22"/>
                    </w:rPr>
                    <w:t>iii</w:t>
                  </w:r>
                </w:p>
              </w:txbxContent>
            </v:textbox>
            <w10:wrap type="none"/>
          </v:shape>
        </w:pict>
      </w:r>
    </w:p>
    <w:p>
      <w:pPr>
        <w:pStyle w:val="BodyText"/>
        <w:rPr>
          <w:sz w:val="20"/>
        </w:rPr>
      </w:pPr>
    </w:p>
    <w:p>
      <w:pPr>
        <w:pStyle w:val="BodyText"/>
        <w:spacing w:before="6"/>
        <w:rPr>
          <w:sz w:val="23"/>
        </w:rPr>
      </w:pPr>
    </w:p>
    <w:p>
      <w:pPr>
        <w:spacing w:line="247" w:lineRule="auto" w:before="69"/>
        <w:ind w:left="4027" w:right="4028" w:hanging="1"/>
        <w:jc w:val="center"/>
        <w:rPr>
          <w:rFonts w:ascii="Trebuchet MS" w:hAnsi="Trebuchet MS"/>
          <w:i/>
          <w:sz w:val="24"/>
        </w:rPr>
      </w:pPr>
      <w:r>
        <w:rPr>
          <w:rFonts w:ascii="Trebuchet MS" w:hAnsi="Trebuchet MS"/>
          <w:i/>
          <w:color w:val="230E0F"/>
          <w:spacing w:val="-3"/>
          <w:sz w:val="24"/>
        </w:rPr>
        <w:t>Lucila Godínez Montoya </w:t>
      </w:r>
      <w:r>
        <w:rPr>
          <w:rFonts w:ascii="Trebuchet MS" w:hAnsi="Trebuchet MS"/>
          <w:i/>
          <w:color w:val="230E0F"/>
          <w:spacing w:val="-3"/>
          <w:sz w:val="24"/>
        </w:rPr>
        <w:t>Esther Figueroa Hernández Francisco Pérez Soto Daniel Sepúlveda Jiménez Rosa María García</w:t>
      </w:r>
      <w:r>
        <w:rPr>
          <w:rFonts w:ascii="Trebuchet MS" w:hAnsi="Trebuchet MS"/>
          <w:i/>
          <w:color w:val="230E0F"/>
          <w:spacing w:val="-1"/>
          <w:sz w:val="24"/>
        </w:rPr>
        <w:t> </w:t>
      </w:r>
      <w:r>
        <w:rPr>
          <w:rFonts w:ascii="Trebuchet MS" w:hAnsi="Trebuchet MS"/>
          <w:i/>
          <w:color w:val="230E0F"/>
          <w:spacing w:val="-3"/>
          <w:sz w:val="24"/>
        </w:rPr>
        <w:t>Núñez</w:t>
      </w:r>
    </w:p>
    <w:p>
      <w:pPr>
        <w:spacing w:line="247" w:lineRule="auto" w:before="1"/>
        <w:ind w:left="3696" w:right="3696" w:firstLine="0"/>
        <w:jc w:val="center"/>
        <w:rPr>
          <w:rFonts w:ascii="Trebuchet MS" w:hAnsi="Trebuchet MS"/>
          <w:i/>
          <w:sz w:val="24"/>
        </w:rPr>
      </w:pPr>
      <w:r>
        <w:rPr>
          <w:rFonts w:ascii="Trebuchet MS" w:hAnsi="Trebuchet MS"/>
          <w:i/>
          <w:color w:val="230E0F"/>
          <w:sz w:val="24"/>
        </w:rPr>
        <w:t>Sergio Roberto Márquez Berber </w:t>
      </w:r>
      <w:r>
        <w:rPr>
          <w:rFonts w:ascii="Trebuchet MS" w:hAnsi="Trebuchet MS"/>
          <w:i/>
          <w:color w:val="230E0F"/>
          <w:sz w:val="24"/>
        </w:rPr>
        <w:t>Carmen Isabel Mamani Oño</w:t>
      </w:r>
    </w:p>
    <w:p>
      <w:pPr>
        <w:pStyle w:val="BodyText"/>
        <w:spacing w:before="11"/>
        <w:rPr>
          <w:rFonts w:ascii="Trebuchet MS"/>
          <w:i/>
          <w:sz w:val="26"/>
        </w:rPr>
      </w:pPr>
    </w:p>
    <w:p>
      <w:pPr>
        <w:spacing w:before="0"/>
        <w:ind w:left="1489" w:right="1489" w:firstLine="0"/>
        <w:jc w:val="center"/>
        <w:rPr>
          <w:rFonts w:ascii="Trebuchet MS"/>
          <w:sz w:val="24"/>
        </w:rPr>
      </w:pPr>
      <w:r>
        <w:rPr>
          <w:rFonts w:ascii="Trebuchet MS"/>
          <w:color w:val="230E0F"/>
          <w:sz w:val="24"/>
        </w:rPr>
        <w:t>(Editores)</w:t>
      </w:r>
    </w:p>
    <w:p>
      <w:pPr>
        <w:pStyle w:val="BodyText"/>
        <w:rPr>
          <w:rFonts w:ascii="Trebuchet MS"/>
          <w:sz w:val="24"/>
        </w:rPr>
      </w:pPr>
    </w:p>
    <w:p>
      <w:pPr>
        <w:pStyle w:val="BodyText"/>
        <w:rPr>
          <w:rFonts w:ascii="Trebuchet MS"/>
          <w:sz w:val="24"/>
        </w:rPr>
      </w:pPr>
    </w:p>
    <w:p>
      <w:pPr>
        <w:pStyle w:val="BodyText"/>
        <w:rPr>
          <w:rFonts w:ascii="Trebuchet MS"/>
          <w:sz w:val="24"/>
        </w:rPr>
      </w:pPr>
    </w:p>
    <w:p>
      <w:pPr>
        <w:pStyle w:val="BodyText"/>
        <w:rPr>
          <w:rFonts w:ascii="Trebuchet MS"/>
          <w:sz w:val="24"/>
        </w:rPr>
      </w:pPr>
    </w:p>
    <w:p>
      <w:pPr>
        <w:pStyle w:val="BodyText"/>
        <w:rPr>
          <w:rFonts w:ascii="Trebuchet MS"/>
          <w:sz w:val="24"/>
        </w:rPr>
      </w:pPr>
    </w:p>
    <w:p>
      <w:pPr>
        <w:pStyle w:val="BodyText"/>
        <w:spacing w:before="8"/>
        <w:rPr>
          <w:rFonts w:ascii="Trebuchet MS"/>
        </w:rPr>
      </w:pPr>
    </w:p>
    <w:p>
      <w:pPr>
        <w:spacing w:before="0"/>
        <w:ind w:left="1489" w:right="1489" w:firstLine="0"/>
        <w:jc w:val="center"/>
        <w:rPr>
          <w:rFonts w:ascii="Trebuchet MS"/>
          <w:b/>
          <w:sz w:val="31"/>
        </w:rPr>
      </w:pPr>
      <w:r>
        <w:rPr>
          <w:rFonts w:ascii="Trebuchet MS"/>
          <w:b/>
          <w:color w:val="230E0F"/>
          <w:spacing w:val="-8"/>
          <w:w w:val="110"/>
          <w:sz w:val="44"/>
        </w:rPr>
        <w:t>A</w:t>
      </w:r>
      <w:r>
        <w:rPr>
          <w:rFonts w:ascii="Trebuchet MS"/>
          <w:b/>
          <w:color w:val="230E0F"/>
          <w:spacing w:val="-8"/>
          <w:w w:val="110"/>
          <w:sz w:val="31"/>
        </w:rPr>
        <w:t>portAciones</w:t>
      </w:r>
      <w:r>
        <w:rPr>
          <w:rFonts w:ascii="Trebuchet MS"/>
          <w:b/>
          <w:color w:val="230E0F"/>
          <w:spacing w:val="73"/>
          <w:w w:val="110"/>
          <w:sz w:val="31"/>
        </w:rPr>
        <w:t> </w:t>
      </w:r>
      <w:r>
        <w:rPr>
          <w:rFonts w:ascii="Trebuchet MS"/>
          <w:b/>
          <w:color w:val="230E0F"/>
          <w:spacing w:val="-3"/>
          <w:w w:val="110"/>
          <w:sz w:val="31"/>
        </w:rPr>
        <w:t>en</w:t>
      </w:r>
    </w:p>
    <w:p>
      <w:pPr>
        <w:spacing w:before="17"/>
        <w:ind w:left="1489" w:right="1489" w:firstLine="0"/>
        <w:jc w:val="center"/>
        <w:rPr>
          <w:rFonts w:ascii="Trebuchet MS" w:hAnsi="Trebuchet MS"/>
          <w:b/>
          <w:sz w:val="31"/>
        </w:rPr>
      </w:pPr>
      <w:r>
        <w:rPr/>
        <w:drawing>
          <wp:anchor distT="0" distB="0" distL="0" distR="0" allowOverlap="1" layoutInCell="1" locked="0" behindDoc="0" simplePos="0" relativeHeight="1144">
            <wp:simplePos x="0" y="0"/>
            <wp:positionH relativeFrom="page">
              <wp:posOffset>17462</wp:posOffset>
            </wp:positionH>
            <wp:positionV relativeFrom="paragraph">
              <wp:posOffset>274509</wp:posOffset>
            </wp:positionV>
            <wp:extent cx="155575" cy="155575"/>
            <wp:effectExtent l="0" t="0" r="0" b="0"/>
            <wp:wrapNone/>
            <wp:docPr id="15" name="image2.png" descr=""/>
            <wp:cNvGraphicFramePr>
              <a:graphicFrameLocks noChangeAspect="1"/>
            </wp:cNvGraphicFramePr>
            <a:graphic>
              <a:graphicData uri="http://schemas.openxmlformats.org/drawingml/2006/picture">
                <pic:pic>
                  <pic:nvPicPr>
                    <pic:cNvPr id="16"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168">
            <wp:simplePos x="0" y="0"/>
            <wp:positionH relativeFrom="page">
              <wp:posOffset>6761162</wp:posOffset>
            </wp:positionH>
            <wp:positionV relativeFrom="paragraph">
              <wp:posOffset>274509</wp:posOffset>
            </wp:positionV>
            <wp:extent cx="155575" cy="155575"/>
            <wp:effectExtent l="0" t="0" r="0" b="0"/>
            <wp:wrapNone/>
            <wp:docPr id="17" name="image2.png" descr=""/>
            <wp:cNvGraphicFramePr>
              <a:graphicFrameLocks noChangeAspect="1"/>
            </wp:cNvGraphicFramePr>
            <a:graphic>
              <a:graphicData uri="http://schemas.openxmlformats.org/drawingml/2006/picture">
                <pic:pic>
                  <pic:nvPicPr>
                    <pic:cNvPr id="18" name="image2.png"/>
                    <pic:cNvPicPr/>
                  </pic:nvPicPr>
                  <pic:blipFill>
                    <a:blip r:embed="rId8" cstate="print"/>
                    <a:stretch>
                      <a:fillRect/>
                    </a:stretch>
                  </pic:blipFill>
                  <pic:spPr>
                    <a:xfrm>
                      <a:off x="0" y="0"/>
                      <a:ext cx="155575" cy="155575"/>
                    </a:xfrm>
                    <a:prstGeom prst="rect">
                      <a:avLst/>
                    </a:prstGeom>
                  </pic:spPr>
                </pic:pic>
              </a:graphicData>
            </a:graphic>
          </wp:anchor>
        </w:drawing>
      </w:r>
      <w:r>
        <w:rPr>
          <w:rFonts w:ascii="Trebuchet MS" w:hAnsi="Trebuchet MS"/>
          <w:b/>
          <w:color w:val="230E0F"/>
          <w:spacing w:val="-5"/>
          <w:w w:val="119"/>
          <w:sz w:val="44"/>
        </w:rPr>
        <w:t>c</w:t>
      </w:r>
      <w:r>
        <w:rPr>
          <w:rFonts w:ascii="Trebuchet MS" w:hAnsi="Trebuchet MS"/>
          <w:b/>
          <w:color w:val="230E0F"/>
          <w:spacing w:val="-5"/>
          <w:w w:val="92"/>
          <w:sz w:val="31"/>
        </w:rPr>
        <w:t>i</w:t>
      </w:r>
      <w:r>
        <w:rPr>
          <w:rFonts w:ascii="Trebuchet MS" w:hAnsi="Trebuchet MS"/>
          <w:b/>
          <w:color w:val="230E0F"/>
          <w:spacing w:val="-5"/>
          <w:w w:val="98"/>
          <w:sz w:val="31"/>
        </w:rPr>
        <w:t>e</w:t>
      </w:r>
      <w:r>
        <w:rPr>
          <w:rFonts w:ascii="Trebuchet MS" w:hAnsi="Trebuchet MS"/>
          <w:b/>
          <w:color w:val="230E0F"/>
          <w:spacing w:val="-5"/>
          <w:w w:val="112"/>
          <w:sz w:val="31"/>
        </w:rPr>
        <w:t>n</w:t>
      </w:r>
      <w:r>
        <w:rPr>
          <w:rFonts w:ascii="Trebuchet MS" w:hAnsi="Trebuchet MS"/>
          <w:b/>
          <w:color w:val="230E0F"/>
          <w:spacing w:val="-5"/>
          <w:w w:val="118"/>
          <w:sz w:val="31"/>
        </w:rPr>
        <w:t>c</w:t>
      </w:r>
      <w:r>
        <w:rPr>
          <w:rFonts w:ascii="Trebuchet MS" w:hAnsi="Trebuchet MS"/>
          <w:b/>
          <w:color w:val="230E0F"/>
          <w:spacing w:val="-5"/>
          <w:w w:val="92"/>
          <w:sz w:val="31"/>
        </w:rPr>
        <w:t>i</w:t>
      </w:r>
      <w:r>
        <w:rPr>
          <w:rFonts w:ascii="Trebuchet MS" w:hAnsi="Trebuchet MS"/>
          <w:b/>
          <w:color w:val="230E0F"/>
          <w:spacing w:val="-5"/>
          <w:w w:val="99"/>
          <w:sz w:val="31"/>
        </w:rPr>
        <w:t>A</w:t>
      </w:r>
      <w:r>
        <w:rPr>
          <w:rFonts w:ascii="Trebuchet MS" w:hAnsi="Trebuchet MS"/>
          <w:b/>
          <w:color w:val="230E0F"/>
          <w:w w:val="117"/>
          <w:sz w:val="31"/>
        </w:rPr>
        <w:t>s</w:t>
      </w:r>
      <w:r>
        <w:rPr>
          <w:rFonts w:ascii="Trebuchet MS" w:hAnsi="Trebuchet MS"/>
          <w:b/>
          <w:color w:val="230E0F"/>
          <w:spacing w:val="6"/>
          <w:sz w:val="31"/>
        </w:rPr>
        <w:t> </w:t>
      </w:r>
      <w:r>
        <w:rPr>
          <w:rFonts w:ascii="Trebuchet MS" w:hAnsi="Trebuchet MS"/>
          <w:b/>
          <w:color w:val="230E0F"/>
          <w:spacing w:val="-5"/>
          <w:sz w:val="44"/>
        </w:rPr>
        <w:t>A</w:t>
      </w:r>
      <w:r>
        <w:rPr>
          <w:rFonts w:ascii="Trebuchet MS" w:hAnsi="Trebuchet MS"/>
          <w:b/>
          <w:color w:val="230E0F"/>
          <w:spacing w:val="-5"/>
          <w:w w:val="132"/>
          <w:sz w:val="31"/>
        </w:rPr>
        <w:t>g</w:t>
      </w:r>
      <w:r>
        <w:rPr>
          <w:rFonts w:ascii="Trebuchet MS" w:hAnsi="Trebuchet MS"/>
          <w:b/>
          <w:color w:val="230E0F"/>
          <w:spacing w:val="-5"/>
          <w:w w:val="142"/>
          <w:sz w:val="31"/>
        </w:rPr>
        <w:t>r</w:t>
      </w:r>
      <w:r>
        <w:rPr>
          <w:rFonts w:ascii="Trebuchet MS" w:hAnsi="Trebuchet MS"/>
          <w:b/>
          <w:color w:val="230E0F"/>
          <w:spacing w:val="-5"/>
          <w:w w:val="123"/>
          <w:sz w:val="31"/>
        </w:rPr>
        <w:t>o</w:t>
      </w:r>
      <w:r>
        <w:rPr>
          <w:rFonts w:ascii="Trebuchet MS" w:hAnsi="Trebuchet MS"/>
          <w:b/>
          <w:color w:val="230E0F"/>
          <w:spacing w:val="-5"/>
          <w:w w:val="112"/>
          <w:sz w:val="31"/>
        </w:rPr>
        <w:t>n</w:t>
      </w:r>
      <w:r>
        <w:rPr>
          <w:rFonts w:ascii="Trebuchet MS" w:hAnsi="Trebuchet MS"/>
          <w:b/>
          <w:color w:val="230E0F"/>
          <w:spacing w:val="-5"/>
          <w:w w:val="123"/>
          <w:sz w:val="31"/>
        </w:rPr>
        <w:t>ó</w:t>
      </w:r>
      <w:r>
        <w:rPr>
          <w:rFonts w:ascii="Trebuchet MS" w:hAnsi="Trebuchet MS"/>
          <w:b/>
          <w:color w:val="230E0F"/>
          <w:spacing w:val="-5"/>
          <w:w w:val="86"/>
          <w:sz w:val="31"/>
        </w:rPr>
        <w:t>m</w:t>
      </w:r>
      <w:r>
        <w:rPr>
          <w:rFonts w:ascii="Trebuchet MS" w:hAnsi="Trebuchet MS"/>
          <w:b/>
          <w:color w:val="230E0F"/>
          <w:spacing w:val="-5"/>
          <w:w w:val="92"/>
          <w:sz w:val="31"/>
        </w:rPr>
        <w:t>i</w:t>
      </w:r>
      <w:r>
        <w:rPr>
          <w:rFonts w:ascii="Trebuchet MS" w:hAnsi="Trebuchet MS"/>
          <w:b/>
          <w:color w:val="230E0F"/>
          <w:spacing w:val="-5"/>
          <w:w w:val="118"/>
          <w:sz w:val="31"/>
        </w:rPr>
        <w:t>c</w:t>
      </w:r>
      <w:r>
        <w:rPr>
          <w:rFonts w:ascii="Trebuchet MS" w:hAnsi="Trebuchet MS"/>
          <w:b/>
          <w:color w:val="230E0F"/>
          <w:spacing w:val="-5"/>
          <w:w w:val="99"/>
          <w:sz w:val="31"/>
        </w:rPr>
        <w:t>A</w:t>
      </w:r>
      <w:r>
        <w:rPr>
          <w:rFonts w:ascii="Trebuchet MS" w:hAnsi="Trebuchet MS"/>
          <w:b/>
          <w:color w:val="230E0F"/>
          <w:w w:val="117"/>
          <w:sz w:val="31"/>
        </w:rPr>
        <w:t>s</w:t>
      </w:r>
      <w:r>
        <w:rPr>
          <w:rFonts w:ascii="Trebuchet MS" w:hAnsi="Trebuchet MS"/>
          <w:b/>
          <w:color w:val="230E0F"/>
          <w:spacing w:val="30"/>
          <w:sz w:val="31"/>
        </w:rPr>
        <w:t> </w:t>
      </w:r>
      <w:r>
        <w:rPr>
          <w:rFonts w:ascii="Trebuchet MS" w:hAnsi="Trebuchet MS"/>
          <w:b/>
          <w:color w:val="230E0F"/>
          <w:w w:val="114"/>
          <w:sz w:val="31"/>
        </w:rPr>
        <w:t>y</w:t>
      </w:r>
      <w:r>
        <w:rPr>
          <w:rFonts w:ascii="Trebuchet MS" w:hAnsi="Trebuchet MS"/>
          <w:b/>
          <w:color w:val="230E0F"/>
          <w:spacing w:val="6"/>
          <w:sz w:val="31"/>
        </w:rPr>
        <w:t> </w:t>
      </w:r>
      <w:r>
        <w:rPr>
          <w:rFonts w:ascii="Trebuchet MS" w:hAnsi="Trebuchet MS"/>
          <w:b/>
          <w:color w:val="230E0F"/>
          <w:spacing w:val="-5"/>
          <w:sz w:val="44"/>
        </w:rPr>
        <w:t>A</w:t>
      </w:r>
      <w:r>
        <w:rPr>
          <w:rFonts w:ascii="Trebuchet MS" w:hAnsi="Trebuchet MS"/>
          <w:b/>
          <w:color w:val="230E0F"/>
          <w:spacing w:val="-5"/>
          <w:w w:val="86"/>
          <w:sz w:val="31"/>
        </w:rPr>
        <w:t>m</w:t>
      </w:r>
      <w:r>
        <w:rPr>
          <w:rFonts w:ascii="Trebuchet MS" w:hAnsi="Trebuchet MS"/>
          <w:b/>
          <w:color w:val="230E0F"/>
          <w:spacing w:val="-5"/>
          <w:w w:val="101"/>
          <w:sz w:val="31"/>
        </w:rPr>
        <w:t>b</w:t>
      </w:r>
      <w:r>
        <w:rPr>
          <w:rFonts w:ascii="Trebuchet MS" w:hAnsi="Trebuchet MS"/>
          <w:b/>
          <w:color w:val="230E0F"/>
          <w:spacing w:val="-5"/>
          <w:w w:val="92"/>
          <w:sz w:val="31"/>
        </w:rPr>
        <w:t>i</w:t>
      </w:r>
      <w:r>
        <w:rPr>
          <w:rFonts w:ascii="Trebuchet MS" w:hAnsi="Trebuchet MS"/>
          <w:b/>
          <w:color w:val="230E0F"/>
          <w:spacing w:val="-5"/>
          <w:w w:val="98"/>
          <w:sz w:val="31"/>
        </w:rPr>
        <w:t>e</w:t>
      </w:r>
      <w:r>
        <w:rPr>
          <w:rFonts w:ascii="Trebuchet MS" w:hAnsi="Trebuchet MS"/>
          <w:b/>
          <w:color w:val="230E0F"/>
          <w:spacing w:val="-5"/>
          <w:w w:val="112"/>
          <w:sz w:val="31"/>
        </w:rPr>
        <w:t>n</w:t>
      </w:r>
      <w:r>
        <w:rPr>
          <w:rFonts w:ascii="Trebuchet MS" w:hAnsi="Trebuchet MS"/>
          <w:b/>
          <w:color w:val="230E0F"/>
          <w:spacing w:val="-34"/>
          <w:w w:val="153"/>
          <w:sz w:val="31"/>
        </w:rPr>
        <w:t>t</w:t>
      </w:r>
      <w:r>
        <w:rPr>
          <w:rFonts w:ascii="Trebuchet MS" w:hAnsi="Trebuchet MS"/>
          <w:b/>
          <w:color w:val="230E0F"/>
          <w:spacing w:val="-5"/>
          <w:w w:val="99"/>
          <w:sz w:val="31"/>
        </w:rPr>
        <w:t>A</w:t>
      </w:r>
      <w:r>
        <w:rPr>
          <w:rFonts w:ascii="Trebuchet MS" w:hAnsi="Trebuchet MS"/>
          <w:b/>
          <w:color w:val="230E0F"/>
          <w:spacing w:val="-5"/>
          <w:w w:val="186"/>
          <w:sz w:val="31"/>
        </w:rPr>
        <w:t>l</w:t>
      </w:r>
      <w:r>
        <w:rPr>
          <w:rFonts w:ascii="Trebuchet MS" w:hAnsi="Trebuchet MS"/>
          <w:b/>
          <w:color w:val="230E0F"/>
          <w:spacing w:val="-5"/>
          <w:w w:val="98"/>
          <w:sz w:val="31"/>
        </w:rPr>
        <w:t>e</w:t>
      </w:r>
      <w:r>
        <w:rPr>
          <w:rFonts w:ascii="Trebuchet MS" w:hAnsi="Trebuchet MS"/>
          <w:b/>
          <w:color w:val="230E0F"/>
          <w:w w:val="117"/>
          <w:sz w:val="31"/>
        </w:rPr>
        <w:t>s</w:t>
      </w:r>
    </w:p>
    <w:p>
      <w:pPr>
        <w:pStyle w:val="BodyText"/>
        <w:rPr>
          <w:rFonts w:ascii="Trebuchet MS"/>
          <w:b/>
          <w:sz w:val="44"/>
        </w:rPr>
      </w:pPr>
    </w:p>
    <w:p>
      <w:pPr>
        <w:pStyle w:val="BodyText"/>
        <w:rPr>
          <w:rFonts w:ascii="Trebuchet MS"/>
          <w:b/>
          <w:sz w:val="44"/>
        </w:rPr>
      </w:pPr>
    </w:p>
    <w:p>
      <w:pPr>
        <w:pStyle w:val="BodyText"/>
        <w:rPr>
          <w:rFonts w:ascii="Trebuchet MS"/>
          <w:b/>
          <w:sz w:val="44"/>
        </w:rPr>
      </w:pPr>
    </w:p>
    <w:p>
      <w:pPr>
        <w:pStyle w:val="BodyText"/>
        <w:rPr>
          <w:rFonts w:ascii="Trebuchet MS"/>
          <w:b/>
          <w:sz w:val="44"/>
        </w:rPr>
      </w:pPr>
    </w:p>
    <w:p>
      <w:pPr>
        <w:pStyle w:val="BodyText"/>
        <w:rPr>
          <w:rFonts w:ascii="Trebuchet MS"/>
          <w:b/>
          <w:sz w:val="44"/>
        </w:rPr>
      </w:pPr>
    </w:p>
    <w:p>
      <w:pPr>
        <w:pStyle w:val="BodyText"/>
        <w:rPr>
          <w:rFonts w:ascii="Trebuchet MS"/>
          <w:b/>
          <w:sz w:val="44"/>
        </w:rPr>
      </w:pPr>
    </w:p>
    <w:p>
      <w:pPr>
        <w:pStyle w:val="BodyText"/>
        <w:rPr>
          <w:rFonts w:ascii="Trebuchet MS"/>
          <w:b/>
          <w:sz w:val="44"/>
        </w:rPr>
      </w:pPr>
    </w:p>
    <w:p>
      <w:pPr>
        <w:pStyle w:val="BodyText"/>
        <w:rPr>
          <w:rFonts w:ascii="Trebuchet MS"/>
          <w:b/>
          <w:sz w:val="44"/>
        </w:rPr>
      </w:pPr>
    </w:p>
    <w:p>
      <w:pPr>
        <w:pStyle w:val="BodyText"/>
        <w:spacing w:before="1"/>
        <w:rPr>
          <w:rFonts w:ascii="Trebuchet MS"/>
          <w:b/>
          <w:sz w:val="38"/>
        </w:rPr>
      </w:pPr>
    </w:p>
    <w:p>
      <w:pPr>
        <w:spacing w:before="0"/>
        <w:ind w:left="1489" w:right="1489" w:firstLine="0"/>
        <w:jc w:val="center"/>
        <w:rPr>
          <w:rFonts w:ascii="Trebuchet MS" w:hAnsi="Trebuchet MS"/>
          <w:b/>
          <w:sz w:val="26"/>
        </w:rPr>
      </w:pPr>
      <w:r>
        <w:rPr>
          <w:rFonts w:ascii="Trebuchet MS" w:hAnsi="Trebuchet MS"/>
          <w:b/>
          <w:color w:val="230E0F"/>
          <w:sz w:val="26"/>
        </w:rPr>
        <w:t>UNIVERSIDAD AUTÓNOMA CHAPINGO</w:t>
      </w:r>
    </w:p>
    <w:p>
      <w:pPr>
        <w:spacing w:after="0"/>
        <w:jc w:val="center"/>
        <w:rPr>
          <w:rFonts w:ascii="Trebuchet MS" w:hAnsi="Trebuchet MS"/>
          <w:sz w:val="26"/>
        </w:rPr>
        <w:sectPr>
          <w:pgSz w:w="10920" w:h="13080"/>
          <w:pgMar w:header="0" w:footer="0" w:top="420" w:bottom="1180" w:left="0" w:right="0"/>
        </w:sectPr>
      </w:pPr>
    </w:p>
    <w:p>
      <w:pPr>
        <w:pStyle w:val="BodyText"/>
        <w:rPr>
          <w:rFonts w:ascii="Trebuchet MS"/>
          <w:b/>
          <w:sz w:val="20"/>
        </w:rPr>
      </w:pPr>
      <w:r>
        <w:rPr/>
        <w:pict>
          <v:shape style="position:absolute;margin-left:63.52pt;margin-top:591.047974pt;width:424.35pt;height:13.65pt;mso-position-horizontal-relative:page;mso-position-vertical-relative:page;z-index:-211576" type="#_x0000_t202" filled="false" stroked="false">
            <v:textbox inset="0,0,0,0">
              <w:txbxContent>
                <w:p>
                  <w:pPr>
                    <w:spacing w:before="5"/>
                    <w:ind w:left="4033" w:right="4115" w:firstLine="0"/>
                    <w:jc w:val="center"/>
                    <w:rPr>
                      <w:rFonts w:ascii="Trebuchet MS"/>
                      <w:b/>
                      <w:i/>
                      <w:sz w:val="22"/>
                    </w:rPr>
                  </w:pPr>
                  <w:r>
                    <w:rPr>
                      <w:rFonts w:ascii="Trebuchet MS"/>
                      <w:b/>
                      <w:i/>
                      <w:color w:val="231F20"/>
                      <w:sz w:val="22"/>
                    </w:rPr>
                    <w:t>iv</w:t>
                  </w:r>
                </w:p>
              </w:txbxContent>
            </v:textbox>
            <w10:wrap type="none"/>
          </v:shape>
        </w:pict>
      </w:r>
    </w:p>
    <w:p>
      <w:pPr>
        <w:pStyle w:val="BodyText"/>
        <w:rPr>
          <w:rFonts w:ascii="Trebuchet MS"/>
          <w:b/>
          <w:sz w:val="20"/>
        </w:rPr>
      </w:pPr>
    </w:p>
    <w:p>
      <w:pPr>
        <w:pStyle w:val="BodyText"/>
        <w:spacing w:before="3"/>
        <w:rPr>
          <w:rFonts w:ascii="Trebuchet MS"/>
          <w:b/>
          <w:sz w:val="22"/>
        </w:rPr>
      </w:pPr>
    </w:p>
    <w:p>
      <w:pPr>
        <w:spacing w:before="72"/>
        <w:ind w:left="1270" w:right="5337" w:firstLine="0"/>
        <w:jc w:val="left"/>
        <w:rPr>
          <w:sz w:val="22"/>
        </w:rPr>
      </w:pPr>
      <w:r>
        <w:rPr>
          <w:i/>
          <w:color w:val="231F20"/>
          <w:sz w:val="22"/>
        </w:rPr>
        <w:t>Diseño de portada e interiores: </w:t>
      </w:r>
      <w:r>
        <w:rPr>
          <w:color w:val="231F20"/>
          <w:sz w:val="22"/>
        </w:rPr>
        <w:t>linkverde2004</w:t>
      </w:r>
    </w:p>
    <w:p>
      <w:pPr>
        <w:pStyle w:val="BodyText"/>
        <w:spacing w:before="10"/>
        <w:rPr>
          <w:sz w:val="23"/>
        </w:rPr>
      </w:pPr>
    </w:p>
    <w:p>
      <w:pPr>
        <w:spacing w:line="249" w:lineRule="auto" w:before="0"/>
        <w:ind w:left="1270" w:right="7223" w:firstLine="0"/>
        <w:jc w:val="left"/>
        <w:rPr>
          <w:sz w:val="22"/>
        </w:rPr>
      </w:pPr>
      <w:r>
        <w:rPr>
          <w:i/>
          <w:color w:val="231F20"/>
          <w:sz w:val="22"/>
        </w:rPr>
        <w:t>Cuidado de la edición: </w:t>
      </w:r>
      <w:r>
        <w:rPr>
          <w:color w:val="231F20"/>
          <w:sz w:val="22"/>
        </w:rPr>
        <w:t>Lucila Godínez Montoya Esther Figueroa Hernández Francisco Pérez Soto Daniel Sepúlveda Jiménez Rosa María García Núñez</w:t>
      </w:r>
    </w:p>
    <w:p>
      <w:pPr>
        <w:spacing w:line="249" w:lineRule="auto" w:before="1"/>
        <w:ind w:left="1270" w:right="5980" w:firstLine="0"/>
        <w:jc w:val="left"/>
        <w:rPr>
          <w:sz w:val="22"/>
        </w:rPr>
      </w:pPr>
      <w:r>
        <w:rPr>
          <w:color w:val="231F20"/>
          <w:sz w:val="22"/>
        </w:rPr>
        <w:t>Sergio Roberto Márquez Berber y Carmen Isabel Mamani Oño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9"/>
        </w:rPr>
      </w:pPr>
      <w:r>
        <w:rPr/>
        <w:drawing>
          <wp:anchor distT="0" distB="0" distL="0" distR="0" allowOverlap="1" layoutInCell="1" locked="0" behindDoc="0" simplePos="0" relativeHeight="1192">
            <wp:simplePos x="0" y="0"/>
            <wp:positionH relativeFrom="page">
              <wp:posOffset>17462</wp:posOffset>
            </wp:positionH>
            <wp:positionV relativeFrom="paragraph">
              <wp:posOffset>165872</wp:posOffset>
            </wp:positionV>
            <wp:extent cx="155448" cy="155448"/>
            <wp:effectExtent l="0" t="0" r="0" b="0"/>
            <wp:wrapTopAndBottom/>
            <wp:docPr id="21" name="image2.png" descr=""/>
            <wp:cNvGraphicFramePr>
              <a:graphicFrameLocks noChangeAspect="1"/>
            </wp:cNvGraphicFramePr>
            <a:graphic>
              <a:graphicData uri="http://schemas.openxmlformats.org/drawingml/2006/picture">
                <pic:pic>
                  <pic:nvPicPr>
                    <pic:cNvPr id="22" name="image2.png"/>
                    <pic:cNvPicPr/>
                  </pic:nvPicPr>
                  <pic:blipFill>
                    <a:blip r:embed="rId8" cstate="print"/>
                    <a:stretch>
                      <a:fillRect/>
                    </a:stretch>
                  </pic:blipFill>
                  <pic:spPr>
                    <a:xfrm>
                      <a:off x="0" y="0"/>
                      <a:ext cx="155448" cy="155448"/>
                    </a:xfrm>
                    <a:prstGeom prst="rect">
                      <a:avLst/>
                    </a:prstGeom>
                  </pic:spPr>
                </pic:pic>
              </a:graphicData>
            </a:graphic>
          </wp:anchor>
        </w:drawing>
      </w:r>
      <w:r>
        <w:rPr/>
        <w:drawing>
          <wp:anchor distT="0" distB="0" distL="0" distR="0" allowOverlap="1" layoutInCell="1" locked="0" behindDoc="0" simplePos="0" relativeHeight="1216">
            <wp:simplePos x="0" y="0"/>
            <wp:positionH relativeFrom="page">
              <wp:posOffset>6761162</wp:posOffset>
            </wp:positionH>
            <wp:positionV relativeFrom="paragraph">
              <wp:posOffset>165872</wp:posOffset>
            </wp:positionV>
            <wp:extent cx="155448" cy="155448"/>
            <wp:effectExtent l="0" t="0" r="0" b="0"/>
            <wp:wrapTopAndBottom/>
            <wp:docPr id="23" name="image2.png" descr=""/>
            <wp:cNvGraphicFramePr>
              <a:graphicFrameLocks noChangeAspect="1"/>
            </wp:cNvGraphicFramePr>
            <a:graphic>
              <a:graphicData uri="http://schemas.openxmlformats.org/drawingml/2006/picture">
                <pic:pic>
                  <pic:nvPicPr>
                    <pic:cNvPr id="24" name="image2.png"/>
                    <pic:cNvPicPr/>
                  </pic:nvPicPr>
                  <pic:blipFill>
                    <a:blip r:embed="rId8" cstate="print"/>
                    <a:stretch>
                      <a:fillRect/>
                    </a:stretch>
                  </pic:blipFill>
                  <pic:spPr>
                    <a:xfrm>
                      <a:off x="0" y="0"/>
                      <a:ext cx="155448" cy="155448"/>
                    </a:xfrm>
                    <a:prstGeom prst="rect">
                      <a:avLst/>
                    </a:prstGeom>
                  </pic:spPr>
                </pic:pic>
              </a:graphicData>
            </a:graphic>
          </wp:anchor>
        </w:drawing>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spacing w:line="249" w:lineRule="auto" w:before="147"/>
        <w:ind w:left="1270" w:right="6789" w:firstLine="0"/>
        <w:jc w:val="left"/>
        <w:rPr>
          <w:sz w:val="22"/>
        </w:rPr>
      </w:pPr>
      <w:r>
        <w:rPr>
          <w:color w:val="231F20"/>
          <w:sz w:val="22"/>
        </w:rPr>
        <w:t>Primera edición, agosto de 2014 ISBN 978-607-12-0355-7</w:t>
      </w:r>
    </w:p>
    <w:p>
      <w:pPr>
        <w:spacing w:line="249" w:lineRule="auto" w:before="1"/>
        <w:ind w:left="1270" w:right="5622" w:firstLine="0"/>
        <w:jc w:val="left"/>
        <w:rPr>
          <w:sz w:val="22"/>
        </w:rPr>
      </w:pPr>
      <w:r>
        <w:rPr>
          <w:color w:val="231F20"/>
          <w:sz w:val="22"/>
        </w:rPr>
        <w:t>D.R. © Universidad Autónoma Chapingo Km. 38.5 Carretera México-Texcoco</w:t>
      </w:r>
    </w:p>
    <w:p>
      <w:pPr>
        <w:spacing w:line="249" w:lineRule="auto" w:before="1"/>
        <w:ind w:left="1270" w:right="5337" w:firstLine="0"/>
        <w:jc w:val="left"/>
        <w:rPr>
          <w:sz w:val="22"/>
        </w:rPr>
      </w:pPr>
      <w:r>
        <w:rPr>
          <w:color w:val="231F20"/>
          <w:sz w:val="22"/>
        </w:rPr>
        <w:t>C.P. 56230, Chapingo, estado de México Impreso en México</w:t>
      </w:r>
    </w:p>
    <w:p>
      <w:pPr>
        <w:spacing w:before="1"/>
        <w:ind w:left="1270" w:right="5337" w:firstLine="0"/>
        <w:jc w:val="left"/>
        <w:rPr>
          <w:sz w:val="22"/>
        </w:rPr>
      </w:pPr>
      <w:r>
        <w:rPr>
          <w:color w:val="231F20"/>
          <w:sz w:val="22"/>
        </w:rPr>
        <w:t>Tel: 01(595) 9521500 Ext. 5142</w:t>
      </w:r>
    </w:p>
    <w:p>
      <w:pPr>
        <w:pStyle w:val="BodyText"/>
        <w:rPr>
          <w:sz w:val="22"/>
        </w:rPr>
      </w:pPr>
    </w:p>
    <w:p>
      <w:pPr>
        <w:pStyle w:val="BodyText"/>
        <w:spacing w:before="10"/>
        <w:rPr>
          <w:sz w:val="24"/>
        </w:rPr>
      </w:pPr>
    </w:p>
    <w:p>
      <w:pPr>
        <w:spacing w:line="249" w:lineRule="auto" w:before="0"/>
        <w:ind w:left="1270" w:right="1279" w:firstLine="0"/>
        <w:jc w:val="left"/>
        <w:rPr>
          <w:sz w:val="22"/>
        </w:rPr>
      </w:pPr>
      <w:r>
        <w:rPr>
          <w:color w:val="231F20"/>
          <w:sz w:val="22"/>
        </w:rPr>
        <w:t>Para la reproducción total o parcial de esta publicación, ya sea mediante fotocopias o cualquier otra forma, requiere la autorización por escrito del autor y del CIEMA de la UACh.</w:t>
      </w:r>
    </w:p>
    <w:p>
      <w:pPr>
        <w:spacing w:after="0" w:line="249" w:lineRule="auto"/>
        <w:jc w:val="left"/>
        <w:rPr>
          <w:sz w:val="22"/>
        </w:rPr>
        <w:sectPr>
          <w:footerReference w:type="default" r:id="rId9"/>
          <w:pgSz w:w="10920" w:h="13080"/>
          <w:pgMar w:footer="999" w:header="0" w:top="420" w:bottom="118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217"/>
        <w:ind w:left="1489" w:right="1489" w:firstLine="0"/>
        <w:jc w:val="center"/>
        <w:rPr>
          <w:rFonts w:ascii="Trebuchet MS" w:hAnsi="Trebuchet MS"/>
          <w:b/>
          <w:i/>
          <w:sz w:val="40"/>
        </w:rPr>
      </w:pPr>
      <w:r>
        <w:rPr>
          <w:rFonts w:ascii="Trebuchet MS" w:hAnsi="Trebuchet MS"/>
          <w:b/>
          <w:i/>
          <w:color w:val="231F20"/>
          <w:sz w:val="40"/>
        </w:rPr>
        <w:t>ÍNDICE</w:t>
      </w:r>
    </w:p>
    <w:p>
      <w:pPr>
        <w:pStyle w:val="BodyText"/>
        <w:rPr>
          <w:rFonts w:ascii="Trebuchet MS"/>
          <w:b/>
          <w:i/>
          <w:sz w:val="40"/>
        </w:rPr>
      </w:pPr>
    </w:p>
    <w:p>
      <w:pPr>
        <w:pStyle w:val="BodyText"/>
        <w:rPr>
          <w:rFonts w:ascii="Trebuchet MS"/>
          <w:b/>
          <w:i/>
          <w:sz w:val="40"/>
        </w:rPr>
      </w:pPr>
    </w:p>
    <w:p>
      <w:pPr>
        <w:pStyle w:val="BodyText"/>
        <w:rPr>
          <w:rFonts w:ascii="Trebuchet MS"/>
          <w:b/>
          <w:i/>
          <w:sz w:val="40"/>
        </w:rPr>
      </w:pPr>
    </w:p>
    <w:p>
      <w:pPr>
        <w:pStyle w:val="BodyText"/>
        <w:rPr>
          <w:rFonts w:ascii="Trebuchet MS"/>
          <w:b/>
          <w:i/>
          <w:sz w:val="40"/>
        </w:rPr>
      </w:pPr>
    </w:p>
    <w:p>
      <w:pPr>
        <w:pStyle w:val="BodyText"/>
        <w:spacing w:before="5"/>
        <w:rPr>
          <w:rFonts w:ascii="Trebuchet MS"/>
          <w:b/>
          <w:i/>
          <w:sz w:val="49"/>
        </w:rPr>
      </w:pPr>
    </w:p>
    <w:p>
      <w:pPr>
        <w:spacing w:line="247" w:lineRule="auto" w:before="0"/>
        <w:ind w:left="1270" w:right="2870" w:firstLine="0"/>
        <w:jc w:val="left"/>
        <w:rPr>
          <w:rFonts w:ascii="Trebuchet MS" w:hAnsi="Trebuchet MS"/>
          <w:b/>
          <w:sz w:val="22"/>
        </w:rPr>
      </w:pPr>
      <w:r>
        <w:rPr/>
        <w:drawing>
          <wp:anchor distT="0" distB="0" distL="0" distR="0" allowOverlap="1" layoutInCell="1" locked="0" behindDoc="0" simplePos="0" relativeHeight="1264">
            <wp:simplePos x="0" y="0"/>
            <wp:positionH relativeFrom="page">
              <wp:posOffset>17462</wp:posOffset>
            </wp:positionH>
            <wp:positionV relativeFrom="paragraph">
              <wp:posOffset>222731</wp:posOffset>
            </wp:positionV>
            <wp:extent cx="155575" cy="155575"/>
            <wp:effectExtent l="0" t="0" r="0" b="0"/>
            <wp:wrapNone/>
            <wp:docPr id="27" name="image2.png" descr=""/>
            <wp:cNvGraphicFramePr>
              <a:graphicFrameLocks noChangeAspect="1"/>
            </wp:cNvGraphicFramePr>
            <a:graphic>
              <a:graphicData uri="http://schemas.openxmlformats.org/drawingml/2006/picture">
                <pic:pic>
                  <pic:nvPicPr>
                    <pic:cNvPr id="28"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288">
            <wp:simplePos x="0" y="0"/>
            <wp:positionH relativeFrom="page">
              <wp:posOffset>6761162</wp:posOffset>
            </wp:positionH>
            <wp:positionV relativeFrom="paragraph">
              <wp:posOffset>222731</wp:posOffset>
            </wp:positionV>
            <wp:extent cx="155575" cy="155575"/>
            <wp:effectExtent l="0" t="0" r="0" b="0"/>
            <wp:wrapNone/>
            <wp:docPr id="29" name="image2.png" descr=""/>
            <wp:cNvGraphicFramePr>
              <a:graphicFrameLocks noChangeAspect="1"/>
            </wp:cNvGraphicFramePr>
            <a:graphic>
              <a:graphicData uri="http://schemas.openxmlformats.org/drawingml/2006/picture">
                <pic:pic>
                  <pic:nvPicPr>
                    <pic:cNvPr id="30" name="image2.png"/>
                    <pic:cNvPicPr/>
                  </pic:nvPicPr>
                  <pic:blipFill>
                    <a:blip r:embed="rId8" cstate="print"/>
                    <a:stretch>
                      <a:fillRect/>
                    </a:stretch>
                  </pic:blipFill>
                  <pic:spPr>
                    <a:xfrm>
                      <a:off x="0" y="0"/>
                      <a:ext cx="155575" cy="155575"/>
                    </a:xfrm>
                    <a:prstGeom prst="rect">
                      <a:avLst/>
                    </a:prstGeom>
                  </pic:spPr>
                </pic:pic>
              </a:graphicData>
            </a:graphic>
          </wp:anchor>
        </w:drawing>
      </w:r>
      <w:r>
        <w:rPr>
          <w:rFonts w:ascii="Trebuchet MS" w:hAnsi="Trebuchet MS"/>
          <w:b/>
          <w:color w:val="010202"/>
          <w:sz w:val="22"/>
        </w:rPr>
        <w:t>IMPACTOS DEL CAMBIO CLIMÁTICO EN LA PRODUCCIÓN AGRÍCOLA, BAJO CONDICIONES DE TEMPORAL EN MÉXICO</w:t>
      </w:r>
    </w:p>
    <w:p>
      <w:pPr>
        <w:spacing w:before="1"/>
        <w:ind w:left="1270" w:right="0" w:firstLine="0"/>
        <w:jc w:val="both"/>
        <w:rPr>
          <w:rFonts w:ascii="Trebuchet MS" w:hAnsi="Trebuchet MS"/>
          <w:b/>
          <w:sz w:val="22"/>
        </w:rPr>
      </w:pPr>
      <w:r>
        <w:rPr>
          <w:rFonts w:ascii="Trebuchet MS" w:hAnsi="Trebuchet MS"/>
          <w:b/>
          <w:color w:val="010202"/>
          <w:sz w:val="22"/>
        </w:rPr>
        <w:t>Sergio Cruz Hernández, Gerardo Noriega Altamirano,</w:t>
      </w:r>
    </w:p>
    <w:p>
      <w:pPr>
        <w:spacing w:after="0"/>
        <w:jc w:val="both"/>
        <w:rPr>
          <w:rFonts w:ascii="Trebuchet MS" w:hAnsi="Trebuchet MS"/>
          <w:sz w:val="22"/>
        </w:rPr>
        <w:sectPr>
          <w:footerReference w:type="default" r:id="rId10"/>
          <w:pgSz w:w="10920" w:h="13080"/>
          <w:pgMar w:footer="223" w:header="0" w:top="420" w:bottom="978" w:left="0" w:right="0"/>
          <w:pgNumType w:start="5"/>
        </w:sectPr>
      </w:pPr>
    </w:p>
    <w:sdt>
      <w:sdtPr>
        <w:docPartObj>
          <w:docPartGallery w:val="Table of Contents"/>
          <w:docPartUnique/>
        </w:docPartObj>
      </w:sdtPr>
      <w:sdtEndPr/>
      <w:sdtContent>
        <w:p>
          <w:pPr>
            <w:pStyle w:val="TOC2"/>
            <w:tabs>
              <w:tab w:pos="9649" w:val="right" w:leader="none"/>
            </w:tabs>
            <w:spacing w:before="8"/>
          </w:pPr>
          <w:r>
            <w:rPr>
              <w:color w:val="010202"/>
            </w:rPr>
            <w:t>Eduardo García de la Rosa y Jesús</w:t>
          </w:r>
          <w:r>
            <w:rPr>
              <w:color w:val="010202"/>
              <w:spacing w:val="-6"/>
            </w:rPr>
            <w:t> </w:t>
          </w:r>
          <w:r>
            <w:rPr>
              <w:color w:val="010202"/>
            </w:rPr>
            <w:t>Leyva</w:t>
          </w:r>
          <w:r>
            <w:rPr>
              <w:color w:val="010202"/>
              <w:spacing w:val="-2"/>
            </w:rPr>
            <w:t> </w:t>
          </w:r>
          <w:r>
            <w:rPr>
              <w:color w:val="010202"/>
            </w:rPr>
            <w:t>Baeza</w:t>
            <w:tab/>
            <w:t>1</w:t>
          </w:r>
        </w:p>
        <w:p>
          <w:pPr>
            <w:pStyle w:val="TOC2"/>
            <w:spacing w:line="247" w:lineRule="auto" w:before="272"/>
            <w:ind w:right="2319"/>
          </w:pPr>
          <w:hyperlink w:history="true" w:anchor="_TOC_250010">
            <w:r>
              <w:rPr>
                <w:color w:val="010202"/>
                <w:spacing w:val="-3"/>
              </w:rPr>
              <w:t>RESPUESTA </w:t>
            </w:r>
            <w:r>
              <w:rPr>
                <w:color w:val="010202"/>
              </w:rPr>
              <w:t>A LA INTERACCIÓN GENOTIPO–AMBIENTE DE </w:t>
            </w:r>
            <w:r>
              <w:rPr>
                <w:color w:val="010202"/>
                <w:spacing w:val="-3"/>
              </w:rPr>
              <w:t>VARIEDADES </w:t>
            </w:r>
            <w:r>
              <w:rPr>
                <w:color w:val="010202"/>
              </w:rPr>
              <w:t>SINTÉTICAS DE MAÍZ DE CALIDAD PROTEÍCA (QPM)</w:t>
            </w:r>
          </w:hyperlink>
        </w:p>
        <w:p>
          <w:pPr>
            <w:pStyle w:val="TOC2"/>
            <w:spacing w:line="247" w:lineRule="auto"/>
            <w:ind w:right="2264"/>
            <w:jc w:val="both"/>
          </w:pPr>
          <w:r>
            <w:rPr>
              <w:color w:val="010202"/>
              <w:spacing w:val="-3"/>
            </w:rPr>
            <w:t>Pablo</w:t>
          </w:r>
          <w:r>
            <w:rPr>
              <w:color w:val="010202"/>
              <w:spacing w:val="-17"/>
            </w:rPr>
            <w:t> </w:t>
          </w:r>
          <w:r>
            <w:rPr>
              <w:color w:val="010202"/>
            </w:rPr>
            <w:t>Andrés</w:t>
          </w:r>
          <w:r>
            <w:rPr>
              <w:color w:val="010202"/>
              <w:spacing w:val="-5"/>
            </w:rPr>
            <w:t> </w:t>
          </w:r>
          <w:r>
            <w:rPr>
              <w:color w:val="010202"/>
            </w:rPr>
            <w:t>Meza,</w:t>
          </w:r>
          <w:r>
            <w:rPr>
              <w:color w:val="010202"/>
              <w:spacing w:val="-5"/>
            </w:rPr>
            <w:t> </w:t>
          </w:r>
          <w:r>
            <w:rPr>
              <w:color w:val="010202"/>
            </w:rPr>
            <w:t>Mauro</w:t>
          </w:r>
          <w:r>
            <w:rPr>
              <w:color w:val="010202"/>
              <w:spacing w:val="-5"/>
            </w:rPr>
            <w:t> </w:t>
          </w:r>
          <w:r>
            <w:rPr>
              <w:color w:val="010202"/>
            </w:rPr>
            <w:t>Sierra</w:t>
          </w:r>
          <w:r>
            <w:rPr>
              <w:color w:val="010202"/>
              <w:spacing w:val="-5"/>
            </w:rPr>
            <w:t> </w:t>
          </w:r>
          <w:r>
            <w:rPr>
              <w:color w:val="010202"/>
            </w:rPr>
            <w:t>Macías,</w:t>
          </w:r>
          <w:r>
            <w:rPr>
              <w:color w:val="010202"/>
              <w:spacing w:val="-5"/>
            </w:rPr>
            <w:t> </w:t>
          </w:r>
          <w:r>
            <w:rPr>
              <w:color w:val="010202"/>
            </w:rPr>
            <w:t>José</w:t>
          </w:r>
          <w:r>
            <w:rPr>
              <w:color w:val="010202"/>
              <w:spacing w:val="-17"/>
            </w:rPr>
            <w:t> </w:t>
          </w:r>
          <w:r>
            <w:rPr>
              <w:color w:val="010202"/>
            </w:rPr>
            <w:t>Apolinar</w:t>
          </w:r>
          <w:r>
            <w:rPr>
              <w:color w:val="010202"/>
              <w:spacing w:val="-5"/>
            </w:rPr>
            <w:t> </w:t>
          </w:r>
          <w:r>
            <w:rPr>
              <w:color w:val="010202"/>
            </w:rPr>
            <w:t>Mejía</w:t>
          </w:r>
          <w:r>
            <w:rPr>
              <w:color w:val="010202"/>
              <w:spacing w:val="-5"/>
            </w:rPr>
            <w:t> </w:t>
          </w:r>
          <w:r>
            <w:rPr>
              <w:color w:val="010202"/>
            </w:rPr>
            <w:t>Contreras, José Domingo Molina Galán, Alejandro Espinosa Calderón, Noel Orlando Gómez</w:t>
          </w:r>
          <w:r>
            <w:rPr>
              <w:color w:val="010202"/>
              <w:spacing w:val="-5"/>
            </w:rPr>
            <w:t> </w:t>
          </w:r>
          <w:r>
            <w:rPr>
              <w:color w:val="010202"/>
            </w:rPr>
            <w:t>Montiel,</w:t>
          </w:r>
          <w:r>
            <w:rPr>
              <w:color w:val="010202"/>
              <w:spacing w:val="-16"/>
            </w:rPr>
            <w:t> </w:t>
          </w:r>
          <w:r>
            <w:rPr>
              <w:color w:val="010202"/>
            </w:rPr>
            <w:t>Artemio</w:t>
          </w:r>
          <w:r>
            <w:rPr>
              <w:color w:val="010202"/>
              <w:spacing w:val="-5"/>
            </w:rPr>
            <w:t> </w:t>
          </w:r>
          <w:r>
            <w:rPr>
              <w:color w:val="010202"/>
            </w:rPr>
            <w:t>Palafox</w:t>
          </w:r>
          <w:r>
            <w:rPr>
              <w:color w:val="010202"/>
              <w:spacing w:val="-6"/>
            </w:rPr>
            <w:t> </w:t>
          </w:r>
          <w:r>
            <w:rPr>
              <w:color w:val="010202"/>
            </w:rPr>
            <w:t>Caballero,</w:t>
          </w:r>
          <w:r>
            <w:rPr>
              <w:color w:val="010202"/>
              <w:spacing w:val="-6"/>
            </w:rPr>
            <w:t> </w:t>
          </w:r>
          <w:r>
            <w:rPr>
              <w:color w:val="010202"/>
            </w:rPr>
            <w:t>Flavio</w:t>
          </w:r>
          <w:r>
            <w:rPr>
              <w:color w:val="010202"/>
              <w:spacing w:val="-16"/>
            </w:rPr>
            <w:t> </w:t>
          </w:r>
          <w:r>
            <w:rPr>
              <w:color w:val="010202"/>
            </w:rPr>
            <w:t>Antonio</w:t>
          </w:r>
          <w:r>
            <w:rPr>
              <w:color w:val="010202"/>
              <w:spacing w:val="-5"/>
            </w:rPr>
            <w:t> </w:t>
          </w:r>
          <w:r>
            <w:rPr>
              <w:color w:val="010202"/>
            </w:rPr>
            <w:t>Rodríguez</w:t>
          </w:r>
        </w:p>
        <w:p>
          <w:pPr>
            <w:pStyle w:val="TOC2"/>
            <w:tabs>
              <w:tab w:pos="9646" w:val="right" w:leader="none"/>
            </w:tabs>
          </w:pPr>
          <w:r>
            <w:rPr>
              <w:color w:val="010202"/>
            </w:rPr>
            <w:t>Montalvo, Rubén Sierra Sosa y Roberto</w:t>
          </w:r>
          <w:r>
            <w:rPr>
              <w:color w:val="010202"/>
              <w:spacing w:val="-8"/>
            </w:rPr>
            <w:t> </w:t>
          </w:r>
          <w:r>
            <w:rPr>
              <w:color w:val="010202"/>
            </w:rPr>
            <w:t>Valdivia</w:t>
          </w:r>
          <w:r>
            <w:rPr>
              <w:color w:val="010202"/>
              <w:spacing w:val="-1"/>
            </w:rPr>
            <w:t> </w:t>
          </w:r>
          <w:r>
            <w:rPr>
              <w:color w:val="010202"/>
            </w:rPr>
            <w:t>Bernal</w:t>
            <w:tab/>
            <w:t>10</w:t>
          </w:r>
        </w:p>
        <w:p>
          <w:pPr>
            <w:pStyle w:val="TOC2"/>
            <w:spacing w:line="247" w:lineRule="auto" w:before="272"/>
            <w:ind w:right="2881"/>
          </w:pPr>
          <w:hyperlink w:history="true" w:anchor="_TOC_250009">
            <w:r>
              <w:rPr>
                <w:color w:val="010202"/>
              </w:rPr>
              <w:t>SÍNTESIS HISTÓRICA DEL MEJORAMIENTO GENÉTICO DE MAÍZ PARA EL TRÓPICO HÚMEDO DE MÉXICO</w:t>
            </w:r>
          </w:hyperlink>
        </w:p>
        <w:p>
          <w:pPr>
            <w:pStyle w:val="TOC2"/>
            <w:tabs>
              <w:tab w:pos="9649" w:val="right" w:leader="none"/>
            </w:tabs>
            <w:spacing w:line="247" w:lineRule="auto"/>
            <w:ind w:right="1268"/>
          </w:pPr>
          <w:r>
            <w:rPr>
              <w:color w:val="010202"/>
            </w:rPr>
            <w:t>Mauro Sierra Macías, Flavio Antonio Rodríguez Montalvo, Artemio Palafox Caballero, Noel Orlando Gómez Montiel y Alejandro</w:t>
          </w:r>
          <w:r>
            <w:rPr>
              <w:color w:val="010202"/>
              <w:spacing w:val="-21"/>
            </w:rPr>
            <w:t> </w:t>
          </w:r>
          <w:r>
            <w:rPr>
              <w:color w:val="010202"/>
            </w:rPr>
            <w:t>Espinosa</w:t>
          </w:r>
          <w:r>
            <w:rPr>
              <w:color w:val="010202"/>
              <w:spacing w:val="-3"/>
            </w:rPr>
            <w:t> </w:t>
          </w:r>
          <w:r>
            <w:rPr>
              <w:color w:val="010202"/>
            </w:rPr>
            <w:t>Calderón</w:t>
            <w:tab/>
            <w:t>20</w:t>
          </w:r>
        </w:p>
        <w:p>
          <w:pPr>
            <w:pStyle w:val="TOC2"/>
            <w:spacing w:line="247" w:lineRule="auto" w:before="221"/>
            <w:ind w:left="1269" w:right="2319"/>
          </w:pPr>
          <w:r>
            <w:rPr>
              <w:color w:val="010202"/>
            </w:rPr>
            <w:t>CARACTERIZACIÓN DE GENOTIPOS DE MAÍZ DE VALLES ALTOS CON BASE EN COMPONENTES FISIOLÓGICOS Y MORFOLÓGICOS</w:t>
          </w:r>
        </w:p>
        <w:p>
          <w:pPr>
            <w:pStyle w:val="TOC2"/>
            <w:tabs>
              <w:tab w:pos="9649" w:val="right" w:leader="none"/>
            </w:tabs>
            <w:spacing w:line="247" w:lineRule="auto"/>
            <w:ind w:left="1269" w:right="1268"/>
          </w:pPr>
          <w:r>
            <w:rPr>
              <w:color w:val="010202"/>
            </w:rPr>
            <w:t>Selene Mariana Sánchez Mendoza, José Alberto Salvador Escalante Estrada, María </w:t>
          </w:r>
          <w:r>
            <w:rPr>
              <w:color w:val="010202"/>
              <w:spacing w:val="-5"/>
            </w:rPr>
            <w:t>Teresa </w:t>
          </w:r>
          <w:r>
            <w:rPr>
              <w:color w:val="010202"/>
            </w:rPr>
            <w:t>Rodríguez González y Fernando</w:t>
          </w:r>
          <w:r>
            <w:rPr>
              <w:color w:val="010202"/>
              <w:spacing w:val="-6"/>
            </w:rPr>
            <w:t> </w:t>
          </w:r>
          <w:r>
            <w:rPr>
              <w:color w:val="010202"/>
            </w:rPr>
            <w:t>Castillo</w:t>
          </w:r>
          <w:r>
            <w:rPr>
              <w:color w:val="010202"/>
              <w:spacing w:val="-2"/>
            </w:rPr>
            <w:t> </w:t>
          </w:r>
          <w:r>
            <w:rPr>
              <w:color w:val="010202"/>
            </w:rPr>
            <w:t>González</w:t>
            <w:tab/>
            <w:t>31</w:t>
          </w:r>
        </w:p>
        <w:p>
          <w:pPr>
            <w:pStyle w:val="TOC1"/>
            <w:rPr>
              <w:i/>
            </w:rPr>
          </w:pPr>
          <w:r>
            <w:rPr>
              <w:i/>
              <w:color w:val="231F20"/>
            </w:rPr>
            <w:t>v</w:t>
          </w:r>
        </w:p>
        <w:p>
          <w:pPr>
            <w:pStyle w:val="TOC2"/>
            <w:spacing w:line="247" w:lineRule="auto" w:before="803"/>
            <w:ind w:right="2658"/>
            <w:jc w:val="both"/>
          </w:pPr>
          <w:r>
            <w:rPr>
              <w:color w:val="010202"/>
            </w:rPr>
            <w:t>SUSCEPTIBILIDAD</w:t>
          </w:r>
          <w:r>
            <w:rPr>
              <w:color w:val="010202"/>
              <w:spacing w:val="-2"/>
            </w:rPr>
            <w:t> </w:t>
          </w:r>
          <w:r>
            <w:rPr>
              <w:color w:val="010202"/>
            </w:rPr>
            <w:t>DE</w:t>
          </w:r>
          <w:r>
            <w:rPr>
              <w:color w:val="010202"/>
              <w:spacing w:val="-4"/>
            </w:rPr>
            <w:t> </w:t>
          </w:r>
          <w:r>
            <w:rPr>
              <w:color w:val="010202"/>
            </w:rPr>
            <w:t>MAÍCES</w:t>
          </w:r>
          <w:r>
            <w:rPr>
              <w:color w:val="010202"/>
              <w:spacing w:val="-3"/>
            </w:rPr>
            <w:t> </w:t>
          </w:r>
          <w:r>
            <w:rPr>
              <w:color w:val="010202"/>
            </w:rPr>
            <w:t>HÍBRIDOS</w:t>
          </w:r>
          <w:r>
            <w:rPr>
              <w:color w:val="010202"/>
              <w:spacing w:val="-9"/>
            </w:rPr>
            <w:t> </w:t>
          </w:r>
          <w:r>
            <w:rPr>
              <w:color w:val="010202"/>
            </w:rPr>
            <w:t>Y</w:t>
          </w:r>
          <w:r>
            <w:rPr>
              <w:color w:val="010202"/>
              <w:spacing w:val="-8"/>
            </w:rPr>
            <w:t> </w:t>
          </w:r>
          <w:r>
            <w:rPr>
              <w:color w:val="010202"/>
            </w:rPr>
            <w:t>CRIOLLOS</w:t>
          </w:r>
          <w:r>
            <w:rPr>
              <w:color w:val="010202"/>
              <w:spacing w:val="-16"/>
            </w:rPr>
            <w:t> </w:t>
          </w:r>
          <w:r>
            <w:rPr>
              <w:color w:val="010202"/>
            </w:rPr>
            <w:t>AL</w:t>
          </w:r>
          <w:r>
            <w:rPr>
              <w:color w:val="010202"/>
              <w:spacing w:val="-12"/>
            </w:rPr>
            <w:t> </w:t>
          </w:r>
          <w:r>
            <w:rPr>
              <w:color w:val="010202"/>
            </w:rPr>
            <w:t>HUITLACOCHE (</w:t>
          </w:r>
          <w:r>
            <w:rPr>
              <w:i/>
              <w:color w:val="010202"/>
            </w:rPr>
            <w:t>Ustilago maydis </w:t>
          </w:r>
          <w:r>
            <w:rPr>
              <w:color w:val="010202"/>
            </w:rPr>
            <w:t>(D.C.) Cda.), Y </w:t>
          </w:r>
          <w:r>
            <w:rPr>
              <w:color w:val="010202"/>
              <w:spacing w:val="-3"/>
            </w:rPr>
            <w:t>RENTABILIDAD </w:t>
          </w:r>
          <w:r>
            <w:rPr>
              <w:color w:val="010202"/>
            </w:rPr>
            <w:t>DE LA PRODUCCIÓN, EN CHAPINGO,</w:t>
          </w:r>
          <w:r>
            <w:rPr>
              <w:color w:val="010202"/>
              <w:spacing w:val="-8"/>
            </w:rPr>
            <w:t> </w:t>
          </w:r>
          <w:r>
            <w:rPr>
              <w:color w:val="010202"/>
            </w:rPr>
            <w:t>MÉXICO</w:t>
          </w:r>
        </w:p>
        <w:p>
          <w:pPr>
            <w:pStyle w:val="TOC2"/>
            <w:jc w:val="both"/>
          </w:pPr>
          <w:r>
            <w:rPr>
              <w:color w:val="010202"/>
            </w:rPr>
            <w:t>José Cruz Salazar Torres, Elizabeth Martínez Trejo, Rogelio Álvarez</w:t>
          </w:r>
        </w:p>
        <w:p>
          <w:pPr>
            <w:pStyle w:val="TOC2"/>
            <w:tabs>
              <w:tab w:pos="9391" w:val="left" w:leader="none"/>
            </w:tabs>
            <w:spacing w:before="8"/>
          </w:pPr>
          <w:r>
            <w:rPr>
              <w:color w:val="010202"/>
            </w:rPr>
            <w:t>Hernández y Alonso</w:t>
          </w:r>
          <w:r>
            <w:rPr>
              <w:color w:val="010202"/>
              <w:spacing w:val="-20"/>
            </w:rPr>
            <w:t> </w:t>
          </w:r>
          <w:r>
            <w:rPr>
              <w:color w:val="010202"/>
            </w:rPr>
            <w:t>Méndez</w:t>
          </w:r>
          <w:r>
            <w:rPr>
              <w:color w:val="010202"/>
              <w:spacing w:val="-3"/>
            </w:rPr>
            <w:t> </w:t>
          </w:r>
          <w:r>
            <w:rPr>
              <w:color w:val="010202"/>
            </w:rPr>
            <w:t>López</w:t>
            <w:tab/>
            <w:t>39</w:t>
          </w:r>
        </w:p>
        <w:p>
          <w:pPr>
            <w:pStyle w:val="TOC2"/>
            <w:spacing w:line="247" w:lineRule="auto" w:before="272"/>
            <w:ind w:right="1279"/>
          </w:pPr>
          <w:r>
            <w:rPr>
              <w:color w:val="010202"/>
            </w:rPr>
            <w:t>BIOMASA, ÍNDICE DE COSECHA Y RENDIMIENTO DE MAÍZ EN FUNCIÓN DEL NITRÓGENO EN SIEMBRA DE TEMPORAL</w:t>
          </w:r>
        </w:p>
        <w:p>
          <w:pPr>
            <w:pStyle w:val="TOC2"/>
            <w:jc w:val="both"/>
          </w:pPr>
          <w:r>
            <w:rPr>
              <w:color w:val="010202"/>
            </w:rPr>
            <w:t>Cid Aguilar Carpio, José Alberto Salvador Escalante Estrada,</w:t>
          </w:r>
        </w:p>
        <w:p>
          <w:pPr>
            <w:pStyle w:val="TOC2"/>
            <w:tabs>
              <w:tab w:pos="9390" w:val="left" w:leader="none"/>
            </w:tabs>
            <w:spacing w:before="8"/>
          </w:pPr>
          <w:r>
            <w:rPr>
              <w:color w:val="010202"/>
            </w:rPr>
            <w:t>María</w:t>
          </w:r>
          <w:r>
            <w:rPr>
              <w:color w:val="010202"/>
              <w:spacing w:val="-42"/>
            </w:rPr>
            <w:t> </w:t>
          </w:r>
          <w:r>
            <w:rPr>
              <w:color w:val="010202"/>
              <w:spacing w:val="-5"/>
            </w:rPr>
            <w:t>Teresa</w:t>
          </w:r>
          <w:r>
            <w:rPr>
              <w:color w:val="010202"/>
              <w:spacing w:val="-40"/>
            </w:rPr>
            <w:t> </w:t>
          </w:r>
          <w:r>
            <w:rPr>
              <w:color w:val="010202"/>
            </w:rPr>
            <w:t>Rodríguez</w:t>
          </w:r>
          <w:r>
            <w:rPr>
              <w:color w:val="010202"/>
              <w:spacing w:val="-40"/>
            </w:rPr>
            <w:t> </w:t>
          </w:r>
          <w:r>
            <w:rPr>
              <w:color w:val="010202"/>
            </w:rPr>
            <w:t>González</w:t>
          </w:r>
          <w:r>
            <w:rPr>
              <w:color w:val="010202"/>
              <w:spacing w:val="-38"/>
            </w:rPr>
            <w:t> </w:t>
          </w:r>
          <w:r>
            <w:rPr>
              <w:color w:val="010202"/>
            </w:rPr>
            <w:t>e</w:t>
          </w:r>
          <w:r>
            <w:rPr>
              <w:color w:val="010202"/>
              <w:spacing w:val="-39"/>
            </w:rPr>
            <w:t> </w:t>
          </w:r>
          <w:r>
            <w:rPr>
              <w:color w:val="010202"/>
            </w:rPr>
            <w:t>Immer</w:t>
          </w:r>
          <w:r>
            <w:rPr>
              <w:color w:val="010202"/>
              <w:spacing w:val="-50"/>
            </w:rPr>
            <w:t> </w:t>
          </w:r>
          <w:r>
            <w:rPr>
              <w:color w:val="010202"/>
            </w:rPr>
            <w:t>Aguilar</w:t>
          </w:r>
          <w:r>
            <w:rPr>
              <w:color w:val="010202"/>
              <w:spacing w:val="-38"/>
            </w:rPr>
            <w:t> </w:t>
          </w:r>
          <w:r>
            <w:rPr>
              <w:color w:val="010202"/>
            </w:rPr>
            <w:t>Mariscal</w:t>
            <w:tab/>
            <w:t>48</w:t>
          </w:r>
        </w:p>
        <w:p>
          <w:pPr>
            <w:pStyle w:val="TOC2"/>
            <w:spacing w:line="247" w:lineRule="auto" w:before="228"/>
            <w:ind w:right="2972"/>
          </w:pPr>
          <w:hyperlink w:history="true" w:anchor="_TOC_250008">
            <w:r>
              <w:rPr>
                <w:color w:val="010202"/>
              </w:rPr>
              <w:t>FERTILIZACIÓN NITROGENADA PARA LA ASOCIACIÓN MAÍZ-FRIJOL EN CLIMA TEMPLADO</w:t>
            </w:r>
          </w:hyperlink>
        </w:p>
        <w:p>
          <w:pPr>
            <w:pStyle w:val="TOC2"/>
            <w:tabs>
              <w:tab w:pos="9392" w:val="left" w:leader="none"/>
            </w:tabs>
          </w:pPr>
          <w:r>
            <w:rPr>
              <w:color w:val="010202"/>
            </w:rPr>
            <w:t>Rafael Delgado Martínez y José Alberto Salvador</w:t>
          </w:r>
          <w:r>
            <w:rPr>
              <w:color w:val="010202"/>
              <w:spacing w:val="-41"/>
            </w:rPr>
            <w:t> </w:t>
          </w:r>
          <w:r>
            <w:rPr>
              <w:color w:val="010202"/>
            </w:rPr>
            <w:t>Escalante</w:t>
          </w:r>
          <w:r>
            <w:rPr>
              <w:color w:val="010202"/>
              <w:spacing w:val="-5"/>
            </w:rPr>
            <w:t> </w:t>
          </w:r>
          <w:r>
            <w:rPr>
              <w:color w:val="010202"/>
            </w:rPr>
            <w:t>Estrada</w:t>
            <w:tab/>
            <w:t>54</w:t>
          </w:r>
        </w:p>
        <w:p>
          <w:pPr>
            <w:pStyle w:val="TOC2"/>
            <w:spacing w:before="272"/>
            <w:jc w:val="both"/>
          </w:pPr>
          <w:hyperlink w:history="true" w:anchor="_TOC_250007">
            <w:r>
              <w:rPr>
                <w:color w:val="010202"/>
              </w:rPr>
              <w:t>BIOMASA Y RENDIMIENTO DE GIRASOL EN FUNCIÓN A NIVELES DE NITRÓGENO</w:t>
            </w:r>
          </w:hyperlink>
        </w:p>
        <w:p>
          <w:pPr>
            <w:pStyle w:val="TOC2"/>
            <w:spacing w:before="8"/>
            <w:jc w:val="both"/>
          </w:pPr>
          <w:r>
            <w:rPr>
              <w:color w:val="010202"/>
            </w:rPr>
            <w:t>Yasmani Rafael Arenas Julio, José Alberto Salvador Escalante Estrada</w:t>
          </w:r>
        </w:p>
        <w:p>
          <w:pPr>
            <w:pStyle w:val="TOC2"/>
            <w:tabs>
              <w:tab w:pos="9385" w:val="left" w:leader="none"/>
            </w:tabs>
            <w:spacing w:before="8"/>
          </w:pPr>
          <w:r>
            <w:rPr>
              <w:color w:val="010202"/>
            </w:rPr>
            <w:t>y María </w:t>
          </w:r>
          <w:r>
            <w:rPr>
              <w:color w:val="010202"/>
              <w:spacing w:val="-5"/>
            </w:rPr>
            <w:t>Teresa</w:t>
          </w:r>
          <w:r>
            <w:rPr>
              <w:color w:val="010202"/>
              <w:spacing w:val="-11"/>
            </w:rPr>
            <w:t> </w:t>
          </w:r>
          <w:r>
            <w:rPr>
              <w:color w:val="010202"/>
            </w:rPr>
            <w:t>Rodríguez</w:t>
          </w:r>
          <w:r>
            <w:rPr>
              <w:color w:val="010202"/>
              <w:spacing w:val="-3"/>
            </w:rPr>
            <w:t> </w:t>
          </w:r>
          <w:r>
            <w:rPr>
              <w:color w:val="010202"/>
            </w:rPr>
            <w:t>González</w:t>
            <w:tab/>
            <w:t>61</w:t>
          </w:r>
        </w:p>
        <w:p>
          <w:pPr>
            <w:pStyle w:val="TOC2"/>
            <w:spacing w:line="247" w:lineRule="auto" w:before="272"/>
            <w:ind w:right="3279"/>
          </w:pPr>
          <w:r>
            <w:rPr/>
            <w:drawing>
              <wp:anchor distT="0" distB="0" distL="0" distR="0" allowOverlap="1" layoutInCell="1" locked="0" behindDoc="0" simplePos="0" relativeHeight="1312">
                <wp:simplePos x="0" y="0"/>
                <wp:positionH relativeFrom="page">
                  <wp:posOffset>17462</wp:posOffset>
                </wp:positionH>
                <wp:positionV relativeFrom="paragraph">
                  <wp:posOffset>312070</wp:posOffset>
                </wp:positionV>
                <wp:extent cx="155575" cy="155575"/>
                <wp:effectExtent l="0" t="0" r="0" b="0"/>
                <wp:wrapNone/>
                <wp:docPr id="31" name="image2.png" descr=""/>
                <wp:cNvGraphicFramePr>
                  <a:graphicFrameLocks noChangeAspect="1"/>
                </wp:cNvGraphicFramePr>
                <a:graphic>
                  <a:graphicData uri="http://schemas.openxmlformats.org/drawingml/2006/picture">
                    <pic:pic>
                      <pic:nvPicPr>
                        <pic:cNvPr id="32"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336">
                <wp:simplePos x="0" y="0"/>
                <wp:positionH relativeFrom="page">
                  <wp:posOffset>6761162</wp:posOffset>
                </wp:positionH>
                <wp:positionV relativeFrom="paragraph">
                  <wp:posOffset>312070</wp:posOffset>
                </wp:positionV>
                <wp:extent cx="155575" cy="155575"/>
                <wp:effectExtent l="0" t="0" r="0" b="0"/>
                <wp:wrapNone/>
                <wp:docPr id="33" name="image2.png" descr=""/>
                <wp:cNvGraphicFramePr>
                  <a:graphicFrameLocks noChangeAspect="1"/>
                </wp:cNvGraphicFramePr>
                <a:graphic>
                  <a:graphicData uri="http://schemas.openxmlformats.org/drawingml/2006/picture">
                    <pic:pic>
                      <pic:nvPicPr>
                        <pic:cNvPr id="34"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010202"/>
            </w:rPr>
            <w:t>RENDIMIENTO Y DISTRIBUCIÓN DE LA BIOMASA DEL GARBANZO EN FUNCIÓN DEL NITRÓGENO</w:t>
          </w:r>
        </w:p>
        <w:p>
          <w:pPr>
            <w:pStyle w:val="TOC2"/>
            <w:jc w:val="both"/>
          </w:pPr>
          <w:r>
            <w:rPr>
              <w:color w:val="010202"/>
            </w:rPr>
            <w:t>Maricela Apáez Barrios, José Alberto Salvador Escalante Estrada,</w:t>
          </w:r>
        </w:p>
        <w:p>
          <w:pPr>
            <w:pStyle w:val="TOC2"/>
            <w:tabs>
              <w:tab w:pos="9392" w:val="left" w:leader="none"/>
            </w:tabs>
            <w:spacing w:before="8"/>
          </w:pPr>
          <w:r>
            <w:rPr>
              <w:color w:val="010202"/>
            </w:rPr>
            <w:t>María </w:t>
          </w:r>
          <w:r>
            <w:rPr>
              <w:color w:val="010202"/>
              <w:spacing w:val="-5"/>
            </w:rPr>
            <w:t>Teresa </w:t>
          </w:r>
          <w:r>
            <w:rPr>
              <w:color w:val="010202"/>
            </w:rPr>
            <w:t>Rodríguez González y Patricio</w:t>
          </w:r>
          <w:r>
            <w:rPr>
              <w:color w:val="010202"/>
              <w:spacing w:val="-38"/>
            </w:rPr>
            <w:t> </w:t>
          </w:r>
          <w:r>
            <w:rPr>
              <w:color w:val="010202"/>
            </w:rPr>
            <w:t>Apáez</w:t>
          </w:r>
          <w:r>
            <w:rPr>
              <w:color w:val="010202"/>
              <w:spacing w:val="-5"/>
            </w:rPr>
            <w:t> </w:t>
          </w:r>
          <w:r>
            <w:rPr>
              <w:color w:val="010202"/>
            </w:rPr>
            <w:t>Barrios</w:t>
            <w:tab/>
            <w:t>69</w:t>
          </w:r>
        </w:p>
        <w:p>
          <w:pPr>
            <w:pStyle w:val="TOC2"/>
            <w:spacing w:line="247" w:lineRule="auto" w:before="272"/>
            <w:ind w:right="2850"/>
          </w:pPr>
          <w:hyperlink w:history="true" w:anchor="_TOC_250006">
            <w:r>
              <w:rPr>
                <w:color w:val="010202"/>
              </w:rPr>
              <w:t>DIAGNÓSTICO NUTRICIONAL DE PLANTACIONES DE Eucalipto sp. DESARROLLADOS EN SUELOS ÁCIDOS CON MANEJO SILVOPASTORIL</w:t>
            </w:r>
          </w:hyperlink>
        </w:p>
        <w:p>
          <w:pPr>
            <w:pStyle w:val="TOC2"/>
            <w:jc w:val="both"/>
          </w:pPr>
          <w:r>
            <w:rPr>
              <w:color w:val="010202"/>
            </w:rPr>
            <w:t>Kellys Nallith Salcedo Hurtado, Ranferi Maldonado Torres</w:t>
          </w:r>
        </w:p>
        <w:p>
          <w:pPr>
            <w:pStyle w:val="TOC2"/>
            <w:tabs>
              <w:tab w:pos="9391" w:val="left" w:leader="none"/>
            </w:tabs>
            <w:spacing w:before="8"/>
          </w:pPr>
          <w:r>
            <w:rPr>
              <w:color w:val="010202"/>
            </w:rPr>
            <w:t>y María Edna</w:t>
          </w:r>
          <w:r>
            <w:rPr>
              <w:color w:val="010202"/>
              <w:spacing w:val="-47"/>
            </w:rPr>
            <w:t> </w:t>
          </w:r>
          <w:r>
            <w:rPr>
              <w:color w:val="010202"/>
            </w:rPr>
            <w:t>Álvarez</w:t>
          </w:r>
          <w:r>
            <w:rPr>
              <w:color w:val="010202"/>
              <w:spacing w:val="-15"/>
            </w:rPr>
            <w:t> </w:t>
          </w:r>
          <w:r>
            <w:rPr>
              <w:color w:val="010202"/>
            </w:rPr>
            <w:t>Sánchez</w:t>
            <w:tab/>
            <w:t>75</w:t>
          </w:r>
        </w:p>
        <w:p>
          <w:pPr>
            <w:pStyle w:val="TOC2"/>
            <w:spacing w:line="247" w:lineRule="auto" w:before="272"/>
            <w:ind w:right="2232"/>
          </w:pPr>
          <w:hyperlink w:history="true" w:anchor="_TOC_250005">
            <w:r>
              <w:rPr>
                <w:color w:val="010202"/>
              </w:rPr>
              <w:t>EFICIENCIA FÍSICA, ECONÓMICA Y SOCIAL DEL AGUA SUBTERRÁNEA </w:t>
            </w:r>
            <w:r>
              <w:rPr>
                <w:color w:val="010202"/>
                <w:spacing w:val="-5"/>
              </w:rPr>
              <w:t>PARA </w:t>
            </w:r>
            <w:r>
              <w:rPr>
                <w:color w:val="010202"/>
              </w:rPr>
              <w:t>RIEGO EN CHILE EN EL DR- 017, COMARCA LAGUNERA</w:t>
            </w:r>
          </w:hyperlink>
        </w:p>
        <w:p>
          <w:pPr>
            <w:pStyle w:val="TOC2"/>
            <w:tabs>
              <w:tab w:pos="9391" w:val="left" w:leader="none"/>
            </w:tabs>
          </w:pPr>
          <w:r>
            <w:rPr>
              <w:color w:val="010202"/>
            </w:rPr>
            <w:t>José Luis Ríos Flores, Miriam </w:t>
          </w:r>
          <w:r>
            <w:rPr>
              <w:color w:val="010202"/>
              <w:spacing w:val="-5"/>
            </w:rPr>
            <w:t>Torres </w:t>
          </w:r>
          <w:r>
            <w:rPr>
              <w:color w:val="010202"/>
            </w:rPr>
            <w:t>Moreno y José</w:t>
          </w:r>
          <w:r>
            <w:rPr>
              <w:color w:val="010202"/>
              <w:spacing w:val="-21"/>
            </w:rPr>
            <w:t> </w:t>
          </w:r>
          <w:r>
            <w:rPr>
              <w:color w:val="010202"/>
            </w:rPr>
            <w:t>Ruiz</w:t>
          </w:r>
          <w:r>
            <w:rPr>
              <w:color w:val="010202"/>
              <w:spacing w:val="-7"/>
            </w:rPr>
            <w:t> </w:t>
          </w:r>
          <w:r>
            <w:rPr>
              <w:color w:val="010202"/>
              <w:spacing w:val="-5"/>
            </w:rPr>
            <w:t>Torres</w:t>
            <w:tab/>
          </w:r>
          <w:r>
            <w:rPr>
              <w:color w:val="010202"/>
            </w:rPr>
            <w:t>86</w:t>
          </w:r>
        </w:p>
        <w:p>
          <w:pPr>
            <w:pStyle w:val="TOC2"/>
            <w:spacing w:before="228"/>
            <w:jc w:val="both"/>
          </w:pPr>
          <w:r>
            <w:rPr>
              <w:color w:val="010202"/>
            </w:rPr>
            <w:t>IDENTIFICACIÓN Y DISTRIBUCIÓN POBLACIONAL DE PLANTAS</w:t>
          </w:r>
        </w:p>
        <w:p>
          <w:pPr>
            <w:pStyle w:val="TOC3"/>
            <w:spacing w:line="247" w:lineRule="auto"/>
            <w:ind w:right="2965"/>
            <w:rPr>
              <w:i w:val="0"/>
              <w:sz w:val="22"/>
            </w:rPr>
          </w:pPr>
          <w:r>
            <w:rPr>
              <w:i w:val="0"/>
              <w:color w:val="010202"/>
              <w:sz w:val="22"/>
            </w:rPr>
            <w:t>NODRIZAS ASOCIADAS A </w:t>
          </w:r>
          <w:r>
            <w:rPr>
              <w:i/>
              <w:color w:val="010202"/>
              <w:sz w:val="22"/>
            </w:rPr>
            <w:t>Coryphantha glassii Dicht </w:t>
          </w:r>
          <w:r>
            <w:rPr>
              <w:i w:val="0"/>
              <w:color w:val="010202"/>
              <w:sz w:val="22"/>
            </w:rPr>
            <w:t>&amp; A. Lüthy EN EL SURESTE DE RIOVERDE, S. L. P.</w:t>
          </w:r>
        </w:p>
        <w:p>
          <w:pPr>
            <w:pStyle w:val="TOC2"/>
            <w:tabs>
              <w:tab w:pos="9392" w:val="left" w:leader="none"/>
            </w:tabs>
          </w:pPr>
          <w:r>
            <w:rPr>
              <w:color w:val="010202"/>
            </w:rPr>
            <w:t>Rogelio</w:t>
          </w:r>
          <w:r>
            <w:rPr>
              <w:color w:val="010202"/>
              <w:spacing w:val="-35"/>
            </w:rPr>
            <w:t> </w:t>
          </w:r>
          <w:r>
            <w:rPr>
              <w:color w:val="010202"/>
            </w:rPr>
            <w:t>Álvarez</w:t>
          </w:r>
          <w:r>
            <w:rPr>
              <w:color w:val="010202"/>
              <w:spacing w:val="-35"/>
            </w:rPr>
            <w:t> </w:t>
          </w:r>
          <w:r>
            <w:rPr>
              <w:color w:val="010202"/>
            </w:rPr>
            <w:t>Hernández</w:t>
          </w:r>
          <w:r>
            <w:rPr>
              <w:color w:val="010202"/>
              <w:spacing w:val="-36"/>
            </w:rPr>
            <w:t> </w:t>
          </w:r>
          <w:r>
            <w:rPr>
              <w:color w:val="010202"/>
            </w:rPr>
            <w:t>y</w:t>
          </w:r>
          <w:r>
            <w:rPr>
              <w:color w:val="010202"/>
              <w:spacing w:val="-35"/>
            </w:rPr>
            <w:t> </w:t>
          </w:r>
          <w:r>
            <w:rPr>
              <w:color w:val="010202"/>
            </w:rPr>
            <w:t>José</w:t>
          </w:r>
          <w:r>
            <w:rPr>
              <w:color w:val="010202"/>
              <w:spacing w:val="-35"/>
            </w:rPr>
            <w:t> </w:t>
          </w:r>
          <w:r>
            <w:rPr>
              <w:color w:val="010202"/>
            </w:rPr>
            <w:t>Cruz</w:t>
          </w:r>
          <w:r>
            <w:rPr>
              <w:color w:val="010202"/>
              <w:spacing w:val="-35"/>
            </w:rPr>
            <w:t> </w:t>
          </w:r>
          <w:r>
            <w:rPr>
              <w:color w:val="010202"/>
            </w:rPr>
            <w:t>Salazar</w:t>
          </w:r>
          <w:r>
            <w:rPr>
              <w:color w:val="010202"/>
              <w:spacing w:val="-38"/>
            </w:rPr>
            <w:t> </w:t>
          </w:r>
          <w:r>
            <w:rPr>
              <w:color w:val="010202"/>
              <w:spacing w:val="-5"/>
            </w:rPr>
            <w:t>Torres</w:t>
            <w:tab/>
          </w:r>
          <w:r>
            <w:rPr>
              <w:color w:val="010202"/>
            </w:rPr>
            <w:t>97</w:t>
          </w:r>
        </w:p>
        <w:p>
          <w:pPr>
            <w:pStyle w:val="TOC4"/>
            <w:spacing w:before="928"/>
            <w:rPr>
              <w:i/>
            </w:rPr>
          </w:pPr>
          <w:r>
            <w:rPr>
              <w:i/>
              <w:color w:val="231F20"/>
            </w:rPr>
            <w:t>vi</w:t>
          </w:r>
        </w:p>
        <w:p>
          <w:pPr>
            <w:pStyle w:val="TOC2"/>
            <w:spacing w:line="247" w:lineRule="auto" w:before="803"/>
            <w:ind w:right="3317"/>
          </w:pPr>
          <w:hyperlink w:history="true" w:anchor="_TOC_250004">
            <w:r>
              <w:rPr>
                <w:color w:val="010202"/>
              </w:rPr>
              <w:t>JOCOTES Y JOBOS EN MÉXICO. AVANCES EN LOS ESTUDIOS DE FRUTALES MARGINALES</w:t>
            </w:r>
          </w:hyperlink>
        </w:p>
        <w:p>
          <w:pPr>
            <w:pStyle w:val="TOC2"/>
            <w:tabs>
              <w:tab w:pos="9257" w:val="left" w:leader="none"/>
            </w:tabs>
          </w:pPr>
          <w:r>
            <w:rPr>
              <w:color w:val="010202"/>
            </w:rPr>
            <w:t>Artemio</w:t>
          </w:r>
          <w:r>
            <w:rPr>
              <w:color w:val="010202"/>
              <w:spacing w:val="-2"/>
            </w:rPr>
            <w:t> </w:t>
          </w:r>
          <w:r>
            <w:rPr>
              <w:color w:val="010202"/>
            </w:rPr>
            <w:t>Cruz</w:t>
          </w:r>
          <w:r>
            <w:rPr>
              <w:color w:val="010202"/>
              <w:spacing w:val="-3"/>
            </w:rPr>
            <w:t> </w:t>
          </w:r>
          <w:r>
            <w:rPr>
              <w:color w:val="010202"/>
            </w:rPr>
            <w:t>León</w:t>
            <w:tab/>
            <w:t>108</w:t>
          </w:r>
        </w:p>
        <w:p>
          <w:pPr>
            <w:pStyle w:val="TOC2"/>
            <w:spacing w:line="247" w:lineRule="auto" w:before="228"/>
            <w:ind w:right="1569"/>
          </w:pPr>
          <w:r>
            <w:rPr>
              <w:color w:val="010202"/>
            </w:rPr>
            <w:t>SITUACIÓN ACTUAL Y PERSPECTIVA DE LA </w:t>
          </w:r>
          <w:r>
            <w:rPr>
              <w:color w:val="010202"/>
              <w:spacing w:val="-3"/>
            </w:rPr>
            <w:t>CHIRIMOYA </w:t>
          </w:r>
          <w:r>
            <w:rPr>
              <w:color w:val="010202"/>
            </w:rPr>
            <w:t>(</w:t>
          </w:r>
          <w:r>
            <w:rPr>
              <w:i/>
              <w:color w:val="010202"/>
            </w:rPr>
            <w:t>Annona Cherimola </w:t>
          </w:r>
          <w:r>
            <w:rPr>
              <w:color w:val="010202"/>
            </w:rPr>
            <w:t>Mill.) COMO RECURSO FITOGENÉTICO EN MORELOS</w:t>
          </w:r>
        </w:p>
        <w:p>
          <w:pPr>
            <w:pStyle w:val="TOC2"/>
            <w:tabs>
              <w:tab w:pos="9263" w:val="left" w:leader="none"/>
            </w:tabs>
          </w:pPr>
          <w:hyperlink w:history="true" w:anchor="_TOC_250003">
            <w:r>
              <w:rPr>
                <w:color w:val="010202"/>
              </w:rPr>
              <w:t>José Antonio</w:t>
            </w:r>
            <w:r>
              <w:rPr>
                <w:color w:val="010202"/>
                <w:spacing w:val="-37"/>
              </w:rPr>
              <w:t> </w:t>
            </w:r>
            <w:r>
              <w:rPr>
                <w:color w:val="010202"/>
              </w:rPr>
              <w:t>Hernández</w:t>
            </w:r>
            <w:r>
              <w:rPr>
                <w:color w:val="010202"/>
                <w:spacing w:val="-14"/>
              </w:rPr>
              <w:t> </w:t>
            </w:r>
            <w:r>
              <w:rPr>
                <w:color w:val="010202"/>
              </w:rPr>
              <w:t>Soto</w:t>
              <w:tab/>
              <w:t>114</w:t>
            </w:r>
          </w:hyperlink>
        </w:p>
        <w:p>
          <w:pPr>
            <w:pStyle w:val="TOC2"/>
            <w:spacing w:line="247" w:lineRule="auto" w:before="228"/>
            <w:ind w:right="2180"/>
          </w:pPr>
          <w:hyperlink w:history="true" w:anchor="_TOC_250002">
            <w:r>
              <w:rPr>
                <w:color w:val="010202"/>
              </w:rPr>
              <w:t>DETERMINACIÓN Y ANÁLISIS DE LA VARIACIÓN SOMACLONAL EN PLANTAS PROVENIENTES DE CULTIVOS EMBRIOGÉNICOS DE MAÍZ OBTENIDOS DE EMBRIONES MADUROS E INMADUROS</w:t>
            </w:r>
          </w:hyperlink>
        </w:p>
        <w:p>
          <w:pPr>
            <w:pStyle w:val="TOC2"/>
            <w:ind w:right="1279"/>
          </w:pPr>
          <w:r>
            <w:rPr>
              <w:color w:val="010202"/>
            </w:rPr>
            <w:t>Esbeydi Martínez Cruz, José Oscar Mascorro Gallardo, José Luis</w:t>
          </w:r>
        </w:p>
        <w:p>
          <w:pPr>
            <w:pStyle w:val="TOC2"/>
            <w:tabs>
              <w:tab w:pos="9260" w:val="left" w:leader="none"/>
            </w:tabs>
            <w:spacing w:before="8"/>
          </w:pPr>
          <w:r>
            <w:rPr>
              <w:color w:val="010202"/>
            </w:rPr>
            <w:t>Rodriguez</w:t>
          </w:r>
          <w:r>
            <w:rPr>
              <w:color w:val="010202"/>
              <w:spacing w:val="-19"/>
            </w:rPr>
            <w:t> </w:t>
          </w:r>
          <w:r>
            <w:rPr>
              <w:color w:val="010202"/>
            </w:rPr>
            <w:t>de</w:t>
          </w:r>
          <w:r>
            <w:rPr>
              <w:color w:val="010202"/>
              <w:spacing w:val="-19"/>
            </w:rPr>
            <w:t> </w:t>
          </w:r>
          <w:r>
            <w:rPr>
              <w:color w:val="010202"/>
            </w:rPr>
            <w:t>la</w:t>
          </w:r>
          <w:r>
            <w:rPr>
              <w:color w:val="010202"/>
              <w:spacing w:val="-19"/>
            </w:rPr>
            <w:t> </w:t>
          </w:r>
          <w:r>
            <w:rPr>
              <w:color w:val="010202"/>
            </w:rPr>
            <w:t>O</w:t>
          </w:r>
          <w:r>
            <w:rPr>
              <w:color w:val="010202"/>
              <w:spacing w:val="-19"/>
            </w:rPr>
            <w:t> </w:t>
          </w:r>
          <w:r>
            <w:rPr>
              <w:color w:val="010202"/>
            </w:rPr>
            <w:t>y</w:t>
          </w:r>
          <w:r>
            <w:rPr>
              <w:color w:val="010202"/>
              <w:spacing w:val="-19"/>
            </w:rPr>
            <w:t> </w:t>
          </w:r>
          <w:r>
            <w:rPr>
              <w:color w:val="010202"/>
            </w:rPr>
            <w:t>Jesús</w:t>
          </w:r>
          <w:r>
            <w:rPr>
              <w:color w:val="010202"/>
              <w:spacing w:val="-19"/>
            </w:rPr>
            <w:t> </w:t>
          </w:r>
          <w:r>
            <w:rPr>
              <w:color w:val="010202"/>
            </w:rPr>
            <w:t>López</w:t>
          </w:r>
          <w:r>
            <w:rPr>
              <w:color w:val="010202"/>
              <w:spacing w:val="-19"/>
            </w:rPr>
            <w:t> </w:t>
          </w:r>
          <w:r>
            <w:rPr>
              <w:color w:val="010202"/>
            </w:rPr>
            <w:t>Reynoso</w:t>
            <w:tab/>
            <w:t>121</w:t>
          </w:r>
        </w:p>
        <w:p>
          <w:pPr>
            <w:pStyle w:val="TOC2"/>
            <w:spacing w:line="247" w:lineRule="auto" w:before="228"/>
            <w:ind w:right="2232"/>
          </w:pPr>
          <w:r>
            <w:rPr>
              <w:color w:val="010202"/>
            </w:rPr>
            <w:t>PRODUCCIÓN DE FRIJOL CHINO (</w:t>
          </w:r>
          <w:r>
            <w:rPr>
              <w:i/>
              <w:color w:val="010202"/>
            </w:rPr>
            <w:t>Vigna unguiculata </w:t>
          </w:r>
          <w:r>
            <w:rPr>
              <w:color w:val="010202"/>
            </w:rPr>
            <w:t>(L.) Walp) Y FECHAS DE SIEMBRA EN CLIMA TEMPLADO</w:t>
          </w:r>
        </w:p>
        <w:p>
          <w:pPr>
            <w:pStyle w:val="TOC2"/>
            <w:ind w:right="1279"/>
          </w:pPr>
          <w:r>
            <w:rPr>
              <w:color w:val="010202"/>
            </w:rPr>
            <w:t>Patricio Apáez Barrios, José Alberto Salvador Escalante Estrada,</w:t>
          </w:r>
        </w:p>
        <w:p>
          <w:pPr>
            <w:pStyle w:val="TOC2"/>
            <w:tabs>
              <w:tab w:pos="9264" w:val="left" w:leader="none"/>
            </w:tabs>
            <w:spacing w:before="8"/>
          </w:pPr>
          <w:r>
            <w:rPr>
              <w:color w:val="010202"/>
            </w:rPr>
            <w:t>María</w:t>
          </w:r>
          <w:r>
            <w:rPr>
              <w:color w:val="010202"/>
              <w:spacing w:val="-36"/>
            </w:rPr>
            <w:t> </w:t>
          </w:r>
          <w:r>
            <w:rPr>
              <w:color w:val="010202"/>
              <w:spacing w:val="-5"/>
            </w:rPr>
            <w:t>Teresa</w:t>
          </w:r>
          <w:r>
            <w:rPr>
              <w:color w:val="010202"/>
              <w:spacing w:val="-33"/>
            </w:rPr>
            <w:t> </w:t>
          </w:r>
          <w:r>
            <w:rPr>
              <w:color w:val="010202"/>
            </w:rPr>
            <w:t>Rodríguez</w:t>
          </w:r>
          <w:r>
            <w:rPr>
              <w:color w:val="010202"/>
              <w:spacing w:val="-33"/>
            </w:rPr>
            <w:t> </w:t>
          </w:r>
          <w:r>
            <w:rPr>
              <w:color w:val="010202"/>
            </w:rPr>
            <w:t>González</w:t>
          </w:r>
          <w:r>
            <w:rPr>
              <w:color w:val="010202"/>
              <w:spacing w:val="-31"/>
            </w:rPr>
            <w:t> </w:t>
          </w:r>
          <w:r>
            <w:rPr>
              <w:color w:val="010202"/>
            </w:rPr>
            <w:t>y</w:t>
          </w:r>
          <w:r>
            <w:rPr>
              <w:color w:val="010202"/>
              <w:spacing w:val="-32"/>
            </w:rPr>
            <w:t> </w:t>
          </w:r>
          <w:r>
            <w:rPr>
              <w:color w:val="010202"/>
            </w:rPr>
            <w:t>Maricela</w:t>
          </w:r>
          <w:r>
            <w:rPr>
              <w:color w:val="010202"/>
              <w:spacing w:val="-43"/>
            </w:rPr>
            <w:t> </w:t>
          </w:r>
          <w:r>
            <w:rPr>
              <w:color w:val="010202"/>
            </w:rPr>
            <w:t>Apáez</w:t>
          </w:r>
          <w:r>
            <w:rPr>
              <w:color w:val="010202"/>
              <w:spacing w:val="-32"/>
            </w:rPr>
            <w:t> </w:t>
          </w:r>
          <w:r>
            <w:rPr>
              <w:color w:val="010202"/>
            </w:rPr>
            <w:t>Barrios</w:t>
            <w:tab/>
            <w:t>128</w:t>
          </w:r>
        </w:p>
        <w:p>
          <w:pPr>
            <w:pStyle w:val="TOC2"/>
            <w:spacing w:line="247" w:lineRule="auto" w:before="228"/>
            <w:ind w:right="2038"/>
          </w:pPr>
          <w:r>
            <w:rPr/>
            <w:drawing>
              <wp:anchor distT="0" distB="0" distL="0" distR="0" allowOverlap="1" layoutInCell="1" locked="0" behindDoc="0" simplePos="0" relativeHeight="1360">
                <wp:simplePos x="0" y="0"/>
                <wp:positionH relativeFrom="page">
                  <wp:posOffset>17462</wp:posOffset>
                </wp:positionH>
                <wp:positionV relativeFrom="paragraph">
                  <wp:posOffset>367919</wp:posOffset>
                </wp:positionV>
                <wp:extent cx="155575" cy="155575"/>
                <wp:effectExtent l="0" t="0" r="0" b="0"/>
                <wp:wrapNone/>
                <wp:docPr id="35" name="image2.png" descr=""/>
                <wp:cNvGraphicFramePr>
                  <a:graphicFrameLocks noChangeAspect="1"/>
                </wp:cNvGraphicFramePr>
                <a:graphic>
                  <a:graphicData uri="http://schemas.openxmlformats.org/drawingml/2006/picture">
                    <pic:pic>
                      <pic:nvPicPr>
                        <pic:cNvPr id="36"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384">
                <wp:simplePos x="0" y="0"/>
                <wp:positionH relativeFrom="page">
                  <wp:posOffset>6761162</wp:posOffset>
                </wp:positionH>
                <wp:positionV relativeFrom="paragraph">
                  <wp:posOffset>367919</wp:posOffset>
                </wp:positionV>
                <wp:extent cx="155575" cy="155575"/>
                <wp:effectExtent l="0" t="0" r="0" b="0"/>
                <wp:wrapNone/>
                <wp:docPr id="37" name="image2.png" descr=""/>
                <wp:cNvGraphicFramePr>
                  <a:graphicFrameLocks noChangeAspect="1"/>
                </wp:cNvGraphicFramePr>
                <a:graphic>
                  <a:graphicData uri="http://schemas.openxmlformats.org/drawingml/2006/picture">
                    <pic:pic>
                      <pic:nvPicPr>
                        <pic:cNvPr id="38"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010202"/>
            </w:rPr>
            <w:t>COMPONENTES DE RENDIMIENTO DE SORGO PRODUCIDO EN LOMA BONITA, OAXACA, MÉXICO</w:t>
          </w:r>
        </w:p>
        <w:p>
          <w:pPr>
            <w:pStyle w:val="TOC2"/>
            <w:spacing w:line="247" w:lineRule="auto"/>
            <w:ind w:right="1569"/>
          </w:pPr>
          <w:r>
            <w:rPr>
              <w:color w:val="010202"/>
            </w:rPr>
            <w:t>Miguel Ángel Sánchez Hernández, Cecilio Ubaldo Aguilar Martínez, César Sánchez Hernández, Nicolás Valenzuela Jiménez</w:t>
          </w:r>
        </w:p>
        <w:p>
          <w:pPr>
            <w:pStyle w:val="TOC2"/>
            <w:tabs>
              <w:tab w:pos="9266" w:val="left" w:leader="none"/>
            </w:tabs>
          </w:pPr>
          <w:r>
            <w:rPr>
              <w:color w:val="010202"/>
            </w:rPr>
            <w:t>y Bertín Maurilio</w:t>
          </w:r>
          <w:r>
            <w:rPr>
              <w:color w:val="010202"/>
              <w:spacing w:val="-40"/>
            </w:rPr>
            <w:t> </w:t>
          </w:r>
          <w:r>
            <w:rPr>
              <w:color w:val="010202"/>
            </w:rPr>
            <w:t>Joaquín</w:t>
          </w:r>
          <w:r>
            <w:rPr>
              <w:color w:val="010202"/>
              <w:spacing w:val="-18"/>
            </w:rPr>
            <w:t> </w:t>
          </w:r>
          <w:r>
            <w:rPr>
              <w:color w:val="010202"/>
              <w:spacing w:val="-5"/>
            </w:rPr>
            <w:t>Torres</w:t>
            <w:tab/>
          </w:r>
          <w:r>
            <w:rPr>
              <w:color w:val="010202"/>
            </w:rPr>
            <w:t>136</w:t>
          </w:r>
        </w:p>
        <w:p>
          <w:pPr>
            <w:pStyle w:val="TOC2"/>
            <w:spacing w:line="247" w:lineRule="auto" w:before="272"/>
            <w:ind w:right="2277"/>
          </w:pPr>
          <w:hyperlink w:history="true" w:anchor="_TOC_250001">
            <w:r>
              <w:rPr>
                <w:color w:val="010202"/>
              </w:rPr>
              <w:t>ANÁLISIS DE CRECIMIENTO Y RENDIMIENTO DE HÍBRIDOS DE CALABACITA TIPO GREY ZUCCHINI</w:t>
            </w:r>
          </w:hyperlink>
        </w:p>
        <w:p>
          <w:pPr>
            <w:pStyle w:val="TOC2"/>
            <w:tabs>
              <w:tab w:pos="9263" w:val="left" w:leader="none"/>
            </w:tabs>
            <w:spacing w:line="247" w:lineRule="auto"/>
            <w:ind w:right="1267"/>
          </w:pPr>
          <w:r>
            <w:rPr>
              <w:color w:val="010202"/>
            </w:rPr>
            <w:t>César Sánchez Hernández, Miguel Ángel Sánchez Hernández, Clemente Villanueva Verduzco, Jaime Sahagún Castellanos y Juan</w:t>
          </w:r>
          <w:r>
            <w:rPr>
              <w:color w:val="010202"/>
              <w:spacing w:val="-44"/>
            </w:rPr>
            <w:t> </w:t>
          </w:r>
          <w:r>
            <w:rPr>
              <w:color w:val="010202"/>
            </w:rPr>
            <w:t>Martínez</w:t>
          </w:r>
          <w:r>
            <w:rPr>
              <w:color w:val="010202"/>
              <w:spacing w:val="-7"/>
            </w:rPr>
            <w:t> </w:t>
          </w:r>
          <w:r>
            <w:rPr>
              <w:color w:val="010202"/>
            </w:rPr>
            <w:t>Solís</w:t>
            <w:tab/>
            <w:t>149</w:t>
          </w:r>
        </w:p>
        <w:p>
          <w:pPr>
            <w:pStyle w:val="TOC2"/>
            <w:spacing w:line="247" w:lineRule="auto" w:before="265"/>
            <w:ind w:right="2844"/>
          </w:pPr>
          <w:hyperlink w:history="true" w:anchor="_TOC_250000">
            <w:r>
              <w:rPr>
                <w:color w:val="010202"/>
              </w:rPr>
              <w:t>INVENTARIO DE CARBONO PRESENTE EN SAN VICENTE YOGONDOY, MPIO. DE SAN AGUSTÍN LOXICHA, OAXACA</w:t>
            </w:r>
          </w:hyperlink>
        </w:p>
        <w:p>
          <w:pPr>
            <w:pStyle w:val="TOC2"/>
            <w:ind w:right="1279"/>
          </w:pPr>
          <w:r>
            <w:rPr>
              <w:color w:val="010202"/>
            </w:rPr>
            <w:t>Laura Gómez Tovar, Víctor Ortiz Santiago, Manuel Ángel Gómez Cruz</w:t>
          </w:r>
        </w:p>
        <w:p>
          <w:pPr>
            <w:pStyle w:val="TOC2"/>
            <w:tabs>
              <w:tab w:pos="9261" w:val="left" w:leader="none"/>
            </w:tabs>
            <w:spacing w:before="8"/>
          </w:pPr>
          <w:r>
            <w:rPr>
              <w:color w:val="010202"/>
            </w:rPr>
            <w:t>y Ricardo</w:t>
          </w:r>
          <w:r>
            <w:rPr>
              <w:color w:val="010202"/>
              <w:spacing w:val="-3"/>
            </w:rPr>
            <w:t> </w:t>
          </w:r>
          <w:r>
            <w:rPr>
              <w:color w:val="010202"/>
            </w:rPr>
            <w:t>Gómez</w:t>
          </w:r>
          <w:r>
            <w:rPr>
              <w:color w:val="010202"/>
              <w:spacing w:val="-1"/>
            </w:rPr>
            <w:t> </w:t>
          </w:r>
          <w:r>
            <w:rPr>
              <w:color w:val="010202"/>
            </w:rPr>
            <w:t>Rodríguez</w:t>
            <w:tab/>
            <w:t>160</w:t>
          </w:r>
        </w:p>
        <w:p>
          <w:pPr>
            <w:pStyle w:val="TOC2"/>
            <w:spacing w:line="247" w:lineRule="auto" w:before="228"/>
            <w:ind w:right="2000"/>
          </w:pPr>
          <w:r>
            <w:rPr>
              <w:color w:val="010202"/>
            </w:rPr>
            <w:t>LOS ENCINOS DEL ÁREA DE INFLUENCIA DEL PROYECTO DE CONSTRUCCIÓN DE LA PRESA EL REALITO, SAN LUIS POTOSÍ</w:t>
          </w:r>
        </w:p>
        <w:p>
          <w:pPr>
            <w:pStyle w:val="TOC2"/>
            <w:tabs>
              <w:tab w:pos="9263" w:val="left" w:leader="none"/>
            </w:tabs>
          </w:pPr>
          <w:r>
            <w:rPr>
              <w:color w:val="010202"/>
            </w:rPr>
            <w:t>Mario Castelán Lorenzo, Georgina Flores Escobar y</w:t>
          </w:r>
          <w:r>
            <w:rPr>
              <w:color w:val="010202"/>
              <w:spacing w:val="-47"/>
            </w:rPr>
            <w:t> </w:t>
          </w:r>
          <w:r>
            <w:rPr>
              <w:color w:val="010202"/>
            </w:rPr>
            <w:t>Aurelio Bastida</w:t>
          </w:r>
          <w:r>
            <w:rPr>
              <w:color w:val="010202"/>
              <w:spacing w:val="-8"/>
            </w:rPr>
            <w:t> </w:t>
          </w:r>
          <w:r>
            <w:rPr>
              <w:color w:val="010202"/>
              <w:spacing w:val="-5"/>
            </w:rPr>
            <w:t>Tapia</w:t>
            <w:tab/>
          </w:r>
          <w:r>
            <w:rPr>
              <w:color w:val="010202"/>
            </w:rPr>
            <w:t>168</w:t>
          </w:r>
        </w:p>
        <w:p>
          <w:pPr>
            <w:pStyle w:val="TOC4"/>
            <w:rPr>
              <w:i/>
            </w:rPr>
          </w:pPr>
          <w:r>
            <w:rPr>
              <w:i/>
              <w:color w:val="231F20"/>
            </w:rPr>
            <w:t>vii</w:t>
          </w:r>
        </w:p>
        <w:p>
          <w:pPr>
            <w:pStyle w:val="TOC3"/>
            <w:spacing w:line="247" w:lineRule="auto" w:before="803"/>
            <w:rPr>
              <w:i w:val="0"/>
              <w:sz w:val="22"/>
            </w:rPr>
          </w:pPr>
          <w:r>
            <w:rPr>
              <w:i w:val="0"/>
              <w:color w:val="010202"/>
              <w:sz w:val="22"/>
            </w:rPr>
            <w:t>EPIDEMIOLOGÍA DE </w:t>
          </w:r>
          <w:r>
            <w:rPr>
              <w:i/>
              <w:color w:val="010202"/>
              <w:sz w:val="22"/>
            </w:rPr>
            <w:t>Mycosphaerella fijiensis </w:t>
          </w:r>
          <w:r>
            <w:rPr>
              <w:i w:val="0"/>
              <w:color w:val="010202"/>
              <w:sz w:val="22"/>
            </w:rPr>
            <w:t>Morelet, EN TECOMÁN, COLIMA, MÉXICO</w:t>
          </w:r>
        </w:p>
        <w:p>
          <w:pPr>
            <w:pStyle w:val="TOC2"/>
            <w:tabs>
              <w:tab w:pos="9254" w:val="left" w:leader="none"/>
            </w:tabs>
          </w:pPr>
          <w:r>
            <w:rPr>
              <w:color w:val="010202"/>
            </w:rPr>
            <w:t>María Serret López, Luciano Martínez Bolaños y Mario</w:t>
          </w:r>
          <w:r>
            <w:rPr>
              <w:color w:val="010202"/>
              <w:spacing w:val="-29"/>
            </w:rPr>
            <w:t> </w:t>
          </w:r>
          <w:r>
            <w:rPr>
              <w:color w:val="010202"/>
            </w:rPr>
            <w:t>Orozco</w:t>
          </w:r>
          <w:r>
            <w:rPr>
              <w:color w:val="010202"/>
              <w:spacing w:val="-4"/>
            </w:rPr>
            <w:t> </w:t>
          </w:r>
          <w:r>
            <w:rPr>
              <w:color w:val="010202"/>
            </w:rPr>
            <w:t>Santos</w:t>
            <w:tab/>
            <w:t>176</w:t>
          </w:r>
        </w:p>
      </w:sdtContent>
    </w:sdt>
    <w:p>
      <w:pPr>
        <w:spacing w:after="0"/>
        <w:sectPr>
          <w:type w:val="continuous"/>
          <w:pgSz w:w="10920" w:h="13080"/>
          <w:pgMar w:top="423" w:bottom="978" w:left="0" w:right="0"/>
        </w:sectPr>
      </w:pPr>
    </w:p>
    <w:p>
      <w:pPr>
        <w:pStyle w:val="BodyText"/>
        <w:spacing w:before="5"/>
        <w:rPr>
          <w:rFonts w:ascii="Trebuchet MS"/>
          <w:b/>
          <w:sz w:val="23"/>
        </w:rPr>
      </w:pPr>
    </w:p>
    <w:p>
      <w:pPr>
        <w:spacing w:before="0"/>
        <w:ind w:left="1270" w:right="1279" w:firstLine="0"/>
        <w:jc w:val="left"/>
        <w:rPr>
          <w:rFonts w:ascii="Trebuchet MS" w:hAnsi="Trebuchet MS"/>
          <w:b/>
          <w:sz w:val="22"/>
        </w:rPr>
      </w:pPr>
      <w:r>
        <w:rPr>
          <w:rFonts w:ascii="Trebuchet MS" w:hAnsi="Trebuchet MS"/>
          <w:b/>
          <w:color w:val="010202"/>
          <w:sz w:val="22"/>
        </w:rPr>
        <w:t>EFECTO FUNGICIDA DEL EXTRACTO HEXÁNICO DE </w:t>
      </w:r>
      <w:r>
        <w:rPr>
          <w:rFonts w:ascii="Trebuchet MS" w:hAnsi="Trebuchet MS"/>
          <w:b/>
          <w:i/>
          <w:color w:val="010202"/>
          <w:sz w:val="22"/>
        </w:rPr>
        <w:t>Equisetumhy emale </w:t>
      </w:r>
      <w:r>
        <w:rPr>
          <w:rFonts w:ascii="Trebuchet MS" w:hAnsi="Trebuchet MS"/>
          <w:b/>
          <w:color w:val="010202"/>
          <w:sz w:val="22"/>
        </w:rPr>
        <w:t>YE.</w:t>
      </w:r>
    </w:p>
    <w:p>
      <w:pPr>
        <w:spacing w:line="247" w:lineRule="auto" w:before="8"/>
        <w:ind w:left="1270" w:right="3279" w:firstLine="0"/>
        <w:jc w:val="left"/>
        <w:rPr>
          <w:rFonts w:ascii="Trebuchet MS"/>
          <w:b/>
          <w:i/>
          <w:sz w:val="22"/>
        </w:rPr>
      </w:pPr>
      <w:r>
        <w:rPr>
          <w:rFonts w:ascii="Trebuchet MS"/>
          <w:b/>
          <w:i/>
          <w:color w:val="010202"/>
          <w:sz w:val="22"/>
        </w:rPr>
        <w:t>Hyemaleaffinemy riochaetum </w:t>
      </w:r>
      <w:r>
        <w:rPr>
          <w:rFonts w:ascii="Trebuchet MS"/>
          <w:b/>
          <w:color w:val="010202"/>
          <w:sz w:val="22"/>
        </w:rPr>
        <w:t>EN EL CRECIMIENTO MICELIAL DE </w:t>
      </w:r>
      <w:r>
        <w:rPr>
          <w:rFonts w:ascii="Trebuchet MS"/>
          <w:b/>
          <w:i/>
          <w:color w:val="010202"/>
          <w:sz w:val="22"/>
        </w:rPr>
        <w:t>Penicilliumitalicum</w:t>
      </w:r>
    </w:p>
    <w:p>
      <w:pPr>
        <w:spacing w:before="1"/>
        <w:ind w:left="1270" w:right="1279" w:firstLine="0"/>
        <w:jc w:val="left"/>
        <w:rPr>
          <w:rFonts w:ascii="Trebuchet MS" w:hAnsi="Trebuchet MS"/>
          <w:b/>
          <w:sz w:val="22"/>
        </w:rPr>
      </w:pPr>
      <w:r>
        <w:rPr>
          <w:rFonts w:ascii="Trebuchet MS" w:hAnsi="Trebuchet MS"/>
          <w:b/>
          <w:color w:val="010202"/>
          <w:sz w:val="22"/>
        </w:rPr>
        <w:t>María Sol Robledo y Monterrubio, Eduardo García Miguel,</w:t>
      </w:r>
    </w:p>
    <w:p>
      <w:pPr>
        <w:spacing w:before="8"/>
        <w:ind w:left="1270" w:right="1279" w:firstLine="0"/>
        <w:jc w:val="left"/>
        <w:rPr>
          <w:rFonts w:ascii="Trebuchet MS" w:hAnsi="Trebuchet MS"/>
          <w:b/>
          <w:sz w:val="22"/>
        </w:rPr>
      </w:pPr>
      <w:r>
        <w:rPr>
          <w:rFonts w:ascii="Trebuchet MS" w:hAnsi="Trebuchet MS"/>
          <w:b/>
          <w:color w:val="010202"/>
          <w:sz w:val="22"/>
        </w:rPr>
        <w:t>Gerardo Arias Robledo, Diana Guerra Ramírez, Benito Reyes Trejo</w:t>
      </w:r>
    </w:p>
    <w:p>
      <w:pPr>
        <w:tabs>
          <w:tab w:pos="9265" w:val="left" w:leader="none"/>
        </w:tabs>
        <w:spacing w:before="8"/>
        <w:ind w:left="1270" w:right="0" w:firstLine="0"/>
        <w:jc w:val="left"/>
        <w:rPr>
          <w:rFonts w:ascii="Trebuchet MS" w:hAnsi="Trebuchet MS"/>
          <w:b/>
          <w:sz w:val="22"/>
        </w:rPr>
      </w:pPr>
      <w:r>
        <w:rPr>
          <w:rFonts w:ascii="Trebuchet MS" w:hAnsi="Trebuchet MS"/>
          <w:b/>
          <w:color w:val="010202"/>
          <w:sz w:val="22"/>
        </w:rPr>
        <w:t>e Higinio Francisco</w:t>
      </w:r>
      <w:r>
        <w:rPr>
          <w:rFonts w:ascii="Trebuchet MS" w:hAnsi="Trebuchet MS"/>
          <w:b/>
          <w:color w:val="010202"/>
          <w:spacing w:val="-29"/>
          <w:sz w:val="22"/>
        </w:rPr>
        <w:t> </w:t>
      </w:r>
      <w:r>
        <w:rPr>
          <w:rFonts w:ascii="Trebuchet MS" w:hAnsi="Trebuchet MS"/>
          <w:b/>
          <w:color w:val="010202"/>
          <w:sz w:val="22"/>
        </w:rPr>
        <w:t>Arias</w:t>
      </w:r>
      <w:r>
        <w:rPr>
          <w:rFonts w:ascii="Trebuchet MS" w:hAnsi="Trebuchet MS"/>
          <w:b/>
          <w:color w:val="010202"/>
          <w:spacing w:val="-5"/>
          <w:sz w:val="22"/>
        </w:rPr>
        <w:t> </w:t>
      </w:r>
      <w:r>
        <w:rPr>
          <w:rFonts w:ascii="Trebuchet MS" w:hAnsi="Trebuchet MS"/>
          <w:b/>
          <w:color w:val="010202"/>
          <w:sz w:val="22"/>
        </w:rPr>
        <w:t>Velázquez</w:t>
        <w:tab/>
        <w:t>188</w:t>
      </w:r>
    </w:p>
    <w:p>
      <w:pPr>
        <w:pStyle w:val="BodyText"/>
        <w:spacing w:before="5"/>
        <w:rPr>
          <w:rFonts w:ascii="Trebuchet MS"/>
          <w:b/>
          <w:sz w:val="23"/>
        </w:rPr>
      </w:pPr>
    </w:p>
    <w:p>
      <w:pPr>
        <w:spacing w:line="247" w:lineRule="auto" w:before="0"/>
        <w:ind w:left="1270" w:right="2277" w:firstLine="0"/>
        <w:jc w:val="left"/>
        <w:rPr>
          <w:rFonts w:ascii="Trebuchet MS" w:hAnsi="Trebuchet MS"/>
          <w:b/>
          <w:sz w:val="22"/>
        </w:rPr>
      </w:pPr>
      <w:r>
        <w:rPr>
          <w:rFonts w:ascii="Trebuchet MS" w:hAnsi="Trebuchet MS"/>
          <w:b/>
          <w:color w:val="010202"/>
          <w:sz w:val="22"/>
        </w:rPr>
        <w:t>EFICIENCIA DEL AGUA SUBTERRÁNEA </w:t>
      </w:r>
      <w:r>
        <w:rPr>
          <w:rFonts w:ascii="Trebuchet MS" w:hAnsi="Trebuchet MS"/>
          <w:b/>
          <w:color w:val="010202"/>
          <w:spacing w:val="-5"/>
          <w:sz w:val="22"/>
        </w:rPr>
        <w:t>PARA </w:t>
      </w:r>
      <w:r>
        <w:rPr>
          <w:rFonts w:ascii="Trebuchet MS" w:hAnsi="Trebuchet MS"/>
          <w:b/>
          <w:color w:val="010202"/>
          <w:sz w:val="22"/>
        </w:rPr>
        <w:t>RIEGO EN </w:t>
      </w:r>
      <w:r>
        <w:rPr>
          <w:rFonts w:ascii="Trebuchet MS" w:hAnsi="Trebuchet MS"/>
          <w:b/>
          <w:color w:val="010202"/>
          <w:spacing w:val="-5"/>
          <w:sz w:val="22"/>
        </w:rPr>
        <w:t>RYE </w:t>
      </w:r>
      <w:r>
        <w:rPr>
          <w:rFonts w:ascii="Trebuchet MS" w:hAnsi="Trebuchet MS"/>
          <w:b/>
          <w:color w:val="010202"/>
          <w:sz w:val="22"/>
        </w:rPr>
        <w:t>GRASS VERSUS </w:t>
      </w:r>
      <w:r>
        <w:rPr>
          <w:rFonts w:ascii="Trebuchet MS" w:hAnsi="Trebuchet MS"/>
          <w:b/>
          <w:color w:val="010202"/>
          <w:spacing w:val="-4"/>
          <w:sz w:val="22"/>
        </w:rPr>
        <w:t>ALFALFA </w:t>
      </w:r>
      <w:r>
        <w:rPr>
          <w:rFonts w:ascii="Trebuchet MS" w:hAnsi="Trebuchet MS"/>
          <w:b/>
          <w:color w:val="010202"/>
          <w:sz w:val="22"/>
        </w:rPr>
        <w:t>EN EL DR017, COMARCA LAGUNERA</w:t>
      </w:r>
    </w:p>
    <w:p>
      <w:pPr>
        <w:tabs>
          <w:tab w:pos="9264" w:val="left" w:leader="none"/>
        </w:tabs>
        <w:spacing w:before="1"/>
        <w:ind w:left="1270" w:right="0" w:firstLine="0"/>
        <w:jc w:val="left"/>
        <w:rPr>
          <w:rFonts w:ascii="Trebuchet MS" w:hAnsi="Trebuchet MS"/>
          <w:b/>
          <w:sz w:val="22"/>
        </w:rPr>
      </w:pPr>
      <w:r>
        <w:rPr>
          <w:rFonts w:ascii="Trebuchet MS" w:hAnsi="Trebuchet MS"/>
          <w:b/>
          <w:color w:val="010202"/>
          <w:sz w:val="22"/>
        </w:rPr>
        <w:t>José Luis Ríos Flores, Miriam </w:t>
      </w:r>
      <w:r>
        <w:rPr>
          <w:rFonts w:ascii="Trebuchet MS" w:hAnsi="Trebuchet MS"/>
          <w:b/>
          <w:color w:val="010202"/>
          <w:spacing w:val="-5"/>
          <w:sz w:val="22"/>
        </w:rPr>
        <w:t>Torres </w:t>
      </w:r>
      <w:r>
        <w:rPr>
          <w:rFonts w:ascii="Trebuchet MS" w:hAnsi="Trebuchet MS"/>
          <w:b/>
          <w:color w:val="010202"/>
          <w:sz w:val="22"/>
        </w:rPr>
        <w:t>Moreno y José</w:t>
      </w:r>
      <w:r>
        <w:rPr>
          <w:rFonts w:ascii="Trebuchet MS" w:hAnsi="Trebuchet MS"/>
          <w:b/>
          <w:color w:val="010202"/>
          <w:spacing w:val="-18"/>
          <w:sz w:val="22"/>
        </w:rPr>
        <w:t> </w:t>
      </w:r>
      <w:r>
        <w:rPr>
          <w:rFonts w:ascii="Trebuchet MS" w:hAnsi="Trebuchet MS"/>
          <w:b/>
          <w:color w:val="010202"/>
          <w:sz w:val="22"/>
        </w:rPr>
        <w:t>Ruiz</w:t>
      </w:r>
      <w:r>
        <w:rPr>
          <w:rFonts w:ascii="Trebuchet MS" w:hAnsi="Trebuchet MS"/>
          <w:b/>
          <w:color w:val="010202"/>
          <w:spacing w:val="-7"/>
          <w:sz w:val="22"/>
        </w:rPr>
        <w:t> </w:t>
      </w:r>
      <w:r>
        <w:rPr>
          <w:rFonts w:ascii="Trebuchet MS" w:hAnsi="Trebuchet MS"/>
          <w:b/>
          <w:color w:val="010202"/>
          <w:spacing w:val="-5"/>
          <w:sz w:val="22"/>
        </w:rPr>
        <w:t>Torres</w:t>
        <w:tab/>
      </w:r>
      <w:r>
        <w:rPr>
          <w:rFonts w:ascii="Trebuchet MS" w:hAnsi="Trebuchet MS"/>
          <w:b/>
          <w:color w:val="010202"/>
          <w:sz w:val="22"/>
        </w:rPr>
        <w:t>196</w:t>
      </w:r>
    </w:p>
    <w:p>
      <w:pPr>
        <w:pStyle w:val="BodyText"/>
        <w:spacing w:before="7"/>
        <w:rPr>
          <w:rFonts w:ascii="Trebuchet MS"/>
          <w:b/>
          <w:sz w:val="19"/>
        </w:rPr>
      </w:pPr>
    </w:p>
    <w:p>
      <w:pPr>
        <w:spacing w:before="1"/>
        <w:ind w:left="1270" w:right="1279" w:firstLine="0"/>
        <w:jc w:val="left"/>
        <w:rPr>
          <w:rFonts w:ascii="Trebuchet MS" w:hAnsi="Trebuchet MS"/>
          <w:b/>
          <w:i/>
          <w:sz w:val="22"/>
        </w:rPr>
      </w:pPr>
      <w:r>
        <w:rPr>
          <w:rFonts w:ascii="Trebuchet MS" w:hAnsi="Trebuchet MS"/>
          <w:b/>
          <w:color w:val="010202"/>
          <w:sz w:val="22"/>
        </w:rPr>
        <w:t>ANÁLISIS DEL VALOR NUTRICIONAL DE </w:t>
      </w:r>
      <w:r>
        <w:rPr>
          <w:rFonts w:ascii="Trebuchet MS" w:hAnsi="Trebuchet MS"/>
          <w:b/>
          <w:i/>
          <w:color w:val="010202"/>
          <w:sz w:val="22"/>
        </w:rPr>
        <w:t>Myriophyllum aquaticum</w:t>
      </w:r>
    </w:p>
    <w:p>
      <w:pPr>
        <w:spacing w:before="8"/>
        <w:ind w:left="1270" w:right="1279" w:firstLine="0"/>
        <w:jc w:val="left"/>
        <w:rPr>
          <w:rFonts w:ascii="Trebuchet MS" w:hAnsi="Trebuchet MS"/>
          <w:b/>
          <w:sz w:val="22"/>
        </w:rPr>
      </w:pPr>
      <w:r>
        <w:rPr>
          <w:rFonts w:ascii="Trebuchet MS" w:hAnsi="Trebuchet MS"/>
          <w:b/>
          <w:color w:val="010202"/>
          <w:sz w:val="22"/>
        </w:rPr>
        <w:t>Higinio Francisco Arias Velázquez, María Sol Robledo y Monterrubio</w:t>
      </w:r>
    </w:p>
    <w:p>
      <w:pPr>
        <w:tabs>
          <w:tab w:pos="9262" w:val="left" w:leader="none"/>
        </w:tabs>
        <w:spacing w:before="8"/>
        <w:ind w:left="1270" w:right="0" w:firstLine="0"/>
        <w:jc w:val="left"/>
        <w:rPr>
          <w:rFonts w:ascii="Trebuchet MS" w:hAnsi="Trebuchet MS"/>
          <w:b/>
          <w:sz w:val="22"/>
        </w:rPr>
      </w:pPr>
      <w:r>
        <w:rPr>
          <w:rFonts w:ascii="Trebuchet MS" w:hAnsi="Trebuchet MS"/>
          <w:b/>
          <w:color w:val="010202"/>
          <w:sz w:val="22"/>
        </w:rPr>
        <w:t>y José Guadalupe</w:t>
      </w:r>
      <w:r>
        <w:rPr>
          <w:rFonts w:ascii="Trebuchet MS" w:hAnsi="Trebuchet MS"/>
          <w:b/>
          <w:color w:val="010202"/>
          <w:spacing w:val="-45"/>
          <w:sz w:val="22"/>
        </w:rPr>
        <w:t> </w:t>
      </w:r>
      <w:r>
        <w:rPr>
          <w:rFonts w:ascii="Trebuchet MS" w:hAnsi="Trebuchet MS"/>
          <w:b/>
          <w:color w:val="010202"/>
          <w:sz w:val="22"/>
        </w:rPr>
        <w:t>Martínez</w:t>
      </w:r>
      <w:r>
        <w:rPr>
          <w:rFonts w:ascii="Trebuchet MS" w:hAnsi="Trebuchet MS"/>
          <w:b/>
          <w:color w:val="010202"/>
          <w:spacing w:val="-15"/>
          <w:sz w:val="22"/>
        </w:rPr>
        <w:t> </w:t>
      </w:r>
      <w:r>
        <w:rPr>
          <w:rFonts w:ascii="Trebuchet MS" w:hAnsi="Trebuchet MS"/>
          <w:b/>
          <w:color w:val="010202"/>
          <w:sz w:val="22"/>
        </w:rPr>
        <w:t>Martínez</w:t>
        <w:tab/>
        <w:t>208</w:t>
      </w:r>
    </w:p>
    <w:p>
      <w:pPr>
        <w:pStyle w:val="BodyText"/>
        <w:rPr>
          <w:rFonts w:ascii="Trebuchet MS"/>
          <w:b/>
          <w:sz w:val="20"/>
        </w:rPr>
      </w:pPr>
    </w:p>
    <w:p>
      <w:pPr>
        <w:pStyle w:val="BodyText"/>
        <w:rPr>
          <w:rFonts w:ascii="Trebuchet MS"/>
          <w:b/>
          <w:sz w:val="19"/>
        </w:rPr>
      </w:pPr>
      <w:r>
        <w:rPr/>
        <w:drawing>
          <wp:anchor distT="0" distB="0" distL="0" distR="0" allowOverlap="1" layoutInCell="1" locked="0" behindDoc="0" simplePos="0" relativeHeight="1408">
            <wp:simplePos x="0" y="0"/>
            <wp:positionH relativeFrom="page">
              <wp:posOffset>17462</wp:posOffset>
            </wp:positionH>
            <wp:positionV relativeFrom="paragraph">
              <wp:posOffset>164956</wp:posOffset>
            </wp:positionV>
            <wp:extent cx="155448" cy="155448"/>
            <wp:effectExtent l="0" t="0" r="0" b="0"/>
            <wp:wrapTopAndBottom/>
            <wp:docPr id="39" name="image2.png" descr=""/>
            <wp:cNvGraphicFramePr>
              <a:graphicFrameLocks noChangeAspect="1"/>
            </wp:cNvGraphicFramePr>
            <a:graphic>
              <a:graphicData uri="http://schemas.openxmlformats.org/drawingml/2006/picture">
                <pic:pic>
                  <pic:nvPicPr>
                    <pic:cNvPr id="40" name="image2.png"/>
                    <pic:cNvPicPr/>
                  </pic:nvPicPr>
                  <pic:blipFill>
                    <a:blip r:embed="rId8" cstate="print"/>
                    <a:stretch>
                      <a:fillRect/>
                    </a:stretch>
                  </pic:blipFill>
                  <pic:spPr>
                    <a:xfrm>
                      <a:off x="0" y="0"/>
                      <a:ext cx="155448" cy="155448"/>
                    </a:xfrm>
                    <a:prstGeom prst="rect">
                      <a:avLst/>
                    </a:prstGeom>
                  </pic:spPr>
                </pic:pic>
              </a:graphicData>
            </a:graphic>
          </wp:anchor>
        </w:drawing>
      </w:r>
      <w:r>
        <w:rPr/>
        <w:drawing>
          <wp:anchor distT="0" distB="0" distL="0" distR="0" allowOverlap="1" layoutInCell="1" locked="0" behindDoc="0" simplePos="0" relativeHeight="1432">
            <wp:simplePos x="0" y="0"/>
            <wp:positionH relativeFrom="page">
              <wp:posOffset>6761162</wp:posOffset>
            </wp:positionH>
            <wp:positionV relativeFrom="paragraph">
              <wp:posOffset>164956</wp:posOffset>
            </wp:positionV>
            <wp:extent cx="155448" cy="155448"/>
            <wp:effectExtent l="0" t="0" r="0" b="0"/>
            <wp:wrapTopAndBottom/>
            <wp:docPr id="41" name="image2.png" descr=""/>
            <wp:cNvGraphicFramePr>
              <a:graphicFrameLocks noChangeAspect="1"/>
            </wp:cNvGraphicFramePr>
            <a:graphic>
              <a:graphicData uri="http://schemas.openxmlformats.org/drawingml/2006/picture">
                <pic:pic>
                  <pic:nvPicPr>
                    <pic:cNvPr id="42" name="image2.png"/>
                    <pic:cNvPicPr/>
                  </pic:nvPicPr>
                  <pic:blipFill>
                    <a:blip r:embed="rId8" cstate="print"/>
                    <a:stretch>
                      <a:fillRect/>
                    </a:stretch>
                  </pic:blipFill>
                  <pic:spPr>
                    <a:xfrm>
                      <a:off x="0" y="0"/>
                      <a:ext cx="155448" cy="155448"/>
                    </a:xfrm>
                    <a:prstGeom prst="rect">
                      <a:avLst/>
                    </a:prstGeom>
                  </pic:spPr>
                </pic:pic>
              </a:graphicData>
            </a:graphic>
          </wp:anchor>
        </w:drawing>
      </w: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16"/>
        </w:rPr>
      </w:pPr>
    </w:p>
    <w:p>
      <w:pPr>
        <w:pStyle w:val="Heading4"/>
        <w:spacing w:before="72"/>
        <w:ind w:left="1505" w:right="1483"/>
        <w:jc w:val="center"/>
        <w:rPr>
          <w:rFonts w:ascii="Trebuchet MS"/>
          <w:i/>
        </w:rPr>
      </w:pPr>
      <w:r>
        <w:rPr>
          <w:rFonts w:ascii="Trebuchet MS"/>
          <w:i/>
          <w:color w:val="231F20"/>
        </w:rPr>
        <w:t>viii</w:t>
      </w:r>
    </w:p>
    <w:p>
      <w:pPr>
        <w:spacing w:after="0"/>
        <w:jc w:val="center"/>
        <w:rPr>
          <w:rFonts w:ascii="Trebuchet MS"/>
        </w:rPr>
        <w:sectPr>
          <w:type w:val="continuous"/>
          <w:pgSz w:w="10920" w:h="13080"/>
          <w:pgMar w:top="420" w:bottom="420" w:left="0" w:right="0"/>
        </w:sect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spacing w:before="194"/>
        <w:ind w:left="1489" w:right="1489" w:firstLine="0"/>
        <w:jc w:val="center"/>
        <w:rPr>
          <w:rFonts w:ascii="Trebuchet MS" w:hAnsi="Trebuchet MS"/>
          <w:b/>
          <w:i/>
          <w:sz w:val="40"/>
        </w:rPr>
      </w:pPr>
      <w:r>
        <w:rPr>
          <w:rFonts w:ascii="Trebuchet MS" w:hAnsi="Trebuchet MS"/>
          <w:b/>
          <w:i/>
          <w:color w:val="231F20"/>
          <w:sz w:val="40"/>
        </w:rPr>
        <w:t>Presentación</w:t>
      </w:r>
    </w:p>
    <w:p>
      <w:pPr>
        <w:pStyle w:val="BodyText"/>
        <w:rPr>
          <w:rFonts w:ascii="Trebuchet MS"/>
          <w:b/>
          <w:i/>
          <w:sz w:val="39"/>
        </w:rPr>
      </w:pPr>
    </w:p>
    <w:p>
      <w:pPr>
        <w:spacing w:line="249" w:lineRule="auto" w:before="1"/>
        <w:ind w:left="1270" w:right="1267" w:firstLine="0"/>
        <w:jc w:val="both"/>
        <w:rPr>
          <w:sz w:val="22"/>
        </w:rPr>
      </w:pPr>
      <w:r>
        <w:rPr>
          <w:color w:val="231F20"/>
          <w:sz w:val="22"/>
        </w:rPr>
        <w:t>La</w:t>
      </w:r>
      <w:r>
        <w:rPr>
          <w:color w:val="231F20"/>
          <w:spacing w:val="-7"/>
          <w:sz w:val="22"/>
        </w:rPr>
        <w:t> </w:t>
      </w:r>
      <w:r>
        <w:rPr>
          <w:color w:val="231F20"/>
          <w:sz w:val="22"/>
        </w:rPr>
        <w:t>investigación</w:t>
      </w:r>
      <w:r>
        <w:rPr>
          <w:color w:val="231F20"/>
          <w:spacing w:val="-7"/>
          <w:sz w:val="22"/>
        </w:rPr>
        <w:t> </w:t>
      </w:r>
      <w:r>
        <w:rPr>
          <w:color w:val="231F20"/>
          <w:sz w:val="22"/>
        </w:rPr>
        <w:t>es</w:t>
      </w:r>
      <w:r>
        <w:rPr>
          <w:color w:val="231F20"/>
          <w:spacing w:val="-7"/>
          <w:sz w:val="22"/>
        </w:rPr>
        <w:t> </w:t>
      </w:r>
      <w:r>
        <w:rPr>
          <w:color w:val="231F20"/>
          <w:sz w:val="22"/>
        </w:rPr>
        <w:t>una</w:t>
      </w:r>
      <w:r>
        <w:rPr>
          <w:color w:val="231F20"/>
          <w:spacing w:val="-7"/>
          <w:sz w:val="22"/>
        </w:rPr>
        <w:t> </w:t>
      </w:r>
      <w:r>
        <w:rPr>
          <w:color w:val="231F20"/>
          <w:sz w:val="22"/>
        </w:rPr>
        <w:t>parte</w:t>
      </w:r>
      <w:r>
        <w:rPr>
          <w:color w:val="231F20"/>
          <w:spacing w:val="-7"/>
          <w:sz w:val="22"/>
        </w:rPr>
        <w:t> </w:t>
      </w:r>
      <w:r>
        <w:rPr>
          <w:color w:val="231F20"/>
          <w:sz w:val="22"/>
        </w:rPr>
        <w:t>sustantiva</w:t>
      </w:r>
      <w:r>
        <w:rPr>
          <w:color w:val="231F20"/>
          <w:spacing w:val="-6"/>
          <w:sz w:val="22"/>
        </w:rPr>
        <w:t> </w:t>
      </w:r>
      <w:r>
        <w:rPr>
          <w:color w:val="231F20"/>
          <w:sz w:val="22"/>
        </w:rPr>
        <w:t>en</w:t>
      </w:r>
      <w:r>
        <w:rPr>
          <w:color w:val="231F20"/>
          <w:spacing w:val="-7"/>
          <w:sz w:val="22"/>
        </w:rPr>
        <w:t> </w:t>
      </w:r>
      <w:r>
        <w:rPr>
          <w:color w:val="231F20"/>
          <w:sz w:val="22"/>
        </w:rPr>
        <w:t>las</w:t>
      </w:r>
      <w:r>
        <w:rPr>
          <w:color w:val="231F20"/>
          <w:spacing w:val="-7"/>
          <w:sz w:val="22"/>
        </w:rPr>
        <w:t> </w:t>
      </w:r>
      <w:r>
        <w:rPr>
          <w:color w:val="231F20"/>
          <w:sz w:val="22"/>
        </w:rPr>
        <w:t>actividades</w:t>
      </w:r>
      <w:r>
        <w:rPr>
          <w:color w:val="231F20"/>
          <w:spacing w:val="-7"/>
          <w:sz w:val="22"/>
        </w:rPr>
        <w:t> </w:t>
      </w:r>
      <w:r>
        <w:rPr>
          <w:color w:val="231F20"/>
          <w:sz w:val="22"/>
        </w:rPr>
        <w:t>del</w:t>
      </w:r>
      <w:r>
        <w:rPr>
          <w:color w:val="231F20"/>
          <w:spacing w:val="-7"/>
          <w:sz w:val="22"/>
        </w:rPr>
        <w:t> </w:t>
      </w:r>
      <w:r>
        <w:rPr>
          <w:color w:val="231F20"/>
          <w:sz w:val="22"/>
        </w:rPr>
        <w:t>personal</w:t>
      </w:r>
      <w:r>
        <w:rPr>
          <w:color w:val="231F20"/>
          <w:spacing w:val="-7"/>
          <w:sz w:val="22"/>
        </w:rPr>
        <w:t> </w:t>
      </w:r>
      <w:r>
        <w:rPr>
          <w:color w:val="231F20"/>
          <w:sz w:val="22"/>
        </w:rPr>
        <w:t>académico</w:t>
      </w:r>
      <w:r>
        <w:rPr>
          <w:color w:val="231F20"/>
          <w:spacing w:val="-7"/>
          <w:sz w:val="22"/>
        </w:rPr>
        <w:t> </w:t>
      </w:r>
      <w:r>
        <w:rPr>
          <w:color w:val="231F20"/>
          <w:sz w:val="22"/>
        </w:rPr>
        <w:t>en</w:t>
      </w:r>
      <w:r>
        <w:rPr>
          <w:color w:val="231F20"/>
          <w:spacing w:val="-7"/>
          <w:sz w:val="22"/>
        </w:rPr>
        <w:t> </w:t>
      </w:r>
      <w:r>
        <w:rPr>
          <w:color w:val="231F20"/>
          <w:sz w:val="22"/>
        </w:rPr>
        <w:t>la</w:t>
      </w:r>
      <w:r>
        <w:rPr>
          <w:color w:val="231F20"/>
          <w:spacing w:val="-7"/>
          <w:sz w:val="22"/>
        </w:rPr>
        <w:t> </w:t>
      </w:r>
      <w:r>
        <w:rPr>
          <w:color w:val="231F20"/>
          <w:sz w:val="22"/>
        </w:rPr>
        <w:t>Univer- sidad</w:t>
      </w:r>
      <w:r>
        <w:rPr>
          <w:color w:val="231F20"/>
          <w:spacing w:val="-21"/>
          <w:sz w:val="22"/>
        </w:rPr>
        <w:t> </w:t>
      </w:r>
      <w:r>
        <w:rPr>
          <w:color w:val="231F20"/>
          <w:sz w:val="22"/>
        </w:rPr>
        <w:t>Autónoma</w:t>
      </w:r>
      <w:r>
        <w:rPr>
          <w:color w:val="231F20"/>
          <w:spacing w:val="-9"/>
          <w:sz w:val="22"/>
        </w:rPr>
        <w:t> </w:t>
      </w:r>
      <w:r>
        <w:rPr>
          <w:color w:val="231F20"/>
          <w:sz w:val="22"/>
        </w:rPr>
        <w:t>Chapingo.</w:t>
      </w:r>
      <w:r>
        <w:rPr>
          <w:color w:val="231F20"/>
          <w:spacing w:val="-9"/>
          <w:sz w:val="22"/>
        </w:rPr>
        <w:t> </w:t>
      </w:r>
      <w:r>
        <w:rPr>
          <w:color w:val="231F20"/>
          <w:sz w:val="22"/>
        </w:rPr>
        <w:t>Los</w:t>
      </w:r>
      <w:r>
        <w:rPr>
          <w:color w:val="231F20"/>
          <w:spacing w:val="-9"/>
          <w:sz w:val="22"/>
        </w:rPr>
        <w:t> </w:t>
      </w:r>
      <w:r>
        <w:rPr>
          <w:color w:val="231F20"/>
          <w:sz w:val="22"/>
        </w:rPr>
        <w:t>profesores</w:t>
      </w:r>
      <w:r>
        <w:rPr>
          <w:color w:val="231F20"/>
          <w:spacing w:val="-9"/>
          <w:sz w:val="22"/>
        </w:rPr>
        <w:t> </w:t>
      </w:r>
      <w:r>
        <w:rPr>
          <w:color w:val="231F20"/>
          <w:sz w:val="22"/>
        </w:rPr>
        <w:t>del</w:t>
      </w:r>
      <w:r>
        <w:rPr>
          <w:color w:val="231F20"/>
          <w:spacing w:val="-9"/>
          <w:sz w:val="22"/>
        </w:rPr>
        <w:t> </w:t>
      </w:r>
      <w:r>
        <w:rPr>
          <w:color w:val="231F20"/>
          <w:sz w:val="22"/>
        </w:rPr>
        <w:t>Centro</w:t>
      </w:r>
      <w:r>
        <w:rPr>
          <w:color w:val="231F20"/>
          <w:spacing w:val="-9"/>
          <w:sz w:val="22"/>
        </w:rPr>
        <w:t> </w:t>
      </w:r>
      <w:r>
        <w:rPr>
          <w:color w:val="231F20"/>
          <w:sz w:val="22"/>
        </w:rPr>
        <w:t>de</w:t>
      </w:r>
      <w:r>
        <w:rPr>
          <w:color w:val="231F20"/>
          <w:spacing w:val="-9"/>
          <w:sz w:val="22"/>
        </w:rPr>
        <w:t> </w:t>
      </w:r>
      <w:r>
        <w:rPr>
          <w:color w:val="231F20"/>
          <w:sz w:val="22"/>
        </w:rPr>
        <w:t>Investigación</w:t>
      </w:r>
      <w:r>
        <w:rPr>
          <w:color w:val="231F20"/>
          <w:spacing w:val="-9"/>
          <w:sz w:val="22"/>
        </w:rPr>
        <w:t> </w:t>
      </w:r>
      <w:r>
        <w:rPr>
          <w:color w:val="231F20"/>
          <w:sz w:val="22"/>
        </w:rPr>
        <w:t>en</w:t>
      </w:r>
      <w:r>
        <w:rPr>
          <w:color w:val="231F20"/>
          <w:spacing w:val="-9"/>
          <w:sz w:val="22"/>
        </w:rPr>
        <w:t> </w:t>
      </w:r>
      <w:r>
        <w:rPr>
          <w:color w:val="231F20"/>
          <w:sz w:val="22"/>
        </w:rPr>
        <w:t>Economía</w:t>
      </w:r>
      <w:r>
        <w:rPr>
          <w:color w:val="231F20"/>
          <w:spacing w:val="-10"/>
          <w:sz w:val="22"/>
        </w:rPr>
        <w:t> </w:t>
      </w:r>
      <w:r>
        <w:rPr>
          <w:color w:val="231F20"/>
          <w:sz w:val="22"/>
        </w:rPr>
        <w:t>y</w:t>
      </w:r>
      <w:r>
        <w:rPr>
          <w:color w:val="231F20"/>
          <w:spacing w:val="-9"/>
          <w:sz w:val="22"/>
        </w:rPr>
        <w:t> </w:t>
      </w:r>
      <w:r>
        <w:rPr>
          <w:color w:val="231F20"/>
          <w:sz w:val="22"/>
        </w:rPr>
        <w:t>Matemá- ticas</w:t>
      </w:r>
      <w:r>
        <w:rPr>
          <w:color w:val="231F20"/>
          <w:spacing w:val="-19"/>
          <w:sz w:val="22"/>
        </w:rPr>
        <w:t> </w:t>
      </w:r>
      <w:r>
        <w:rPr>
          <w:color w:val="231F20"/>
          <w:sz w:val="22"/>
        </w:rPr>
        <w:t>Aplicadas</w:t>
      </w:r>
      <w:r>
        <w:rPr>
          <w:color w:val="231F20"/>
          <w:spacing w:val="-7"/>
          <w:sz w:val="22"/>
        </w:rPr>
        <w:t> </w:t>
      </w:r>
      <w:r>
        <w:rPr>
          <w:color w:val="231F20"/>
          <w:sz w:val="22"/>
        </w:rPr>
        <w:t>(CIEMA),</w:t>
      </w:r>
      <w:r>
        <w:rPr>
          <w:color w:val="231F20"/>
          <w:spacing w:val="-7"/>
          <w:sz w:val="22"/>
        </w:rPr>
        <w:t> </w:t>
      </w:r>
      <w:r>
        <w:rPr>
          <w:color w:val="231F20"/>
          <w:sz w:val="22"/>
        </w:rPr>
        <w:t>de</w:t>
      </w:r>
      <w:r>
        <w:rPr>
          <w:color w:val="231F20"/>
          <w:spacing w:val="-7"/>
          <w:sz w:val="22"/>
        </w:rPr>
        <w:t> </w:t>
      </w:r>
      <w:r>
        <w:rPr>
          <w:color w:val="231F20"/>
          <w:sz w:val="22"/>
        </w:rPr>
        <w:t>la</w:t>
      </w:r>
      <w:r>
        <w:rPr>
          <w:color w:val="231F20"/>
          <w:spacing w:val="-7"/>
          <w:sz w:val="22"/>
        </w:rPr>
        <w:t> </w:t>
      </w:r>
      <w:r>
        <w:rPr>
          <w:color w:val="231F20"/>
          <w:sz w:val="22"/>
        </w:rPr>
        <w:t>División</w:t>
      </w:r>
      <w:r>
        <w:rPr>
          <w:color w:val="231F20"/>
          <w:spacing w:val="-7"/>
          <w:sz w:val="22"/>
        </w:rPr>
        <w:t> </w:t>
      </w:r>
      <w:r>
        <w:rPr>
          <w:color w:val="231F20"/>
          <w:sz w:val="22"/>
        </w:rPr>
        <w:t>de</w:t>
      </w:r>
      <w:r>
        <w:rPr>
          <w:color w:val="231F20"/>
          <w:spacing w:val="-7"/>
          <w:sz w:val="22"/>
        </w:rPr>
        <w:t> </w:t>
      </w:r>
      <w:r>
        <w:rPr>
          <w:color w:val="231F20"/>
          <w:sz w:val="22"/>
        </w:rPr>
        <w:t>Ciencias</w:t>
      </w:r>
      <w:r>
        <w:rPr>
          <w:color w:val="231F20"/>
          <w:spacing w:val="-7"/>
          <w:sz w:val="22"/>
        </w:rPr>
        <w:t> </w:t>
      </w:r>
      <w:r>
        <w:rPr>
          <w:color w:val="231F20"/>
          <w:sz w:val="22"/>
        </w:rPr>
        <w:t>Económico</w:t>
      </w:r>
      <w:r>
        <w:rPr>
          <w:color w:val="231F20"/>
          <w:spacing w:val="-19"/>
          <w:sz w:val="22"/>
        </w:rPr>
        <w:t> </w:t>
      </w:r>
      <w:r>
        <w:rPr>
          <w:color w:val="231F20"/>
          <w:sz w:val="22"/>
        </w:rPr>
        <w:t>Administrativas</w:t>
      </w:r>
      <w:r>
        <w:rPr>
          <w:color w:val="231F20"/>
          <w:spacing w:val="-6"/>
          <w:sz w:val="22"/>
        </w:rPr>
        <w:t> </w:t>
      </w:r>
      <w:r>
        <w:rPr>
          <w:color w:val="231F20"/>
          <w:sz w:val="22"/>
        </w:rPr>
        <w:t>(DICEA);</w:t>
      </w:r>
      <w:r>
        <w:rPr>
          <w:color w:val="231F20"/>
          <w:spacing w:val="-7"/>
          <w:sz w:val="22"/>
        </w:rPr>
        <w:t> </w:t>
      </w:r>
      <w:r>
        <w:rPr>
          <w:color w:val="231F20"/>
          <w:sz w:val="22"/>
        </w:rPr>
        <w:t>del Departamento de Fitotecnia y del Departamento de la Preparatoria Agrícola, organizaron una serie de trabajos de investigación sobre el título de este libro. Para enriquecer y diversificar su contenido, se obtuvieron aportaciones de investigadores de otras instituciones como el</w:t>
      </w:r>
      <w:r>
        <w:rPr>
          <w:color w:val="231F20"/>
          <w:spacing w:val="-15"/>
          <w:sz w:val="22"/>
        </w:rPr>
        <w:t> </w:t>
      </w:r>
      <w:r>
        <w:rPr>
          <w:color w:val="231F20"/>
          <w:sz w:val="22"/>
        </w:rPr>
        <w:t>Instituto Politécnico Nacional, la Universidad Autónoma del Estado de México y la Universidad Nacio- nal Autónoma de</w:t>
      </w:r>
      <w:r>
        <w:rPr>
          <w:color w:val="231F20"/>
          <w:spacing w:val="-27"/>
          <w:sz w:val="22"/>
        </w:rPr>
        <w:t> </w:t>
      </w:r>
      <w:r>
        <w:rPr>
          <w:color w:val="231F20"/>
          <w:sz w:val="22"/>
        </w:rPr>
        <w:t>México.</w:t>
      </w:r>
    </w:p>
    <w:p>
      <w:pPr>
        <w:spacing w:line="249" w:lineRule="auto" w:before="1"/>
        <w:ind w:left="1270" w:right="1267" w:firstLine="720"/>
        <w:jc w:val="both"/>
        <w:rPr>
          <w:sz w:val="22"/>
        </w:rPr>
      </w:pPr>
      <w:r>
        <w:rPr/>
        <w:drawing>
          <wp:anchor distT="0" distB="0" distL="0" distR="0" allowOverlap="1" layoutInCell="1" locked="0" behindDoc="0" simplePos="0" relativeHeight="1504">
            <wp:simplePos x="0" y="0"/>
            <wp:positionH relativeFrom="page">
              <wp:posOffset>17462</wp:posOffset>
            </wp:positionH>
            <wp:positionV relativeFrom="paragraph">
              <wp:posOffset>137895</wp:posOffset>
            </wp:positionV>
            <wp:extent cx="155575" cy="155575"/>
            <wp:effectExtent l="0" t="0" r="0" b="0"/>
            <wp:wrapNone/>
            <wp:docPr id="43" name="image2.png" descr=""/>
            <wp:cNvGraphicFramePr>
              <a:graphicFrameLocks noChangeAspect="1"/>
            </wp:cNvGraphicFramePr>
            <a:graphic>
              <a:graphicData uri="http://schemas.openxmlformats.org/drawingml/2006/picture">
                <pic:pic>
                  <pic:nvPicPr>
                    <pic:cNvPr id="44"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528">
            <wp:simplePos x="0" y="0"/>
            <wp:positionH relativeFrom="page">
              <wp:posOffset>6761162</wp:posOffset>
            </wp:positionH>
            <wp:positionV relativeFrom="paragraph">
              <wp:posOffset>137895</wp:posOffset>
            </wp:positionV>
            <wp:extent cx="155575" cy="155575"/>
            <wp:effectExtent l="0" t="0" r="0" b="0"/>
            <wp:wrapNone/>
            <wp:docPr id="45" name="image2.png" descr=""/>
            <wp:cNvGraphicFramePr>
              <a:graphicFrameLocks noChangeAspect="1"/>
            </wp:cNvGraphicFramePr>
            <a:graphic>
              <a:graphicData uri="http://schemas.openxmlformats.org/drawingml/2006/picture">
                <pic:pic>
                  <pic:nvPicPr>
                    <pic:cNvPr id="46"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231F20"/>
          <w:sz w:val="22"/>
        </w:rPr>
        <w:t>Lo que se presenta es resultado del apoyo y la colaboración de varias instituciones, grupos de investigadores e investigadores independientes. En ese sentido, queremos otorgar un reconocimiento a quienes tuvieron la voluntad y el tino de apoyar esta iniciativa. Agradecemos a las autoridades de la Universidad Autónoma Chapingo, particularmente a la Rectoría y a sus Direcciones Generales, en especial a la Dirección General de Investigación y Posgrado. Reco- nocemos</w:t>
      </w:r>
      <w:r>
        <w:rPr>
          <w:color w:val="231F20"/>
          <w:spacing w:val="-9"/>
          <w:sz w:val="22"/>
        </w:rPr>
        <w:t> </w:t>
      </w:r>
      <w:r>
        <w:rPr>
          <w:color w:val="231F20"/>
          <w:sz w:val="22"/>
        </w:rPr>
        <w:t>también</w:t>
      </w:r>
      <w:r>
        <w:rPr>
          <w:color w:val="231F20"/>
          <w:spacing w:val="-9"/>
          <w:sz w:val="22"/>
        </w:rPr>
        <w:t> </w:t>
      </w:r>
      <w:r>
        <w:rPr>
          <w:color w:val="231F20"/>
          <w:sz w:val="22"/>
        </w:rPr>
        <w:t>la</w:t>
      </w:r>
      <w:r>
        <w:rPr>
          <w:color w:val="231F20"/>
          <w:spacing w:val="-9"/>
          <w:sz w:val="22"/>
        </w:rPr>
        <w:t> </w:t>
      </w:r>
      <w:r>
        <w:rPr>
          <w:color w:val="231F20"/>
          <w:sz w:val="22"/>
        </w:rPr>
        <w:t>contribución</w:t>
      </w:r>
      <w:r>
        <w:rPr>
          <w:color w:val="231F20"/>
          <w:spacing w:val="-10"/>
          <w:sz w:val="22"/>
        </w:rPr>
        <w:t> </w:t>
      </w:r>
      <w:r>
        <w:rPr>
          <w:color w:val="231F20"/>
          <w:sz w:val="22"/>
        </w:rPr>
        <w:t>de</w:t>
      </w:r>
      <w:r>
        <w:rPr>
          <w:color w:val="231F20"/>
          <w:spacing w:val="-9"/>
          <w:sz w:val="22"/>
        </w:rPr>
        <w:t> </w:t>
      </w:r>
      <w:r>
        <w:rPr>
          <w:color w:val="231F20"/>
          <w:sz w:val="22"/>
        </w:rPr>
        <w:t>la</w:t>
      </w:r>
      <w:r>
        <w:rPr>
          <w:color w:val="231F20"/>
          <w:spacing w:val="-9"/>
          <w:sz w:val="22"/>
        </w:rPr>
        <w:t> </w:t>
      </w:r>
      <w:r>
        <w:rPr>
          <w:color w:val="231F20"/>
          <w:sz w:val="22"/>
        </w:rPr>
        <w:t>División</w:t>
      </w:r>
      <w:r>
        <w:rPr>
          <w:color w:val="231F20"/>
          <w:spacing w:val="-8"/>
          <w:sz w:val="22"/>
        </w:rPr>
        <w:t> </w:t>
      </w:r>
      <w:r>
        <w:rPr>
          <w:color w:val="231F20"/>
          <w:sz w:val="22"/>
        </w:rPr>
        <w:t>de</w:t>
      </w:r>
      <w:r>
        <w:rPr>
          <w:color w:val="231F20"/>
          <w:spacing w:val="-9"/>
          <w:sz w:val="22"/>
        </w:rPr>
        <w:t> </w:t>
      </w:r>
      <w:r>
        <w:rPr>
          <w:color w:val="231F20"/>
          <w:sz w:val="22"/>
        </w:rPr>
        <w:t>Ciencias</w:t>
      </w:r>
      <w:r>
        <w:rPr>
          <w:color w:val="231F20"/>
          <w:spacing w:val="-9"/>
          <w:sz w:val="22"/>
        </w:rPr>
        <w:t> </w:t>
      </w:r>
      <w:r>
        <w:rPr>
          <w:color w:val="231F20"/>
          <w:sz w:val="22"/>
        </w:rPr>
        <w:t>Económico-Administrativas</w:t>
      </w:r>
      <w:r>
        <w:rPr>
          <w:color w:val="231F20"/>
          <w:spacing w:val="-11"/>
          <w:sz w:val="22"/>
        </w:rPr>
        <w:t> </w:t>
      </w:r>
      <w:r>
        <w:rPr>
          <w:color w:val="231F20"/>
          <w:sz w:val="22"/>
        </w:rPr>
        <w:t>y</w:t>
      </w:r>
      <w:r>
        <w:rPr>
          <w:color w:val="231F20"/>
          <w:spacing w:val="-9"/>
          <w:sz w:val="22"/>
        </w:rPr>
        <w:t> </w:t>
      </w:r>
      <w:r>
        <w:rPr>
          <w:color w:val="231F20"/>
          <w:sz w:val="22"/>
        </w:rPr>
        <w:t>de</w:t>
      </w:r>
      <w:r>
        <w:rPr>
          <w:color w:val="231F20"/>
          <w:spacing w:val="-9"/>
          <w:sz w:val="22"/>
        </w:rPr>
        <w:t> </w:t>
      </w:r>
      <w:r>
        <w:rPr>
          <w:color w:val="231F20"/>
          <w:sz w:val="22"/>
        </w:rPr>
        <w:t>la Preparatoria Agrícola, ambas de esta universidad, pues su ayuda hizo posible este</w:t>
      </w:r>
      <w:r>
        <w:rPr>
          <w:color w:val="231F20"/>
          <w:spacing w:val="-36"/>
          <w:sz w:val="22"/>
        </w:rPr>
        <w:t> </w:t>
      </w:r>
      <w:r>
        <w:rPr>
          <w:color w:val="231F20"/>
          <w:sz w:val="22"/>
        </w:rPr>
        <w:t>trabajo.</w:t>
      </w:r>
    </w:p>
    <w:p>
      <w:pPr>
        <w:spacing w:line="249" w:lineRule="auto" w:before="1"/>
        <w:ind w:left="1270" w:right="1267" w:firstLine="720"/>
        <w:jc w:val="both"/>
        <w:rPr>
          <w:sz w:val="22"/>
        </w:rPr>
      </w:pPr>
      <w:r>
        <w:rPr>
          <w:color w:val="231F20"/>
          <w:sz w:val="22"/>
        </w:rPr>
        <w:t>Asimismo,</w:t>
      </w:r>
      <w:r>
        <w:rPr>
          <w:color w:val="231F20"/>
          <w:spacing w:val="-10"/>
          <w:sz w:val="22"/>
        </w:rPr>
        <w:t> </w:t>
      </w:r>
      <w:r>
        <w:rPr>
          <w:color w:val="231F20"/>
          <w:sz w:val="22"/>
        </w:rPr>
        <w:t>expresamos</w:t>
      </w:r>
      <w:r>
        <w:rPr>
          <w:color w:val="231F20"/>
          <w:spacing w:val="-11"/>
          <w:sz w:val="22"/>
        </w:rPr>
        <w:t> </w:t>
      </w:r>
      <w:r>
        <w:rPr>
          <w:color w:val="231F20"/>
          <w:sz w:val="22"/>
        </w:rPr>
        <w:t>una</w:t>
      </w:r>
      <w:r>
        <w:rPr>
          <w:color w:val="231F20"/>
          <w:spacing w:val="-10"/>
          <w:sz w:val="22"/>
        </w:rPr>
        <w:t> </w:t>
      </w:r>
      <w:r>
        <w:rPr>
          <w:color w:val="231F20"/>
          <w:sz w:val="22"/>
        </w:rPr>
        <w:t>particular</w:t>
      </w:r>
      <w:r>
        <w:rPr>
          <w:color w:val="231F20"/>
          <w:spacing w:val="-10"/>
          <w:sz w:val="22"/>
        </w:rPr>
        <w:t> </w:t>
      </w:r>
      <w:r>
        <w:rPr>
          <w:color w:val="231F20"/>
          <w:sz w:val="22"/>
        </w:rPr>
        <w:t>gratitud</w:t>
      </w:r>
      <w:r>
        <w:rPr>
          <w:color w:val="231F20"/>
          <w:spacing w:val="-10"/>
          <w:sz w:val="22"/>
        </w:rPr>
        <w:t> </w:t>
      </w:r>
      <w:r>
        <w:rPr>
          <w:color w:val="231F20"/>
          <w:sz w:val="22"/>
        </w:rPr>
        <w:t>a</w:t>
      </w:r>
      <w:r>
        <w:rPr>
          <w:color w:val="231F20"/>
          <w:spacing w:val="-10"/>
          <w:sz w:val="22"/>
        </w:rPr>
        <w:t> </w:t>
      </w:r>
      <w:r>
        <w:rPr>
          <w:color w:val="231F20"/>
          <w:sz w:val="22"/>
        </w:rPr>
        <w:t>las</w:t>
      </w:r>
      <w:r>
        <w:rPr>
          <w:color w:val="231F20"/>
          <w:spacing w:val="-11"/>
          <w:sz w:val="22"/>
        </w:rPr>
        <w:t> </w:t>
      </w:r>
      <w:r>
        <w:rPr>
          <w:color w:val="231F20"/>
          <w:sz w:val="22"/>
        </w:rPr>
        <w:t>autoridades</w:t>
      </w:r>
      <w:r>
        <w:rPr>
          <w:color w:val="231F20"/>
          <w:spacing w:val="-11"/>
          <w:sz w:val="22"/>
        </w:rPr>
        <w:t> </w:t>
      </w:r>
      <w:r>
        <w:rPr>
          <w:color w:val="231F20"/>
          <w:sz w:val="22"/>
        </w:rPr>
        <w:t>de</w:t>
      </w:r>
      <w:r>
        <w:rPr>
          <w:color w:val="231F20"/>
          <w:spacing w:val="-10"/>
          <w:sz w:val="22"/>
        </w:rPr>
        <w:t> </w:t>
      </w:r>
      <w:r>
        <w:rPr>
          <w:color w:val="231F20"/>
          <w:sz w:val="22"/>
        </w:rPr>
        <w:t>la</w:t>
      </w:r>
      <w:r>
        <w:rPr>
          <w:color w:val="231F20"/>
          <w:spacing w:val="-11"/>
          <w:sz w:val="22"/>
        </w:rPr>
        <w:t> </w:t>
      </w:r>
      <w:r>
        <w:rPr>
          <w:color w:val="231F20"/>
          <w:sz w:val="22"/>
        </w:rPr>
        <w:t>Universidad</w:t>
      </w:r>
      <w:r>
        <w:rPr>
          <w:color w:val="231F20"/>
          <w:spacing w:val="-22"/>
          <w:sz w:val="22"/>
        </w:rPr>
        <w:t> </w:t>
      </w:r>
      <w:r>
        <w:rPr>
          <w:color w:val="231F20"/>
          <w:sz w:val="22"/>
        </w:rPr>
        <w:t>Autó- noma del Estado de México, quiénes a través de directivos, docentes y trabajadores del Centro Universitario UAEM Texcoco, colaboraron de manera generosa. No menos importante fue el apoyo</w:t>
      </w:r>
      <w:r>
        <w:rPr>
          <w:color w:val="231F20"/>
          <w:spacing w:val="-5"/>
          <w:sz w:val="22"/>
        </w:rPr>
        <w:t> </w:t>
      </w:r>
      <w:r>
        <w:rPr>
          <w:color w:val="231F20"/>
          <w:sz w:val="22"/>
        </w:rPr>
        <w:t>de</w:t>
      </w:r>
      <w:r>
        <w:rPr>
          <w:color w:val="231F20"/>
          <w:spacing w:val="-5"/>
          <w:sz w:val="22"/>
        </w:rPr>
        <w:t> </w:t>
      </w:r>
      <w:r>
        <w:rPr>
          <w:color w:val="231F20"/>
          <w:sz w:val="22"/>
        </w:rPr>
        <w:t>autoridades</w:t>
      </w:r>
      <w:r>
        <w:rPr>
          <w:color w:val="231F20"/>
          <w:spacing w:val="-5"/>
          <w:sz w:val="22"/>
        </w:rPr>
        <w:t> </w:t>
      </w:r>
      <w:r>
        <w:rPr>
          <w:color w:val="231F20"/>
          <w:sz w:val="22"/>
        </w:rPr>
        <w:t>y</w:t>
      </w:r>
      <w:r>
        <w:rPr>
          <w:color w:val="231F20"/>
          <w:spacing w:val="-5"/>
          <w:sz w:val="22"/>
        </w:rPr>
        <w:t> </w:t>
      </w:r>
      <w:r>
        <w:rPr>
          <w:color w:val="231F20"/>
          <w:sz w:val="22"/>
        </w:rPr>
        <w:t>personal</w:t>
      </w:r>
      <w:r>
        <w:rPr>
          <w:color w:val="231F20"/>
          <w:spacing w:val="-5"/>
          <w:sz w:val="22"/>
        </w:rPr>
        <w:t> </w:t>
      </w:r>
      <w:r>
        <w:rPr>
          <w:color w:val="231F20"/>
          <w:sz w:val="22"/>
        </w:rPr>
        <w:t>especializado</w:t>
      </w:r>
      <w:r>
        <w:rPr>
          <w:color w:val="231F20"/>
          <w:spacing w:val="-5"/>
          <w:sz w:val="22"/>
        </w:rPr>
        <w:t> </w:t>
      </w:r>
      <w:r>
        <w:rPr>
          <w:color w:val="231F20"/>
          <w:sz w:val="22"/>
        </w:rPr>
        <w:t>del</w:t>
      </w:r>
      <w:r>
        <w:rPr>
          <w:color w:val="231F20"/>
          <w:spacing w:val="-5"/>
          <w:sz w:val="22"/>
        </w:rPr>
        <w:t> </w:t>
      </w:r>
      <w:r>
        <w:rPr>
          <w:color w:val="231F20"/>
          <w:sz w:val="22"/>
        </w:rPr>
        <w:t>Instituto</w:t>
      </w:r>
      <w:r>
        <w:rPr>
          <w:color w:val="231F20"/>
          <w:spacing w:val="-5"/>
          <w:sz w:val="22"/>
        </w:rPr>
        <w:t> </w:t>
      </w:r>
      <w:r>
        <w:rPr>
          <w:color w:val="231F20"/>
          <w:sz w:val="22"/>
        </w:rPr>
        <w:t>Nacional</w:t>
      </w:r>
      <w:r>
        <w:rPr>
          <w:color w:val="231F20"/>
          <w:spacing w:val="-4"/>
          <w:sz w:val="22"/>
        </w:rPr>
        <w:t> </w:t>
      </w:r>
      <w:r>
        <w:rPr>
          <w:color w:val="231F20"/>
          <w:sz w:val="22"/>
        </w:rPr>
        <w:t>de</w:t>
      </w:r>
      <w:r>
        <w:rPr>
          <w:color w:val="231F20"/>
          <w:spacing w:val="-5"/>
          <w:sz w:val="22"/>
        </w:rPr>
        <w:t> </w:t>
      </w:r>
      <w:r>
        <w:rPr>
          <w:color w:val="231F20"/>
          <w:sz w:val="22"/>
        </w:rPr>
        <w:t>Estadística</w:t>
      </w:r>
      <w:r>
        <w:rPr>
          <w:color w:val="231F20"/>
          <w:spacing w:val="-5"/>
          <w:sz w:val="22"/>
        </w:rPr>
        <w:t> </w:t>
      </w:r>
      <w:r>
        <w:rPr>
          <w:color w:val="231F20"/>
          <w:sz w:val="22"/>
        </w:rPr>
        <w:t>y</w:t>
      </w:r>
      <w:r>
        <w:rPr>
          <w:color w:val="231F20"/>
          <w:spacing w:val="-5"/>
          <w:sz w:val="22"/>
        </w:rPr>
        <w:t> </w:t>
      </w:r>
      <w:r>
        <w:rPr>
          <w:color w:val="231F20"/>
          <w:sz w:val="22"/>
        </w:rPr>
        <w:t>Geografía (INEGI). En ello incluimos también a la Facultad de Economía de la Universidad Nacional Autónoma de México, particularmente a la Facultad de Ciencias, así como al Colegio de Post- graduados.</w:t>
      </w:r>
    </w:p>
    <w:p>
      <w:pPr>
        <w:pStyle w:val="BodyText"/>
        <w:rPr>
          <w:sz w:val="23"/>
        </w:rPr>
      </w:pPr>
    </w:p>
    <w:p>
      <w:pPr>
        <w:pStyle w:val="Heading4"/>
        <w:ind w:left="1489" w:right="1489"/>
        <w:jc w:val="center"/>
        <w:rPr>
          <w:i/>
        </w:rPr>
      </w:pPr>
      <w:r>
        <w:rPr>
          <w:i/>
          <w:color w:val="231F20"/>
        </w:rPr>
        <w:t>Cordialmente,</w:t>
      </w:r>
    </w:p>
    <w:p>
      <w:pPr>
        <w:spacing w:before="11"/>
        <w:ind w:left="1955" w:right="1279" w:firstLine="0"/>
        <w:jc w:val="left"/>
        <w:rPr>
          <w:b/>
          <w:i/>
          <w:sz w:val="22"/>
        </w:rPr>
      </w:pPr>
      <w:r>
        <w:rPr>
          <w:b/>
          <w:i/>
          <w:color w:val="231F20"/>
          <w:sz w:val="22"/>
        </w:rPr>
        <w:t>Lucila Godínez Montoya, Esther Figueroa Hernández, Francisco Pérez Soto,</w:t>
      </w:r>
    </w:p>
    <w:p>
      <w:pPr>
        <w:spacing w:line="249" w:lineRule="auto" w:before="11"/>
        <w:ind w:left="1492" w:right="1489" w:firstLine="0"/>
        <w:jc w:val="center"/>
        <w:rPr>
          <w:b/>
          <w:i/>
          <w:sz w:val="22"/>
        </w:rPr>
      </w:pPr>
      <w:r>
        <w:rPr>
          <w:b/>
          <w:i/>
          <w:color w:val="231F20"/>
          <w:sz w:val="22"/>
        </w:rPr>
        <w:t>Daniel Sepúlveda Jiménez, Rosa María García Núñez, Sergio Roberto Márquez Berber </w:t>
      </w:r>
      <w:r>
        <w:rPr>
          <w:b/>
          <w:i/>
          <w:color w:val="231F20"/>
          <w:sz w:val="22"/>
        </w:rPr>
        <w:t>y Carmen Isabel Mamani Oño</w:t>
      </w:r>
    </w:p>
    <w:p>
      <w:pPr>
        <w:spacing w:line="198" w:lineRule="exact" w:before="0"/>
        <w:ind w:left="1489" w:right="1489" w:firstLine="0"/>
        <w:jc w:val="center"/>
        <w:rPr>
          <w:b/>
          <w:i/>
          <w:sz w:val="18"/>
        </w:rPr>
      </w:pPr>
      <w:r>
        <w:rPr/>
        <w:pict>
          <v:shape style="position:absolute;margin-left:259.109985pt;margin-top:26.98374pt;width:29.8pt;height:18.45pt;mso-position-horizontal-relative:page;mso-position-vertical-relative:paragraph;z-index:-211336" type="#_x0000_t202" filled="false" stroked="false">
            <v:textbox inset="0,0,0,0">
              <w:txbxContent>
                <w:p>
                  <w:pPr>
                    <w:spacing w:before="64"/>
                    <w:ind w:left="189" w:right="0" w:firstLine="0"/>
                    <w:jc w:val="left"/>
                    <w:rPr>
                      <w:rFonts w:ascii="Trebuchet MS"/>
                      <w:b/>
                      <w:i/>
                      <w:sz w:val="22"/>
                    </w:rPr>
                  </w:pPr>
                  <w:r>
                    <w:rPr>
                      <w:rFonts w:ascii="Trebuchet MS"/>
                      <w:b/>
                      <w:i/>
                      <w:color w:val="231F20"/>
                      <w:sz w:val="22"/>
                    </w:rPr>
                    <w:t>ix</w:t>
                  </w:r>
                </w:p>
              </w:txbxContent>
            </v:textbox>
            <w10:wrap type="none"/>
          </v:shape>
        </w:pict>
      </w:r>
      <w:r>
        <w:rPr>
          <w:b/>
          <w:i/>
          <w:color w:val="231F20"/>
          <w:sz w:val="18"/>
        </w:rPr>
        <w:t>(Editores)</w:t>
      </w:r>
    </w:p>
    <w:p>
      <w:pPr>
        <w:pStyle w:val="BodyText"/>
        <w:spacing w:before="4"/>
        <w:rPr>
          <w:b/>
          <w:i/>
          <w:sz w:val="26"/>
        </w:rPr>
      </w:pPr>
      <w:r>
        <w:rPr/>
        <w:pict>
          <v:rect style="position:absolute;margin-left:259.109985pt;margin-top:17.103621pt;width:29.764pt;height:18.425pt;mso-position-horizontal-relative:page;mso-position-vertical-relative:paragraph;z-index:1456;mso-wrap-distance-left:0;mso-wrap-distance-right:0" filled="true" fillcolor="#ffffff" stroked="false">
            <v:fill type="solid"/>
            <w10:wrap type="topAndBottom"/>
          </v:rect>
        </w:pict>
      </w:r>
    </w:p>
    <w:p>
      <w:pPr>
        <w:spacing w:after="0"/>
        <w:rPr>
          <w:sz w:val="26"/>
        </w:rPr>
        <w:sectPr>
          <w:pgSz w:w="10920" w:h="13080"/>
          <w:pgMar w:header="0" w:footer="223" w:top="420" w:bottom="420" w:left="0" w:right="0"/>
        </w:sectPr>
      </w:pPr>
    </w:p>
    <w:p>
      <w:pPr>
        <w:pStyle w:val="BodyText"/>
        <w:rPr>
          <w:sz w:val="20"/>
        </w:rPr>
      </w:pPr>
      <w:r>
        <w:rPr/>
        <w:pict>
          <v:shape style="position:absolute;margin-left:251.457001pt;margin-top:590.479980pt;width:46.8pt;height:19.7pt;mso-position-horizontal-relative:page;mso-position-vertical-relative:page;z-index:-211240" type="#_x0000_t202" filled="false" stroked="false">
            <v:textbox inset="0,0,0,0">
              <w:txbxContent>
                <w:p>
                  <w:pPr>
                    <w:spacing w:before="16"/>
                    <w:ind w:left="0" w:right="49" w:firstLine="0"/>
                    <w:jc w:val="center"/>
                    <w:rPr>
                      <w:rFonts w:ascii="Trebuchet MS"/>
                      <w:b/>
                      <w:i/>
                      <w:sz w:val="22"/>
                    </w:rPr>
                  </w:pPr>
                  <w:r>
                    <w:rPr>
                      <w:rFonts w:ascii="Trebuchet MS"/>
                      <w:b/>
                      <w:i/>
                      <w:color w:val="231F20"/>
                      <w:sz w:val="22"/>
                    </w:rPr>
                    <w:t>x</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pPr>
    </w:p>
    <w:p>
      <w:pPr>
        <w:tabs>
          <w:tab w:pos="10647" w:val="left" w:leader="none"/>
        </w:tabs>
        <w:spacing w:line="240" w:lineRule="auto"/>
        <w:ind w:left="27" w:right="-13" w:firstLine="0"/>
        <w:rPr>
          <w:sz w:val="20"/>
        </w:rPr>
      </w:pPr>
      <w:r>
        <w:rPr>
          <w:sz w:val="20"/>
        </w:rPr>
        <w:drawing>
          <wp:inline distT="0" distB="0" distL="0" distR="0">
            <wp:extent cx="155448" cy="155448"/>
            <wp:effectExtent l="0" t="0" r="0" b="0"/>
            <wp:docPr id="49" name="image2.png" descr=""/>
            <wp:cNvGraphicFramePr>
              <a:graphicFrameLocks noChangeAspect="1"/>
            </wp:cNvGraphicFramePr>
            <a:graphic>
              <a:graphicData uri="http://schemas.openxmlformats.org/drawingml/2006/picture">
                <pic:pic>
                  <pic:nvPicPr>
                    <pic:cNvPr id="50" name="image2.png"/>
                    <pic:cNvPicPr/>
                  </pic:nvPicPr>
                  <pic:blipFill>
                    <a:blip r:embed="rId8" cstate="print"/>
                    <a:stretch>
                      <a:fillRect/>
                    </a:stretch>
                  </pic:blipFill>
                  <pic:spPr>
                    <a:xfrm>
                      <a:off x="0" y="0"/>
                      <a:ext cx="155448" cy="155448"/>
                    </a:xfrm>
                    <a:prstGeom prst="rect">
                      <a:avLst/>
                    </a:prstGeom>
                  </pic:spPr>
                </pic:pic>
              </a:graphicData>
            </a:graphic>
          </wp:inline>
        </w:drawing>
      </w:r>
      <w:r>
        <w:rPr>
          <w:sz w:val="20"/>
        </w:rPr>
      </w:r>
      <w:r>
        <w:rPr>
          <w:sz w:val="20"/>
        </w:rPr>
        <w:tab/>
      </w:r>
      <w:r>
        <w:rPr>
          <w:sz w:val="20"/>
        </w:rPr>
        <w:drawing>
          <wp:inline distT="0" distB="0" distL="0" distR="0">
            <wp:extent cx="155448" cy="155448"/>
            <wp:effectExtent l="0" t="0" r="0" b="0"/>
            <wp:docPr id="51" name="image2.png" descr=""/>
            <wp:cNvGraphicFramePr>
              <a:graphicFrameLocks noChangeAspect="1"/>
            </wp:cNvGraphicFramePr>
            <a:graphic>
              <a:graphicData uri="http://schemas.openxmlformats.org/drawingml/2006/picture">
                <pic:pic>
                  <pic:nvPicPr>
                    <pic:cNvPr id="52" name="image2.png"/>
                    <pic:cNvPicPr/>
                  </pic:nvPicPr>
                  <pic:blipFill>
                    <a:blip r:embed="rId8" cstate="print"/>
                    <a:stretch>
                      <a:fillRect/>
                    </a:stretch>
                  </pic:blipFill>
                  <pic:spPr>
                    <a:xfrm>
                      <a:off x="0" y="0"/>
                      <a:ext cx="155448" cy="155448"/>
                    </a:xfrm>
                    <a:prstGeom prst="rect">
                      <a:avLst/>
                    </a:prstGeom>
                  </pic:spPr>
                </pic:pic>
              </a:graphicData>
            </a:graphic>
          </wp:inline>
        </w:drawing>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4"/>
        </w:rPr>
      </w:pPr>
      <w:r>
        <w:rPr/>
        <w:pict>
          <v:rect style="position:absolute;margin-left:251.457001pt;margin-top:15.875507pt;width:46.772pt;height:19.701pt;mso-position-horizontal-relative:page;mso-position-vertical-relative:paragraph;z-index:1552;mso-wrap-distance-left:0;mso-wrap-distance-right:0" filled="true" fillcolor="#ffffff" stroked="false">
            <v:fill type="solid"/>
            <w10:wrap type="topAndBottom"/>
          </v:rect>
        </w:pict>
      </w:r>
    </w:p>
    <w:p>
      <w:pPr>
        <w:spacing w:after="0"/>
        <w:rPr>
          <w:sz w:val="24"/>
        </w:rPr>
        <w:sectPr>
          <w:footerReference w:type="default" r:id="rId11"/>
          <w:pgSz w:w="10920" w:h="13080"/>
          <w:pgMar w:footer="0" w:header="0" w:top="420" w:bottom="140" w:left="0" w:right="0"/>
        </w:sectPr>
      </w:pPr>
    </w:p>
    <w:p>
      <w:pPr>
        <w:pStyle w:val="BodyText"/>
        <w:rPr>
          <w:sz w:val="20"/>
        </w:rPr>
      </w:pPr>
    </w:p>
    <w:p>
      <w:pPr>
        <w:pStyle w:val="BodyText"/>
        <w:rPr>
          <w:sz w:val="20"/>
        </w:rPr>
      </w:pPr>
    </w:p>
    <w:p>
      <w:pPr>
        <w:pStyle w:val="BodyText"/>
        <w:spacing w:before="6"/>
        <w:rPr>
          <w:sz w:val="23"/>
        </w:rPr>
      </w:pPr>
    </w:p>
    <w:p>
      <w:pPr>
        <w:spacing w:line="247" w:lineRule="auto" w:before="69"/>
        <w:ind w:left="2639" w:right="2641" w:firstLine="0"/>
        <w:jc w:val="center"/>
        <w:rPr>
          <w:rFonts w:ascii="Trebuchet MS" w:hAnsi="Trebuchet MS"/>
          <w:i/>
          <w:sz w:val="24"/>
        </w:rPr>
      </w:pPr>
      <w:r>
        <w:rPr>
          <w:rFonts w:ascii="Trebuchet MS" w:hAnsi="Trebuchet MS"/>
          <w:i/>
          <w:color w:val="010202"/>
          <w:spacing w:val="-3"/>
          <w:sz w:val="24"/>
        </w:rPr>
        <w:t>Sergio Cruz Hernández; Gerardo Noriega Altamirano; </w:t>
      </w:r>
      <w:r>
        <w:rPr>
          <w:rFonts w:ascii="Trebuchet MS" w:hAnsi="Trebuchet MS"/>
          <w:i/>
          <w:color w:val="010202"/>
          <w:spacing w:val="-3"/>
          <w:sz w:val="24"/>
        </w:rPr>
        <w:t>Eduardo García </w:t>
      </w:r>
      <w:r>
        <w:rPr>
          <w:rFonts w:ascii="Trebuchet MS" w:hAnsi="Trebuchet MS"/>
          <w:i/>
          <w:color w:val="010202"/>
          <w:sz w:val="24"/>
        </w:rPr>
        <w:t>de la </w:t>
      </w:r>
      <w:r>
        <w:rPr>
          <w:rFonts w:ascii="Trebuchet MS" w:hAnsi="Trebuchet MS"/>
          <w:i/>
          <w:color w:val="010202"/>
          <w:spacing w:val="-3"/>
          <w:sz w:val="24"/>
        </w:rPr>
        <w:t>Rosa </w:t>
      </w:r>
      <w:r>
        <w:rPr>
          <w:rFonts w:ascii="Trebuchet MS" w:hAnsi="Trebuchet MS"/>
          <w:i/>
          <w:color w:val="010202"/>
          <w:sz w:val="24"/>
        </w:rPr>
        <w:t>y </w:t>
      </w:r>
      <w:r>
        <w:rPr>
          <w:rFonts w:ascii="Trebuchet MS" w:hAnsi="Trebuchet MS"/>
          <w:i/>
          <w:color w:val="010202"/>
          <w:spacing w:val="-3"/>
          <w:sz w:val="24"/>
        </w:rPr>
        <w:t>Jesús Leyva Baeza</w:t>
      </w: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spacing w:before="7"/>
        <w:rPr>
          <w:rFonts w:ascii="Trebuchet MS"/>
          <w:i/>
          <w:sz w:val="31"/>
        </w:rPr>
      </w:pPr>
    </w:p>
    <w:p>
      <w:pPr>
        <w:spacing w:line="247" w:lineRule="auto" w:before="0"/>
        <w:ind w:left="2154" w:right="2153" w:hanging="1"/>
        <w:jc w:val="center"/>
        <w:rPr>
          <w:rFonts w:ascii="Trebuchet MS" w:hAnsi="Trebuchet MS"/>
          <w:b/>
          <w:sz w:val="36"/>
        </w:rPr>
      </w:pPr>
      <w:r>
        <w:rPr>
          <w:rFonts w:ascii="Trebuchet MS" w:hAnsi="Trebuchet MS"/>
          <w:b/>
          <w:color w:val="010202"/>
          <w:spacing w:val="-7"/>
          <w:sz w:val="36"/>
        </w:rPr>
        <w:t>IMPACTOS </w:t>
      </w:r>
      <w:r>
        <w:rPr>
          <w:rFonts w:ascii="Trebuchet MS" w:hAnsi="Trebuchet MS"/>
          <w:b/>
          <w:color w:val="010202"/>
          <w:sz w:val="36"/>
        </w:rPr>
        <w:t>DEL CAMBIO CLIMÁTICO EN LA PRODUCCIÓN AGRÍCOLA, BAJO CONDICIONES DE TEMPORAL EN</w:t>
      </w:r>
      <w:r>
        <w:rPr>
          <w:rFonts w:ascii="Trebuchet MS" w:hAnsi="Trebuchet MS"/>
          <w:b/>
          <w:color w:val="010202"/>
          <w:spacing w:val="-30"/>
          <w:sz w:val="36"/>
        </w:rPr>
        <w:t> </w:t>
      </w:r>
      <w:r>
        <w:rPr>
          <w:rFonts w:ascii="Trebuchet MS" w:hAnsi="Trebuchet MS"/>
          <w:b/>
          <w:color w:val="010202"/>
          <w:sz w:val="36"/>
        </w:rPr>
        <w:t>MÉXICO</w:t>
      </w:r>
    </w:p>
    <w:p>
      <w:pPr>
        <w:pStyle w:val="BodyText"/>
        <w:rPr>
          <w:rFonts w:ascii="Trebuchet MS"/>
          <w:b/>
          <w:sz w:val="36"/>
        </w:rPr>
      </w:pPr>
    </w:p>
    <w:p>
      <w:pPr>
        <w:pStyle w:val="BodyText"/>
        <w:rPr>
          <w:rFonts w:ascii="Trebuchet MS"/>
          <w:b/>
          <w:sz w:val="36"/>
        </w:rPr>
      </w:pPr>
    </w:p>
    <w:p>
      <w:pPr>
        <w:pStyle w:val="BodyText"/>
        <w:rPr>
          <w:rFonts w:ascii="Trebuchet MS"/>
          <w:b/>
          <w:sz w:val="36"/>
        </w:rPr>
      </w:pPr>
    </w:p>
    <w:p>
      <w:pPr>
        <w:pStyle w:val="BodyText"/>
        <w:spacing w:before="1"/>
        <w:rPr>
          <w:rFonts w:ascii="Trebuchet MS"/>
          <w:b/>
          <w:sz w:val="30"/>
        </w:rPr>
      </w:pPr>
    </w:p>
    <w:p>
      <w:pPr>
        <w:spacing w:before="0"/>
        <w:ind w:left="1270" w:right="0" w:firstLine="0"/>
        <w:jc w:val="both"/>
        <w:rPr>
          <w:b/>
          <w:sz w:val="24"/>
        </w:rPr>
      </w:pPr>
      <w:r>
        <w:rPr>
          <w:b/>
          <w:color w:val="010202"/>
          <w:sz w:val="24"/>
        </w:rPr>
        <w:t>Introducción</w:t>
      </w:r>
    </w:p>
    <w:p>
      <w:pPr>
        <w:pStyle w:val="BodyText"/>
        <w:spacing w:before="2"/>
        <w:rPr>
          <w:b/>
          <w:sz w:val="25"/>
        </w:rPr>
      </w:pPr>
    </w:p>
    <w:p>
      <w:pPr>
        <w:pStyle w:val="BodyText"/>
        <w:spacing w:line="247" w:lineRule="auto"/>
        <w:ind w:left="1270" w:right="1267"/>
        <w:jc w:val="both"/>
      </w:pPr>
      <w:r>
        <w:rPr>
          <w:color w:val="231F20"/>
        </w:rPr>
        <w:t>En</w:t>
      </w:r>
      <w:r>
        <w:rPr>
          <w:color w:val="231F20"/>
          <w:spacing w:val="-11"/>
        </w:rPr>
        <w:t> </w:t>
      </w:r>
      <w:r>
        <w:rPr>
          <w:color w:val="231F20"/>
        </w:rPr>
        <w:t>la</w:t>
      </w:r>
      <w:r>
        <w:rPr>
          <w:color w:val="231F20"/>
          <w:spacing w:val="-11"/>
        </w:rPr>
        <w:t> </w:t>
      </w:r>
      <w:r>
        <w:rPr>
          <w:color w:val="231F20"/>
        </w:rPr>
        <w:t>actualidad,</w:t>
      </w:r>
      <w:r>
        <w:rPr>
          <w:color w:val="231F20"/>
          <w:spacing w:val="-11"/>
        </w:rPr>
        <w:t> </w:t>
      </w:r>
      <w:r>
        <w:rPr>
          <w:color w:val="231F20"/>
        </w:rPr>
        <w:t>a</w:t>
      </w:r>
      <w:r>
        <w:rPr>
          <w:color w:val="231F20"/>
          <w:spacing w:val="-11"/>
        </w:rPr>
        <w:t> </w:t>
      </w:r>
      <w:r>
        <w:rPr>
          <w:color w:val="231F20"/>
        </w:rPr>
        <w:t>nivel</w:t>
      </w:r>
      <w:r>
        <w:rPr>
          <w:color w:val="231F20"/>
          <w:spacing w:val="-11"/>
        </w:rPr>
        <w:t> </w:t>
      </w:r>
      <w:r>
        <w:rPr>
          <w:color w:val="231F20"/>
        </w:rPr>
        <w:t>mundial,</w:t>
      </w:r>
      <w:r>
        <w:rPr>
          <w:color w:val="231F20"/>
          <w:spacing w:val="-11"/>
        </w:rPr>
        <w:t> </w:t>
      </w:r>
      <w:r>
        <w:rPr>
          <w:color w:val="231F20"/>
        </w:rPr>
        <w:t>se</w:t>
      </w:r>
      <w:r>
        <w:rPr>
          <w:color w:val="231F20"/>
          <w:spacing w:val="-11"/>
        </w:rPr>
        <w:t> </w:t>
      </w:r>
      <w:r>
        <w:rPr>
          <w:color w:val="231F20"/>
        </w:rPr>
        <w:t>vive</w:t>
      </w:r>
      <w:r>
        <w:rPr>
          <w:color w:val="231F20"/>
          <w:spacing w:val="-11"/>
        </w:rPr>
        <w:t> </w:t>
      </w:r>
      <w:r>
        <w:rPr>
          <w:color w:val="231F20"/>
        </w:rPr>
        <w:t>una</w:t>
      </w:r>
      <w:r>
        <w:rPr>
          <w:color w:val="231F20"/>
          <w:spacing w:val="-11"/>
        </w:rPr>
        <w:t> </w:t>
      </w:r>
      <w:r>
        <w:rPr>
          <w:color w:val="231F20"/>
        </w:rPr>
        <w:t>crisis</w:t>
      </w:r>
      <w:r>
        <w:rPr>
          <w:color w:val="231F20"/>
          <w:spacing w:val="-11"/>
        </w:rPr>
        <w:t> </w:t>
      </w:r>
      <w:r>
        <w:rPr>
          <w:color w:val="231F20"/>
        </w:rPr>
        <w:t>alimentaria,</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agrava</w:t>
      </w:r>
      <w:r>
        <w:rPr>
          <w:color w:val="231F20"/>
          <w:spacing w:val="-11"/>
        </w:rPr>
        <w:t> </w:t>
      </w:r>
      <w:r>
        <w:rPr>
          <w:color w:val="231F20"/>
        </w:rPr>
        <w:t>con</w:t>
      </w:r>
      <w:r>
        <w:rPr>
          <w:color w:val="231F20"/>
          <w:spacing w:val="-11"/>
        </w:rPr>
        <w:t> </w:t>
      </w:r>
      <w:r>
        <w:rPr>
          <w:color w:val="231F20"/>
        </w:rPr>
        <w:t>el</w:t>
      </w:r>
      <w:r>
        <w:rPr>
          <w:color w:val="231F20"/>
          <w:spacing w:val="-11"/>
        </w:rPr>
        <w:t> </w:t>
      </w:r>
      <w:r>
        <w:rPr>
          <w:color w:val="231F20"/>
        </w:rPr>
        <w:t>paso</w:t>
      </w:r>
      <w:r>
        <w:rPr>
          <w:color w:val="231F20"/>
          <w:spacing w:val="-11"/>
        </w:rPr>
        <w:t> </w:t>
      </w:r>
      <w:r>
        <w:rPr>
          <w:color w:val="231F20"/>
        </w:rPr>
        <w:t>del</w:t>
      </w:r>
      <w:r>
        <w:rPr>
          <w:color w:val="231F20"/>
          <w:spacing w:val="-11"/>
        </w:rPr>
        <w:t> </w:t>
      </w:r>
      <w:r>
        <w:rPr>
          <w:color w:val="231F20"/>
        </w:rPr>
        <w:t>tiempo, el constante aumento de la población, la demanda de necesidades básicas como es el alimento,</w:t>
      </w:r>
      <w:r>
        <w:rPr>
          <w:color w:val="231F20"/>
          <w:spacing w:val="-18"/>
        </w:rPr>
        <w:t> </w:t>
      </w:r>
      <w:r>
        <w:rPr>
          <w:color w:val="231F20"/>
        </w:rPr>
        <w:t>prin- cipalmente con los granos básicos. El cambio climático se concibe como la modificación del clima, con</w:t>
      </w:r>
      <w:r>
        <w:rPr>
          <w:color w:val="231F20"/>
          <w:spacing w:val="-6"/>
        </w:rPr>
        <w:t> </w:t>
      </w:r>
      <w:r>
        <w:rPr>
          <w:color w:val="231F20"/>
        </w:rPr>
        <w:t>respecto</w:t>
      </w:r>
      <w:r>
        <w:rPr>
          <w:color w:val="231F20"/>
          <w:spacing w:val="-5"/>
        </w:rPr>
        <w:t> </w:t>
      </w:r>
      <w:r>
        <w:rPr>
          <w:color w:val="231F20"/>
        </w:rPr>
        <w:t>al</w:t>
      </w:r>
      <w:r>
        <w:rPr>
          <w:color w:val="231F20"/>
          <w:spacing w:val="-5"/>
        </w:rPr>
        <w:t> </w:t>
      </w:r>
      <w:r>
        <w:rPr>
          <w:color w:val="231F20"/>
        </w:rPr>
        <w:t>historial</w:t>
      </w:r>
      <w:r>
        <w:rPr>
          <w:color w:val="231F20"/>
          <w:spacing w:val="-5"/>
        </w:rPr>
        <w:t> </w:t>
      </w:r>
      <w:r>
        <w:rPr>
          <w:color w:val="231F20"/>
        </w:rPr>
        <w:t>climático,</w:t>
      </w:r>
      <w:r>
        <w:rPr>
          <w:color w:val="231F20"/>
          <w:spacing w:val="-6"/>
        </w:rPr>
        <w:t> </w:t>
      </w:r>
      <w:r>
        <w:rPr>
          <w:color w:val="231F20"/>
        </w:rPr>
        <w:t>a</w:t>
      </w:r>
      <w:r>
        <w:rPr>
          <w:color w:val="231F20"/>
          <w:spacing w:val="-5"/>
        </w:rPr>
        <w:t> </w:t>
      </w:r>
      <w:r>
        <w:rPr>
          <w:color w:val="231F20"/>
        </w:rPr>
        <w:t>una</w:t>
      </w:r>
      <w:r>
        <w:rPr>
          <w:color w:val="231F20"/>
          <w:spacing w:val="-5"/>
        </w:rPr>
        <w:t> </w:t>
      </w:r>
      <w:r>
        <w:rPr>
          <w:color w:val="231F20"/>
        </w:rPr>
        <w:t>escala</w:t>
      </w:r>
      <w:r>
        <w:rPr>
          <w:color w:val="231F20"/>
          <w:spacing w:val="-6"/>
        </w:rPr>
        <w:t> </w:t>
      </w:r>
      <w:r>
        <w:rPr>
          <w:color w:val="231F20"/>
        </w:rPr>
        <w:t>global,</w:t>
      </w:r>
      <w:r>
        <w:rPr>
          <w:color w:val="231F20"/>
          <w:spacing w:val="-5"/>
        </w:rPr>
        <w:t> </w:t>
      </w:r>
      <w:r>
        <w:rPr>
          <w:color w:val="231F20"/>
        </w:rPr>
        <w:t>regional</w:t>
      </w:r>
      <w:r>
        <w:rPr>
          <w:color w:val="231F20"/>
          <w:spacing w:val="-5"/>
        </w:rPr>
        <w:t> </w:t>
      </w:r>
      <w:r>
        <w:rPr>
          <w:color w:val="231F20"/>
        </w:rPr>
        <w:t>o</w:t>
      </w:r>
      <w:r>
        <w:rPr>
          <w:color w:val="231F20"/>
          <w:spacing w:val="-5"/>
        </w:rPr>
        <w:t> </w:t>
      </w:r>
      <w:r>
        <w:rPr>
          <w:color w:val="231F20"/>
        </w:rPr>
        <w:t>local.</w:t>
      </w:r>
      <w:r>
        <w:rPr>
          <w:color w:val="231F20"/>
          <w:spacing w:val="-10"/>
        </w:rPr>
        <w:t> </w:t>
      </w:r>
      <w:r>
        <w:rPr>
          <w:color w:val="231F20"/>
          <w:spacing w:val="-3"/>
        </w:rPr>
        <w:t>Tales</w:t>
      </w:r>
      <w:r>
        <w:rPr>
          <w:color w:val="231F20"/>
          <w:spacing w:val="-6"/>
        </w:rPr>
        <w:t> </w:t>
      </w:r>
      <w:r>
        <w:rPr>
          <w:color w:val="231F20"/>
        </w:rPr>
        <w:t>cambios</w:t>
      </w:r>
      <w:r>
        <w:rPr>
          <w:color w:val="231F20"/>
          <w:spacing w:val="-6"/>
        </w:rPr>
        <w:t> </w:t>
      </w:r>
      <w:r>
        <w:rPr>
          <w:color w:val="231F20"/>
        </w:rPr>
        <w:t>se</w:t>
      </w:r>
      <w:r>
        <w:rPr>
          <w:color w:val="231F20"/>
          <w:spacing w:val="-5"/>
        </w:rPr>
        <w:t> </w:t>
      </w:r>
      <w:r>
        <w:rPr>
          <w:color w:val="231F20"/>
        </w:rPr>
        <w:t>producen</w:t>
      </w:r>
      <w:r>
        <w:rPr>
          <w:color w:val="231F20"/>
          <w:spacing w:val="-5"/>
        </w:rPr>
        <w:t> </w:t>
      </w:r>
      <w:r>
        <w:rPr>
          <w:color w:val="231F20"/>
        </w:rPr>
        <w:t>a muy</w:t>
      </w:r>
      <w:r>
        <w:rPr>
          <w:color w:val="231F20"/>
          <w:spacing w:val="-5"/>
        </w:rPr>
        <w:t> </w:t>
      </w:r>
      <w:r>
        <w:rPr>
          <w:color w:val="231F20"/>
        </w:rPr>
        <w:t>diversas</w:t>
      </w:r>
      <w:r>
        <w:rPr>
          <w:color w:val="231F20"/>
          <w:spacing w:val="-5"/>
        </w:rPr>
        <w:t> </w:t>
      </w:r>
      <w:r>
        <w:rPr>
          <w:color w:val="231F20"/>
        </w:rPr>
        <w:t>escalas</w:t>
      </w:r>
      <w:r>
        <w:rPr>
          <w:color w:val="231F20"/>
          <w:spacing w:val="-6"/>
        </w:rPr>
        <w:t> </w:t>
      </w:r>
      <w:r>
        <w:rPr>
          <w:color w:val="231F20"/>
        </w:rPr>
        <w:t>de</w:t>
      </w:r>
      <w:r>
        <w:rPr>
          <w:color w:val="231F20"/>
          <w:spacing w:val="-5"/>
        </w:rPr>
        <w:t> </w:t>
      </w:r>
      <w:r>
        <w:rPr>
          <w:color w:val="231F20"/>
        </w:rPr>
        <w:t>tiempo</w:t>
      </w:r>
      <w:r>
        <w:rPr>
          <w:color w:val="231F20"/>
          <w:spacing w:val="-5"/>
        </w:rPr>
        <w:t> </w:t>
      </w:r>
      <w:r>
        <w:rPr>
          <w:color w:val="231F20"/>
        </w:rPr>
        <w:t>en</w:t>
      </w:r>
      <w:r>
        <w:rPr>
          <w:color w:val="231F20"/>
          <w:spacing w:val="-5"/>
        </w:rPr>
        <w:t> </w:t>
      </w:r>
      <w:r>
        <w:rPr>
          <w:color w:val="231F20"/>
        </w:rPr>
        <w:t>los</w:t>
      </w:r>
      <w:r>
        <w:rPr>
          <w:color w:val="231F20"/>
          <w:spacing w:val="-5"/>
        </w:rPr>
        <w:t> </w:t>
      </w:r>
      <w:r>
        <w:rPr>
          <w:color w:val="231F20"/>
        </w:rPr>
        <w:t>elementos</w:t>
      </w:r>
      <w:r>
        <w:rPr>
          <w:color w:val="231F20"/>
          <w:spacing w:val="-6"/>
        </w:rPr>
        <w:t> </w:t>
      </w:r>
      <w:r>
        <w:rPr>
          <w:color w:val="231F20"/>
        </w:rPr>
        <w:t>del</w:t>
      </w:r>
      <w:r>
        <w:rPr>
          <w:color w:val="231F20"/>
          <w:spacing w:val="-5"/>
        </w:rPr>
        <w:t> </w:t>
      </w:r>
      <w:r>
        <w:rPr>
          <w:color w:val="231F20"/>
        </w:rPr>
        <w:t>clima,</w:t>
      </w:r>
      <w:r>
        <w:rPr>
          <w:color w:val="231F20"/>
          <w:spacing w:val="-5"/>
        </w:rPr>
        <w:t> </w:t>
      </w:r>
      <w:r>
        <w:rPr>
          <w:color w:val="231F20"/>
        </w:rPr>
        <w:t>tales</w:t>
      </w:r>
      <w:r>
        <w:rPr>
          <w:color w:val="231F20"/>
          <w:spacing w:val="-5"/>
        </w:rPr>
        <w:t> </w:t>
      </w:r>
      <w:r>
        <w:rPr>
          <w:color w:val="231F20"/>
        </w:rPr>
        <w:t>cambios</w:t>
      </w:r>
      <w:r>
        <w:rPr>
          <w:color w:val="231F20"/>
          <w:spacing w:val="-6"/>
        </w:rPr>
        <w:t> </w:t>
      </w:r>
      <w:r>
        <w:rPr>
          <w:color w:val="231F20"/>
        </w:rPr>
        <w:t>son</w:t>
      </w:r>
      <w:r>
        <w:rPr>
          <w:color w:val="231F20"/>
          <w:spacing w:val="-5"/>
        </w:rPr>
        <w:t> </w:t>
      </w:r>
      <w:r>
        <w:rPr>
          <w:color w:val="231F20"/>
        </w:rPr>
        <w:t>debidos</w:t>
      </w:r>
      <w:r>
        <w:rPr>
          <w:color w:val="231F20"/>
          <w:spacing w:val="-5"/>
        </w:rPr>
        <w:t> </w:t>
      </w:r>
      <w:r>
        <w:rPr>
          <w:color w:val="231F20"/>
        </w:rPr>
        <w:t>tanto</w:t>
      </w:r>
      <w:r>
        <w:rPr>
          <w:color w:val="231F20"/>
          <w:spacing w:val="-5"/>
        </w:rPr>
        <w:t> </w:t>
      </w:r>
      <w:r>
        <w:rPr>
          <w:color w:val="231F20"/>
        </w:rPr>
        <w:t>a</w:t>
      </w:r>
      <w:r>
        <w:rPr>
          <w:color w:val="231F20"/>
          <w:spacing w:val="-5"/>
        </w:rPr>
        <w:t> </w:t>
      </w:r>
      <w:r>
        <w:rPr>
          <w:color w:val="231F20"/>
        </w:rPr>
        <w:t>causas naturales como antropogénicas. La agricultura de temporal, es un sistema de producción que</w:t>
      </w:r>
      <w:r>
        <w:rPr>
          <w:color w:val="231F20"/>
          <w:spacing w:val="-23"/>
        </w:rPr>
        <w:t> </w:t>
      </w:r>
      <w:r>
        <w:rPr>
          <w:color w:val="231F20"/>
        </w:rPr>
        <w:t>depen- de</w:t>
      </w:r>
      <w:r>
        <w:rPr>
          <w:color w:val="231F20"/>
          <w:spacing w:val="-3"/>
        </w:rPr>
        <w:t> </w:t>
      </w:r>
      <w:r>
        <w:rPr>
          <w:color w:val="231F20"/>
        </w:rPr>
        <w:t>del</w:t>
      </w:r>
      <w:r>
        <w:rPr>
          <w:color w:val="231F20"/>
          <w:spacing w:val="-3"/>
        </w:rPr>
        <w:t> </w:t>
      </w:r>
      <w:r>
        <w:rPr>
          <w:color w:val="231F20"/>
        </w:rPr>
        <w:t>comportamiento</w:t>
      </w:r>
      <w:r>
        <w:rPr>
          <w:color w:val="231F20"/>
          <w:spacing w:val="-4"/>
        </w:rPr>
        <w:t> </w:t>
      </w:r>
      <w:r>
        <w:rPr>
          <w:color w:val="231F20"/>
        </w:rPr>
        <w:t>de</w:t>
      </w:r>
      <w:r>
        <w:rPr>
          <w:color w:val="231F20"/>
          <w:spacing w:val="-3"/>
        </w:rPr>
        <w:t> </w:t>
      </w:r>
      <w:r>
        <w:rPr>
          <w:color w:val="231F20"/>
        </w:rPr>
        <w:t>las</w:t>
      </w:r>
      <w:r>
        <w:rPr>
          <w:color w:val="231F20"/>
          <w:spacing w:val="-3"/>
        </w:rPr>
        <w:t> </w:t>
      </w:r>
      <w:r>
        <w:rPr>
          <w:color w:val="231F20"/>
        </w:rPr>
        <w:t>lluvias</w:t>
      </w:r>
      <w:r>
        <w:rPr>
          <w:color w:val="231F20"/>
          <w:spacing w:val="-3"/>
        </w:rPr>
        <w:t> </w:t>
      </w:r>
      <w:r>
        <w:rPr>
          <w:color w:val="231F20"/>
        </w:rPr>
        <w:t>durante</w:t>
      </w:r>
      <w:r>
        <w:rPr>
          <w:color w:val="231F20"/>
          <w:spacing w:val="-3"/>
        </w:rPr>
        <w:t> </w:t>
      </w:r>
      <w:r>
        <w:rPr>
          <w:color w:val="231F20"/>
        </w:rPr>
        <w:t>el</w:t>
      </w:r>
      <w:r>
        <w:rPr>
          <w:color w:val="231F20"/>
          <w:spacing w:val="-3"/>
        </w:rPr>
        <w:t> </w:t>
      </w:r>
      <w:r>
        <w:rPr>
          <w:color w:val="231F20"/>
        </w:rPr>
        <w:t>ciclo</w:t>
      </w:r>
      <w:r>
        <w:rPr>
          <w:color w:val="231F20"/>
          <w:spacing w:val="-3"/>
        </w:rPr>
        <w:t> </w:t>
      </w:r>
      <w:r>
        <w:rPr>
          <w:color w:val="231F20"/>
        </w:rPr>
        <w:t>de</w:t>
      </w:r>
      <w:r>
        <w:rPr>
          <w:color w:val="231F20"/>
          <w:spacing w:val="-3"/>
        </w:rPr>
        <w:t> </w:t>
      </w:r>
      <w:r>
        <w:rPr>
          <w:color w:val="231F20"/>
        </w:rPr>
        <w:t>producción</w:t>
      </w:r>
      <w:r>
        <w:rPr>
          <w:color w:val="231F20"/>
          <w:spacing w:val="-3"/>
        </w:rPr>
        <w:t> </w:t>
      </w:r>
      <w:r>
        <w:rPr>
          <w:color w:val="231F20"/>
        </w:rPr>
        <w:t>y</w:t>
      </w:r>
      <w:r>
        <w:rPr>
          <w:color w:val="231F20"/>
          <w:spacing w:val="-3"/>
        </w:rPr>
        <w:t> </w:t>
      </w:r>
      <w:r>
        <w:rPr>
          <w:color w:val="231F20"/>
        </w:rPr>
        <w:t>de</w:t>
      </w:r>
      <w:r>
        <w:rPr>
          <w:color w:val="231F20"/>
          <w:spacing w:val="-3"/>
        </w:rPr>
        <w:t> </w:t>
      </w:r>
      <w:r>
        <w:rPr>
          <w:color w:val="231F20"/>
        </w:rPr>
        <w:t>la</w:t>
      </w:r>
      <w:r>
        <w:rPr>
          <w:color w:val="231F20"/>
          <w:spacing w:val="-3"/>
        </w:rPr>
        <w:t> </w:t>
      </w:r>
      <w:r>
        <w:rPr>
          <w:color w:val="231F20"/>
        </w:rPr>
        <w:t>capacidad</w:t>
      </w:r>
      <w:r>
        <w:rPr>
          <w:color w:val="231F20"/>
          <w:spacing w:val="-3"/>
        </w:rPr>
        <w:t> </w:t>
      </w:r>
      <w:r>
        <w:rPr>
          <w:color w:val="231F20"/>
        </w:rPr>
        <w:t>del</w:t>
      </w:r>
      <w:r>
        <w:rPr>
          <w:color w:val="231F20"/>
          <w:spacing w:val="-3"/>
        </w:rPr>
        <w:t> </w:t>
      </w:r>
      <w:r>
        <w:rPr>
          <w:color w:val="231F20"/>
        </w:rPr>
        <w:t>suelo</w:t>
      </w:r>
      <w:r>
        <w:rPr>
          <w:color w:val="231F20"/>
          <w:spacing w:val="-3"/>
        </w:rPr>
        <w:t> </w:t>
      </w:r>
      <w:r>
        <w:rPr>
          <w:color w:val="231F20"/>
        </w:rPr>
        <w:t>para almacenar</w:t>
      </w:r>
      <w:r>
        <w:rPr>
          <w:color w:val="231F20"/>
          <w:spacing w:val="-6"/>
        </w:rPr>
        <w:t> </w:t>
      </w:r>
      <w:r>
        <w:rPr>
          <w:color w:val="231F20"/>
        </w:rPr>
        <w:t>el</w:t>
      </w:r>
      <w:r>
        <w:rPr>
          <w:color w:val="231F20"/>
          <w:spacing w:val="-6"/>
        </w:rPr>
        <w:t> </w:t>
      </w:r>
      <w:r>
        <w:rPr>
          <w:color w:val="231F20"/>
        </w:rPr>
        <w:t>agua</w:t>
      </w:r>
      <w:r>
        <w:rPr>
          <w:color w:val="231F20"/>
          <w:spacing w:val="-6"/>
        </w:rPr>
        <w:t> </w:t>
      </w:r>
      <w:r>
        <w:rPr>
          <w:color w:val="231F20"/>
        </w:rPr>
        <w:t>y</w:t>
      </w:r>
      <w:r>
        <w:rPr>
          <w:color w:val="231F20"/>
          <w:spacing w:val="-5"/>
        </w:rPr>
        <w:t> </w:t>
      </w:r>
      <w:r>
        <w:rPr>
          <w:color w:val="231F20"/>
        </w:rPr>
        <w:t>conservar</w:t>
      </w:r>
      <w:r>
        <w:rPr>
          <w:color w:val="231F20"/>
          <w:spacing w:val="-6"/>
        </w:rPr>
        <w:t> </w:t>
      </w:r>
      <w:r>
        <w:rPr>
          <w:color w:val="231F20"/>
        </w:rPr>
        <w:t>la</w:t>
      </w:r>
      <w:r>
        <w:rPr>
          <w:color w:val="231F20"/>
          <w:spacing w:val="-6"/>
        </w:rPr>
        <w:t> </w:t>
      </w:r>
      <w:r>
        <w:rPr>
          <w:color w:val="231F20"/>
        </w:rPr>
        <w:t>humedad.</w:t>
      </w:r>
      <w:r>
        <w:rPr>
          <w:color w:val="231F20"/>
          <w:spacing w:val="-6"/>
        </w:rPr>
        <w:t> </w:t>
      </w:r>
      <w:r>
        <w:rPr>
          <w:color w:val="231F20"/>
        </w:rPr>
        <w:t>Estas</w:t>
      </w:r>
      <w:r>
        <w:rPr>
          <w:color w:val="231F20"/>
          <w:spacing w:val="-6"/>
        </w:rPr>
        <w:t> </w:t>
      </w:r>
      <w:r>
        <w:rPr>
          <w:color w:val="231F20"/>
        </w:rPr>
        <w:t>particularidades</w:t>
      </w:r>
      <w:r>
        <w:rPr>
          <w:color w:val="231F20"/>
          <w:spacing w:val="-5"/>
        </w:rPr>
        <w:t> </w:t>
      </w:r>
      <w:r>
        <w:rPr>
          <w:color w:val="231F20"/>
        </w:rPr>
        <w:t>le</w:t>
      </w:r>
      <w:r>
        <w:rPr>
          <w:color w:val="231F20"/>
          <w:spacing w:val="-6"/>
        </w:rPr>
        <w:t> </w:t>
      </w:r>
      <w:r>
        <w:rPr>
          <w:color w:val="231F20"/>
        </w:rPr>
        <w:t>confiere</w:t>
      </w:r>
      <w:r>
        <w:rPr>
          <w:color w:val="231F20"/>
          <w:spacing w:val="-6"/>
        </w:rPr>
        <w:t> </w:t>
      </w:r>
      <w:r>
        <w:rPr>
          <w:color w:val="231F20"/>
        </w:rPr>
        <w:t>incertidumbre</w:t>
      </w:r>
      <w:r>
        <w:rPr>
          <w:color w:val="231F20"/>
          <w:spacing w:val="-6"/>
        </w:rPr>
        <w:t> </w:t>
      </w:r>
      <w:r>
        <w:rPr>
          <w:color w:val="231F20"/>
        </w:rPr>
        <w:t>al</w:t>
      </w:r>
      <w:r>
        <w:rPr>
          <w:color w:val="231F20"/>
          <w:spacing w:val="-6"/>
        </w:rPr>
        <w:t> </w:t>
      </w:r>
      <w:r>
        <w:rPr>
          <w:color w:val="231F20"/>
        </w:rPr>
        <w:t>rendi- miento pronosticado y se prevé que los efectos del Cambio Climático en la agricultura de temporal incremente más ésta incertidumbre (Martínez,</w:t>
      </w:r>
      <w:r>
        <w:rPr>
          <w:color w:val="231F20"/>
          <w:spacing w:val="-13"/>
        </w:rPr>
        <w:t> </w:t>
      </w:r>
      <w:r>
        <w:rPr>
          <w:color w:val="231F20"/>
        </w:rPr>
        <w:t>2011).</w:t>
      </w:r>
    </w:p>
    <w:p>
      <w:pPr>
        <w:pStyle w:val="BodyText"/>
        <w:spacing w:before="10"/>
      </w:pPr>
    </w:p>
    <w:p>
      <w:pPr>
        <w:pStyle w:val="BodyText"/>
        <w:spacing w:line="247" w:lineRule="auto"/>
        <w:ind w:left="1270" w:right="1268"/>
        <w:jc w:val="both"/>
      </w:pPr>
      <w:r>
        <w:rPr>
          <w:color w:val="231F20"/>
        </w:rPr>
        <w:t>La</w:t>
      </w:r>
      <w:r>
        <w:rPr>
          <w:color w:val="231F20"/>
          <w:spacing w:val="-9"/>
        </w:rPr>
        <w:t> </w:t>
      </w:r>
      <w:r>
        <w:rPr>
          <w:color w:val="231F20"/>
        </w:rPr>
        <w:t>superficie</w:t>
      </w:r>
      <w:r>
        <w:rPr>
          <w:color w:val="231F20"/>
          <w:spacing w:val="-9"/>
        </w:rPr>
        <w:t> </w:t>
      </w:r>
      <w:r>
        <w:rPr>
          <w:color w:val="231F20"/>
        </w:rPr>
        <w:t>del</w:t>
      </w:r>
      <w:r>
        <w:rPr>
          <w:color w:val="231F20"/>
          <w:spacing w:val="-9"/>
        </w:rPr>
        <w:t> </w:t>
      </w:r>
      <w:r>
        <w:rPr>
          <w:color w:val="231F20"/>
        </w:rPr>
        <w:t>país</w:t>
      </w:r>
      <w:r>
        <w:rPr>
          <w:color w:val="231F20"/>
          <w:spacing w:val="-9"/>
        </w:rPr>
        <w:t> </w:t>
      </w:r>
      <w:r>
        <w:rPr>
          <w:color w:val="231F20"/>
        </w:rPr>
        <w:t>dedicada</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actividad</w:t>
      </w:r>
      <w:r>
        <w:rPr>
          <w:color w:val="231F20"/>
          <w:spacing w:val="-9"/>
        </w:rPr>
        <w:t> </w:t>
      </w:r>
      <w:r>
        <w:rPr>
          <w:color w:val="231F20"/>
        </w:rPr>
        <w:t>agrícola</w:t>
      </w:r>
      <w:r>
        <w:rPr>
          <w:color w:val="231F20"/>
          <w:spacing w:val="-9"/>
        </w:rPr>
        <w:t> </w:t>
      </w:r>
      <w:r>
        <w:rPr>
          <w:color w:val="231F20"/>
        </w:rPr>
        <w:t>es</w:t>
      </w:r>
      <w:r>
        <w:rPr>
          <w:color w:val="231F20"/>
          <w:spacing w:val="-9"/>
        </w:rPr>
        <w:t> </w:t>
      </w:r>
      <w:r>
        <w:rPr>
          <w:color w:val="231F20"/>
        </w:rPr>
        <w:t>de</w:t>
      </w:r>
      <w:r>
        <w:rPr>
          <w:color w:val="231F20"/>
          <w:spacing w:val="-9"/>
        </w:rPr>
        <w:t> </w:t>
      </w:r>
      <w:r>
        <w:rPr>
          <w:color w:val="231F20"/>
        </w:rPr>
        <w:t>29.9</w:t>
      </w:r>
      <w:r>
        <w:rPr>
          <w:color w:val="231F20"/>
          <w:spacing w:val="-9"/>
        </w:rPr>
        <w:t> </w:t>
      </w:r>
      <w:r>
        <w:rPr>
          <w:color w:val="231F20"/>
        </w:rPr>
        <w:t>millones</w:t>
      </w:r>
      <w:r>
        <w:rPr>
          <w:color w:val="231F20"/>
          <w:spacing w:val="-9"/>
        </w:rPr>
        <w:t> </w:t>
      </w:r>
      <w:r>
        <w:rPr>
          <w:color w:val="231F20"/>
        </w:rPr>
        <w:t>de</w:t>
      </w:r>
      <w:r>
        <w:rPr>
          <w:color w:val="231F20"/>
          <w:spacing w:val="-9"/>
        </w:rPr>
        <w:t> </w:t>
      </w:r>
      <w:r>
        <w:rPr>
          <w:color w:val="231F20"/>
        </w:rPr>
        <w:t>hectáreas;</w:t>
      </w:r>
      <w:r>
        <w:rPr>
          <w:color w:val="231F20"/>
          <w:spacing w:val="-9"/>
        </w:rPr>
        <w:t> </w:t>
      </w:r>
      <w:r>
        <w:rPr>
          <w:color w:val="231F20"/>
        </w:rPr>
        <w:t>24.6</w:t>
      </w:r>
      <w:r>
        <w:rPr>
          <w:color w:val="231F20"/>
          <w:spacing w:val="-9"/>
        </w:rPr>
        <w:t> </w:t>
      </w:r>
      <w:r>
        <w:rPr>
          <w:color w:val="231F20"/>
        </w:rPr>
        <w:t>millones de</w:t>
      </w:r>
      <w:r>
        <w:rPr>
          <w:color w:val="231F20"/>
          <w:spacing w:val="-6"/>
        </w:rPr>
        <w:t> </w:t>
      </w:r>
      <w:r>
        <w:rPr>
          <w:color w:val="231F20"/>
        </w:rPr>
        <w:t>has</w:t>
      </w:r>
      <w:r>
        <w:rPr>
          <w:color w:val="231F20"/>
          <w:spacing w:val="-6"/>
        </w:rPr>
        <w:t> </w:t>
      </w:r>
      <w:r>
        <w:rPr>
          <w:color w:val="231F20"/>
        </w:rPr>
        <w:t>son</w:t>
      </w:r>
      <w:r>
        <w:rPr>
          <w:color w:val="231F20"/>
          <w:spacing w:val="-6"/>
        </w:rPr>
        <w:t> </w:t>
      </w:r>
      <w:r>
        <w:rPr>
          <w:color w:val="231F20"/>
        </w:rPr>
        <w:t>de</w:t>
      </w:r>
      <w:r>
        <w:rPr>
          <w:color w:val="231F20"/>
          <w:spacing w:val="-6"/>
        </w:rPr>
        <w:t> </w:t>
      </w:r>
      <w:r>
        <w:rPr>
          <w:color w:val="231F20"/>
        </w:rPr>
        <w:t>agricultura</w:t>
      </w:r>
      <w:r>
        <w:rPr>
          <w:color w:val="231F20"/>
          <w:spacing w:val="-7"/>
        </w:rPr>
        <w:t> </w:t>
      </w:r>
      <w:r>
        <w:rPr>
          <w:color w:val="231F20"/>
        </w:rPr>
        <w:t>de</w:t>
      </w:r>
      <w:r>
        <w:rPr>
          <w:color w:val="231F20"/>
          <w:spacing w:val="-6"/>
        </w:rPr>
        <w:t> </w:t>
      </w:r>
      <w:r>
        <w:rPr>
          <w:color w:val="231F20"/>
        </w:rPr>
        <w:t>temporal</w:t>
      </w:r>
      <w:r>
        <w:rPr>
          <w:color w:val="231F20"/>
          <w:spacing w:val="-6"/>
        </w:rPr>
        <w:t> </w:t>
      </w:r>
      <w:r>
        <w:rPr>
          <w:color w:val="231F20"/>
        </w:rPr>
        <w:t>y</w:t>
      </w:r>
      <w:r>
        <w:rPr>
          <w:color w:val="231F20"/>
          <w:spacing w:val="-6"/>
        </w:rPr>
        <w:t> </w:t>
      </w:r>
      <w:r>
        <w:rPr>
          <w:color w:val="231F20"/>
        </w:rPr>
        <w:t>5.3</w:t>
      </w:r>
      <w:r>
        <w:rPr>
          <w:color w:val="231F20"/>
          <w:spacing w:val="-6"/>
        </w:rPr>
        <w:t> </w:t>
      </w:r>
      <w:r>
        <w:rPr>
          <w:color w:val="231F20"/>
        </w:rPr>
        <w:t>millones</w:t>
      </w:r>
      <w:r>
        <w:rPr>
          <w:color w:val="231F20"/>
          <w:spacing w:val="-7"/>
        </w:rPr>
        <w:t> </w:t>
      </w:r>
      <w:r>
        <w:rPr>
          <w:color w:val="231F20"/>
        </w:rPr>
        <w:t>de</w:t>
      </w:r>
      <w:r>
        <w:rPr>
          <w:color w:val="231F20"/>
          <w:spacing w:val="-6"/>
        </w:rPr>
        <w:t> </w:t>
      </w:r>
      <w:r>
        <w:rPr>
          <w:color w:val="231F20"/>
        </w:rPr>
        <w:t>has</w:t>
      </w:r>
      <w:r>
        <w:rPr>
          <w:color w:val="231F20"/>
          <w:spacing w:val="-6"/>
        </w:rPr>
        <w:t> </w:t>
      </w:r>
      <w:r>
        <w:rPr>
          <w:color w:val="231F20"/>
        </w:rPr>
        <w:t>son</w:t>
      </w:r>
      <w:r>
        <w:rPr>
          <w:color w:val="231F20"/>
          <w:spacing w:val="-6"/>
        </w:rPr>
        <w:t> </w:t>
      </w:r>
      <w:r>
        <w:rPr>
          <w:color w:val="231F20"/>
        </w:rPr>
        <w:t>de</w:t>
      </w:r>
      <w:r>
        <w:rPr>
          <w:color w:val="231F20"/>
          <w:spacing w:val="-6"/>
        </w:rPr>
        <w:t> </w:t>
      </w:r>
      <w:r>
        <w:rPr>
          <w:color w:val="231F20"/>
        </w:rPr>
        <w:t>riego.</w:t>
      </w:r>
      <w:r>
        <w:rPr>
          <w:color w:val="231F20"/>
          <w:spacing w:val="-6"/>
        </w:rPr>
        <w:t> </w:t>
      </w:r>
      <w:r>
        <w:rPr>
          <w:color w:val="231F20"/>
        </w:rPr>
        <w:t>La</w:t>
      </w:r>
      <w:r>
        <w:rPr>
          <w:color w:val="231F20"/>
          <w:spacing w:val="-6"/>
        </w:rPr>
        <w:t> </w:t>
      </w:r>
      <w:r>
        <w:rPr>
          <w:color w:val="231F20"/>
        </w:rPr>
        <w:t>superficie</w:t>
      </w:r>
      <w:r>
        <w:rPr>
          <w:color w:val="231F20"/>
          <w:spacing w:val="-6"/>
        </w:rPr>
        <w:t> </w:t>
      </w:r>
      <w:r>
        <w:rPr>
          <w:color w:val="231F20"/>
        </w:rPr>
        <w:t>dedicada</w:t>
      </w:r>
      <w:r>
        <w:rPr>
          <w:color w:val="231F20"/>
          <w:spacing w:val="-7"/>
        </w:rPr>
        <w:t> </w:t>
      </w:r>
      <w:r>
        <w:rPr>
          <w:color w:val="231F20"/>
        </w:rPr>
        <w:t>a</w:t>
      </w:r>
      <w:r>
        <w:rPr>
          <w:color w:val="231F20"/>
          <w:spacing w:val="-6"/>
        </w:rPr>
        <w:t> </w:t>
      </w:r>
      <w:r>
        <w:rPr>
          <w:color w:val="231F20"/>
        </w:rPr>
        <w:t>las actividades ganaderas es de 75.1 millones de has (GCMA,</w:t>
      </w:r>
      <w:r>
        <w:rPr>
          <w:color w:val="231F20"/>
          <w:spacing w:val="-13"/>
        </w:rPr>
        <w:t> </w:t>
      </w:r>
      <w:r>
        <w:rPr>
          <w:color w:val="231F20"/>
        </w:rPr>
        <w:t>2011).</w:t>
      </w:r>
    </w:p>
    <w:p>
      <w:pPr>
        <w:pStyle w:val="BodyText"/>
        <w:rPr>
          <w:sz w:val="20"/>
        </w:rPr>
      </w:pPr>
    </w:p>
    <w:p>
      <w:pPr>
        <w:pStyle w:val="BodyText"/>
        <w:spacing w:before="7"/>
        <w:rPr>
          <w:sz w:val="22"/>
        </w:rPr>
      </w:pPr>
    </w:p>
    <w:p>
      <w:pPr>
        <w:spacing w:line="247" w:lineRule="auto" w:before="0"/>
        <w:ind w:left="1590" w:right="1279" w:firstLine="0"/>
        <w:jc w:val="left"/>
        <w:rPr>
          <w:rFonts w:ascii="Trebuchet MS" w:hAnsi="Trebuchet MS"/>
          <w:sz w:val="16"/>
        </w:rPr>
      </w:pPr>
      <w:r>
        <w:rPr>
          <w:rFonts w:ascii="Trebuchet MS" w:hAnsi="Trebuchet MS"/>
          <w:color w:val="231F20"/>
          <w:sz w:val="16"/>
        </w:rPr>
        <w:t>Academia</w:t>
      </w:r>
      <w:r>
        <w:rPr>
          <w:rFonts w:ascii="Trebuchet MS" w:hAnsi="Trebuchet MS"/>
          <w:color w:val="231F20"/>
          <w:spacing w:val="-11"/>
          <w:sz w:val="16"/>
        </w:rPr>
        <w:t> </w:t>
      </w:r>
      <w:r>
        <w:rPr>
          <w:rFonts w:ascii="Trebuchet MS" w:hAnsi="Trebuchet MS"/>
          <w:color w:val="231F20"/>
          <w:sz w:val="16"/>
        </w:rPr>
        <w:t>de</w:t>
      </w:r>
      <w:r>
        <w:rPr>
          <w:rFonts w:ascii="Trebuchet MS" w:hAnsi="Trebuchet MS"/>
          <w:color w:val="231F20"/>
          <w:spacing w:val="-10"/>
          <w:sz w:val="16"/>
        </w:rPr>
        <w:t> </w:t>
      </w:r>
      <w:r>
        <w:rPr>
          <w:rFonts w:ascii="Trebuchet MS" w:hAnsi="Trebuchet MS"/>
          <w:color w:val="231F20"/>
          <w:sz w:val="16"/>
        </w:rPr>
        <w:t>Meteorología,</w:t>
      </w:r>
      <w:r>
        <w:rPr>
          <w:rFonts w:ascii="Trebuchet MS" w:hAnsi="Trebuchet MS"/>
          <w:color w:val="231F20"/>
          <w:spacing w:val="-9"/>
          <w:sz w:val="16"/>
        </w:rPr>
        <w:t> </w:t>
      </w:r>
      <w:r>
        <w:rPr>
          <w:rFonts w:ascii="Trebuchet MS" w:hAnsi="Trebuchet MS"/>
          <w:color w:val="231F20"/>
          <w:sz w:val="16"/>
        </w:rPr>
        <w:t>Área</w:t>
      </w:r>
      <w:r>
        <w:rPr>
          <w:rFonts w:ascii="Trebuchet MS" w:hAnsi="Trebuchet MS"/>
          <w:color w:val="231F20"/>
          <w:spacing w:val="-10"/>
          <w:sz w:val="16"/>
        </w:rPr>
        <w:t> </w:t>
      </w:r>
      <w:r>
        <w:rPr>
          <w:rFonts w:ascii="Trebuchet MS" w:hAnsi="Trebuchet MS"/>
          <w:color w:val="231F20"/>
          <w:sz w:val="16"/>
        </w:rPr>
        <w:t>de</w:t>
      </w:r>
      <w:r>
        <w:rPr>
          <w:rFonts w:ascii="Trebuchet MS" w:hAnsi="Trebuchet MS"/>
          <w:color w:val="231F20"/>
          <w:spacing w:val="-18"/>
          <w:sz w:val="16"/>
        </w:rPr>
        <w:t> </w:t>
      </w:r>
      <w:r>
        <w:rPr>
          <w:rFonts w:ascii="Trebuchet MS" w:hAnsi="Trebuchet MS"/>
          <w:color w:val="231F20"/>
          <w:sz w:val="16"/>
        </w:rPr>
        <w:t>Agronomía.</w:t>
      </w:r>
      <w:r>
        <w:rPr>
          <w:rFonts w:ascii="Trebuchet MS" w:hAnsi="Trebuchet MS"/>
          <w:color w:val="231F20"/>
          <w:spacing w:val="-11"/>
          <w:sz w:val="16"/>
        </w:rPr>
        <w:t> </w:t>
      </w:r>
      <w:r>
        <w:rPr>
          <w:rFonts w:ascii="Trebuchet MS" w:hAnsi="Trebuchet MS"/>
          <w:color w:val="231F20"/>
          <w:sz w:val="16"/>
        </w:rPr>
        <w:t>Departamento</w:t>
      </w:r>
      <w:r>
        <w:rPr>
          <w:rFonts w:ascii="Trebuchet MS" w:hAnsi="Trebuchet MS"/>
          <w:color w:val="231F20"/>
          <w:spacing w:val="-10"/>
          <w:sz w:val="16"/>
        </w:rPr>
        <w:t> </w:t>
      </w:r>
      <w:r>
        <w:rPr>
          <w:rFonts w:ascii="Trebuchet MS" w:hAnsi="Trebuchet MS"/>
          <w:color w:val="231F20"/>
          <w:sz w:val="16"/>
        </w:rPr>
        <w:t>de</w:t>
      </w:r>
      <w:r>
        <w:rPr>
          <w:rFonts w:ascii="Trebuchet MS" w:hAnsi="Trebuchet MS"/>
          <w:color w:val="231F20"/>
          <w:spacing w:val="-10"/>
          <w:sz w:val="16"/>
        </w:rPr>
        <w:t> </w:t>
      </w:r>
      <w:r>
        <w:rPr>
          <w:rFonts w:ascii="Trebuchet MS" w:hAnsi="Trebuchet MS"/>
          <w:color w:val="231F20"/>
          <w:sz w:val="16"/>
        </w:rPr>
        <w:t>Preparatoria</w:t>
      </w:r>
      <w:r>
        <w:rPr>
          <w:rFonts w:ascii="Trebuchet MS" w:hAnsi="Trebuchet MS"/>
          <w:color w:val="231F20"/>
          <w:spacing w:val="-19"/>
          <w:sz w:val="16"/>
        </w:rPr>
        <w:t> </w:t>
      </w:r>
      <w:r>
        <w:rPr>
          <w:rFonts w:ascii="Trebuchet MS" w:hAnsi="Trebuchet MS"/>
          <w:color w:val="231F20"/>
          <w:sz w:val="16"/>
        </w:rPr>
        <w:t>Agrícola.</w:t>
      </w:r>
      <w:r>
        <w:rPr>
          <w:rFonts w:ascii="Trebuchet MS" w:hAnsi="Trebuchet MS"/>
          <w:color w:val="231F20"/>
          <w:spacing w:val="-11"/>
          <w:sz w:val="16"/>
        </w:rPr>
        <w:t> </w:t>
      </w:r>
      <w:r>
        <w:rPr>
          <w:rFonts w:ascii="Trebuchet MS" w:hAnsi="Trebuchet MS"/>
          <w:color w:val="231F20"/>
          <w:sz w:val="16"/>
        </w:rPr>
        <w:t>CIIDRI.</w:t>
      </w:r>
      <w:r>
        <w:rPr>
          <w:rFonts w:ascii="Trebuchet MS" w:hAnsi="Trebuchet MS"/>
          <w:color w:val="231F20"/>
          <w:spacing w:val="-10"/>
          <w:sz w:val="16"/>
        </w:rPr>
        <w:t> </w:t>
      </w:r>
      <w:r>
        <w:rPr>
          <w:rFonts w:ascii="Trebuchet MS" w:hAnsi="Trebuchet MS"/>
          <w:color w:val="231F20"/>
          <w:sz w:val="16"/>
        </w:rPr>
        <w:t>Universidad Autónoma</w:t>
      </w:r>
      <w:r>
        <w:rPr>
          <w:rFonts w:ascii="Trebuchet MS" w:hAnsi="Trebuchet MS"/>
          <w:color w:val="231F20"/>
          <w:spacing w:val="-19"/>
          <w:sz w:val="16"/>
        </w:rPr>
        <w:t> </w:t>
      </w:r>
      <w:r>
        <w:rPr>
          <w:rFonts w:ascii="Trebuchet MS" w:hAnsi="Trebuchet MS"/>
          <w:color w:val="231F20"/>
          <w:sz w:val="16"/>
        </w:rPr>
        <w:t>Chapingo.</w:t>
      </w:r>
    </w:p>
    <w:p>
      <w:pPr>
        <w:spacing w:after="0" w:line="247" w:lineRule="auto"/>
        <w:jc w:val="left"/>
        <w:rPr>
          <w:rFonts w:ascii="Trebuchet MS" w:hAnsi="Trebuchet MS"/>
          <w:sz w:val="16"/>
        </w:rPr>
        <w:sectPr>
          <w:headerReference w:type="default" r:id="rId12"/>
          <w:footerReference w:type="default" r:id="rId13"/>
          <w:pgSz w:w="10920" w:h="13080"/>
          <w:pgMar w:header="0" w:footer="1025" w:top="420" w:bottom="1220" w:left="0" w:right="0"/>
          <w:pgNumType w:start="1"/>
        </w:sectPr>
      </w:pPr>
    </w:p>
    <w:p>
      <w:pPr>
        <w:pStyle w:val="BodyText"/>
        <w:rPr>
          <w:rFonts w:ascii="Trebuchet MS"/>
          <w:sz w:val="20"/>
        </w:rPr>
      </w:pPr>
    </w:p>
    <w:p>
      <w:pPr>
        <w:pStyle w:val="BodyText"/>
        <w:rPr>
          <w:rFonts w:ascii="Trebuchet MS"/>
          <w:sz w:val="20"/>
        </w:rPr>
      </w:pPr>
    </w:p>
    <w:p>
      <w:pPr>
        <w:pStyle w:val="BodyText"/>
        <w:spacing w:before="4"/>
        <w:rPr>
          <w:rFonts w:ascii="Trebuchet MS"/>
          <w:sz w:val="22"/>
        </w:rPr>
      </w:pPr>
    </w:p>
    <w:p>
      <w:pPr>
        <w:pStyle w:val="BodyText"/>
        <w:spacing w:line="247" w:lineRule="auto" w:before="73"/>
        <w:ind w:left="1270" w:right="1267"/>
        <w:jc w:val="both"/>
      </w:pPr>
      <w:r>
        <w:rPr>
          <w:color w:val="231F20"/>
        </w:rPr>
        <w:t>En el ámbito descrito, se inscribe el presente estudio; destacando los impactos del cambio climático en la agricultura bajo condiciones de temporal, de la región de la estación meteorológica Chapingo, como área de influencia de la Universidad y de estación meteorológica, Chilapa como parte de la región Montaña de Guerrero, como la región más vulnerable del sector agrícola mexicano. Los ob- jetivos: Analizar datos históricos de las normales climatológicas de dos estaciones meteorológicas diferentes del país. Evaluar los impactos del cambio climático en la producción agrícola, bajo con- diciones de temporal.</w:t>
      </w:r>
    </w:p>
    <w:p>
      <w:pPr>
        <w:pStyle w:val="BodyText"/>
        <w:spacing w:before="9"/>
        <w:rPr>
          <w:sz w:val="22"/>
        </w:rPr>
      </w:pPr>
    </w:p>
    <w:p>
      <w:pPr>
        <w:pStyle w:val="Heading3"/>
      </w:pPr>
      <w:r>
        <w:rPr>
          <w:color w:val="010202"/>
        </w:rPr>
        <w:t>Materiales y métodos</w:t>
      </w:r>
    </w:p>
    <w:p>
      <w:pPr>
        <w:pStyle w:val="BodyText"/>
        <w:spacing w:before="10"/>
        <w:rPr>
          <w:b/>
        </w:rPr>
      </w:pPr>
    </w:p>
    <w:p>
      <w:pPr>
        <w:pStyle w:val="BodyText"/>
        <w:spacing w:line="247" w:lineRule="auto"/>
        <w:ind w:left="1270" w:right="1267"/>
        <w:jc w:val="both"/>
      </w:pPr>
      <w:r>
        <w:rPr>
          <w:color w:val="231F20"/>
        </w:rPr>
        <w:t>Para realizar el presente trabajo, se seleccionaron dos estaciones meteorológicas diferentes en as- pectos sociales, económicos y ambientales para analizarlos diferentes efectos del cambio climático, principalmente en la producción agrícola bajo condiciones de temporal, los sitios se describen a continuación:</w:t>
      </w:r>
    </w:p>
    <w:p>
      <w:pPr>
        <w:pStyle w:val="BodyText"/>
        <w:spacing w:before="10"/>
      </w:pPr>
    </w:p>
    <w:p>
      <w:pPr>
        <w:pStyle w:val="BodyText"/>
        <w:spacing w:line="247" w:lineRule="auto"/>
        <w:ind w:left="1270" w:right="1268"/>
        <w:jc w:val="both"/>
      </w:pPr>
      <w:r>
        <w:rPr>
          <w:color w:val="231F20"/>
        </w:rPr>
        <w:t>(a).</w:t>
      </w:r>
      <w:r>
        <w:rPr>
          <w:color w:val="231F20"/>
          <w:spacing w:val="-3"/>
        </w:rPr>
        <w:t> </w:t>
      </w:r>
      <w:r>
        <w:rPr>
          <w:color w:val="231F20"/>
        </w:rPr>
        <w:t>Región</w:t>
      </w:r>
      <w:r>
        <w:rPr>
          <w:color w:val="231F20"/>
          <w:spacing w:val="-3"/>
        </w:rPr>
        <w:t> </w:t>
      </w:r>
      <w:r>
        <w:rPr>
          <w:color w:val="231F20"/>
        </w:rPr>
        <w:t>Chapingo.</w:t>
      </w:r>
      <w:r>
        <w:rPr>
          <w:color w:val="231F20"/>
          <w:spacing w:val="-3"/>
        </w:rPr>
        <w:t> </w:t>
      </w:r>
      <w:r>
        <w:rPr>
          <w:color w:val="231F20"/>
        </w:rPr>
        <w:t>Se</w:t>
      </w:r>
      <w:r>
        <w:rPr>
          <w:color w:val="231F20"/>
          <w:spacing w:val="-3"/>
        </w:rPr>
        <w:t> </w:t>
      </w:r>
      <w:r>
        <w:rPr>
          <w:color w:val="231F20"/>
        </w:rPr>
        <w:t>encuentra</w:t>
      </w:r>
      <w:r>
        <w:rPr>
          <w:color w:val="231F20"/>
          <w:spacing w:val="-3"/>
        </w:rPr>
        <w:t> </w:t>
      </w:r>
      <w:r>
        <w:rPr>
          <w:color w:val="231F20"/>
        </w:rPr>
        <w:t>ubicado</w:t>
      </w:r>
      <w:r>
        <w:rPr>
          <w:color w:val="231F20"/>
          <w:spacing w:val="-3"/>
        </w:rPr>
        <w:t> </w:t>
      </w:r>
      <w:r>
        <w:rPr>
          <w:color w:val="231F20"/>
        </w:rPr>
        <w:t>dentro</w:t>
      </w:r>
      <w:r>
        <w:rPr>
          <w:color w:val="231F20"/>
          <w:spacing w:val="-3"/>
        </w:rPr>
        <w:t> </w:t>
      </w:r>
      <w:r>
        <w:rPr>
          <w:color w:val="231F20"/>
        </w:rPr>
        <w:t>del</w:t>
      </w:r>
      <w:r>
        <w:rPr>
          <w:color w:val="231F20"/>
          <w:spacing w:val="-3"/>
        </w:rPr>
        <w:t> </w:t>
      </w:r>
      <w:r>
        <w:rPr>
          <w:color w:val="231F20"/>
        </w:rPr>
        <w:t>Municipio</w:t>
      </w:r>
      <w:r>
        <w:rPr>
          <w:color w:val="231F20"/>
          <w:spacing w:val="-2"/>
        </w:rPr>
        <w:t> </w:t>
      </w:r>
      <w:r>
        <w:rPr>
          <w:color w:val="231F20"/>
        </w:rPr>
        <w:t>de</w:t>
      </w:r>
      <w:r>
        <w:rPr>
          <w:color w:val="231F20"/>
          <w:spacing w:val="-7"/>
        </w:rPr>
        <w:t> </w:t>
      </w:r>
      <w:r>
        <w:rPr>
          <w:color w:val="231F20"/>
        </w:rPr>
        <w:t>Texcoco,</w:t>
      </w:r>
      <w:r>
        <w:rPr>
          <w:color w:val="231F20"/>
          <w:spacing w:val="-3"/>
        </w:rPr>
        <w:t> </w:t>
      </w:r>
      <w:r>
        <w:rPr>
          <w:color w:val="231F20"/>
        </w:rPr>
        <w:t>se</w:t>
      </w:r>
      <w:r>
        <w:rPr>
          <w:color w:val="231F20"/>
          <w:spacing w:val="-3"/>
        </w:rPr>
        <w:t> </w:t>
      </w:r>
      <w:r>
        <w:rPr>
          <w:color w:val="231F20"/>
        </w:rPr>
        <w:t>localiza</w:t>
      </w:r>
      <w:r>
        <w:rPr>
          <w:color w:val="231F20"/>
          <w:spacing w:val="-3"/>
        </w:rPr>
        <w:t> </w:t>
      </w:r>
      <w:r>
        <w:rPr>
          <w:color w:val="231F20"/>
        </w:rPr>
        <w:t>en</w:t>
      </w:r>
      <w:r>
        <w:rPr>
          <w:color w:val="231F20"/>
          <w:spacing w:val="-3"/>
        </w:rPr>
        <w:t> </w:t>
      </w:r>
      <w:r>
        <w:rPr>
          <w:color w:val="231F20"/>
        </w:rPr>
        <w:t>la</w:t>
      </w:r>
      <w:r>
        <w:rPr>
          <w:color w:val="231F20"/>
          <w:spacing w:val="-3"/>
        </w:rPr>
        <w:t> </w:t>
      </w:r>
      <w:r>
        <w:rPr>
          <w:color w:val="231F20"/>
        </w:rPr>
        <w:t>por- ción</w:t>
      </w:r>
      <w:r>
        <w:rPr>
          <w:color w:val="231F20"/>
          <w:spacing w:val="-6"/>
        </w:rPr>
        <w:t> </w:t>
      </w:r>
      <w:r>
        <w:rPr>
          <w:color w:val="231F20"/>
        </w:rPr>
        <w:t>oriente</w:t>
      </w:r>
      <w:r>
        <w:rPr>
          <w:color w:val="231F20"/>
          <w:spacing w:val="-6"/>
        </w:rPr>
        <w:t> </w:t>
      </w:r>
      <w:r>
        <w:rPr>
          <w:color w:val="231F20"/>
        </w:rPr>
        <w:t>del</w:t>
      </w:r>
      <w:r>
        <w:rPr>
          <w:color w:val="231F20"/>
          <w:spacing w:val="-6"/>
        </w:rPr>
        <w:t> </w:t>
      </w:r>
      <w:r>
        <w:rPr>
          <w:color w:val="231F20"/>
        </w:rPr>
        <w:t>Estado</w:t>
      </w:r>
      <w:r>
        <w:rPr>
          <w:color w:val="231F20"/>
          <w:spacing w:val="-6"/>
        </w:rPr>
        <w:t> </w:t>
      </w:r>
      <w:r>
        <w:rPr>
          <w:color w:val="231F20"/>
        </w:rPr>
        <w:t>de</w:t>
      </w:r>
      <w:r>
        <w:rPr>
          <w:color w:val="231F20"/>
          <w:spacing w:val="-6"/>
        </w:rPr>
        <w:t> </w:t>
      </w:r>
      <w:r>
        <w:rPr>
          <w:color w:val="231F20"/>
        </w:rPr>
        <w:t>México</w:t>
      </w:r>
      <w:r>
        <w:rPr>
          <w:color w:val="231F20"/>
          <w:spacing w:val="-6"/>
        </w:rPr>
        <w:t> </w:t>
      </w:r>
      <w:r>
        <w:rPr>
          <w:color w:val="231F20"/>
        </w:rPr>
        <w:t>a</w:t>
      </w:r>
      <w:r>
        <w:rPr>
          <w:color w:val="231F20"/>
          <w:spacing w:val="-6"/>
        </w:rPr>
        <w:t> </w:t>
      </w:r>
      <w:r>
        <w:rPr>
          <w:color w:val="231F20"/>
        </w:rPr>
        <w:t>26</w:t>
      </w:r>
      <w:r>
        <w:rPr>
          <w:color w:val="231F20"/>
          <w:spacing w:val="-6"/>
        </w:rPr>
        <w:t> </w:t>
      </w:r>
      <w:r>
        <w:rPr>
          <w:color w:val="231F20"/>
        </w:rPr>
        <w:t>kilómetros</w:t>
      </w:r>
      <w:r>
        <w:rPr>
          <w:color w:val="231F20"/>
          <w:spacing w:val="-6"/>
        </w:rPr>
        <w:t> </w:t>
      </w:r>
      <w:r>
        <w:rPr>
          <w:color w:val="231F20"/>
        </w:rPr>
        <w:t>del</w:t>
      </w:r>
      <w:r>
        <w:rPr>
          <w:color w:val="231F20"/>
          <w:spacing w:val="-6"/>
        </w:rPr>
        <w:t> </w:t>
      </w:r>
      <w:r>
        <w:rPr>
          <w:color w:val="231F20"/>
        </w:rPr>
        <w:t>Distrito</w:t>
      </w:r>
      <w:r>
        <w:rPr>
          <w:color w:val="231F20"/>
          <w:spacing w:val="-6"/>
        </w:rPr>
        <w:t> </w:t>
      </w:r>
      <w:r>
        <w:rPr>
          <w:color w:val="231F20"/>
        </w:rPr>
        <w:t>Federal.</w:t>
      </w:r>
      <w:r>
        <w:rPr>
          <w:color w:val="231F20"/>
          <w:spacing w:val="-6"/>
        </w:rPr>
        <w:t> </w:t>
      </w:r>
      <w:r>
        <w:rPr>
          <w:color w:val="231F20"/>
        </w:rPr>
        <w:t>Sus</w:t>
      </w:r>
      <w:r>
        <w:rPr>
          <w:color w:val="231F20"/>
          <w:spacing w:val="-6"/>
        </w:rPr>
        <w:t> </w:t>
      </w:r>
      <w:r>
        <w:rPr>
          <w:color w:val="231F20"/>
        </w:rPr>
        <w:t>coordenadas</w:t>
      </w:r>
      <w:r>
        <w:rPr>
          <w:color w:val="231F20"/>
          <w:spacing w:val="-6"/>
        </w:rPr>
        <w:t> </w:t>
      </w:r>
      <w:r>
        <w:rPr>
          <w:color w:val="231F20"/>
        </w:rPr>
        <w:t>geográficas extremas</w:t>
      </w:r>
      <w:r>
        <w:rPr>
          <w:color w:val="231F20"/>
          <w:spacing w:val="39"/>
        </w:rPr>
        <w:t> </w:t>
      </w:r>
      <w:r>
        <w:rPr>
          <w:color w:val="231F20"/>
        </w:rPr>
        <w:t>19°29’05”</w:t>
      </w:r>
      <w:r>
        <w:rPr>
          <w:color w:val="231F20"/>
          <w:spacing w:val="-7"/>
        </w:rPr>
        <w:t> </w:t>
      </w:r>
      <w:r>
        <w:rPr>
          <w:color w:val="231F20"/>
        </w:rPr>
        <w:t>Latitud</w:t>
      </w:r>
      <w:r>
        <w:rPr>
          <w:color w:val="231F20"/>
          <w:spacing w:val="-7"/>
        </w:rPr>
        <w:t> </w:t>
      </w:r>
      <w:r>
        <w:rPr>
          <w:color w:val="231F20"/>
        </w:rPr>
        <w:t>Norte</w:t>
      </w:r>
      <w:r>
        <w:rPr>
          <w:color w:val="231F20"/>
          <w:spacing w:val="-7"/>
        </w:rPr>
        <w:t> </w:t>
      </w:r>
      <w:r>
        <w:rPr>
          <w:color w:val="231F20"/>
        </w:rPr>
        <w:t>y</w:t>
      </w:r>
      <w:r>
        <w:rPr>
          <w:color w:val="231F20"/>
          <w:spacing w:val="-7"/>
        </w:rPr>
        <w:t> </w:t>
      </w:r>
      <w:r>
        <w:rPr>
          <w:color w:val="231F20"/>
        </w:rPr>
        <w:t>98°53’11”</w:t>
      </w:r>
      <w:r>
        <w:rPr>
          <w:color w:val="231F20"/>
          <w:spacing w:val="-7"/>
        </w:rPr>
        <w:t> </w:t>
      </w:r>
      <w:r>
        <w:rPr>
          <w:color w:val="231F20"/>
        </w:rPr>
        <w:t>Longitud</w:t>
      </w:r>
      <w:r>
        <w:rPr>
          <w:color w:val="231F20"/>
          <w:spacing w:val="-7"/>
        </w:rPr>
        <w:t> </w:t>
      </w:r>
      <w:r>
        <w:rPr>
          <w:color w:val="231F20"/>
        </w:rPr>
        <w:t>Oeste,</w:t>
      </w:r>
      <w:r>
        <w:rPr>
          <w:color w:val="231F20"/>
          <w:spacing w:val="-7"/>
        </w:rPr>
        <w:t> </w:t>
      </w:r>
      <w:r>
        <w:rPr>
          <w:color w:val="231F20"/>
        </w:rPr>
        <w:t>a</w:t>
      </w:r>
      <w:r>
        <w:rPr>
          <w:color w:val="231F20"/>
          <w:spacing w:val="-7"/>
        </w:rPr>
        <w:t> </w:t>
      </w:r>
      <w:r>
        <w:rPr>
          <w:color w:val="231F20"/>
        </w:rPr>
        <w:t>una</w:t>
      </w:r>
      <w:r>
        <w:rPr>
          <w:color w:val="231F20"/>
          <w:spacing w:val="-7"/>
        </w:rPr>
        <w:t> </w:t>
      </w:r>
      <w:r>
        <w:rPr>
          <w:color w:val="231F20"/>
        </w:rPr>
        <w:t>altitud</w:t>
      </w:r>
      <w:r>
        <w:rPr>
          <w:color w:val="231F20"/>
          <w:spacing w:val="-7"/>
        </w:rPr>
        <w:t> </w:t>
      </w:r>
      <w:r>
        <w:rPr>
          <w:color w:val="231F20"/>
        </w:rPr>
        <w:t>media</w:t>
      </w:r>
      <w:r>
        <w:rPr>
          <w:color w:val="231F20"/>
          <w:spacing w:val="-7"/>
        </w:rPr>
        <w:t> </w:t>
      </w:r>
      <w:r>
        <w:rPr>
          <w:color w:val="231F20"/>
        </w:rPr>
        <w:t>de</w:t>
      </w:r>
      <w:r>
        <w:rPr>
          <w:color w:val="231F20"/>
          <w:spacing w:val="-7"/>
        </w:rPr>
        <w:t> </w:t>
      </w:r>
      <w:r>
        <w:rPr>
          <w:color w:val="231F20"/>
        </w:rPr>
        <w:t>2,250</w:t>
      </w:r>
      <w:r>
        <w:rPr>
          <w:color w:val="231F20"/>
          <w:spacing w:val="-7"/>
        </w:rPr>
        <w:t> </w:t>
      </w:r>
      <w:r>
        <w:rPr>
          <w:color w:val="231F20"/>
        </w:rPr>
        <w:t>msnm. Forma parte de las regiones hidrológicas: Balsas y Pánuco. Los afluentes principales afluentes son los</w:t>
      </w:r>
      <w:r>
        <w:rPr>
          <w:color w:val="231F20"/>
          <w:spacing w:val="-10"/>
        </w:rPr>
        <w:t> </w:t>
      </w:r>
      <w:r>
        <w:rPr>
          <w:color w:val="231F20"/>
        </w:rPr>
        <w:t>arroyos</w:t>
      </w:r>
      <w:r>
        <w:rPr>
          <w:color w:val="231F20"/>
          <w:spacing w:val="-10"/>
        </w:rPr>
        <w:t> </w:t>
      </w:r>
      <w:r>
        <w:rPr>
          <w:color w:val="231F20"/>
        </w:rPr>
        <w:t>San</w:t>
      </w:r>
      <w:r>
        <w:rPr>
          <w:color w:val="231F20"/>
          <w:spacing w:val="-10"/>
        </w:rPr>
        <w:t> </w:t>
      </w:r>
      <w:r>
        <w:rPr>
          <w:color w:val="231F20"/>
        </w:rPr>
        <w:t>Bernardino</w:t>
      </w:r>
      <w:r>
        <w:rPr>
          <w:color w:val="231F20"/>
          <w:spacing w:val="-10"/>
        </w:rPr>
        <w:t> </w:t>
      </w:r>
      <w:r>
        <w:rPr>
          <w:color w:val="231F20"/>
        </w:rPr>
        <w:t>y</w:t>
      </w:r>
      <w:r>
        <w:rPr>
          <w:color w:val="231F20"/>
          <w:spacing w:val="-10"/>
        </w:rPr>
        <w:t> </w:t>
      </w:r>
      <w:r>
        <w:rPr>
          <w:color w:val="231F20"/>
        </w:rPr>
        <w:t>San</w:t>
      </w:r>
      <w:r>
        <w:rPr>
          <w:color w:val="231F20"/>
          <w:spacing w:val="-10"/>
        </w:rPr>
        <w:t> </w:t>
      </w:r>
      <w:r>
        <w:rPr>
          <w:color w:val="231F20"/>
        </w:rPr>
        <w:t>Mateo</w:t>
      </w:r>
      <w:r>
        <w:rPr>
          <w:color w:val="231F20"/>
          <w:spacing w:val="-10"/>
        </w:rPr>
        <w:t> </w:t>
      </w:r>
      <w:r>
        <w:rPr>
          <w:color w:val="231F20"/>
        </w:rPr>
        <w:t>Huexotla,</w:t>
      </w:r>
      <w:r>
        <w:rPr>
          <w:color w:val="231F20"/>
          <w:spacing w:val="-10"/>
        </w:rPr>
        <w:t> </w:t>
      </w:r>
      <w:r>
        <w:rPr>
          <w:color w:val="231F20"/>
        </w:rPr>
        <w:t>que</w:t>
      </w:r>
      <w:r>
        <w:rPr>
          <w:color w:val="231F20"/>
          <w:spacing w:val="-10"/>
        </w:rPr>
        <w:t> </w:t>
      </w:r>
      <w:r>
        <w:rPr>
          <w:color w:val="231F20"/>
        </w:rPr>
        <w:t>vierten</w:t>
      </w:r>
      <w:r>
        <w:rPr>
          <w:color w:val="231F20"/>
          <w:spacing w:val="-10"/>
        </w:rPr>
        <w:t> </w:t>
      </w:r>
      <w:r>
        <w:rPr>
          <w:color w:val="231F20"/>
        </w:rPr>
        <w:t>sus</w:t>
      </w:r>
      <w:r>
        <w:rPr>
          <w:color w:val="231F20"/>
          <w:spacing w:val="-10"/>
        </w:rPr>
        <w:t> </w:t>
      </w:r>
      <w:r>
        <w:rPr>
          <w:color w:val="231F20"/>
        </w:rPr>
        <w:t>aguas</w:t>
      </w:r>
      <w:r>
        <w:rPr>
          <w:color w:val="231F20"/>
          <w:spacing w:val="-10"/>
        </w:rPr>
        <w:t> </w:t>
      </w:r>
      <w:r>
        <w:rPr>
          <w:color w:val="231F20"/>
        </w:rPr>
        <w:t>al</w:t>
      </w:r>
      <w:r>
        <w:rPr>
          <w:color w:val="231F20"/>
          <w:spacing w:val="-14"/>
        </w:rPr>
        <w:t> </w:t>
      </w:r>
      <w:r>
        <w:rPr>
          <w:color w:val="231F20"/>
          <w:spacing w:val="-6"/>
        </w:rPr>
        <w:t>Vaso</w:t>
      </w:r>
      <w:r>
        <w:rPr>
          <w:color w:val="231F20"/>
          <w:spacing w:val="-10"/>
        </w:rPr>
        <w:t> </w:t>
      </w:r>
      <w:r>
        <w:rPr>
          <w:color w:val="231F20"/>
        </w:rPr>
        <w:t>del</w:t>
      </w:r>
      <w:r>
        <w:rPr>
          <w:color w:val="231F20"/>
          <w:spacing w:val="-10"/>
        </w:rPr>
        <w:t> </w:t>
      </w:r>
      <w:r>
        <w:rPr>
          <w:color w:val="231F20"/>
        </w:rPr>
        <w:t>Ex</w:t>
      </w:r>
      <w:r>
        <w:rPr>
          <w:color w:val="231F20"/>
          <w:spacing w:val="-10"/>
        </w:rPr>
        <w:t> </w:t>
      </w:r>
      <w:r>
        <w:rPr>
          <w:color w:val="231F20"/>
        </w:rPr>
        <w:t>Lago</w:t>
      </w:r>
      <w:r>
        <w:rPr>
          <w:color w:val="231F20"/>
          <w:spacing w:val="-10"/>
        </w:rPr>
        <w:t> </w:t>
      </w:r>
      <w:r>
        <w:rPr>
          <w:color w:val="231F20"/>
        </w:rPr>
        <w:t>de</w:t>
      </w:r>
      <w:r>
        <w:rPr>
          <w:color w:val="231F20"/>
          <w:spacing w:val="-13"/>
        </w:rPr>
        <w:t> </w:t>
      </w:r>
      <w:r>
        <w:rPr>
          <w:color w:val="231F20"/>
          <w:spacing w:val="-4"/>
        </w:rPr>
        <w:t>Tex- </w:t>
      </w:r>
      <w:r>
        <w:rPr>
          <w:color w:val="231F20"/>
        </w:rPr>
        <w:t>coco.</w:t>
      </w:r>
      <w:r>
        <w:rPr>
          <w:color w:val="231F20"/>
          <w:spacing w:val="-12"/>
        </w:rPr>
        <w:t> </w:t>
      </w:r>
      <w:r>
        <w:rPr>
          <w:color w:val="231F20"/>
        </w:rPr>
        <w:t>Los</w:t>
      </w:r>
      <w:r>
        <w:rPr>
          <w:color w:val="231F20"/>
          <w:spacing w:val="-12"/>
        </w:rPr>
        <w:t> </w:t>
      </w:r>
      <w:r>
        <w:rPr>
          <w:color w:val="231F20"/>
        </w:rPr>
        <w:t>principales</w:t>
      </w:r>
      <w:r>
        <w:rPr>
          <w:color w:val="231F20"/>
          <w:spacing w:val="-12"/>
        </w:rPr>
        <w:t> </w:t>
      </w:r>
      <w:r>
        <w:rPr>
          <w:color w:val="231F20"/>
        </w:rPr>
        <w:t>cultivos</w:t>
      </w:r>
      <w:r>
        <w:rPr>
          <w:color w:val="231F20"/>
          <w:spacing w:val="-12"/>
        </w:rPr>
        <w:t> </w:t>
      </w:r>
      <w:r>
        <w:rPr>
          <w:color w:val="231F20"/>
        </w:rPr>
        <w:t>bajo</w:t>
      </w:r>
      <w:r>
        <w:rPr>
          <w:color w:val="231F20"/>
          <w:spacing w:val="-12"/>
        </w:rPr>
        <w:t> </w:t>
      </w:r>
      <w:r>
        <w:rPr>
          <w:color w:val="231F20"/>
        </w:rPr>
        <w:t>condiciones</w:t>
      </w:r>
      <w:r>
        <w:rPr>
          <w:color w:val="231F20"/>
          <w:spacing w:val="-12"/>
        </w:rPr>
        <w:t> </w:t>
      </w:r>
      <w:r>
        <w:rPr>
          <w:color w:val="231F20"/>
        </w:rPr>
        <w:t>de</w:t>
      </w:r>
      <w:r>
        <w:rPr>
          <w:color w:val="231F20"/>
          <w:spacing w:val="-12"/>
        </w:rPr>
        <w:t> </w:t>
      </w:r>
      <w:r>
        <w:rPr>
          <w:color w:val="231F20"/>
        </w:rPr>
        <w:t>temporal</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región,</w:t>
      </w:r>
      <w:r>
        <w:rPr>
          <w:color w:val="231F20"/>
          <w:spacing w:val="-12"/>
        </w:rPr>
        <w:t> </w:t>
      </w:r>
      <w:r>
        <w:rPr>
          <w:color w:val="231F20"/>
        </w:rPr>
        <w:t>se</w:t>
      </w:r>
      <w:r>
        <w:rPr>
          <w:color w:val="231F20"/>
          <w:spacing w:val="-12"/>
        </w:rPr>
        <w:t> </w:t>
      </w:r>
      <w:r>
        <w:rPr>
          <w:color w:val="231F20"/>
        </w:rPr>
        <w:t>presentan</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Cuadro</w:t>
      </w:r>
      <w:r>
        <w:rPr>
          <w:color w:val="231F20"/>
          <w:spacing w:val="-12"/>
        </w:rPr>
        <w:t> </w:t>
      </w:r>
      <w:r>
        <w:rPr>
          <w:color w:val="231F20"/>
        </w:rPr>
        <w:t>1.</w:t>
      </w:r>
    </w:p>
    <w:p>
      <w:pPr>
        <w:pStyle w:val="BodyText"/>
        <w:spacing w:before="4"/>
      </w:pPr>
    </w:p>
    <w:p>
      <w:pPr>
        <w:spacing w:before="1"/>
        <w:ind w:left="1720" w:right="1279" w:firstLine="0"/>
        <w:jc w:val="left"/>
        <w:rPr>
          <w:b/>
          <w:sz w:val="18"/>
        </w:rPr>
      </w:pPr>
      <w:r>
        <w:rPr>
          <w:b/>
          <w:color w:val="010202"/>
          <w:sz w:val="18"/>
        </w:rPr>
        <w:t>Cuadro 1. Principales cultivos bajo de condiciones de temporal, en la región de Chapingo, México</w:t>
      </w:r>
    </w:p>
    <w:p>
      <w:pPr>
        <w:pStyle w:val="BodyText"/>
        <w:spacing w:before="6"/>
        <w:rPr>
          <w:b/>
          <w:sz w:val="9"/>
        </w:rPr>
      </w:pPr>
      <w:r>
        <w:rPr/>
        <w:drawing>
          <wp:anchor distT="0" distB="0" distL="0" distR="0" allowOverlap="1" layoutInCell="1" locked="0" behindDoc="0" simplePos="0" relativeHeight="1600">
            <wp:simplePos x="0" y="0"/>
            <wp:positionH relativeFrom="page">
              <wp:posOffset>799500</wp:posOffset>
            </wp:positionH>
            <wp:positionV relativeFrom="paragraph">
              <wp:posOffset>94631</wp:posOffset>
            </wp:positionV>
            <wp:extent cx="5320665" cy="1621536"/>
            <wp:effectExtent l="0" t="0" r="0" b="0"/>
            <wp:wrapTopAndBottom/>
            <wp:docPr id="53" name="image3.jpeg" descr=""/>
            <wp:cNvGraphicFramePr>
              <a:graphicFrameLocks noChangeAspect="1"/>
            </wp:cNvGraphicFramePr>
            <a:graphic>
              <a:graphicData uri="http://schemas.openxmlformats.org/drawingml/2006/picture">
                <pic:pic>
                  <pic:nvPicPr>
                    <pic:cNvPr id="54" name="image3.jpeg"/>
                    <pic:cNvPicPr/>
                  </pic:nvPicPr>
                  <pic:blipFill>
                    <a:blip r:embed="rId14" cstate="print"/>
                    <a:stretch>
                      <a:fillRect/>
                    </a:stretch>
                  </pic:blipFill>
                  <pic:spPr>
                    <a:xfrm>
                      <a:off x="0" y="0"/>
                      <a:ext cx="5320665" cy="1621536"/>
                    </a:xfrm>
                    <a:prstGeom prst="rect">
                      <a:avLst/>
                    </a:prstGeom>
                  </pic:spPr>
                </pic:pic>
              </a:graphicData>
            </a:graphic>
          </wp:anchor>
        </w:drawing>
      </w:r>
    </w:p>
    <w:p>
      <w:pPr>
        <w:spacing w:before="70"/>
        <w:ind w:left="1270" w:right="0" w:firstLine="0"/>
        <w:jc w:val="both"/>
        <w:rPr>
          <w:b/>
          <w:i/>
          <w:sz w:val="17"/>
        </w:rPr>
      </w:pPr>
      <w:r>
        <w:rPr>
          <w:b/>
          <w:i/>
          <w:color w:val="231F20"/>
          <w:sz w:val="17"/>
        </w:rPr>
        <w:t>Fuente: SIAP, 2011.</w:t>
      </w:r>
    </w:p>
    <w:p>
      <w:pPr>
        <w:pStyle w:val="BodyText"/>
        <w:rPr>
          <w:b/>
          <w:i/>
          <w:sz w:val="16"/>
        </w:rPr>
      </w:pPr>
    </w:p>
    <w:p>
      <w:pPr>
        <w:pStyle w:val="BodyText"/>
        <w:rPr>
          <w:b/>
          <w:i/>
          <w:sz w:val="16"/>
        </w:rPr>
      </w:pPr>
    </w:p>
    <w:p>
      <w:pPr>
        <w:pStyle w:val="BodyText"/>
        <w:spacing w:before="11"/>
        <w:rPr>
          <w:b/>
          <w:i/>
          <w:sz w:val="12"/>
        </w:rPr>
      </w:pPr>
    </w:p>
    <w:p>
      <w:pPr>
        <w:pStyle w:val="ListParagraph"/>
        <w:numPr>
          <w:ilvl w:val="0"/>
          <w:numId w:val="1"/>
        </w:numPr>
        <w:tabs>
          <w:tab w:pos="1581" w:val="left" w:leader="none"/>
        </w:tabs>
        <w:spacing w:line="247" w:lineRule="auto" w:before="0" w:after="0"/>
        <w:ind w:left="1270" w:right="1266" w:firstLine="0"/>
        <w:jc w:val="both"/>
        <w:rPr>
          <w:sz w:val="21"/>
        </w:rPr>
      </w:pPr>
      <w:r>
        <w:rPr>
          <w:color w:val="231F20"/>
          <w:sz w:val="21"/>
        </w:rPr>
        <w:t>Región Montaña de Guerrero. Se localiza en la porción oriental del Estado de Guerrero, entre los 17º 15´ a 17º 45´ de Latitud Norte y los 98º 15´ y 98º 45´ de Longitud Oeste; con una altitud    de 880 a 2160 msnm. El análisis es de una superficie de 8701 km2 donde 94, 455 ha se dedican a  la agricultura de temporal; 39, 699 ha al uso pecuario; sólo 1,167 ha están cubiertas con bosque; </w:t>
      </w:r>
      <w:r>
        <w:rPr>
          <w:color w:val="231F20"/>
          <w:spacing w:val="48"/>
          <w:sz w:val="21"/>
        </w:rPr>
        <w:t> </w:t>
      </w:r>
      <w:r>
        <w:rPr>
          <w:color w:val="231F20"/>
          <w:sz w:val="21"/>
        </w:rPr>
        <w:t>el</w:t>
      </w:r>
    </w:p>
    <w:p>
      <w:pPr>
        <w:spacing w:after="0" w:line="247" w:lineRule="auto"/>
        <w:jc w:val="both"/>
        <w:rPr>
          <w:sz w:val="21"/>
        </w:rPr>
        <w:sectPr>
          <w:pgSz w:w="10920" w:h="13080"/>
          <w:pgMar w:header="0" w:footer="1025" w:top="420" w:bottom="1220" w:left="0" w:right="0"/>
        </w:sectPr>
      </w:pPr>
    </w:p>
    <w:p>
      <w:pPr>
        <w:pStyle w:val="BodyText"/>
        <w:rPr>
          <w:sz w:val="20"/>
        </w:rPr>
      </w:pPr>
    </w:p>
    <w:p>
      <w:pPr>
        <w:pStyle w:val="BodyText"/>
        <w:rPr>
          <w:sz w:val="20"/>
        </w:rPr>
      </w:pPr>
    </w:p>
    <w:p>
      <w:pPr>
        <w:pStyle w:val="BodyText"/>
        <w:rPr>
          <w:sz w:val="23"/>
        </w:rPr>
      </w:pPr>
    </w:p>
    <w:p>
      <w:pPr>
        <w:pStyle w:val="BodyText"/>
        <w:spacing w:before="73"/>
        <w:ind w:left="1270"/>
        <w:jc w:val="both"/>
      </w:pPr>
      <w:r>
        <w:rPr>
          <w:color w:val="231F20"/>
        </w:rPr>
        <w:t>resto del territorio se encuentra en un proceso degradativo; se asientan 500 comunidades rurales,</w:t>
      </w:r>
    </w:p>
    <w:p>
      <w:pPr>
        <w:pStyle w:val="BodyText"/>
        <w:spacing w:before="8"/>
        <w:ind w:left="1270"/>
        <w:jc w:val="both"/>
      </w:pPr>
      <w:r>
        <w:rPr>
          <w:color w:val="231F20"/>
        </w:rPr>
        <w:t>con población dominantemente indígena: mixtecos, nahuas y  tlapanecos.</w:t>
      </w:r>
    </w:p>
    <w:p>
      <w:pPr>
        <w:pStyle w:val="BodyText"/>
        <w:spacing w:before="5"/>
        <w:rPr>
          <w:sz w:val="22"/>
        </w:rPr>
      </w:pPr>
    </w:p>
    <w:p>
      <w:pPr>
        <w:pStyle w:val="BodyText"/>
        <w:spacing w:line="247" w:lineRule="auto"/>
        <w:ind w:left="1270" w:right="1267"/>
        <w:jc w:val="both"/>
      </w:pPr>
      <w:r>
        <w:rPr>
          <w:color w:val="231F20"/>
        </w:rPr>
        <w:t>Análisis Agroclimático. Para ambos sitios de trabajo se han seleccionado las normales climatológi- cas de los periodos; 1941-1970, 1951-1980, 1961-1990 y 1971-2000, de los datos normalizados se han trabajado las siguientes variables meteorológicas: Temperatura máxima, Temperatura mínima, Precipitación</w:t>
      </w:r>
      <w:r>
        <w:rPr>
          <w:color w:val="231F20"/>
          <w:spacing w:val="-4"/>
        </w:rPr>
        <w:t> </w:t>
      </w:r>
      <w:r>
        <w:rPr>
          <w:color w:val="231F20"/>
        </w:rPr>
        <w:t>y</w:t>
      </w:r>
      <w:r>
        <w:rPr>
          <w:color w:val="231F20"/>
          <w:spacing w:val="-4"/>
        </w:rPr>
        <w:t> </w:t>
      </w:r>
      <w:r>
        <w:rPr>
          <w:color w:val="231F20"/>
        </w:rPr>
        <w:t>Evaporación;</w:t>
      </w:r>
      <w:r>
        <w:rPr>
          <w:color w:val="231F20"/>
          <w:spacing w:val="-4"/>
        </w:rPr>
        <w:t> </w:t>
      </w:r>
      <w:r>
        <w:rPr>
          <w:color w:val="231F20"/>
        </w:rPr>
        <w:t>para</w:t>
      </w:r>
      <w:r>
        <w:rPr>
          <w:color w:val="231F20"/>
          <w:spacing w:val="-4"/>
        </w:rPr>
        <w:t> </w:t>
      </w:r>
      <w:r>
        <w:rPr>
          <w:color w:val="231F20"/>
        </w:rPr>
        <w:t>el</w:t>
      </w:r>
      <w:r>
        <w:rPr>
          <w:color w:val="231F20"/>
          <w:spacing w:val="-4"/>
        </w:rPr>
        <w:t> </w:t>
      </w:r>
      <w:r>
        <w:rPr>
          <w:color w:val="231F20"/>
        </w:rPr>
        <w:t>cálculo</w:t>
      </w:r>
      <w:r>
        <w:rPr>
          <w:color w:val="231F20"/>
          <w:spacing w:val="-4"/>
        </w:rPr>
        <w:t> </w:t>
      </w:r>
      <w:r>
        <w:rPr>
          <w:color w:val="231F20"/>
        </w:rPr>
        <w:t>del</w:t>
      </w:r>
      <w:r>
        <w:rPr>
          <w:color w:val="231F20"/>
          <w:spacing w:val="-4"/>
        </w:rPr>
        <w:t> </w:t>
      </w:r>
      <w:r>
        <w:rPr>
          <w:color w:val="231F20"/>
        </w:rPr>
        <w:t>periodo</w:t>
      </w:r>
      <w:r>
        <w:rPr>
          <w:color w:val="231F20"/>
          <w:spacing w:val="-4"/>
        </w:rPr>
        <w:t> </w:t>
      </w:r>
      <w:r>
        <w:rPr>
          <w:color w:val="231F20"/>
        </w:rPr>
        <w:t>de</w:t>
      </w:r>
      <w:r>
        <w:rPr>
          <w:color w:val="231F20"/>
          <w:spacing w:val="-4"/>
        </w:rPr>
        <w:t> </w:t>
      </w:r>
      <w:r>
        <w:rPr>
          <w:color w:val="231F20"/>
        </w:rPr>
        <w:t>crecimiento</w:t>
      </w:r>
      <w:r>
        <w:rPr>
          <w:color w:val="231F20"/>
          <w:spacing w:val="-4"/>
        </w:rPr>
        <w:t> </w:t>
      </w:r>
      <w:r>
        <w:rPr>
          <w:color w:val="231F20"/>
        </w:rPr>
        <w:t>se</w:t>
      </w:r>
      <w:r>
        <w:rPr>
          <w:color w:val="231F20"/>
          <w:spacing w:val="-4"/>
        </w:rPr>
        <w:t> </w:t>
      </w:r>
      <w:r>
        <w:rPr>
          <w:color w:val="231F20"/>
        </w:rPr>
        <w:t>ha</w:t>
      </w:r>
      <w:r>
        <w:rPr>
          <w:color w:val="231F20"/>
          <w:spacing w:val="-4"/>
        </w:rPr>
        <w:t> </w:t>
      </w:r>
      <w:r>
        <w:rPr>
          <w:color w:val="231F20"/>
        </w:rPr>
        <w:t>trabajado</w:t>
      </w:r>
      <w:r>
        <w:rPr>
          <w:color w:val="231F20"/>
          <w:spacing w:val="-4"/>
        </w:rPr>
        <w:t> </w:t>
      </w:r>
      <w:r>
        <w:rPr>
          <w:color w:val="231F20"/>
        </w:rPr>
        <w:t>con</w:t>
      </w:r>
      <w:r>
        <w:rPr>
          <w:color w:val="231F20"/>
          <w:spacing w:val="-4"/>
        </w:rPr>
        <w:t> </w:t>
      </w:r>
      <w:r>
        <w:rPr>
          <w:color w:val="231F20"/>
        </w:rPr>
        <w:t>la</w:t>
      </w:r>
      <w:r>
        <w:rPr>
          <w:color w:val="231F20"/>
          <w:spacing w:val="-4"/>
        </w:rPr>
        <w:t> </w:t>
      </w:r>
      <w:r>
        <w:rPr>
          <w:color w:val="231F20"/>
        </w:rPr>
        <w:t>meto- dología propuesta por </w:t>
      </w:r>
      <w:r>
        <w:rPr>
          <w:color w:val="231F20"/>
          <w:spacing w:val="-6"/>
        </w:rPr>
        <w:t>FAO </w:t>
      </w:r>
      <w:r>
        <w:rPr>
          <w:color w:val="231F20"/>
        </w:rPr>
        <w:t>(1981), en el proyecto de Zonas</w:t>
      </w:r>
      <w:r>
        <w:rPr>
          <w:color w:val="231F20"/>
          <w:spacing w:val="-4"/>
        </w:rPr>
        <w:t> </w:t>
      </w:r>
      <w:r>
        <w:rPr>
          <w:color w:val="231F20"/>
        </w:rPr>
        <w:t>Agroecológicas.</w:t>
      </w:r>
    </w:p>
    <w:p>
      <w:pPr>
        <w:pStyle w:val="BodyText"/>
        <w:spacing w:before="9"/>
        <w:rPr>
          <w:sz w:val="22"/>
        </w:rPr>
      </w:pPr>
    </w:p>
    <w:p>
      <w:pPr>
        <w:pStyle w:val="Heading3"/>
      </w:pPr>
      <w:r>
        <w:rPr>
          <w:color w:val="010202"/>
        </w:rPr>
        <w:t>Análisis y discusión de resultados</w:t>
      </w:r>
    </w:p>
    <w:p>
      <w:pPr>
        <w:pStyle w:val="BodyText"/>
        <w:spacing w:before="10"/>
        <w:rPr>
          <w:b/>
        </w:rPr>
      </w:pPr>
    </w:p>
    <w:p>
      <w:pPr>
        <w:pStyle w:val="BodyText"/>
        <w:spacing w:line="247" w:lineRule="auto"/>
        <w:ind w:left="1270" w:right="1266"/>
        <w:jc w:val="both"/>
      </w:pPr>
      <w:r>
        <w:rPr>
          <w:color w:val="231F20"/>
        </w:rPr>
        <w:t>El Cuadro 2 muestra la ubicación geográfica de la dos estaciones meteorológicas utilizadas en el análisis, cuya información cumple con los criterios 3/5 de la Organización Meteorológica Mundial.</w:t>
      </w:r>
    </w:p>
    <w:p>
      <w:pPr>
        <w:pStyle w:val="BodyText"/>
        <w:spacing w:before="4"/>
      </w:pPr>
    </w:p>
    <w:p>
      <w:pPr>
        <w:spacing w:before="0"/>
        <w:ind w:left="1489" w:right="1489" w:firstLine="0"/>
        <w:jc w:val="center"/>
        <w:rPr>
          <w:b/>
          <w:sz w:val="18"/>
        </w:rPr>
      </w:pPr>
      <w:r>
        <w:rPr>
          <w:b/>
          <w:color w:val="010202"/>
          <w:sz w:val="18"/>
        </w:rPr>
        <w:t>Cuadro 2. Estaciones meteorológicas, ubicación y tipo climático</w:t>
      </w:r>
    </w:p>
    <w:p>
      <w:pPr>
        <w:pStyle w:val="BodyText"/>
        <w:spacing w:before="3"/>
        <w:rPr>
          <w:b/>
          <w:sz w:val="25"/>
        </w:rPr>
      </w:pPr>
    </w:p>
    <w:tbl>
      <w:tblPr>
        <w:tblW w:w="0" w:type="auto"/>
        <w:jc w:val="left"/>
        <w:tblInd w:w="1256"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top w:w="0" w:type="dxa"/>
          <w:left w:w="0" w:type="dxa"/>
          <w:bottom w:w="0" w:type="dxa"/>
          <w:right w:w="0" w:type="dxa"/>
        </w:tblCellMar>
        <w:tblLook w:val="01E0"/>
      </w:tblPr>
      <w:tblGrid>
        <w:gridCol w:w="1672"/>
        <w:gridCol w:w="1672"/>
        <w:gridCol w:w="1672"/>
        <w:gridCol w:w="1360"/>
        <w:gridCol w:w="2011"/>
      </w:tblGrid>
      <w:tr>
        <w:trPr>
          <w:trHeight w:val="409" w:hRule="exact"/>
        </w:trPr>
        <w:tc>
          <w:tcPr>
            <w:tcW w:w="1672" w:type="dxa"/>
          </w:tcPr>
          <w:p>
            <w:pPr>
              <w:pStyle w:val="TableParagraph"/>
              <w:spacing w:before="24"/>
              <w:rPr>
                <w:b/>
                <w:sz w:val="18"/>
              </w:rPr>
            </w:pPr>
            <w:r>
              <w:rPr>
                <w:b/>
                <w:color w:val="231F20"/>
                <w:sz w:val="18"/>
              </w:rPr>
              <w:t>Estación</w:t>
            </w:r>
          </w:p>
        </w:tc>
        <w:tc>
          <w:tcPr>
            <w:tcW w:w="1672" w:type="dxa"/>
          </w:tcPr>
          <w:p>
            <w:pPr>
              <w:pStyle w:val="TableParagraph"/>
              <w:spacing w:before="24"/>
              <w:ind w:left="69"/>
              <w:rPr>
                <w:b/>
                <w:sz w:val="18"/>
              </w:rPr>
            </w:pPr>
            <w:r>
              <w:rPr>
                <w:b/>
                <w:color w:val="231F20"/>
                <w:sz w:val="18"/>
              </w:rPr>
              <w:t>Altitud (m.s.n.m)</w:t>
            </w:r>
          </w:p>
        </w:tc>
        <w:tc>
          <w:tcPr>
            <w:tcW w:w="1672" w:type="dxa"/>
          </w:tcPr>
          <w:p>
            <w:pPr>
              <w:pStyle w:val="TableParagraph"/>
              <w:spacing w:before="24"/>
              <w:ind w:left="69"/>
              <w:rPr>
                <w:b/>
                <w:sz w:val="18"/>
              </w:rPr>
            </w:pPr>
            <w:r>
              <w:rPr>
                <w:b/>
                <w:color w:val="231F20"/>
                <w:sz w:val="18"/>
              </w:rPr>
              <w:t>Latitud</w:t>
            </w:r>
          </w:p>
        </w:tc>
        <w:tc>
          <w:tcPr>
            <w:tcW w:w="1360" w:type="dxa"/>
          </w:tcPr>
          <w:p>
            <w:pPr>
              <w:pStyle w:val="TableParagraph"/>
              <w:spacing w:before="24"/>
              <w:ind w:left="69"/>
              <w:rPr>
                <w:b/>
                <w:sz w:val="18"/>
              </w:rPr>
            </w:pPr>
            <w:r>
              <w:rPr>
                <w:b/>
                <w:color w:val="231F20"/>
                <w:sz w:val="18"/>
              </w:rPr>
              <w:t>Longitud</w:t>
            </w:r>
          </w:p>
        </w:tc>
        <w:tc>
          <w:tcPr>
            <w:tcW w:w="2011" w:type="dxa"/>
          </w:tcPr>
          <w:p>
            <w:pPr>
              <w:pStyle w:val="TableParagraph"/>
              <w:spacing w:before="24"/>
              <w:ind w:left="69"/>
              <w:rPr>
                <w:b/>
                <w:sz w:val="18"/>
              </w:rPr>
            </w:pPr>
            <w:r>
              <w:rPr>
                <w:b/>
                <w:color w:val="231F20"/>
                <w:sz w:val="18"/>
              </w:rPr>
              <w:t>Tipo climático</w:t>
            </w:r>
          </w:p>
        </w:tc>
      </w:tr>
      <w:tr>
        <w:trPr>
          <w:trHeight w:val="374" w:hRule="exact"/>
        </w:trPr>
        <w:tc>
          <w:tcPr>
            <w:tcW w:w="1672" w:type="dxa"/>
          </w:tcPr>
          <w:p>
            <w:pPr>
              <w:pStyle w:val="TableParagraph"/>
              <w:spacing w:before="27"/>
              <w:rPr>
                <w:sz w:val="18"/>
              </w:rPr>
            </w:pPr>
            <w:r>
              <w:rPr>
                <w:color w:val="231F20"/>
                <w:sz w:val="18"/>
              </w:rPr>
              <w:t>Chapingo, México</w:t>
            </w:r>
          </w:p>
        </w:tc>
        <w:tc>
          <w:tcPr>
            <w:tcW w:w="1672" w:type="dxa"/>
          </w:tcPr>
          <w:p>
            <w:pPr>
              <w:pStyle w:val="TableParagraph"/>
              <w:spacing w:before="27"/>
              <w:ind w:left="69"/>
              <w:rPr>
                <w:sz w:val="18"/>
              </w:rPr>
            </w:pPr>
            <w:r>
              <w:rPr>
                <w:color w:val="231F20"/>
                <w:sz w:val="18"/>
              </w:rPr>
              <w:t>2250</w:t>
            </w:r>
          </w:p>
        </w:tc>
        <w:tc>
          <w:tcPr>
            <w:tcW w:w="1672" w:type="dxa"/>
          </w:tcPr>
          <w:p>
            <w:pPr>
              <w:pStyle w:val="TableParagraph"/>
              <w:spacing w:before="27"/>
              <w:ind w:left="69"/>
              <w:rPr>
                <w:sz w:val="18"/>
              </w:rPr>
            </w:pPr>
            <w:r>
              <w:rPr>
                <w:color w:val="231F20"/>
                <w:sz w:val="18"/>
              </w:rPr>
              <w:t>19° 30’</w:t>
            </w:r>
          </w:p>
        </w:tc>
        <w:tc>
          <w:tcPr>
            <w:tcW w:w="1360" w:type="dxa"/>
          </w:tcPr>
          <w:p>
            <w:pPr>
              <w:pStyle w:val="TableParagraph"/>
              <w:spacing w:before="27"/>
              <w:ind w:left="69"/>
              <w:rPr>
                <w:sz w:val="18"/>
              </w:rPr>
            </w:pPr>
            <w:r>
              <w:rPr>
                <w:color w:val="231F20"/>
                <w:sz w:val="18"/>
              </w:rPr>
              <w:t>98° 53’</w:t>
            </w:r>
          </w:p>
        </w:tc>
        <w:tc>
          <w:tcPr>
            <w:tcW w:w="2011" w:type="dxa"/>
          </w:tcPr>
          <w:p>
            <w:pPr>
              <w:pStyle w:val="TableParagraph"/>
              <w:spacing w:before="27"/>
              <w:ind w:left="69"/>
              <w:rPr>
                <w:sz w:val="18"/>
              </w:rPr>
            </w:pPr>
            <w:r>
              <w:rPr>
                <w:color w:val="231F20"/>
                <w:sz w:val="18"/>
              </w:rPr>
              <w:t>Cb (w0)(w)(i’)(g)</w:t>
            </w:r>
          </w:p>
        </w:tc>
      </w:tr>
      <w:tr>
        <w:trPr>
          <w:trHeight w:val="363" w:hRule="exact"/>
        </w:trPr>
        <w:tc>
          <w:tcPr>
            <w:tcW w:w="1672" w:type="dxa"/>
          </w:tcPr>
          <w:p>
            <w:pPr>
              <w:pStyle w:val="TableParagraph"/>
              <w:rPr>
                <w:sz w:val="18"/>
              </w:rPr>
            </w:pPr>
            <w:r>
              <w:rPr>
                <w:color w:val="231F20"/>
                <w:sz w:val="18"/>
              </w:rPr>
              <w:t>Chilapa, Guerrero</w:t>
            </w:r>
          </w:p>
        </w:tc>
        <w:tc>
          <w:tcPr>
            <w:tcW w:w="1672" w:type="dxa"/>
          </w:tcPr>
          <w:p>
            <w:pPr>
              <w:pStyle w:val="TableParagraph"/>
              <w:ind w:left="69"/>
              <w:rPr>
                <w:sz w:val="18"/>
              </w:rPr>
            </w:pPr>
            <w:r>
              <w:rPr>
                <w:color w:val="231F20"/>
                <w:sz w:val="18"/>
              </w:rPr>
              <w:t>1450</w:t>
            </w:r>
          </w:p>
        </w:tc>
        <w:tc>
          <w:tcPr>
            <w:tcW w:w="1672" w:type="dxa"/>
          </w:tcPr>
          <w:p>
            <w:pPr>
              <w:pStyle w:val="TableParagraph"/>
              <w:ind w:left="69"/>
              <w:rPr>
                <w:sz w:val="18"/>
              </w:rPr>
            </w:pPr>
            <w:r>
              <w:rPr>
                <w:color w:val="231F20"/>
                <w:sz w:val="18"/>
              </w:rPr>
              <w:t>17° 36’ 31’’</w:t>
            </w:r>
          </w:p>
        </w:tc>
        <w:tc>
          <w:tcPr>
            <w:tcW w:w="1360" w:type="dxa"/>
          </w:tcPr>
          <w:p>
            <w:pPr>
              <w:pStyle w:val="TableParagraph"/>
              <w:ind w:left="69"/>
              <w:rPr>
                <w:sz w:val="18"/>
              </w:rPr>
            </w:pPr>
            <w:r>
              <w:rPr>
                <w:color w:val="231F20"/>
                <w:sz w:val="18"/>
              </w:rPr>
              <w:t>99° 10’ 33’’</w:t>
            </w:r>
          </w:p>
        </w:tc>
        <w:tc>
          <w:tcPr>
            <w:tcW w:w="2011" w:type="dxa"/>
          </w:tcPr>
          <w:p>
            <w:pPr>
              <w:pStyle w:val="TableParagraph"/>
              <w:ind w:left="69"/>
              <w:rPr>
                <w:sz w:val="18"/>
              </w:rPr>
            </w:pPr>
            <w:r>
              <w:rPr>
                <w:color w:val="231F20"/>
                <w:sz w:val="18"/>
              </w:rPr>
              <w:t>(A)Cb(w0)(w)(i’) gw’’</w:t>
            </w:r>
          </w:p>
        </w:tc>
      </w:tr>
    </w:tbl>
    <w:p>
      <w:pPr>
        <w:pStyle w:val="BodyText"/>
        <w:rPr>
          <w:b/>
          <w:sz w:val="20"/>
        </w:rPr>
      </w:pPr>
    </w:p>
    <w:p>
      <w:pPr>
        <w:pStyle w:val="BodyText"/>
        <w:spacing w:before="2"/>
        <w:rPr>
          <w:b/>
        </w:rPr>
      </w:pPr>
    </w:p>
    <w:p>
      <w:pPr>
        <w:pStyle w:val="Heading5"/>
        <w:numPr>
          <w:ilvl w:val="0"/>
          <w:numId w:val="2"/>
        </w:numPr>
        <w:tabs>
          <w:tab w:pos="1481" w:val="left" w:leader="none"/>
        </w:tabs>
        <w:spacing w:line="247" w:lineRule="auto" w:before="0" w:after="0"/>
        <w:ind w:left="1270" w:right="5650" w:firstLine="0"/>
        <w:jc w:val="left"/>
      </w:pPr>
      <w:r>
        <w:rPr>
          <w:color w:val="231F20"/>
        </w:rPr>
        <w:t>Estación Meteorológica Chapingo,</w:t>
      </w:r>
      <w:r>
        <w:rPr>
          <w:color w:val="231F20"/>
          <w:spacing w:val="-13"/>
        </w:rPr>
        <w:t> </w:t>
      </w:r>
      <w:r>
        <w:rPr>
          <w:color w:val="231F20"/>
        </w:rPr>
        <w:t>México Oscurecimiento</w:t>
      </w:r>
      <w:r>
        <w:rPr>
          <w:color w:val="231F20"/>
          <w:spacing w:val="-5"/>
        </w:rPr>
        <w:t> </w:t>
      </w:r>
      <w:r>
        <w:rPr>
          <w:color w:val="231F20"/>
        </w:rPr>
        <w:t>Global</w:t>
      </w:r>
    </w:p>
    <w:p>
      <w:pPr>
        <w:pStyle w:val="BodyText"/>
        <w:spacing w:line="247" w:lineRule="auto" w:before="1"/>
        <w:ind w:left="1270" w:right="1267"/>
        <w:jc w:val="both"/>
      </w:pPr>
      <w:r>
        <w:rPr>
          <w:color w:val="231F20"/>
        </w:rPr>
        <w:t>Es</w:t>
      </w:r>
      <w:r>
        <w:rPr>
          <w:color w:val="231F20"/>
          <w:spacing w:val="-3"/>
        </w:rPr>
        <w:t> </w:t>
      </w:r>
      <w:r>
        <w:rPr>
          <w:color w:val="231F20"/>
        </w:rPr>
        <w:t>un</w:t>
      </w:r>
      <w:r>
        <w:rPr>
          <w:color w:val="231F20"/>
          <w:spacing w:val="-3"/>
        </w:rPr>
        <w:t> </w:t>
      </w:r>
      <w:r>
        <w:rPr>
          <w:color w:val="231F20"/>
        </w:rPr>
        <w:t>término</w:t>
      </w:r>
      <w:r>
        <w:rPr>
          <w:color w:val="231F20"/>
          <w:spacing w:val="-3"/>
        </w:rPr>
        <w:t> </w:t>
      </w:r>
      <w:r>
        <w:rPr>
          <w:color w:val="231F20"/>
        </w:rPr>
        <w:t>que</w:t>
      </w:r>
      <w:r>
        <w:rPr>
          <w:color w:val="231F20"/>
          <w:spacing w:val="-3"/>
        </w:rPr>
        <w:t> </w:t>
      </w:r>
      <w:r>
        <w:rPr>
          <w:color w:val="231F20"/>
        </w:rPr>
        <w:t>describe</w:t>
      </w:r>
      <w:r>
        <w:rPr>
          <w:color w:val="231F20"/>
          <w:spacing w:val="-3"/>
        </w:rPr>
        <w:t> </w:t>
      </w:r>
      <w:r>
        <w:rPr>
          <w:color w:val="231F20"/>
        </w:rPr>
        <w:t>la</w:t>
      </w:r>
      <w:r>
        <w:rPr>
          <w:color w:val="231F20"/>
          <w:spacing w:val="-3"/>
        </w:rPr>
        <w:t> </w:t>
      </w:r>
      <w:r>
        <w:rPr>
          <w:color w:val="231F20"/>
        </w:rPr>
        <w:t>reducción</w:t>
      </w:r>
      <w:r>
        <w:rPr>
          <w:color w:val="231F20"/>
          <w:spacing w:val="-3"/>
        </w:rPr>
        <w:t> </w:t>
      </w:r>
      <w:r>
        <w:rPr>
          <w:color w:val="231F20"/>
        </w:rPr>
        <w:t>gradual</w:t>
      </w:r>
      <w:r>
        <w:rPr>
          <w:color w:val="231F20"/>
          <w:spacing w:val="-3"/>
        </w:rPr>
        <w:t> </w:t>
      </w:r>
      <w:r>
        <w:rPr>
          <w:color w:val="231F20"/>
        </w:rPr>
        <w:t>de</w:t>
      </w:r>
      <w:r>
        <w:rPr>
          <w:color w:val="231F20"/>
          <w:spacing w:val="-3"/>
        </w:rPr>
        <w:t> </w:t>
      </w:r>
      <w:r>
        <w:rPr>
          <w:color w:val="231F20"/>
        </w:rPr>
        <w:t>la</w:t>
      </w:r>
      <w:r>
        <w:rPr>
          <w:color w:val="231F20"/>
          <w:spacing w:val="-3"/>
        </w:rPr>
        <w:t> </w:t>
      </w:r>
      <w:r>
        <w:rPr>
          <w:color w:val="231F20"/>
        </w:rPr>
        <w:t>cantidad</w:t>
      </w:r>
      <w:r>
        <w:rPr>
          <w:color w:val="231F20"/>
          <w:spacing w:val="-3"/>
        </w:rPr>
        <w:t> </w:t>
      </w:r>
      <w:r>
        <w:rPr>
          <w:color w:val="231F20"/>
        </w:rPr>
        <w:t>de</w:t>
      </w:r>
      <w:r>
        <w:rPr>
          <w:color w:val="231F20"/>
          <w:spacing w:val="-3"/>
        </w:rPr>
        <w:t> </w:t>
      </w:r>
      <w:r>
        <w:rPr>
          <w:color w:val="231F20"/>
        </w:rPr>
        <w:t>luz</w:t>
      </w:r>
      <w:r>
        <w:rPr>
          <w:color w:val="231F20"/>
          <w:spacing w:val="-3"/>
        </w:rPr>
        <w:t> </w:t>
      </w:r>
      <w:r>
        <w:rPr>
          <w:color w:val="231F20"/>
        </w:rPr>
        <w:t>solar</w:t>
      </w:r>
      <w:r>
        <w:rPr>
          <w:color w:val="231F20"/>
          <w:spacing w:val="-3"/>
        </w:rPr>
        <w:t> </w:t>
      </w:r>
      <w:r>
        <w:rPr>
          <w:color w:val="231F20"/>
        </w:rPr>
        <w:t>que</w:t>
      </w:r>
      <w:r>
        <w:rPr>
          <w:color w:val="231F20"/>
          <w:spacing w:val="-3"/>
        </w:rPr>
        <w:t> </w:t>
      </w:r>
      <w:r>
        <w:rPr>
          <w:color w:val="231F20"/>
        </w:rPr>
        <w:t>alcanza</w:t>
      </w:r>
      <w:r>
        <w:rPr>
          <w:color w:val="231F20"/>
          <w:spacing w:val="-3"/>
        </w:rPr>
        <w:t> </w:t>
      </w:r>
      <w:r>
        <w:rPr>
          <w:color w:val="231F20"/>
        </w:rPr>
        <w:t>la</w:t>
      </w:r>
      <w:r>
        <w:rPr>
          <w:color w:val="231F20"/>
          <w:spacing w:val="-3"/>
        </w:rPr>
        <w:t> </w:t>
      </w:r>
      <w:r>
        <w:rPr>
          <w:color w:val="231F20"/>
        </w:rPr>
        <w:t>superficie terrestre, ha sido provocado por un incremento de partículas sólidas en suspensión en la atmósfera, debido a las actividades antropogénicas; este efecto varía con la ubicación del sitio, como es el caso de la Estación Meteorológica Chapingo, dado que se ubica en la Zona Metropolitana del </w:t>
      </w:r>
      <w:r>
        <w:rPr>
          <w:color w:val="231F20"/>
          <w:spacing w:val="-5"/>
        </w:rPr>
        <w:t>Valle </w:t>
      </w:r>
      <w:r>
        <w:rPr>
          <w:color w:val="231F20"/>
        </w:rPr>
        <w:t>de México,</w:t>
      </w:r>
      <w:r>
        <w:rPr>
          <w:color w:val="231F20"/>
          <w:spacing w:val="-7"/>
        </w:rPr>
        <w:t> </w:t>
      </w:r>
      <w:r>
        <w:rPr>
          <w:color w:val="231F20"/>
        </w:rPr>
        <w:t>que</w:t>
      </w:r>
      <w:r>
        <w:rPr>
          <w:color w:val="231F20"/>
          <w:spacing w:val="-7"/>
        </w:rPr>
        <w:t> </w:t>
      </w:r>
      <w:r>
        <w:rPr>
          <w:color w:val="231F20"/>
        </w:rPr>
        <w:t>después</w:t>
      </w:r>
      <w:r>
        <w:rPr>
          <w:color w:val="231F20"/>
          <w:spacing w:val="-7"/>
        </w:rPr>
        <w:t> </w:t>
      </w:r>
      <w:r>
        <w:rPr>
          <w:color w:val="231F20"/>
        </w:rPr>
        <w:t>de</w:t>
      </w:r>
      <w:r>
        <w:rPr>
          <w:color w:val="231F20"/>
          <w:spacing w:val="-10"/>
        </w:rPr>
        <w:t> </w:t>
      </w:r>
      <w:r>
        <w:rPr>
          <w:color w:val="231F20"/>
          <w:spacing w:val="-3"/>
        </w:rPr>
        <w:t>Tokio</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Zona</w:t>
      </w:r>
      <w:r>
        <w:rPr>
          <w:color w:val="231F20"/>
          <w:spacing w:val="-7"/>
        </w:rPr>
        <w:t> </w:t>
      </w:r>
      <w:r>
        <w:rPr>
          <w:color w:val="231F20"/>
        </w:rPr>
        <w:t>Metropolitana</w:t>
      </w:r>
      <w:r>
        <w:rPr>
          <w:color w:val="231F20"/>
          <w:spacing w:val="-8"/>
        </w:rPr>
        <w:t> </w:t>
      </w:r>
      <w:r>
        <w:rPr>
          <w:color w:val="231F20"/>
        </w:rPr>
        <w:t>de</w:t>
      </w:r>
      <w:r>
        <w:rPr>
          <w:color w:val="231F20"/>
          <w:spacing w:val="-7"/>
        </w:rPr>
        <w:t> </w:t>
      </w:r>
      <w:r>
        <w:rPr>
          <w:color w:val="231F20"/>
        </w:rPr>
        <w:t>Nueva</w:t>
      </w:r>
      <w:r>
        <w:rPr>
          <w:color w:val="231F20"/>
          <w:spacing w:val="-14"/>
        </w:rPr>
        <w:t> </w:t>
      </w:r>
      <w:r>
        <w:rPr>
          <w:color w:val="231F20"/>
        </w:rPr>
        <w:t>York-Filadelfia,</w:t>
      </w:r>
      <w:r>
        <w:rPr>
          <w:color w:val="231F20"/>
          <w:spacing w:val="-7"/>
        </w:rPr>
        <w:t> </w:t>
      </w:r>
      <w:r>
        <w:rPr>
          <w:color w:val="231F20"/>
        </w:rPr>
        <w:t>es</w:t>
      </w:r>
      <w:r>
        <w:rPr>
          <w:color w:val="231F20"/>
          <w:spacing w:val="-7"/>
        </w:rPr>
        <w:t> </w:t>
      </w:r>
      <w:r>
        <w:rPr>
          <w:color w:val="231F20"/>
        </w:rPr>
        <w:t>la</w:t>
      </w:r>
      <w:r>
        <w:rPr>
          <w:color w:val="231F20"/>
          <w:spacing w:val="-7"/>
        </w:rPr>
        <w:t> </w:t>
      </w:r>
      <w:r>
        <w:rPr>
          <w:color w:val="231F20"/>
        </w:rPr>
        <w:t>tercer</w:t>
      </w:r>
      <w:r>
        <w:rPr>
          <w:color w:val="231F20"/>
          <w:spacing w:val="-7"/>
        </w:rPr>
        <w:t> </w:t>
      </w:r>
      <w:r>
        <w:rPr>
          <w:color w:val="231F20"/>
        </w:rPr>
        <w:t>metró- poli más poblada del mundo y la más grande de América latina (SMA,</w:t>
      </w:r>
      <w:r>
        <w:rPr>
          <w:color w:val="231F20"/>
          <w:spacing w:val="-24"/>
        </w:rPr>
        <w:t> </w:t>
      </w:r>
      <w:r>
        <w:rPr>
          <w:color w:val="231F20"/>
        </w:rPr>
        <w:t>2005).</w:t>
      </w:r>
    </w:p>
    <w:p>
      <w:pPr>
        <w:pStyle w:val="BodyText"/>
        <w:spacing w:before="10"/>
      </w:pPr>
    </w:p>
    <w:p>
      <w:pPr>
        <w:pStyle w:val="BodyText"/>
        <w:spacing w:line="247" w:lineRule="auto"/>
        <w:ind w:left="1270" w:right="1267"/>
        <w:jc w:val="both"/>
      </w:pPr>
      <w:r>
        <w:rPr>
          <w:color w:val="231F20"/>
        </w:rPr>
        <w:t>El efecto del oscurecimiento global, se puede apreciar en la estación meteorológica Chapingo, en lo referente</w:t>
      </w:r>
      <w:r>
        <w:rPr>
          <w:color w:val="231F20"/>
          <w:spacing w:val="-9"/>
        </w:rPr>
        <w:t> </w:t>
      </w:r>
      <w:r>
        <w:rPr>
          <w:color w:val="231F20"/>
        </w:rPr>
        <w:t>al</w:t>
      </w:r>
      <w:r>
        <w:rPr>
          <w:color w:val="231F20"/>
          <w:spacing w:val="-9"/>
        </w:rPr>
        <w:t> </w:t>
      </w:r>
      <w:r>
        <w:rPr>
          <w:color w:val="231F20"/>
        </w:rPr>
        <w:t>promedio</w:t>
      </w:r>
      <w:r>
        <w:rPr>
          <w:color w:val="231F20"/>
          <w:spacing w:val="-9"/>
        </w:rPr>
        <w:t> </w:t>
      </w:r>
      <w:r>
        <w:rPr>
          <w:color w:val="231F20"/>
        </w:rPr>
        <w:t>de</w:t>
      </w:r>
      <w:r>
        <w:rPr>
          <w:color w:val="231F20"/>
          <w:spacing w:val="-9"/>
        </w:rPr>
        <w:t> </w:t>
      </w:r>
      <w:r>
        <w:rPr>
          <w:color w:val="231F20"/>
        </w:rPr>
        <w:t>temperaturas</w:t>
      </w:r>
      <w:r>
        <w:rPr>
          <w:color w:val="231F20"/>
          <w:spacing w:val="-9"/>
        </w:rPr>
        <w:t> </w:t>
      </w:r>
      <w:r>
        <w:rPr>
          <w:color w:val="231F20"/>
        </w:rPr>
        <w:t>máximas;</w:t>
      </w:r>
      <w:r>
        <w:rPr>
          <w:color w:val="231F20"/>
          <w:spacing w:val="-9"/>
        </w:rPr>
        <w:t> </w:t>
      </w:r>
      <w:r>
        <w:rPr>
          <w:color w:val="231F20"/>
        </w:rPr>
        <w:t>así</w:t>
      </w:r>
      <w:r>
        <w:rPr>
          <w:color w:val="231F20"/>
          <w:spacing w:val="-9"/>
        </w:rPr>
        <w:t> </w:t>
      </w:r>
      <w:r>
        <w:rPr>
          <w:color w:val="231F20"/>
        </w:rPr>
        <w:t>tenemos</w:t>
      </w:r>
      <w:r>
        <w:rPr>
          <w:color w:val="231F20"/>
          <w:spacing w:val="-9"/>
        </w:rPr>
        <w:t> </w:t>
      </w:r>
      <w:r>
        <w:rPr>
          <w:color w:val="231F20"/>
        </w:rPr>
        <w:t>que</w:t>
      </w:r>
      <w:r>
        <w:rPr>
          <w:color w:val="231F20"/>
          <w:spacing w:val="-9"/>
        </w:rPr>
        <w:t> </w:t>
      </w:r>
      <w:r>
        <w:rPr>
          <w:color w:val="231F20"/>
        </w:rPr>
        <w:t>en</w:t>
      </w:r>
      <w:r>
        <w:rPr>
          <w:color w:val="231F20"/>
          <w:spacing w:val="-9"/>
        </w:rPr>
        <w:t> </w:t>
      </w:r>
      <w:r>
        <w:rPr>
          <w:color w:val="231F20"/>
        </w:rPr>
        <w:t>los</w:t>
      </w:r>
      <w:r>
        <w:rPr>
          <w:color w:val="231F20"/>
          <w:spacing w:val="-9"/>
        </w:rPr>
        <w:t> </w:t>
      </w:r>
      <w:r>
        <w:rPr>
          <w:color w:val="231F20"/>
        </w:rPr>
        <w:t>diferentes</w:t>
      </w:r>
      <w:r>
        <w:rPr>
          <w:color w:val="231F20"/>
          <w:spacing w:val="-9"/>
        </w:rPr>
        <w:t> </w:t>
      </w:r>
      <w:r>
        <w:rPr>
          <w:color w:val="231F20"/>
        </w:rPr>
        <w:t>periodos</w:t>
      </w:r>
      <w:r>
        <w:rPr>
          <w:color w:val="231F20"/>
          <w:spacing w:val="-9"/>
        </w:rPr>
        <w:t> </w:t>
      </w:r>
      <w:r>
        <w:rPr>
          <w:color w:val="231F20"/>
        </w:rPr>
        <w:t>normales se ha tenido un descenso en la temperatura máxima; del periodo 1941-1970 al periodo 1971-2000 se observa que en promedio se ha reducido la temperatura en 1.5°C, lo cual se puede observar en la figura</w:t>
      </w:r>
      <w:r>
        <w:rPr>
          <w:color w:val="231F20"/>
          <w:spacing w:val="-12"/>
        </w:rPr>
        <w:t> </w:t>
      </w:r>
      <w:r>
        <w:rPr>
          <w:color w:val="231F20"/>
        </w:rPr>
        <w:t>1.</w:t>
      </w:r>
    </w:p>
    <w:p>
      <w:pPr>
        <w:spacing w:after="0" w:line="247" w:lineRule="auto"/>
        <w:jc w:val="both"/>
        <w:sectPr>
          <w:pgSz w:w="10920" w:h="13080"/>
          <w:pgMar w:header="0" w:footer="1025" w:top="420" w:bottom="1220" w:left="0" w:right="0"/>
        </w:sectPr>
      </w:pPr>
    </w:p>
    <w:p>
      <w:pPr>
        <w:pStyle w:val="BodyText"/>
        <w:rPr>
          <w:sz w:val="20"/>
        </w:rPr>
      </w:pPr>
    </w:p>
    <w:p>
      <w:pPr>
        <w:pStyle w:val="BodyText"/>
        <w:rPr>
          <w:sz w:val="20"/>
        </w:rPr>
      </w:pPr>
    </w:p>
    <w:p>
      <w:pPr>
        <w:pStyle w:val="BodyText"/>
        <w:rPr>
          <w:sz w:val="23"/>
        </w:rPr>
      </w:pPr>
    </w:p>
    <w:p>
      <w:pPr>
        <w:spacing w:line="249" w:lineRule="auto" w:before="77"/>
        <w:ind w:left="2806" w:right="2294" w:hanging="490"/>
        <w:jc w:val="left"/>
        <w:rPr>
          <w:b/>
          <w:sz w:val="18"/>
        </w:rPr>
      </w:pPr>
      <w:r>
        <w:rPr>
          <w:b/>
          <w:color w:val="010202"/>
          <w:sz w:val="18"/>
        </w:rPr>
        <w:t>Figura 1. Comportamiento del promedio de la temperatura máxima de la estación meteorológica Chapingo, México, de los diferentes periodos normales</w:t>
      </w:r>
    </w:p>
    <w:p>
      <w:pPr>
        <w:pStyle w:val="BodyText"/>
        <w:spacing w:before="6"/>
        <w:rPr>
          <w:b/>
          <w:sz w:val="27"/>
        </w:rPr>
      </w:pPr>
      <w:r>
        <w:rPr/>
        <w:drawing>
          <wp:anchor distT="0" distB="0" distL="0" distR="0" allowOverlap="1" layoutInCell="1" locked="0" behindDoc="0" simplePos="0" relativeHeight="1624">
            <wp:simplePos x="0" y="0"/>
            <wp:positionH relativeFrom="page">
              <wp:posOffset>799503</wp:posOffset>
            </wp:positionH>
            <wp:positionV relativeFrom="paragraph">
              <wp:posOffset>226055</wp:posOffset>
            </wp:positionV>
            <wp:extent cx="5373805" cy="2762250"/>
            <wp:effectExtent l="0" t="0" r="0" b="0"/>
            <wp:wrapTopAndBottom/>
            <wp:docPr id="55" name="image4.jpeg" descr=""/>
            <wp:cNvGraphicFramePr>
              <a:graphicFrameLocks noChangeAspect="1"/>
            </wp:cNvGraphicFramePr>
            <a:graphic>
              <a:graphicData uri="http://schemas.openxmlformats.org/drawingml/2006/picture">
                <pic:pic>
                  <pic:nvPicPr>
                    <pic:cNvPr id="56" name="image4.jpeg"/>
                    <pic:cNvPicPr/>
                  </pic:nvPicPr>
                  <pic:blipFill>
                    <a:blip r:embed="rId15" cstate="print"/>
                    <a:stretch>
                      <a:fillRect/>
                    </a:stretch>
                  </pic:blipFill>
                  <pic:spPr>
                    <a:xfrm>
                      <a:off x="0" y="0"/>
                      <a:ext cx="5373805" cy="2762250"/>
                    </a:xfrm>
                    <a:prstGeom prst="rect">
                      <a:avLst/>
                    </a:prstGeom>
                  </pic:spPr>
                </pic:pic>
              </a:graphicData>
            </a:graphic>
          </wp:anchor>
        </w:drawing>
      </w:r>
    </w:p>
    <w:p>
      <w:pPr>
        <w:pStyle w:val="BodyText"/>
        <w:spacing w:before="7"/>
        <w:rPr>
          <w:b/>
          <w:sz w:val="23"/>
        </w:rPr>
      </w:pPr>
    </w:p>
    <w:p>
      <w:pPr>
        <w:pStyle w:val="Heading5"/>
      </w:pPr>
      <w:r>
        <w:rPr>
          <w:color w:val="231F20"/>
        </w:rPr>
        <w:t>Precipitación Pluvial en Chapingo</w:t>
      </w:r>
    </w:p>
    <w:p>
      <w:pPr>
        <w:pStyle w:val="BodyText"/>
        <w:spacing w:line="247" w:lineRule="auto" w:before="8"/>
        <w:ind w:left="1270" w:right="1264"/>
        <w:jc w:val="both"/>
      </w:pPr>
      <w:r>
        <w:rPr>
          <w:color w:val="231F20"/>
        </w:rPr>
        <w:t>Se denomina precipitación a la caída del agua en estado líquido y/o sólido que alcanza la superficie del suelo, la cantidad de lluvia se expresa por la altura en milímetros de la lámina de agua (Gómez y Arteaga, 1987). En la región de la estación meteorológica Chapingo, en promedio se reciben 680 mm de precipitación por año, sin embargo al analizar los diferentes periodos normales tenemos   que la cantidad de precipitación ha ido disminuyendo paulatinamente, es decir, en Chapingo está lloviendo menos; así tenemos, que para el periodo de 1941–1970 se recibieron 685.5 mm, para el periodo 1971–2000, se recibieron 549.3 mm y actualmente en el periodo normal 1981-2010 (se encuentra en proceso de verificación de datos), solamente se recibieron 507.5 mm; es decir, la cantidad de lluvia registrada se ha reducido en un 74%, dicho comportamiento de reducción de la precipitación, se observa en la figura</w:t>
      </w:r>
      <w:r>
        <w:rPr>
          <w:color w:val="231F20"/>
          <w:spacing w:val="29"/>
        </w:rPr>
        <w:t> </w:t>
      </w:r>
      <w:r>
        <w:rPr>
          <w:color w:val="231F20"/>
        </w:rPr>
        <w:t>2.</w:t>
      </w:r>
    </w:p>
    <w:p>
      <w:pPr>
        <w:spacing w:after="0" w:line="247" w:lineRule="auto"/>
        <w:jc w:val="both"/>
        <w:sectPr>
          <w:pgSz w:w="10920" w:h="13080"/>
          <w:pgMar w:header="0" w:footer="1025" w:top="420" w:bottom="1220" w:left="0" w:right="0"/>
        </w:sectPr>
      </w:pPr>
    </w:p>
    <w:p>
      <w:pPr>
        <w:pStyle w:val="BodyText"/>
        <w:rPr>
          <w:sz w:val="20"/>
        </w:rPr>
      </w:pPr>
    </w:p>
    <w:p>
      <w:pPr>
        <w:pStyle w:val="BodyText"/>
        <w:rPr>
          <w:sz w:val="20"/>
        </w:rPr>
      </w:pPr>
    </w:p>
    <w:p>
      <w:pPr>
        <w:pStyle w:val="BodyText"/>
        <w:rPr>
          <w:sz w:val="23"/>
        </w:rPr>
      </w:pPr>
    </w:p>
    <w:p>
      <w:pPr>
        <w:spacing w:line="249" w:lineRule="auto" w:before="77"/>
        <w:ind w:left="3366" w:right="2319" w:hanging="769"/>
        <w:jc w:val="left"/>
        <w:rPr>
          <w:b/>
          <w:sz w:val="18"/>
        </w:rPr>
      </w:pPr>
      <w:r>
        <w:rPr>
          <w:b/>
          <w:color w:val="010202"/>
          <w:sz w:val="18"/>
        </w:rPr>
        <w:t>Figura 2. Comportamiento de la precipitación en la estación meteorológica Chapingo, México, en los diferentes periodos normales</w:t>
      </w:r>
    </w:p>
    <w:p>
      <w:pPr>
        <w:pStyle w:val="BodyText"/>
        <w:spacing w:before="2"/>
        <w:rPr>
          <w:b/>
          <w:sz w:val="18"/>
        </w:rPr>
      </w:pPr>
      <w:r>
        <w:rPr/>
        <w:drawing>
          <wp:anchor distT="0" distB="0" distL="0" distR="0" allowOverlap="1" layoutInCell="1" locked="0" behindDoc="0" simplePos="0" relativeHeight="1648">
            <wp:simplePos x="0" y="0"/>
            <wp:positionH relativeFrom="page">
              <wp:posOffset>806704</wp:posOffset>
            </wp:positionH>
            <wp:positionV relativeFrom="paragraph">
              <wp:posOffset>157857</wp:posOffset>
            </wp:positionV>
            <wp:extent cx="5303731" cy="3430714"/>
            <wp:effectExtent l="0" t="0" r="0" b="0"/>
            <wp:wrapTopAndBottom/>
            <wp:docPr id="57" name="image5.png" descr=""/>
            <wp:cNvGraphicFramePr>
              <a:graphicFrameLocks noChangeAspect="1"/>
            </wp:cNvGraphicFramePr>
            <a:graphic>
              <a:graphicData uri="http://schemas.openxmlformats.org/drawingml/2006/picture">
                <pic:pic>
                  <pic:nvPicPr>
                    <pic:cNvPr id="58" name="image5.png"/>
                    <pic:cNvPicPr/>
                  </pic:nvPicPr>
                  <pic:blipFill>
                    <a:blip r:embed="rId16" cstate="print"/>
                    <a:stretch>
                      <a:fillRect/>
                    </a:stretch>
                  </pic:blipFill>
                  <pic:spPr>
                    <a:xfrm>
                      <a:off x="0" y="0"/>
                      <a:ext cx="5303731" cy="3430714"/>
                    </a:xfrm>
                    <a:prstGeom prst="rect">
                      <a:avLst/>
                    </a:prstGeom>
                  </pic:spPr>
                </pic:pic>
              </a:graphicData>
            </a:graphic>
          </wp:anchor>
        </w:drawing>
      </w:r>
    </w:p>
    <w:p>
      <w:pPr>
        <w:pStyle w:val="BodyText"/>
        <w:spacing w:before="6"/>
        <w:rPr>
          <w:b/>
          <w:sz w:val="25"/>
        </w:rPr>
      </w:pPr>
    </w:p>
    <w:p>
      <w:pPr>
        <w:pStyle w:val="Heading5"/>
      </w:pPr>
      <w:r>
        <w:rPr>
          <w:color w:val="231F20"/>
        </w:rPr>
        <w:t>Periodo de Crecimiento</w:t>
      </w:r>
    </w:p>
    <w:p>
      <w:pPr>
        <w:pStyle w:val="BodyText"/>
        <w:spacing w:line="247" w:lineRule="auto" w:before="8"/>
        <w:ind w:left="1270" w:right="1264"/>
        <w:jc w:val="both"/>
      </w:pPr>
      <w:r>
        <w:rPr>
          <w:color w:val="231F20"/>
        </w:rPr>
        <w:t>La Evapotranspiración Potencial (ETP), es la máxima cantidad de agua capaz de ser perdida </w:t>
      </w:r>
      <w:r>
        <w:rPr>
          <w:color w:val="231F20"/>
          <w:spacing w:val="2"/>
        </w:rPr>
        <w:t>por </w:t>
      </w:r>
      <w:r>
        <w:rPr>
          <w:color w:val="231F20"/>
        </w:rPr>
        <w:t>una capa continua de vegetación que cubra a todo el terreno, cuando es ilimitada la cantidad de agua suministrada al suelo (Ortiz, 2008). La </w:t>
      </w:r>
      <w:r>
        <w:rPr>
          <w:color w:val="231F20"/>
          <w:spacing w:val="-4"/>
        </w:rPr>
        <w:t>FAO </w:t>
      </w:r>
      <w:r>
        <w:rPr>
          <w:color w:val="231F20"/>
        </w:rPr>
        <w:t>(1978), utiliza la ETP como valor para definir el periodo de crecimiento, el cual, se considera como el número de días consecutivos durante el </w:t>
      </w:r>
      <w:r>
        <w:rPr>
          <w:color w:val="231F20"/>
          <w:spacing w:val="2"/>
        </w:rPr>
        <w:t>año </w:t>
      </w:r>
      <w:r>
        <w:rPr>
          <w:color w:val="231F20"/>
        </w:rPr>
        <w:t>en los que existe disponibilidad de agua y temperatura favorable para el desarrollo de cultivos, se basa en un modelo simple de balance de agua, comparando las precipitaciones, con la ETP y </w:t>
      </w:r>
      <w:r>
        <w:rPr>
          <w:color w:val="231F20"/>
          <w:spacing w:val="2"/>
        </w:rPr>
        <w:t>0.5  </w:t>
      </w:r>
      <w:r>
        <w:rPr>
          <w:color w:val="231F20"/>
        </w:rPr>
        <w:t>de</w:t>
      </w:r>
      <w:r>
        <w:rPr>
          <w:color w:val="231F20"/>
          <w:spacing w:val="7"/>
        </w:rPr>
        <w:t> </w:t>
      </w:r>
      <w:r>
        <w:rPr>
          <w:color w:val="231F20"/>
          <w:spacing w:val="-5"/>
        </w:rPr>
        <w:t>ETP.</w:t>
      </w:r>
    </w:p>
    <w:p>
      <w:pPr>
        <w:pStyle w:val="BodyText"/>
        <w:spacing w:before="10"/>
      </w:pPr>
    </w:p>
    <w:p>
      <w:pPr>
        <w:pStyle w:val="BodyText"/>
        <w:spacing w:line="247" w:lineRule="auto"/>
        <w:ind w:left="1270" w:right="1268"/>
        <w:jc w:val="both"/>
      </w:pPr>
      <w:r>
        <w:rPr>
          <w:color w:val="231F20"/>
        </w:rPr>
        <w:t>Como resultado de que en la estación meteorológica Chapingo, se está reduciendo la cantidad de precipitación, se ve directamente afectado el periodo de crecimiento de los cultivos de temporal y  el periodo húmedo, así tenemos que para el periodo normal 1941–1971 en promedio se tenía un pe- riodo de crecimiento de 170 días y con un periodo húmedo de alrededor de 60 días; para el periodo normal 1971-2000, el periodo de crecimiento se ha reducido a 130 días y no se cuenta con periodo húmedo, lo cual quiere decir que el periodo de crecimiento en la región de Chapingo se ha</w:t>
      </w:r>
      <w:r>
        <w:rPr>
          <w:color w:val="231F20"/>
          <w:spacing w:val="-2"/>
        </w:rPr>
        <w:t> </w:t>
      </w:r>
      <w:r>
        <w:rPr>
          <w:color w:val="231F20"/>
        </w:rPr>
        <w:t>reducido</w:t>
      </w:r>
    </w:p>
    <w:p>
      <w:pPr>
        <w:spacing w:after="0" w:line="247" w:lineRule="auto"/>
        <w:jc w:val="both"/>
        <w:sectPr>
          <w:pgSz w:w="10920" w:h="13080"/>
          <w:pgMar w:header="0" w:footer="1025" w:top="420" w:bottom="1220" w:left="0" w:right="0"/>
        </w:sectPr>
      </w:pPr>
    </w:p>
    <w:p>
      <w:pPr>
        <w:pStyle w:val="BodyText"/>
        <w:rPr>
          <w:sz w:val="20"/>
        </w:rPr>
      </w:pPr>
    </w:p>
    <w:p>
      <w:pPr>
        <w:pStyle w:val="BodyText"/>
        <w:rPr>
          <w:sz w:val="20"/>
        </w:rPr>
      </w:pPr>
    </w:p>
    <w:p>
      <w:pPr>
        <w:pStyle w:val="BodyText"/>
        <w:rPr>
          <w:sz w:val="23"/>
        </w:rPr>
      </w:pPr>
    </w:p>
    <w:p>
      <w:pPr>
        <w:pStyle w:val="BodyText"/>
        <w:spacing w:before="73"/>
        <w:ind w:left="1270"/>
      </w:pPr>
      <w:r>
        <w:rPr>
          <w:color w:val="231F20"/>
        </w:rPr>
        <w:t>drásticamente para la producción agrícola, bajo condiciones de temporal, como se puede apreciar en</w:t>
      </w:r>
    </w:p>
    <w:p>
      <w:pPr>
        <w:pStyle w:val="BodyText"/>
        <w:spacing w:before="8"/>
        <w:ind w:left="1270" w:right="5337"/>
      </w:pPr>
      <w:r>
        <w:rPr>
          <w:color w:val="231F20"/>
        </w:rPr>
        <w:t>la Figura 3.</w:t>
      </w:r>
    </w:p>
    <w:p>
      <w:pPr>
        <w:pStyle w:val="BodyText"/>
        <w:rPr>
          <w:sz w:val="19"/>
        </w:rPr>
      </w:pPr>
    </w:p>
    <w:p>
      <w:pPr>
        <w:spacing w:line="249" w:lineRule="auto" w:before="0"/>
        <w:ind w:left="2639" w:right="2637" w:firstLine="0"/>
        <w:jc w:val="center"/>
        <w:rPr>
          <w:b/>
          <w:sz w:val="18"/>
        </w:rPr>
      </w:pPr>
      <w:r>
        <w:rPr>
          <w:b/>
          <w:color w:val="010202"/>
          <w:sz w:val="18"/>
        </w:rPr>
        <w:t>Figura 3. Periodo de crecimiento de la estación meteorológica Chapingo, México, destacando el periodo normal 1941-1970 y 1971–2000</w:t>
      </w:r>
    </w:p>
    <w:p>
      <w:pPr>
        <w:pStyle w:val="BodyText"/>
        <w:rPr>
          <w:b/>
          <w:sz w:val="15"/>
        </w:rPr>
      </w:pPr>
      <w:r>
        <w:rPr/>
        <w:pict>
          <v:group style="position:absolute;margin-left:62.952999pt;margin-top:10.616831pt;width:420.1pt;height:247.85pt;mso-position-horizontal-relative:page;mso-position-vertical-relative:paragraph;z-index:1672;mso-wrap-distance-left:0;mso-wrap-distance-right:0" coordorigin="1259,212" coordsize="8402,4957">
            <v:shape style="position:absolute;left:1259;top:212;width:8402;height:4957" type="#_x0000_t75" stroked="false">
              <v:imagedata r:id="rId17" o:title=""/>
            </v:shape>
            <v:line style="position:absolute" from="7180,309" to="7180,2200" stroked="true" strokeweight=".668558pt" strokecolor="#4a7ebc"/>
            <v:line style="position:absolute" from="7388,221" to="7396,2229" stroked="true" strokeweight=".668558pt" strokecolor="#ed1f24"/>
            <v:line style="position:absolute" from="9438,965" to="9430,2210" stroked="true" strokeweight=".668558pt" strokecolor="#ed1f24"/>
            <w10:wrap type="topAndBottom"/>
          </v:group>
        </w:pict>
      </w:r>
    </w:p>
    <w:p>
      <w:pPr>
        <w:pStyle w:val="BodyText"/>
        <w:spacing w:before="6"/>
        <w:rPr>
          <w:b/>
          <w:sz w:val="17"/>
        </w:rPr>
      </w:pPr>
    </w:p>
    <w:p>
      <w:pPr>
        <w:pStyle w:val="Heading5"/>
        <w:numPr>
          <w:ilvl w:val="0"/>
          <w:numId w:val="2"/>
        </w:numPr>
        <w:tabs>
          <w:tab w:pos="1481" w:val="left" w:leader="none"/>
        </w:tabs>
        <w:spacing w:line="240" w:lineRule="auto" w:before="73" w:after="0"/>
        <w:ind w:left="1480" w:right="0" w:hanging="210"/>
        <w:jc w:val="both"/>
      </w:pPr>
      <w:r>
        <w:rPr>
          <w:color w:val="231F20"/>
        </w:rPr>
        <w:t>Estación Meteorológica Chilapa,</w:t>
      </w:r>
      <w:r>
        <w:rPr>
          <w:color w:val="231F20"/>
          <w:spacing w:val="-20"/>
        </w:rPr>
        <w:t> </w:t>
      </w:r>
      <w:r>
        <w:rPr>
          <w:color w:val="231F20"/>
        </w:rPr>
        <w:t>Guerrero</w:t>
      </w:r>
    </w:p>
    <w:p>
      <w:pPr>
        <w:pStyle w:val="BodyText"/>
        <w:spacing w:line="247" w:lineRule="auto" w:before="8"/>
        <w:ind w:left="1270" w:right="1267"/>
        <w:jc w:val="both"/>
      </w:pPr>
      <w:r>
        <w:rPr>
          <w:color w:val="231F20"/>
        </w:rPr>
        <w:t>En el caso del comportamiento del promedio de temperatura máxima, sucede lo contrario de la es- tación</w:t>
      </w:r>
      <w:r>
        <w:rPr>
          <w:color w:val="231F20"/>
          <w:spacing w:val="-3"/>
        </w:rPr>
        <w:t> </w:t>
      </w:r>
      <w:r>
        <w:rPr>
          <w:color w:val="231F20"/>
        </w:rPr>
        <w:t>Chapingo,</w:t>
      </w:r>
      <w:r>
        <w:rPr>
          <w:color w:val="231F20"/>
          <w:spacing w:val="-3"/>
        </w:rPr>
        <w:t> </w:t>
      </w:r>
      <w:r>
        <w:rPr>
          <w:color w:val="231F20"/>
        </w:rPr>
        <w:t>es</w:t>
      </w:r>
      <w:r>
        <w:rPr>
          <w:color w:val="231F20"/>
          <w:spacing w:val="-3"/>
        </w:rPr>
        <w:t> </w:t>
      </w:r>
      <w:r>
        <w:rPr>
          <w:color w:val="231F20"/>
        </w:rPr>
        <w:t>decir,</w:t>
      </w:r>
      <w:r>
        <w:rPr>
          <w:color w:val="231F20"/>
          <w:spacing w:val="-3"/>
        </w:rPr>
        <w:t> </w:t>
      </w:r>
      <w:r>
        <w:rPr>
          <w:color w:val="231F20"/>
        </w:rPr>
        <w:t>la</w:t>
      </w:r>
      <w:r>
        <w:rPr>
          <w:color w:val="231F20"/>
          <w:spacing w:val="-3"/>
        </w:rPr>
        <w:t> </w:t>
      </w:r>
      <w:r>
        <w:rPr>
          <w:color w:val="231F20"/>
        </w:rPr>
        <w:t>temperatura</w:t>
      </w:r>
      <w:r>
        <w:rPr>
          <w:color w:val="231F20"/>
          <w:spacing w:val="-4"/>
        </w:rPr>
        <w:t> </w:t>
      </w:r>
      <w:r>
        <w:rPr>
          <w:color w:val="231F20"/>
        </w:rPr>
        <w:t>ha</w:t>
      </w:r>
      <w:r>
        <w:rPr>
          <w:color w:val="231F20"/>
          <w:spacing w:val="-3"/>
        </w:rPr>
        <w:t> </w:t>
      </w:r>
      <w:r>
        <w:rPr>
          <w:color w:val="231F20"/>
        </w:rPr>
        <w:t>aumentado</w:t>
      </w:r>
      <w:r>
        <w:rPr>
          <w:color w:val="231F20"/>
          <w:spacing w:val="-4"/>
        </w:rPr>
        <w:t> </w:t>
      </w:r>
      <w:r>
        <w:rPr>
          <w:color w:val="231F20"/>
        </w:rPr>
        <w:t>considerablemente,</w:t>
      </w:r>
      <w:r>
        <w:rPr>
          <w:color w:val="231F20"/>
          <w:spacing w:val="-4"/>
        </w:rPr>
        <w:t> </w:t>
      </w:r>
      <w:r>
        <w:rPr>
          <w:color w:val="231F20"/>
        </w:rPr>
        <w:t>en</w:t>
      </w:r>
      <w:r>
        <w:rPr>
          <w:color w:val="231F20"/>
          <w:spacing w:val="-3"/>
        </w:rPr>
        <w:t> </w:t>
      </w:r>
      <w:r>
        <w:rPr>
          <w:color w:val="231F20"/>
        </w:rPr>
        <w:t>promedio</w:t>
      </w:r>
      <w:r>
        <w:rPr>
          <w:color w:val="231F20"/>
          <w:spacing w:val="-3"/>
        </w:rPr>
        <w:t> </w:t>
      </w:r>
      <w:r>
        <w:rPr>
          <w:color w:val="231F20"/>
        </w:rPr>
        <w:t>se</w:t>
      </w:r>
      <w:r>
        <w:rPr>
          <w:color w:val="231F20"/>
          <w:spacing w:val="-3"/>
        </w:rPr>
        <w:t> </w:t>
      </w:r>
      <w:r>
        <w:rPr>
          <w:color w:val="231F20"/>
        </w:rPr>
        <w:t>tiene</w:t>
      </w:r>
      <w:r>
        <w:rPr>
          <w:color w:val="231F20"/>
          <w:spacing w:val="-3"/>
        </w:rPr>
        <w:t> </w:t>
      </w:r>
      <w:r>
        <w:rPr>
          <w:color w:val="231F20"/>
        </w:rPr>
        <w:t>un registro</w:t>
      </w:r>
      <w:r>
        <w:rPr>
          <w:color w:val="231F20"/>
          <w:spacing w:val="-9"/>
        </w:rPr>
        <w:t> </w:t>
      </w:r>
      <w:r>
        <w:rPr>
          <w:color w:val="231F20"/>
        </w:rPr>
        <w:t>de</w:t>
      </w:r>
      <w:r>
        <w:rPr>
          <w:color w:val="231F20"/>
          <w:spacing w:val="-9"/>
        </w:rPr>
        <w:t> </w:t>
      </w:r>
      <w:r>
        <w:rPr>
          <w:color w:val="231F20"/>
        </w:rPr>
        <w:t>2°C,</w:t>
      </w:r>
      <w:r>
        <w:rPr>
          <w:color w:val="231F20"/>
          <w:spacing w:val="-9"/>
        </w:rPr>
        <w:t> </w:t>
      </w:r>
      <w:r>
        <w:rPr>
          <w:color w:val="231F20"/>
        </w:rPr>
        <w:t>del</w:t>
      </w:r>
      <w:r>
        <w:rPr>
          <w:color w:val="231F20"/>
          <w:spacing w:val="-9"/>
        </w:rPr>
        <w:t> </w:t>
      </w:r>
      <w:r>
        <w:rPr>
          <w:color w:val="231F20"/>
        </w:rPr>
        <w:t>periodo</w:t>
      </w:r>
      <w:r>
        <w:rPr>
          <w:color w:val="231F20"/>
          <w:spacing w:val="-9"/>
        </w:rPr>
        <w:t> </w:t>
      </w:r>
      <w:r>
        <w:rPr>
          <w:color w:val="231F20"/>
        </w:rPr>
        <w:t>normal</w:t>
      </w:r>
      <w:r>
        <w:rPr>
          <w:color w:val="231F20"/>
          <w:spacing w:val="-9"/>
        </w:rPr>
        <w:t> </w:t>
      </w:r>
      <w:r>
        <w:rPr>
          <w:color w:val="231F20"/>
        </w:rPr>
        <w:t>1941-1970</w:t>
      </w:r>
      <w:r>
        <w:rPr>
          <w:color w:val="231F20"/>
          <w:spacing w:val="-9"/>
        </w:rPr>
        <w:t> </w:t>
      </w:r>
      <w:r>
        <w:rPr>
          <w:color w:val="231F20"/>
        </w:rPr>
        <w:t>al</w:t>
      </w:r>
      <w:r>
        <w:rPr>
          <w:color w:val="231F20"/>
          <w:spacing w:val="-9"/>
        </w:rPr>
        <w:t> </w:t>
      </w:r>
      <w:r>
        <w:rPr>
          <w:color w:val="231F20"/>
        </w:rPr>
        <w:t>periodo</w:t>
      </w:r>
      <w:r>
        <w:rPr>
          <w:color w:val="231F20"/>
          <w:spacing w:val="-9"/>
        </w:rPr>
        <w:t> </w:t>
      </w:r>
      <w:r>
        <w:rPr>
          <w:color w:val="231F20"/>
        </w:rPr>
        <w:t>1971-2000;</w:t>
      </w:r>
      <w:r>
        <w:rPr>
          <w:color w:val="231F20"/>
          <w:spacing w:val="-9"/>
        </w:rPr>
        <w:t> </w:t>
      </w:r>
      <w:r>
        <w:rPr>
          <w:color w:val="231F20"/>
        </w:rPr>
        <w:t>con</w:t>
      </w:r>
      <w:r>
        <w:rPr>
          <w:color w:val="231F20"/>
          <w:spacing w:val="-9"/>
        </w:rPr>
        <w:t> </w:t>
      </w:r>
      <w:r>
        <w:rPr>
          <w:color w:val="231F20"/>
        </w:rPr>
        <w:t>estos</w:t>
      </w:r>
      <w:r>
        <w:rPr>
          <w:color w:val="231F20"/>
          <w:spacing w:val="-9"/>
        </w:rPr>
        <w:t> </w:t>
      </w:r>
      <w:r>
        <w:rPr>
          <w:color w:val="231F20"/>
        </w:rPr>
        <w:t>valores</w:t>
      </w:r>
      <w:r>
        <w:rPr>
          <w:color w:val="231F20"/>
          <w:spacing w:val="-9"/>
        </w:rPr>
        <w:t> </w:t>
      </w:r>
      <w:r>
        <w:rPr>
          <w:color w:val="231F20"/>
        </w:rPr>
        <w:t>de</w:t>
      </w:r>
      <w:r>
        <w:rPr>
          <w:color w:val="231F20"/>
          <w:spacing w:val="-9"/>
        </w:rPr>
        <w:t> </w:t>
      </w:r>
      <w:r>
        <w:rPr>
          <w:color w:val="231F20"/>
        </w:rPr>
        <w:t>incremen- to</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temperatura,</w:t>
      </w:r>
      <w:r>
        <w:rPr>
          <w:color w:val="231F20"/>
          <w:spacing w:val="-8"/>
        </w:rPr>
        <w:t> </w:t>
      </w:r>
      <w:r>
        <w:rPr>
          <w:color w:val="231F20"/>
        </w:rPr>
        <w:t>también</w:t>
      </w:r>
      <w:r>
        <w:rPr>
          <w:color w:val="231F20"/>
          <w:spacing w:val="-8"/>
        </w:rPr>
        <w:t> </w:t>
      </w:r>
      <w:r>
        <w:rPr>
          <w:color w:val="231F20"/>
        </w:rPr>
        <w:t>se</w:t>
      </w:r>
      <w:r>
        <w:rPr>
          <w:color w:val="231F20"/>
          <w:spacing w:val="-8"/>
        </w:rPr>
        <w:t> </w:t>
      </w:r>
      <w:r>
        <w:rPr>
          <w:color w:val="231F20"/>
        </w:rPr>
        <w:t>ven</w:t>
      </w:r>
      <w:r>
        <w:rPr>
          <w:color w:val="231F20"/>
          <w:spacing w:val="-8"/>
        </w:rPr>
        <w:t> </w:t>
      </w:r>
      <w:r>
        <w:rPr>
          <w:color w:val="231F20"/>
        </w:rPr>
        <w:t>afectados</w:t>
      </w:r>
      <w:r>
        <w:rPr>
          <w:color w:val="231F20"/>
          <w:spacing w:val="-8"/>
        </w:rPr>
        <w:t> </w:t>
      </w:r>
      <w:r>
        <w:rPr>
          <w:color w:val="231F20"/>
        </w:rPr>
        <w:t>los</w:t>
      </w:r>
      <w:r>
        <w:rPr>
          <w:color w:val="231F20"/>
          <w:spacing w:val="-8"/>
        </w:rPr>
        <w:t> </w:t>
      </w:r>
      <w:r>
        <w:rPr>
          <w:color w:val="231F20"/>
        </w:rPr>
        <w:t>valores</w:t>
      </w:r>
      <w:r>
        <w:rPr>
          <w:color w:val="231F20"/>
          <w:spacing w:val="-8"/>
        </w:rPr>
        <w:t> </w:t>
      </w:r>
      <w:r>
        <w:rPr>
          <w:color w:val="231F20"/>
        </w:rPr>
        <w:t>de</w:t>
      </w:r>
      <w:r>
        <w:rPr>
          <w:color w:val="231F20"/>
          <w:spacing w:val="-8"/>
        </w:rPr>
        <w:t> </w:t>
      </w:r>
      <w:r>
        <w:rPr>
          <w:color w:val="231F20"/>
        </w:rPr>
        <w:t>evaporación;</w:t>
      </w:r>
      <w:r>
        <w:rPr>
          <w:color w:val="231F20"/>
          <w:spacing w:val="-8"/>
        </w:rPr>
        <w:t> </w:t>
      </w:r>
      <w:r>
        <w:rPr>
          <w:color w:val="231F20"/>
        </w:rPr>
        <w:t>por</w:t>
      </w:r>
      <w:r>
        <w:rPr>
          <w:color w:val="231F20"/>
          <w:spacing w:val="-8"/>
        </w:rPr>
        <w:t> </w:t>
      </w:r>
      <w:r>
        <w:rPr>
          <w:color w:val="231F20"/>
        </w:rPr>
        <w:t>lo</w:t>
      </w:r>
      <w:r>
        <w:rPr>
          <w:color w:val="231F20"/>
          <w:spacing w:val="-8"/>
        </w:rPr>
        <w:t> </w:t>
      </w:r>
      <w:r>
        <w:rPr>
          <w:color w:val="231F20"/>
        </w:rPr>
        <w:t>tanto,</w:t>
      </w:r>
      <w:r>
        <w:rPr>
          <w:color w:val="231F20"/>
          <w:spacing w:val="-8"/>
        </w:rPr>
        <w:t> </w:t>
      </w:r>
      <w:r>
        <w:rPr>
          <w:color w:val="231F20"/>
        </w:rPr>
        <w:t>la</w:t>
      </w:r>
      <w:r>
        <w:rPr>
          <w:color w:val="231F20"/>
          <w:spacing w:val="-8"/>
        </w:rPr>
        <w:t> </w:t>
      </w:r>
      <w:r>
        <w:rPr>
          <w:color w:val="231F20"/>
        </w:rPr>
        <w:t>producción agrícola,</w:t>
      </w:r>
      <w:r>
        <w:rPr>
          <w:color w:val="231F20"/>
          <w:spacing w:val="-12"/>
        </w:rPr>
        <w:t> </w:t>
      </w:r>
      <w:r>
        <w:rPr>
          <w:color w:val="231F20"/>
        </w:rPr>
        <w:t>bajo</w:t>
      </w:r>
      <w:r>
        <w:rPr>
          <w:color w:val="231F20"/>
          <w:spacing w:val="-11"/>
        </w:rPr>
        <w:t> </w:t>
      </w:r>
      <w:r>
        <w:rPr>
          <w:color w:val="231F20"/>
        </w:rPr>
        <w:t>condiciones</w:t>
      </w:r>
      <w:r>
        <w:rPr>
          <w:color w:val="231F20"/>
          <w:spacing w:val="-12"/>
        </w:rPr>
        <w:t> </w:t>
      </w:r>
      <w:r>
        <w:rPr>
          <w:color w:val="231F20"/>
        </w:rPr>
        <w:t>de</w:t>
      </w:r>
      <w:r>
        <w:rPr>
          <w:color w:val="231F20"/>
          <w:spacing w:val="-12"/>
        </w:rPr>
        <w:t> </w:t>
      </w:r>
      <w:r>
        <w:rPr>
          <w:color w:val="231F20"/>
        </w:rPr>
        <w:t>temporal,</w:t>
      </w:r>
      <w:r>
        <w:rPr>
          <w:color w:val="231F20"/>
          <w:spacing w:val="-12"/>
        </w:rPr>
        <w:t> </w:t>
      </w:r>
      <w:r>
        <w:rPr>
          <w:color w:val="231F20"/>
        </w:rPr>
        <w:t>se</w:t>
      </w:r>
      <w:r>
        <w:rPr>
          <w:color w:val="231F20"/>
          <w:spacing w:val="-11"/>
        </w:rPr>
        <w:t> </w:t>
      </w:r>
      <w:r>
        <w:rPr>
          <w:color w:val="231F20"/>
        </w:rPr>
        <w:t>ve</w:t>
      </w:r>
      <w:r>
        <w:rPr>
          <w:color w:val="231F20"/>
          <w:spacing w:val="-12"/>
        </w:rPr>
        <w:t> </w:t>
      </w:r>
      <w:r>
        <w:rPr>
          <w:color w:val="231F20"/>
        </w:rPr>
        <w:t>afectada</w:t>
      </w:r>
      <w:r>
        <w:rPr>
          <w:color w:val="231F20"/>
          <w:spacing w:val="-12"/>
        </w:rPr>
        <w:t> </w:t>
      </w:r>
      <w:r>
        <w:rPr>
          <w:color w:val="231F20"/>
        </w:rPr>
        <w:t>en</w:t>
      </w:r>
      <w:r>
        <w:rPr>
          <w:color w:val="231F20"/>
          <w:spacing w:val="-12"/>
        </w:rPr>
        <w:t> </w:t>
      </w:r>
      <w:r>
        <w:rPr>
          <w:color w:val="231F20"/>
        </w:rPr>
        <w:t>su</w:t>
      </w:r>
      <w:r>
        <w:rPr>
          <w:color w:val="231F20"/>
          <w:spacing w:val="-11"/>
        </w:rPr>
        <w:t> </w:t>
      </w:r>
      <w:r>
        <w:rPr>
          <w:color w:val="231F20"/>
        </w:rPr>
        <w:t>totalidad,</w:t>
      </w:r>
      <w:r>
        <w:rPr>
          <w:color w:val="231F20"/>
          <w:spacing w:val="-12"/>
        </w:rPr>
        <w:t> </w:t>
      </w:r>
      <w:r>
        <w:rPr>
          <w:color w:val="231F20"/>
        </w:rPr>
        <w:t>el</w:t>
      </w:r>
      <w:r>
        <w:rPr>
          <w:color w:val="231F20"/>
          <w:spacing w:val="-12"/>
        </w:rPr>
        <w:t> </w:t>
      </w:r>
      <w:r>
        <w:rPr>
          <w:color w:val="231F20"/>
        </w:rPr>
        <w:t>comportamiento</w:t>
      </w:r>
      <w:r>
        <w:rPr>
          <w:color w:val="231F20"/>
          <w:spacing w:val="-12"/>
        </w:rPr>
        <w:t> </w:t>
      </w:r>
      <w:r>
        <w:rPr>
          <w:color w:val="231F20"/>
        </w:rPr>
        <w:t>descrito</w:t>
      </w:r>
      <w:r>
        <w:rPr>
          <w:color w:val="231F20"/>
          <w:spacing w:val="-11"/>
        </w:rPr>
        <w:t> </w:t>
      </w:r>
      <w:r>
        <w:rPr>
          <w:color w:val="231F20"/>
        </w:rPr>
        <w:t>del promedio de temperatura máxima, se observa en la figura</w:t>
      </w:r>
      <w:r>
        <w:rPr>
          <w:color w:val="231F20"/>
          <w:spacing w:val="-11"/>
        </w:rPr>
        <w:t> </w:t>
      </w:r>
      <w:r>
        <w:rPr>
          <w:color w:val="231F20"/>
        </w:rPr>
        <w:t>4.</w:t>
      </w:r>
    </w:p>
    <w:p>
      <w:pPr>
        <w:spacing w:after="0" w:line="247" w:lineRule="auto"/>
        <w:jc w:val="both"/>
        <w:sectPr>
          <w:pgSz w:w="10920" w:h="13080"/>
          <w:pgMar w:header="0" w:footer="1025" w:top="420" w:bottom="1220" w:left="0" w:right="0"/>
        </w:sectPr>
      </w:pPr>
    </w:p>
    <w:p>
      <w:pPr>
        <w:pStyle w:val="BodyText"/>
        <w:rPr>
          <w:sz w:val="20"/>
        </w:rPr>
      </w:pPr>
    </w:p>
    <w:p>
      <w:pPr>
        <w:pStyle w:val="BodyText"/>
        <w:rPr>
          <w:sz w:val="20"/>
        </w:rPr>
      </w:pPr>
    </w:p>
    <w:p>
      <w:pPr>
        <w:pStyle w:val="BodyText"/>
        <w:rPr>
          <w:sz w:val="23"/>
        </w:rPr>
      </w:pPr>
    </w:p>
    <w:p>
      <w:pPr>
        <w:spacing w:before="77"/>
        <w:ind w:left="1489" w:right="1489" w:firstLine="0"/>
        <w:jc w:val="center"/>
        <w:rPr>
          <w:b/>
          <w:sz w:val="18"/>
        </w:rPr>
      </w:pPr>
      <w:r>
        <w:rPr>
          <w:b/>
          <w:color w:val="010202"/>
          <w:sz w:val="18"/>
        </w:rPr>
        <w:t>Figura 4. Comportamiento del promedio de temperatura máxima,</w:t>
      </w:r>
    </w:p>
    <w:p>
      <w:pPr>
        <w:spacing w:before="9"/>
        <w:ind w:left="2634" w:right="1279" w:firstLine="0"/>
        <w:jc w:val="left"/>
        <w:rPr>
          <w:b/>
          <w:sz w:val="18"/>
        </w:rPr>
      </w:pPr>
      <w:r>
        <w:rPr>
          <w:b/>
          <w:color w:val="010202"/>
          <w:sz w:val="18"/>
        </w:rPr>
        <w:t>en la estación meteorológica Chilapa, Guerrero, en los diferentes periodos</w:t>
      </w:r>
    </w:p>
    <w:p>
      <w:pPr>
        <w:pStyle w:val="BodyText"/>
        <w:spacing w:before="9"/>
        <w:rPr>
          <w:b/>
          <w:sz w:val="18"/>
        </w:rPr>
      </w:pPr>
      <w:r>
        <w:rPr/>
        <w:drawing>
          <wp:anchor distT="0" distB="0" distL="0" distR="0" allowOverlap="1" layoutInCell="1" locked="0" behindDoc="0" simplePos="0" relativeHeight="1696">
            <wp:simplePos x="0" y="0"/>
            <wp:positionH relativeFrom="page">
              <wp:posOffset>984745</wp:posOffset>
            </wp:positionH>
            <wp:positionV relativeFrom="paragraph">
              <wp:posOffset>161979</wp:posOffset>
            </wp:positionV>
            <wp:extent cx="4953617" cy="2227135"/>
            <wp:effectExtent l="0" t="0" r="0" b="0"/>
            <wp:wrapTopAndBottom/>
            <wp:docPr id="59" name="image7.png" descr=""/>
            <wp:cNvGraphicFramePr>
              <a:graphicFrameLocks noChangeAspect="1"/>
            </wp:cNvGraphicFramePr>
            <a:graphic>
              <a:graphicData uri="http://schemas.openxmlformats.org/drawingml/2006/picture">
                <pic:pic>
                  <pic:nvPicPr>
                    <pic:cNvPr id="60" name="image7.png"/>
                    <pic:cNvPicPr/>
                  </pic:nvPicPr>
                  <pic:blipFill>
                    <a:blip r:embed="rId18" cstate="print"/>
                    <a:stretch>
                      <a:fillRect/>
                    </a:stretch>
                  </pic:blipFill>
                  <pic:spPr>
                    <a:xfrm>
                      <a:off x="0" y="0"/>
                      <a:ext cx="4953617" cy="2227135"/>
                    </a:xfrm>
                    <a:prstGeom prst="rect">
                      <a:avLst/>
                    </a:prstGeom>
                  </pic:spPr>
                </pic:pic>
              </a:graphicData>
            </a:graphic>
          </wp:anchor>
        </w:drawing>
      </w:r>
    </w:p>
    <w:p>
      <w:pPr>
        <w:pStyle w:val="BodyText"/>
        <w:spacing w:before="6"/>
        <w:rPr>
          <w:b/>
          <w:sz w:val="24"/>
        </w:rPr>
      </w:pPr>
    </w:p>
    <w:p>
      <w:pPr>
        <w:pStyle w:val="Heading5"/>
        <w:spacing w:before="1"/>
      </w:pPr>
      <w:r>
        <w:rPr>
          <w:color w:val="231F20"/>
        </w:rPr>
        <w:t>Precipitación</w:t>
      </w:r>
    </w:p>
    <w:p>
      <w:pPr>
        <w:pStyle w:val="BodyText"/>
        <w:spacing w:line="247" w:lineRule="auto" w:before="8"/>
        <w:ind w:left="1270" w:right="1268"/>
        <w:jc w:val="both"/>
      </w:pPr>
      <w:r>
        <w:rPr>
          <w:color w:val="231F20"/>
        </w:rPr>
        <w:t>En la estación Chilapa, Guerrero, perteneciente a la región Montaña de Guerrero, de acuerdo a los diferentes periodos normales analizados, se tiene un registro de descenso de la cantidad de precipi- tación, así tenemos que del periodo 1941-1970 al periodo 1971-2000 se ha reducido en un 85%, lo cual significa un problema grave en la producción agrícola bajo condiciones de temporal, debido a que este sistema de producción depende directamente de la cantidad de agua en el ciclo vegetativo de los diferentes cultivos. En la figura 5, se muestra el comportamiento de la precipitación en los diferentes periodos normales.</w:t>
      </w:r>
    </w:p>
    <w:p>
      <w:pPr>
        <w:pStyle w:val="BodyText"/>
        <w:spacing w:before="4"/>
      </w:pPr>
    </w:p>
    <w:p>
      <w:pPr>
        <w:spacing w:line="249" w:lineRule="auto" w:before="0"/>
        <w:ind w:left="2639" w:right="2637" w:firstLine="0"/>
        <w:jc w:val="center"/>
        <w:rPr>
          <w:b/>
          <w:sz w:val="18"/>
        </w:rPr>
      </w:pPr>
      <w:r>
        <w:rPr>
          <w:b/>
          <w:color w:val="010202"/>
          <w:sz w:val="18"/>
        </w:rPr>
        <w:t>Figura 5. Comportamiento de la precipitación en la estación Chilapa, Guerrero, en los diferentes periodos normales</w:t>
      </w:r>
    </w:p>
    <w:p>
      <w:pPr>
        <w:pStyle w:val="BodyText"/>
        <w:spacing w:before="1"/>
        <w:rPr>
          <w:b/>
          <w:sz w:val="15"/>
        </w:rPr>
      </w:pPr>
      <w:r>
        <w:rPr/>
        <w:drawing>
          <wp:anchor distT="0" distB="0" distL="0" distR="0" allowOverlap="1" layoutInCell="1" locked="0" behindDoc="0" simplePos="0" relativeHeight="1720">
            <wp:simplePos x="0" y="0"/>
            <wp:positionH relativeFrom="page">
              <wp:posOffset>974102</wp:posOffset>
            </wp:positionH>
            <wp:positionV relativeFrom="paragraph">
              <wp:posOffset>135312</wp:posOffset>
            </wp:positionV>
            <wp:extent cx="4894177" cy="1733550"/>
            <wp:effectExtent l="0" t="0" r="0" b="0"/>
            <wp:wrapTopAndBottom/>
            <wp:docPr id="61" name="image8.png" descr=""/>
            <wp:cNvGraphicFramePr>
              <a:graphicFrameLocks noChangeAspect="1"/>
            </wp:cNvGraphicFramePr>
            <a:graphic>
              <a:graphicData uri="http://schemas.openxmlformats.org/drawingml/2006/picture">
                <pic:pic>
                  <pic:nvPicPr>
                    <pic:cNvPr id="62" name="image8.png"/>
                    <pic:cNvPicPr/>
                  </pic:nvPicPr>
                  <pic:blipFill>
                    <a:blip r:embed="rId19" cstate="print"/>
                    <a:stretch>
                      <a:fillRect/>
                    </a:stretch>
                  </pic:blipFill>
                  <pic:spPr>
                    <a:xfrm>
                      <a:off x="0" y="0"/>
                      <a:ext cx="4894177" cy="1733550"/>
                    </a:xfrm>
                    <a:prstGeom prst="rect">
                      <a:avLst/>
                    </a:prstGeom>
                  </pic:spPr>
                </pic:pic>
              </a:graphicData>
            </a:graphic>
          </wp:anchor>
        </w:drawing>
      </w:r>
    </w:p>
    <w:p>
      <w:pPr>
        <w:spacing w:after="0"/>
        <w:rPr>
          <w:sz w:val="15"/>
        </w:rPr>
        <w:sectPr>
          <w:pgSz w:w="10920" w:h="13080"/>
          <w:pgMar w:header="0" w:footer="1025" w:top="420" w:bottom="1220" w:left="0" w:right="0"/>
        </w:sectPr>
      </w:pPr>
    </w:p>
    <w:p>
      <w:pPr>
        <w:pStyle w:val="BodyText"/>
        <w:rPr>
          <w:b/>
          <w:sz w:val="20"/>
        </w:rPr>
      </w:pPr>
    </w:p>
    <w:p>
      <w:pPr>
        <w:pStyle w:val="BodyText"/>
        <w:rPr>
          <w:b/>
          <w:sz w:val="20"/>
        </w:rPr>
      </w:pPr>
    </w:p>
    <w:p>
      <w:pPr>
        <w:pStyle w:val="BodyText"/>
        <w:spacing w:before="8"/>
        <w:rPr>
          <w:b/>
          <w:sz w:val="22"/>
        </w:rPr>
      </w:pPr>
    </w:p>
    <w:p>
      <w:pPr>
        <w:pStyle w:val="Heading5"/>
        <w:spacing w:before="73"/>
      </w:pPr>
      <w:r>
        <w:rPr>
          <w:color w:val="231F20"/>
        </w:rPr>
        <w:t>Periodo de Crecimiento</w:t>
      </w:r>
    </w:p>
    <w:p>
      <w:pPr>
        <w:pStyle w:val="BodyText"/>
        <w:spacing w:line="247" w:lineRule="auto" w:before="8"/>
        <w:ind w:left="1270" w:right="1268"/>
        <w:jc w:val="both"/>
      </w:pPr>
      <w:r>
        <w:rPr>
          <w:color w:val="231F20"/>
        </w:rPr>
        <w:t>De acuerdo al análisis de datos, se observa que no hay demasiada variación en la duración del pe- riodo de crecimiento, lo que si se puede apreciar es que el periodo se ha adelantado alrededor de 8 días, por lo tanto, también se termina antes de lo que ocurría en el periodo 1941 – 1970; en donde  se observa más el efecto del cambio climático es en el periodo húmedo, lo cual se ve reflejado en la producción de cultivos que demandan más agua para su ciclo vegetativo, lo anterior se muestra en la figura</w:t>
      </w:r>
      <w:r>
        <w:rPr>
          <w:color w:val="231F20"/>
          <w:spacing w:val="-12"/>
        </w:rPr>
        <w:t> </w:t>
      </w:r>
      <w:r>
        <w:rPr>
          <w:color w:val="231F20"/>
        </w:rPr>
        <w:t>6.</w:t>
      </w:r>
    </w:p>
    <w:p>
      <w:pPr>
        <w:pStyle w:val="BodyText"/>
        <w:spacing w:before="4"/>
      </w:pPr>
    </w:p>
    <w:p>
      <w:pPr>
        <w:spacing w:line="249" w:lineRule="auto" w:before="0"/>
        <w:ind w:left="3250" w:right="2319" w:hanging="495"/>
        <w:jc w:val="left"/>
        <w:rPr>
          <w:b/>
          <w:sz w:val="18"/>
        </w:rPr>
      </w:pPr>
      <w:r>
        <w:rPr>
          <w:b/>
          <w:color w:val="010202"/>
          <w:sz w:val="18"/>
        </w:rPr>
        <w:t>Figura 6. Periodo de crecimiento de la estación meteorológica Chilapa, Guerrero, destacando los periodos 1941-1970 y 1971-2000</w:t>
      </w:r>
    </w:p>
    <w:p>
      <w:pPr>
        <w:pStyle w:val="BodyText"/>
        <w:spacing w:before="1"/>
        <w:rPr>
          <w:b/>
          <w:sz w:val="18"/>
        </w:rPr>
      </w:pPr>
      <w:r>
        <w:rPr/>
        <w:drawing>
          <wp:anchor distT="0" distB="0" distL="0" distR="0" allowOverlap="1" layoutInCell="1" locked="0" behindDoc="0" simplePos="0" relativeHeight="1744">
            <wp:simplePos x="0" y="0"/>
            <wp:positionH relativeFrom="page">
              <wp:posOffset>992099</wp:posOffset>
            </wp:positionH>
            <wp:positionV relativeFrom="paragraph">
              <wp:posOffset>156906</wp:posOffset>
            </wp:positionV>
            <wp:extent cx="4968318" cy="3055239"/>
            <wp:effectExtent l="0" t="0" r="0" b="0"/>
            <wp:wrapTopAndBottom/>
            <wp:docPr id="63" name="image9.png" descr=""/>
            <wp:cNvGraphicFramePr>
              <a:graphicFrameLocks noChangeAspect="1"/>
            </wp:cNvGraphicFramePr>
            <a:graphic>
              <a:graphicData uri="http://schemas.openxmlformats.org/drawingml/2006/picture">
                <pic:pic>
                  <pic:nvPicPr>
                    <pic:cNvPr id="64" name="image9.png"/>
                    <pic:cNvPicPr/>
                  </pic:nvPicPr>
                  <pic:blipFill>
                    <a:blip r:embed="rId20" cstate="print"/>
                    <a:stretch>
                      <a:fillRect/>
                    </a:stretch>
                  </pic:blipFill>
                  <pic:spPr>
                    <a:xfrm>
                      <a:off x="0" y="0"/>
                      <a:ext cx="4968318" cy="3055239"/>
                    </a:xfrm>
                    <a:prstGeom prst="rect">
                      <a:avLst/>
                    </a:prstGeom>
                  </pic:spPr>
                </pic:pic>
              </a:graphicData>
            </a:graphic>
          </wp:anchor>
        </w:drawing>
      </w:r>
    </w:p>
    <w:p>
      <w:pPr>
        <w:pStyle w:val="BodyText"/>
        <w:spacing w:before="2"/>
        <w:rPr>
          <w:b/>
          <w:sz w:val="23"/>
        </w:rPr>
      </w:pPr>
    </w:p>
    <w:p>
      <w:pPr>
        <w:pStyle w:val="Heading3"/>
      </w:pPr>
      <w:r>
        <w:rPr>
          <w:color w:val="010202"/>
        </w:rPr>
        <w:t>Conclusiones</w:t>
      </w:r>
    </w:p>
    <w:p>
      <w:pPr>
        <w:pStyle w:val="BodyText"/>
        <w:spacing w:before="10"/>
        <w:rPr>
          <w:b/>
        </w:rPr>
      </w:pPr>
    </w:p>
    <w:p>
      <w:pPr>
        <w:pStyle w:val="BodyText"/>
        <w:ind w:left="1610" w:right="1279"/>
      </w:pPr>
      <w:r>
        <w:rPr>
          <w:color w:val="231F20"/>
        </w:rPr>
        <w:t>Al analizar los diferentes periodos normales, de las dos regiones, se tiene lo siguiente:</w:t>
      </w:r>
    </w:p>
    <w:p>
      <w:pPr>
        <w:pStyle w:val="ListParagraph"/>
        <w:numPr>
          <w:ilvl w:val="1"/>
          <w:numId w:val="2"/>
        </w:numPr>
        <w:tabs>
          <w:tab w:pos="1871" w:val="left" w:leader="none"/>
        </w:tabs>
        <w:spacing w:line="240" w:lineRule="auto" w:before="8" w:after="0"/>
        <w:ind w:left="1870" w:right="0" w:hanging="260"/>
        <w:jc w:val="left"/>
        <w:rPr>
          <w:sz w:val="21"/>
        </w:rPr>
      </w:pPr>
      <w:r>
        <w:rPr>
          <w:color w:val="231F20"/>
          <w:sz w:val="21"/>
        </w:rPr>
        <w:t>La</w:t>
      </w:r>
      <w:r>
        <w:rPr>
          <w:color w:val="231F20"/>
          <w:spacing w:val="-4"/>
          <w:sz w:val="21"/>
        </w:rPr>
        <w:t> </w:t>
      </w:r>
      <w:r>
        <w:rPr>
          <w:color w:val="231F20"/>
          <w:sz w:val="21"/>
        </w:rPr>
        <w:t>agricultura</w:t>
      </w:r>
      <w:r>
        <w:rPr>
          <w:color w:val="231F20"/>
          <w:spacing w:val="-4"/>
          <w:sz w:val="21"/>
        </w:rPr>
        <w:t> </w:t>
      </w:r>
      <w:r>
        <w:rPr>
          <w:color w:val="231F20"/>
          <w:sz w:val="21"/>
        </w:rPr>
        <w:t>del</w:t>
      </w:r>
      <w:r>
        <w:rPr>
          <w:color w:val="231F20"/>
          <w:spacing w:val="-4"/>
          <w:sz w:val="21"/>
        </w:rPr>
        <w:t> </w:t>
      </w:r>
      <w:r>
        <w:rPr>
          <w:color w:val="231F20"/>
          <w:sz w:val="21"/>
        </w:rPr>
        <w:t>país</w:t>
      </w:r>
      <w:r>
        <w:rPr>
          <w:color w:val="231F20"/>
          <w:spacing w:val="-4"/>
          <w:sz w:val="21"/>
        </w:rPr>
        <w:t> </w:t>
      </w:r>
      <w:r>
        <w:rPr>
          <w:color w:val="231F20"/>
          <w:sz w:val="21"/>
        </w:rPr>
        <w:t>bajo</w:t>
      </w:r>
      <w:r>
        <w:rPr>
          <w:color w:val="231F20"/>
          <w:spacing w:val="-4"/>
          <w:sz w:val="21"/>
        </w:rPr>
        <w:t> </w:t>
      </w:r>
      <w:r>
        <w:rPr>
          <w:color w:val="231F20"/>
          <w:sz w:val="21"/>
        </w:rPr>
        <w:t>condiciones</w:t>
      </w:r>
      <w:r>
        <w:rPr>
          <w:color w:val="231F20"/>
          <w:spacing w:val="-4"/>
          <w:sz w:val="21"/>
        </w:rPr>
        <w:t> </w:t>
      </w:r>
      <w:r>
        <w:rPr>
          <w:color w:val="231F20"/>
          <w:sz w:val="21"/>
        </w:rPr>
        <w:t>de</w:t>
      </w:r>
      <w:r>
        <w:rPr>
          <w:color w:val="231F20"/>
          <w:spacing w:val="-4"/>
          <w:sz w:val="21"/>
        </w:rPr>
        <w:t> </w:t>
      </w:r>
      <w:r>
        <w:rPr>
          <w:color w:val="231F20"/>
          <w:sz w:val="21"/>
        </w:rPr>
        <w:t>temporal,</w:t>
      </w:r>
      <w:r>
        <w:rPr>
          <w:color w:val="231F20"/>
          <w:spacing w:val="-4"/>
          <w:sz w:val="21"/>
        </w:rPr>
        <w:t> </w:t>
      </w:r>
      <w:r>
        <w:rPr>
          <w:color w:val="231F20"/>
          <w:sz w:val="21"/>
        </w:rPr>
        <w:t>depende</w:t>
      </w:r>
      <w:r>
        <w:rPr>
          <w:color w:val="231F20"/>
          <w:spacing w:val="-4"/>
          <w:sz w:val="21"/>
        </w:rPr>
        <w:t> </w:t>
      </w:r>
      <w:r>
        <w:rPr>
          <w:color w:val="231F20"/>
          <w:sz w:val="21"/>
        </w:rPr>
        <w:t>de</w:t>
      </w:r>
      <w:r>
        <w:rPr>
          <w:color w:val="231F20"/>
          <w:spacing w:val="-4"/>
          <w:sz w:val="21"/>
        </w:rPr>
        <w:t> </w:t>
      </w:r>
      <w:r>
        <w:rPr>
          <w:color w:val="231F20"/>
          <w:sz w:val="21"/>
        </w:rPr>
        <w:t>la</w:t>
      </w:r>
      <w:r>
        <w:rPr>
          <w:color w:val="231F20"/>
          <w:spacing w:val="-4"/>
          <w:sz w:val="21"/>
        </w:rPr>
        <w:t> </w:t>
      </w:r>
      <w:r>
        <w:rPr>
          <w:color w:val="231F20"/>
          <w:sz w:val="21"/>
        </w:rPr>
        <w:t>cantidad</w:t>
      </w:r>
      <w:r>
        <w:rPr>
          <w:color w:val="231F20"/>
          <w:spacing w:val="-4"/>
          <w:sz w:val="21"/>
        </w:rPr>
        <w:t> </w:t>
      </w:r>
      <w:r>
        <w:rPr>
          <w:color w:val="231F20"/>
          <w:sz w:val="21"/>
        </w:rPr>
        <w:t>de</w:t>
      </w:r>
      <w:r>
        <w:rPr>
          <w:color w:val="231F20"/>
          <w:spacing w:val="-4"/>
          <w:sz w:val="21"/>
        </w:rPr>
        <w:t> </w:t>
      </w:r>
      <w:r>
        <w:rPr>
          <w:color w:val="231F20"/>
          <w:sz w:val="21"/>
        </w:rPr>
        <w:t>precipitación</w:t>
      </w:r>
    </w:p>
    <w:p>
      <w:pPr>
        <w:pStyle w:val="BodyText"/>
        <w:spacing w:before="8"/>
        <w:ind w:left="1870" w:right="5337"/>
      </w:pPr>
      <w:r>
        <w:rPr>
          <w:color w:val="231F20"/>
        </w:rPr>
        <w:t>pluvial para su ciclo vegetativo.</w:t>
      </w:r>
    </w:p>
    <w:p>
      <w:pPr>
        <w:pStyle w:val="ListParagraph"/>
        <w:numPr>
          <w:ilvl w:val="1"/>
          <w:numId w:val="2"/>
        </w:numPr>
        <w:tabs>
          <w:tab w:pos="1871" w:val="left" w:leader="none"/>
        </w:tabs>
        <w:spacing w:line="240" w:lineRule="auto" w:before="8" w:after="0"/>
        <w:ind w:left="1870" w:right="0" w:hanging="260"/>
        <w:jc w:val="left"/>
        <w:rPr>
          <w:sz w:val="21"/>
        </w:rPr>
      </w:pPr>
      <w:r>
        <w:rPr>
          <w:color w:val="231F20"/>
          <w:sz w:val="21"/>
        </w:rPr>
        <w:t>En</w:t>
      </w:r>
      <w:r>
        <w:rPr>
          <w:color w:val="231F20"/>
          <w:spacing w:val="-5"/>
          <w:sz w:val="21"/>
        </w:rPr>
        <w:t> </w:t>
      </w:r>
      <w:r>
        <w:rPr>
          <w:color w:val="231F20"/>
          <w:sz w:val="21"/>
        </w:rPr>
        <w:t>la</w:t>
      </w:r>
      <w:r>
        <w:rPr>
          <w:color w:val="231F20"/>
          <w:spacing w:val="-5"/>
          <w:sz w:val="21"/>
        </w:rPr>
        <w:t> </w:t>
      </w:r>
      <w:r>
        <w:rPr>
          <w:color w:val="231F20"/>
          <w:sz w:val="21"/>
        </w:rPr>
        <w:t>estación</w:t>
      </w:r>
      <w:r>
        <w:rPr>
          <w:color w:val="231F20"/>
          <w:spacing w:val="-5"/>
          <w:sz w:val="21"/>
        </w:rPr>
        <w:t> </w:t>
      </w:r>
      <w:r>
        <w:rPr>
          <w:color w:val="231F20"/>
          <w:sz w:val="21"/>
        </w:rPr>
        <w:t>meteorológica</w:t>
      </w:r>
      <w:r>
        <w:rPr>
          <w:color w:val="231F20"/>
          <w:spacing w:val="-5"/>
          <w:sz w:val="21"/>
        </w:rPr>
        <w:t> </w:t>
      </w:r>
      <w:r>
        <w:rPr>
          <w:color w:val="231F20"/>
          <w:sz w:val="21"/>
        </w:rPr>
        <w:t>Chapingo,</w:t>
      </w:r>
      <w:r>
        <w:rPr>
          <w:color w:val="231F20"/>
          <w:spacing w:val="-5"/>
          <w:sz w:val="21"/>
        </w:rPr>
        <w:t> </w:t>
      </w:r>
      <w:r>
        <w:rPr>
          <w:color w:val="231F20"/>
          <w:sz w:val="21"/>
        </w:rPr>
        <w:t>México,</w:t>
      </w:r>
      <w:r>
        <w:rPr>
          <w:color w:val="231F20"/>
          <w:spacing w:val="-5"/>
          <w:sz w:val="21"/>
        </w:rPr>
        <w:t> </w:t>
      </w:r>
      <w:r>
        <w:rPr>
          <w:color w:val="231F20"/>
          <w:sz w:val="21"/>
        </w:rPr>
        <w:t>se</w:t>
      </w:r>
      <w:r>
        <w:rPr>
          <w:color w:val="231F20"/>
          <w:spacing w:val="-5"/>
          <w:sz w:val="21"/>
        </w:rPr>
        <w:t> </w:t>
      </w:r>
      <w:r>
        <w:rPr>
          <w:color w:val="231F20"/>
          <w:sz w:val="21"/>
        </w:rPr>
        <w:t>presenta</w:t>
      </w:r>
      <w:r>
        <w:rPr>
          <w:color w:val="231F20"/>
          <w:spacing w:val="-5"/>
          <w:sz w:val="21"/>
        </w:rPr>
        <w:t> </w:t>
      </w:r>
      <w:r>
        <w:rPr>
          <w:color w:val="231F20"/>
          <w:sz w:val="21"/>
        </w:rPr>
        <w:t>el</w:t>
      </w:r>
      <w:r>
        <w:rPr>
          <w:color w:val="231F20"/>
          <w:spacing w:val="-5"/>
          <w:sz w:val="21"/>
        </w:rPr>
        <w:t> </w:t>
      </w:r>
      <w:r>
        <w:rPr>
          <w:color w:val="231F20"/>
          <w:sz w:val="21"/>
        </w:rPr>
        <w:t>fenómeno</w:t>
      </w:r>
      <w:r>
        <w:rPr>
          <w:color w:val="231F20"/>
          <w:spacing w:val="-5"/>
          <w:sz w:val="21"/>
        </w:rPr>
        <w:t> </w:t>
      </w:r>
      <w:r>
        <w:rPr>
          <w:color w:val="231F20"/>
          <w:sz w:val="21"/>
        </w:rPr>
        <w:t>climático</w:t>
      </w:r>
      <w:r>
        <w:rPr>
          <w:color w:val="231F20"/>
          <w:spacing w:val="-6"/>
          <w:sz w:val="21"/>
        </w:rPr>
        <w:t> </w:t>
      </w:r>
      <w:r>
        <w:rPr>
          <w:color w:val="231F20"/>
          <w:sz w:val="21"/>
        </w:rPr>
        <w:t>conocido</w:t>
      </w:r>
    </w:p>
    <w:p>
      <w:pPr>
        <w:pStyle w:val="BodyText"/>
        <w:spacing w:before="8"/>
        <w:ind w:left="1870" w:right="5337"/>
      </w:pPr>
      <w:r>
        <w:rPr>
          <w:color w:val="231F20"/>
        </w:rPr>
        <w:t>como oscurecimiento global.</w:t>
      </w:r>
    </w:p>
    <w:p>
      <w:pPr>
        <w:pStyle w:val="ListParagraph"/>
        <w:numPr>
          <w:ilvl w:val="1"/>
          <w:numId w:val="2"/>
        </w:numPr>
        <w:tabs>
          <w:tab w:pos="1871" w:val="left" w:leader="none"/>
        </w:tabs>
        <w:spacing w:line="247" w:lineRule="auto" w:before="8" w:after="0"/>
        <w:ind w:left="1870" w:right="1268" w:hanging="260"/>
        <w:jc w:val="left"/>
        <w:rPr>
          <w:sz w:val="21"/>
        </w:rPr>
      </w:pPr>
      <w:r>
        <w:rPr>
          <w:color w:val="231F20"/>
          <w:sz w:val="21"/>
        </w:rPr>
        <w:t>En la estación meteorológica Chilapa, Guerrero, se presenta el fenómeno de calentamiento global, el promedio de temperatura máxima se ha elevado en 2°C.</w:t>
      </w:r>
    </w:p>
    <w:p>
      <w:pPr>
        <w:pStyle w:val="ListParagraph"/>
        <w:numPr>
          <w:ilvl w:val="1"/>
          <w:numId w:val="2"/>
        </w:numPr>
        <w:tabs>
          <w:tab w:pos="1871" w:val="left" w:leader="none"/>
        </w:tabs>
        <w:spacing w:line="240" w:lineRule="auto" w:before="1" w:after="0"/>
        <w:ind w:left="1870" w:right="0" w:hanging="260"/>
        <w:jc w:val="left"/>
        <w:rPr>
          <w:sz w:val="21"/>
        </w:rPr>
      </w:pPr>
      <w:r>
        <w:rPr>
          <w:color w:val="231F20"/>
          <w:sz w:val="21"/>
        </w:rPr>
        <w:t>En</w:t>
      </w:r>
      <w:r>
        <w:rPr>
          <w:color w:val="231F20"/>
          <w:spacing w:val="-8"/>
          <w:sz w:val="21"/>
        </w:rPr>
        <w:t> </w:t>
      </w:r>
      <w:r>
        <w:rPr>
          <w:color w:val="231F20"/>
          <w:sz w:val="21"/>
        </w:rPr>
        <w:t>la</w:t>
      </w:r>
      <w:r>
        <w:rPr>
          <w:color w:val="231F20"/>
          <w:spacing w:val="-8"/>
          <w:sz w:val="21"/>
        </w:rPr>
        <w:t> </w:t>
      </w:r>
      <w:r>
        <w:rPr>
          <w:color w:val="231F20"/>
          <w:sz w:val="21"/>
        </w:rPr>
        <w:t>estación</w:t>
      </w:r>
      <w:r>
        <w:rPr>
          <w:color w:val="231F20"/>
          <w:spacing w:val="-8"/>
          <w:sz w:val="21"/>
        </w:rPr>
        <w:t> </w:t>
      </w:r>
      <w:r>
        <w:rPr>
          <w:color w:val="231F20"/>
          <w:sz w:val="21"/>
        </w:rPr>
        <w:t>meteorológica</w:t>
      </w:r>
      <w:r>
        <w:rPr>
          <w:color w:val="231F20"/>
          <w:spacing w:val="-8"/>
          <w:sz w:val="21"/>
        </w:rPr>
        <w:t> </w:t>
      </w:r>
      <w:r>
        <w:rPr>
          <w:color w:val="231F20"/>
          <w:sz w:val="21"/>
        </w:rPr>
        <w:t>Chapingo,</w:t>
      </w:r>
      <w:r>
        <w:rPr>
          <w:color w:val="231F20"/>
          <w:spacing w:val="-8"/>
          <w:sz w:val="21"/>
        </w:rPr>
        <w:t> </w:t>
      </w:r>
      <w:r>
        <w:rPr>
          <w:color w:val="231F20"/>
          <w:sz w:val="21"/>
        </w:rPr>
        <w:t>México,</w:t>
      </w:r>
      <w:r>
        <w:rPr>
          <w:color w:val="231F20"/>
          <w:spacing w:val="-8"/>
          <w:sz w:val="21"/>
        </w:rPr>
        <w:t> </w:t>
      </w:r>
      <w:r>
        <w:rPr>
          <w:color w:val="231F20"/>
          <w:sz w:val="21"/>
        </w:rPr>
        <w:t>la</w:t>
      </w:r>
      <w:r>
        <w:rPr>
          <w:color w:val="231F20"/>
          <w:spacing w:val="-8"/>
          <w:sz w:val="21"/>
        </w:rPr>
        <w:t> </w:t>
      </w:r>
      <w:r>
        <w:rPr>
          <w:color w:val="231F20"/>
          <w:sz w:val="21"/>
        </w:rPr>
        <w:t>precipitación</w:t>
      </w:r>
      <w:r>
        <w:rPr>
          <w:color w:val="231F20"/>
          <w:spacing w:val="-8"/>
          <w:sz w:val="21"/>
        </w:rPr>
        <w:t> </w:t>
      </w:r>
      <w:r>
        <w:rPr>
          <w:color w:val="231F20"/>
          <w:sz w:val="21"/>
        </w:rPr>
        <w:t>pluvial</w:t>
      </w:r>
      <w:r>
        <w:rPr>
          <w:color w:val="231F20"/>
          <w:spacing w:val="-8"/>
          <w:sz w:val="21"/>
        </w:rPr>
        <w:t> </w:t>
      </w:r>
      <w:r>
        <w:rPr>
          <w:color w:val="231F20"/>
          <w:sz w:val="21"/>
        </w:rPr>
        <w:t>se</w:t>
      </w:r>
      <w:r>
        <w:rPr>
          <w:color w:val="231F20"/>
          <w:spacing w:val="-8"/>
          <w:sz w:val="21"/>
        </w:rPr>
        <w:t> </w:t>
      </w:r>
      <w:r>
        <w:rPr>
          <w:color w:val="231F20"/>
          <w:sz w:val="21"/>
        </w:rPr>
        <w:t>ha</w:t>
      </w:r>
      <w:r>
        <w:rPr>
          <w:color w:val="231F20"/>
          <w:spacing w:val="-8"/>
          <w:sz w:val="21"/>
        </w:rPr>
        <w:t> </w:t>
      </w:r>
      <w:r>
        <w:rPr>
          <w:color w:val="231F20"/>
          <w:sz w:val="21"/>
        </w:rPr>
        <w:t>reducido</w:t>
      </w:r>
      <w:r>
        <w:rPr>
          <w:color w:val="231F20"/>
          <w:spacing w:val="-8"/>
          <w:sz w:val="21"/>
        </w:rPr>
        <w:t> </w:t>
      </w:r>
      <w:r>
        <w:rPr>
          <w:color w:val="231F20"/>
          <w:sz w:val="21"/>
        </w:rPr>
        <w:t>en</w:t>
      </w:r>
      <w:r>
        <w:rPr>
          <w:color w:val="231F20"/>
          <w:spacing w:val="-8"/>
          <w:sz w:val="21"/>
        </w:rPr>
        <w:t> </w:t>
      </w:r>
      <w:r>
        <w:rPr>
          <w:color w:val="231F20"/>
          <w:sz w:val="21"/>
        </w:rPr>
        <w:t>un</w:t>
      </w:r>
    </w:p>
    <w:p>
      <w:pPr>
        <w:spacing w:after="0" w:line="240" w:lineRule="auto"/>
        <w:jc w:val="left"/>
        <w:rPr>
          <w:sz w:val="21"/>
        </w:rPr>
        <w:sectPr>
          <w:pgSz w:w="10920" w:h="13080"/>
          <w:pgMar w:header="0" w:footer="1025" w:top="420" w:bottom="1220" w:left="0" w:right="0"/>
        </w:sectPr>
      </w:pPr>
    </w:p>
    <w:p>
      <w:pPr>
        <w:pStyle w:val="BodyText"/>
        <w:rPr>
          <w:sz w:val="20"/>
        </w:rPr>
      </w:pPr>
    </w:p>
    <w:p>
      <w:pPr>
        <w:pStyle w:val="BodyText"/>
        <w:rPr>
          <w:sz w:val="20"/>
        </w:rPr>
      </w:pPr>
    </w:p>
    <w:p>
      <w:pPr>
        <w:pStyle w:val="BodyText"/>
        <w:rPr>
          <w:sz w:val="23"/>
        </w:rPr>
      </w:pPr>
    </w:p>
    <w:p>
      <w:pPr>
        <w:pStyle w:val="BodyText"/>
        <w:spacing w:before="73"/>
        <w:ind w:left="783" w:right="3696"/>
        <w:jc w:val="center"/>
      </w:pPr>
      <w:r>
        <w:rPr>
          <w:color w:val="231F20"/>
        </w:rPr>
        <w:t>74% del periodo 1941-1970 al periodo 1971-2000.</w:t>
      </w:r>
    </w:p>
    <w:p>
      <w:pPr>
        <w:pStyle w:val="ListParagraph"/>
        <w:numPr>
          <w:ilvl w:val="1"/>
          <w:numId w:val="2"/>
        </w:numPr>
        <w:tabs>
          <w:tab w:pos="1871" w:val="left" w:leader="none"/>
        </w:tabs>
        <w:spacing w:line="247" w:lineRule="auto" w:before="8" w:after="0"/>
        <w:ind w:left="1870" w:right="1268" w:hanging="260"/>
        <w:jc w:val="both"/>
        <w:rPr>
          <w:sz w:val="21"/>
        </w:rPr>
      </w:pPr>
      <w:r>
        <w:rPr>
          <w:color w:val="231F20"/>
          <w:sz w:val="21"/>
        </w:rPr>
        <w:t>En</w:t>
      </w:r>
      <w:r>
        <w:rPr>
          <w:color w:val="231F20"/>
          <w:spacing w:val="-5"/>
          <w:sz w:val="21"/>
        </w:rPr>
        <w:t> </w:t>
      </w:r>
      <w:r>
        <w:rPr>
          <w:color w:val="231F20"/>
          <w:sz w:val="21"/>
        </w:rPr>
        <w:t>la</w:t>
      </w:r>
      <w:r>
        <w:rPr>
          <w:color w:val="231F20"/>
          <w:spacing w:val="-5"/>
          <w:sz w:val="21"/>
        </w:rPr>
        <w:t> </w:t>
      </w:r>
      <w:r>
        <w:rPr>
          <w:color w:val="231F20"/>
          <w:sz w:val="21"/>
        </w:rPr>
        <w:t>estación</w:t>
      </w:r>
      <w:r>
        <w:rPr>
          <w:color w:val="231F20"/>
          <w:spacing w:val="-5"/>
          <w:sz w:val="21"/>
        </w:rPr>
        <w:t> </w:t>
      </w:r>
      <w:r>
        <w:rPr>
          <w:color w:val="231F20"/>
          <w:sz w:val="21"/>
        </w:rPr>
        <w:t>meteorológica</w:t>
      </w:r>
      <w:r>
        <w:rPr>
          <w:color w:val="231F20"/>
          <w:spacing w:val="-5"/>
          <w:sz w:val="21"/>
        </w:rPr>
        <w:t> </w:t>
      </w:r>
      <w:r>
        <w:rPr>
          <w:color w:val="231F20"/>
          <w:sz w:val="21"/>
        </w:rPr>
        <w:t>Chilapa,</w:t>
      </w:r>
      <w:r>
        <w:rPr>
          <w:color w:val="231F20"/>
          <w:spacing w:val="-5"/>
          <w:sz w:val="21"/>
        </w:rPr>
        <w:t> </w:t>
      </w:r>
      <w:r>
        <w:rPr>
          <w:color w:val="231F20"/>
          <w:sz w:val="21"/>
        </w:rPr>
        <w:t>Guerrero,</w:t>
      </w:r>
      <w:r>
        <w:rPr>
          <w:color w:val="231F20"/>
          <w:spacing w:val="-5"/>
          <w:sz w:val="21"/>
        </w:rPr>
        <w:t> </w:t>
      </w:r>
      <w:r>
        <w:rPr>
          <w:color w:val="231F20"/>
          <w:sz w:val="21"/>
        </w:rPr>
        <w:t>la</w:t>
      </w:r>
      <w:r>
        <w:rPr>
          <w:color w:val="231F20"/>
          <w:spacing w:val="-5"/>
          <w:sz w:val="21"/>
        </w:rPr>
        <w:t> </w:t>
      </w:r>
      <w:r>
        <w:rPr>
          <w:color w:val="231F20"/>
          <w:sz w:val="21"/>
        </w:rPr>
        <w:t>precipitación</w:t>
      </w:r>
      <w:r>
        <w:rPr>
          <w:color w:val="231F20"/>
          <w:spacing w:val="-5"/>
          <w:sz w:val="21"/>
        </w:rPr>
        <w:t> </w:t>
      </w:r>
      <w:r>
        <w:rPr>
          <w:color w:val="231F20"/>
          <w:sz w:val="21"/>
        </w:rPr>
        <w:t>pluvial</w:t>
      </w:r>
      <w:r>
        <w:rPr>
          <w:color w:val="231F20"/>
          <w:spacing w:val="-5"/>
          <w:sz w:val="21"/>
        </w:rPr>
        <w:t> </w:t>
      </w:r>
      <w:r>
        <w:rPr>
          <w:color w:val="231F20"/>
          <w:sz w:val="21"/>
        </w:rPr>
        <w:t>se</w:t>
      </w:r>
      <w:r>
        <w:rPr>
          <w:color w:val="231F20"/>
          <w:spacing w:val="-5"/>
          <w:sz w:val="21"/>
        </w:rPr>
        <w:t> </w:t>
      </w:r>
      <w:r>
        <w:rPr>
          <w:color w:val="231F20"/>
          <w:sz w:val="21"/>
        </w:rPr>
        <w:t>ha</w:t>
      </w:r>
      <w:r>
        <w:rPr>
          <w:color w:val="231F20"/>
          <w:spacing w:val="-5"/>
          <w:sz w:val="21"/>
        </w:rPr>
        <w:t> </w:t>
      </w:r>
      <w:r>
        <w:rPr>
          <w:color w:val="231F20"/>
          <w:sz w:val="21"/>
        </w:rPr>
        <w:t>reducido</w:t>
      </w:r>
      <w:r>
        <w:rPr>
          <w:color w:val="231F20"/>
          <w:spacing w:val="-5"/>
          <w:sz w:val="21"/>
        </w:rPr>
        <w:t> </w:t>
      </w:r>
      <w:r>
        <w:rPr>
          <w:color w:val="231F20"/>
          <w:sz w:val="21"/>
        </w:rPr>
        <w:t>en</w:t>
      </w:r>
      <w:r>
        <w:rPr>
          <w:color w:val="231F20"/>
          <w:spacing w:val="-5"/>
          <w:sz w:val="21"/>
        </w:rPr>
        <w:t> </w:t>
      </w:r>
      <w:r>
        <w:rPr>
          <w:color w:val="231F20"/>
          <w:sz w:val="21"/>
        </w:rPr>
        <w:t>un 85%, del periodo 1941-1970 al periodo 1971-2000.</w:t>
      </w:r>
    </w:p>
    <w:p>
      <w:pPr>
        <w:pStyle w:val="ListParagraph"/>
        <w:numPr>
          <w:ilvl w:val="1"/>
          <w:numId w:val="2"/>
        </w:numPr>
        <w:tabs>
          <w:tab w:pos="1871" w:val="left" w:leader="none"/>
        </w:tabs>
        <w:spacing w:line="247" w:lineRule="auto" w:before="1" w:after="0"/>
        <w:ind w:left="1870" w:right="1268" w:hanging="260"/>
        <w:jc w:val="both"/>
        <w:rPr>
          <w:sz w:val="21"/>
        </w:rPr>
      </w:pPr>
      <w:r>
        <w:rPr>
          <w:color w:val="231F20"/>
          <w:sz w:val="21"/>
        </w:rPr>
        <w:t>En la estación meteorológica Chapingo, México, el periodo de crecimiento se ha reducido drásticamente,</w:t>
      </w:r>
      <w:r>
        <w:rPr>
          <w:color w:val="231F20"/>
          <w:spacing w:val="-8"/>
          <w:sz w:val="21"/>
        </w:rPr>
        <w:t> </w:t>
      </w:r>
      <w:r>
        <w:rPr>
          <w:color w:val="231F20"/>
          <w:sz w:val="21"/>
        </w:rPr>
        <w:t>es</w:t>
      </w:r>
      <w:r>
        <w:rPr>
          <w:color w:val="231F20"/>
          <w:spacing w:val="-8"/>
          <w:sz w:val="21"/>
        </w:rPr>
        <w:t> </w:t>
      </w:r>
      <w:r>
        <w:rPr>
          <w:color w:val="231F20"/>
          <w:sz w:val="21"/>
        </w:rPr>
        <w:t>decir,</w:t>
      </w:r>
      <w:r>
        <w:rPr>
          <w:color w:val="231F20"/>
          <w:spacing w:val="-8"/>
          <w:sz w:val="21"/>
        </w:rPr>
        <w:t> </w:t>
      </w:r>
      <w:r>
        <w:rPr>
          <w:color w:val="231F20"/>
          <w:sz w:val="21"/>
        </w:rPr>
        <w:t>en</w:t>
      </w:r>
      <w:r>
        <w:rPr>
          <w:color w:val="231F20"/>
          <w:spacing w:val="-8"/>
          <w:sz w:val="21"/>
        </w:rPr>
        <w:t> </w:t>
      </w:r>
      <w:r>
        <w:rPr>
          <w:color w:val="231F20"/>
          <w:sz w:val="21"/>
        </w:rPr>
        <w:t>el</w:t>
      </w:r>
      <w:r>
        <w:rPr>
          <w:color w:val="231F20"/>
          <w:spacing w:val="-8"/>
          <w:sz w:val="21"/>
        </w:rPr>
        <w:t> </w:t>
      </w:r>
      <w:r>
        <w:rPr>
          <w:color w:val="231F20"/>
          <w:sz w:val="21"/>
        </w:rPr>
        <w:t>periodo</w:t>
      </w:r>
      <w:r>
        <w:rPr>
          <w:color w:val="231F20"/>
          <w:spacing w:val="-8"/>
          <w:sz w:val="21"/>
        </w:rPr>
        <w:t> </w:t>
      </w:r>
      <w:r>
        <w:rPr>
          <w:color w:val="231F20"/>
          <w:sz w:val="21"/>
        </w:rPr>
        <w:t>1941-1970</w:t>
      </w:r>
      <w:r>
        <w:rPr>
          <w:color w:val="231F20"/>
          <w:spacing w:val="-8"/>
          <w:sz w:val="21"/>
        </w:rPr>
        <w:t> </w:t>
      </w:r>
      <w:r>
        <w:rPr>
          <w:color w:val="231F20"/>
          <w:sz w:val="21"/>
        </w:rPr>
        <w:t>se</w:t>
      </w:r>
      <w:r>
        <w:rPr>
          <w:color w:val="231F20"/>
          <w:spacing w:val="-8"/>
          <w:sz w:val="21"/>
        </w:rPr>
        <w:t> </w:t>
      </w:r>
      <w:r>
        <w:rPr>
          <w:color w:val="231F20"/>
          <w:sz w:val="21"/>
        </w:rPr>
        <w:t>tenía</w:t>
      </w:r>
      <w:r>
        <w:rPr>
          <w:color w:val="231F20"/>
          <w:spacing w:val="-8"/>
          <w:sz w:val="21"/>
        </w:rPr>
        <w:t> </w:t>
      </w:r>
      <w:r>
        <w:rPr>
          <w:color w:val="231F20"/>
          <w:sz w:val="21"/>
        </w:rPr>
        <w:t>170</w:t>
      </w:r>
      <w:r>
        <w:rPr>
          <w:color w:val="231F20"/>
          <w:spacing w:val="-8"/>
          <w:sz w:val="21"/>
        </w:rPr>
        <w:t> </w:t>
      </w:r>
      <w:r>
        <w:rPr>
          <w:color w:val="231F20"/>
          <w:sz w:val="21"/>
        </w:rPr>
        <w:t>días,</w:t>
      </w:r>
      <w:r>
        <w:rPr>
          <w:color w:val="231F20"/>
          <w:spacing w:val="-8"/>
          <w:sz w:val="21"/>
        </w:rPr>
        <w:t> </w:t>
      </w:r>
      <w:r>
        <w:rPr>
          <w:color w:val="231F20"/>
          <w:sz w:val="21"/>
        </w:rPr>
        <w:t>mientras</w:t>
      </w:r>
      <w:r>
        <w:rPr>
          <w:color w:val="231F20"/>
          <w:spacing w:val="-8"/>
          <w:sz w:val="21"/>
        </w:rPr>
        <w:t> </w:t>
      </w:r>
      <w:r>
        <w:rPr>
          <w:color w:val="231F20"/>
          <w:sz w:val="21"/>
        </w:rPr>
        <w:t>que</w:t>
      </w:r>
      <w:r>
        <w:rPr>
          <w:color w:val="231F20"/>
          <w:spacing w:val="-8"/>
          <w:sz w:val="21"/>
        </w:rPr>
        <w:t> </w:t>
      </w:r>
      <w:r>
        <w:rPr>
          <w:color w:val="231F20"/>
          <w:sz w:val="21"/>
        </w:rPr>
        <w:t>para</w:t>
      </w:r>
      <w:r>
        <w:rPr>
          <w:color w:val="231F20"/>
          <w:spacing w:val="-8"/>
          <w:sz w:val="21"/>
        </w:rPr>
        <w:t> </w:t>
      </w:r>
      <w:r>
        <w:rPr>
          <w:color w:val="231F20"/>
          <w:sz w:val="21"/>
        </w:rPr>
        <w:t>el</w:t>
      </w:r>
      <w:r>
        <w:rPr>
          <w:color w:val="231F20"/>
          <w:spacing w:val="-8"/>
          <w:sz w:val="21"/>
        </w:rPr>
        <w:t> </w:t>
      </w:r>
      <w:r>
        <w:rPr>
          <w:color w:val="231F20"/>
          <w:sz w:val="21"/>
        </w:rPr>
        <w:t>perio- do 1971-2000 es de 130 días, lo que significa que no se cuenta con periodo</w:t>
      </w:r>
      <w:r>
        <w:rPr>
          <w:color w:val="231F20"/>
          <w:spacing w:val="-11"/>
          <w:sz w:val="21"/>
        </w:rPr>
        <w:t> </w:t>
      </w:r>
      <w:r>
        <w:rPr>
          <w:color w:val="231F20"/>
          <w:sz w:val="21"/>
        </w:rPr>
        <w:t>húmedo.</w:t>
      </w:r>
    </w:p>
    <w:p>
      <w:pPr>
        <w:pStyle w:val="ListParagraph"/>
        <w:numPr>
          <w:ilvl w:val="1"/>
          <w:numId w:val="2"/>
        </w:numPr>
        <w:tabs>
          <w:tab w:pos="1871" w:val="left" w:leader="none"/>
        </w:tabs>
        <w:spacing w:line="247" w:lineRule="auto" w:before="1" w:after="0"/>
        <w:ind w:left="1870" w:right="1268" w:hanging="260"/>
        <w:jc w:val="both"/>
        <w:rPr>
          <w:sz w:val="21"/>
        </w:rPr>
      </w:pPr>
      <w:r>
        <w:rPr>
          <w:color w:val="231F20"/>
          <w:sz w:val="21"/>
        </w:rPr>
        <w:t>En</w:t>
      </w:r>
      <w:r>
        <w:rPr>
          <w:color w:val="231F20"/>
          <w:spacing w:val="-5"/>
          <w:sz w:val="21"/>
        </w:rPr>
        <w:t> </w:t>
      </w:r>
      <w:r>
        <w:rPr>
          <w:color w:val="231F20"/>
          <w:sz w:val="21"/>
        </w:rPr>
        <w:t>la</w:t>
      </w:r>
      <w:r>
        <w:rPr>
          <w:color w:val="231F20"/>
          <w:spacing w:val="-5"/>
          <w:sz w:val="21"/>
        </w:rPr>
        <w:t> </w:t>
      </w:r>
      <w:r>
        <w:rPr>
          <w:color w:val="231F20"/>
          <w:sz w:val="21"/>
        </w:rPr>
        <w:t>estación</w:t>
      </w:r>
      <w:r>
        <w:rPr>
          <w:color w:val="231F20"/>
          <w:spacing w:val="-5"/>
          <w:sz w:val="21"/>
        </w:rPr>
        <w:t> </w:t>
      </w:r>
      <w:r>
        <w:rPr>
          <w:color w:val="231F20"/>
          <w:sz w:val="21"/>
        </w:rPr>
        <w:t>meteorológica</w:t>
      </w:r>
      <w:r>
        <w:rPr>
          <w:color w:val="231F20"/>
          <w:spacing w:val="-5"/>
          <w:sz w:val="21"/>
        </w:rPr>
        <w:t> </w:t>
      </w:r>
      <w:r>
        <w:rPr>
          <w:color w:val="231F20"/>
          <w:sz w:val="21"/>
        </w:rPr>
        <w:t>Chilapa,</w:t>
      </w:r>
      <w:r>
        <w:rPr>
          <w:color w:val="231F20"/>
          <w:spacing w:val="-5"/>
          <w:sz w:val="21"/>
        </w:rPr>
        <w:t> </w:t>
      </w:r>
      <w:r>
        <w:rPr>
          <w:color w:val="231F20"/>
          <w:sz w:val="21"/>
        </w:rPr>
        <w:t>Guerrero,</w:t>
      </w:r>
      <w:r>
        <w:rPr>
          <w:color w:val="231F20"/>
          <w:spacing w:val="-5"/>
          <w:sz w:val="21"/>
        </w:rPr>
        <w:t> </w:t>
      </w:r>
      <w:r>
        <w:rPr>
          <w:color w:val="231F20"/>
          <w:sz w:val="21"/>
        </w:rPr>
        <w:t>el</w:t>
      </w:r>
      <w:r>
        <w:rPr>
          <w:color w:val="231F20"/>
          <w:spacing w:val="-5"/>
          <w:sz w:val="21"/>
        </w:rPr>
        <w:t> </w:t>
      </w:r>
      <w:r>
        <w:rPr>
          <w:color w:val="231F20"/>
          <w:sz w:val="21"/>
        </w:rPr>
        <w:t>periodo</w:t>
      </w:r>
      <w:r>
        <w:rPr>
          <w:color w:val="231F20"/>
          <w:spacing w:val="-5"/>
          <w:sz w:val="21"/>
        </w:rPr>
        <w:t> </w:t>
      </w:r>
      <w:r>
        <w:rPr>
          <w:color w:val="231F20"/>
          <w:sz w:val="21"/>
        </w:rPr>
        <w:t>de</w:t>
      </w:r>
      <w:r>
        <w:rPr>
          <w:color w:val="231F20"/>
          <w:spacing w:val="-5"/>
          <w:sz w:val="21"/>
        </w:rPr>
        <w:t> </w:t>
      </w:r>
      <w:r>
        <w:rPr>
          <w:color w:val="231F20"/>
          <w:sz w:val="21"/>
        </w:rPr>
        <w:t>crecimiento</w:t>
      </w:r>
      <w:r>
        <w:rPr>
          <w:color w:val="231F20"/>
          <w:spacing w:val="-5"/>
          <w:sz w:val="21"/>
        </w:rPr>
        <w:t> </w:t>
      </w:r>
      <w:r>
        <w:rPr>
          <w:color w:val="231F20"/>
          <w:sz w:val="21"/>
        </w:rPr>
        <w:t>no</w:t>
      </w:r>
      <w:r>
        <w:rPr>
          <w:color w:val="231F20"/>
          <w:spacing w:val="-5"/>
          <w:sz w:val="21"/>
        </w:rPr>
        <w:t> </w:t>
      </w:r>
      <w:r>
        <w:rPr>
          <w:color w:val="231F20"/>
          <w:sz w:val="21"/>
        </w:rPr>
        <w:t>se</w:t>
      </w:r>
      <w:r>
        <w:rPr>
          <w:color w:val="231F20"/>
          <w:spacing w:val="-5"/>
          <w:sz w:val="21"/>
        </w:rPr>
        <w:t> </w:t>
      </w:r>
      <w:r>
        <w:rPr>
          <w:color w:val="231F20"/>
          <w:sz w:val="21"/>
        </w:rPr>
        <w:t>ha</w:t>
      </w:r>
      <w:r>
        <w:rPr>
          <w:color w:val="231F20"/>
          <w:spacing w:val="-5"/>
          <w:sz w:val="21"/>
        </w:rPr>
        <w:t> </w:t>
      </w:r>
      <w:r>
        <w:rPr>
          <w:color w:val="231F20"/>
          <w:sz w:val="21"/>
        </w:rPr>
        <w:t>visto</w:t>
      </w:r>
      <w:r>
        <w:rPr>
          <w:color w:val="231F20"/>
          <w:spacing w:val="-5"/>
          <w:sz w:val="21"/>
        </w:rPr>
        <w:t> </w:t>
      </w:r>
      <w:r>
        <w:rPr>
          <w:color w:val="231F20"/>
          <w:sz w:val="21"/>
        </w:rPr>
        <w:t>mo- dificado</w:t>
      </w:r>
      <w:r>
        <w:rPr>
          <w:color w:val="231F20"/>
          <w:spacing w:val="-12"/>
          <w:sz w:val="21"/>
        </w:rPr>
        <w:t> </w:t>
      </w:r>
      <w:r>
        <w:rPr>
          <w:color w:val="231F20"/>
          <w:sz w:val="21"/>
        </w:rPr>
        <w:t>drásticamente,</w:t>
      </w:r>
      <w:r>
        <w:rPr>
          <w:color w:val="231F20"/>
          <w:spacing w:val="-12"/>
          <w:sz w:val="21"/>
        </w:rPr>
        <w:t> </w:t>
      </w:r>
      <w:r>
        <w:rPr>
          <w:color w:val="231F20"/>
          <w:sz w:val="21"/>
        </w:rPr>
        <w:t>en</w:t>
      </w:r>
      <w:r>
        <w:rPr>
          <w:color w:val="231F20"/>
          <w:spacing w:val="-12"/>
          <w:sz w:val="21"/>
        </w:rPr>
        <w:t> </w:t>
      </w:r>
      <w:r>
        <w:rPr>
          <w:color w:val="231F20"/>
          <w:sz w:val="21"/>
        </w:rPr>
        <w:t>donde</w:t>
      </w:r>
      <w:r>
        <w:rPr>
          <w:color w:val="231F20"/>
          <w:spacing w:val="-12"/>
          <w:sz w:val="21"/>
        </w:rPr>
        <w:t> </w:t>
      </w:r>
      <w:r>
        <w:rPr>
          <w:color w:val="231F20"/>
          <w:sz w:val="21"/>
        </w:rPr>
        <w:t>se</w:t>
      </w:r>
      <w:r>
        <w:rPr>
          <w:color w:val="231F20"/>
          <w:spacing w:val="-12"/>
          <w:sz w:val="21"/>
        </w:rPr>
        <w:t> </w:t>
      </w:r>
      <w:r>
        <w:rPr>
          <w:color w:val="231F20"/>
          <w:sz w:val="21"/>
        </w:rPr>
        <w:t>aprecia</w:t>
      </w:r>
      <w:r>
        <w:rPr>
          <w:color w:val="231F20"/>
          <w:spacing w:val="-12"/>
          <w:sz w:val="21"/>
        </w:rPr>
        <w:t> </w:t>
      </w:r>
      <w:r>
        <w:rPr>
          <w:color w:val="231F20"/>
          <w:sz w:val="21"/>
        </w:rPr>
        <w:t>el</w:t>
      </w:r>
      <w:r>
        <w:rPr>
          <w:color w:val="231F20"/>
          <w:spacing w:val="-12"/>
          <w:sz w:val="21"/>
        </w:rPr>
        <w:t> </w:t>
      </w:r>
      <w:r>
        <w:rPr>
          <w:color w:val="231F20"/>
          <w:sz w:val="21"/>
        </w:rPr>
        <w:t>cambio</w:t>
      </w:r>
      <w:r>
        <w:rPr>
          <w:color w:val="231F20"/>
          <w:spacing w:val="-12"/>
          <w:sz w:val="21"/>
        </w:rPr>
        <w:t> </w:t>
      </w:r>
      <w:r>
        <w:rPr>
          <w:color w:val="231F20"/>
          <w:sz w:val="21"/>
        </w:rPr>
        <w:t>climático</w:t>
      </w:r>
      <w:r>
        <w:rPr>
          <w:color w:val="231F20"/>
          <w:spacing w:val="-12"/>
          <w:sz w:val="21"/>
        </w:rPr>
        <w:t> </w:t>
      </w:r>
      <w:r>
        <w:rPr>
          <w:color w:val="231F20"/>
          <w:sz w:val="21"/>
        </w:rPr>
        <w:t>es</w:t>
      </w:r>
      <w:r>
        <w:rPr>
          <w:color w:val="231F20"/>
          <w:spacing w:val="-12"/>
          <w:sz w:val="21"/>
        </w:rPr>
        <w:t> </w:t>
      </w:r>
      <w:r>
        <w:rPr>
          <w:color w:val="231F20"/>
          <w:sz w:val="21"/>
        </w:rPr>
        <w:t>en</w:t>
      </w:r>
      <w:r>
        <w:rPr>
          <w:color w:val="231F20"/>
          <w:spacing w:val="-12"/>
          <w:sz w:val="21"/>
        </w:rPr>
        <w:t> </w:t>
      </w:r>
      <w:r>
        <w:rPr>
          <w:color w:val="231F20"/>
          <w:sz w:val="21"/>
        </w:rPr>
        <w:t>la</w:t>
      </w:r>
      <w:r>
        <w:rPr>
          <w:color w:val="231F20"/>
          <w:spacing w:val="-12"/>
          <w:sz w:val="21"/>
        </w:rPr>
        <w:t> </w:t>
      </w:r>
      <w:r>
        <w:rPr>
          <w:color w:val="231F20"/>
          <w:sz w:val="21"/>
        </w:rPr>
        <w:t>reducción</w:t>
      </w:r>
      <w:r>
        <w:rPr>
          <w:color w:val="231F20"/>
          <w:spacing w:val="-12"/>
          <w:sz w:val="21"/>
        </w:rPr>
        <w:t> </w:t>
      </w:r>
      <w:r>
        <w:rPr>
          <w:color w:val="231F20"/>
          <w:sz w:val="21"/>
        </w:rPr>
        <w:t>del</w:t>
      </w:r>
      <w:r>
        <w:rPr>
          <w:color w:val="231F20"/>
          <w:spacing w:val="-12"/>
          <w:sz w:val="21"/>
        </w:rPr>
        <w:t> </w:t>
      </w:r>
      <w:r>
        <w:rPr>
          <w:color w:val="231F20"/>
          <w:sz w:val="21"/>
        </w:rPr>
        <w:t>periodo húmedo.</w:t>
      </w:r>
    </w:p>
    <w:p>
      <w:pPr>
        <w:pStyle w:val="ListParagraph"/>
        <w:numPr>
          <w:ilvl w:val="1"/>
          <w:numId w:val="2"/>
        </w:numPr>
        <w:tabs>
          <w:tab w:pos="1871" w:val="left" w:leader="none"/>
        </w:tabs>
        <w:spacing w:line="247" w:lineRule="auto" w:before="1" w:after="0"/>
        <w:ind w:left="1870" w:right="1267" w:hanging="260"/>
        <w:jc w:val="both"/>
        <w:rPr>
          <w:sz w:val="21"/>
        </w:rPr>
      </w:pPr>
      <w:r>
        <w:rPr>
          <w:color w:val="231F20"/>
          <w:sz w:val="21"/>
        </w:rPr>
        <w:t>Al comparar los diferentes periodos normales de datos de las dos regiones climáticas dife- rentes, se observan los diferentes impactos climáticos en la agricultura bajo condiciones de temporal.</w:t>
      </w:r>
    </w:p>
    <w:p>
      <w:pPr>
        <w:pStyle w:val="BodyText"/>
        <w:spacing w:before="9"/>
        <w:rPr>
          <w:sz w:val="22"/>
        </w:rPr>
      </w:pPr>
    </w:p>
    <w:p>
      <w:pPr>
        <w:pStyle w:val="Heading3"/>
        <w:ind w:right="5337"/>
        <w:jc w:val="left"/>
      </w:pPr>
      <w:r>
        <w:rPr>
          <w:color w:val="010202"/>
        </w:rPr>
        <w:t>Literatura citada</w:t>
      </w:r>
    </w:p>
    <w:p>
      <w:pPr>
        <w:pStyle w:val="BodyText"/>
        <w:spacing w:before="7"/>
        <w:rPr>
          <w:b/>
        </w:rPr>
      </w:pPr>
    </w:p>
    <w:p>
      <w:pPr>
        <w:spacing w:line="249" w:lineRule="auto" w:before="0"/>
        <w:ind w:left="1270" w:right="1268" w:firstLine="0"/>
        <w:jc w:val="left"/>
        <w:rPr>
          <w:sz w:val="19"/>
        </w:rPr>
      </w:pPr>
      <w:r>
        <w:rPr>
          <w:color w:val="231F20"/>
          <w:spacing w:val="-4"/>
          <w:sz w:val="19"/>
        </w:rPr>
        <w:t>FAO.</w:t>
      </w:r>
      <w:r>
        <w:rPr>
          <w:color w:val="231F20"/>
          <w:spacing w:val="-6"/>
          <w:sz w:val="19"/>
        </w:rPr>
        <w:t> </w:t>
      </w:r>
      <w:r>
        <w:rPr>
          <w:color w:val="231F20"/>
          <w:sz w:val="19"/>
        </w:rPr>
        <w:t>1978.</w:t>
      </w:r>
      <w:r>
        <w:rPr>
          <w:color w:val="231F20"/>
          <w:spacing w:val="-7"/>
          <w:sz w:val="19"/>
        </w:rPr>
        <w:t> </w:t>
      </w:r>
      <w:r>
        <w:rPr>
          <w:color w:val="231F20"/>
          <w:sz w:val="19"/>
        </w:rPr>
        <w:t>Report</w:t>
      </w:r>
      <w:r>
        <w:rPr>
          <w:color w:val="231F20"/>
          <w:spacing w:val="-7"/>
          <w:sz w:val="19"/>
        </w:rPr>
        <w:t> </w:t>
      </w:r>
      <w:r>
        <w:rPr>
          <w:color w:val="231F20"/>
          <w:sz w:val="19"/>
        </w:rPr>
        <w:t>on</w:t>
      </w:r>
      <w:r>
        <w:rPr>
          <w:color w:val="231F20"/>
          <w:spacing w:val="-7"/>
          <w:sz w:val="19"/>
        </w:rPr>
        <w:t> </w:t>
      </w:r>
      <w:r>
        <w:rPr>
          <w:color w:val="231F20"/>
          <w:sz w:val="19"/>
        </w:rPr>
        <w:t>the</w:t>
      </w:r>
      <w:r>
        <w:rPr>
          <w:color w:val="231F20"/>
          <w:spacing w:val="-17"/>
          <w:sz w:val="19"/>
        </w:rPr>
        <w:t> </w:t>
      </w:r>
      <w:r>
        <w:rPr>
          <w:color w:val="231F20"/>
          <w:sz w:val="19"/>
        </w:rPr>
        <w:t>Agro</w:t>
      </w:r>
      <w:r>
        <w:rPr>
          <w:color w:val="231F20"/>
          <w:spacing w:val="-7"/>
          <w:sz w:val="19"/>
        </w:rPr>
        <w:t> </w:t>
      </w:r>
      <w:r>
        <w:rPr>
          <w:color w:val="231F20"/>
          <w:sz w:val="19"/>
        </w:rPr>
        <w:t>–</w:t>
      </w:r>
      <w:r>
        <w:rPr>
          <w:color w:val="231F20"/>
          <w:spacing w:val="-7"/>
          <w:sz w:val="19"/>
        </w:rPr>
        <w:t> </w:t>
      </w:r>
      <w:r>
        <w:rPr>
          <w:color w:val="231F20"/>
          <w:sz w:val="19"/>
        </w:rPr>
        <w:t>Ecological</w:t>
      </w:r>
      <w:r>
        <w:rPr>
          <w:color w:val="231F20"/>
          <w:spacing w:val="-7"/>
          <w:sz w:val="19"/>
        </w:rPr>
        <w:t> </w:t>
      </w:r>
      <w:r>
        <w:rPr>
          <w:color w:val="231F20"/>
          <w:sz w:val="19"/>
        </w:rPr>
        <w:t>Zones</w:t>
      </w:r>
      <w:r>
        <w:rPr>
          <w:color w:val="231F20"/>
          <w:spacing w:val="-7"/>
          <w:sz w:val="19"/>
        </w:rPr>
        <w:t> </w:t>
      </w:r>
      <w:r>
        <w:rPr>
          <w:color w:val="231F20"/>
          <w:sz w:val="19"/>
        </w:rPr>
        <w:t>Proyect.</w:t>
      </w:r>
      <w:r>
        <w:rPr>
          <w:color w:val="231F20"/>
          <w:spacing w:val="-10"/>
          <w:sz w:val="19"/>
        </w:rPr>
        <w:t> </w:t>
      </w:r>
      <w:r>
        <w:rPr>
          <w:color w:val="231F20"/>
          <w:spacing w:val="-7"/>
          <w:sz w:val="19"/>
        </w:rPr>
        <w:t>Vol. </w:t>
      </w:r>
      <w:r>
        <w:rPr>
          <w:color w:val="231F20"/>
          <w:sz w:val="19"/>
        </w:rPr>
        <w:t>1.</w:t>
      </w:r>
      <w:r>
        <w:rPr>
          <w:color w:val="231F20"/>
          <w:spacing w:val="-7"/>
          <w:sz w:val="19"/>
        </w:rPr>
        <w:t> </w:t>
      </w:r>
      <w:r>
        <w:rPr>
          <w:color w:val="231F20"/>
          <w:sz w:val="19"/>
        </w:rPr>
        <w:t>Methodology</w:t>
      </w:r>
      <w:r>
        <w:rPr>
          <w:color w:val="231F20"/>
          <w:spacing w:val="-7"/>
          <w:sz w:val="19"/>
        </w:rPr>
        <w:t> </w:t>
      </w:r>
      <w:r>
        <w:rPr>
          <w:color w:val="231F20"/>
          <w:sz w:val="19"/>
        </w:rPr>
        <w:t>and</w:t>
      </w:r>
      <w:r>
        <w:rPr>
          <w:color w:val="231F20"/>
          <w:spacing w:val="-7"/>
          <w:sz w:val="19"/>
        </w:rPr>
        <w:t> </w:t>
      </w:r>
      <w:r>
        <w:rPr>
          <w:color w:val="231F20"/>
          <w:sz w:val="19"/>
        </w:rPr>
        <w:t>Results</w:t>
      </w:r>
      <w:r>
        <w:rPr>
          <w:color w:val="231F20"/>
          <w:spacing w:val="-7"/>
          <w:sz w:val="19"/>
        </w:rPr>
        <w:t> </w:t>
      </w:r>
      <w:r>
        <w:rPr>
          <w:color w:val="231F20"/>
          <w:sz w:val="19"/>
        </w:rPr>
        <w:t>for</w:t>
      </w:r>
      <w:r>
        <w:rPr>
          <w:color w:val="231F20"/>
          <w:spacing w:val="-17"/>
          <w:sz w:val="19"/>
        </w:rPr>
        <w:t> </w:t>
      </w:r>
      <w:r>
        <w:rPr>
          <w:color w:val="231F20"/>
          <w:sz w:val="19"/>
        </w:rPr>
        <w:t>Africa.</w:t>
      </w:r>
      <w:r>
        <w:rPr>
          <w:color w:val="231F20"/>
          <w:spacing w:val="-10"/>
          <w:sz w:val="19"/>
        </w:rPr>
        <w:t> </w:t>
      </w:r>
      <w:r>
        <w:rPr>
          <w:color w:val="231F20"/>
          <w:spacing w:val="-4"/>
          <w:sz w:val="19"/>
        </w:rPr>
        <w:t>World </w:t>
      </w:r>
      <w:r>
        <w:rPr>
          <w:color w:val="231F20"/>
          <w:sz w:val="19"/>
        </w:rPr>
        <w:t>Resources Report 48. Rome.</w:t>
      </w:r>
    </w:p>
    <w:p>
      <w:pPr>
        <w:pStyle w:val="BodyText"/>
        <w:spacing w:before="10"/>
        <w:rPr>
          <w:sz w:val="19"/>
        </w:rPr>
      </w:pPr>
    </w:p>
    <w:p>
      <w:pPr>
        <w:spacing w:line="249" w:lineRule="auto" w:before="0"/>
        <w:ind w:left="1270" w:right="1279" w:firstLine="0"/>
        <w:jc w:val="left"/>
        <w:rPr>
          <w:sz w:val="19"/>
        </w:rPr>
      </w:pPr>
      <w:r>
        <w:rPr>
          <w:color w:val="231F20"/>
          <w:sz w:val="19"/>
        </w:rPr>
        <w:t>FAO. 1981. Report on the Agro – Ecological Zones Proyect. Vol. 3. Methodology and Results for South and Central America. World Resources Report 48/3. Rome.</w:t>
      </w:r>
    </w:p>
    <w:p>
      <w:pPr>
        <w:pStyle w:val="BodyText"/>
        <w:spacing w:before="10"/>
        <w:rPr>
          <w:sz w:val="19"/>
        </w:rPr>
      </w:pPr>
    </w:p>
    <w:p>
      <w:pPr>
        <w:spacing w:before="0"/>
        <w:ind w:left="1270" w:right="1279" w:firstLine="0"/>
        <w:jc w:val="left"/>
        <w:rPr>
          <w:sz w:val="19"/>
        </w:rPr>
      </w:pPr>
      <w:r>
        <w:rPr>
          <w:color w:val="231F20"/>
          <w:sz w:val="19"/>
        </w:rPr>
        <w:t>Gómez M. B. y Arteaga R. 1987.   Elementos básicos para el manejo de instrumental meteorológico. Ed.</w:t>
      </w:r>
    </w:p>
    <w:p>
      <w:pPr>
        <w:spacing w:before="9"/>
        <w:ind w:left="1270" w:right="5337" w:firstLine="0"/>
        <w:jc w:val="left"/>
        <w:rPr>
          <w:sz w:val="19"/>
        </w:rPr>
      </w:pPr>
      <w:r>
        <w:rPr>
          <w:color w:val="231F20"/>
          <w:sz w:val="19"/>
        </w:rPr>
        <w:t>CECSA. México.</w:t>
      </w:r>
    </w:p>
    <w:p>
      <w:pPr>
        <w:pStyle w:val="BodyText"/>
        <w:spacing w:before="7"/>
        <w:rPr>
          <w:sz w:val="20"/>
        </w:rPr>
      </w:pPr>
    </w:p>
    <w:p>
      <w:pPr>
        <w:spacing w:before="0"/>
        <w:ind w:left="1270" w:right="1279" w:firstLine="0"/>
        <w:jc w:val="left"/>
        <w:rPr>
          <w:sz w:val="19"/>
        </w:rPr>
      </w:pPr>
      <w:r>
        <w:rPr>
          <w:color w:val="231F20"/>
          <w:sz w:val="19"/>
        </w:rPr>
        <w:t>Grupo Consultor de Mercados Agrícolas (GCMA). 2011. Análisis de los mercados nacionales de productos</w:t>
      </w:r>
    </w:p>
    <w:p>
      <w:pPr>
        <w:spacing w:before="9"/>
        <w:ind w:left="1270" w:right="1279" w:firstLine="0"/>
        <w:jc w:val="left"/>
        <w:rPr>
          <w:sz w:val="19"/>
        </w:rPr>
      </w:pPr>
      <w:r>
        <w:rPr>
          <w:color w:val="231F20"/>
          <w:sz w:val="19"/>
        </w:rPr>
        <w:t>agrícolas básicos. </w:t>
      </w:r>
      <w:hyperlink r:id="rId21">
        <w:r>
          <w:rPr>
            <w:color w:val="231F20"/>
            <w:sz w:val="19"/>
          </w:rPr>
          <w:t>Documento consultado en http://www.gcma.com.mx</w:t>
        </w:r>
      </w:hyperlink>
    </w:p>
    <w:p>
      <w:pPr>
        <w:pStyle w:val="BodyText"/>
        <w:spacing w:before="7"/>
        <w:rPr>
          <w:sz w:val="20"/>
        </w:rPr>
      </w:pPr>
    </w:p>
    <w:p>
      <w:pPr>
        <w:spacing w:line="249" w:lineRule="auto" w:before="0"/>
        <w:ind w:left="1270" w:right="1268" w:firstLine="0"/>
        <w:jc w:val="left"/>
        <w:rPr>
          <w:sz w:val="19"/>
        </w:rPr>
      </w:pPr>
      <w:r>
        <w:rPr>
          <w:color w:val="231F20"/>
          <w:sz w:val="19"/>
        </w:rPr>
        <w:t>Martínez</w:t>
      </w:r>
      <w:r>
        <w:rPr>
          <w:color w:val="231F20"/>
          <w:spacing w:val="-10"/>
          <w:sz w:val="19"/>
        </w:rPr>
        <w:t> </w:t>
      </w:r>
      <w:r>
        <w:rPr>
          <w:color w:val="231F20"/>
          <w:sz w:val="19"/>
        </w:rPr>
        <w:t>R.</w:t>
      </w:r>
      <w:r>
        <w:rPr>
          <w:color w:val="231F20"/>
          <w:spacing w:val="-20"/>
          <w:sz w:val="19"/>
        </w:rPr>
        <w:t> </w:t>
      </w:r>
      <w:r>
        <w:rPr>
          <w:color w:val="231F20"/>
          <w:sz w:val="19"/>
        </w:rPr>
        <w:t>A.</w:t>
      </w:r>
      <w:r>
        <w:rPr>
          <w:color w:val="231F20"/>
          <w:spacing w:val="-10"/>
          <w:sz w:val="19"/>
        </w:rPr>
        <w:t> </w:t>
      </w:r>
      <w:r>
        <w:rPr>
          <w:color w:val="231F20"/>
          <w:sz w:val="19"/>
        </w:rPr>
        <w:t>2011.</w:t>
      </w:r>
      <w:r>
        <w:rPr>
          <w:color w:val="231F20"/>
          <w:spacing w:val="-10"/>
          <w:sz w:val="19"/>
        </w:rPr>
        <w:t> </w:t>
      </w:r>
      <w:r>
        <w:rPr>
          <w:color w:val="231F20"/>
          <w:sz w:val="19"/>
        </w:rPr>
        <w:t>La</w:t>
      </w:r>
      <w:r>
        <w:rPr>
          <w:color w:val="231F20"/>
          <w:spacing w:val="-10"/>
          <w:sz w:val="19"/>
        </w:rPr>
        <w:t> </w:t>
      </w:r>
      <w:r>
        <w:rPr>
          <w:color w:val="231F20"/>
          <w:sz w:val="19"/>
        </w:rPr>
        <w:t>agricultura</w:t>
      </w:r>
      <w:r>
        <w:rPr>
          <w:color w:val="231F20"/>
          <w:spacing w:val="-10"/>
          <w:sz w:val="19"/>
        </w:rPr>
        <w:t> </w:t>
      </w:r>
      <w:r>
        <w:rPr>
          <w:color w:val="231F20"/>
          <w:sz w:val="19"/>
        </w:rPr>
        <w:t>de</w:t>
      </w:r>
      <w:r>
        <w:rPr>
          <w:color w:val="231F20"/>
          <w:spacing w:val="-10"/>
          <w:sz w:val="19"/>
        </w:rPr>
        <w:t> </w:t>
      </w:r>
      <w:r>
        <w:rPr>
          <w:color w:val="231F20"/>
          <w:sz w:val="19"/>
        </w:rPr>
        <w:t>temporal</w:t>
      </w:r>
      <w:r>
        <w:rPr>
          <w:color w:val="231F20"/>
          <w:spacing w:val="-11"/>
          <w:sz w:val="19"/>
        </w:rPr>
        <w:t> </w:t>
      </w:r>
      <w:r>
        <w:rPr>
          <w:color w:val="231F20"/>
          <w:sz w:val="19"/>
        </w:rPr>
        <w:t>y</w:t>
      </w:r>
      <w:r>
        <w:rPr>
          <w:color w:val="231F20"/>
          <w:spacing w:val="-10"/>
          <w:sz w:val="19"/>
        </w:rPr>
        <w:t> </w:t>
      </w:r>
      <w:r>
        <w:rPr>
          <w:color w:val="231F20"/>
          <w:sz w:val="19"/>
        </w:rPr>
        <w:t>el</w:t>
      </w:r>
      <w:r>
        <w:rPr>
          <w:color w:val="231F20"/>
          <w:spacing w:val="-10"/>
          <w:sz w:val="19"/>
        </w:rPr>
        <w:t> </w:t>
      </w:r>
      <w:r>
        <w:rPr>
          <w:color w:val="231F20"/>
          <w:sz w:val="19"/>
        </w:rPr>
        <w:t>cambio</w:t>
      </w:r>
      <w:r>
        <w:rPr>
          <w:color w:val="231F20"/>
          <w:spacing w:val="-10"/>
          <w:sz w:val="19"/>
        </w:rPr>
        <w:t> </w:t>
      </w:r>
      <w:r>
        <w:rPr>
          <w:color w:val="231F20"/>
          <w:sz w:val="19"/>
        </w:rPr>
        <w:t>climático.</w:t>
      </w:r>
      <w:r>
        <w:rPr>
          <w:color w:val="231F20"/>
          <w:spacing w:val="-11"/>
          <w:sz w:val="19"/>
        </w:rPr>
        <w:t> </w:t>
      </w:r>
      <w:r>
        <w:rPr>
          <w:color w:val="231F20"/>
          <w:sz w:val="19"/>
        </w:rPr>
        <w:t>Publicado</w:t>
      </w:r>
      <w:r>
        <w:rPr>
          <w:color w:val="231F20"/>
          <w:spacing w:val="-10"/>
          <w:sz w:val="19"/>
        </w:rPr>
        <w:t> </w:t>
      </w:r>
      <w:r>
        <w:rPr>
          <w:color w:val="231F20"/>
          <w:sz w:val="19"/>
        </w:rPr>
        <w:t>en</w:t>
      </w:r>
      <w:r>
        <w:rPr>
          <w:color w:val="231F20"/>
          <w:spacing w:val="28"/>
          <w:sz w:val="19"/>
        </w:rPr>
        <w:t> </w:t>
      </w:r>
      <w:r>
        <w:rPr>
          <w:color w:val="231F20"/>
          <w:sz w:val="19"/>
        </w:rPr>
        <w:t>http://www.eleconomista. com.mx/columnas/agro-negocios/2011/08/04/agricultura-temporal-cambio-climatico </w:t>
      </w:r>
      <w:hyperlink r:id="rId22">
        <w:r>
          <w:rPr>
            <w:color w:val="231F20"/>
            <w:sz w:val="19"/>
          </w:rPr>
          <w:t>http//www.cambioclimáticoglobal.com/bibliogr</w:t>
        </w:r>
      </w:hyperlink>
      <w:r>
        <w:rPr>
          <w:color w:val="231F20"/>
          <w:sz w:val="19"/>
        </w:rPr>
        <w:t>.html</w:t>
      </w:r>
    </w:p>
    <w:p>
      <w:pPr>
        <w:pStyle w:val="BodyText"/>
        <w:spacing w:before="10"/>
        <w:rPr>
          <w:sz w:val="19"/>
        </w:rPr>
      </w:pPr>
    </w:p>
    <w:p>
      <w:pPr>
        <w:spacing w:before="0"/>
        <w:ind w:left="1270" w:right="1279" w:firstLine="0"/>
        <w:jc w:val="left"/>
        <w:rPr>
          <w:sz w:val="19"/>
        </w:rPr>
      </w:pPr>
      <w:r>
        <w:rPr>
          <w:color w:val="231F20"/>
          <w:sz w:val="19"/>
        </w:rPr>
        <w:t>Ortiz S. C. 2008. Elementos de Agrometeorología Cuantitativa con aplicaciones en la república mexicana.</w:t>
      </w:r>
    </w:p>
    <w:p>
      <w:pPr>
        <w:spacing w:before="9"/>
        <w:ind w:left="1270" w:right="5337" w:firstLine="0"/>
        <w:jc w:val="left"/>
        <w:rPr>
          <w:sz w:val="19"/>
        </w:rPr>
      </w:pPr>
      <w:r>
        <w:rPr>
          <w:color w:val="231F20"/>
          <w:sz w:val="19"/>
        </w:rPr>
        <w:t>Edición del autor. Texcoco, Estado de México</w:t>
      </w:r>
    </w:p>
    <w:p>
      <w:pPr>
        <w:pStyle w:val="BodyText"/>
        <w:spacing w:before="7"/>
        <w:rPr>
          <w:sz w:val="20"/>
        </w:rPr>
      </w:pPr>
    </w:p>
    <w:p>
      <w:pPr>
        <w:spacing w:line="273" w:lineRule="auto" w:before="0"/>
        <w:ind w:left="1270" w:right="1279" w:firstLine="0"/>
        <w:jc w:val="left"/>
        <w:rPr>
          <w:sz w:val="19"/>
        </w:rPr>
      </w:pPr>
      <w:r>
        <w:rPr>
          <w:color w:val="231F20"/>
          <w:sz w:val="19"/>
        </w:rPr>
        <w:t>Secretaría del Medio Ambiente (SMA). 2005. Informe Climatológico Ambiental del Valle de México 2005. Gobierno del Distrito Federal.</w:t>
      </w:r>
    </w:p>
    <w:p>
      <w:pPr>
        <w:spacing w:after="0" w:line="273" w:lineRule="auto"/>
        <w:jc w:val="left"/>
        <w:rPr>
          <w:sz w:val="19"/>
        </w:rPr>
        <w:sectPr>
          <w:pgSz w:w="10920" w:h="13080"/>
          <w:pgMar w:header="0" w:footer="1025" w:top="420" w:bottom="1220" w:left="0" w:right="0"/>
        </w:sectPr>
      </w:pPr>
    </w:p>
    <w:p>
      <w:pPr>
        <w:pStyle w:val="BodyText"/>
        <w:rPr>
          <w:sz w:val="20"/>
        </w:rPr>
      </w:pPr>
    </w:p>
    <w:p>
      <w:pPr>
        <w:pStyle w:val="BodyText"/>
        <w:rPr>
          <w:sz w:val="20"/>
        </w:rPr>
      </w:pPr>
    </w:p>
    <w:p>
      <w:pPr>
        <w:pStyle w:val="BodyText"/>
        <w:spacing w:before="6"/>
        <w:rPr>
          <w:sz w:val="23"/>
        </w:rPr>
      </w:pPr>
    </w:p>
    <w:p>
      <w:pPr>
        <w:spacing w:line="247" w:lineRule="auto" w:before="69"/>
        <w:ind w:left="1491" w:right="1489" w:firstLine="0"/>
        <w:jc w:val="center"/>
        <w:rPr>
          <w:rFonts w:ascii="Trebuchet MS" w:hAnsi="Trebuchet MS"/>
          <w:i/>
          <w:sz w:val="14"/>
        </w:rPr>
      </w:pPr>
      <w:r>
        <w:rPr>
          <w:rFonts w:ascii="Trebuchet MS" w:hAnsi="Trebuchet MS"/>
          <w:i/>
          <w:color w:val="010202"/>
          <w:spacing w:val="-3"/>
          <w:sz w:val="24"/>
        </w:rPr>
        <w:t>Pablo Andrés Meza</w:t>
      </w:r>
      <w:r>
        <w:rPr>
          <w:rFonts w:ascii="Trebuchet MS" w:hAnsi="Trebuchet MS"/>
          <w:i/>
          <w:color w:val="010202"/>
          <w:spacing w:val="-3"/>
          <w:position w:val="8"/>
          <w:sz w:val="14"/>
        </w:rPr>
        <w:t>1</w:t>
      </w:r>
      <w:r>
        <w:rPr>
          <w:rFonts w:ascii="Trebuchet MS" w:hAnsi="Trebuchet MS"/>
          <w:i/>
          <w:color w:val="010202"/>
          <w:spacing w:val="-3"/>
          <w:sz w:val="24"/>
        </w:rPr>
        <w:t>; Mauro Sierra Macías</w:t>
      </w:r>
      <w:r>
        <w:rPr>
          <w:rFonts w:ascii="Trebuchet MS" w:hAnsi="Trebuchet MS"/>
          <w:i/>
          <w:color w:val="010202"/>
          <w:spacing w:val="-3"/>
          <w:position w:val="8"/>
          <w:sz w:val="14"/>
        </w:rPr>
        <w:t>2</w:t>
      </w:r>
      <w:r>
        <w:rPr>
          <w:rFonts w:ascii="Trebuchet MS" w:hAnsi="Trebuchet MS"/>
          <w:i/>
          <w:color w:val="010202"/>
          <w:spacing w:val="-3"/>
          <w:sz w:val="24"/>
        </w:rPr>
        <w:t>; José Apolinar Mejía Contreras</w:t>
      </w:r>
      <w:r>
        <w:rPr>
          <w:rFonts w:ascii="Trebuchet MS" w:hAnsi="Trebuchet MS"/>
          <w:i/>
          <w:color w:val="010202"/>
          <w:spacing w:val="-3"/>
          <w:position w:val="8"/>
          <w:sz w:val="14"/>
        </w:rPr>
        <w:t>1</w:t>
      </w:r>
      <w:r>
        <w:rPr>
          <w:rFonts w:ascii="Trebuchet MS" w:hAnsi="Trebuchet MS"/>
          <w:i/>
          <w:color w:val="010202"/>
          <w:spacing w:val="-3"/>
          <w:sz w:val="24"/>
        </w:rPr>
        <w:t>; </w:t>
      </w:r>
      <w:r>
        <w:rPr>
          <w:rFonts w:ascii="Trebuchet MS" w:hAnsi="Trebuchet MS"/>
          <w:i/>
          <w:color w:val="010202"/>
          <w:spacing w:val="-3"/>
          <w:sz w:val="24"/>
        </w:rPr>
        <w:t>José Domingo Molina Galán</w:t>
      </w:r>
      <w:r>
        <w:rPr>
          <w:rFonts w:ascii="Trebuchet MS" w:hAnsi="Trebuchet MS"/>
          <w:i/>
          <w:color w:val="010202"/>
          <w:spacing w:val="-3"/>
          <w:position w:val="8"/>
          <w:sz w:val="14"/>
        </w:rPr>
        <w:t>1</w:t>
      </w:r>
      <w:r>
        <w:rPr>
          <w:rFonts w:ascii="Trebuchet MS" w:hAnsi="Trebuchet MS"/>
          <w:i/>
          <w:color w:val="010202"/>
          <w:spacing w:val="-3"/>
          <w:sz w:val="24"/>
        </w:rPr>
        <w:t>; Alejandro Espinosa Calderón</w:t>
      </w:r>
      <w:r>
        <w:rPr>
          <w:rFonts w:ascii="Trebuchet MS" w:hAnsi="Trebuchet MS"/>
          <w:i/>
          <w:color w:val="010202"/>
          <w:spacing w:val="-3"/>
          <w:position w:val="8"/>
          <w:sz w:val="14"/>
        </w:rPr>
        <w:t>3</w:t>
      </w:r>
      <w:r>
        <w:rPr>
          <w:rFonts w:ascii="Trebuchet MS" w:hAnsi="Trebuchet MS"/>
          <w:i/>
          <w:color w:val="010202"/>
          <w:spacing w:val="-3"/>
          <w:sz w:val="24"/>
        </w:rPr>
        <w:t>; Noel Orlando Gómez Montiel</w:t>
      </w:r>
      <w:r>
        <w:rPr>
          <w:rFonts w:ascii="Trebuchet MS" w:hAnsi="Trebuchet MS"/>
          <w:i/>
          <w:color w:val="010202"/>
          <w:spacing w:val="-3"/>
          <w:position w:val="8"/>
          <w:sz w:val="14"/>
        </w:rPr>
        <w:t>4</w:t>
      </w:r>
      <w:r>
        <w:rPr>
          <w:rFonts w:ascii="Trebuchet MS" w:hAnsi="Trebuchet MS"/>
          <w:i/>
          <w:color w:val="010202"/>
          <w:spacing w:val="-3"/>
          <w:sz w:val="24"/>
        </w:rPr>
        <w:t>; Artemio Palafox Caballero</w:t>
      </w:r>
      <w:r>
        <w:rPr>
          <w:rFonts w:ascii="Trebuchet MS" w:hAnsi="Trebuchet MS"/>
          <w:i/>
          <w:color w:val="010202"/>
          <w:spacing w:val="-3"/>
          <w:position w:val="8"/>
          <w:sz w:val="14"/>
        </w:rPr>
        <w:t>2</w:t>
      </w:r>
      <w:r>
        <w:rPr>
          <w:rFonts w:ascii="Trebuchet MS" w:hAnsi="Trebuchet MS"/>
          <w:i/>
          <w:color w:val="010202"/>
          <w:spacing w:val="-3"/>
          <w:sz w:val="24"/>
        </w:rPr>
        <w:t>; Flavio Antonio Rodríguez Montalvo</w:t>
      </w:r>
      <w:r>
        <w:rPr>
          <w:rFonts w:ascii="Trebuchet MS" w:hAnsi="Trebuchet MS"/>
          <w:i/>
          <w:color w:val="010202"/>
          <w:spacing w:val="-3"/>
          <w:position w:val="8"/>
          <w:sz w:val="14"/>
        </w:rPr>
        <w:t>2</w:t>
      </w:r>
      <w:r>
        <w:rPr>
          <w:rFonts w:ascii="Trebuchet MS" w:hAnsi="Trebuchet MS"/>
          <w:i/>
          <w:color w:val="010202"/>
          <w:spacing w:val="-3"/>
          <w:sz w:val="24"/>
        </w:rPr>
        <w:t>; Rubén Sierra Sosa</w:t>
      </w:r>
      <w:r>
        <w:rPr>
          <w:rFonts w:ascii="Trebuchet MS" w:hAnsi="Trebuchet MS"/>
          <w:i/>
          <w:color w:val="010202"/>
          <w:spacing w:val="-3"/>
          <w:position w:val="8"/>
          <w:sz w:val="14"/>
        </w:rPr>
        <w:t>2  </w:t>
      </w:r>
      <w:r>
        <w:rPr>
          <w:rFonts w:ascii="Trebuchet MS" w:hAnsi="Trebuchet MS"/>
          <w:i/>
          <w:color w:val="010202"/>
          <w:sz w:val="24"/>
        </w:rPr>
        <w:t>y </w:t>
      </w:r>
      <w:r>
        <w:rPr>
          <w:rFonts w:ascii="Trebuchet MS" w:hAnsi="Trebuchet MS"/>
          <w:i/>
          <w:color w:val="010202"/>
          <w:spacing w:val="-3"/>
          <w:sz w:val="24"/>
        </w:rPr>
        <w:t>Roberto </w:t>
      </w:r>
      <w:r>
        <w:rPr>
          <w:rFonts w:ascii="Trebuchet MS" w:hAnsi="Trebuchet MS"/>
          <w:i/>
          <w:color w:val="010202"/>
          <w:spacing w:val="-5"/>
          <w:sz w:val="24"/>
        </w:rPr>
        <w:t>Valdivia </w:t>
      </w:r>
      <w:r>
        <w:rPr>
          <w:rFonts w:ascii="Trebuchet MS" w:hAnsi="Trebuchet MS"/>
          <w:i/>
          <w:color w:val="010202"/>
          <w:spacing w:val="-3"/>
          <w:sz w:val="24"/>
        </w:rPr>
        <w:t>Bernal</w:t>
      </w:r>
      <w:r>
        <w:rPr>
          <w:rFonts w:ascii="Trebuchet MS" w:hAnsi="Trebuchet MS"/>
          <w:i/>
          <w:color w:val="010202"/>
          <w:spacing w:val="-3"/>
          <w:position w:val="8"/>
          <w:sz w:val="14"/>
        </w:rPr>
        <w:t>5</w:t>
      </w: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spacing w:before="2"/>
        <w:rPr>
          <w:rFonts w:ascii="Trebuchet MS"/>
          <w:i/>
          <w:sz w:val="19"/>
        </w:rPr>
      </w:pPr>
    </w:p>
    <w:p>
      <w:pPr>
        <w:pStyle w:val="Heading1"/>
        <w:spacing w:line="247" w:lineRule="auto"/>
        <w:ind w:left="2273" w:right="1876" w:hanging="304"/>
        <w:jc w:val="left"/>
      </w:pPr>
      <w:bookmarkStart w:name="_TOC_250010" w:id="1"/>
      <w:r>
        <w:rPr>
          <w:color w:val="010202"/>
          <w:spacing w:val="-4"/>
        </w:rPr>
        <w:t>RESPUESTA </w:t>
      </w:r>
      <w:r>
        <w:rPr>
          <w:color w:val="010202"/>
        </w:rPr>
        <w:t>A LA INTERACCIÓN GENOTIPO– AMBIENTE DE </w:t>
      </w:r>
      <w:r>
        <w:rPr>
          <w:color w:val="010202"/>
          <w:spacing w:val="-4"/>
        </w:rPr>
        <w:t>VARIEDADES </w:t>
      </w:r>
      <w:bookmarkEnd w:id="1"/>
      <w:r>
        <w:rPr>
          <w:color w:val="010202"/>
        </w:rPr>
        <w:t>SINTÉTICAS DE MAÍZ DE CALIDAD PROTEÍCA (QPM)</w:t>
      </w:r>
    </w:p>
    <w:p>
      <w:pPr>
        <w:pStyle w:val="BodyText"/>
        <w:rPr>
          <w:rFonts w:ascii="Trebuchet MS"/>
          <w:b/>
          <w:sz w:val="36"/>
        </w:rPr>
      </w:pPr>
    </w:p>
    <w:p>
      <w:pPr>
        <w:pStyle w:val="BodyText"/>
        <w:rPr>
          <w:rFonts w:ascii="Trebuchet MS"/>
          <w:b/>
          <w:sz w:val="36"/>
        </w:rPr>
      </w:pPr>
    </w:p>
    <w:p>
      <w:pPr>
        <w:pStyle w:val="BodyText"/>
        <w:rPr>
          <w:rFonts w:ascii="Trebuchet MS"/>
          <w:b/>
          <w:sz w:val="36"/>
        </w:rPr>
      </w:pPr>
    </w:p>
    <w:p>
      <w:pPr>
        <w:spacing w:before="235"/>
        <w:ind w:left="1270" w:right="0" w:firstLine="0"/>
        <w:jc w:val="both"/>
        <w:rPr>
          <w:b/>
          <w:sz w:val="24"/>
        </w:rPr>
      </w:pPr>
      <w:r>
        <w:rPr>
          <w:b/>
          <w:color w:val="010202"/>
          <w:sz w:val="24"/>
        </w:rPr>
        <w:t>Introducción</w:t>
      </w:r>
    </w:p>
    <w:p>
      <w:pPr>
        <w:pStyle w:val="BodyText"/>
        <w:spacing w:before="10"/>
        <w:rPr>
          <w:b/>
        </w:rPr>
      </w:pPr>
    </w:p>
    <w:p>
      <w:pPr>
        <w:pStyle w:val="BodyText"/>
        <w:spacing w:line="247" w:lineRule="auto"/>
        <w:ind w:left="1270" w:right="1267"/>
        <w:jc w:val="both"/>
      </w:pPr>
      <w:r>
        <w:rPr>
          <w:color w:val="231F20"/>
        </w:rPr>
        <w:t>El alto consumo de maíz (</w:t>
      </w:r>
      <w:r>
        <w:rPr>
          <w:i/>
          <w:color w:val="231F20"/>
        </w:rPr>
        <w:t>Zea mays </w:t>
      </w:r>
      <w:r>
        <w:rPr>
          <w:color w:val="231F20"/>
        </w:rPr>
        <w:t>L.), como alimento básico en México, requiere producir</w:t>
      </w:r>
      <w:r>
        <w:rPr>
          <w:color w:val="231F20"/>
          <w:spacing w:val="-25"/>
        </w:rPr>
        <w:t> </w:t>
      </w:r>
      <w:r>
        <w:rPr>
          <w:color w:val="231F20"/>
        </w:rPr>
        <w:t>maíces más nutritivos (Gómez </w:t>
      </w:r>
      <w:r>
        <w:rPr>
          <w:i/>
          <w:color w:val="231F20"/>
        </w:rPr>
        <w:t>et al.</w:t>
      </w:r>
      <w:r>
        <w:rPr>
          <w:color w:val="231F20"/>
        </w:rPr>
        <w:t>, 2003) con caracteristicas agronómicas que interesen al agricultor de secano (temporal) (Andrés-Meza </w:t>
      </w:r>
      <w:r>
        <w:rPr>
          <w:i/>
          <w:color w:val="231F20"/>
        </w:rPr>
        <w:t>et al.</w:t>
      </w:r>
      <w:r>
        <w:rPr>
          <w:color w:val="231F20"/>
        </w:rPr>
        <w:t>, 2011). Por ello es necesario obtener variedades de poliniza- ción libre (VPL) con alto rendimiento, lo cual requiere nuevos criterios de selección y la aplicación correcta</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metodologías</w:t>
      </w:r>
      <w:r>
        <w:rPr>
          <w:color w:val="231F20"/>
          <w:spacing w:val="-10"/>
        </w:rPr>
        <w:t> </w:t>
      </w:r>
      <w:r>
        <w:rPr>
          <w:color w:val="231F20"/>
        </w:rPr>
        <w:t>de</w:t>
      </w:r>
      <w:r>
        <w:rPr>
          <w:color w:val="231F20"/>
          <w:spacing w:val="-10"/>
        </w:rPr>
        <w:t> </w:t>
      </w:r>
      <w:r>
        <w:rPr>
          <w:color w:val="231F20"/>
        </w:rPr>
        <w:t>mejoramiento</w:t>
      </w:r>
      <w:r>
        <w:rPr>
          <w:color w:val="231F20"/>
          <w:spacing w:val="-10"/>
        </w:rPr>
        <w:t> </w:t>
      </w:r>
      <w:r>
        <w:rPr>
          <w:color w:val="231F20"/>
        </w:rPr>
        <w:t>(Padilla</w:t>
      </w:r>
      <w:r>
        <w:rPr>
          <w:color w:val="231F20"/>
          <w:spacing w:val="-10"/>
        </w:rPr>
        <w:t> </w:t>
      </w:r>
      <w:r>
        <w:rPr>
          <w:i/>
          <w:color w:val="231F20"/>
        </w:rPr>
        <w:t>et</w:t>
      </w:r>
      <w:r>
        <w:rPr>
          <w:i/>
          <w:color w:val="231F20"/>
          <w:spacing w:val="-10"/>
        </w:rPr>
        <w:t> </w:t>
      </w:r>
      <w:r>
        <w:rPr>
          <w:i/>
          <w:color w:val="231F20"/>
        </w:rPr>
        <w:t>al.</w:t>
      </w:r>
      <w:r>
        <w:rPr>
          <w:color w:val="231F20"/>
        </w:rPr>
        <w:t>,</w:t>
      </w:r>
      <w:r>
        <w:rPr>
          <w:color w:val="231F20"/>
          <w:spacing w:val="-10"/>
        </w:rPr>
        <w:t> </w:t>
      </w:r>
      <w:r>
        <w:rPr>
          <w:color w:val="231F20"/>
        </w:rPr>
        <w:t>2002).</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trópico</w:t>
      </w:r>
      <w:r>
        <w:rPr>
          <w:color w:val="231F20"/>
          <w:spacing w:val="-10"/>
        </w:rPr>
        <w:t> </w:t>
      </w:r>
      <w:r>
        <w:rPr>
          <w:color w:val="231F20"/>
        </w:rPr>
        <w:t>húmedo</w:t>
      </w:r>
      <w:r>
        <w:rPr>
          <w:color w:val="231F20"/>
          <w:spacing w:val="-10"/>
        </w:rPr>
        <w:t> </w:t>
      </w:r>
      <w:r>
        <w:rPr>
          <w:color w:val="231F20"/>
        </w:rPr>
        <w:t>de</w:t>
      </w:r>
      <w:r>
        <w:rPr>
          <w:color w:val="231F20"/>
          <w:spacing w:val="-10"/>
        </w:rPr>
        <w:t> </w:t>
      </w:r>
      <w:r>
        <w:rPr>
          <w:color w:val="231F20"/>
        </w:rPr>
        <w:t>México se necesitan variedades mejoradas de maíz con características agronómicas favorables y de calidad proteínica (QPM), que sean competitivas y representen opciones a variedades ya liberadas como </w:t>
      </w:r>
      <w:r>
        <w:rPr>
          <w:color w:val="231F20"/>
          <w:spacing w:val="-10"/>
        </w:rPr>
        <w:t>V- </w:t>
      </w:r>
      <w:r>
        <w:rPr>
          <w:color w:val="231F20"/>
        </w:rPr>
        <w:t>537C y </w:t>
      </w:r>
      <w:r>
        <w:rPr>
          <w:color w:val="231F20"/>
          <w:spacing w:val="-4"/>
        </w:rPr>
        <w:t>V-538C </w:t>
      </w:r>
      <w:r>
        <w:rPr>
          <w:color w:val="231F20"/>
        </w:rPr>
        <w:t>(Gómez </w:t>
      </w:r>
      <w:r>
        <w:rPr>
          <w:i/>
          <w:color w:val="231F20"/>
        </w:rPr>
        <w:t>et al.</w:t>
      </w:r>
      <w:r>
        <w:rPr>
          <w:color w:val="231F20"/>
        </w:rPr>
        <w:t>, 2003; Espinosa </w:t>
      </w:r>
      <w:r>
        <w:rPr>
          <w:i/>
          <w:color w:val="231F20"/>
        </w:rPr>
        <w:t>et al.</w:t>
      </w:r>
      <w:r>
        <w:rPr>
          <w:color w:val="231F20"/>
        </w:rPr>
        <w:t>, 2009). Las variedades sintéticas de maíz son una alternativa accesible porque los agricultores no requieren comprar semilla cada año y son ade- cuadas</w:t>
      </w:r>
      <w:r>
        <w:rPr>
          <w:color w:val="231F20"/>
          <w:spacing w:val="-5"/>
        </w:rPr>
        <w:t> </w:t>
      </w:r>
      <w:r>
        <w:rPr>
          <w:color w:val="231F20"/>
        </w:rPr>
        <w:t>para</w:t>
      </w:r>
      <w:r>
        <w:rPr>
          <w:color w:val="231F20"/>
          <w:spacing w:val="-5"/>
        </w:rPr>
        <w:t> </w:t>
      </w:r>
      <w:r>
        <w:rPr>
          <w:color w:val="231F20"/>
        </w:rPr>
        <w:t>la</w:t>
      </w:r>
      <w:r>
        <w:rPr>
          <w:color w:val="231F20"/>
          <w:spacing w:val="-5"/>
        </w:rPr>
        <w:t> </w:t>
      </w:r>
      <w:r>
        <w:rPr>
          <w:color w:val="231F20"/>
        </w:rPr>
        <w:t>agricultura</w:t>
      </w:r>
      <w:r>
        <w:rPr>
          <w:color w:val="231F20"/>
          <w:spacing w:val="-5"/>
        </w:rPr>
        <w:t> </w:t>
      </w:r>
      <w:r>
        <w:rPr>
          <w:color w:val="231F20"/>
        </w:rPr>
        <w:t>de</w:t>
      </w:r>
      <w:r>
        <w:rPr>
          <w:color w:val="231F20"/>
          <w:spacing w:val="-5"/>
        </w:rPr>
        <w:t> </w:t>
      </w:r>
      <w:r>
        <w:rPr>
          <w:color w:val="231F20"/>
        </w:rPr>
        <w:t>secano</w:t>
      </w:r>
      <w:r>
        <w:rPr>
          <w:color w:val="231F20"/>
          <w:spacing w:val="-5"/>
        </w:rPr>
        <w:t> </w:t>
      </w:r>
      <w:r>
        <w:rPr>
          <w:color w:val="231F20"/>
        </w:rPr>
        <w:t>(Márquez,</w:t>
      </w:r>
      <w:r>
        <w:rPr>
          <w:color w:val="231F20"/>
          <w:spacing w:val="-5"/>
        </w:rPr>
        <w:t> </w:t>
      </w:r>
      <w:r>
        <w:rPr>
          <w:color w:val="231F20"/>
        </w:rPr>
        <w:t>2008).</w:t>
      </w:r>
      <w:r>
        <w:rPr>
          <w:color w:val="231F20"/>
          <w:spacing w:val="-5"/>
        </w:rPr>
        <w:t> </w:t>
      </w:r>
      <w:r>
        <w:rPr>
          <w:color w:val="231F20"/>
        </w:rPr>
        <w:t>Es</w:t>
      </w:r>
      <w:r>
        <w:rPr>
          <w:color w:val="231F20"/>
          <w:spacing w:val="-5"/>
        </w:rPr>
        <w:t> </w:t>
      </w:r>
      <w:r>
        <w:rPr>
          <w:color w:val="231F20"/>
        </w:rPr>
        <w:t>necesario,</w:t>
      </w:r>
      <w:r>
        <w:rPr>
          <w:color w:val="231F20"/>
          <w:spacing w:val="-5"/>
        </w:rPr>
        <w:t> </w:t>
      </w:r>
      <w:r>
        <w:rPr>
          <w:color w:val="231F20"/>
        </w:rPr>
        <w:t>entonces,</w:t>
      </w:r>
      <w:r>
        <w:rPr>
          <w:color w:val="231F20"/>
          <w:spacing w:val="-5"/>
        </w:rPr>
        <w:t> </w:t>
      </w:r>
      <w:r>
        <w:rPr>
          <w:color w:val="231F20"/>
        </w:rPr>
        <w:t>disponer</w:t>
      </w:r>
      <w:r>
        <w:rPr>
          <w:color w:val="231F20"/>
          <w:spacing w:val="-5"/>
        </w:rPr>
        <w:t> </w:t>
      </w:r>
      <w:r>
        <w:rPr>
          <w:color w:val="231F20"/>
        </w:rPr>
        <w:t>de</w:t>
      </w:r>
      <w:r>
        <w:rPr>
          <w:color w:val="231F20"/>
          <w:spacing w:val="-5"/>
        </w:rPr>
        <w:t> </w:t>
      </w:r>
      <w:r>
        <w:rPr>
          <w:color w:val="231F20"/>
        </w:rPr>
        <w:t>genotipos con altos rendimientos y</w:t>
      </w:r>
      <w:r>
        <w:rPr>
          <w:color w:val="231F20"/>
          <w:spacing w:val="-2"/>
        </w:rPr>
        <w:t> </w:t>
      </w:r>
      <w:r>
        <w:rPr>
          <w:color w:val="231F20"/>
        </w:rPr>
        <w:t>estables.</w:t>
      </w:r>
    </w:p>
    <w:p>
      <w:pPr>
        <w:pStyle w:val="BodyText"/>
        <w:rPr>
          <w:sz w:val="20"/>
        </w:rPr>
      </w:pPr>
    </w:p>
    <w:p>
      <w:pPr>
        <w:pStyle w:val="BodyText"/>
        <w:spacing w:before="7"/>
        <w:rPr>
          <w:sz w:val="22"/>
        </w:rPr>
      </w:pPr>
    </w:p>
    <w:p>
      <w:pPr>
        <w:spacing w:line="247" w:lineRule="auto" w:before="0"/>
        <w:ind w:left="1590" w:right="1279" w:firstLine="0"/>
        <w:jc w:val="left"/>
        <w:rPr>
          <w:rFonts w:ascii="Trebuchet MS" w:hAnsi="Trebuchet MS"/>
          <w:sz w:val="16"/>
        </w:rPr>
      </w:pPr>
      <w:r>
        <w:rPr>
          <w:rFonts w:ascii="Trebuchet MS" w:hAnsi="Trebuchet MS"/>
          <w:color w:val="231F20"/>
          <w:position w:val="5"/>
          <w:sz w:val="9"/>
        </w:rPr>
        <w:t>1</w:t>
      </w:r>
      <w:r>
        <w:rPr>
          <w:rFonts w:ascii="Trebuchet MS" w:hAnsi="Trebuchet MS"/>
          <w:color w:val="231F20"/>
          <w:sz w:val="16"/>
        </w:rPr>
        <w:t>Postgrado en Recursos Genéticos y Productividad-Genética, Colegio de Postgraduados, Montecillo, </w:t>
      </w:r>
      <w:r>
        <w:rPr>
          <w:rFonts w:ascii="Trebuchet MS" w:hAnsi="Trebuchet MS"/>
          <w:color w:val="231F20"/>
          <w:spacing w:val="-4"/>
          <w:sz w:val="16"/>
        </w:rPr>
        <w:t>Texcoco, </w:t>
      </w:r>
      <w:r>
        <w:rPr>
          <w:rFonts w:ascii="Trebuchet MS" w:hAnsi="Trebuchet MS"/>
          <w:color w:val="231F20"/>
          <w:sz w:val="16"/>
        </w:rPr>
        <w:t>México.</w:t>
      </w:r>
      <w:r>
        <w:rPr>
          <w:rFonts w:ascii="Trebuchet MS" w:hAnsi="Trebuchet MS"/>
          <w:color w:val="231F20"/>
          <w:spacing w:val="-9"/>
          <w:sz w:val="16"/>
        </w:rPr>
        <w:t> </w:t>
      </w:r>
      <w:r>
        <w:rPr>
          <w:rFonts w:ascii="Trebuchet MS" w:hAnsi="Trebuchet MS"/>
          <w:color w:val="231F20"/>
          <w:position w:val="5"/>
          <w:sz w:val="9"/>
        </w:rPr>
        <w:t>2</w:t>
      </w:r>
      <w:r>
        <w:rPr>
          <w:rFonts w:ascii="Trebuchet MS" w:hAnsi="Trebuchet MS"/>
          <w:color w:val="231F20"/>
          <w:sz w:val="16"/>
        </w:rPr>
        <w:t>Campo</w:t>
      </w:r>
      <w:r>
        <w:rPr>
          <w:rFonts w:ascii="Trebuchet MS" w:hAnsi="Trebuchet MS"/>
          <w:color w:val="231F20"/>
          <w:spacing w:val="-10"/>
          <w:sz w:val="16"/>
        </w:rPr>
        <w:t> </w:t>
      </w:r>
      <w:r>
        <w:rPr>
          <w:rFonts w:ascii="Trebuchet MS" w:hAnsi="Trebuchet MS"/>
          <w:color w:val="231F20"/>
          <w:sz w:val="16"/>
        </w:rPr>
        <w:t>Experimental</w:t>
      </w:r>
      <w:r>
        <w:rPr>
          <w:rFonts w:ascii="Trebuchet MS" w:hAnsi="Trebuchet MS"/>
          <w:color w:val="231F20"/>
          <w:spacing w:val="-12"/>
          <w:sz w:val="16"/>
        </w:rPr>
        <w:t> </w:t>
      </w:r>
      <w:r>
        <w:rPr>
          <w:rFonts w:ascii="Trebuchet MS" w:hAnsi="Trebuchet MS"/>
          <w:color w:val="231F20"/>
          <w:sz w:val="16"/>
        </w:rPr>
        <w:t>Cotaxtla,</w:t>
      </w:r>
      <w:r>
        <w:rPr>
          <w:rFonts w:ascii="Trebuchet MS" w:hAnsi="Trebuchet MS"/>
          <w:color w:val="231F20"/>
          <w:spacing w:val="-10"/>
          <w:sz w:val="16"/>
        </w:rPr>
        <w:t> </w:t>
      </w:r>
      <w:r>
        <w:rPr>
          <w:rFonts w:ascii="Trebuchet MS" w:hAnsi="Trebuchet MS"/>
          <w:color w:val="231F20"/>
          <w:sz w:val="16"/>
        </w:rPr>
        <w:t>Instituto</w:t>
      </w:r>
      <w:r>
        <w:rPr>
          <w:rFonts w:ascii="Trebuchet MS" w:hAnsi="Trebuchet MS"/>
          <w:color w:val="231F20"/>
          <w:spacing w:val="-10"/>
          <w:sz w:val="16"/>
        </w:rPr>
        <w:t> </w:t>
      </w:r>
      <w:r>
        <w:rPr>
          <w:rFonts w:ascii="Trebuchet MS" w:hAnsi="Trebuchet MS"/>
          <w:color w:val="231F20"/>
          <w:sz w:val="16"/>
        </w:rPr>
        <w:t>Nacional</w:t>
      </w:r>
      <w:r>
        <w:rPr>
          <w:rFonts w:ascii="Trebuchet MS" w:hAnsi="Trebuchet MS"/>
          <w:color w:val="231F20"/>
          <w:spacing w:val="-10"/>
          <w:sz w:val="16"/>
        </w:rPr>
        <w:t> </w:t>
      </w:r>
      <w:r>
        <w:rPr>
          <w:rFonts w:ascii="Trebuchet MS" w:hAnsi="Trebuchet MS"/>
          <w:color w:val="231F20"/>
          <w:sz w:val="16"/>
        </w:rPr>
        <w:t>de</w:t>
      </w:r>
      <w:r>
        <w:rPr>
          <w:rFonts w:ascii="Trebuchet MS" w:hAnsi="Trebuchet MS"/>
          <w:color w:val="231F20"/>
          <w:spacing w:val="-10"/>
          <w:sz w:val="16"/>
        </w:rPr>
        <w:t> </w:t>
      </w:r>
      <w:r>
        <w:rPr>
          <w:rFonts w:ascii="Trebuchet MS" w:hAnsi="Trebuchet MS"/>
          <w:color w:val="231F20"/>
          <w:sz w:val="16"/>
        </w:rPr>
        <w:t>Investigaciones</w:t>
      </w:r>
      <w:r>
        <w:rPr>
          <w:rFonts w:ascii="Trebuchet MS" w:hAnsi="Trebuchet MS"/>
          <w:color w:val="231F20"/>
          <w:spacing w:val="-9"/>
          <w:sz w:val="16"/>
        </w:rPr>
        <w:t> </w:t>
      </w:r>
      <w:r>
        <w:rPr>
          <w:rFonts w:ascii="Trebuchet MS" w:hAnsi="Trebuchet MS"/>
          <w:color w:val="231F20"/>
          <w:sz w:val="16"/>
        </w:rPr>
        <w:t>Forestales,</w:t>
      </w:r>
      <w:r>
        <w:rPr>
          <w:rFonts w:ascii="Trebuchet MS" w:hAnsi="Trebuchet MS"/>
          <w:color w:val="231F20"/>
          <w:spacing w:val="-18"/>
          <w:sz w:val="16"/>
        </w:rPr>
        <w:t> </w:t>
      </w:r>
      <w:r>
        <w:rPr>
          <w:rFonts w:ascii="Trebuchet MS" w:hAnsi="Trebuchet MS"/>
          <w:color w:val="231F20"/>
          <w:sz w:val="16"/>
        </w:rPr>
        <w:t>Agrícolas</w:t>
      </w:r>
      <w:r>
        <w:rPr>
          <w:rFonts w:ascii="Trebuchet MS" w:hAnsi="Trebuchet MS"/>
          <w:color w:val="231F20"/>
          <w:spacing w:val="-10"/>
          <w:sz w:val="16"/>
        </w:rPr>
        <w:t> </w:t>
      </w:r>
      <w:r>
        <w:rPr>
          <w:rFonts w:ascii="Trebuchet MS" w:hAnsi="Trebuchet MS"/>
          <w:color w:val="231F20"/>
          <w:sz w:val="16"/>
        </w:rPr>
        <w:t>y</w:t>
      </w:r>
      <w:r>
        <w:rPr>
          <w:rFonts w:ascii="Trebuchet MS" w:hAnsi="Trebuchet MS"/>
          <w:color w:val="231F20"/>
          <w:spacing w:val="-10"/>
          <w:sz w:val="16"/>
        </w:rPr>
        <w:t> </w:t>
      </w:r>
      <w:r>
        <w:rPr>
          <w:rFonts w:ascii="Trebuchet MS" w:hAnsi="Trebuchet MS"/>
          <w:color w:val="231F20"/>
          <w:sz w:val="16"/>
        </w:rPr>
        <w:t>Pecuarias. Medellín</w:t>
      </w:r>
      <w:r>
        <w:rPr>
          <w:rFonts w:ascii="Trebuchet MS" w:hAnsi="Trebuchet MS"/>
          <w:color w:val="231F20"/>
          <w:spacing w:val="-7"/>
          <w:sz w:val="16"/>
        </w:rPr>
        <w:t> </w:t>
      </w:r>
      <w:r>
        <w:rPr>
          <w:rFonts w:ascii="Trebuchet MS" w:hAnsi="Trebuchet MS"/>
          <w:color w:val="231F20"/>
          <w:sz w:val="16"/>
        </w:rPr>
        <w:t>de</w:t>
      </w:r>
      <w:r>
        <w:rPr>
          <w:rFonts w:ascii="Trebuchet MS" w:hAnsi="Trebuchet MS"/>
          <w:color w:val="231F20"/>
          <w:spacing w:val="-8"/>
          <w:sz w:val="16"/>
        </w:rPr>
        <w:t> </w:t>
      </w:r>
      <w:r>
        <w:rPr>
          <w:rFonts w:ascii="Trebuchet MS" w:hAnsi="Trebuchet MS"/>
          <w:color w:val="231F20"/>
          <w:sz w:val="16"/>
        </w:rPr>
        <w:t>Bravo,</w:t>
      </w:r>
      <w:r>
        <w:rPr>
          <w:rFonts w:ascii="Trebuchet MS" w:hAnsi="Trebuchet MS"/>
          <w:color w:val="231F20"/>
          <w:spacing w:val="-8"/>
          <w:sz w:val="16"/>
        </w:rPr>
        <w:t> </w:t>
      </w:r>
      <w:r>
        <w:rPr>
          <w:rFonts w:ascii="Trebuchet MS" w:hAnsi="Trebuchet MS"/>
          <w:color w:val="231F20"/>
          <w:spacing w:val="-9"/>
          <w:sz w:val="16"/>
        </w:rPr>
        <w:t>Ver.</w:t>
      </w:r>
      <w:r>
        <w:rPr>
          <w:rFonts w:ascii="Trebuchet MS" w:hAnsi="Trebuchet MS"/>
          <w:color w:val="231F20"/>
          <w:spacing w:val="-8"/>
          <w:sz w:val="16"/>
        </w:rPr>
        <w:t> </w:t>
      </w:r>
      <w:r>
        <w:rPr>
          <w:rFonts w:ascii="Trebuchet MS" w:hAnsi="Trebuchet MS"/>
          <w:color w:val="231F20"/>
          <w:position w:val="5"/>
          <w:sz w:val="9"/>
        </w:rPr>
        <w:t>3</w:t>
      </w:r>
      <w:r>
        <w:rPr>
          <w:rFonts w:ascii="Trebuchet MS" w:hAnsi="Trebuchet MS"/>
          <w:color w:val="231F20"/>
          <w:sz w:val="16"/>
        </w:rPr>
        <w:t>Campo</w:t>
      </w:r>
      <w:r>
        <w:rPr>
          <w:rFonts w:ascii="Trebuchet MS" w:hAnsi="Trebuchet MS"/>
          <w:color w:val="231F20"/>
          <w:spacing w:val="-8"/>
          <w:sz w:val="16"/>
        </w:rPr>
        <w:t> </w:t>
      </w:r>
      <w:r>
        <w:rPr>
          <w:rFonts w:ascii="Trebuchet MS" w:hAnsi="Trebuchet MS"/>
          <w:color w:val="231F20"/>
          <w:sz w:val="16"/>
        </w:rPr>
        <w:t>Experimental</w:t>
      </w:r>
      <w:r>
        <w:rPr>
          <w:rFonts w:ascii="Trebuchet MS" w:hAnsi="Trebuchet MS"/>
          <w:color w:val="231F20"/>
          <w:spacing w:val="-9"/>
          <w:sz w:val="16"/>
        </w:rPr>
        <w:t> </w:t>
      </w:r>
      <w:r>
        <w:rPr>
          <w:rFonts w:ascii="Trebuchet MS" w:hAnsi="Trebuchet MS"/>
          <w:color w:val="231F20"/>
          <w:spacing w:val="-4"/>
          <w:sz w:val="16"/>
        </w:rPr>
        <w:t>Valle</w:t>
      </w:r>
      <w:r>
        <w:rPr>
          <w:rFonts w:ascii="Trebuchet MS" w:hAnsi="Trebuchet MS"/>
          <w:color w:val="231F20"/>
          <w:spacing w:val="-8"/>
          <w:sz w:val="16"/>
        </w:rPr>
        <w:t> </w:t>
      </w:r>
      <w:r>
        <w:rPr>
          <w:rFonts w:ascii="Trebuchet MS" w:hAnsi="Trebuchet MS"/>
          <w:color w:val="231F20"/>
          <w:sz w:val="16"/>
        </w:rPr>
        <w:t>de</w:t>
      </w:r>
      <w:r>
        <w:rPr>
          <w:rFonts w:ascii="Trebuchet MS" w:hAnsi="Trebuchet MS"/>
          <w:color w:val="231F20"/>
          <w:spacing w:val="-8"/>
          <w:sz w:val="16"/>
        </w:rPr>
        <w:t> </w:t>
      </w:r>
      <w:r>
        <w:rPr>
          <w:rFonts w:ascii="Trebuchet MS" w:hAnsi="Trebuchet MS"/>
          <w:color w:val="231F20"/>
          <w:sz w:val="16"/>
        </w:rPr>
        <w:t>México,</w:t>
      </w:r>
      <w:r>
        <w:rPr>
          <w:rFonts w:ascii="Trebuchet MS" w:hAnsi="Trebuchet MS"/>
          <w:color w:val="231F20"/>
          <w:spacing w:val="-7"/>
          <w:sz w:val="16"/>
        </w:rPr>
        <w:t> </w:t>
      </w:r>
      <w:r>
        <w:rPr>
          <w:rFonts w:ascii="Trebuchet MS" w:hAnsi="Trebuchet MS"/>
          <w:color w:val="231F20"/>
          <w:sz w:val="16"/>
        </w:rPr>
        <w:t>Instituto</w:t>
      </w:r>
      <w:r>
        <w:rPr>
          <w:rFonts w:ascii="Trebuchet MS" w:hAnsi="Trebuchet MS"/>
          <w:color w:val="231F20"/>
          <w:spacing w:val="-8"/>
          <w:sz w:val="16"/>
        </w:rPr>
        <w:t> </w:t>
      </w:r>
      <w:r>
        <w:rPr>
          <w:rFonts w:ascii="Trebuchet MS" w:hAnsi="Trebuchet MS"/>
          <w:color w:val="231F20"/>
          <w:sz w:val="16"/>
        </w:rPr>
        <w:t>Nacional</w:t>
      </w:r>
      <w:r>
        <w:rPr>
          <w:rFonts w:ascii="Trebuchet MS" w:hAnsi="Trebuchet MS"/>
          <w:color w:val="231F20"/>
          <w:spacing w:val="-8"/>
          <w:sz w:val="16"/>
        </w:rPr>
        <w:t> </w:t>
      </w:r>
      <w:r>
        <w:rPr>
          <w:rFonts w:ascii="Trebuchet MS" w:hAnsi="Trebuchet MS"/>
          <w:color w:val="231F20"/>
          <w:sz w:val="16"/>
        </w:rPr>
        <w:t>de</w:t>
      </w:r>
      <w:r>
        <w:rPr>
          <w:rFonts w:ascii="Trebuchet MS" w:hAnsi="Trebuchet MS"/>
          <w:color w:val="231F20"/>
          <w:spacing w:val="-8"/>
          <w:sz w:val="16"/>
        </w:rPr>
        <w:t> </w:t>
      </w:r>
      <w:r>
        <w:rPr>
          <w:rFonts w:ascii="Trebuchet MS" w:hAnsi="Trebuchet MS"/>
          <w:color w:val="231F20"/>
          <w:sz w:val="16"/>
        </w:rPr>
        <w:t>Investigaciones</w:t>
      </w:r>
      <w:r>
        <w:rPr>
          <w:rFonts w:ascii="Trebuchet MS" w:hAnsi="Trebuchet MS"/>
          <w:color w:val="231F20"/>
          <w:spacing w:val="-7"/>
          <w:sz w:val="16"/>
        </w:rPr>
        <w:t> </w:t>
      </w:r>
      <w:r>
        <w:rPr>
          <w:rFonts w:ascii="Trebuchet MS" w:hAnsi="Trebuchet MS"/>
          <w:color w:val="231F20"/>
          <w:sz w:val="16"/>
        </w:rPr>
        <w:t>Forestales, Agrícolas</w:t>
      </w:r>
      <w:r>
        <w:rPr>
          <w:rFonts w:ascii="Trebuchet MS" w:hAnsi="Trebuchet MS"/>
          <w:color w:val="231F20"/>
          <w:spacing w:val="-10"/>
          <w:sz w:val="16"/>
        </w:rPr>
        <w:t> </w:t>
      </w:r>
      <w:r>
        <w:rPr>
          <w:rFonts w:ascii="Trebuchet MS" w:hAnsi="Trebuchet MS"/>
          <w:color w:val="231F20"/>
          <w:sz w:val="16"/>
        </w:rPr>
        <w:t>y</w:t>
      </w:r>
      <w:r>
        <w:rPr>
          <w:rFonts w:ascii="Trebuchet MS" w:hAnsi="Trebuchet MS"/>
          <w:color w:val="231F20"/>
          <w:spacing w:val="-10"/>
          <w:sz w:val="16"/>
        </w:rPr>
        <w:t> </w:t>
      </w:r>
      <w:r>
        <w:rPr>
          <w:rFonts w:ascii="Trebuchet MS" w:hAnsi="Trebuchet MS"/>
          <w:color w:val="231F20"/>
          <w:sz w:val="16"/>
        </w:rPr>
        <w:t>Pecuarias.</w:t>
      </w:r>
      <w:r>
        <w:rPr>
          <w:rFonts w:ascii="Trebuchet MS" w:hAnsi="Trebuchet MS"/>
          <w:color w:val="231F20"/>
          <w:spacing w:val="-9"/>
          <w:sz w:val="16"/>
        </w:rPr>
        <w:t> </w:t>
      </w:r>
      <w:r>
        <w:rPr>
          <w:rFonts w:ascii="Trebuchet MS" w:hAnsi="Trebuchet MS"/>
          <w:color w:val="231F20"/>
          <w:position w:val="5"/>
          <w:sz w:val="9"/>
        </w:rPr>
        <w:t>4</w:t>
      </w:r>
      <w:r>
        <w:rPr>
          <w:rFonts w:ascii="Trebuchet MS" w:hAnsi="Trebuchet MS"/>
          <w:color w:val="231F20"/>
          <w:sz w:val="16"/>
        </w:rPr>
        <w:t>Campo</w:t>
      </w:r>
      <w:r>
        <w:rPr>
          <w:rFonts w:ascii="Trebuchet MS" w:hAnsi="Trebuchet MS"/>
          <w:color w:val="231F20"/>
          <w:spacing w:val="-10"/>
          <w:sz w:val="16"/>
        </w:rPr>
        <w:t> </w:t>
      </w:r>
      <w:r>
        <w:rPr>
          <w:rFonts w:ascii="Trebuchet MS" w:hAnsi="Trebuchet MS"/>
          <w:color w:val="231F20"/>
          <w:sz w:val="16"/>
        </w:rPr>
        <w:t>Experimental</w:t>
      </w:r>
      <w:r>
        <w:rPr>
          <w:rFonts w:ascii="Trebuchet MS" w:hAnsi="Trebuchet MS"/>
          <w:color w:val="231F20"/>
          <w:spacing w:val="-12"/>
          <w:sz w:val="16"/>
        </w:rPr>
        <w:t> </w:t>
      </w:r>
      <w:r>
        <w:rPr>
          <w:rFonts w:ascii="Trebuchet MS" w:hAnsi="Trebuchet MS"/>
          <w:color w:val="231F20"/>
          <w:sz w:val="16"/>
        </w:rPr>
        <w:t>Iguala,</w:t>
      </w:r>
      <w:r>
        <w:rPr>
          <w:rFonts w:ascii="Trebuchet MS" w:hAnsi="Trebuchet MS"/>
          <w:color w:val="231F20"/>
          <w:spacing w:val="-10"/>
          <w:sz w:val="16"/>
        </w:rPr>
        <w:t> </w:t>
      </w:r>
      <w:r>
        <w:rPr>
          <w:rFonts w:ascii="Trebuchet MS" w:hAnsi="Trebuchet MS"/>
          <w:color w:val="231F20"/>
          <w:sz w:val="16"/>
        </w:rPr>
        <w:t>Instituto</w:t>
      </w:r>
      <w:r>
        <w:rPr>
          <w:rFonts w:ascii="Trebuchet MS" w:hAnsi="Trebuchet MS"/>
          <w:color w:val="231F20"/>
          <w:spacing w:val="-10"/>
          <w:sz w:val="16"/>
        </w:rPr>
        <w:t> </w:t>
      </w:r>
      <w:r>
        <w:rPr>
          <w:rFonts w:ascii="Trebuchet MS" w:hAnsi="Trebuchet MS"/>
          <w:color w:val="231F20"/>
          <w:sz w:val="16"/>
        </w:rPr>
        <w:t>Nacional</w:t>
      </w:r>
      <w:r>
        <w:rPr>
          <w:rFonts w:ascii="Trebuchet MS" w:hAnsi="Trebuchet MS"/>
          <w:color w:val="231F20"/>
          <w:spacing w:val="-10"/>
          <w:sz w:val="16"/>
        </w:rPr>
        <w:t> </w:t>
      </w:r>
      <w:r>
        <w:rPr>
          <w:rFonts w:ascii="Trebuchet MS" w:hAnsi="Trebuchet MS"/>
          <w:color w:val="231F20"/>
          <w:sz w:val="16"/>
        </w:rPr>
        <w:t>de</w:t>
      </w:r>
      <w:r>
        <w:rPr>
          <w:rFonts w:ascii="Trebuchet MS" w:hAnsi="Trebuchet MS"/>
          <w:color w:val="231F20"/>
          <w:spacing w:val="-10"/>
          <w:sz w:val="16"/>
        </w:rPr>
        <w:t> </w:t>
      </w:r>
      <w:r>
        <w:rPr>
          <w:rFonts w:ascii="Trebuchet MS" w:hAnsi="Trebuchet MS"/>
          <w:color w:val="231F20"/>
          <w:sz w:val="16"/>
        </w:rPr>
        <w:t>Investigaciones</w:t>
      </w:r>
      <w:r>
        <w:rPr>
          <w:rFonts w:ascii="Trebuchet MS" w:hAnsi="Trebuchet MS"/>
          <w:color w:val="231F20"/>
          <w:spacing w:val="-9"/>
          <w:sz w:val="16"/>
        </w:rPr>
        <w:t> </w:t>
      </w:r>
      <w:r>
        <w:rPr>
          <w:rFonts w:ascii="Trebuchet MS" w:hAnsi="Trebuchet MS"/>
          <w:color w:val="231F20"/>
          <w:sz w:val="16"/>
        </w:rPr>
        <w:t>Forestales,</w:t>
      </w:r>
      <w:r>
        <w:rPr>
          <w:rFonts w:ascii="Trebuchet MS" w:hAnsi="Trebuchet MS"/>
          <w:color w:val="231F20"/>
          <w:spacing w:val="-18"/>
          <w:sz w:val="16"/>
        </w:rPr>
        <w:t> </w:t>
      </w:r>
      <w:r>
        <w:rPr>
          <w:rFonts w:ascii="Trebuchet MS" w:hAnsi="Trebuchet MS"/>
          <w:color w:val="231F20"/>
          <w:sz w:val="16"/>
        </w:rPr>
        <w:t>Agrícolas</w:t>
      </w:r>
      <w:r>
        <w:rPr>
          <w:rFonts w:ascii="Trebuchet MS" w:hAnsi="Trebuchet MS"/>
          <w:color w:val="231F20"/>
          <w:spacing w:val="-10"/>
          <w:sz w:val="16"/>
        </w:rPr>
        <w:t> </w:t>
      </w:r>
      <w:r>
        <w:rPr>
          <w:rFonts w:ascii="Trebuchet MS" w:hAnsi="Trebuchet MS"/>
          <w:color w:val="231F20"/>
          <w:sz w:val="16"/>
        </w:rPr>
        <w:t>y Pecuarias.</w:t>
      </w:r>
      <w:r>
        <w:rPr>
          <w:rFonts w:ascii="Trebuchet MS" w:hAnsi="Trebuchet MS"/>
          <w:color w:val="231F20"/>
          <w:spacing w:val="-12"/>
          <w:sz w:val="16"/>
        </w:rPr>
        <w:t> </w:t>
      </w:r>
      <w:r>
        <w:rPr>
          <w:rFonts w:ascii="Trebuchet MS" w:hAnsi="Trebuchet MS"/>
          <w:color w:val="231F20"/>
          <w:sz w:val="16"/>
        </w:rPr>
        <w:t>Iguala,</w:t>
      </w:r>
      <w:r>
        <w:rPr>
          <w:rFonts w:ascii="Trebuchet MS" w:hAnsi="Trebuchet MS"/>
          <w:color w:val="231F20"/>
          <w:spacing w:val="-13"/>
          <w:sz w:val="16"/>
        </w:rPr>
        <w:t> </w:t>
      </w:r>
      <w:r>
        <w:rPr>
          <w:rFonts w:ascii="Trebuchet MS" w:hAnsi="Trebuchet MS"/>
          <w:color w:val="231F20"/>
          <w:sz w:val="16"/>
        </w:rPr>
        <w:t>Guerrero</w:t>
      </w:r>
      <w:r>
        <w:rPr>
          <w:rFonts w:ascii="Trebuchet MS" w:hAnsi="Trebuchet MS"/>
          <w:color w:val="231F20"/>
          <w:spacing w:val="-12"/>
          <w:sz w:val="16"/>
        </w:rPr>
        <w:t> </w:t>
      </w:r>
      <w:r>
        <w:rPr>
          <w:rFonts w:ascii="Trebuchet MS" w:hAnsi="Trebuchet MS"/>
          <w:color w:val="231F20"/>
          <w:position w:val="5"/>
          <w:sz w:val="9"/>
        </w:rPr>
        <w:t>5</w:t>
      </w:r>
      <w:r>
        <w:rPr>
          <w:rFonts w:ascii="Trebuchet MS" w:hAnsi="Trebuchet MS"/>
          <w:color w:val="231F20"/>
          <w:sz w:val="16"/>
        </w:rPr>
        <w:t>Universidad</w:t>
      </w:r>
      <w:r>
        <w:rPr>
          <w:rFonts w:ascii="Trebuchet MS" w:hAnsi="Trebuchet MS"/>
          <w:color w:val="231F20"/>
          <w:spacing w:val="-19"/>
          <w:sz w:val="16"/>
        </w:rPr>
        <w:t> </w:t>
      </w:r>
      <w:r>
        <w:rPr>
          <w:rFonts w:ascii="Trebuchet MS" w:hAnsi="Trebuchet MS"/>
          <w:color w:val="231F20"/>
          <w:sz w:val="16"/>
        </w:rPr>
        <w:t>Autónoma</w:t>
      </w:r>
      <w:r>
        <w:rPr>
          <w:rFonts w:ascii="Trebuchet MS" w:hAnsi="Trebuchet MS"/>
          <w:color w:val="231F20"/>
          <w:spacing w:val="24"/>
          <w:sz w:val="16"/>
        </w:rPr>
        <w:t> </w:t>
      </w:r>
      <w:r>
        <w:rPr>
          <w:rFonts w:ascii="Trebuchet MS" w:hAnsi="Trebuchet MS"/>
          <w:color w:val="231F20"/>
          <w:sz w:val="16"/>
        </w:rPr>
        <w:t>de</w:t>
      </w:r>
      <w:r>
        <w:rPr>
          <w:rFonts w:ascii="Trebuchet MS" w:hAnsi="Trebuchet MS"/>
          <w:color w:val="231F20"/>
          <w:spacing w:val="-13"/>
          <w:sz w:val="16"/>
        </w:rPr>
        <w:t> </w:t>
      </w:r>
      <w:r>
        <w:rPr>
          <w:rFonts w:ascii="Trebuchet MS" w:hAnsi="Trebuchet MS"/>
          <w:color w:val="231F20"/>
          <w:sz w:val="16"/>
        </w:rPr>
        <w:t>Nayarit.</w:t>
      </w:r>
      <w:r>
        <w:rPr>
          <w:rFonts w:ascii="Trebuchet MS" w:hAnsi="Trebuchet MS"/>
          <w:color w:val="231F20"/>
          <w:spacing w:val="-13"/>
          <w:sz w:val="16"/>
        </w:rPr>
        <w:t> </w:t>
      </w:r>
      <w:r>
        <w:rPr>
          <w:rFonts w:ascii="Trebuchet MS" w:hAnsi="Trebuchet MS"/>
          <w:color w:val="231F20"/>
          <w:sz w:val="16"/>
        </w:rPr>
        <w:t>(sierra.mauro@inifap.gob.mx)</w:t>
      </w:r>
    </w:p>
    <w:p>
      <w:pPr>
        <w:spacing w:after="0" w:line="247" w:lineRule="auto"/>
        <w:jc w:val="left"/>
        <w:rPr>
          <w:rFonts w:ascii="Trebuchet MS" w:hAnsi="Trebuchet MS"/>
          <w:sz w:val="16"/>
        </w:rPr>
        <w:sectPr>
          <w:pgSz w:w="10920" w:h="13080"/>
          <w:pgMar w:header="0" w:footer="1025" w:top="420" w:bottom="1220" w:left="0" w:right="0"/>
        </w:sectPr>
      </w:pPr>
    </w:p>
    <w:p>
      <w:pPr>
        <w:pStyle w:val="BodyText"/>
        <w:rPr>
          <w:rFonts w:ascii="Trebuchet MS"/>
          <w:sz w:val="20"/>
        </w:rPr>
      </w:pPr>
    </w:p>
    <w:p>
      <w:pPr>
        <w:pStyle w:val="BodyText"/>
        <w:rPr>
          <w:rFonts w:ascii="Trebuchet MS"/>
          <w:sz w:val="20"/>
        </w:rPr>
      </w:pPr>
    </w:p>
    <w:p>
      <w:pPr>
        <w:pStyle w:val="BodyText"/>
        <w:spacing w:before="4"/>
        <w:rPr>
          <w:rFonts w:ascii="Trebuchet MS"/>
          <w:sz w:val="22"/>
        </w:rPr>
      </w:pPr>
    </w:p>
    <w:p>
      <w:pPr>
        <w:pStyle w:val="BodyText"/>
        <w:spacing w:before="73"/>
        <w:ind w:left="1270"/>
        <w:jc w:val="both"/>
      </w:pPr>
      <w:r>
        <w:rPr>
          <w:color w:val="231F20"/>
        </w:rPr>
        <w:t>La interacción genotipo–ambiente (gxa) tiene un papel importante en el proceso de selección durante</w:t>
      </w:r>
    </w:p>
    <w:p>
      <w:pPr>
        <w:pStyle w:val="BodyText"/>
        <w:spacing w:before="8"/>
        <w:ind w:left="1270"/>
        <w:jc w:val="both"/>
      </w:pPr>
      <w:r>
        <w:rPr>
          <w:color w:val="231F20"/>
        </w:rPr>
        <w:t>las etapas del mejoramiento genético (Crossa </w:t>
      </w:r>
      <w:r>
        <w:rPr>
          <w:i/>
          <w:color w:val="231F20"/>
        </w:rPr>
        <w:t>et al.</w:t>
      </w:r>
      <w:r>
        <w:rPr>
          <w:color w:val="231F20"/>
        </w:rPr>
        <w:t>, 1990).</w:t>
      </w:r>
    </w:p>
    <w:p>
      <w:pPr>
        <w:pStyle w:val="BodyText"/>
        <w:spacing w:before="5"/>
        <w:rPr>
          <w:sz w:val="22"/>
        </w:rPr>
      </w:pPr>
    </w:p>
    <w:p>
      <w:pPr>
        <w:pStyle w:val="BodyText"/>
        <w:spacing w:line="247" w:lineRule="auto"/>
        <w:ind w:left="1270" w:right="1268" w:firstLine="64"/>
        <w:jc w:val="both"/>
      </w:pPr>
      <w:r>
        <w:rPr>
          <w:color w:val="231F20"/>
        </w:rPr>
        <w:t>La estabilidad permite al genotipo ajustar su capacidad productiva a la más amplia variación am- biental</w:t>
      </w:r>
      <w:r>
        <w:rPr>
          <w:color w:val="231F20"/>
          <w:spacing w:val="-10"/>
        </w:rPr>
        <w:t> </w:t>
      </w:r>
      <w:r>
        <w:rPr>
          <w:color w:val="231F20"/>
        </w:rPr>
        <w:t>(Lin</w:t>
      </w:r>
      <w:r>
        <w:rPr>
          <w:color w:val="231F20"/>
          <w:spacing w:val="-10"/>
        </w:rPr>
        <w:t> </w:t>
      </w:r>
      <w:r>
        <w:rPr>
          <w:i/>
          <w:color w:val="231F20"/>
        </w:rPr>
        <w:t>et</w:t>
      </w:r>
      <w:r>
        <w:rPr>
          <w:i/>
          <w:color w:val="231F20"/>
          <w:spacing w:val="-10"/>
        </w:rPr>
        <w:t> </w:t>
      </w:r>
      <w:r>
        <w:rPr>
          <w:i/>
          <w:color w:val="231F20"/>
        </w:rPr>
        <w:t>al.</w:t>
      </w:r>
      <w:r>
        <w:rPr>
          <w:color w:val="231F20"/>
        </w:rPr>
        <w:t>,</w:t>
      </w:r>
      <w:r>
        <w:rPr>
          <w:color w:val="231F20"/>
          <w:spacing w:val="-10"/>
        </w:rPr>
        <w:t> </w:t>
      </w:r>
      <w:r>
        <w:rPr>
          <w:color w:val="231F20"/>
        </w:rPr>
        <w:t>1986).</w:t>
      </w:r>
      <w:r>
        <w:rPr>
          <w:color w:val="231F20"/>
          <w:spacing w:val="-10"/>
        </w:rPr>
        <w:t> </w:t>
      </w:r>
      <w:r>
        <w:rPr>
          <w:color w:val="231F20"/>
        </w:rPr>
        <w:t>La</w:t>
      </w:r>
      <w:r>
        <w:rPr>
          <w:color w:val="231F20"/>
          <w:spacing w:val="-10"/>
        </w:rPr>
        <w:t> </w:t>
      </w:r>
      <w:r>
        <w:rPr>
          <w:color w:val="231F20"/>
        </w:rPr>
        <w:t>interacción</w:t>
      </w:r>
      <w:r>
        <w:rPr>
          <w:color w:val="231F20"/>
          <w:spacing w:val="-10"/>
        </w:rPr>
        <w:t> </w:t>
      </w:r>
      <w:r>
        <w:rPr>
          <w:color w:val="231F20"/>
        </w:rPr>
        <w:t>gxa</w:t>
      </w:r>
      <w:r>
        <w:rPr>
          <w:color w:val="231F20"/>
          <w:spacing w:val="-10"/>
        </w:rPr>
        <w:t> </w:t>
      </w:r>
      <w:r>
        <w:rPr>
          <w:color w:val="231F20"/>
        </w:rPr>
        <w:t>es</w:t>
      </w:r>
      <w:r>
        <w:rPr>
          <w:color w:val="231F20"/>
          <w:spacing w:val="-9"/>
        </w:rPr>
        <w:t> </w:t>
      </w:r>
      <w:r>
        <w:rPr>
          <w:color w:val="231F20"/>
        </w:rPr>
        <w:t>una</w:t>
      </w:r>
      <w:r>
        <w:rPr>
          <w:color w:val="231F20"/>
          <w:spacing w:val="-10"/>
        </w:rPr>
        <w:t> </w:t>
      </w:r>
      <w:r>
        <w:rPr>
          <w:color w:val="231F20"/>
        </w:rPr>
        <w:t>fuente</w:t>
      </w:r>
      <w:r>
        <w:rPr>
          <w:color w:val="231F20"/>
          <w:spacing w:val="-10"/>
        </w:rPr>
        <w:t> </w:t>
      </w:r>
      <w:r>
        <w:rPr>
          <w:color w:val="231F20"/>
        </w:rPr>
        <w:t>de</w:t>
      </w:r>
      <w:r>
        <w:rPr>
          <w:color w:val="231F20"/>
          <w:spacing w:val="-10"/>
        </w:rPr>
        <w:t> </w:t>
      </w:r>
      <w:r>
        <w:rPr>
          <w:color w:val="231F20"/>
        </w:rPr>
        <w:t>variación</w:t>
      </w:r>
      <w:r>
        <w:rPr>
          <w:color w:val="231F20"/>
          <w:spacing w:val="-10"/>
        </w:rPr>
        <w:t> </w:t>
      </w:r>
      <w:r>
        <w:rPr>
          <w:color w:val="231F20"/>
        </w:rPr>
        <w:t>que</w:t>
      </w:r>
      <w:r>
        <w:rPr>
          <w:color w:val="231F20"/>
          <w:spacing w:val="-10"/>
        </w:rPr>
        <w:t> </w:t>
      </w:r>
      <w:r>
        <w:rPr>
          <w:color w:val="231F20"/>
        </w:rPr>
        <w:t>permite</w:t>
      </w:r>
      <w:r>
        <w:rPr>
          <w:color w:val="231F20"/>
          <w:spacing w:val="-10"/>
        </w:rPr>
        <w:t> </w:t>
      </w:r>
      <w:r>
        <w:rPr>
          <w:color w:val="231F20"/>
        </w:rPr>
        <w:t>identificar</w:t>
      </w:r>
      <w:r>
        <w:rPr>
          <w:color w:val="231F20"/>
          <w:spacing w:val="-10"/>
        </w:rPr>
        <w:t> </w:t>
      </w:r>
      <w:r>
        <w:rPr>
          <w:color w:val="231F20"/>
        </w:rPr>
        <w:t>pobla- ciones con menor interacción con el ambiente </w:t>
      </w:r>
      <w:r>
        <w:rPr>
          <w:color w:val="231F20"/>
          <w:spacing w:val="-7"/>
        </w:rPr>
        <w:t>y, </w:t>
      </w:r>
      <w:r>
        <w:rPr>
          <w:color w:val="231F20"/>
        </w:rPr>
        <w:t>por tanto, con mayor amplitud de adaptación; o, en todo</w:t>
      </w:r>
      <w:r>
        <w:rPr>
          <w:color w:val="231F20"/>
          <w:spacing w:val="-6"/>
        </w:rPr>
        <w:t> </w:t>
      </w:r>
      <w:r>
        <w:rPr>
          <w:color w:val="231F20"/>
        </w:rPr>
        <w:t>caso,</w:t>
      </w:r>
      <w:r>
        <w:rPr>
          <w:color w:val="231F20"/>
          <w:spacing w:val="-6"/>
        </w:rPr>
        <w:t> </w:t>
      </w:r>
      <w:r>
        <w:rPr>
          <w:color w:val="231F20"/>
        </w:rPr>
        <w:t>para</w:t>
      </w:r>
      <w:r>
        <w:rPr>
          <w:color w:val="231F20"/>
          <w:spacing w:val="-6"/>
        </w:rPr>
        <w:t> </w:t>
      </w:r>
      <w:r>
        <w:rPr>
          <w:color w:val="231F20"/>
        </w:rPr>
        <w:t>delimitar</w:t>
      </w:r>
      <w:r>
        <w:rPr>
          <w:color w:val="231F20"/>
          <w:spacing w:val="-7"/>
        </w:rPr>
        <w:t> </w:t>
      </w:r>
      <w:r>
        <w:rPr>
          <w:color w:val="231F20"/>
        </w:rPr>
        <w:t>áreas</w:t>
      </w:r>
      <w:r>
        <w:rPr>
          <w:color w:val="231F20"/>
          <w:spacing w:val="-6"/>
        </w:rPr>
        <w:t> </w:t>
      </w:r>
      <w:r>
        <w:rPr>
          <w:color w:val="231F20"/>
        </w:rPr>
        <w:t>geográficas</w:t>
      </w:r>
      <w:r>
        <w:rPr>
          <w:color w:val="231F20"/>
          <w:spacing w:val="-6"/>
        </w:rPr>
        <w:t> </w:t>
      </w:r>
      <w:r>
        <w:rPr>
          <w:color w:val="231F20"/>
        </w:rPr>
        <w:t>en</w:t>
      </w:r>
      <w:r>
        <w:rPr>
          <w:color w:val="231F20"/>
          <w:spacing w:val="-6"/>
        </w:rPr>
        <w:t> </w:t>
      </w:r>
      <w:r>
        <w:rPr>
          <w:color w:val="231F20"/>
        </w:rPr>
        <w:t>las</w:t>
      </w:r>
      <w:r>
        <w:rPr>
          <w:color w:val="231F20"/>
          <w:spacing w:val="-6"/>
        </w:rPr>
        <w:t> </w:t>
      </w:r>
      <w:r>
        <w:rPr>
          <w:color w:val="231F20"/>
        </w:rPr>
        <w:t>cuales</w:t>
      </w:r>
      <w:r>
        <w:rPr>
          <w:color w:val="231F20"/>
          <w:spacing w:val="-6"/>
        </w:rPr>
        <w:t> </w:t>
      </w:r>
      <w:r>
        <w:rPr>
          <w:color w:val="231F20"/>
        </w:rPr>
        <w:t>la</w:t>
      </w:r>
      <w:r>
        <w:rPr>
          <w:color w:val="231F20"/>
          <w:spacing w:val="-6"/>
        </w:rPr>
        <w:t> </w:t>
      </w:r>
      <w:r>
        <w:rPr>
          <w:color w:val="231F20"/>
        </w:rPr>
        <w:t>adaptabilidad</w:t>
      </w:r>
      <w:r>
        <w:rPr>
          <w:color w:val="231F20"/>
          <w:spacing w:val="-7"/>
        </w:rPr>
        <w:t> </w:t>
      </w:r>
      <w:r>
        <w:rPr>
          <w:color w:val="231F20"/>
        </w:rPr>
        <w:t>de</w:t>
      </w:r>
      <w:r>
        <w:rPr>
          <w:color w:val="231F20"/>
          <w:spacing w:val="-6"/>
        </w:rPr>
        <w:t> </w:t>
      </w:r>
      <w:r>
        <w:rPr>
          <w:color w:val="231F20"/>
        </w:rPr>
        <w:t>determinadas</w:t>
      </w:r>
      <w:r>
        <w:rPr>
          <w:color w:val="231F20"/>
          <w:spacing w:val="-7"/>
        </w:rPr>
        <w:t> </w:t>
      </w:r>
      <w:r>
        <w:rPr>
          <w:color w:val="231F20"/>
        </w:rPr>
        <w:t>variedades sea</w:t>
      </w:r>
      <w:r>
        <w:rPr>
          <w:color w:val="231F20"/>
          <w:spacing w:val="-7"/>
        </w:rPr>
        <w:t> </w:t>
      </w:r>
      <w:r>
        <w:rPr>
          <w:color w:val="231F20"/>
        </w:rPr>
        <w:t>mejor</w:t>
      </w:r>
      <w:r>
        <w:rPr>
          <w:color w:val="231F20"/>
          <w:spacing w:val="-7"/>
        </w:rPr>
        <w:t> </w:t>
      </w:r>
      <w:r>
        <w:rPr>
          <w:color w:val="231F20"/>
        </w:rPr>
        <w:t>(Carballo</w:t>
      </w:r>
      <w:r>
        <w:rPr>
          <w:color w:val="231F20"/>
          <w:spacing w:val="-7"/>
        </w:rPr>
        <w:t> </w:t>
      </w:r>
      <w:r>
        <w:rPr>
          <w:color w:val="231F20"/>
        </w:rPr>
        <w:t>y</w:t>
      </w:r>
      <w:r>
        <w:rPr>
          <w:color w:val="231F20"/>
          <w:spacing w:val="-7"/>
        </w:rPr>
        <w:t> </w:t>
      </w:r>
      <w:r>
        <w:rPr>
          <w:color w:val="231F20"/>
        </w:rPr>
        <w:t>Márquez,</w:t>
      </w:r>
      <w:r>
        <w:rPr>
          <w:color w:val="231F20"/>
          <w:spacing w:val="-7"/>
        </w:rPr>
        <w:t> </w:t>
      </w:r>
      <w:r>
        <w:rPr>
          <w:color w:val="231F20"/>
        </w:rPr>
        <w:t>1970).</w:t>
      </w:r>
      <w:r>
        <w:rPr>
          <w:color w:val="231F20"/>
          <w:spacing w:val="-7"/>
        </w:rPr>
        <w:t> </w:t>
      </w:r>
      <w:r>
        <w:rPr>
          <w:color w:val="231F20"/>
        </w:rPr>
        <w:t>Puesto</w:t>
      </w:r>
      <w:r>
        <w:rPr>
          <w:color w:val="231F20"/>
          <w:spacing w:val="-7"/>
        </w:rPr>
        <w:t> </w:t>
      </w:r>
      <w:r>
        <w:rPr>
          <w:color w:val="231F20"/>
        </w:rPr>
        <w:t>que</w:t>
      </w:r>
      <w:r>
        <w:rPr>
          <w:color w:val="231F20"/>
          <w:spacing w:val="-7"/>
        </w:rPr>
        <w:t> </w:t>
      </w:r>
      <w:r>
        <w:rPr>
          <w:color w:val="231F20"/>
        </w:rPr>
        <w:t>las</w:t>
      </w:r>
      <w:r>
        <w:rPr>
          <w:color w:val="231F20"/>
          <w:spacing w:val="-7"/>
        </w:rPr>
        <w:t> </w:t>
      </w:r>
      <w:r>
        <w:rPr>
          <w:color w:val="231F20"/>
        </w:rPr>
        <w:t>variedades</w:t>
      </w:r>
      <w:r>
        <w:rPr>
          <w:color w:val="231F20"/>
          <w:spacing w:val="-7"/>
        </w:rPr>
        <w:t> </w:t>
      </w:r>
      <w:r>
        <w:rPr>
          <w:color w:val="231F20"/>
        </w:rPr>
        <w:t>mejoradas</w:t>
      </w:r>
      <w:r>
        <w:rPr>
          <w:color w:val="231F20"/>
          <w:spacing w:val="-7"/>
        </w:rPr>
        <w:t> </w:t>
      </w:r>
      <w:r>
        <w:rPr>
          <w:color w:val="231F20"/>
        </w:rPr>
        <w:t>se</w:t>
      </w:r>
      <w:r>
        <w:rPr>
          <w:color w:val="231F20"/>
          <w:spacing w:val="-7"/>
        </w:rPr>
        <w:t> </w:t>
      </w:r>
      <w:r>
        <w:rPr>
          <w:color w:val="231F20"/>
        </w:rPr>
        <w:t>utilizarán</w:t>
      </w:r>
      <w:r>
        <w:rPr>
          <w:color w:val="231F20"/>
          <w:spacing w:val="-7"/>
        </w:rPr>
        <w:t> </w:t>
      </w:r>
      <w:r>
        <w:rPr>
          <w:color w:val="231F20"/>
        </w:rPr>
        <w:t>en</w:t>
      </w:r>
      <w:r>
        <w:rPr>
          <w:color w:val="231F20"/>
          <w:spacing w:val="-7"/>
        </w:rPr>
        <w:t> </w:t>
      </w:r>
      <w:r>
        <w:rPr>
          <w:color w:val="231F20"/>
        </w:rPr>
        <w:t>regiones agrícolas</w:t>
      </w:r>
      <w:r>
        <w:rPr>
          <w:color w:val="231F20"/>
          <w:spacing w:val="-9"/>
        </w:rPr>
        <w:t> </w:t>
      </w:r>
      <w:r>
        <w:rPr>
          <w:color w:val="231F20"/>
        </w:rPr>
        <w:t>amplias,</w:t>
      </w:r>
      <w:r>
        <w:rPr>
          <w:color w:val="231F20"/>
          <w:spacing w:val="-9"/>
        </w:rPr>
        <w:t> </w:t>
      </w:r>
      <w:r>
        <w:rPr>
          <w:color w:val="231F20"/>
        </w:rPr>
        <w:t>el</w:t>
      </w:r>
      <w:r>
        <w:rPr>
          <w:color w:val="231F20"/>
          <w:spacing w:val="-9"/>
        </w:rPr>
        <w:t> </w:t>
      </w:r>
      <w:r>
        <w:rPr>
          <w:color w:val="231F20"/>
        </w:rPr>
        <w:t>verdadero</w:t>
      </w:r>
      <w:r>
        <w:rPr>
          <w:color w:val="231F20"/>
          <w:spacing w:val="-9"/>
        </w:rPr>
        <w:t> </w:t>
      </w:r>
      <w:r>
        <w:rPr>
          <w:color w:val="231F20"/>
        </w:rPr>
        <w:t>valor</w:t>
      </w:r>
      <w:r>
        <w:rPr>
          <w:color w:val="231F20"/>
          <w:spacing w:val="-9"/>
        </w:rPr>
        <w:t> </w:t>
      </w:r>
      <w:r>
        <w:rPr>
          <w:color w:val="231F20"/>
        </w:rPr>
        <w:t>de</w:t>
      </w:r>
      <w:r>
        <w:rPr>
          <w:color w:val="231F20"/>
          <w:spacing w:val="-9"/>
        </w:rPr>
        <w:t> </w:t>
      </w:r>
      <w:r>
        <w:rPr>
          <w:color w:val="231F20"/>
        </w:rPr>
        <w:t>éstas</w:t>
      </w:r>
      <w:r>
        <w:rPr>
          <w:color w:val="231F20"/>
          <w:spacing w:val="-9"/>
        </w:rPr>
        <w:t> </w:t>
      </w:r>
      <w:r>
        <w:rPr>
          <w:color w:val="231F20"/>
        </w:rPr>
        <w:t>se</w:t>
      </w:r>
      <w:r>
        <w:rPr>
          <w:color w:val="231F20"/>
          <w:spacing w:val="-9"/>
        </w:rPr>
        <w:t> </w:t>
      </w:r>
      <w:r>
        <w:rPr>
          <w:color w:val="231F20"/>
        </w:rPr>
        <w:t>podrá</w:t>
      </w:r>
      <w:r>
        <w:rPr>
          <w:color w:val="231F20"/>
          <w:spacing w:val="-9"/>
        </w:rPr>
        <w:t> </w:t>
      </w:r>
      <w:r>
        <w:rPr>
          <w:color w:val="231F20"/>
        </w:rPr>
        <w:t>conocer</w:t>
      </w:r>
      <w:r>
        <w:rPr>
          <w:color w:val="231F20"/>
          <w:spacing w:val="-9"/>
        </w:rPr>
        <w:t> </w:t>
      </w:r>
      <w:r>
        <w:rPr>
          <w:color w:val="231F20"/>
        </w:rPr>
        <w:t>al</w:t>
      </w:r>
      <w:r>
        <w:rPr>
          <w:color w:val="231F20"/>
          <w:spacing w:val="-9"/>
        </w:rPr>
        <w:t> </w:t>
      </w:r>
      <w:r>
        <w:rPr>
          <w:color w:val="231F20"/>
        </w:rPr>
        <w:t>establecerlas</w:t>
      </w:r>
      <w:r>
        <w:rPr>
          <w:color w:val="231F20"/>
          <w:spacing w:val="-10"/>
        </w:rPr>
        <w:t> </w:t>
      </w:r>
      <w:r>
        <w:rPr>
          <w:color w:val="231F20"/>
        </w:rPr>
        <w:t>en</w:t>
      </w:r>
      <w:r>
        <w:rPr>
          <w:color w:val="231F20"/>
          <w:spacing w:val="-9"/>
        </w:rPr>
        <w:t> </w:t>
      </w:r>
      <w:r>
        <w:rPr>
          <w:color w:val="231F20"/>
        </w:rPr>
        <w:t>ambientes</w:t>
      </w:r>
      <w:r>
        <w:rPr>
          <w:color w:val="231F20"/>
          <w:spacing w:val="-9"/>
        </w:rPr>
        <w:t> </w:t>
      </w:r>
      <w:r>
        <w:rPr>
          <w:color w:val="231F20"/>
        </w:rPr>
        <w:t>diferen- tes (Sierra </w:t>
      </w:r>
      <w:r>
        <w:rPr>
          <w:i/>
          <w:color w:val="231F20"/>
        </w:rPr>
        <w:t>et al.</w:t>
      </w:r>
      <w:r>
        <w:rPr>
          <w:color w:val="231F20"/>
        </w:rPr>
        <w:t>, 1992; Espinosa </w:t>
      </w:r>
      <w:r>
        <w:rPr>
          <w:i/>
          <w:color w:val="231F20"/>
        </w:rPr>
        <w:t>et al.</w:t>
      </w:r>
      <w:r>
        <w:rPr>
          <w:color w:val="231F20"/>
        </w:rPr>
        <w:t>, 1998; Mejía y Molina, 2003; Sierra </w:t>
      </w:r>
      <w:r>
        <w:rPr>
          <w:i/>
          <w:color w:val="231F20"/>
        </w:rPr>
        <w:t>et al.</w:t>
      </w:r>
      <w:r>
        <w:rPr>
          <w:color w:val="231F20"/>
        </w:rPr>
        <w:t>,</w:t>
      </w:r>
      <w:r>
        <w:rPr>
          <w:color w:val="231F20"/>
          <w:spacing w:val="-3"/>
        </w:rPr>
        <w:t> </w:t>
      </w:r>
      <w:r>
        <w:rPr>
          <w:color w:val="231F20"/>
        </w:rPr>
        <w:t>2003).</w:t>
      </w:r>
    </w:p>
    <w:p>
      <w:pPr>
        <w:pStyle w:val="BodyText"/>
        <w:spacing w:before="10"/>
      </w:pPr>
    </w:p>
    <w:p>
      <w:pPr>
        <w:pStyle w:val="BodyText"/>
        <w:spacing w:line="247" w:lineRule="auto"/>
        <w:ind w:left="1270" w:right="1267"/>
        <w:jc w:val="both"/>
      </w:pPr>
      <w:r>
        <w:rPr>
          <w:color w:val="231F20"/>
        </w:rPr>
        <w:t>Al respecto, se han desarrollado procedimientos estadísticos multivariados para estimar la estabili- dad</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interacción</w:t>
      </w:r>
      <w:r>
        <w:rPr>
          <w:color w:val="231F20"/>
          <w:spacing w:val="-6"/>
        </w:rPr>
        <w:t> </w:t>
      </w:r>
      <w:r>
        <w:rPr>
          <w:color w:val="231F20"/>
        </w:rPr>
        <w:t>gxa</w:t>
      </w:r>
      <w:r>
        <w:rPr>
          <w:color w:val="231F20"/>
          <w:spacing w:val="-6"/>
        </w:rPr>
        <w:t> </w:t>
      </w:r>
      <w:r>
        <w:rPr>
          <w:color w:val="231F20"/>
        </w:rPr>
        <w:t>(Brennan</w:t>
      </w:r>
      <w:r>
        <w:rPr>
          <w:color w:val="231F20"/>
          <w:spacing w:val="-6"/>
        </w:rPr>
        <w:t> </w:t>
      </w:r>
      <w:r>
        <w:rPr>
          <w:i/>
          <w:color w:val="231F20"/>
        </w:rPr>
        <w:t>et</w:t>
      </w:r>
      <w:r>
        <w:rPr>
          <w:i/>
          <w:color w:val="231F20"/>
          <w:spacing w:val="-6"/>
        </w:rPr>
        <w:t> </w:t>
      </w:r>
      <w:r>
        <w:rPr>
          <w:i/>
          <w:color w:val="231F20"/>
        </w:rPr>
        <w:t>al.</w:t>
      </w:r>
      <w:r>
        <w:rPr>
          <w:color w:val="231F20"/>
        </w:rPr>
        <w:t>,</w:t>
      </w:r>
      <w:r>
        <w:rPr>
          <w:color w:val="231F20"/>
          <w:spacing w:val="-6"/>
        </w:rPr>
        <w:t> </w:t>
      </w:r>
      <w:r>
        <w:rPr>
          <w:color w:val="231F20"/>
        </w:rPr>
        <w:t>1981;</w:t>
      </w:r>
      <w:r>
        <w:rPr>
          <w:color w:val="231F20"/>
          <w:spacing w:val="-6"/>
        </w:rPr>
        <w:t> </w:t>
      </w:r>
      <w:r>
        <w:rPr>
          <w:color w:val="231F20"/>
        </w:rPr>
        <w:t>Crossa</w:t>
      </w:r>
      <w:r>
        <w:rPr>
          <w:color w:val="231F20"/>
          <w:spacing w:val="-6"/>
        </w:rPr>
        <w:t> </w:t>
      </w:r>
      <w:r>
        <w:rPr>
          <w:i/>
          <w:color w:val="231F20"/>
        </w:rPr>
        <w:t>et</w:t>
      </w:r>
      <w:r>
        <w:rPr>
          <w:i/>
          <w:color w:val="231F20"/>
          <w:spacing w:val="-6"/>
        </w:rPr>
        <w:t> </w:t>
      </w:r>
      <w:r>
        <w:rPr>
          <w:i/>
          <w:color w:val="231F20"/>
        </w:rPr>
        <w:t>al.</w:t>
      </w:r>
      <w:r>
        <w:rPr>
          <w:color w:val="231F20"/>
        </w:rPr>
        <w:t>,</w:t>
      </w:r>
      <w:r>
        <w:rPr>
          <w:color w:val="231F20"/>
          <w:spacing w:val="-6"/>
        </w:rPr>
        <w:t> </w:t>
      </w:r>
      <w:r>
        <w:rPr>
          <w:color w:val="231F20"/>
        </w:rPr>
        <w:t>1990).</w:t>
      </w:r>
      <w:r>
        <w:rPr>
          <w:color w:val="231F20"/>
          <w:spacing w:val="-6"/>
        </w:rPr>
        <w:t> </w:t>
      </w:r>
      <w:r>
        <w:rPr>
          <w:color w:val="231F20"/>
        </w:rPr>
        <w:t>El</w:t>
      </w:r>
      <w:r>
        <w:rPr>
          <w:color w:val="231F20"/>
          <w:spacing w:val="-6"/>
        </w:rPr>
        <w:t> </w:t>
      </w:r>
      <w:r>
        <w:rPr>
          <w:color w:val="231F20"/>
        </w:rPr>
        <w:t>modelo</w:t>
      </w:r>
      <w:r>
        <w:rPr>
          <w:color w:val="231F20"/>
          <w:spacing w:val="-17"/>
        </w:rPr>
        <w:t> </w:t>
      </w:r>
      <w:r>
        <w:rPr>
          <w:color w:val="231F20"/>
        </w:rPr>
        <w:t>AMMI</w:t>
      </w:r>
      <w:r>
        <w:rPr>
          <w:color w:val="231F20"/>
          <w:spacing w:val="-6"/>
        </w:rPr>
        <w:t> </w:t>
      </w:r>
      <w:r>
        <w:rPr>
          <w:color w:val="231F20"/>
        </w:rPr>
        <w:t>(additive</w:t>
      </w:r>
      <w:r>
        <w:rPr>
          <w:color w:val="231F20"/>
          <w:spacing w:val="-6"/>
        </w:rPr>
        <w:t> </w:t>
      </w:r>
      <w:r>
        <w:rPr>
          <w:color w:val="231F20"/>
        </w:rPr>
        <w:t>main effects and multiplicative interactions) es uno de los más empleados para estimar la interacción gxa a través del análisis de varianza (Gauch y Zobel, 1988; Crossa </w:t>
      </w:r>
      <w:r>
        <w:rPr>
          <w:i/>
          <w:color w:val="231F20"/>
        </w:rPr>
        <w:t>et al.</w:t>
      </w:r>
      <w:r>
        <w:rPr>
          <w:color w:val="231F20"/>
        </w:rPr>
        <w:t>, 1990), ya que considera que los efectos de los factores principales (genotipos y ambiente) son aditivos y lineales. Sin embargo, la interacción gxa tiene efectos multiplicativos que pueden ser explicados por el análisis de compo- nentes principales (ACP) </w:t>
      </w:r>
      <w:r>
        <w:rPr>
          <w:color w:val="231F20"/>
          <w:spacing w:val="-4"/>
        </w:rPr>
        <w:t>(Vargas </w:t>
      </w:r>
      <w:r>
        <w:rPr>
          <w:color w:val="231F20"/>
        </w:rPr>
        <w:t>y Crossa, 2000). El método AMMI unido al uso del “Biplot”, una técnica</w:t>
      </w:r>
      <w:r>
        <w:rPr>
          <w:color w:val="231F20"/>
          <w:spacing w:val="-11"/>
        </w:rPr>
        <w:t> </w:t>
      </w:r>
      <w:r>
        <w:rPr>
          <w:color w:val="231F20"/>
        </w:rPr>
        <w:t>de</w:t>
      </w:r>
      <w:r>
        <w:rPr>
          <w:color w:val="231F20"/>
          <w:spacing w:val="-11"/>
        </w:rPr>
        <w:t> </w:t>
      </w:r>
      <w:r>
        <w:rPr>
          <w:color w:val="231F20"/>
        </w:rPr>
        <w:t>representación</w:t>
      </w:r>
      <w:r>
        <w:rPr>
          <w:color w:val="231F20"/>
          <w:spacing w:val="-11"/>
        </w:rPr>
        <w:t> </w:t>
      </w:r>
      <w:r>
        <w:rPr>
          <w:color w:val="231F20"/>
        </w:rPr>
        <w:t>gráfica,</w:t>
      </w:r>
      <w:r>
        <w:rPr>
          <w:color w:val="231F20"/>
          <w:spacing w:val="-11"/>
        </w:rPr>
        <w:t> </w:t>
      </w:r>
      <w:r>
        <w:rPr>
          <w:color w:val="231F20"/>
        </w:rPr>
        <w:t>es</w:t>
      </w:r>
      <w:r>
        <w:rPr>
          <w:color w:val="231F20"/>
          <w:spacing w:val="-11"/>
        </w:rPr>
        <w:t> </w:t>
      </w:r>
      <w:r>
        <w:rPr>
          <w:color w:val="231F20"/>
        </w:rPr>
        <w:t>una</w:t>
      </w:r>
      <w:r>
        <w:rPr>
          <w:color w:val="231F20"/>
          <w:spacing w:val="-11"/>
        </w:rPr>
        <w:t> </w:t>
      </w:r>
      <w:r>
        <w:rPr>
          <w:color w:val="231F20"/>
        </w:rPr>
        <w:t>herramienta</w:t>
      </w:r>
      <w:r>
        <w:rPr>
          <w:color w:val="231F20"/>
          <w:spacing w:val="-11"/>
        </w:rPr>
        <w:t> </w:t>
      </w:r>
      <w:r>
        <w:rPr>
          <w:color w:val="231F20"/>
        </w:rPr>
        <w:t>útil</w:t>
      </w:r>
      <w:r>
        <w:rPr>
          <w:color w:val="231F20"/>
          <w:spacing w:val="-11"/>
        </w:rPr>
        <w:t> </w:t>
      </w:r>
      <w:r>
        <w:rPr>
          <w:color w:val="231F20"/>
        </w:rPr>
        <w:t>para</w:t>
      </w:r>
      <w:r>
        <w:rPr>
          <w:color w:val="231F20"/>
          <w:spacing w:val="-11"/>
        </w:rPr>
        <w:t> </w:t>
      </w:r>
      <w:r>
        <w:rPr>
          <w:color w:val="231F20"/>
        </w:rPr>
        <w:t>interpretar</w:t>
      </w:r>
      <w:r>
        <w:rPr>
          <w:color w:val="231F20"/>
          <w:spacing w:val="-11"/>
        </w:rPr>
        <w:t> </w:t>
      </w:r>
      <w:r>
        <w:rPr>
          <w:color w:val="231F20"/>
        </w:rPr>
        <w:t>patrones</w:t>
      </w:r>
      <w:r>
        <w:rPr>
          <w:color w:val="231F20"/>
          <w:spacing w:val="-11"/>
        </w:rPr>
        <w:t> </w:t>
      </w:r>
      <w:r>
        <w:rPr>
          <w:color w:val="231F20"/>
        </w:rPr>
        <w:t>de</w:t>
      </w:r>
      <w:r>
        <w:rPr>
          <w:color w:val="231F20"/>
          <w:spacing w:val="-11"/>
        </w:rPr>
        <w:t> </w:t>
      </w:r>
      <w:r>
        <w:rPr>
          <w:color w:val="231F20"/>
        </w:rPr>
        <w:t>respuesta</w:t>
      </w:r>
      <w:r>
        <w:rPr>
          <w:color w:val="231F20"/>
          <w:spacing w:val="-11"/>
        </w:rPr>
        <w:t> </w:t>
      </w:r>
      <w:r>
        <w:rPr>
          <w:color w:val="231F20"/>
        </w:rPr>
        <w:t>de</w:t>
      </w:r>
      <w:r>
        <w:rPr>
          <w:color w:val="231F20"/>
          <w:spacing w:val="-11"/>
        </w:rPr>
        <w:t> </w:t>
      </w:r>
      <w:r>
        <w:rPr>
          <w:color w:val="231F20"/>
        </w:rPr>
        <w:t>los genotipos, ambientes y de la interacción gxa </w:t>
      </w:r>
      <w:r>
        <w:rPr>
          <w:color w:val="231F20"/>
          <w:spacing w:val="-4"/>
        </w:rPr>
        <w:t>(Vargas </w:t>
      </w:r>
      <w:r>
        <w:rPr>
          <w:color w:val="231F20"/>
        </w:rPr>
        <w:t>y Crossa, 2000; </w:t>
      </w:r>
      <w:r>
        <w:rPr>
          <w:color w:val="231F20"/>
          <w:spacing w:val="-7"/>
        </w:rPr>
        <w:t>Yan </w:t>
      </w:r>
      <w:r>
        <w:rPr>
          <w:i/>
          <w:color w:val="231F20"/>
        </w:rPr>
        <w:t>et al.</w:t>
      </w:r>
      <w:r>
        <w:rPr>
          <w:color w:val="231F20"/>
        </w:rPr>
        <w:t>,</w:t>
      </w:r>
      <w:r>
        <w:rPr>
          <w:color w:val="231F20"/>
          <w:spacing w:val="3"/>
        </w:rPr>
        <w:t> </w:t>
      </w:r>
      <w:r>
        <w:rPr>
          <w:color w:val="231F20"/>
        </w:rPr>
        <w:t>2000).</w:t>
      </w:r>
    </w:p>
    <w:p>
      <w:pPr>
        <w:pStyle w:val="BodyText"/>
        <w:spacing w:before="10"/>
      </w:pPr>
    </w:p>
    <w:p>
      <w:pPr>
        <w:pStyle w:val="BodyText"/>
        <w:spacing w:line="247" w:lineRule="auto"/>
        <w:ind w:left="1270" w:right="1267"/>
        <w:jc w:val="both"/>
      </w:pPr>
      <w:r>
        <w:rPr>
          <w:color w:val="231F20"/>
        </w:rPr>
        <w:t>Durante</w:t>
      </w:r>
      <w:r>
        <w:rPr>
          <w:color w:val="231F20"/>
          <w:spacing w:val="-3"/>
        </w:rPr>
        <w:t> </w:t>
      </w:r>
      <w:r>
        <w:rPr>
          <w:color w:val="231F20"/>
        </w:rPr>
        <w:t>el</w:t>
      </w:r>
      <w:r>
        <w:rPr>
          <w:color w:val="231F20"/>
          <w:spacing w:val="-3"/>
        </w:rPr>
        <w:t> </w:t>
      </w:r>
      <w:r>
        <w:rPr>
          <w:color w:val="231F20"/>
        </w:rPr>
        <w:t>año</w:t>
      </w:r>
      <w:r>
        <w:rPr>
          <w:color w:val="231F20"/>
          <w:spacing w:val="-3"/>
        </w:rPr>
        <w:t> </w:t>
      </w:r>
      <w:r>
        <w:rPr>
          <w:color w:val="231F20"/>
        </w:rPr>
        <w:t>1999,</w:t>
      </w:r>
      <w:r>
        <w:rPr>
          <w:color w:val="231F20"/>
          <w:spacing w:val="-3"/>
        </w:rPr>
        <w:t> </w:t>
      </w:r>
      <w:r>
        <w:rPr>
          <w:color w:val="231F20"/>
        </w:rPr>
        <w:t>después</w:t>
      </w:r>
      <w:r>
        <w:rPr>
          <w:color w:val="231F20"/>
          <w:spacing w:val="-3"/>
        </w:rPr>
        <w:t> </w:t>
      </w:r>
      <w:r>
        <w:rPr>
          <w:color w:val="231F20"/>
        </w:rPr>
        <w:t>de</w:t>
      </w:r>
      <w:r>
        <w:rPr>
          <w:color w:val="231F20"/>
          <w:spacing w:val="-3"/>
        </w:rPr>
        <w:t> </w:t>
      </w:r>
      <w:r>
        <w:rPr>
          <w:color w:val="231F20"/>
        </w:rPr>
        <w:t>liberar</w:t>
      </w:r>
      <w:r>
        <w:rPr>
          <w:color w:val="231F20"/>
          <w:spacing w:val="-3"/>
        </w:rPr>
        <w:t> </w:t>
      </w:r>
      <w:r>
        <w:rPr>
          <w:color w:val="231F20"/>
        </w:rPr>
        <w:t>a</w:t>
      </w:r>
      <w:r>
        <w:rPr>
          <w:color w:val="231F20"/>
          <w:spacing w:val="-3"/>
        </w:rPr>
        <w:t> </w:t>
      </w:r>
      <w:r>
        <w:rPr>
          <w:color w:val="231F20"/>
        </w:rPr>
        <w:t>la</w:t>
      </w:r>
      <w:r>
        <w:rPr>
          <w:color w:val="231F20"/>
          <w:spacing w:val="-3"/>
        </w:rPr>
        <w:t> </w:t>
      </w:r>
      <w:r>
        <w:rPr>
          <w:color w:val="231F20"/>
        </w:rPr>
        <w:t>variedad</w:t>
      </w:r>
      <w:r>
        <w:rPr>
          <w:color w:val="231F20"/>
          <w:spacing w:val="-7"/>
        </w:rPr>
        <w:t> </w:t>
      </w:r>
      <w:r>
        <w:rPr>
          <w:color w:val="231F20"/>
          <w:spacing w:val="-3"/>
        </w:rPr>
        <w:t>V-537C, </w:t>
      </w:r>
      <w:r>
        <w:rPr>
          <w:color w:val="231F20"/>
        </w:rPr>
        <w:t>diversas</w:t>
      </w:r>
      <w:r>
        <w:rPr>
          <w:color w:val="231F20"/>
          <w:spacing w:val="-3"/>
        </w:rPr>
        <w:t> </w:t>
      </w:r>
      <w:r>
        <w:rPr>
          <w:color w:val="231F20"/>
        </w:rPr>
        <w:t>líneas</w:t>
      </w:r>
      <w:r>
        <w:rPr>
          <w:color w:val="231F20"/>
          <w:spacing w:val="-3"/>
        </w:rPr>
        <w:t> </w:t>
      </w:r>
      <w:r>
        <w:rPr>
          <w:color w:val="231F20"/>
        </w:rPr>
        <w:t>élites</w:t>
      </w:r>
      <w:r>
        <w:rPr>
          <w:color w:val="231F20"/>
          <w:spacing w:val="-3"/>
        </w:rPr>
        <w:t> </w:t>
      </w:r>
      <w:r>
        <w:rPr>
          <w:color w:val="231F20"/>
        </w:rPr>
        <w:t>del</w:t>
      </w:r>
      <w:r>
        <w:rPr>
          <w:color w:val="231F20"/>
          <w:spacing w:val="-3"/>
        </w:rPr>
        <w:t> </w:t>
      </w:r>
      <w:r>
        <w:rPr>
          <w:color w:val="231F20"/>
        </w:rPr>
        <w:t>Programa</w:t>
      </w:r>
      <w:r>
        <w:rPr>
          <w:color w:val="231F20"/>
          <w:spacing w:val="-3"/>
        </w:rPr>
        <w:t> </w:t>
      </w:r>
      <w:r>
        <w:rPr>
          <w:color w:val="231F20"/>
        </w:rPr>
        <w:t>de Maíz del Campo Experimental Cotaxtla (CECot) del Instituto Nacional de Investigaciones Foresta- les, Agrícolas y Pecuarias (INIFAP), se convirtieron a la versión de calidad proteínica por medio de retrocruzas</w:t>
      </w:r>
      <w:r>
        <w:rPr>
          <w:color w:val="231F20"/>
          <w:spacing w:val="-4"/>
        </w:rPr>
        <w:t> </w:t>
      </w:r>
      <w:r>
        <w:rPr>
          <w:color w:val="231F20"/>
        </w:rPr>
        <w:t>con</w:t>
      </w:r>
      <w:r>
        <w:rPr>
          <w:color w:val="231F20"/>
          <w:spacing w:val="-4"/>
        </w:rPr>
        <w:t> </w:t>
      </w:r>
      <w:r>
        <w:rPr>
          <w:color w:val="231F20"/>
        </w:rPr>
        <w:t>la</w:t>
      </w:r>
      <w:r>
        <w:rPr>
          <w:color w:val="231F20"/>
          <w:spacing w:val="-4"/>
        </w:rPr>
        <w:t> </w:t>
      </w:r>
      <w:r>
        <w:rPr>
          <w:color w:val="231F20"/>
        </w:rPr>
        <w:t>línea</w:t>
      </w:r>
      <w:r>
        <w:rPr>
          <w:color w:val="231F20"/>
          <w:spacing w:val="-4"/>
        </w:rPr>
        <w:t> </w:t>
      </w:r>
      <w:r>
        <w:rPr>
          <w:color w:val="231F20"/>
        </w:rPr>
        <w:t>CML-144</w:t>
      </w:r>
      <w:r>
        <w:rPr>
          <w:color w:val="231F20"/>
          <w:spacing w:val="-4"/>
        </w:rPr>
        <w:t> </w:t>
      </w:r>
      <w:r>
        <w:rPr>
          <w:color w:val="231F20"/>
        </w:rPr>
        <w:t>como</w:t>
      </w:r>
      <w:r>
        <w:rPr>
          <w:color w:val="231F20"/>
          <w:spacing w:val="-4"/>
        </w:rPr>
        <w:t> </w:t>
      </w:r>
      <w:r>
        <w:rPr>
          <w:color w:val="231F20"/>
        </w:rPr>
        <w:t>donador</w:t>
      </w:r>
      <w:r>
        <w:rPr>
          <w:color w:val="231F20"/>
          <w:spacing w:val="-4"/>
        </w:rPr>
        <w:t> </w:t>
      </w:r>
      <w:r>
        <w:rPr>
          <w:color w:val="231F20"/>
        </w:rPr>
        <w:t>del</w:t>
      </w:r>
      <w:r>
        <w:rPr>
          <w:color w:val="231F20"/>
          <w:spacing w:val="-4"/>
        </w:rPr>
        <w:t> </w:t>
      </w:r>
      <w:r>
        <w:rPr>
          <w:color w:val="231F20"/>
        </w:rPr>
        <w:t>carácter</w:t>
      </w:r>
      <w:r>
        <w:rPr>
          <w:color w:val="231F20"/>
          <w:spacing w:val="-4"/>
        </w:rPr>
        <w:t> </w:t>
      </w:r>
      <w:r>
        <w:rPr>
          <w:color w:val="231F20"/>
        </w:rPr>
        <w:t>(Andrés-Meza</w:t>
      </w:r>
      <w:r>
        <w:rPr>
          <w:color w:val="231F20"/>
          <w:spacing w:val="-4"/>
        </w:rPr>
        <w:t> </w:t>
      </w:r>
      <w:r>
        <w:rPr>
          <w:i/>
          <w:color w:val="231F20"/>
        </w:rPr>
        <w:t>et</w:t>
      </w:r>
      <w:r>
        <w:rPr>
          <w:i/>
          <w:color w:val="231F20"/>
          <w:spacing w:val="-4"/>
        </w:rPr>
        <w:t> </w:t>
      </w:r>
      <w:r>
        <w:rPr>
          <w:i/>
          <w:color w:val="231F20"/>
        </w:rPr>
        <w:t>al.</w:t>
      </w:r>
      <w:r>
        <w:rPr>
          <w:color w:val="231F20"/>
        </w:rPr>
        <w:t>,</w:t>
      </w:r>
      <w:r>
        <w:rPr>
          <w:color w:val="231F20"/>
          <w:spacing w:val="-4"/>
        </w:rPr>
        <w:t> </w:t>
      </w:r>
      <w:r>
        <w:rPr>
          <w:color w:val="231F20"/>
        </w:rPr>
        <w:t>2011),</w:t>
      </w:r>
      <w:r>
        <w:rPr>
          <w:color w:val="231F20"/>
          <w:spacing w:val="-4"/>
        </w:rPr>
        <w:t> </w:t>
      </w:r>
      <w:r>
        <w:rPr>
          <w:color w:val="231F20"/>
        </w:rPr>
        <w:t>a</w:t>
      </w:r>
      <w:r>
        <w:rPr>
          <w:color w:val="231F20"/>
          <w:spacing w:val="-4"/>
        </w:rPr>
        <w:t> </w:t>
      </w:r>
      <w:r>
        <w:rPr>
          <w:color w:val="231F20"/>
        </w:rPr>
        <w:t>partir</w:t>
      </w:r>
      <w:r>
        <w:rPr>
          <w:color w:val="231F20"/>
          <w:spacing w:val="-4"/>
        </w:rPr>
        <w:t> </w:t>
      </w:r>
      <w:r>
        <w:rPr>
          <w:color w:val="231F20"/>
        </w:rPr>
        <w:t>de las cuales se conformaron siete variedades sintéticas con diferente número de líneas. Sin embargo, sólo cuatro de los siete sintéticos se incluyeron en el presente estudio. El objetivo del presente es- tudio fue identificar sintéticos de maíz QPM con buen rendimiento y con menor interacción (gxa). Como hipótesis se plantea que entre los nuevos sintéticos de calidad proteínica, alguno de ellos su- pera en estabilidad y rendimiento a la variedad referente QPM en uso</w:t>
      </w:r>
      <w:r>
        <w:rPr>
          <w:color w:val="231F20"/>
          <w:spacing w:val="-6"/>
        </w:rPr>
        <w:t> </w:t>
      </w:r>
      <w:r>
        <w:rPr>
          <w:color w:val="231F20"/>
        </w:rPr>
        <w:t>comercial.</w:t>
      </w:r>
    </w:p>
    <w:p>
      <w:pPr>
        <w:pStyle w:val="BodyText"/>
        <w:spacing w:before="10"/>
        <w:rPr>
          <w:sz w:val="22"/>
        </w:rPr>
      </w:pPr>
    </w:p>
    <w:p>
      <w:pPr>
        <w:pStyle w:val="Heading3"/>
        <w:spacing w:before="1"/>
      </w:pPr>
      <w:r>
        <w:rPr>
          <w:color w:val="010202"/>
        </w:rPr>
        <w:t>Materiales y métodos</w:t>
      </w:r>
    </w:p>
    <w:p>
      <w:pPr>
        <w:pStyle w:val="BodyText"/>
        <w:spacing w:before="10"/>
        <w:rPr>
          <w:b/>
        </w:rPr>
      </w:pPr>
    </w:p>
    <w:p>
      <w:pPr>
        <w:pStyle w:val="Heading5"/>
      </w:pPr>
      <w:r>
        <w:rPr>
          <w:color w:val="231F20"/>
        </w:rPr>
        <w:t>Material genético</w:t>
      </w:r>
    </w:p>
    <w:p>
      <w:pPr>
        <w:pStyle w:val="BodyText"/>
        <w:spacing w:line="247" w:lineRule="auto" w:before="8"/>
        <w:ind w:left="1270" w:right="1267"/>
        <w:jc w:val="both"/>
      </w:pPr>
      <w:r>
        <w:rPr>
          <w:color w:val="231F20"/>
        </w:rPr>
        <w:t>Se utilizaron ocho genotipos de maíz en la presente investigación, de los cuales cuatro son nuevas variedades sintéticas de maíz QPM, integradas con las cruzas posibles entre 8, 9, </w:t>
      </w:r>
      <w:r>
        <w:rPr>
          <w:color w:val="231F20"/>
          <w:spacing w:val="-3"/>
        </w:rPr>
        <w:t>11, </w:t>
      </w:r>
      <w:r>
        <w:rPr>
          <w:color w:val="231F20"/>
        </w:rPr>
        <w:t>12 y 14 líneas, con</w:t>
      </w:r>
      <w:r>
        <w:rPr>
          <w:color w:val="231F20"/>
          <w:spacing w:val="-9"/>
        </w:rPr>
        <w:t> </w:t>
      </w:r>
      <w:r>
        <w:rPr>
          <w:color w:val="231F20"/>
        </w:rPr>
        <w:t>diferente</w:t>
      </w:r>
      <w:r>
        <w:rPr>
          <w:color w:val="231F20"/>
          <w:spacing w:val="-9"/>
        </w:rPr>
        <w:t> </w:t>
      </w:r>
      <w:r>
        <w:rPr>
          <w:color w:val="231F20"/>
        </w:rPr>
        <w:t>nivel</w:t>
      </w:r>
      <w:r>
        <w:rPr>
          <w:color w:val="231F20"/>
          <w:spacing w:val="-9"/>
        </w:rPr>
        <w:t> </w:t>
      </w:r>
      <w:r>
        <w:rPr>
          <w:color w:val="231F20"/>
        </w:rPr>
        <w:t>de</w:t>
      </w:r>
      <w:r>
        <w:rPr>
          <w:color w:val="231F20"/>
          <w:spacing w:val="-9"/>
        </w:rPr>
        <w:t> </w:t>
      </w:r>
      <w:r>
        <w:rPr>
          <w:color w:val="231F20"/>
        </w:rPr>
        <w:t>endogamia</w:t>
      </w:r>
      <w:r>
        <w:rPr>
          <w:color w:val="231F20"/>
          <w:spacing w:val="-9"/>
        </w:rPr>
        <w:t> </w:t>
      </w:r>
      <w:r>
        <w:rPr>
          <w:color w:val="231F20"/>
        </w:rPr>
        <w:t>y</w:t>
      </w:r>
      <w:r>
        <w:rPr>
          <w:color w:val="231F20"/>
          <w:spacing w:val="-9"/>
        </w:rPr>
        <w:t> </w:t>
      </w:r>
      <w:r>
        <w:rPr>
          <w:color w:val="231F20"/>
        </w:rPr>
        <w:t>seleccionadas</w:t>
      </w:r>
      <w:r>
        <w:rPr>
          <w:color w:val="231F20"/>
          <w:spacing w:val="-9"/>
        </w:rPr>
        <w:t> </w:t>
      </w:r>
      <w:r>
        <w:rPr>
          <w:color w:val="231F20"/>
        </w:rPr>
        <w:t>por</w:t>
      </w:r>
      <w:r>
        <w:rPr>
          <w:color w:val="231F20"/>
          <w:spacing w:val="-9"/>
        </w:rPr>
        <w:t> </w:t>
      </w:r>
      <w:r>
        <w:rPr>
          <w:color w:val="231F20"/>
        </w:rPr>
        <w:t>sus</w:t>
      </w:r>
      <w:r>
        <w:rPr>
          <w:color w:val="231F20"/>
          <w:spacing w:val="-9"/>
        </w:rPr>
        <w:t> </w:t>
      </w:r>
      <w:r>
        <w:rPr>
          <w:color w:val="231F20"/>
        </w:rPr>
        <w:t>altos</w:t>
      </w:r>
      <w:r>
        <w:rPr>
          <w:color w:val="231F20"/>
          <w:spacing w:val="-9"/>
        </w:rPr>
        <w:t> </w:t>
      </w:r>
      <w:r>
        <w:rPr>
          <w:color w:val="231F20"/>
        </w:rPr>
        <w:t>efectos</w:t>
      </w:r>
      <w:r>
        <w:rPr>
          <w:color w:val="231F20"/>
          <w:spacing w:val="-9"/>
        </w:rPr>
        <w:t> </w:t>
      </w:r>
      <w:r>
        <w:rPr>
          <w:color w:val="231F20"/>
        </w:rPr>
        <w:t>de</w:t>
      </w:r>
      <w:r>
        <w:rPr>
          <w:color w:val="231F20"/>
          <w:spacing w:val="-9"/>
        </w:rPr>
        <w:t> </w:t>
      </w:r>
      <w:r>
        <w:rPr>
          <w:color w:val="231F20"/>
        </w:rPr>
        <w:t>aptitud</w:t>
      </w:r>
      <w:r>
        <w:rPr>
          <w:color w:val="231F20"/>
          <w:spacing w:val="-9"/>
        </w:rPr>
        <w:t> </w:t>
      </w:r>
      <w:r>
        <w:rPr>
          <w:color w:val="231F20"/>
        </w:rPr>
        <w:t>combinatoria</w:t>
      </w:r>
      <w:r>
        <w:rPr>
          <w:color w:val="231F20"/>
          <w:spacing w:val="-9"/>
        </w:rPr>
        <w:t> </w:t>
      </w:r>
      <w:r>
        <w:rPr>
          <w:color w:val="231F20"/>
        </w:rPr>
        <w:t>gene- ral (Andrés-Meza </w:t>
      </w:r>
      <w:r>
        <w:rPr>
          <w:i/>
          <w:color w:val="231F20"/>
        </w:rPr>
        <w:t>et al.</w:t>
      </w:r>
      <w:r>
        <w:rPr>
          <w:color w:val="231F20"/>
        </w:rPr>
        <w:t>, 2011). Los otros cuatro genotipos fueron dos sintéticos seleccionados para tolerancia a sequía obtenidos a través de selección recurrente, mediante la recombinación genética de familias, durante el verano de 1987 (Gómez </w:t>
      </w:r>
      <w:r>
        <w:rPr>
          <w:i/>
          <w:color w:val="231F20"/>
        </w:rPr>
        <w:t>et al.</w:t>
      </w:r>
      <w:r>
        <w:rPr>
          <w:color w:val="231F20"/>
        </w:rPr>
        <w:t>, 2003); </w:t>
      </w:r>
      <w:r>
        <w:rPr>
          <w:color w:val="231F20"/>
          <w:spacing w:val="-7"/>
        </w:rPr>
        <w:t>y, </w:t>
      </w:r>
      <w:r>
        <w:rPr>
          <w:color w:val="231F20"/>
        </w:rPr>
        <w:t>dos testigos comerciales VS-536 y </w:t>
      </w:r>
      <w:r>
        <w:rPr>
          <w:color w:val="231F20"/>
          <w:spacing w:val="-4"/>
        </w:rPr>
        <w:t>V-537C </w:t>
      </w:r>
      <w:r>
        <w:rPr>
          <w:color w:val="231F20"/>
        </w:rPr>
        <w:t>de grano normal y QPM,</w:t>
      </w:r>
      <w:r>
        <w:rPr>
          <w:color w:val="231F20"/>
          <w:spacing w:val="8"/>
        </w:rPr>
        <w:t> </w:t>
      </w:r>
      <w:r>
        <w:rPr>
          <w:color w:val="231F20"/>
        </w:rPr>
        <w:t>respectivamente.</w:t>
      </w:r>
    </w:p>
    <w:p>
      <w:pPr>
        <w:spacing w:after="0" w:line="247" w:lineRule="auto"/>
        <w:jc w:val="both"/>
        <w:sectPr>
          <w:pgSz w:w="10920" w:h="13080"/>
          <w:pgMar w:header="0" w:footer="1025" w:top="420" w:bottom="1220" w:left="0" w:right="0"/>
        </w:sectPr>
      </w:pPr>
    </w:p>
    <w:p>
      <w:pPr>
        <w:pStyle w:val="BodyText"/>
        <w:rPr>
          <w:sz w:val="20"/>
        </w:rPr>
      </w:pPr>
    </w:p>
    <w:p>
      <w:pPr>
        <w:pStyle w:val="BodyText"/>
        <w:rPr>
          <w:sz w:val="20"/>
        </w:rPr>
      </w:pPr>
    </w:p>
    <w:p>
      <w:pPr>
        <w:pStyle w:val="BodyText"/>
        <w:rPr>
          <w:sz w:val="23"/>
        </w:rPr>
      </w:pPr>
    </w:p>
    <w:p>
      <w:pPr>
        <w:pStyle w:val="Heading5"/>
        <w:spacing w:before="73"/>
      </w:pPr>
      <w:r>
        <w:rPr>
          <w:color w:val="231F20"/>
        </w:rPr>
        <w:t>Ubicación del área de estudio</w:t>
      </w:r>
    </w:p>
    <w:p>
      <w:pPr>
        <w:pStyle w:val="BodyText"/>
        <w:spacing w:line="247" w:lineRule="auto" w:before="8"/>
        <w:ind w:left="1270" w:right="1267"/>
        <w:jc w:val="both"/>
      </w:pPr>
      <w:r>
        <w:rPr>
          <w:color w:val="231F20"/>
        </w:rPr>
        <w:t>Los genotipos se sembraron en cuatro ambientes del Estado de </w:t>
      </w:r>
      <w:r>
        <w:rPr>
          <w:color w:val="231F20"/>
          <w:spacing w:val="-3"/>
        </w:rPr>
        <w:t>Veracruz, </w:t>
      </w:r>
      <w:r>
        <w:rPr>
          <w:color w:val="231F20"/>
        </w:rPr>
        <w:t>México: Primavera 2009 (Cotaxtla 2009B); Primavera 2010 (dos localidades: Cotaxtla y Tlachiconal 2010B) e Invierno</w:t>
      </w:r>
      <w:r>
        <w:rPr>
          <w:color w:val="231F20"/>
          <w:spacing w:val="-35"/>
        </w:rPr>
        <w:t> </w:t>
      </w:r>
      <w:r>
        <w:rPr>
          <w:color w:val="231F20"/>
        </w:rPr>
        <w:t>2011 (Cotaxtla</w:t>
      </w:r>
      <w:r>
        <w:rPr>
          <w:color w:val="231F20"/>
          <w:spacing w:val="-10"/>
        </w:rPr>
        <w:t> </w:t>
      </w:r>
      <w:r>
        <w:rPr>
          <w:color w:val="231F20"/>
        </w:rPr>
        <w:t>2011A).</w:t>
      </w:r>
      <w:r>
        <w:rPr>
          <w:color w:val="231F20"/>
          <w:spacing w:val="-10"/>
        </w:rPr>
        <w:t> </w:t>
      </w:r>
      <w:r>
        <w:rPr>
          <w:color w:val="231F20"/>
        </w:rPr>
        <w:t>Los</w:t>
      </w:r>
      <w:r>
        <w:rPr>
          <w:color w:val="231F20"/>
          <w:spacing w:val="-10"/>
        </w:rPr>
        <w:t> </w:t>
      </w:r>
      <w:r>
        <w:rPr>
          <w:color w:val="231F20"/>
        </w:rPr>
        <w:t>ambientes</w:t>
      </w:r>
      <w:r>
        <w:rPr>
          <w:color w:val="231F20"/>
          <w:spacing w:val="-10"/>
        </w:rPr>
        <w:t> </w:t>
      </w:r>
      <w:r>
        <w:rPr>
          <w:color w:val="231F20"/>
        </w:rPr>
        <w:t>se</w:t>
      </w:r>
      <w:r>
        <w:rPr>
          <w:color w:val="231F20"/>
          <w:spacing w:val="-10"/>
        </w:rPr>
        <w:t> </w:t>
      </w:r>
      <w:r>
        <w:rPr>
          <w:color w:val="231F20"/>
        </w:rPr>
        <w:t>ubican</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región</w:t>
      </w:r>
      <w:r>
        <w:rPr>
          <w:color w:val="231F20"/>
          <w:spacing w:val="-10"/>
        </w:rPr>
        <w:t> </w:t>
      </w:r>
      <w:r>
        <w:rPr>
          <w:color w:val="231F20"/>
        </w:rPr>
        <w:t>del</w:t>
      </w:r>
      <w:r>
        <w:rPr>
          <w:color w:val="231F20"/>
          <w:spacing w:val="-10"/>
        </w:rPr>
        <w:t> </w:t>
      </w:r>
      <w:r>
        <w:rPr>
          <w:color w:val="231F20"/>
        </w:rPr>
        <w:t>Sotavento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zona</w:t>
      </w:r>
      <w:r>
        <w:rPr>
          <w:color w:val="231F20"/>
          <w:spacing w:val="-11"/>
        </w:rPr>
        <w:t> </w:t>
      </w:r>
      <w:r>
        <w:rPr>
          <w:color w:val="231F20"/>
        </w:rPr>
        <w:t>Centro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entidad a 18º 56´ N, 96º </w:t>
      </w:r>
      <w:r>
        <w:rPr>
          <w:color w:val="231F20"/>
          <w:spacing w:val="-3"/>
        </w:rPr>
        <w:t>11´ </w:t>
      </w:r>
      <w:r>
        <w:rPr>
          <w:color w:val="231F20"/>
        </w:rPr>
        <w:t>O, a una altitud de 15 m. El clima es </w:t>
      </w:r>
      <w:r>
        <w:rPr>
          <w:color w:val="231F20"/>
          <w:spacing w:val="-6"/>
        </w:rPr>
        <w:t>AW1 </w:t>
      </w:r>
      <w:r>
        <w:rPr>
          <w:color w:val="231F20"/>
        </w:rPr>
        <w:t>(w), con precipitación media anual de 1350 mm, que se distribuye de junio a noviembre y una época seca que comprende de diciembre a mayo (García, 1981).</w:t>
      </w:r>
    </w:p>
    <w:p>
      <w:pPr>
        <w:pStyle w:val="BodyText"/>
        <w:spacing w:before="10"/>
      </w:pPr>
    </w:p>
    <w:p>
      <w:pPr>
        <w:pStyle w:val="Heading5"/>
      </w:pPr>
      <w:r>
        <w:rPr>
          <w:color w:val="231F20"/>
        </w:rPr>
        <w:t>Conducción del experimento</w:t>
      </w:r>
    </w:p>
    <w:p>
      <w:pPr>
        <w:pStyle w:val="BodyText"/>
        <w:spacing w:line="249" w:lineRule="auto" w:before="8"/>
        <w:ind w:left="1270" w:right="1268"/>
        <w:jc w:val="both"/>
      </w:pPr>
      <w:r>
        <w:rPr>
          <w:color w:val="231F20"/>
        </w:rPr>
        <w:t>La</w:t>
      </w:r>
      <w:r>
        <w:rPr>
          <w:color w:val="231F20"/>
          <w:spacing w:val="-5"/>
        </w:rPr>
        <w:t> </w:t>
      </w:r>
      <w:r>
        <w:rPr>
          <w:color w:val="231F20"/>
        </w:rPr>
        <w:t>siembra</w:t>
      </w:r>
      <w:r>
        <w:rPr>
          <w:color w:val="231F20"/>
          <w:spacing w:val="-5"/>
        </w:rPr>
        <w:t> </w:t>
      </w:r>
      <w:r>
        <w:rPr>
          <w:color w:val="231F20"/>
        </w:rPr>
        <w:t>se</w:t>
      </w:r>
      <w:r>
        <w:rPr>
          <w:color w:val="231F20"/>
          <w:spacing w:val="-5"/>
        </w:rPr>
        <w:t> </w:t>
      </w:r>
      <w:r>
        <w:rPr>
          <w:color w:val="231F20"/>
        </w:rPr>
        <w:t>hizo</w:t>
      </w:r>
      <w:r>
        <w:rPr>
          <w:color w:val="231F20"/>
          <w:spacing w:val="-5"/>
        </w:rPr>
        <w:t> </w:t>
      </w:r>
      <w:r>
        <w:rPr>
          <w:color w:val="231F20"/>
        </w:rPr>
        <w:t>a</w:t>
      </w:r>
      <w:r>
        <w:rPr>
          <w:color w:val="231F20"/>
          <w:spacing w:val="-5"/>
        </w:rPr>
        <w:t> </w:t>
      </w:r>
      <w:r>
        <w:rPr>
          <w:color w:val="231F20"/>
        </w:rPr>
        <w:t>“tapa</w:t>
      </w:r>
      <w:r>
        <w:rPr>
          <w:color w:val="231F20"/>
          <w:spacing w:val="-5"/>
        </w:rPr>
        <w:t> </w:t>
      </w:r>
      <w:r>
        <w:rPr>
          <w:color w:val="231F20"/>
        </w:rPr>
        <w:t>pie”,</w:t>
      </w:r>
      <w:r>
        <w:rPr>
          <w:color w:val="231F20"/>
          <w:spacing w:val="-5"/>
        </w:rPr>
        <w:t> </w:t>
      </w:r>
      <w:r>
        <w:rPr>
          <w:color w:val="231F20"/>
        </w:rPr>
        <w:t>que</w:t>
      </w:r>
      <w:r>
        <w:rPr>
          <w:color w:val="231F20"/>
          <w:spacing w:val="-5"/>
        </w:rPr>
        <w:t> </w:t>
      </w:r>
      <w:r>
        <w:rPr>
          <w:color w:val="231F20"/>
        </w:rPr>
        <w:t>es</w:t>
      </w:r>
      <w:r>
        <w:rPr>
          <w:color w:val="231F20"/>
          <w:spacing w:val="-5"/>
        </w:rPr>
        <w:t> </w:t>
      </w:r>
      <w:r>
        <w:rPr>
          <w:color w:val="231F20"/>
        </w:rPr>
        <w:t>la</w:t>
      </w:r>
      <w:r>
        <w:rPr>
          <w:color w:val="231F20"/>
          <w:spacing w:val="-5"/>
        </w:rPr>
        <w:t> </w:t>
      </w:r>
      <w:r>
        <w:rPr>
          <w:color w:val="231F20"/>
        </w:rPr>
        <w:t>forma</w:t>
      </w:r>
      <w:r>
        <w:rPr>
          <w:color w:val="231F20"/>
          <w:spacing w:val="-5"/>
        </w:rPr>
        <w:t> </w:t>
      </w:r>
      <w:r>
        <w:rPr>
          <w:color w:val="231F20"/>
        </w:rPr>
        <w:t>tradicional</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región.</w:t>
      </w:r>
      <w:r>
        <w:rPr>
          <w:color w:val="231F20"/>
          <w:spacing w:val="-5"/>
        </w:rPr>
        <w:t> </w:t>
      </w:r>
      <w:r>
        <w:rPr>
          <w:color w:val="231F20"/>
        </w:rPr>
        <w:t>Se</w:t>
      </w:r>
      <w:r>
        <w:rPr>
          <w:color w:val="231F20"/>
          <w:spacing w:val="-5"/>
        </w:rPr>
        <w:t> </w:t>
      </w:r>
      <w:r>
        <w:rPr>
          <w:color w:val="231F20"/>
        </w:rPr>
        <w:t>depositaron</w:t>
      </w:r>
      <w:r>
        <w:rPr>
          <w:color w:val="231F20"/>
          <w:spacing w:val="-5"/>
        </w:rPr>
        <w:t> </w:t>
      </w:r>
      <w:r>
        <w:rPr>
          <w:color w:val="231F20"/>
        </w:rPr>
        <w:t>tres</w:t>
      </w:r>
      <w:r>
        <w:rPr>
          <w:color w:val="231F20"/>
          <w:spacing w:val="-5"/>
        </w:rPr>
        <w:t> </w:t>
      </w:r>
      <w:r>
        <w:rPr>
          <w:color w:val="231F20"/>
        </w:rPr>
        <w:t>semillas por golpe cada 0.40 m y se aclareó a dos plantas (62 500 plantas ha</w:t>
      </w:r>
      <w:r>
        <w:rPr>
          <w:color w:val="231F20"/>
          <w:position w:val="7"/>
          <w:sz w:val="12"/>
        </w:rPr>
        <w:t>-1</w:t>
      </w:r>
      <w:r>
        <w:rPr>
          <w:color w:val="231F20"/>
        </w:rPr>
        <w:t>). Se fertilizó con la fórmula 161-46-00 (N, </w:t>
      </w:r>
      <w:r>
        <w:rPr>
          <w:color w:val="231F20"/>
          <w:spacing w:val="-12"/>
        </w:rPr>
        <w:t>P, </w:t>
      </w:r>
      <w:r>
        <w:rPr>
          <w:color w:val="231F20"/>
        </w:rPr>
        <w:t>K), la fuente de nitrógeno fue urea y la de fósforo fue superfosfato de calcio triple. A los 10 días después de la siembra (dds) se aplicó todo el fósforo y la mitad del nitrógeno; el resto del nitrógeno se aplicó 30</w:t>
      </w:r>
      <w:r>
        <w:rPr>
          <w:color w:val="231F20"/>
          <w:spacing w:val="-2"/>
        </w:rPr>
        <w:t> </w:t>
      </w:r>
      <w:r>
        <w:rPr>
          <w:color w:val="231F20"/>
        </w:rPr>
        <w:t>dds.</w:t>
      </w:r>
    </w:p>
    <w:p>
      <w:pPr>
        <w:pStyle w:val="BodyText"/>
        <w:spacing w:before="7"/>
      </w:pPr>
    </w:p>
    <w:p>
      <w:pPr>
        <w:pStyle w:val="BodyText"/>
        <w:spacing w:line="247" w:lineRule="auto"/>
        <w:ind w:left="1270" w:right="1268"/>
        <w:jc w:val="both"/>
      </w:pPr>
      <w:r>
        <w:rPr>
          <w:color w:val="231F20"/>
        </w:rPr>
        <w:t>El diseño experimental que se utilizó en cada ambiente fue bloques al azar con dos repeticiones. La unidad</w:t>
      </w:r>
      <w:r>
        <w:rPr>
          <w:color w:val="231F20"/>
          <w:spacing w:val="-4"/>
        </w:rPr>
        <w:t> </w:t>
      </w:r>
      <w:r>
        <w:rPr>
          <w:color w:val="231F20"/>
        </w:rPr>
        <w:t>experimental</w:t>
      </w:r>
      <w:r>
        <w:rPr>
          <w:color w:val="231F20"/>
          <w:spacing w:val="-4"/>
        </w:rPr>
        <w:t> </w:t>
      </w:r>
      <w:r>
        <w:rPr>
          <w:color w:val="231F20"/>
        </w:rPr>
        <w:t>consistió</w:t>
      </w:r>
      <w:r>
        <w:rPr>
          <w:color w:val="231F20"/>
          <w:spacing w:val="-4"/>
        </w:rPr>
        <w:t> </w:t>
      </w:r>
      <w:r>
        <w:rPr>
          <w:color w:val="231F20"/>
        </w:rPr>
        <w:t>en</w:t>
      </w:r>
      <w:r>
        <w:rPr>
          <w:color w:val="231F20"/>
          <w:spacing w:val="-4"/>
        </w:rPr>
        <w:t> </w:t>
      </w:r>
      <w:r>
        <w:rPr>
          <w:color w:val="231F20"/>
        </w:rPr>
        <w:t>dos</w:t>
      </w:r>
      <w:r>
        <w:rPr>
          <w:color w:val="231F20"/>
          <w:spacing w:val="-4"/>
        </w:rPr>
        <w:t> </w:t>
      </w:r>
      <w:r>
        <w:rPr>
          <w:color w:val="231F20"/>
        </w:rPr>
        <w:t>surcos</w:t>
      </w:r>
      <w:r>
        <w:rPr>
          <w:color w:val="231F20"/>
          <w:spacing w:val="-4"/>
        </w:rPr>
        <w:t> </w:t>
      </w:r>
      <w:r>
        <w:rPr>
          <w:color w:val="231F20"/>
        </w:rPr>
        <w:t>de</w:t>
      </w:r>
      <w:r>
        <w:rPr>
          <w:color w:val="231F20"/>
          <w:spacing w:val="-4"/>
        </w:rPr>
        <w:t> </w:t>
      </w:r>
      <w:r>
        <w:rPr>
          <w:color w:val="231F20"/>
        </w:rPr>
        <w:t>5</w:t>
      </w:r>
      <w:r>
        <w:rPr>
          <w:color w:val="231F20"/>
          <w:spacing w:val="-4"/>
        </w:rPr>
        <w:t> </w:t>
      </w:r>
      <w:r>
        <w:rPr>
          <w:color w:val="231F20"/>
        </w:rPr>
        <w:t>m</w:t>
      </w:r>
      <w:r>
        <w:rPr>
          <w:color w:val="231F20"/>
          <w:spacing w:val="-4"/>
        </w:rPr>
        <w:t> </w:t>
      </w:r>
      <w:r>
        <w:rPr>
          <w:color w:val="231F20"/>
        </w:rPr>
        <w:t>de</w:t>
      </w:r>
      <w:r>
        <w:rPr>
          <w:color w:val="231F20"/>
          <w:spacing w:val="-4"/>
        </w:rPr>
        <w:t> </w:t>
      </w:r>
      <w:r>
        <w:rPr>
          <w:color w:val="231F20"/>
        </w:rPr>
        <w:t>largo,</w:t>
      </w:r>
      <w:r>
        <w:rPr>
          <w:color w:val="231F20"/>
          <w:spacing w:val="-4"/>
        </w:rPr>
        <w:t> </w:t>
      </w:r>
      <w:r>
        <w:rPr>
          <w:color w:val="231F20"/>
        </w:rPr>
        <w:t>espaciados</w:t>
      </w:r>
      <w:r>
        <w:rPr>
          <w:color w:val="231F20"/>
          <w:spacing w:val="-4"/>
        </w:rPr>
        <w:t> </w:t>
      </w:r>
      <w:r>
        <w:rPr>
          <w:color w:val="231F20"/>
        </w:rPr>
        <w:t>a</w:t>
      </w:r>
      <w:r>
        <w:rPr>
          <w:color w:val="231F20"/>
          <w:spacing w:val="-4"/>
        </w:rPr>
        <w:t> </w:t>
      </w:r>
      <w:r>
        <w:rPr>
          <w:color w:val="231F20"/>
        </w:rPr>
        <w:t>0.80</w:t>
      </w:r>
      <w:r>
        <w:rPr>
          <w:color w:val="231F20"/>
          <w:spacing w:val="-4"/>
        </w:rPr>
        <w:t> </w:t>
      </w:r>
      <w:r>
        <w:rPr>
          <w:color w:val="231F20"/>
        </w:rPr>
        <w:t>m.</w:t>
      </w:r>
      <w:r>
        <w:rPr>
          <w:color w:val="231F20"/>
          <w:spacing w:val="-4"/>
        </w:rPr>
        <w:t> </w:t>
      </w:r>
      <w:r>
        <w:rPr>
          <w:color w:val="231F20"/>
        </w:rPr>
        <w:t>El</w:t>
      </w:r>
      <w:r>
        <w:rPr>
          <w:color w:val="231F20"/>
          <w:spacing w:val="-4"/>
        </w:rPr>
        <w:t> </w:t>
      </w:r>
      <w:r>
        <w:rPr>
          <w:color w:val="231F20"/>
        </w:rPr>
        <w:t>establecimien- to de los ensayos en cada localidad coincidió con el inicio de la temporada de lluvia, excepto para el ciclo otoño-invierno en el que se aplicaron riegos de auxilio suficientes para que las plantas no sufrieran de estrés</w:t>
      </w:r>
      <w:r>
        <w:rPr>
          <w:color w:val="231F20"/>
          <w:spacing w:val="-9"/>
        </w:rPr>
        <w:t> </w:t>
      </w:r>
      <w:r>
        <w:rPr>
          <w:color w:val="231F20"/>
        </w:rPr>
        <w:t>hídrico.</w:t>
      </w:r>
    </w:p>
    <w:p>
      <w:pPr>
        <w:pStyle w:val="BodyText"/>
        <w:spacing w:before="10"/>
      </w:pPr>
    </w:p>
    <w:p>
      <w:pPr>
        <w:pStyle w:val="Heading5"/>
      </w:pPr>
      <w:r>
        <w:rPr>
          <w:color w:val="231F20"/>
        </w:rPr>
        <w:t>Métodos estadísticos</w:t>
      </w:r>
    </w:p>
    <w:p>
      <w:pPr>
        <w:pStyle w:val="BodyText"/>
        <w:spacing w:line="247" w:lineRule="auto" w:before="9"/>
        <w:ind w:left="1270" w:right="1269" w:hanging="1"/>
        <w:jc w:val="both"/>
      </w:pPr>
      <w:r>
        <w:rPr>
          <w:color w:val="231F20"/>
        </w:rPr>
        <w:t>La variable analizada fue rendimiento de grano (t ha</w:t>
      </w:r>
      <w:r>
        <w:rPr>
          <w:color w:val="231F20"/>
          <w:position w:val="7"/>
          <w:sz w:val="12"/>
        </w:rPr>
        <w:t>-1</w:t>
      </w:r>
      <w:r>
        <w:rPr>
          <w:color w:val="231F20"/>
        </w:rPr>
        <w:t>), ajustado al 14 % de humedad. Se aplicó el modelo</w:t>
      </w:r>
      <w:r>
        <w:rPr>
          <w:color w:val="231F20"/>
          <w:spacing w:val="-19"/>
        </w:rPr>
        <w:t> </w:t>
      </w:r>
      <w:r>
        <w:rPr>
          <w:color w:val="231F20"/>
        </w:rPr>
        <w:t>AMMI</w:t>
      </w:r>
      <w:r>
        <w:rPr>
          <w:color w:val="231F20"/>
          <w:spacing w:val="-6"/>
        </w:rPr>
        <w:t> </w:t>
      </w:r>
      <w:r>
        <w:rPr>
          <w:color w:val="231F20"/>
        </w:rPr>
        <w:t>que</w:t>
      </w:r>
      <w:r>
        <w:rPr>
          <w:color w:val="231F20"/>
          <w:spacing w:val="-7"/>
        </w:rPr>
        <w:t> </w:t>
      </w:r>
      <w:r>
        <w:rPr>
          <w:color w:val="231F20"/>
        </w:rPr>
        <w:t>considera</w:t>
      </w:r>
      <w:r>
        <w:rPr>
          <w:color w:val="231F20"/>
          <w:spacing w:val="-7"/>
        </w:rPr>
        <w:t> </w:t>
      </w:r>
      <w:r>
        <w:rPr>
          <w:color w:val="231F20"/>
        </w:rPr>
        <w:t>el</w:t>
      </w:r>
      <w:r>
        <w:rPr>
          <w:color w:val="231F20"/>
          <w:spacing w:val="-7"/>
        </w:rPr>
        <w:t> </w:t>
      </w:r>
      <w:r>
        <w:rPr>
          <w:color w:val="231F20"/>
        </w:rPr>
        <w:t>análisis</w:t>
      </w:r>
      <w:r>
        <w:rPr>
          <w:color w:val="231F20"/>
          <w:spacing w:val="-7"/>
        </w:rPr>
        <w:t> </w:t>
      </w:r>
      <w:r>
        <w:rPr>
          <w:color w:val="231F20"/>
        </w:rPr>
        <w:t>de</w:t>
      </w:r>
      <w:r>
        <w:rPr>
          <w:color w:val="231F20"/>
          <w:spacing w:val="-7"/>
        </w:rPr>
        <w:t> </w:t>
      </w:r>
      <w:r>
        <w:rPr>
          <w:color w:val="231F20"/>
        </w:rPr>
        <w:t>varianza</w:t>
      </w:r>
      <w:r>
        <w:rPr>
          <w:color w:val="231F20"/>
          <w:spacing w:val="-7"/>
        </w:rPr>
        <w:t> </w:t>
      </w:r>
      <w:r>
        <w:rPr>
          <w:color w:val="231F20"/>
        </w:rPr>
        <w:t>para</w:t>
      </w:r>
      <w:r>
        <w:rPr>
          <w:color w:val="231F20"/>
          <w:spacing w:val="-7"/>
        </w:rPr>
        <w:t> </w:t>
      </w:r>
      <w:r>
        <w:rPr>
          <w:color w:val="231F20"/>
        </w:rPr>
        <w:t>efectos</w:t>
      </w:r>
      <w:r>
        <w:rPr>
          <w:color w:val="231F20"/>
          <w:spacing w:val="-7"/>
        </w:rPr>
        <w:t> </w:t>
      </w:r>
      <w:r>
        <w:rPr>
          <w:color w:val="231F20"/>
        </w:rPr>
        <w:t>de</w:t>
      </w:r>
      <w:r>
        <w:rPr>
          <w:color w:val="231F20"/>
          <w:spacing w:val="-7"/>
        </w:rPr>
        <w:t> </w:t>
      </w:r>
      <w:r>
        <w:rPr>
          <w:color w:val="231F20"/>
        </w:rPr>
        <w:t>genotipo</w:t>
      </w:r>
      <w:r>
        <w:rPr>
          <w:color w:val="231F20"/>
          <w:spacing w:val="-7"/>
        </w:rPr>
        <w:t> </w:t>
      </w:r>
      <w:r>
        <w:rPr>
          <w:color w:val="231F20"/>
        </w:rPr>
        <w:t>y</w:t>
      </w:r>
      <w:r>
        <w:rPr>
          <w:color w:val="231F20"/>
          <w:spacing w:val="-7"/>
        </w:rPr>
        <w:t> </w:t>
      </w:r>
      <w:r>
        <w:rPr>
          <w:color w:val="231F20"/>
        </w:rPr>
        <w:t>ambiente,</w:t>
      </w:r>
      <w:r>
        <w:rPr>
          <w:color w:val="231F20"/>
          <w:spacing w:val="-7"/>
        </w:rPr>
        <w:t> </w:t>
      </w:r>
      <w:r>
        <w:rPr>
          <w:color w:val="231F20"/>
        </w:rPr>
        <w:t>y</w:t>
      </w:r>
      <w:r>
        <w:rPr>
          <w:color w:val="231F20"/>
          <w:spacing w:val="-7"/>
        </w:rPr>
        <w:t> </w:t>
      </w:r>
      <w:r>
        <w:rPr>
          <w:color w:val="231F20"/>
        </w:rPr>
        <w:t>un</w:t>
      </w:r>
      <w:r>
        <w:rPr>
          <w:color w:val="231F20"/>
          <w:spacing w:val="-7"/>
        </w:rPr>
        <w:t> </w:t>
      </w:r>
      <w:r>
        <w:rPr>
          <w:color w:val="231F20"/>
        </w:rPr>
        <w:t>análi- sis</w:t>
      </w:r>
      <w:r>
        <w:rPr>
          <w:color w:val="231F20"/>
          <w:spacing w:val="-9"/>
        </w:rPr>
        <w:t> </w:t>
      </w:r>
      <w:r>
        <w:rPr>
          <w:color w:val="231F20"/>
        </w:rPr>
        <w:t>de</w:t>
      </w:r>
      <w:r>
        <w:rPr>
          <w:color w:val="231F20"/>
          <w:spacing w:val="-9"/>
        </w:rPr>
        <w:t> </w:t>
      </w:r>
      <w:r>
        <w:rPr>
          <w:color w:val="231F20"/>
        </w:rPr>
        <w:t>componentes</w:t>
      </w:r>
      <w:r>
        <w:rPr>
          <w:color w:val="231F20"/>
          <w:spacing w:val="-9"/>
        </w:rPr>
        <w:t> </w:t>
      </w:r>
      <w:r>
        <w:rPr>
          <w:color w:val="231F20"/>
        </w:rPr>
        <w:t>principales</w:t>
      </w:r>
      <w:r>
        <w:rPr>
          <w:color w:val="231F20"/>
          <w:spacing w:val="-9"/>
        </w:rPr>
        <w:t> </w:t>
      </w:r>
      <w:r>
        <w:rPr>
          <w:color w:val="231F20"/>
        </w:rPr>
        <w:t>para</w:t>
      </w:r>
      <w:r>
        <w:rPr>
          <w:color w:val="231F20"/>
          <w:spacing w:val="-9"/>
        </w:rPr>
        <w:t> </w:t>
      </w:r>
      <w:r>
        <w:rPr>
          <w:color w:val="231F20"/>
        </w:rPr>
        <w:t>la</w:t>
      </w:r>
      <w:r>
        <w:rPr>
          <w:color w:val="231F20"/>
          <w:spacing w:val="-9"/>
        </w:rPr>
        <w:t> </w:t>
      </w:r>
      <w:r>
        <w:rPr>
          <w:color w:val="231F20"/>
        </w:rPr>
        <w:t>interacción</w:t>
      </w:r>
      <w:r>
        <w:rPr>
          <w:color w:val="231F20"/>
          <w:spacing w:val="-9"/>
        </w:rPr>
        <w:t> </w:t>
      </w:r>
      <w:r>
        <w:rPr>
          <w:color w:val="231F20"/>
        </w:rPr>
        <w:t>(gxa)</w:t>
      </w:r>
      <w:r>
        <w:rPr>
          <w:color w:val="231F20"/>
          <w:spacing w:val="-9"/>
        </w:rPr>
        <w:t> </w:t>
      </w:r>
      <w:r>
        <w:rPr>
          <w:color w:val="231F20"/>
        </w:rPr>
        <w:t>(Gollob,</w:t>
      </w:r>
      <w:r>
        <w:rPr>
          <w:color w:val="231F20"/>
          <w:spacing w:val="-9"/>
        </w:rPr>
        <w:t> </w:t>
      </w:r>
      <w:r>
        <w:rPr>
          <w:color w:val="231F20"/>
        </w:rPr>
        <w:t>1968;</w:t>
      </w:r>
      <w:r>
        <w:rPr>
          <w:color w:val="231F20"/>
          <w:spacing w:val="-9"/>
        </w:rPr>
        <w:t> </w:t>
      </w:r>
      <w:r>
        <w:rPr>
          <w:color w:val="231F20"/>
        </w:rPr>
        <w:t>Gauch</w:t>
      </w:r>
      <w:r>
        <w:rPr>
          <w:color w:val="231F20"/>
          <w:spacing w:val="-9"/>
        </w:rPr>
        <w:t> </w:t>
      </w:r>
      <w:r>
        <w:rPr>
          <w:color w:val="231F20"/>
        </w:rPr>
        <w:t>y</w:t>
      </w:r>
      <w:r>
        <w:rPr>
          <w:color w:val="231F20"/>
          <w:spacing w:val="-9"/>
        </w:rPr>
        <w:t> </w:t>
      </w:r>
      <w:r>
        <w:rPr>
          <w:color w:val="231F20"/>
        </w:rPr>
        <w:t>Zobel,</w:t>
      </w:r>
      <w:r>
        <w:rPr>
          <w:color w:val="231F20"/>
          <w:spacing w:val="-9"/>
        </w:rPr>
        <w:t> </w:t>
      </w:r>
      <w:r>
        <w:rPr>
          <w:color w:val="231F20"/>
        </w:rPr>
        <w:t>1988;</w:t>
      </w:r>
      <w:r>
        <w:rPr>
          <w:color w:val="231F20"/>
          <w:spacing w:val="-13"/>
        </w:rPr>
        <w:t> </w:t>
      </w:r>
      <w:r>
        <w:rPr>
          <w:color w:val="231F20"/>
          <w:spacing w:val="-5"/>
        </w:rPr>
        <w:t>Vargas </w:t>
      </w:r>
      <w:r>
        <w:rPr>
          <w:color w:val="231F20"/>
        </w:rPr>
        <w:t>y Crossa, 2000). Se estimaron las coordenadas genotípicas y ambientales sobre los ACP1 y ACP2</w:t>
      </w:r>
      <w:r>
        <w:rPr>
          <w:color w:val="231F20"/>
          <w:spacing w:val="-23"/>
        </w:rPr>
        <w:t> </w:t>
      </w:r>
      <w:r>
        <w:rPr>
          <w:color w:val="231F20"/>
        </w:rPr>
        <w:t>y se</w:t>
      </w:r>
      <w:r>
        <w:rPr>
          <w:color w:val="231F20"/>
          <w:spacing w:val="-8"/>
        </w:rPr>
        <w:t> </w:t>
      </w:r>
      <w:r>
        <w:rPr>
          <w:color w:val="231F20"/>
        </w:rPr>
        <w:t>construyó</w:t>
      </w:r>
      <w:r>
        <w:rPr>
          <w:color w:val="231F20"/>
          <w:spacing w:val="-8"/>
        </w:rPr>
        <w:t> </w:t>
      </w:r>
      <w:r>
        <w:rPr>
          <w:color w:val="231F20"/>
        </w:rPr>
        <w:t>un</w:t>
      </w:r>
      <w:r>
        <w:rPr>
          <w:color w:val="231F20"/>
          <w:spacing w:val="-8"/>
        </w:rPr>
        <w:t> </w:t>
      </w:r>
      <w:r>
        <w:rPr>
          <w:color w:val="231F20"/>
        </w:rPr>
        <w:t>gráfico</w:t>
      </w:r>
      <w:r>
        <w:rPr>
          <w:color w:val="231F20"/>
          <w:spacing w:val="-8"/>
        </w:rPr>
        <w:t> </w:t>
      </w:r>
      <w:r>
        <w:rPr>
          <w:color w:val="231F20"/>
        </w:rPr>
        <w:t>bidimensional</w:t>
      </w:r>
      <w:r>
        <w:rPr>
          <w:color w:val="231F20"/>
          <w:spacing w:val="-8"/>
        </w:rPr>
        <w:t> </w:t>
      </w:r>
      <w:r>
        <w:rPr>
          <w:color w:val="231F20"/>
        </w:rPr>
        <w:t>“Biplot”</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representó</w:t>
      </w:r>
      <w:r>
        <w:rPr>
          <w:color w:val="231F20"/>
          <w:spacing w:val="-8"/>
        </w:rPr>
        <w:t> </w:t>
      </w:r>
      <w:r>
        <w:rPr>
          <w:color w:val="231F20"/>
        </w:rPr>
        <w:t>la</w:t>
      </w:r>
      <w:r>
        <w:rPr>
          <w:color w:val="231F20"/>
          <w:spacing w:val="-8"/>
        </w:rPr>
        <w:t> </w:t>
      </w:r>
      <w:r>
        <w:rPr>
          <w:color w:val="231F20"/>
        </w:rPr>
        <w:t>variable</w:t>
      </w:r>
      <w:r>
        <w:rPr>
          <w:color w:val="231F20"/>
          <w:spacing w:val="-8"/>
        </w:rPr>
        <w:t> </w:t>
      </w:r>
      <w:r>
        <w:rPr>
          <w:color w:val="231F20"/>
        </w:rPr>
        <w:t>medida</w:t>
      </w:r>
      <w:r>
        <w:rPr>
          <w:color w:val="231F20"/>
          <w:spacing w:val="-8"/>
        </w:rPr>
        <w:t> </w:t>
      </w:r>
      <w:r>
        <w:rPr>
          <w:color w:val="231F20"/>
        </w:rPr>
        <w:t>en</w:t>
      </w:r>
      <w:r>
        <w:rPr>
          <w:color w:val="231F20"/>
          <w:spacing w:val="-8"/>
        </w:rPr>
        <w:t> </w:t>
      </w:r>
      <w:r>
        <w:rPr>
          <w:color w:val="231F20"/>
        </w:rPr>
        <w:t>función de dichas coordenadas. Se aplicó el paquete estadístico SAS (SAS Institute, 1990).</w:t>
      </w:r>
    </w:p>
    <w:p>
      <w:pPr>
        <w:pStyle w:val="BodyText"/>
        <w:spacing w:before="10"/>
      </w:pPr>
    </w:p>
    <w:p>
      <w:pPr>
        <w:pStyle w:val="Heading5"/>
      </w:pPr>
      <w:r>
        <w:rPr>
          <w:color w:val="231F20"/>
        </w:rPr>
        <w:t>Calidad proteíca</w:t>
      </w:r>
    </w:p>
    <w:p>
      <w:pPr>
        <w:pStyle w:val="BodyText"/>
        <w:spacing w:line="247" w:lineRule="auto" w:before="8"/>
        <w:ind w:left="1270" w:right="1268"/>
        <w:jc w:val="both"/>
      </w:pPr>
      <w:r>
        <w:rPr>
          <w:color w:val="231F20"/>
        </w:rPr>
        <w:t>En</w:t>
      </w:r>
      <w:r>
        <w:rPr>
          <w:color w:val="231F20"/>
          <w:spacing w:val="-10"/>
        </w:rPr>
        <w:t> </w:t>
      </w:r>
      <w:r>
        <w:rPr>
          <w:color w:val="231F20"/>
        </w:rPr>
        <w:t>la</w:t>
      </w:r>
      <w:r>
        <w:rPr>
          <w:color w:val="231F20"/>
          <w:spacing w:val="-10"/>
        </w:rPr>
        <w:t> </w:t>
      </w:r>
      <w:r>
        <w:rPr>
          <w:color w:val="231F20"/>
        </w:rPr>
        <w:t>determinación</w:t>
      </w:r>
      <w:r>
        <w:rPr>
          <w:color w:val="231F20"/>
          <w:spacing w:val="-10"/>
        </w:rPr>
        <w:t> </w:t>
      </w:r>
      <w:r>
        <w:rPr>
          <w:color w:val="231F20"/>
        </w:rPr>
        <w:t>proteíca</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nuevas</w:t>
      </w:r>
      <w:r>
        <w:rPr>
          <w:color w:val="231F20"/>
          <w:spacing w:val="-10"/>
        </w:rPr>
        <w:t> </w:t>
      </w:r>
      <w:r>
        <w:rPr>
          <w:color w:val="231F20"/>
        </w:rPr>
        <w:t>variedades</w:t>
      </w:r>
      <w:r>
        <w:rPr>
          <w:color w:val="231F20"/>
          <w:spacing w:val="-10"/>
        </w:rPr>
        <w:t> </w:t>
      </w:r>
      <w:r>
        <w:rPr>
          <w:color w:val="231F20"/>
        </w:rPr>
        <w:t>sintéticas</w:t>
      </w:r>
      <w:r>
        <w:rPr>
          <w:color w:val="231F20"/>
          <w:spacing w:val="-10"/>
        </w:rPr>
        <w:t> </w:t>
      </w:r>
      <w:r>
        <w:rPr>
          <w:color w:val="231F20"/>
        </w:rPr>
        <w:t>de</w:t>
      </w:r>
      <w:r>
        <w:rPr>
          <w:color w:val="231F20"/>
          <w:spacing w:val="-10"/>
        </w:rPr>
        <w:t> </w:t>
      </w:r>
      <w:r>
        <w:rPr>
          <w:color w:val="231F20"/>
        </w:rPr>
        <w:t>maíz.</w:t>
      </w:r>
      <w:r>
        <w:rPr>
          <w:color w:val="231F20"/>
          <w:spacing w:val="-10"/>
        </w:rPr>
        <w:t> </w:t>
      </w:r>
      <w:r>
        <w:rPr>
          <w:color w:val="231F20"/>
        </w:rPr>
        <w:t>Cada</w:t>
      </w:r>
      <w:r>
        <w:rPr>
          <w:color w:val="231F20"/>
          <w:spacing w:val="-10"/>
        </w:rPr>
        <w:t> </w:t>
      </w:r>
      <w:r>
        <w:rPr>
          <w:color w:val="231F20"/>
        </w:rPr>
        <w:t>sintético</w:t>
      </w:r>
      <w:r>
        <w:rPr>
          <w:color w:val="231F20"/>
          <w:spacing w:val="-10"/>
        </w:rPr>
        <w:t> </w:t>
      </w:r>
      <w:r>
        <w:rPr>
          <w:color w:val="231F20"/>
        </w:rPr>
        <w:t>se</w:t>
      </w:r>
      <w:r>
        <w:rPr>
          <w:color w:val="231F20"/>
          <w:spacing w:val="-10"/>
        </w:rPr>
        <w:t> </w:t>
      </w:r>
      <w:r>
        <w:rPr>
          <w:color w:val="231F20"/>
        </w:rPr>
        <w:t>cosechó</w:t>
      </w:r>
      <w:r>
        <w:rPr>
          <w:color w:val="231F20"/>
          <w:spacing w:val="-10"/>
        </w:rPr>
        <w:t> </w:t>
      </w:r>
      <w:r>
        <w:rPr>
          <w:color w:val="231F20"/>
        </w:rPr>
        <w:t>y se</w:t>
      </w:r>
      <w:r>
        <w:rPr>
          <w:color w:val="231F20"/>
          <w:spacing w:val="-10"/>
        </w:rPr>
        <w:t> </w:t>
      </w:r>
      <w:r>
        <w:rPr>
          <w:color w:val="231F20"/>
        </w:rPr>
        <w:t>analizó</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Laboratorio</w:t>
      </w:r>
      <w:r>
        <w:rPr>
          <w:color w:val="231F20"/>
          <w:spacing w:val="-10"/>
        </w:rPr>
        <w:t> </w:t>
      </w:r>
      <w:r>
        <w:rPr>
          <w:color w:val="231F20"/>
        </w:rPr>
        <w:t>de</w:t>
      </w:r>
      <w:r>
        <w:rPr>
          <w:color w:val="231F20"/>
          <w:spacing w:val="-10"/>
        </w:rPr>
        <w:t> </w:t>
      </w:r>
      <w:r>
        <w:rPr>
          <w:color w:val="231F20"/>
        </w:rPr>
        <w:t>Maíz</w:t>
      </w:r>
      <w:r>
        <w:rPr>
          <w:color w:val="231F20"/>
          <w:spacing w:val="-10"/>
        </w:rPr>
        <w:t> </w:t>
      </w:r>
      <w:r>
        <w:rPr>
          <w:color w:val="231F20"/>
        </w:rPr>
        <w:t>del</w:t>
      </w:r>
      <w:r>
        <w:rPr>
          <w:color w:val="231F20"/>
          <w:spacing w:val="-10"/>
        </w:rPr>
        <w:t> </w:t>
      </w:r>
      <w:r>
        <w:rPr>
          <w:color w:val="231F20"/>
          <w:spacing w:val="-6"/>
        </w:rPr>
        <w:t>INIFAP,</w:t>
      </w:r>
      <w:r>
        <w:rPr>
          <w:color w:val="231F20"/>
          <w:spacing w:val="-10"/>
        </w:rPr>
        <w:t> </w:t>
      </w:r>
      <w:r>
        <w:rPr>
          <w:color w:val="231F20"/>
        </w:rPr>
        <w:t>Chapingo,</w:t>
      </w:r>
      <w:r>
        <w:rPr>
          <w:color w:val="231F20"/>
          <w:spacing w:val="-10"/>
        </w:rPr>
        <w:t> </w:t>
      </w:r>
      <w:r>
        <w:rPr>
          <w:color w:val="231F20"/>
        </w:rPr>
        <w:t>México.</w:t>
      </w:r>
      <w:r>
        <w:rPr>
          <w:color w:val="231F20"/>
          <w:spacing w:val="-10"/>
        </w:rPr>
        <w:t> </w:t>
      </w:r>
      <w:r>
        <w:rPr>
          <w:color w:val="231F20"/>
        </w:rPr>
        <w:t>Las</w:t>
      </w:r>
      <w:r>
        <w:rPr>
          <w:color w:val="231F20"/>
          <w:spacing w:val="-10"/>
        </w:rPr>
        <w:t> </w:t>
      </w:r>
      <w:r>
        <w:rPr>
          <w:color w:val="231F20"/>
        </w:rPr>
        <w:t>muestras</w:t>
      </w:r>
      <w:r>
        <w:rPr>
          <w:color w:val="231F20"/>
          <w:spacing w:val="-10"/>
        </w:rPr>
        <w:t> </w:t>
      </w:r>
      <w:r>
        <w:rPr>
          <w:color w:val="231F20"/>
        </w:rPr>
        <w:t>de</w:t>
      </w:r>
      <w:r>
        <w:rPr>
          <w:color w:val="231F20"/>
          <w:spacing w:val="-10"/>
        </w:rPr>
        <w:t> </w:t>
      </w:r>
      <w:r>
        <w:rPr>
          <w:color w:val="231F20"/>
        </w:rPr>
        <w:t>grano</w:t>
      </w:r>
      <w:r>
        <w:rPr>
          <w:color w:val="231F20"/>
          <w:spacing w:val="-10"/>
        </w:rPr>
        <w:t> </w:t>
      </w:r>
      <w:r>
        <w:rPr>
          <w:color w:val="231F20"/>
        </w:rPr>
        <w:t>entero</w:t>
      </w:r>
      <w:r>
        <w:rPr>
          <w:color w:val="231F20"/>
          <w:spacing w:val="-10"/>
        </w:rPr>
        <w:t> </w:t>
      </w:r>
      <w:r>
        <w:rPr>
          <w:color w:val="231F20"/>
        </w:rPr>
        <w:t>se molieron,</w:t>
      </w:r>
      <w:r>
        <w:rPr>
          <w:color w:val="231F20"/>
          <w:spacing w:val="-4"/>
        </w:rPr>
        <w:t> </w:t>
      </w:r>
      <w:r>
        <w:rPr>
          <w:color w:val="231F20"/>
        </w:rPr>
        <w:t>desengrasaron</w:t>
      </w:r>
      <w:r>
        <w:rPr>
          <w:color w:val="231F20"/>
          <w:spacing w:val="-4"/>
        </w:rPr>
        <w:t> </w:t>
      </w:r>
      <w:r>
        <w:rPr>
          <w:color w:val="231F20"/>
        </w:rPr>
        <w:t>y</w:t>
      </w:r>
      <w:r>
        <w:rPr>
          <w:color w:val="231F20"/>
          <w:spacing w:val="-3"/>
        </w:rPr>
        <w:t> </w:t>
      </w:r>
      <w:r>
        <w:rPr>
          <w:color w:val="231F20"/>
        </w:rPr>
        <w:t>se</w:t>
      </w:r>
      <w:r>
        <w:rPr>
          <w:color w:val="231F20"/>
          <w:spacing w:val="-3"/>
        </w:rPr>
        <w:t> </w:t>
      </w:r>
      <w:r>
        <w:rPr>
          <w:color w:val="231F20"/>
        </w:rPr>
        <w:t>pusieron</w:t>
      </w:r>
      <w:r>
        <w:rPr>
          <w:color w:val="231F20"/>
          <w:spacing w:val="-4"/>
        </w:rPr>
        <w:t> </w:t>
      </w:r>
      <w:r>
        <w:rPr>
          <w:color w:val="231F20"/>
        </w:rPr>
        <w:t>a</w:t>
      </w:r>
      <w:r>
        <w:rPr>
          <w:color w:val="231F20"/>
          <w:spacing w:val="-4"/>
        </w:rPr>
        <w:t> </w:t>
      </w:r>
      <w:r>
        <w:rPr>
          <w:color w:val="231F20"/>
        </w:rPr>
        <w:t>peso</w:t>
      </w:r>
      <w:r>
        <w:rPr>
          <w:color w:val="231F20"/>
          <w:spacing w:val="-3"/>
        </w:rPr>
        <w:t> </w:t>
      </w:r>
      <w:r>
        <w:rPr>
          <w:color w:val="231F20"/>
        </w:rPr>
        <w:t>constante;</w:t>
      </w:r>
      <w:r>
        <w:rPr>
          <w:color w:val="231F20"/>
          <w:spacing w:val="-4"/>
        </w:rPr>
        <w:t> </w:t>
      </w:r>
      <w:r>
        <w:rPr>
          <w:color w:val="231F20"/>
        </w:rPr>
        <w:t>en</w:t>
      </w:r>
      <w:r>
        <w:rPr>
          <w:color w:val="231F20"/>
          <w:spacing w:val="-4"/>
        </w:rPr>
        <w:t> </w:t>
      </w:r>
      <w:r>
        <w:rPr>
          <w:color w:val="231F20"/>
        </w:rPr>
        <w:t>ellas</w:t>
      </w:r>
      <w:r>
        <w:rPr>
          <w:color w:val="231F20"/>
          <w:spacing w:val="-4"/>
        </w:rPr>
        <w:t> </w:t>
      </w:r>
      <w:r>
        <w:rPr>
          <w:color w:val="231F20"/>
        </w:rPr>
        <w:t>se</w:t>
      </w:r>
      <w:r>
        <w:rPr>
          <w:color w:val="231F20"/>
          <w:spacing w:val="-3"/>
        </w:rPr>
        <w:t> </w:t>
      </w:r>
      <w:r>
        <w:rPr>
          <w:color w:val="231F20"/>
        </w:rPr>
        <w:t>cuantificó</w:t>
      </w:r>
      <w:r>
        <w:rPr>
          <w:color w:val="231F20"/>
          <w:spacing w:val="-4"/>
        </w:rPr>
        <w:t> </w:t>
      </w:r>
      <w:r>
        <w:rPr>
          <w:color w:val="231F20"/>
        </w:rPr>
        <w:t>lisina</w:t>
      </w:r>
      <w:r>
        <w:rPr>
          <w:color w:val="231F20"/>
          <w:spacing w:val="-4"/>
        </w:rPr>
        <w:t> </w:t>
      </w:r>
      <w:r>
        <w:rPr>
          <w:color w:val="231F20"/>
        </w:rPr>
        <w:t>y</w:t>
      </w:r>
      <w:r>
        <w:rPr>
          <w:color w:val="231F20"/>
          <w:spacing w:val="-3"/>
        </w:rPr>
        <w:t> </w:t>
      </w:r>
      <w:r>
        <w:rPr>
          <w:color w:val="231F20"/>
        </w:rPr>
        <w:t>triptófano</w:t>
      </w:r>
      <w:r>
        <w:rPr>
          <w:color w:val="231F20"/>
          <w:spacing w:val="-4"/>
        </w:rPr>
        <w:t> </w:t>
      </w:r>
      <w:r>
        <w:rPr>
          <w:color w:val="231F20"/>
        </w:rPr>
        <w:t>con el</w:t>
      </w:r>
      <w:r>
        <w:rPr>
          <w:color w:val="231F20"/>
          <w:spacing w:val="-4"/>
        </w:rPr>
        <w:t> </w:t>
      </w:r>
      <w:r>
        <w:rPr>
          <w:color w:val="231F20"/>
        </w:rPr>
        <w:t>método</w:t>
      </w:r>
      <w:r>
        <w:rPr>
          <w:color w:val="231F20"/>
          <w:spacing w:val="-4"/>
        </w:rPr>
        <w:t> </w:t>
      </w:r>
      <w:r>
        <w:rPr>
          <w:color w:val="231F20"/>
        </w:rPr>
        <w:t>colorimétrico</w:t>
      </w:r>
      <w:r>
        <w:rPr>
          <w:color w:val="231F20"/>
          <w:spacing w:val="-5"/>
        </w:rPr>
        <w:t> </w:t>
      </w:r>
      <w:r>
        <w:rPr>
          <w:color w:val="231F20"/>
        </w:rPr>
        <w:t>de</w:t>
      </w:r>
      <w:r>
        <w:rPr>
          <w:color w:val="231F20"/>
          <w:spacing w:val="-8"/>
        </w:rPr>
        <w:t> </w:t>
      </w:r>
      <w:r>
        <w:rPr>
          <w:color w:val="231F20"/>
          <w:spacing w:val="-5"/>
        </w:rPr>
        <w:t>Tsai</w:t>
      </w:r>
      <w:r>
        <w:rPr>
          <w:color w:val="231F20"/>
          <w:spacing w:val="-4"/>
        </w:rPr>
        <w:t> </w:t>
      </w:r>
      <w:r>
        <w:rPr>
          <w:i/>
          <w:color w:val="231F20"/>
        </w:rPr>
        <w:t>et</w:t>
      </w:r>
      <w:r>
        <w:rPr>
          <w:i/>
          <w:color w:val="231F20"/>
          <w:spacing w:val="-4"/>
        </w:rPr>
        <w:t> </w:t>
      </w:r>
      <w:r>
        <w:rPr>
          <w:i/>
          <w:color w:val="231F20"/>
        </w:rPr>
        <w:t>al.</w:t>
      </w:r>
      <w:r>
        <w:rPr>
          <w:i/>
          <w:color w:val="231F20"/>
          <w:spacing w:val="-4"/>
        </w:rPr>
        <w:t> </w:t>
      </w:r>
      <w:r>
        <w:rPr>
          <w:color w:val="231F20"/>
        </w:rPr>
        <w:t>(1975)</w:t>
      </w:r>
      <w:r>
        <w:rPr>
          <w:color w:val="231F20"/>
          <w:spacing w:val="-4"/>
        </w:rPr>
        <w:t> </w:t>
      </w:r>
      <w:r>
        <w:rPr>
          <w:color w:val="231F20"/>
        </w:rPr>
        <w:t>y</w:t>
      </w:r>
      <w:r>
        <w:rPr>
          <w:color w:val="231F20"/>
          <w:spacing w:val="-4"/>
        </w:rPr>
        <w:t> </w:t>
      </w:r>
      <w:r>
        <w:rPr>
          <w:color w:val="231F20"/>
        </w:rPr>
        <w:t>Hernández</w:t>
      </w:r>
      <w:r>
        <w:rPr>
          <w:color w:val="231F20"/>
          <w:spacing w:val="-4"/>
        </w:rPr>
        <w:t> </w:t>
      </w:r>
      <w:r>
        <w:rPr>
          <w:color w:val="231F20"/>
        </w:rPr>
        <w:t>y</w:t>
      </w:r>
      <w:r>
        <w:rPr>
          <w:color w:val="231F20"/>
          <w:spacing w:val="-4"/>
        </w:rPr>
        <w:t> </w:t>
      </w:r>
      <w:r>
        <w:rPr>
          <w:color w:val="231F20"/>
        </w:rPr>
        <w:t>Bates,</w:t>
      </w:r>
      <w:r>
        <w:rPr>
          <w:color w:val="231F20"/>
          <w:spacing w:val="-4"/>
        </w:rPr>
        <w:t> </w:t>
      </w:r>
      <w:r>
        <w:rPr>
          <w:color w:val="231F20"/>
        </w:rPr>
        <w:t>1969.</w:t>
      </w:r>
      <w:r>
        <w:rPr>
          <w:color w:val="231F20"/>
          <w:spacing w:val="-4"/>
        </w:rPr>
        <w:t> </w:t>
      </w:r>
      <w:r>
        <w:rPr>
          <w:color w:val="231F20"/>
        </w:rPr>
        <w:t>Como</w:t>
      </w:r>
      <w:r>
        <w:rPr>
          <w:color w:val="231F20"/>
          <w:spacing w:val="-4"/>
        </w:rPr>
        <w:t> </w:t>
      </w:r>
      <w:r>
        <w:rPr>
          <w:color w:val="231F20"/>
        </w:rPr>
        <w:t>referencia</w:t>
      </w:r>
      <w:r>
        <w:rPr>
          <w:color w:val="231F20"/>
          <w:spacing w:val="-4"/>
        </w:rPr>
        <w:t> </w:t>
      </w:r>
      <w:r>
        <w:rPr>
          <w:color w:val="231F20"/>
        </w:rPr>
        <w:t>se</w:t>
      </w:r>
      <w:r>
        <w:rPr>
          <w:color w:val="231F20"/>
          <w:spacing w:val="-4"/>
        </w:rPr>
        <w:t> </w:t>
      </w:r>
      <w:r>
        <w:rPr>
          <w:color w:val="231F20"/>
        </w:rPr>
        <w:t>tomo</w:t>
      </w:r>
      <w:r>
        <w:rPr>
          <w:color w:val="231F20"/>
          <w:spacing w:val="-4"/>
        </w:rPr>
        <w:t> </w:t>
      </w:r>
      <w:r>
        <w:rPr>
          <w:color w:val="231F20"/>
        </w:rPr>
        <w:t>a la variedad Tuxpeño de grano normal reportados por </w:t>
      </w:r>
      <w:r>
        <w:rPr>
          <w:color w:val="231F20"/>
          <w:spacing w:val="-3"/>
        </w:rPr>
        <w:t>Vidal </w:t>
      </w:r>
      <w:r>
        <w:rPr>
          <w:color w:val="231F20"/>
        </w:rPr>
        <w:t>et al.</w:t>
      </w:r>
      <w:r>
        <w:rPr>
          <w:color w:val="231F20"/>
          <w:spacing w:val="-12"/>
        </w:rPr>
        <w:t> </w:t>
      </w:r>
      <w:r>
        <w:rPr>
          <w:color w:val="231F20"/>
        </w:rPr>
        <w:t>(2008).</w:t>
      </w:r>
    </w:p>
    <w:p>
      <w:pPr>
        <w:pStyle w:val="BodyText"/>
        <w:spacing w:before="9"/>
        <w:rPr>
          <w:sz w:val="22"/>
        </w:rPr>
      </w:pPr>
    </w:p>
    <w:p>
      <w:pPr>
        <w:pStyle w:val="Heading3"/>
      </w:pPr>
      <w:r>
        <w:rPr>
          <w:color w:val="010202"/>
        </w:rPr>
        <w:t>Análisis y discusión de resultados</w:t>
      </w:r>
    </w:p>
    <w:p>
      <w:pPr>
        <w:pStyle w:val="BodyText"/>
        <w:spacing w:before="10"/>
        <w:rPr>
          <w:b/>
        </w:rPr>
      </w:pPr>
    </w:p>
    <w:p>
      <w:pPr>
        <w:pStyle w:val="BodyText"/>
        <w:spacing w:line="247" w:lineRule="auto"/>
        <w:ind w:left="1270" w:right="1269"/>
        <w:jc w:val="both"/>
      </w:pPr>
      <w:r>
        <w:rPr>
          <w:color w:val="231F20"/>
        </w:rPr>
        <w:t>El análisis de varianza combinado para rendimiento de grano (Cuadro 1) detectó diferencias</w:t>
      </w:r>
      <w:r>
        <w:rPr>
          <w:color w:val="231F20"/>
          <w:spacing w:val="-17"/>
        </w:rPr>
        <w:t> </w:t>
      </w:r>
      <w:r>
        <w:rPr>
          <w:color w:val="231F20"/>
        </w:rPr>
        <w:t>signifi- cativas (p ≤ 0.05) tanto para ambientes (a) como para genotipos (g); es decir, al menos un genotipo mostró</w:t>
      </w:r>
      <w:r>
        <w:rPr>
          <w:color w:val="231F20"/>
          <w:spacing w:val="14"/>
        </w:rPr>
        <w:t> </w:t>
      </w:r>
      <w:r>
        <w:rPr>
          <w:color w:val="231F20"/>
        </w:rPr>
        <w:t>respuesta</w:t>
      </w:r>
      <w:r>
        <w:rPr>
          <w:color w:val="231F20"/>
          <w:spacing w:val="14"/>
        </w:rPr>
        <w:t> </w:t>
      </w:r>
      <w:r>
        <w:rPr>
          <w:color w:val="231F20"/>
        </w:rPr>
        <w:t>diferente</w:t>
      </w:r>
      <w:r>
        <w:rPr>
          <w:color w:val="231F20"/>
          <w:spacing w:val="13"/>
        </w:rPr>
        <w:t> </w:t>
      </w:r>
      <w:r>
        <w:rPr>
          <w:color w:val="231F20"/>
        </w:rPr>
        <w:t>al</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demás;</w:t>
      </w:r>
      <w:r>
        <w:rPr>
          <w:color w:val="231F20"/>
          <w:spacing w:val="13"/>
        </w:rPr>
        <w:t> </w:t>
      </w:r>
      <w:r>
        <w:rPr>
          <w:color w:val="231F20"/>
        </w:rPr>
        <w:t>lo</w:t>
      </w:r>
      <w:r>
        <w:rPr>
          <w:color w:val="231F20"/>
          <w:spacing w:val="14"/>
        </w:rPr>
        <w:t> </w:t>
      </w:r>
      <w:r>
        <w:rPr>
          <w:color w:val="231F20"/>
        </w:rPr>
        <w:t>mismo</w:t>
      </w:r>
      <w:r>
        <w:rPr>
          <w:color w:val="231F20"/>
          <w:spacing w:val="14"/>
        </w:rPr>
        <w:t> </w:t>
      </w:r>
      <w:r>
        <w:rPr>
          <w:color w:val="231F20"/>
        </w:rPr>
        <w:t>puede</w:t>
      </w:r>
      <w:r>
        <w:rPr>
          <w:color w:val="231F20"/>
          <w:spacing w:val="14"/>
        </w:rPr>
        <w:t> </w:t>
      </w:r>
      <w:r>
        <w:rPr>
          <w:color w:val="231F20"/>
        </w:rPr>
        <w:t>afirmarse</w:t>
      </w:r>
      <w:r>
        <w:rPr>
          <w:color w:val="231F20"/>
          <w:spacing w:val="14"/>
        </w:rPr>
        <w:t> </w:t>
      </w:r>
      <w:r>
        <w:rPr>
          <w:color w:val="231F20"/>
        </w:rPr>
        <w:t>sobre</w:t>
      </w:r>
      <w:r>
        <w:rPr>
          <w:color w:val="231F20"/>
          <w:spacing w:val="14"/>
        </w:rPr>
        <w:t> </w:t>
      </w:r>
      <w:r>
        <w:rPr>
          <w:color w:val="231F20"/>
        </w:rPr>
        <w:t>los</w:t>
      </w:r>
      <w:r>
        <w:rPr>
          <w:color w:val="231F20"/>
          <w:spacing w:val="14"/>
        </w:rPr>
        <w:t> </w:t>
      </w:r>
      <w:r>
        <w:rPr>
          <w:color w:val="231F20"/>
        </w:rPr>
        <w:t>ambientes.</w:t>
      </w:r>
      <w:r>
        <w:rPr>
          <w:color w:val="231F20"/>
          <w:spacing w:val="13"/>
        </w:rPr>
        <w:t> </w:t>
      </w:r>
      <w:r>
        <w:rPr>
          <w:color w:val="231F20"/>
        </w:rPr>
        <w:t>Por</w:t>
      </w:r>
      <w:r>
        <w:rPr>
          <w:color w:val="231F20"/>
          <w:spacing w:val="14"/>
        </w:rPr>
        <w:t> </w:t>
      </w:r>
      <w:r>
        <w:rPr>
          <w:color w:val="231F20"/>
        </w:rPr>
        <w:t>el</w:t>
      </w:r>
    </w:p>
    <w:p>
      <w:pPr>
        <w:spacing w:after="0" w:line="247" w:lineRule="auto"/>
        <w:jc w:val="both"/>
        <w:sectPr>
          <w:pgSz w:w="10920" w:h="13080"/>
          <w:pgMar w:header="0" w:footer="1025" w:top="420" w:bottom="1220" w:left="0" w:right="0"/>
        </w:sectPr>
      </w:pPr>
    </w:p>
    <w:p>
      <w:pPr>
        <w:pStyle w:val="BodyText"/>
        <w:rPr>
          <w:sz w:val="20"/>
        </w:rPr>
      </w:pPr>
    </w:p>
    <w:p>
      <w:pPr>
        <w:pStyle w:val="BodyText"/>
        <w:rPr>
          <w:sz w:val="20"/>
        </w:rPr>
      </w:pPr>
    </w:p>
    <w:p>
      <w:pPr>
        <w:pStyle w:val="BodyText"/>
        <w:rPr>
          <w:sz w:val="23"/>
        </w:rPr>
      </w:pPr>
    </w:p>
    <w:p>
      <w:pPr>
        <w:pStyle w:val="BodyText"/>
        <w:spacing w:line="247" w:lineRule="auto" w:before="73"/>
        <w:ind w:left="1270" w:right="1268"/>
        <w:jc w:val="both"/>
      </w:pPr>
      <w:r>
        <w:rPr>
          <w:color w:val="231F20"/>
        </w:rPr>
        <w:t>contrario,</w:t>
      </w:r>
      <w:r>
        <w:rPr>
          <w:color w:val="231F20"/>
          <w:spacing w:val="-7"/>
        </w:rPr>
        <w:t> </w:t>
      </w:r>
      <w:r>
        <w:rPr>
          <w:color w:val="231F20"/>
        </w:rPr>
        <w:t>no</w:t>
      </w:r>
      <w:r>
        <w:rPr>
          <w:color w:val="231F20"/>
          <w:spacing w:val="-7"/>
        </w:rPr>
        <w:t> </w:t>
      </w:r>
      <w:r>
        <w:rPr>
          <w:color w:val="231F20"/>
        </w:rPr>
        <w:t>se</w:t>
      </w:r>
      <w:r>
        <w:rPr>
          <w:color w:val="231F20"/>
          <w:spacing w:val="-7"/>
        </w:rPr>
        <w:t> </w:t>
      </w:r>
      <w:r>
        <w:rPr>
          <w:color w:val="231F20"/>
        </w:rPr>
        <w:t>registró</w:t>
      </w:r>
      <w:r>
        <w:rPr>
          <w:color w:val="231F20"/>
          <w:spacing w:val="-7"/>
        </w:rPr>
        <w:t> </w:t>
      </w:r>
      <w:r>
        <w:rPr>
          <w:color w:val="231F20"/>
        </w:rPr>
        <w:t>significancia</w:t>
      </w:r>
      <w:r>
        <w:rPr>
          <w:color w:val="231F20"/>
          <w:spacing w:val="-7"/>
        </w:rPr>
        <w:t> </w:t>
      </w:r>
      <w:r>
        <w:rPr>
          <w:color w:val="231F20"/>
        </w:rPr>
        <w:t>(p</w:t>
      </w:r>
      <w:r>
        <w:rPr>
          <w:color w:val="231F20"/>
          <w:spacing w:val="-7"/>
        </w:rPr>
        <w:t> </w:t>
      </w:r>
      <w:r>
        <w:rPr>
          <w:color w:val="231F20"/>
        </w:rPr>
        <w:t>≥</w:t>
      </w:r>
      <w:r>
        <w:rPr>
          <w:color w:val="231F20"/>
          <w:spacing w:val="-7"/>
        </w:rPr>
        <w:t> </w:t>
      </w:r>
      <w:r>
        <w:rPr>
          <w:color w:val="231F20"/>
        </w:rPr>
        <w:t>0.05)</w:t>
      </w:r>
      <w:r>
        <w:rPr>
          <w:color w:val="231F20"/>
          <w:spacing w:val="-7"/>
        </w:rPr>
        <w:t> </w:t>
      </w:r>
      <w:r>
        <w:rPr>
          <w:color w:val="231F20"/>
        </w:rPr>
        <w:t>para</w:t>
      </w:r>
      <w:r>
        <w:rPr>
          <w:color w:val="231F20"/>
          <w:spacing w:val="-7"/>
        </w:rPr>
        <w:t> </w:t>
      </w:r>
      <w:r>
        <w:rPr>
          <w:color w:val="231F20"/>
        </w:rPr>
        <w:t>la</w:t>
      </w:r>
      <w:r>
        <w:rPr>
          <w:color w:val="231F20"/>
          <w:spacing w:val="-7"/>
        </w:rPr>
        <w:t> </w:t>
      </w:r>
      <w:r>
        <w:rPr>
          <w:color w:val="231F20"/>
        </w:rPr>
        <w:t>interacción</w:t>
      </w:r>
      <w:r>
        <w:rPr>
          <w:color w:val="231F20"/>
          <w:spacing w:val="-7"/>
        </w:rPr>
        <w:t> </w:t>
      </w:r>
      <w:r>
        <w:rPr>
          <w:color w:val="231F20"/>
        </w:rPr>
        <w:t>gxa,</w:t>
      </w:r>
      <w:r>
        <w:rPr>
          <w:color w:val="231F20"/>
          <w:spacing w:val="-7"/>
        </w:rPr>
        <w:t> </w:t>
      </w:r>
      <w:r>
        <w:rPr>
          <w:color w:val="231F20"/>
        </w:rPr>
        <w:t>y</w:t>
      </w:r>
      <w:r>
        <w:rPr>
          <w:color w:val="231F20"/>
          <w:spacing w:val="-7"/>
        </w:rPr>
        <w:t> </w:t>
      </w:r>
      <w:r>
        <w:rPr>
          <w:color w:val="231F20"/>
        </w:rPr>
        <w:t>por</w:t>
      </w:r>
      <w:r>
        <w:rPr>
          <w:color w:val="231F20"/>
          <w:spacing w:val="-7"/>
        </w:rPr>
        <w:t> </w:t>
      </w:r>
      <w:r>
        <w:rPr>
          <w:color w:val="231F20"/>
        </w:rPr>
        <w:t>ello</w:t>
      </w:r>
      <w:r>
        <w:rPr>
          <w:color w:val="231F20"/>
          <w:spacing w:val="-7"/>
        </w:rPr>
        <w:t> </w:t>
      </w:r>
      <w:r>
        <w:rPr>
          <w:color w:val="231F20"/>
        </w:rPr>
        <w:t>la</w:t>
      </w:r>
      <w:r>
        <w:rPr>
          <w:color w:val="231F20"/>
          <w:spacing w:val="-7"/>
        </w:rPr>
        <w:t> </w:t>
      </w:r>
      <w:r>
        <w:rPr>
          <w:color w:val="231F20"/>
        </w:rPr>
        <w:t>descomposición de</w:t>
      </w:r>
      <w:r>
        <w:rPr>
          <w:color w:val="231F20"/>
          <w:spacing w:val="-10"/>
        </w:rPr>
        <w:t> </w:t>
      </w:r>
      <w:r>
        <w:rPr>
          <w:color w:val="231F20"/>
        </w:rPr>
        <w:t>ésta</w:t>
      </w:r>
      <w:r>
        <w:rPr>
          <w:color w:val="231F20"/>
          <w:spacing w:val="-10"/>
        </w:rPr>
        <w:t> </w:t>
      </w:r>
      <w:r>
        <w:rPr>
          <w:color w:val="231F20"/>
        </w:rPr>
        <w:t>por</w:t>
      </w:r>
      <w:r>
        <w:rPr>
          <w:color w:val="231F20"/>
          <w:spacing w:val="-10"/>
        </w:rPr>
        <w:t> </w:t>
      </w:r>
      <w:r>
        <w:rPr>
          <w:color w:val="231F20"/>
        </w:rPr>
        <w:t>el</w:t>
      </w:r>
      <w:r>
        <w:rPr>
          <w:color w:val="231F20"/>
          <w:spacing w:val="-22"/>
        </w:rPr>
        <w:t> </w:t>
      </w:r>
      <w:r>
        <w:rPr>
          <w:color w:val="231F20"/>
        </w:rPr>
        <w:t>AMMI</w:t>
      </w:r>
      <w:r>
        <w:rPr>
          <w:color w:val="231F20"/>
          <w:spacing w:val="-10"/>
        </w:rPr>
        <w:t> </w:t>
      </w:r>
      <w:r>
        <w:rPr>
          <w:color w:val="231F20"/>
        </w:rPr>
        <w:t>(ACP1</w:t>
      </w:r>
      <w:r>
        <w:rPr>
          <w:color w:val="231F20"/>
          <w:spacing w:val="-10"/>
        </w:rPr>
        <w:t> </w:t>
      </w:r>
      <w:r>
        <w:rPr>
          <w:color w:val="231F20"/>
        </w:rPr>
        <w:t>y</w:t>
      </w:r>
      <w:r>
        <w:rPr>
          <w:color w:val="231F20"/>
          <w:spacing w:val="-22"/>
        </w:rPr>
        <w:t> </w:t>
      </w:r>
      <w:r>
        <w:rPr>
          <w:color w:val="231F20"/>
        </w:rPr>
        <w:t>ACP2)</w:t>
      </w:r>
      <w:r>
        <w:rPr>
          <w:color w:val="231F20"/>
          <w:spacing w:val="-10"/>
        </w:rPr>
        <w:t> </w:t>
      </w:r>
      <w:r>
        <w:rPr>
          <w:color w:val="231F20"/>
        </w:rPr>
        <w:t>no</w:t>
      </w:r>
      <w:r>
        <w:rPr>
          <w:color w:val="231F20"/>
          <w:spacing w:val="-10"/>
        </w:rPr>
        <w:t> </w:t>
      </w:r>
      <w:r>
        <w:rPr>
          <w:color w:val="231F20"/>
        </w:rPr>
        <w:t>da</w:t>
      </w:r>
      <w:r>
        <w:rPr>
          <w:color w:val="231F20"/>
          <w:spacing w:val="-10"/>
        </w:rPr>
        <w:t> </w:t>
      </w:r>
      <w:r>
        <w:rPr>
          <w:color w:val="231F20"/>
        </w:rPr>
        <w:t>significancia.</w:t>
      </w:r>
      <w:r>
        <w:rPr>
          <w:color w:val="231F20"/>
          <w:spacing w:val="-10"/>
        </w:rPr>
        <w:t> </w:t>
      </w:r>
      <w:r>
        <w:rPr>
          <w:color w:val="231F20"/>
        </w:rPr>
        <w:t>Lo</w:t>
      </w:r>
      <w:r>
        <w:rPr>
          <w:color w:val="231F20"/>
          <w:spacing w:val="-10"/>
        </w:rPr>
        <w:t> </w:t>
      </w:r>
      <w:r>
        <w:rPr>
          <w:color w:val="231F20"/>
        </w:rPr>
        <w:t>anterior</w:t>
      </w:r>
      <w:r>
        <w:rPr>
          <w:color w:val="231F20"/>
          <w:spacing w:val="-10"/>
        </w:rPr>
        <w:t> </w:t>
      </w:r>
      <w:r>
        <w:rPr>
          <w:color w:val="231F20"/>
        </w:rPr>
        <w:t>implica</w:t>
      </w:r>
      <w:r>
        <w:rPr>
          <w:color w:val="231F20"/>
          <w:spacing w:val="-10"/>
        </w:rPr>
        <w:t> </w:t>
      </w:r>
      <w:r>
        <w:rPr>
          <w:color w:val="231F20"/>
        </w:rPr>
        <w:t>que,</w:t>
      </w:r>
      <w:r>
        <w:rPr>
          <w:color w:val="231F20"/>
          <w:spacing w:val="-10"/>
        </w:rPr>
        <w:t> </w:t>
      </w:r>
      <w:r>
        <w:rPr>
          <w:color w:val="231F20"/>
        </w:rPr>
        <w:t>en</w:t>
      </w:r>
      <w:r>
        <w:rPr>
          <w:color w:val="231F20"/>
          <w:spacing w:val="-10"/>
        </w:rPr>
        <w:t> </w:t>
      </w:r>
      <w:r>
        <w:rPr>
          <w:color w:val="231F20"/>
        </w:rPr>
        <w:t>gran</w:t>
      </w:r>
      <w:r>
        <w:rPr>
          <w:color w:val="231F20"/>
          <w:spacing w:val="-10"/>
        </w:rPr>
        <w:t> </w:t>
      </w:r>
      <w:r>
        <w:rPr>
          <w:color w:val="231F20"/>
        </w:rPr>
        <w:t>medida,</w:t>
      </w:r>
      <w:r>
        <w:rPr>
          <w:color w:val="231F20"/>
          <w:spacing w:val="-10"/>
        </w:rPr>
        <w:t> </w:t>
      </w:r>
      <w:r>
        <w:rPr>
          <w:color w:val="231F20"/>
        </w:rPr>
        <w:t>el comportamiento</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genotipos</w:t>
      </w:r>
      <w:r>
        <w:rPr>
          <w:color w:val="231F20"/>
          <w:spacing w:val="-8"/>
        </w:rPr>
        <w:t> </w:t>
      </w:r>
      <w:r>
        <w:rPr>
          <w:color w:val="231F20"/>
        </w:rPr>
        <w:t>siguen</w:t>
      </w:r>
      <w:r>
        <w:rPr>
          <w:color w:val="231F20"/>
          <w:spacing w:val="-8"/>
        </w:rPr>
        <w:t> </w:t>
      </w:r>
      <w:r>
        <w:rPr>
          <w:color w:val="231F20"/>
        </w:rPr>
        <w:t>los</w:t>
      </w:r>
      <w:r>
        <w:rPr>
          <w:color w:val="231F20"/>
          <w:spacing w:val="-8"/>
        </w:rPr>
        <w:t> </w:t>
      </w:r>
      <w:r>
        <w:rPr>
          <w:color w:val="231F20"/>
        </w:rPr>
        <w:t>cambios</w:t>
      </w:r>
      <w:r>
        <w:rPr>
          <w:color w:val="231F20"/>
          <w:spacing w:val="-8"/>
        </w:rPr>
        <w:t> </w:t>
      </w:r>
      <w:r>
        <w:rPr>
          <w:color w:val="231F20"/>
        </w:rPr>
        <w:t>en</w:t>
      </w:r>
      <w:r>
        <w:rPr>
          <w:color w:val="231F20"/>
          <w:spacing w:val="-8"/>
        </w:rPr>
        <w:t> </w:t>
      </w:r>
      <w:r>
        <w:rPr>
          <w:color w:val="231F20"/>
        </w:rPr>
        <w:t>forma</w:t>
      </w:r>
      <w:r>
        <w:rPr>
          <w:color w:val="231F20"/>
          <w:spacing w:val="-8"/>
        </w:rPr>
        <w:t> </w:t>
      </w:r>
      <w:r>
        <w:rPr>
          <w:color w:val="231F20"/>
        </w:rPr>
        <w:t>“paralela”</w:t>
      </w:r>
      <w:r>
        <w:rPr>
          <w:color w:val="231F20"/>
          <w:spacing w:val="-8"/>
        </w:rPr>
        <w:t> </w:t>
      </w:r>
      <w:r>
        <w:rPr>
          <w:color w:val="231F20"/>
        </w:rPr>
        <w:t>a</w:t>
      </w:r>
      <w:r>
        <w:rPr>
          <w:color w:val="231F20"/>
          <w:spacing w:val="-8"/>
        </w:rPr>
        <w:t> </w:t>
      </w:r>
      <w:r>
        <w:rPr>
          <w:color w:val="231F20"/>
        </w:rPr>
        <w:t>los</w:t>
      </w:r>
      <w:r>
        <w:rPr>
          <w:color w:val="231F20"/>
          <w:spacing w:val="-8"/>
        </w:rPr>
        <w:t> </w:t>
      </w:r>
      <w:r>
        <w:rPr>
          <w:color w:val="231F20"/>
        </w:rPr>
        <w:t>cambios</w:t>
      </w:r>
      <w:r>
        <w:rPr>
          <w:color w:val="231F20"/>
          <w:spacing w:val="-8"/>
        </w:rPr>
        <w:t> </w:t>
      </w:r>
      <w:r>
        <w:rPr>
          <w:color w:val="231F20"/>
        </w:rPr>
        <w:t>del</w:t>
      </w:r>
      <w:r>
        <w:rPr>
          <w:color w:val="231F20"/>
          <w:spacing w:val="-8"/>
        </w:rPr>
        <w:t> </w:t>
      </w:r>
      <w:r>
        <w:rPr>
          <w:color w:val="231F20"/>
        </w:rPr>
        <w:t>ambiente (Crossa y Cornelius, 2002; </w:t>
      </w:r>
      <w:r>
        <w:rPr>
          <w:color w:val="231F20"/>
          <w:spacing w:val="-7"/>
        </w:rPr>
        <w:t>Yan </w:t>
      </w:r>
      <w:r>
        <w:rPr>
          <w:color w:val="231F20"/>
        </w:rPr>
        <w:t>y Hunt,</w:t>
      </w:r>
      <w:r>
        <w:rPr>
          <w:color w:val="231F20"/>
          <w:spacing w:val="-1"/>
        </w:rPr>
        <w:t> </w:t>
      </w:r>
      <w:r>
        <w:rPr>
          <w:color w:val="231F20"/>
        </w:rPr>
        <w:t>2002).</w:t>
      </w:r>
    </w:p>
    <w:p>
      <w:pPr>
        <w:pStyle w:val="BodyText"/>
        <w:spacing w:before="4"/>
      </w:pPr>
    </w:p>
    <w:p>
      <w:pPr>
        <w:spacing w:line="290" w:lineRule="auto" w:before="0"/>
        <w:ind w:left="2604" w:right="2232" w:hanging="244"/>
        <w:jc w:val="left"/>
        <w:rPr>
          <w:b/>
          <w:sz w:val="18"/>
        </w:rPr>
      </w:pPr>
      <w:r>
        <w:rPr/>
        <w:pict>
          <v:line style="position:absolute;mso-position-horizontal-relative:page;mso-position-vertical-relative:paragraph;z-index:1768;mso-wrap-distance-left:0;mso-wrap-distance-right:0" from="63.519699pt,31.455729pt" to="482.480699pt,31.455729pt" stroked="true" strokeweight=".75pt" strokecolor="#010202">
            <w10:wrap type="topAndBottom"/>
          </v:line>
        </w:pict>
      </w:r>
      <w:r>
        <w:rPr>
          <w:b/>
          <w:color w:val="010202"/>
          <w:sz w:val="18"/>
        </w:rPr>
        <w:t>Cuadro 1. Análisis AMMI para rendimiento de grano (Ton/ha) de ocho genotipos de maíz QPM evaluados en cuatro ambientes. Veracruz, México 2009-2011</w:t>
      </w:r>
    </w:p>
    <w:tbl>
      <w:tblPr>
        <w:tblW w:w="0" w:type="auto"/>
        <w:jc w:val="left"/>
        <w:tblInd w:w="127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80"/>
        <w:gridCol w:w="1810"/>
        <w:gridCol w:w="2322"/>
        <w:gridCol w:w="1967"/>
      </w:tblGrid>
      <w:tr>
        <w:trPr>
          <w:trHeight w:val="314" w:hRule="exact"/>
        </w:trPr>
        <w:tc>
          <w:tcPr>
            <w:tcW w:w="2280" w:type="dxa"/>
            <w:tcBorders>
              <w:bottom w:val="single" w:sz="6" w:space="0" w:color="010202"/>
            </w:tcBorders>
          </w:tcPr>
          <w:p>
            <w:pPr>
              <w:pStyle w:val="TableParagraph"/>
              <w:spacing w:before="76"/>
              <w:ind w:left="140"/>
              <w:rPr>
                <w:b/>
                <w:sz w:val="18"/>
              </w:rPr>
            </w:pPr>
            <w:r>
              <w:rPr>
                <w:b/>
                <w:color w:val="231F20"/>
                <w:sz w:val="18"/>
              </w:rPr>
              <w:t>Fuente de Variación</w:t>
            </w:r>
          </w:p>
        </w:tc>
        <w:tc>
          <w:tcPr>
            <w:tcW w:w="1810" w:type="dxa"/>
            <w:tcBorders>
              <w:bottom w:val="single" w:sz="6" w:space="0" w:color="010202"/>
            </w:tcBorders>
          </w:tcPr>
          <w:p>
            <w:pPr>
              <w:pStyle w:val="TableParagraph"/>
              <w:spacing w:before="76"/>
              <w:ind w:left="600"/>
              <w:rPr>
                <w:b/>
                <w:sz w:val="18"/>
              </w:rPr>
            </w:pPr>
            <w:r>
              <w:rPr>
                <w:b/>
                <w:color w:val="231F20"/>
                <w:sz w:val="18"/>
              </w:rPr>
              <w:t>GL</w:t>
            </w:r>
          </w:p>
        </w:tc>
        <w:tc>
          <w:tcPr>
            <w:tcW w:w="2322" w:type="dxa"/>
            <w:tcBorders>
              <w:bottom w:val="single" w:sz="6" w:space="0" w:color="010202"/>
            </w:tcBorders>
          </w:tcPr>
          <w:p>
            <w:pPr>
              <w:pStyle w:val="TableParagraph"/>
              <w:spacing w:before="76"/>
              <w:ind w:left="949"/>
              <w:rPr>
                <w:b/>
                <w:sz w:val="18"/>
              </w:rPr>
            </w:pPr>
            <w:r>
              <w:rPr>
                <w:b/>
                <w:color w:val="231F20"/>
                <w:sz w:val="18"/>
              </w:rPr>
              <w:t>SC</w:t>
            </w:r>
          </w:p>
        </w:tc>
        <w:tc>
          <w:tcPr>
            <w:tcW w:w="1967" w:type="dxa"/>
            <w:tcBorders>
              <w:bottom w:val="single" w:sz="6" w:space="0" w:color="010202"/>
            </w:tcBorders>
          </w:tcPr>
          <w:p>
            <w:pPr>
              <w:pStyle w:val="TableParagraph"/>
              <w:spacing w:before="76"/>
              <w:ind w:left="787"/>
              <w:rPr>
                <w:b/>
                <w:sz w:val="18"/>
              </w:rPr>
            </w:pPr>
            <w:r>
              <w:rPr>
                <w:b/>
                <w:color w:val="231F20"/>
                <w:sz w:val="18"/>
              </w:rPr>
              <w:t>CM</w:t>
            </w:r>
          </w:p>
        </w:tc>
      </w:tr>
      <w:tr>
        <w:trPr>
          <w:trHeight w:val="251" w:hRule="exact"/>
        </w:trPr>
        <w:tc>
          <w:tcPr>
            <w:tcW w:w="2280" w:type="dxa"/>
            <w:tcBorders>
              <w:top w:val="single" w:sz="6" w:space="0" w:color="010202"/>
            </w:tcBorders>
          </w:tcPr>
          <w:p>
            <w:pPr>
              <w:pStyle w:val="TableParagraph"/>
              <w:spacing w:before="5"/>
              <w:ind w:left="140"/>
              <w:rPr>
                <w:sz w:val="18"/>
              </w:rPr>
            </w:pPr>
            <w:r>
              <w:rPr>
                <w:color w:val="231F20"/>
                <w:sz w:val="18"/>
              </w:rPr>
              <w:t>Genotipos (g)</w:t>
            </w:r>
          </w:p>
        </w:tc>
        <w:tc>
          <w:tcPr>
            <w:tcW w:w="1810" w:type="dxa"/>
            <w:tcBorders>
              <w:top w:val="single" w:sz="6" w:space="0" w:color="010202"/>
            </w:tcBorders>
          </w:tcPr>
          <w:p>
            <w:pPr>
              <w:pStyle w:val="TableParagraph"/>
              <w:spacing w:before="5"/>
              <w:ind w:left="599"/>
              <w:rPr>
                <w:sz w:val="18"/>
              </w:rPr>
            </w:pPr>
            <w:r>
              <w:rPr>
                <w:color w:val="231F20"/>
                <w:sz w:val="18"/>
              </w:rPr>
              <w:t>7</w:t>
            </w:r>
          </w:p>
        </w:tc>
        <w:tc>
          <w:tcPr>
            <w:tcW w:w="2322" w:type="dxa"/>
            <w:tcBorders>
              <w:top w:val="single" w:sz="6" w:space="0" w:color="010202"/>
            </w:tcBorders>
          </w:tcPr>
          <w:p>
            <w:pPr>
              <w:pStyle w:val="TableParagraph"/>
              <w:spacing w:before="5"/>
              <w:ind w:left="949"/>
              <w:rPr>
                <w:sz w:val="18"/>
              </w:rPr>
            </w:pPr>
            <w:r>
              <w:rPr>
                <w:color w:val="231F20"/>
                <w:sz w:val="18"/>
              </w:rPr>
              <w:t>10.5576</w:t>
            </w:r>
          </w:p>
        </w:tc>
        <w:tc>
          <w:tcPr>
            <w:tcW w:w="1967" w:type="dxa"/>
            <w:tcBorders>
              <w:top w:val="single" w:sz="6" w:space="0" w:color="010202"/>
            </w:tcBorders>
          </w:tcPr>
          <w:p>
            <w:pPr>
              <w:pStyle w:val="TableParagraph"/>
              <w:spacing w:before="5"/>
              <w:ind w:left="787"/>
              <w:rPr>
                <w:sz w:val="18"/>
              </w:rPr>
            </w:pPr>
            <w:r>
              <w:rPr>
                <w:color w:val="231F20"/>
                <w:sz w:val="18"/>
              </w:rPr>
              <w:t>1.51*</w:t>
            </w:r>
          </w:p>
        </w:tc>
      </w:tr>
      <w:tr>
        <w:trPr>
          <w:trHeight w:val="250" w:hRule="exact"/>
        </w:trPr>
        <w:tc>
          <w:tcPr>
            <w:tcW w:w="2280" w:type="dxa"/>
          </w:tcPr>
          <w:p>
            <w:pPr>
              <w:pStyle w:val="TableParagraph"/>
              <w:spacing w:before="12"/>
              <w:ind w:left="140"/>
              <w:rPr>
                <w:sz w:val="18"/>
              </w:rPr>
            </w:pPr>
            <w:r>
              <w:rPr>
                <w:color w:val="231F20"/>
                <w:sz w:val="18"/>
              </w:rPr>
              <w:t>Ambientes (a)</w:t>
            </w:r>
          </w:p>
        </w:tc>
        <w:tc>
          <w:tcPr>
            <w:tcW w:w="1810" w:type="dxa"/>
          </w:tcPr>
          <w:p>
            <w:pPr>
              <w:pStyle w:val="TableParagraph"/>
              <w:spacing w:before="12"/>
              <w:ind w:left="599"/>
              <w:rPr>
                <w:sz w:val="18"/>
              </w:rPr>
            </w:pPr>
            <w:r>
              <w:rPr>
                <w:color w:val="231F20"/>
                <w:sz w:val="18"/>
              </w:rPr>
              <w:t>3</w:t>
            </w:r>
          </w:p>
        </w:tc>
        <w:tc>
          <w:tcPr>
            <w:tcW w:w="2322" w:type="dxa"/>
          </w:tcPr>
          <w:p>
            <w:pPr>
              <w:pStyle w:val="TableParagraph"/>
              <w:spacing w:before="12"/>
              <w:ind w:left="949"/>
              <w:rPr>
                <w:sz w:val="18"/>
              </w:rPr>
            </w:pPr>
            <w:r>
              <w:rPr>
                <w:color w:val="231F20"/>
                <w:sz w:val="18"/>
              </w:rPr>
              <w:t>21.0795</w:t>
            </w:r>
          </w:p>
        </w:tc>
        <w:tc>
          <w:tcPr>
            <w:tcW w:w="1967" w:type="dxa"/>
          </w:tcPr>
          <w:p>
            <w:pPr>
              <w:pStyle w:val="TableParagraph"/>
              <w:spacing w:before="12"/>
              <w:ind w:left="787"/>
              <w:rPr>
                <w:sz w:val="18"/>
              </w:rPr>
            </w:pPr>
            <w:r>
              <w:rPr>
                <w:color w:val="231F20"/>
                <w:sz w:val="18"/>
              </w:rPr>
              <w:t>7.03**</w:t>
            </w:r>
          </w:p>
        </w:tc>
      </w:tr>
      <w:tr>
        <w:trPr>
          <w:trHeight w:val="250" w:hRule="exact"/>
        </w:trPr>
        <w:tc>
          <w:tcPr>
            <w:tcW w:w="2280" w:type="dxa"/>
          </w:tcPr>
          <w:p>
            <w:pPr>
              <w:pStyle w:val="TableParagraph"/>
              <w:spacing w:before="12"/>
              <w:ind w:left="140"/>
              <w:rPr>
                <w:sz w:val="18"/>
              </w:rPr>
            </w:pPr>
            <w:r>
              <w:rPr>
                <w:color w:val="231F20"/>
                <w:sz w:val="18"/>
              </w:rPr>
              <w:t>Interacción (gxa)</w:t>
            </w:r>
          </w:p>
        </w:tc>
        <w:tc>
          <w:tcPr>
            <w:tcW w:w="1810" w:type="dxa"/>
          </w:tcPr>
          <w:p>
            <w:pPr>
              <w:pStyle w:val="TableParagraph"/>
              <w:spacing w:before="12"/>
              <w:ind w:left="599"/>
              <w:rPr>
                <w:sz w:val="18"/>
              </w:rPr>
            </w:pPr>
            <w:r>
              <w:rPr>
                <w:color w:val="231F20"/>
                <w:sz w:val="18"/>
              </w:rPr>
              <w:t>21</w:t>
            </w:r>
          </w:p>
        </w:tc>
        <w:tc>
          <w:tcPr>
            <w:tcW w:w="2322" w:type="dxa"/>
          </w:tcPr>
          <w:p>
            <w:pPr>
              <w:pStyle w:val="TableParagraph"/>
              <w:spacing w:before="12"/>
              <w:ind w:left="949"/>
              <w:rPr>
                <w:sz w:val="18"/>
              </w:rPr>
            </w:pPr>
            <w:r>
              <w:rPr>
                <w:color w:val="231F20"/>
                <w:sz w:val="18"/>
              </w:rPr>
              <w:t>8.8261</w:t>
            </w:r>
          </w:p>
        </w:tc>
        <w:tc>
          <w:tcPr>
            <w:tcW w:w="1967" w:type="dxa"/>
          </w:tcPr>
          <w:p>
            <w:pPr>
              <w:pStyle w:val="TableParagraph"/>
              <w:spacing w:before="12"/>
              <w:ind w:left="787"/>
              <w:rPr>
                <w:sz w:val="18"/>
              </w:rPr>
            </w:pPr>
            <w:r>
              <w:rPr>
                <w:color w:val="231F20"/>
                <w:sz w:val="18"/>
              </w:rPr>
              <w:t>0.42ns</w:t>
            </w:r>
          </w:p>
        </w:tc>
      </w:tr>
      <w:tr>
        <w:trPr>
          <w:trHeight w:val="250" w:hRule="exact"/>
        </w:trPr>
        <w:tc>
          <w:tcPr>
            <w:tcW w:w="2280" w:type="dxa"/>
          </w:tcPr>
          <w:p>
            <w:pPr>
              <w:pStyle w:val="TableParagraph"/>
              <w:spacing w:before="12"/>
              <w:ind w:left="140"/>
              <w:rPr>
                <w:sz w:val="18"/>
              </w:rPr>
            </w:pPr>
            <w:r>
              <w:rPr>
                <w:color w:val="231F20"/>
                <w:sz w:val="18"/>
              </w:rPr>
              <w:t>ACP1</w:t>
            </w:r>
          </w:p>
        </w:tc>
        <w:tc>
          <w:tcPr>
            <w:tcW w:w="1810" w:type="dxa"/>
          </w:tcPr>
          <w:p>
            <w:pPr>
              <w:pStyle w:val="TableParagraph"/>
              <w:spacing w:before="12"/>
              <w:ind w:left="599"/>
              <w:rPr>
                <w:sz w:val="18"/>
              </w:rPr>
            </w:pPr>
            <w:r>
              <w:rPr>
                <w:color w:val="231F20"/>
                <w:sz w:val="18"/>
              </w:rPr>
              <w:t>9</w:t>
            </w:r>
          </w:p>
        </w:tc>
        <w:tc>
          <w:tcPr>
            <w:tcW w:w="2322" w:type="dxa"/>
          </w:tcPr>
          <w:p>
            <w:pPr>
              <w:pStyle w:val="TableParagraph"/>
              <w:spacing w:before="12"/>
              <w:ind w:left="949"/>
              <w:rPr>
                <w:sz w:val="18"/>
              </w:rPr>
            </w:pPr>
            <w:r>
              <w:rPr>
                <w:color w:val="231F20"/>
                <w:sz w:val="18"/>
              </w:rPr>
              <w:t>38.6129</w:t>
            </w:r>
          </w:p>
        </w:tc>
        <w:tc>
          <w:tcPr>
            <w:tcW w:w="1967" w:type="dxa"/>
          </w:tcPr>
          <w:p>
            <w:pPr>
              <w:pStyle w:val="TableParagraph"/>
              <w:spacing w:before="12"/>
              <w:ind w:left="787"/>
              <w:rPr>
                <w:sz w:val="18"/>
              </w:rPr>
            </w:pPr>
            <w:r>
              <w:rPr>
                <w:color w:val="231F20"/>
                <w:sz w:val="18"/>
              </w:rPr>
              <w:t>4.29ns</w:t>
            </w:r>
          </w:p>
        </w:tc>
      </w:tr>
      <w:tr>
        <w:trPr>
          <w:trHeight w:val="250" w:hRule="exact"/>
        </w:trPr>
        <w:tc>
          <w:tcPr>
            <w:tcW w:w="2280" w:type="dxa"/>
          </w:tcPr>
          <w:p>
            <w:pPr>
              <w:pStyle w:val="TableParagraph"/>
              <w:spacing w:before="12"/>
              <w:ind w:left="140"/>
              <w:rPr>
                <w:sz w:val="18"/>
              </w:rPr>
            </w:pPr>
            <w:r>
              <w:rPr>
                <w:color w:val="231F20"/>
                <w:sz w:val="18"/>
              </w:rPr>
              <w:t>ACP2</w:t>
            </w:r>
          </w:p>
        </w:tc>
        <w:tc>
          <w:tcPr>
            <w:tcW w:w="1810" w:type="dxa"/>
          </w:tcPr>
          <w:p>
            <w:pPr>
              <w:pStyle w:val="TableParagraph"/>
              <w:spacing w:before="12"/>
              <w:ind w:left="599"/>
              <w:rPr>
                <w:sz w:val="18"/>
              </w:rPr>
            </w:pPr>
            <w:r>
              <w:rPr>
                <w:color w:val="231F20"/>
                <w:sz w:val="18"/>
              </w:rPr>
              <w:t>7</w:t>
            </w:r>
          </w:p>
        </w:tc>
        <w:tc>
          <w:tcPr>
            <w:tcW w:w="2322" w:type="dxa"/>
          </w:tcPr>
          <w:p>
            <w:pPr>
              <w:pStyle w:val="TableParagraph"/>
              <w:spacing w:before="12"/>
              <w:ind w:left="949"/>
              <w:rPr>
                <w:sz w:val="18"/>
              </w:rPr>
            </w:pPr>
            <w:r>
              <w:rPr>
                <w:color w:val="231F20"/>
                <w:sz w:val="18"/>
              </w:rPr>
              <w:t>33.8299</w:t>
            </w:r>
          </w:p>
        </w:tc>
        <w:tc>
          <w:tcPr>
            <w:tcW w:w="1967" w:type="dxa"/>
          </w:tcPr>
          <w:p>
            <w:pPr>
              <w:pStyle w:val="TableParagraph"/>
              <w:spacing w:before="12"/>
              <w:ind w:left="787"/>
              <w:rPr>
                <w:sz w:val="18"/>
              </w:rPr>
            </w:pPr>
            <w:r>
              <w:rPr>
                <w:color w:val="231F20"/>
                <w:sz w:val="18"/>
              </w:rPr>
              <w:t>4.83ns</w:t>
            </w:r>
          </w:p>
        </w:tc>
      </w:tr>
      <w:tr>
        <w:trPr>
          <w:trHeight w:val="250" w:hRule="exact"/>
        </w:trPr>
        <w:tc>
          <w:tcPr>
            <w:tcW w:w="2280" w:type="dxa"/>
          </w:tcPr>
          <w:p>
            <w:pPr>
              <w:pStyle w:val="TableParagraph"/>
              <w:spacing w:before="12"/>
              <w:ind w:left="140"/>
              <w:rPr>
                <w:sz w:val="18"/>
              </w:rPr>
            </w:pPr>
            <w:r>
              <w:rPr>
                <w:color w:val="231F20"/>
                <w:sz w:val="18"/>
              </w:rPr>
              <w:t>Error</w:t>
            </w:r>
          </w:p>
        </w:tc>
        <w:tc>
          <w:tcPr>
            <w:tcW w:w="1810" w:type="dxa"/>
          </w:tcPr>
          <w:p>
            <w:pPr>
              <w:pStyle w:val="TableParagraph"/>
              <w:spacing w:before="12"/>
              <w:ind w:left="599"/>
              <w:rPr>
                <w:sz w:val="18"/>
              </w:rPr>
            </w:pPr>
            <w:r>
              <w:rPr>
                <w:color w:val="231F20"/>
                <w:sz w:val="18"/>
              </w:rPr>
              <w:t>31</w:t>
            </w:r>
          </w:p>
        </w:tc>
        <w:tc>
          <w:tcPr>
            <w:tcW w:w="2322" w:type="dxa"/>
          </w:tcPr>
          <w:p>
            <w:pPr>
              <w:pStyle w:val="TableParagraph"/>
              <w:spacing w:before="12"/>
              <w:ind w:left="949"/>
              <w:rPr>
                <w:sz w:val="18"/>
              </w:rPr>
            </w:pPr>
            <w:r>
              <w:rPr>
                <w:color w:val="231F20"/>
                <w:sz w:val="18"/>
              </w:rPr>
              <w:t>20.0648</w:t>
            </w:r>
          </w:p>
        </w:tc>
        <w:tc>
          <w:tcPr>
            <w:tcW w:w="1967" w:type="dxa"/>
          </w:tcPr>
          <w:p>
            <w:pPr>
              <w:pStyle w:val="TableParagraph"/>
              <w:spacing w:before="12"/>
              <w:ind w:left="787"/>
              <w:rPr>
                <w:sz w:val="18"/>
              </w:rPr>
            </w:pPr>
            <w:r>
              <w:rPr>
                <w:color w:val="231F20"/>
                <w:sz w:val="18"/>
              </w:rPr>
              <w:t>0.65</w:t>
            </w:r>
          </w:p>
        </w:tc>
      </w:tr>
      <w:tr>
        <w:trPr>
          <w:trHeight w:val="315" w:hRule="exact"/>
        </w:trPr>
        <w:tc>
          <w:tcPr>
            <w:tcW w:w="2280" w:type="dxa"/>
          </w:tcPr>
          <w:p>
            <w:pPr>
              <w:pStyle w:val="TableParagraph"/>
              <w:spacing w:before="12"/>
              <w:ind w:left="140"/>
              <w:rPr>
                <w:sz w:val="18"/>
              </w:rPr>
            </w:pPr>
            <w:r>
              <w:rPr>
                <w:color w:val="231F20"/>
                <w:sz w:val="18"/>
              </w:rPr>
              <w:t>CV (%)</w:t>
            </w:r>
          </w:p>
        </w:tc>
        <w:tc>
          <w:tcPr>
            <w:tcW w:w="1810" w:type="dxa"/>
          </w:tcPr>
          <w:p>
            <w:pPr>
              <w:pStyle w:val="TableParagraph"/>
              <w:spacing w:before="12"/>
              <w:ind w:left="599"/>
              <w:rPr>
                <w:sz w:val="18"/>
              </w:rPr>
            </w:pPr>
            <w:r>
              <w:rPr>
                <w:color w:val="231F20"/>
                <w:sz w:val="18"/>
              </w:rPr>
              <w:t>17</w:t>
            </w:r>
          </w:p>
        </w:tc>
        <w:tc>
          <w:tcPr>
            <w:tcW w:w="2322" w:type="dxa"/>
          </w:tcPr>
          <w:p>
            <w:pPr/>
          </w:p>
        </w:tc>
        <w:tc>
          <w:tcPr>
            <w:tcW w:w="1967" w:type="dxa"/>
          </w:tcPr>
          <w:p>
            <w:pPr/>
          </w:p>
        </w:tc>
      </w:tr>
    </w:tbl>
    <w:p>
      <w:pPr>
        <w:pStyle w:val="BodyText"/>
        <w:spacing w:before="9"/>
        <w:rPr>
          <w:b/>
          <w:sz w:val="7"/>
        </w:rPr>
      </w:pPr>
    </w:p>
    <w:p>
      <w:pPr>
        <w:pStyle w:val="BodyText"/>
        <w:spacing w:line="20" w:lineRule="exact"/>
        <w:ind w:left="1262"/>
        <w:rPr>
          <w:sz w:val="2"/>
        </w:rPr>
      </w:pPr>
      <w:r>
        <w:rPr>
          <w:sz w:val="2"/>
        </w:rPr>
        <w:pict>
          <v:group style="width:419.75pt;height:.75pt;mso-position-horizontal-relative:char;mso-position-vertical-relative:line" coordorigin="0,0" coordsize="8395,15">
            <v:line style="position:absolute" from="8,8" to="8387,8" stroked="true" strokeweight=".75pt" strokecolor="#010202"/>
          </v:group>
        </w:pict>
      </w:r>
      <w:r>
        <w:rPr>
          <w:sz w:val="2"/>
        </w:rPr>
      </w:r>
    </w:p>
    <w:p>
      <w:pPr>
        <w:spacing w:line="307" w:lineRule="auto" w:before="104"/>
        <w:ind w:left="1270" w:right="1268" w:firstLine="0"/>
        <w:jc w:val="both"/>
        <w:rPr>
          <w:b/>
          <w:i/>
          <w:sz w:val="17"/>
        </w:rPr>
      </w:pPr>
      <w:r>
        <w:rPr>
          <w:b/>
          <w:i/>
          <w:color w:val="231F20"/>
          <w:sz w:val="17"/>
        </w:rPr>
        <w:t>*</w:t>
      </w:r>
      <w:r>
        <w:rPr>
          <w:b/>
          <w:i/>
          <w:color w:val="231F20"/>
          <w:spacing w:val="-3"/>
          <w:sz w:val="17"/>
        </w:rPr>
        <w:t> </w:t>
      </w:r>
      <w:r>
        <w:rPr>
          <w:b/>
          <w:i/>
          <w:color w:val="231F20"/>
          <w:sz w:val="17"/>
        </w:rPr>
        <w:t>=</w:t>
      </w:r>
      <w:r>
        <w:rPr>
          <w:b/>
          <w:i/>
          <w:color w:val="231F20"/>
          <w:spacing w:val="-3"/>
          <w:sz w:val="17"/>
        </w:rPr>
        <w:t> </w:t>
      </w:r>
      <w:r>
        <w:rPr>
          <w:b/>
          <w:i/>
          <w:color w:val="231F20"/>
          <w:sz w:val="17"/>
        </w:rPr>
        <w:t>P</w:t>
      </w:r>
      <w:r>
        <w:rPr>
          <w:b/>
          <w:i/>
          <w:color w:val="231F20"/>
          <w:spacing w:val="-8"/>
          <w:sz w:val="17"/>
        </w:rPr>
        <w:t> </w:t>
      </w:r>
      <w:r>
        <w:rPr>
          <w:b/>
          <w:i/>
          <w:color w:val="231F20"/>
          <w:sz w:val="17"/>
        </w:rPr>
        <w:t>&lt;</w:t>
      </w:r>
      <w:r>
        <w:rPr>
          <w:b/>
          <w:i/>
          <w:color w:val="231F20"/>
          <w:spacing w:val="-3"/>
          <w:sz w:val="17"/>
        </w:rPr>
        <w:t> </w:t>
      </w:r>
      <w:r>
        <w:rPr>
          <w:b/>
          <w:i/>
          <w:color w:val="231F20"/>
          <w:sz w:val="17"/>
        </w:rPr>
        <w:t>0.05,</w:t>
      </w:r>
      <w:r>
        <w:rPr>
          <w:b/>
          <w:i/>
          <w:color w:val="231F20"/>
          <w:spacing w:val="-3"/>
          <w:sz w:val="17"/>
        </w:rPr>
        <w:t> </w:t>
      </w:r>
      <w:r>
        <w:rPr>
          <w:b/>
          <w:i/>
          <w:color w:val="231F20"/>
          <w:sz w:val="17"/>
        </w:rPr>
        <w:t>**</w:t>
      </w:r>
      <w:r>
        <w:rPr>
          <w:b/>
          <w:i/>
          <w:color w:val="231F20"/>
          <w:spacing w:val="-3"/>
          <w:sz w:val="17"/>
        </w:rPr>
        <w:t> </w:t>
      </w:r>
      <w:r>
        <w:rPr>
          <w:b/>
          <w:i/>
          <w:color w:val="231F20"/>
          <w:sz w:val="17"/>
        </w:rPr>
        <w:t>=</w:t>
      </w:r>
      <w:r>
        <w:rPr>
          <w:b/>
          <w:i/>
          <w:color w:val="231F20"/>
          <w:spacing w:val="-3"/>
          <w:sz w:val="17"/>
        </w:rPr>
        <w:t> </w:t>
      </w:r>
      <w:r>
        <w:rPr>
          <w:b/>
          <w:i/>
          <w:color w:val="231F20"/>
          <w:sz w:val="17"/>
        </w:rPr>
        <w:t>P</w:t>
      </w:r>
      <w:r>
        <w:rPr>
          <w:b/>
          <w:i/>
          <w:color w:val="231F20"/>
          <w:spacing w:val="-8"/>
          <w:sz w:val="17"/>
        </w:rPr>
        <w:t> </w:t>
      </w:r>
      <w:r>
        <w:rPr>
          <w:b/>
          <w:i/>
          <w:color w:val="231F20"/>
          <w:sz w:val="17"/>
        </w:rPr>
        <w:t>&lt;</w:t>
      </w:r>
      <w:r>
        <w:rPr>
          <w:b/>
          <w:i/>
          <w:color w:val="231F20"/>
          <w:spacing w:val="-3"/>
          <w:sz w:val="17"/>
        </w:rPr>
        <w:t> </w:t>
      </w:r>
      <w:r>
        <w:rPr>
          <w:b/>
          <w:i/>
          <w:color w:val="231F20"/>
          <w:sz w:val="17"/>
        </w:rPr>
        <w:t>0.01;</w:t>
      </w:r>
      <w:r>
        <w:rPr>
          <w:b/>
          <w:i/>
          <w:color w:val="231F20"/>
          <w:spacing w:val="-3"/>
          <w:sz w:val="17"/>
        </w:rPr>
        <w:t> </w:t>
      </w:r>
      <w:r>
        <w:rPr>
          <w:b/>
          <w:i/>
          <w:color w:val="231F20"/>
          <w:sz w:val="17"/>
        </w:rPr>
        <w:t>ns</w:t>
      </w:r>
      <w:r>
        <w:rPr>
          <w:b/>
          <w:i/>
          <w:color w:val="231F20"/>
          <w:spacing w:val="-3"/>
          <w:sz w:val="17"/>
        </w:rPr>
        <w:t> </w:t>
      </w:r>
      <w:r>
        <w:rPr>
          <w:b/>
          <w:i/>
          <w:color w:val="231F20"/>
          <w:sz w:val="17"/>
        </w:rPr>
        <w:t>=</w:t>
      </w:r>
      <w:r>
        <w:rPr>
          <w:b/>
          <w:i/>
          <w:color w:val="231F20"/>
          <w:spacing w:val="-3"/>
          <w:sz w:val="17"/>
        </w:rPr>
        <w:t> </w:t>
      </w:r>
      <w:r>
        <w:rPr>
          <w:b/>
          <w:i/>
          <w:color w:val="231F20"/>
          <w:sz w:val="17"/>
        </w:rPr>
        <w:t>no</w:t>
      </w:r>
      <w:r>
        <w:rPr>
          <w:b/>
          <w:i/>
          <w:color w:val="231F20"/>
          <w:spacing w:val="-3"/>
          <w:sz w:val="17"/>
        </w:rPr>
        <w:t> </w:t>
      </w:r>
      <w:r>
        <w:rPr>
          <w:b/>
          <w:i/>
          <w:color w:val="231F20"/>
          <w:sz w:val="17"/>
        </w:rPr>
        <w:t>significativa;</w:t>
      </w:r>
      <w:r>
        <w:rPr>
          <w:b/>
          <w:i/>
          <w:color w:val="231F20"/>
          <w:spacing w:val="-3"/>
          <w:sz w:val="17"/>
        </w:rPr>
        <w:t> </w:t>
      </w:r>
      <w:r>
        <w:rPr>
          <w:b/>
          <w:i/>
          <w:color w:val="231F20"/>
          <w:sz w:val="17"/>
        </w:rPr>
        <w:t>GL</w:t>
      </w:r>
      <w:r>
        <w:rPr>
          <w:b/>
          <w:i/>
          <w:color w:val="231F20"/>
          <w:spacing w:val="-8"/>
          <w:sz w:val="17"/>
        </w:rPr>
        <w:t> </w:t>
      </w:r>
      <w:r>
        <w:rPr>
          <w:b/>
          <w:i/>
          <w:color w:val="231F20"/>
          <w:sz w:val="17"/>
        </w:rPr>
        <w:t>=</w:t>
      </w:r>
      <w:r>
        <w:rPr>
          <w:b/>
          <w:i/>
          <w:color w:val="231F20"/>
          <w:spacing w:val="-3"/>
          <w:sz w:val="17"/>
        </w:rPr>
        <w:t> </w:t>
      </w:r>
      <w:r>
        <w:rPr>
          <w:b/>
          <w:i/>
          <w:color w:val="231F20"/>
          <w:sz w:val="17"/>
        </w:rPr>
        <w:t>grados</w:t>
      </w:r>
      <w:r>
        <w:rPr>
          <w:b/>
          <w:i/>
          <w:color w:val="231F20"/>
          <w:spacing w:val="-3"/>
          <w:sz w:val="17"/>
        </w:rPr>
        <w:t> </w:t>
      </w:r>
      <w:r>
        <w:rPr>
          <w:b/>
          <w:i/>
          <w:color w:val="231F20"/>
          <w:sz w:val="17"/>
        </w:rPr>
        <w:t>de</w:t>
      </w:r>
      <w:r>
        <w:rPr>
          <w:b/>
          <w:i/>
          <w:color w:val="231F20"/>
          <w:spacing w:val="-3"/>
          <w:sz w:val="17"/>
        </w:rPr>
        <w:t> </w:t>
      </w:r>
      <w:r>
        <w:rPr>
          <w:b/>
          <w:i/>
          <w:color w:val="231F20"/>
          <w:sz w:val="17"/>
        </w:rPr>
        <w:t>libertad;</w:t>
      </w:r>
      <w:r>
        <w:rPr>
          <w:b/>
          <w:i/>
          <w:color w:val="231F20"/>
          <w:spacing w:val="-3"/>
          <w:sz w:val="17"/>
        </w:rPr>
        <w:t> </w:t>
      </w:r>
      <w:r>
        <w:rPr>
          <w:b/>
          <w:i/>
          <w:color w:val="231F20"/>
          <w:sz w:val="17"/>
        </w:rPr>
        <w:t>CM</w:t>
      </w:r>
      <w:r>
        <w:rPr>
          <w:b/>
          <w:i/>
          <w:color w:val="231F20"/>
          <w:spacing w:val="-3"/>
          <w:sz w:val="17"/>
        </w:rPr>
        <w:t> </w:t>
      </w:r>
      <w:r>
        <w:rPr>
          <w:b/>
          <w:i/>
          <w:color w:val="231F20"/>
          <w:sz w:val="17"/>
        </w:rPr>
        <w:t>=</w:t>
      </w:r>
      <w:r>
        <w:rPr>
          <w:b/>
          <w:i/>
          <w:color w:val="231F20"/>
          <w:spacing w:val="-3"/>
          <w:sz w:val="17"/>
        </w:rPr>
        <w:t> </w:t>
      </w:r>
      <w:r>
        <w:rPr>
          <w:b/>
          <w:i/>
          <w:color w:val="231F20"/>
          <w:sz w:val="17"/>
        </w:rPr>
        <w:t>cuadrados</w:t>
      </w:r>
      <w:r>
        <w:rPr>
          <w:b/>
          <w:i/>
          <w:color w:val="231F20"/>
          <w:spacing w:val="-3"/>
          <w:sz w:val="17"/>
        </w:rPr>
        <w:t> </w:t>
      </w:r>
      <w:r>
        <w:rPr>
          <w:b/>
          <w:i/>
          <w:color w:val="231F20"/>
          <w:sz w:val="17"/>
        </w:rPr>
        <w:t>medios;</w:t>
      </w:r>
      <w:r>
        <w:rPr>
          <w:b/>
          <w:i/>
          <w:color w:val="231F20"/>
          <w:spacing w:val="-3"/>
          <w:sz w:val="17"/>
        </w:rPr>
        <w:t> </w:t>
      </w:r>
      <w:r>
        <w:rPr>
          <w:b/>
          <w:i/>
          <w:color w:val="231F20"/>
          <w:sz w:val="17"/>
        </w:rPr>
        <w:t>CV</w:t>
      </w:r>
      <w:r>
        <w:rPr>
          <w:b/>
          <w:i/>
          <w:color w:val="231F20"/>
          <w:spacing w:val="-5"/>
          <w:sz w:val="17"/>
        </w:rPr>
        <w:t> </w:t>
      </w:r>
      <w:r>
        <w:rPr>
          <w:b/>
          <w:i/>
          <w:color w:val="231F20"/>
          <w:sz w:val="17"/>
        </w:rPr>
        <w:t>=</w:t>
      </w:r>
      <w:r>
        <w:rPr>
          <w:b/>
          <w:i/>
          <w:color w:val="231F20"/>
          <w:spacing w:val="-3"/>
          <w:sz w:val="17"/>
        </w:rPr>
        <w:t> </w:t>
      </w:r>
      <w:r>
        <w:rPr>
          <w:b/>
          <w:i/>
          <w:color w:val="231F20"/>
          <w:sz w:val="17"/>
        </w:rPr>
        <w:t>coeficiente</w:t>
      </w:r>
      <w:r>
        <w:rPr>
          <w:b/>
          <w:i/>
          <w:color w:val="231F20"/>
          <w:spacing w:val="-3"/>
          <w:sz w:val="17"/>
        </w:rPr>
        <w:t> </w:t>
      </w:r>
      <w:r>
        <w:rPr>
          <w:b/>
          <w:i/>
          <w:color w:val="231F20"/>
          <w:sz w:val="17"/>
        </w:rPr>
        <w:t>de </w:t>
      </w:r>
      <w:r>
        <w:rPr>
          <w:b/>
          <w:i/>
          <w:color w:val="231F20"/>
          <w:sz w:val="17"/>
        </w:rPr>
        <w:t>variación.</w:t>
      </w:r>
    </w:p>
    <w:p>
      <w:pPr>
        <w:pStyle w:val="BodyText"/>
        <w:spacing w:before="7"/>
        <w:rPr>
          <w:b/>
          <w:i/>
          <w:sz w:val="18"/>
        </w:rPr>
      </w:pPr>
    </w:p>
    <w:p>
      <w:pPr>
        <w:pStyle w:val="BodyText"/>
        <w:spacing w:line="247" w:lineRule="auto"/>
        <w:ind w:left="1270" w:right="1268"/>
        <w:jc w:val="both"/>
      </w:pPr>
      <w:r>
        <w:rPr>
          <w:color w:val="231F20"/>
        </w:rPr>
        <w:t>De</w:t>
      </w:r>
      <w:r>
        <w:rPr>
          <w:color w:val="231F20"/>
          <w:spacing w:val="-8"/>
        </w:rPr>
        <w:t> </w:t>
      </w:r>
      <w:r>
        <w:rPr>
          <w:color w:val="231F20"/>
        </w:rPr>
        <w:t>acuerdo</w:t>
      </w:r>
      <w:r>
        <w:rPr>
          <w:color w:val="231F20"/>
          <w:spacing w:val="-8"/>
        </w:rPr>
        <w:t> </w:t>
      </w:r>
      <w:r>
        <w:rPr>
          <w:color w:val="231F20"/>
        </w:rPr>
        <w:t>con</w:t>
      </w:r>
      <w:r>
        <w:rPr>
          <w:color w:val="231F20"/>
          <w:spacing w:val="-8"/>
        </w:rPr>
        <w:t> </w:t>
      </w:r>
      <w:r>
        <w:rPr>
          <w:color w:val="231F20"/>
        </w:rPr>
        <w:t>los</w:t>
      </w:r>
      <w:r>
        <w:rPr>
          <w:color w:val="231F20"/>
          <w:spacing w:val="-8"/>
        </w:rPr>
        <w:t> </w:t>
      </w:r>
      <w:r>
        <w:rPr>
          <w:color w:val="231F20"/>
        </w:rPr>
        <w:t>valores</w:t>
      </w:r>
      <w:r>
        <w:rPr>
          <w:color w:val="231F20"/>
          <w:spacing w:val="-8"/>
        </w:rPr>
        <w:t> </w:t>
      </w:r>
      <w:r>
        <w:rPr>
          <w:color w:val="231F20"/>
        </w:rPr>
        <w:t>de</w:t>
      </w:r>
      <w:r>
        <w:rPr>
          <w:color w:val="231F20"/>
          <w:spacing w:val="-20"/>
        </w:rPr>
        <w:t> </w:t>
      </w:r>
      <w:r>
        <w:rPr>
          <w:color w:val="231F20"/>
        </w:rPr>
        <w:t>ACP1</w:t>
      </w:r>
      <w:r>
        <w:rPr>
          <w:color w:val="231F20"/>
          <w:spacing w:val="-8"/>
        </w:rPr>
        <w:t> </w:t>
      </w:r>
      <w:r>
        <w:rPr>
          <w:color w:val="231F20"/>
        </w:rPr>
        <w:t>(Cuadro</w:t>
      </w:r>
      <w:r>
        <w:rPr>
          <w:color w:val="231F20"/>
          <w:spacing w:val="-8"/>
        </w:rPr>
        <w:t> </w:t>
      </w:r>
      <w:r>
        <w:rPr>
          <w:color w:val="231F20"/>
        </w:rPr>
        <w:t>2)</w:t>
      </w:r>
      <w:r>
        <w:rPr>
          <w:color w:val="231F20"/>
          <w:spacing w:val="-8"/>
        </w:rPr>
        <w:t> </w:t>
      </w:r>
      <w:r>
        <w:rPr>
          <w:color w:val="231F20"/>
        </w:rPr>
        <w:t>la</w:t>
      </w:r>
      <w:r>
        <w:rPr>
          <w:color w:val="231F20"/>
          <w:spacing w:val="-8"/>
        </w:rPr>
        <w:t> </w:t>
      </w:r>
      <w:r>
        <w:rPr>
          <w:color w:val="231F20"/>
        </w:rPr>
        <w:t>variedad</w:t>
      </w:r>
      <w:r>
        <w:rPr>
          <w:color w:val="231F20"/>
          <w:spacing w:val="-8"/>
        </w:rPr>
        <w:t> </w:t>
      </w:r>
      <w:r>
        <w:rPr>
          <w:color w:val="231F20"/>
        </w:rPr>
        <w:t>‘Sintético-2’</w:t>
      </w:r>
      <w:r>
        <w:rPr>
          <w:color w:val="231F20"/>
          <w:spacing w:val="-24"/>
        </w:rPr>
        <w:t> </w:t>
      </w:r>
      <w:r>
        <w:rPr>
          <w:color w:val="231F20"/>
        </w:rPr>
        <w:t>presentó</w:t>
      </w:r>
      <w:r>
        <w:rPr>
          <w:color w:val="231F20"/>
          <w:spacing w:val="-8"/>
        </w:rPr>
        <w:t> </w:t>
      </w:r>
      <w:r>
        <w:rPr>
          <w:color w:val="231F20"/>
        </w:rPr>
        <w:t>un</w:t>
      </w:r>
      <w:r>
        <w:rPr>
          <w:color w:val="231F20"/>
          <w:spacing w:val="-8"/>
        </w:rPr>
        <w:t> </w:t>
      </w:r>
      <w:r>
        <w:rPr>
          <w:color w:val="231F20"/>
        </w:rPr>
        <w:t>comportamien- to más estable (0.06, que es el más próximo a cero) (Zobel </w:t>
      </w:r>
      <w:r>
        <w:rPr>
          <w:i/>
          <w:color w:val="231F20"/>
        </w:rPr>
        <w:t>et al.</w:t>
      </w:r>
      <w:r>
        <w:rPr>
          <w:color w:val="231F20"/>
        </w:rPr>
        <w:t>, 1988). Por el contrario, los geno- tipos</w:t>
      </w:r>
      <w:r>
        <w:rPr>
          <w:color w:val="231F20"/>
          <w:spacing w:val="-2"/>
        </w:rPr>
        <w:t> </w:t>
      </w:r>
      <w:r>
        <w:rPr>
          <w:color w:val="231F20"/>
        </w:rPr>
        <w:t>más</w:t>
      </w:r>
      <w:r>
        <w:rPr>
          <w:color w:val="231F20"/>
          <w:spacing w:val="-2"/>
        </w:rPr>
        <w:t> </w:t>
      </w:r>
      <w:r>
        <w:rPr>
          <w:color w:val="231F20"/>
        </w:rPr>
        <w:t>inestables</w:t>
      </w:r>
      <w:r>
        <w:rPr>
          <w:color w:val="231F20"/>
          <w:spacing w:val="-3"/>
        </w:rPr>
        <w:t> </w:t>
      </w:r>
      <w:r>
        <w:rPr>
          <w:color w:val="231F20"/>
        </w:rPr>
        <w:t>fueron</w:t>
      </w:r>
      <w:r>
        <w:rPr>
          <w:color w:val="231F20"/>
          <w:spacing w:val="-2"/>
        </w:rPr>
        <w:t> </w:t>
      </w:r>
      <w:r>
        <w:rPr>
          <w:color w:val="231F20"/>
        </w:rPr>
        <w:t>los</w:t>
      </w:r>
      <w:r>
        <w:rPr>
          <w:color w:val="231F20"/>
          <w:spacing w:val="-2"/>
        </w:rPr>
        <w:t> </w:t>
      </w:r>
      <w:r>
        <w:rPr>
          <w:color w:val="231F20"/>
        </w:rPr>
        <w:t>testigos:</w:t>
      </w:r>
      <w:r>
        <w:rPr>
          <w:color w:val="231F20"/>
          <w:spacing w:val="-3"/>
        </w:rPr>
        <w:t> </w:t>
      </w:r>
      <w:r>
        <w:rPr>
          <w:color w:val="231F20"/>
        </w:rPr>
        <w:t>‘VS-536’</w:t>
      </w:r>
      <w:r>
        <w:rPr>
          <w:color w:val="231F20"/>
          <w:spacing w:val="-18"/>
        </w:rPr>
        <w:t> </w:t>
      </w:r>
      <w:r>
        <w:rPr>
          <w:color w:val="231F20"/>
        </w:rPr>
        <w:t>y</w:t>
      </w:r>
      <w:r>
        <w:rPr>
          <w:color w:val="231F20"/>
          <w:spacing w:val="-2"/>
        </w:rPr>
        <w:t> </w:t>
      </w:r>
      <w:r>
        <w:rPr>
          <w:color w:val="231F20"/>
          <w:spacing w:val="-3"/>
        </w:rPr>
        <w:t>‘V-537C’,</w:t>
      </w:r>
      <w:r>
        <w:rPr>
          <w:color w:val="231F20"/>
          <w:spacing w:val="-2"/>
        </w:rPr>
        <w:t> </w:t>
      </w:r>
      <w:r>
        <w:rPr>
          <w:color w:val="231F20"/>
        </w:rPr>
        <w:t>con</w:t>
      </w:r>
      <w:r>
        <w:rPr>
          <w:color w:val="231F20"/>
          <w:spacing w:val="-2"/>
        </w:rPr>
        <w:t> </w:t>
      </w:r>
      <w:r>
        <w:rPr>
          <w:color w:val="231F20"/>
        </w:rPr>
        <w:t>valores</w:t>
      </w:r>
      <w:r>
        <w:rPr>
          <w:color w:val="231F20"/>
          <w:spacing w:val="-3"/>
        </w:rPr>
        <w:t> </w:t>
      </w:r>
      <w:r>
        <w:rPr>
          <w:color w:val="231F20"/>
        </w:rPr>
        <w:t>de</w:t>
      </w:r>
      <w:r>
        <w:rPr>
          <w:color w:val="231F20"/>
          <w:spacing w:val="-14"/>
        </w:rPr>
        <w:t> </w:t>
      </w:r>
      <w:r>
        <w:rPr>
          <w:color w:val="231F20"/>
        </w:rPr>
        <w:t>ACP1</w:t>
      </w:r>
      <w:r>
        <w:rPr>
          <w:color w:val="231F20"/>
          <w:spacing w:val="-2"/>
        </w:rPr>
        <w:t> </w:t>
      </w:r>
      <w:r>
        <w:rPr>
          <w:color w:val="231F20"/>
        </w:rPr>
        <w:t>de</w:t>
      </w:r>
      <w:r>
        <w:rPr>
          <w:color w:val="231F20"/>
          <w:spacing w:val="-2"/>
        </w:rPr>
        <w:t> </w:t>
      </w:r>
      <w:r>
        <w:rPr>
          <w:color w:val="231F20"/>
        </w:rPr>
        <w:t>-0.65</w:t>
      </w:r>
      <w:r>
        <w:rPr>
          <w:color w:val="231F20"/>
          <w:spacing w:val="-2"/>
        </w:rPr>
        <w:t> </w:t>
      </w:r>
      <w:r>
        <w:rPr>
          <w:color w:val="231F20"/>
        </w:rPr>
        <w:t>y</w:t>
      </w:r>
      <w:r>
        <w:rPr>
          <w:color w:val="231F20"/>
          <w:spacing w:val="-2"/>
        </w:rPr>
        <w:t> </w:t>
      </w:r>
      <w:r>
        <w:rPr>
          <w:color w:val="231F20"/>
        </w:rPr>
        <w:t>0.97, respectivamente. Es de destacar que el genotipo ‘Sintético-2’, además de presentar valores bajos de ACP1, presenta un rendimiento medio superior a la media general, lo que permitiría seleccionar a este genotipo como candidato para su liberación en la región de</w:t>
      </w:r>
      <w:r>
        <w:rPr>
          <w:color w:val="231F20"/>
          <w:spacing w:val="-11"/>
        </w:rPr>
        <w:t> </w:t>
      </w:r>
      <w:r>
        <w:rPr>
          <w:color w:val="231F20"/>
        </w:rPr>
        <w:t>influencia.</w:t>
      </w:r>
    </w:p>
    <w:p>
      <w:pPr>
        <w:pStyle w:val="BodyText"/>
        <w:spacing w:before="4"/>
      </w:pPr>
    </w:p>
    <w:p>
      <w:pPr>
        <w:spacing w:before="0"/>
        <w:ind w:left="1489" w:right="1489" w:firstLine="0"/>
        <w:jc w:val="center"/>
        <w:rPr>
          <w:b/>
          <w:sz w:val="18"/>
        </w:rPr>
      </w:pPr>
      <w:r>
        <w:rPr>
          <w:b/>
          <w:color w:val="010202"/>
          <w:sz w:val="18"/>
        </w:rPr>
        <w:t>Cuadro 2. Rendimiento medio y valores de ACP1 para ocho genotipos</w:t>
      </w:r>
    </w:p>
    <w:p>
      <w:pPr>
        <w:spacing w:before="43"/>
        <w:ind w:left="1489" w:right="1489" w:firstLine="0"/>
        <w:jc w:val="center"/>
        <w:rPr>
          <w:b/>
          <w:sz w:val="18"/>
        </w:rPr>
      </w:pPr>
      <w:r>
        <w:rPr>
          <w:b/>
          <w:color w:val="010202"/>
          <w:sz w:val="18"/>
        </w:rPr>
        <w:t>de maíz QPM en cuatro ambientes del estado de Veracruz, México, 2009-2011</w:t>
      </w:r>
    </w:p>
    <w:p>
      <w:pPr>
        <w:pStyle w:val="BodyText"/>
        <w:spacing w:before="7"/>
        <w:rPr>
          <w:b/>
          <w:sz w:val="18"/>
        </w:rPr>
      </w:pPr>
    </w:p>
    <w:tbl>
      <w:tblPr>
        <w:tblW w:w="0" w:type="auto"/>
        <w:jc w:val="left"/>
        <w:tblInd w:w="127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42"/>
        <w:gridCol w:w="2438"/>
        <w:gridCol w:w="2620"/>
        <w:gridCol w:w="1879"/>
      </w:tblGrid>
      <w:tr>
        <w:trPr>
          <w:trHeight w:val="335" w:hRule="exact"/>
        </w:trPr>
        <w:tc>
          <w:tcPr>
            <w:tcW w:w="1442" w:type="dxa"/>
            <w:tcBorders>
              <w:top w:val="single" w:sz="6" w:space="0" w:color="010202"/>
              <w:bottom w:val="single" w:sz="6" w:space="0" w:color="010202"/>
            </w:tcBorders>
          </w:tcPr>
          <w:p>
            <w:pPr>
              <w:pStyle w:val="TableParagraph"/>
              <w:spacing w:before="71"/>
              <w:ind w:left="300"/>
              <w:rPr>
                <w:b/>
                <w:sz w:val="18"/>
              </w:rPr>
            </w:pPr>
            <w:r>
              <w:rPr>
                <w:b/>
                <w:color w:val="231F20"/>
                <w:sz w:val="18"/>
              </w:rPr>
              <w:t>Núm.</w:t>
            </w:r>
          </w:p>
        </w:tc>
        <w:tc>
          <w:tcPr>
            <w:tcW w:w="2438" w:type="dxa"/>
            <w:tcBorders>
              <w:top w:val="single" w:sz="6" w:space="0" w:color="010202"/>
              <w:bottom w:val="single" w:sz="6" w:space="0" w:color="010202"/>
            </w:tcBorders>
          </w:tcPr>
          <w:p>
            <w:pPr>
              <w:pStyle w:val="TableParagraph"/>
              <w:spacing w:before="71"/>
              <w:ind w:left="717"/>
              <w:rPr>
                <w:b/>
                <w:sz w:val="18"/>
              </w:rPr>
            </w:pPr>
            <w:r>
              <w:rPr>
                <w:b/>
                <w:color w:val="231F20"/>
                <w:sz w:val="18"/>
              </w:rPr>
              <w:t>Genotipo</w:t>
            </w:r>
          </w:p>
        </w:tc>
        <w:tc>
          <w:tcPr>
            <w:tcW w:w="2620" w:type="dxa"/>
            <w:tcBorders>
              <w:top w:val="single" w:sz="6" w:space="0" w:color="010202"/>
              <w:bottom w:val="single" w:sz="6" w:space="0" w:color="010202"/>
            </w:tcBorders>
          </w:tcPr>
          <w:p>
            <w:pPr>
              <w:pStyle w:val="TableParagraph"/>
              <w:spacing w:before="71"/>
              <w:ind w:left="440"/>
              <w:rPr>
                <w:b/>
                <w:sz w:val="18"/>
              </w:rPr>
            </w:pPr>
            <w:r>
              <w:rPr>
                <w:b/>
                <w:color w:val="231F20"/>
                <w:sz w:val="18"/>
              </w:rPr>
              <w:t>Rendimiento t ha-1</w:t>
            </w:r>
          </w:p>
        </w:tc>
        <w:tc>
          <w:tcPr>
            <w:tcW w:w="1879" w:type="dxa"/>
            <w:tcBorders>
              <w:top w:val="single" w:sz="6" w:space="0" w:color="010202"/>
              <w:bottom w:val="single" w:sz="6" w:space="0" w:color="010202"/>
            </w:tcBorders>
          </w:tcPr>
          <w:p>
            <w:pPr>
              <w:pStyle w:val="TableParagraph"/>
              <w:spacing w:before="71"/>
              <w:ind w:left="700"/>
              <w:rPr>
                <w:b/>
                <w:sz w:val="18"/>
              </w:rPr>
            </w:pPr>
            <w:r>
              <w:rPr>
                <w:b/>
                <w:color w:val="231F20"/>
                <w:sz w:val="18"/>
              </w:rPr>
              <w:t>ACP1</w:t>
            </w:r>
          </w:p>
        </w:tc>
      </w:tr>
      <w:tr>
        <w:trPr>
          <w:trHeight w:val="232" w:hRule="exact"/>
        </w:trPr>
        <w:tc>
          <w:tcPr>
            <w:tcW w:w="1442" w:type="dxa"/>
            <w:tcBorders>
              <w:top w:val="single" w:sz="6" w:space="0" w:color="010202"/>
            </w:tcBorders>
          </w:tcPr>
          <w:p>
            <w:pPr>
              <w:pStyle w:val="TableParagraph"/>
              <w:spacing w:line="194" w:lineRule="exact" w:before="0"/>
              <w:ind w:left="300"/>
              <w:rPr>
                <w:sz w:val="18"/>
              </w:rPr>
            </w:pPr>
            <w:r>
              <w:rPr>
                <w:color w:val="231F20"/>
                <w:sz w:val="18"/>
              </w:rPr>
              <w:t>G1</w:t>
            </w:r>
          </w:p>
        </w:tc>
        <w:tc>
          <w:tcPr>
            <w:tcW w:w="2438" w:type="dxa"/>
            <w:tcBorders>
              <w:top w:val="single" w:sz="6" w:space="0" w:color="010202"/>
            </w:tcBorders>
          </w:tcPr>
          <w:p>
            <w:pPr>
              <w:pStyle w:val="TableParagraph"/>
              <w:spacing w:line="194" w:lineRule="exact" w:before="0"/>
              <w:ind w:left="717"/>
              <w:rPr>
                <w:sz w:val="18"/>
              </w:rPr>
            </w:pPr>
            <w:r>
              <w:rPr>
                <w:color w:val="231F20"/>
                <w:sz w:val="18"/>
              </w:rPr>
              <w:t>Sintético-2</w:t>
            </w:r>
          </w:p>
        </w:tc>
        <w:tc>
          <w:tcPr>
            <w:tcW w:w="2620" w:type="dxa"/>
            <w:tcBorders>
              <w:top w:val="single" w:sz="6" w:space="0" w:color="010202"/>
            </w:tcBorders>
          </w:tcPr>
          <w:p>
            <w:pPr>
              <w:pStyle w:val="TableParagraph"/>
              <w:spacing w:line="194" w:lineRule="exact" w:before="0"/>
              <w:ind w:left="440"/>
              <w:rPr>
                <w:sz w:val="18"/>
              </w:rPr>
            </w:pPr>
            <w:r>
              <w:rPr>
                <w:color w:val="231F20"/>
                <w:sz w:val="18"/>
              </w:rPr>
              <w:t>5.21 a</w:t>
            </w:r>
          </w:p>
        </w:tc>
        <w:tc>
          <w:tcPr>
            <w:tcW w:w="1879" w:type="dxa"/>
            <w:tcBorders>
              <w:top w:val="single" w:sz="6" w:space="0" w:color="010202"/>
            </w:tcBorders>
          </w:tcPr>
          <w:p>
            <w:pPr>
              <w:pStyle w:val="TableParagraph"/>
              <w:spacing w:line="194" w:lineRule="exact" w:before="0"/>
              <w:ind w:left="700"/>
              <w:rPr>
                <w:sz w:val="18"/>
              </w:rPr>
            </w:pPr>
            <w:r>
              <w:rPr>
                <w:color w:val="231F20"/>
                <w:sz w:val="18"/>
              </w:rPr>
              <w:t>0.06105</w:t>
            </w:r>
          </w:p>
        </w:tc>
      </w:tr>
      <w:tr>
        <w:trPr>
          <w:trHeight w:val="250" w:hRule="exact"/>
        </w:trPr>
        <w:tc>
          <w:tcPr>
            <w:tcW w:w="1442" w:type="dxa"/>
          </w:tcPr>
          <w:p>
            <w:pPr>
              <w:pStyle w:val="TableParagraph"/>
              <w:spacing w:before="12"/>
              <w:ind w:left="300"/>
              <w:rPr>
                <w:sz w:val="18"/>
              </w:rPr>
            </w:pPr>
            <w:r>
              <w:rPr>
                <w:color w:val="231F20"/>
                <w:sz w:val="18"/>
              </w:rPr>
              <w:t>G2</w:t>
            </w:r>
          </w:p>
        </w:tc>
        <w:tc>
          <w:tcPr>
            <w:tcW w:w="2438" w:type="dxa"/>
          </w:tcPr>
          <w:p>
            <w:pPr>
              <w:pStyle w:val="TableParagraph"/>
              <w:spacing w:before="12"/>
              <w:ind w:left="717"/>
              <w:rPr>
                <w:sz w:val="18"/>
              </w:rPr>
            </w:pPr>
            <w:r>
              <w:rPr>
                <w:color w:val="231F20"/>
                <w:sz w:val="18"/>
              </w:rPr>
              <w:t>Sintético-3</w:t>
            </w:r>
          </w:p>
        </w:tc>
        <w:tc>
          <w:tcPr>
            <w:tcW w:w="2620" w:type="dxa"/>
          </w:tcPr>
          <w:p>
            <w:pPr>
              <w:pStyle w:val="TableParagraph"/>
              <w:spacing w:before="12"/>
              <w:ind w:left="440"/>
              <w:rPr>
                <w:sz w:val="18"/>
              </w:rPr>
            </w:pPr>
            <w:r>
              <w:rPr>
                <w:color w:val="231F20"/>
                <w:sz w:val="18"/>
              </w:rPr>
              <w:t>4.39 ab</w:t>
            </w:r>
          </w:p>
        </w:tc>
        <w:tc>
          <w:tcPr>
            <w:tcW w:w="1879" w:type="dxa"/>
          </w:tcPr>
          <w:p>
            <w:pPr>
              <w:pStyle w:val="TableParagraph"/>
              <w:spacing w:before="12"/>
              <w:ind w:left="700"/>
              <w:rPr>
                <w:sz w:val="18"/>
              </w:rPr>
            </w:pPr>
            <w:r>
              <w:rPr>
                <w:color w:val="231F20"/>
                <w:sz w:val="18"/>
              </w:rPr>
              <w:t>0.12960</w:t>
            </w:r>
          </w:p>
        </w:tc>
      </w:tr>
      <w:tr>
        <w:trPr>
          <w:trHeight w:val="250" w:hRule="exact"/>
        </w:trPr>
        <w:tc>
          <w:tcPr>
            <w:tcW w:w="1442" w:type="dxa"/>
          </w:tcPr>
          <w:p>
            <w:pPr>
              <w:pStyle w:val="TableParagraph"/>
              <w:spacing w:before="12"/>
              <w:ind w:left="300"/>
              <w:rPr>
                <w:sz w:val="18"/>
              </w:rPr>
            </w:pPr>
            <w:r>
              <w:rPr>
                <w:color w:val="231F20"/>
                <w:sz w:val="18"/>
              </w:rPr>
              <w:t>G3</w:t>
            </w:r>
          </w:p>
        </w:tc>
        <w:tc>
          <w:tcPr>
            <w:tcW w:w="2438" w:type="dxa"/>
          </w:tcPr>
          <w:p>
            <w:pPr>
              <w:pStyle w:val="TableParagraph"/>
              <w:spacing w:before="12"/>
              <w:ind w:left="717"/>
              <w:rPr>
                <w:sz w:val="18"/>
              </w:rPr>
            </w:pPr>
            <w:r>
              <w:rPr>
                <w:color w:val="231F20"/>
                <w:sz w:val="18"/>
              </w:rPr>
              <w:t>Sintético-4</w:t>
            </w:r>
          </w:p>
        </w:tc>
        <w:tc>
          <w:tcPr>
            <w:tcW w:w="2620" w:type="dxa"/>
          </w:tcPr>
          <w:p>
            <w:pPr>
              <w:pStyle w:val="TableParagraph"/>
              <w:spacing w:before="12"/>
              <w:ind w:left="440"/>
              <w:rPr>
                <w:sz w:val="18"/>
              </w:rPr>
            </w:pPr>
            <w:r>
              <w:rPr>
                <w:color w:val="231F20"/>
                <w:sz w:val="18"/>
              </w:rPr>
              <w:t>4.87 ab</w:t>
            </w:r>
          </w:p>
        </w:tc>
        <w:tc>
          <w:tcPr>
            <w:tcW w:w="1879" w:type="dxa"/>
          </w:tcPr>
          <w:p>
            <w:pPr>
              <w:pStyle w:val="TableParagraph"/>
              <w:spacing w:before="12"/>
              <w:ind w:left="700"/>
              <w:rPr>
                <w:sz w:val="18"/>
              </w:rPr>
            </w:pPr>
            <w:r>
              <w:rPr>
                <w:color w:val="231F20"/>
                <w:sz w:val="18"/>
              </w:rPr>
              <w:t>-0.23917</w:t>
            </w:r>
          </w:p>
        </w:tc>
      </w:tr>
      <w:tr>
        <w:trPr>
          <w:trHeight w:val="250" w:hRule="exact"/>
        </w:trPr>
        <w:tc>
          <w:tcPr>
            <w:tcW w:w="1442" w:type="dxa"/>
          </w:tcPr>
          <w:p>
            <w:pPr>
              <w:pStyle w:val="TableParagraph"/>
              <w:spacing w:before="12"/>
              <w:ind w:left="300"/>
              <w:rPr>
                <w:sz w:val="18"/>
              </w:rPr>
            </w:pPr>
            <w:r>
              <w:rPr>
                <w:color w:val="231F20"/>
                <w:sz w:val="18"/>
              </w:rPr>
              <w:t>G4</w:t>
            </w:r>
          </w:p>
        </w:tc>
        <w:tc>
          <w:tcPr>
            <w:tcW w:w="2438" w:type="dxa"/>
          </w:tcPr>
          <w:p>
            <w:pPr>
              <w:pStyle w:val="TableParagraph"/>
              <w:spacing w:before="12"/>
              <w:ind w:left="717"/>
              <w:rPr>
                <w:sz w:val="18"/>
              </w:rPr>
            </w:pPr>
            <w:r>
              <w:rPr>
                <w:color w:val="231F20"/>
                <w:sz w:val="18"/>
              </w:rPr>
              <w:t>Sintético-6</w:t>
            </w:r>
          </w:p>
        </w:tc>
        <w:tc>
          <w:tcPr>
            <w:tcW w:w="2620" w:type="dxa"/>
          </w:tcPr>
          <w:p>
            <w:pPr>
              <w:pStyle w:val="TableParagraph"/>
              <w:spacing w:before="12"/>
              <w:ind w:left="440"/>
              <w:rPr>
                <w:sz w:val="18"/>
              </w:rPr>
            </w:pPr>
            <w:r>
              <w:rPr>
                <w:color w:val="231F20"/>
                <w:sz w:val="18"/>
              </w:rPr>
              <w:t>4.93 ab</w:t>
            </w:r>
          </w:p>
        </w:tc>
        <w:tc>
          <w:tcPr>
            <w:tcW w:w="1879" w:type="dxa"/>
          </w:tcPr>
          <w:p>
            <w:pPr>
              <w:pStyle w:val="TableParagraph"/>
              <w:spacing w:before="12"/>
              <w:ind w:left="700"/>
              <w:rPr>
                <w:sz w:val="18"/>
              </w:rPr>
            </w:pPr>
            <w:r>
              <w:rPr>
                <w:color w:val="231F20"/>
                <w:sz w:val="18"/>
              </w:rPr>
              <w:t>-0.23938</w:t>
            </w:r>
          </w:p>
        </w:tc>
      </w:tr>
      <w:tr>
        <w:trPr>
          <w:trHeight w:val="250" w:hRule="exact"/>
        </w:trPr>
        <w:tc>
          <w:tcPr>
            <w:tcW w:w="1442" w:type="dxa"/>
          </w:tcPr>
          <w:p>
            <w:pPr>
              <w:pStyle w:val="TableParagraph"/>
              <w:spacing w:before="12"/>
              <w:ind w:left="300"/>
              <w:rPr>
                <w:sz w:val="18"/>
              </w:rPr>
            </w:pPr>
            <w:r>
              <w:rPr>
                <w:color w:val="231F20"/>
                <w:sz w:val="18"/>
              </w:rPr>
              <w:t>G5</w:t>
            </w:r>
          </w:p>
        </w:tc>
        <w:tc>
          <w:tcPr>
            <w:tcW w:w="2438" w:type="dxa"/>
          </w:tcPr>
          <w:p>
            <w:pPr>
              <w:pStyle w:val="TableParagraph"/>
              <w:spacing w:before="12"/>
              <w:ind w:left="717"/>
              <w:rPr>
                <w:sz w:val="18"/>
              </w:rPr>
            </w:pPr>
            <w:r>
              <w:rPr>
                <w:color w:val="231F20"/>
                <w:sz w:val="18"/>
              </w:rPr>
              <w:t>Sintético-TS6</w:t>
            </w:r>
          </w:p>
        </w:tc>
        <w:tc>
          <w:tcPr>
            <w:tcW w:w="2620" w:type="dxa"/>
          </w:tcPr>
          <w:p>
            <w:pPr>
              <w:pStyle w:val="TableParagraph"/>
              <w:spacing w:before="12"/>
              <w:ind w:left="440"/>
              <w:rPr>
                <w:sz w:val="18"/>
              </w:rPr>
            </w:pPr>
            <w:r>
              <w:rPr>
                <w:color w:val="231F20"/>
                <w:sz w:val="18"/>
              </w:rPr>
              <w:t>4.58 ab</w:t>
            </w:r>
          </w:p>
        </w:tc>
        <w:tc>
          <w:tcPr>
            <w:tcW w:w="1879" w:type="dxa"/>
          </w:tcPr>
          <w:p>
            <w:pPr>
              <w:pStyle w:val="TableParagraph"/>
              <w:spacing w:before="12"/>
              <w:ind w:left="700"/>
              <w:rPr>
                <w:sz w:val="18"/>
              </w:rPr>
            </w:pPr>
            <w:r>
              <w:rPr>
                <w:color w:val="231F20"/>
                <w:sz w:val="18"/>
              </w:rPr>
              <w:t>-0.09660</w:t>
            </w:r>
          </w:p>
        </w:tc>
      </w:tr>
      <w:tr>
        <w:trPr>
          <w:trHeight w:val="250" w:hRule="exact"/>
        </w:trPr>
        <w:tc>
          <w:tcPr>
            <w:tcW w:w="1442" w:type="dxa"/>
          </w:tcPr>
          <w:p>
            <w:pPr>
              <w:pStyle w:val="TableParagraph"/>
              <w:spacing w:before="12"/>
              <w:ind w:left="300"/>
              <w:rPr>
                <w:sz w:val="18"/>
              </w:rPr>
            </w:pPr>
            <w:r>
              <w:rPr>
                <w:color w:val="231F20"/>
                <w:sz w:val="18"/>
              </w:rPr>
              <w:t>G6</w:t>
            </w:r>
          </w:p>
        </w:tc>
        <w:tc>
          <w:tcPr>
            <w:tcW w:w="2438" w:type="dxa"/>
          </w:tcPr>
          <w:p>
            <w:pPr>
              <w:pStyle w:val="TableParagraph"/>
              <w:spacing w:before="12"/>
              <w:ind w:left="717"/>
              <w:rPr>
                <w:sz w:val="18"/>
              </w:rPr>
            </w:pPr>
            <w:r>
              <w:rPr>
                <w:color w:val="231F20"/>
                <w:sz w:val="18"/>
              </w:rPr>
              <w:t>Sintético-3Sequía</w:t>
            </w:r>
          </w:p>
        </w:tc>
        <w:tc>
          <w:tcPr>
            <w:tcW w:w="2620" w:type="dxa"/>
          </w:tcPr>
          <w:p>
            <w:pPr>
              <w:pStyle w:val="TableParagraph"/>
              <w:spacing w:before="12"/>
              <w:ind w:left="440"/>
              <w:rPr>
                <w:sz w:val="18"/>
              </w:rPr>
            </w:pPr>
            <w:r>
              <w:rPr>
                <w:color w:val="231F20"/>
                <w:sz w:val="18"/>
              </w:rPr>
              <w:t>4.17 c</w:t>
            </w:r>
          </w:p>
        </w:tc>
        <w:tc>
          <w:tcPr>
            <w:tcW w:w="1879" w:type="dxa"/>
          </w:tcPr>
          <w:p>
            <w:pPr>
              <w:pStyle w:val="TableParagraph"/>
              <w:spacing w:before="12"/>
              <w:ind w:left="700"/>
              <w:rPr>
                <w:sz w:val="18"/>
              </w:rPr>
            </w:pPr>
            <w:r>
              <w:rPr>
                <w:color w:val="231F20"/>
                <w:sz w:val="18"/>
              </w:rPr>
              <w:t>0.06483</w:t>
            </w:r>
          </w:p>
        </w:tc>
      </w:tr>
      <w:tr>
        <w:trPr>
          <w:trHeight w:val="250" w:hRule="exact"/>
        </w:trPr>
        <w:tc>
          <w:tcPr>
            <w:tcW w:w="1442" w:type="dxa"/>
          </w:tcPr>
          <w:p>
            <w:pPr>
              <w:pStyle w:val="TableParagraph"/>
              <w:spacing w:before="12"/>
              <w:ind w:left="300"/>
              <w:rPr>
                <w:sz w:val="18"/>
              </w:rPr>
            </w:pPr>
            <w:r>
              <w:rPr>
                <w:color w:val="231F20"/>
                <w:sz w:val="18"/>
              </w:rPr>
              <w:t>G7</w:t>
            </w:r>
          </w:p>
        </w:tc>
        <w:tc>
          <w:tcPr>
            <w:tcW w:w="2438" w:type="dxa"/>
          </w:tcPr>
          <w:p>
            <w:pPr>
              <w:pStyle w:val="TableParagraph"/>
              <w:spacing w:before="12"/>
              <w:ind w:left="717"/>
              <w:rPr>
                <w:sz w:val="18"/>
              </w:rPr>
            </w:pPr>
            <w:r>
              <w:rPr>
                <w:color w:val="231F20"/>
                <w:sz w:val="18"/>
              </w:rPr>
              <w:t>VS-536</w:t>
            </w:r>
          </w:p>
        </w:tc>
        <w:tc>
          <w:tcPr>
            <w:tcW w:w="2620" w:type="dxa"/>
          </w:tcPr>
          <w:p>
            <w:pPr>
              <w:pStyle w:val="TableParagraph"/>
              <w:spacing w:before="12"/>
              <w:ind w:left="440"/>
              <w:rPr>
                <w:sz w:val="18"/>
              </w:rPr>
            </w:pPr>
            <w:r>
              <w:rPr>
                <w:color w:val="231F20"/>
                <w:sz w:val="18"/>
              </w:rPr>
              <w:t>5.13 a</w:t>
            </w:r>
          </w:p>
        </w:tc>
        <w:tc>
          <w:tcPr>
            <w:tcW w:w="1879" w:type="dxa"/>
          </w:tcPr>
          <w:p>
            <w:pPr>
              <w:pStyle w:val="TableParagraph"/>
              <w:spacing w:before="12"/>
              <w:ind w:left="700"/>
              <w:rPr>
                <w:sz w:val="18"/>
              </w:rPr>
            </w:pPr>
            <w:r>
              <w:rPr>
                <w:color w:val="231F20"/>
                <w:sz w:val="18"/>
              </w:rPr>
              <w:t>-0.64900</w:t>
            </w:r>
          </w:p>
        </w:tc>
      </w:tr>
      <w:tr>
        <w:trPr>
          <w:trHeight w:val="322" w:hRule="exact"/>
        </w:trPr>
        <w:tc>
          <w:tcPr>
            <w:tcW w:w="1442" w:type="dxa"/>
            <w:tcBorders>
              <w:bottom w:val="single" w:sz="6" w:space="0" w:color="010202"/>
            </w:tcBorders>
          </w:tcPr>
          <w:p>
            <w:pPr>
              <w:pStyle w:val="TableParagraph"/>
              <w:spacing w:before="12"/>
              <w:ind w:left="300"/>
              <w:rPr>
                <w:sz w:val="18"/>
              </w:rPr>
            </w:pPr>
            <w:r>
              <w:rPr>
                <w:color w:val="231F20"/>
                <w:sz w:val="18"/>
              </w:rPr>
              <w:t>G8</w:t>
            </w:r>
          </w:p>
        </w:tc>
        <w:tc>
          <w:tcPr>
            <w:tcW w:w="2438" w:type="dxa"/>
            <w:tcBorders>
              <w:bottom w:val="single" w:sz="6" w:space="0" w:color="010202"/>
            </w:tcBorders>
          </w:tcPr>
          <w:p>
            <w:pPr>
              <w:pStyle w:val="TableParagraph"/>
              <w:spacing w:before="12"/>
              <w:ind w:left="717"/>
              <w:rPr>
                <w:sz w:val="18"/>
              </w:rPr>
            </w:pPr>
            <w:r>
              <w:rPr>
                <w:color w:val="231F20"/>
                <w:sz w:val="18"/>
              </w:rPr>
              <w:t>V-537C</w:t>
            </w:r>
          </w:p>
        </w:tc>
        <w:tc>
          <w:tcPr>
            <w:tcW w:w="2620" w:type="dxa"/>
            <w:tcBorders>
              <w:bottom w:val="single" w:sz="6" w:space="0" w:color="010202"/>
            </w:tcBorders>
          </w:tcPr>
          <w:p>
            <w:pPr>
              <w:pStyle w:val="TableParagraph"/>
              <w:spacing w:before="12"/>
              <w:ind w:left="440"/>
              <w:rPr>
                <w:sz w:val="18"/>
              </w:rPr>
            </w:pPr>
            <w:r>
              <w:rPr>
                <w:color w:val="231F20"/>
                <w:sz w:val="18"/>
              </w:rPr>
              <w:t>4.06 c</w:t>
            </w:r>
          </w:p>
        </w:tc>
        <w:tc>
          <w:tcPr>
            <w:tcW w:w="1879" w:type="dxa"/>
            <w:tcBorders>
              <w:bottom w:val="single" w:sz="6" w:space="0" w:color="010202"/>
            </w:tcBorders>
          </w:tcPr>
          <w:p>
            <w:pPr>
              <w:pStyle w:val="TableParagraph"/>
              <w:spacing w:before="12"/>
              <w:ind w:left="700"/>
              <w:rPr>
                <w:sz w:val="18"/>
              </w:rPr>
            </w:pPr>
            <w:r>
              <w:rPr>
                <w:color w:val="231F20"/>
                <w:sz w:val="18"/>
              </w:rPr>
              <w:t>0.96868</w:t>
            </w:r>
          </w:p>
        </w:tc>
      </w:tr>
    </w:tbl>
    <w:p>
      <w:pPr>
        <w:pStyle w:val="BodyText"/>
        <w:spacing w:before="2"/>
        <w:rPr>
          <w:b/>
          <w:sz w:val="9"/>
        </w:rPr>
      </w:pPr>
    </w:p>
    <w:p>
      <w:pPr>
        <w:spacing w:before="78"/>
        <w:ind w:left="1270" w:right="1279" w:firstLine="0"/>
        <w:jc w:val="left"/>
        <w:rPr>
          <w:b/>
          <w:i/>
          <w:sz w:val="17"/>
        </w:rPr>
      </w:pPr>
      <w:r>
        <w:rPr>
          <w:b/>
          <w:i/>
          <w:color w:val="231F20"/>
          <w:sz w:val="17"/>
        </w:rPr>
        <w:t>Medias con distinta letra son estadísticamente diferente (Duncan, P &lt; 0.05); ACP = componente principal.</w:t>
      </w:r>
    </w:p>
    <w:p>
      <w:pPr>
        <w:spacing w:after="0"/>
        <w:jc w:val="left"/>
        <w:rPr>
          <w:sz w:val="17"/>
        </w:rPr>
        <w:sectPr>
          <w:pgSz w:w="10920" w:h="13080"/>
          <w:pgMar w:header="0" w:footer="1025" w:top="420" w:bottom="1220" w:left="0" w:right="0"/>
        </w:sectPr>
      </w:pPr>
    </w:p>
    <w:p>
      <w:pPr>
        <w:pStyle w:val="BodyText"/>
        <w:rPr>
          <w:b/>
          <w:i/>
          <w:sz w:val="20"/>
        </w:rPr>
      </w:pPr>
    </w:p>
    <w:p>
      <w:pPr>
        <w:pStyle w:val="BodyText"/>
        <w:rPr>
          <w:b/>
          <w:i/>
          <w:sz w:val="20"/>
        </w:rPr>
      </w:pPr>
    </w:p>
    <w:p>
      <w:pPr>
        <w:pStyle w:val="BodyText"/>
        <w:rPr>
          <w:b/>
          <w:i/>
          <w:sz w:val="23"/>
        </w:rPr>
      </w:pPr>
    </w:p>
    <w:p>
      <w:pPr>
        <w:pStyle w:val="BodyText"/>
        <w:spacing w:line="247" w:lineRule="auto" w:before="73"/>
        <w:ind w:left="1270" w:right="1267"/>
        <w:jc w:val="both"/>
      </w:pPr>
      <w:r>
        <w:rPr>
          <w:color w:val="231F20"/>
        </w:rPr>
        <w:t>El ‘Sintético-2’ que presentó un comportamiento estable es producto de la recombinación genética de 11 líneas; esta variedad, de acuerdo con Córdova y Márquez (1979) y Márquez </w:t>
      </w:r>
      <w:r>
        <w:rPr>
          <w:i/>
          <w:color w:val="231F20"/>
        </w:rPr>
        <w:t>et al. </w:t>
      </w:r>
      <w:r>
        <w:rPr>
          <w:color w:val="231F20"/>
        </w:rPr>
        <w:t>(1983), no lograría superar a la media general debido a la fuerte depresión endogámica causada por un número alto de padres involucrados. Sin embargo, lo anterior no se cumple quizás porque las líneas que la forman han sido seleccionadas por su rendimiento per se y altos efectos de aptitud combinatoria general (ACG) (Gómez </w:t>
      </w:r>
      <w:r>
        <w:rPr>
          <w:i/>
          <w:color w:val="231F20"/>
        </w:rPr>
        <w:t>et al.</w:t>
      </w:r>
      <w:r>
        <w:rPr>
          <w:color w:val="231F20"/>
        </w:rPr>
        <w:t>, 2003; Andrés-Meza </w:t>
      </w:r>
      <w:r>
        <w:rPr>
          <w:i/>
          <w:color w:val="231F20"/>
        </w:rPr>
        <w:t>et al.</w:t>
      </w:r>
      <w:r>
        <w:rPr>
          <w:color w:val="231F20"/>
        </w:rPr>
        <w:t>, 2011).</w:t>
      </w:r>
    </w:p>
    <w:p>
      <w:pPr>
        <w:pStyle w:val="BodyText"/>
        <w:spacing w:before="10"/>
      </w:pPr>
    </w:p>
    <w:p>
      <w:pPr>
        <w:pStyle w:val="BodyText"/>
        <w:spacing w:line="247" w:lineRule="auto"/>
        <w:ind w:left="1270" w:right="1267"/>
        <w:jc w:val="both"/>
      </w:pPr>
      <w:r>
        <w:rPr>
          <w:color w:val="231F20"/>
        </w:rPr>
        <w:t>En</w:t>
      </w:r>
      <w:r>
        <w:rPr>
          <w:color w:val="231F20"/>
          <w:spacing w:val="-7"/>
        </w:rPr>
        <w:t> </w:t>
      </w:r>
      <w:r>
        <w:rPr>
          <w:color w:val="231F20"/>
        </w:rPr>
        <w:t>2009,</w:t>
      </w:r>
      <w:r>
        <w:rPr>
          <w:color w:val="231F20"/>
          <w:spacing w:val="-7"/>
        </w:rPr>
        <w:t> </w:t>
      </w:r>
      <w:r>
        <w:rPr>
          <w:color w:val="231F20"/>
        </w:rPr>
        <w:t>el</w:t>
      </w:r>
      <w:r>
        <w:rPr>
          <w:color w:val="231F20"/>
          <w:spacing w:val="-7"/>
        </w:rPr>
        <w:t> </w:t>
      </w:r>
      <w:r>
        <w:rPr>
          <w:color w:val="231F20"/>
        </w:rPr>
        <w:t>ambiente</w:t>
      </w:r>
      <w:r>
        <w:rPr>
          <w:color w:val="231F20"/>
          <w:spacing w:val="-18"/>
        </w:rPr>
        <w:t> </w:t>
      </w:r>
      <w:r>
        <w:rPr>
          <w:color w:val="231F20"/>
        </w:rPr>
        <w:t>A1</w:t>
      </w:r>
      <w:r>
        <w:rPr>
          <w:color w:val="231F20"/>
          <w:spacing w:val="-7"/>
        </w:rPr>
        <w:t> </w:t>
      </w:r>
      <w:r>
        <w:rPr>
          <w:color w:val="231F20"/>
        </w:rPr>
        <w:t>(Cotaxtla</w:t>
      </w:r>
      <w:r>
        <w:rPr>
          <w:color w:val="231F20"/>
          <w:spacing w:val="-7"/>
        </w:rPr>
        <w:t> </w:t>
      </w:r>
      <w:r>
        <w:rPr>
          <w:color w:val="231F20"/>
        </w:rPr>
        <w:t>2009B)</w:t>
      </w:r>
      <w:r>
        <w:rPr>
          <w:color w:val="231F20"/>
          <w:spacing w:val="-7"/>
        </w:rPr>
        <w:t> </w:t>
      </w:r>
      <w:r>
        <w:rPr>
          <w:color w:val="231F20"/>
        </w:rPr>
        <w:t>presentó</w:t>
      </w:r>
      <w:r>
        <w:rPr>
          <w:color w:val="231F20"/>
          <w:spacing w:val="-7"/>
        </w:rPr>
        <w:t> </w:t>
      </w:r>
      <w:r>
        <w:rPr>
          <w:color w:val="231F20"/>
        </w:rPr>
        <w:t>un</w:t>
      </w:r>
      <w:r>
        <w:rPr>
          <w:color w:val="231F20"/>
          <w:spacing w:val="-7"/>
        </w:rPr>
        <w:t> </w:t>
      </w:r>
      <w:r>
        <w:rPr>
          <w:color w:val="231F20"/>
        </w:rPr>
        <w:t>rendimiento</w:t>
      </w:r>
      <w:r>
        <w:rPr>
          <w:color w:val="231F20"/>
          <w:spacing w:val="-7"/>
        </w:rPr>
        <w:t> </w:t>
      </w:r>
      <w:r>
        <w:rPr>
          <w:color w:val="231F20"/>
        </w:rPr>
        <w:t>inferior</w:t>
      </w:r>
      <w:r>
        <w:rPr>
          <w:color w:val="231F20"/>
          <w:spacing w:val="-7"/>
        </w:rPr>
        <w:t> </w:t>
      </w:r>
      <w:r>
        <w:rPr>
          <w:color w:val="231F20"/>
        </w:rPr>
        <w:t>al</w:t>
      </w:r>
      <w:r>
        <w:rPr>
          <w:color w:val="231F20"/>
          <w:spacing w:val="-7"/>
        </w:rPr>
        <w:t> </w:t>
      </w:r>
      <w:r>
        <w:rPr>
          <w:color w:val="231F20"/>
        </w:rPr>
        <w:t>ambiente</w:t>
      </w:r>
      <w:r>
        <w:rPr>
          <w:color w:val="231F20"/>
          <w:spacing w:val="-18"/>
        </w:rPr>
        <w:t> </w:t>
      </w:r>
      <w:r>
        <w:rPr>
          <w:color w:val="231F20"/>
        </w:rPr>
        <w:t>A2</w:t>
      </w:r>
      <w:r>
        <w:rPr>
          <w:color w:val="231F20"/>
          <w:spacing w:val="-7"/>
        </w:rPr>
        <w:t> </w:t>
      </w:r>
      <w:r>
        <w:rPr>
          <w:color w:val="231F20"/>
        </w:rPr>
        <w:t>(Cotaxt- la</w:t>
      </w:r>
      <w:r>
        <w:rPr>
          <w:color w:val="231F20"/>
          <w:spacing w:val="-5"/>
        </w:rPr>
        <w:t> </w:t>
      </w:r>
      <w:r>
        <w:rPr>
          <w:color w:val="231F20"/>
        </w:rPr>
        <w:t>2010B),</w:t>
      </w:r>
      <w:r>
        <w:rPr>
          <w:color w:val="231F20"/>
          <w:spacing w:val="-5"/>
        </w:rPr>
        <w:t> </w:t>
      </w:r>
      <w:r>
        <w:rPr>
          <w:color w:val="231F20"/>
        </w:rPr>
        <w:t>con</w:t>
      </w:r>
      <w:r>
        <w:rPr>
          <w:color w:val="231F20"/>
          <w:spacing w:val="-5"/>
        </w:rPr>
        <w:t> </w:t>
      </w:r>
      <w:r>
        <w:rPr>
          <w:color w:val="231F20"/>
        </w:rPr>
        <w:t>valores</w:t>
      </w:r>
      <w:r>
        <w:rPr>
          <w:color w:val="231F20"/>
          <w:spacing w:val="-5"/>
        </w:rPr>
        <w:t> </w:t>
      </w:r>
      <w:r>
        <w:rPr>
          <w:color w:val="231F20"/>
        </w:rPr>
        <w:t>de</w:t>
      </w:r>
      <w:r>
        <w:rPr>
          <w:color w:val="231F20"/>
          <w:spacing w:val="-16"/>
        </w:rPr>
        <w:t> </w:t>
      </w:r>
      <w:r>
        <w:rPr>
          <w:color w:val="231F20"/>
        </w:rPr>
        <w:t>ACP1</w:t>
      </w:r>
      <w:r>
        <w:rPr>
          <w:color w:val="231F20"/>
          <w:spacing w:val="-5"/>
        </w:rPr>
        <w:t> </w:t>
      </w:r>
      <w:r>
        <w:rPr>
          <w:color w:val="231F20"/>
        </w:rPr>
        <w:t>de</w:t>
      </w:r>
      <w:r>
        <w:rPr>
          <w:color w:val="231F20"/>
          <w:spacing w:val="-5"/>
        </w:rPr>
        <w:t> </w:t>
      </w:r>
      <w:r>
        <w:rPr>
          <w:color w:val="231F20"/>
        </w:rPr>
        <w:t>-0.22</w:t>
      </w:r>
      <w:r>
        <w:rPr>
          <w:color w:val="231F20"/>
          <w:spacing w:val="-5"/>
        </w:rPr>
        <w:t> </w:t>
      </w:r>
      <w:r>
        <w:rPr>
          <w:color w:val="231F20"/>
        </w:rPr>
        <w:t>y</w:t>
      </w:r>
      <w:r>
        <w:rPr>
          <w:color w:val="231F20"/>
          <w:spacing w:val="-5"/>
        </w:rPr>
        <w:t> </w:t>
      </w:r>
      <w:r>
        <w:rPr>
          <w:color w:val="231F20"/>
        </w:rPr>
        <w:t>0.92,</w:t>
      </w:r>
      <w:r>
        <w:rPr>
          <w:color w:val="231F20"/>
          <w:spacing w:val="-5"/>
        </w:rPr>
        <w:t> </w:t>
      </w:r>
      <w:r>
        <w:rPr>
          <w:color w:val="231F20"/>
        </w:rPr>
        <w:t>respectivamente.</w:t>
      </w:r>
      <w:r>
        <w:rPr>
          <w:color w:val="231F20"/>
          <w:spacing w:val="-5"/>
        </w:rPr>
        <w:t> </w:t>
      </w:r>
      <w:r>
        <w:rPr>
          <w:color w:val="231F20"/>
        </w:rPr>
        <w:t>El</w:t>
      </w:r>
      <w:r>
        <w:rPr>
          <w:color w:val="231F20"/>
          <w:spacing w:val="-5"/>
        </w:rPr>
        <w:t> </w:t>
      </w:r>
      <w:r>
        <w:rPr>
          <w:color w:val="231F20"/>
        </w:rPr>
        <w:t>ambiente</w:t>
      </w:r>
      <w:r>
        <w:rPr>
          <w:color w:val="231F20"/>
          <w:spacing w:val="-16"/>
        </w:rPr>
        <w:t> </w:t>
      </w:r>
      <w:r>
        <w:rPr>
          <w:color w:val="231F20"/>
        </w:rPr>
        <w:t>A4</w:t>
      </w:r>
      <w:r>
        <w:rPr>
          <w:color w:val="231F20"/>
          <w:spacing w:val="-5"/>
        </w:rPr>
        <w:t> </w:t>
      </w:r>
      <w:r>
        <w:rPr>
          <w:color w:val="231F20"/>
        </w:rPr>
        <w:t>(Cotaxtla</w:t>
      </w:r>
      <w:r>
        <w:rPr>
          <w:color w:val="231F20"/>
          <w:spacing w:val="-5"/>
        </w:rPr>
        <w:t> </w:t>
      </w:r>
      <w:r>
        <w:rPr>
          <w:color w:val="231F20"/>
        </w:rPr>
        <w:t>2011A) presentó</w:t>
      </w:r>
      <w:r>
        <w:rPr>
          <w:color w:val="231F20"/>
          <w:spacing w:val="-7"/>
        </w:rPr>
        <w:t> </w:t>
      </w:r>
      <w:r>
        <w:rPr>
          <w:color w:val="231F20"/>
        </w:rPr>
        <w:t>un</w:t>
      </w:r>
      <w:r>
        <w:rPr>
          <w:color w:val="231F20"/>
          <w:spacing w:val="-7"/>
        </w:rPr>
        <w:t> </w:t>
      </w:r>
      <w:r>
        <w:rPr>
          <w:color w:val="231F20"/>
        </w:rPr>
        <w:t>rendimiento</w:t>
      </w:r>
      <w:r>
        <w:rPr>
          <w:color w:val="231F20"/>
          <w:spacing w:val="-7"/>
        </w:rPr>
        <w:t> </w:t>
      </w:r>
      <w:r>
        <w:rPr>
          <w:color w:val="231F20"/>
        </w:rPr>
        <w:t>inferior</w:t>
      </w:r>
      <w:r>
        <w:rPr>
          <w:color w:val="231F20"/>
          <w:spacing w:val="-7"/>
        </w:rPr>
        <w:t> </w:t>
      </w:r>
      <w:r>
        <w:rPr>
          <w:color w:val="231F20"/>
        </w:rPr>
        <w:t>al</w:t>
      </w:r>
      <w:r>
        <w:rPr>
          <w:color w:val="231F20"/>
          <w:spacing w:val="-7"/>
        </w:rPr>
        <w:t> </w:t>
      </w:r>
      <w:r>
        <w:rPr>
          <w:color w:val="231F20"/>
        </w:rPr>
        <w:t>promedio</w:t>
      </w:r>
      <w:r>
        <w:rPr>
          <w:color w:val="231F20"/>
          <w:spacing w:val="-7"/>
        </w:rPr>
        <w:t> </w:t>
      </w:r>
      <w:r>
        <w:rPr>
          <w:color w:val="231F20"/>
        </w:rPr>
        <w:t>general</w:t>
      </w:r>
      <w:r>
        <w:rPr>
          <w:color w:val="231F20"/>
          <w:spacing w:val="-7"/>
        </w:rPr>
        <w:t> </w:t>
      </w:r>
      <w:r>
        <w:rPr>
          <w:color w:val="231F20"/>
        </w:rPr>
        <w:t>(Cuadro</w:t>
      </w:r>
      <w:r>
        <w:rPr>
          <w:color w:val="231F20"/>
          <w:spacing w:val="-7"/>
        </w:rPr>
        <w:t> </w:t>
      </w:r>
      <w:r>
        <w:rPr>
          <w:color w:val="231F20"/>
        </w:rPr>
        <w:t>3).</w:t>
      </w:r>
      <w:r>
        <w:rPr>
          <w:color w:val="231F20"/>
          <w:spacing w:val="-7"/>
        </w:rPr>
        <w:t> </w:t>
      </w:r>
      <w:r>
        <w:rPr>
          <w:color w:val="231F20"/>
        </w:rPr>
        <w:t>El</w:t>
      </w:r>
      <w:r>
        <w:rPr>
          <w:color w:val="231F20"/>
          <w:spacing w:val="-7"/>
        </w:rPr>
        <w:t> </w:t>
      </w:r>
      <w:r>
        <w:rPr>
          <w:color w:val="231F20"/>
        </w:rPr>
        <w:t>que</w:t>
      </w:r>
      <w:r>
        <w:rPr>
          <w:color w:val="231F20"/>
          <w:spacing w:val="-7"/>
        </w:rPr>
        <w:t> </w:t>
      </w:r>
      <w:r>
        <w:rPr>
          <w:color w:val="231F20"/>
        </w:rPr>
        <w:t>la</w:t>
      </w:r>
      <w:r>
        <w:rPr>
          <w:color w:val="231F20"/>
          <w:spacing w:val="-7"/>
        </w:rPr>
        <w:t> </w:t>
      </w:r>
      <w:r>
        <w:rPr>
          <w:color w:val="231F20"/>
        </w:rPr>
        <w:t>misma</w:t>
      </w:r>
      <w:r>
        <w:rPr>
          <w:color w:val="231F20"/>
          <w:spacing w:val="-8"/>
        </w:rPr>
        <w:t> </w:t>
      </w:r>
      <w:r>
        <w:rPr>
          <w:color w:val="231F20"/>
        </w:rPr>
        <w:t>localidad</w:t>
      </w:r>
      <w:r>
        <w:rPr>
          <w:color w:val="231F20"/>
          <w:spacing w:val="-8"/>
        </w:rPr>
        <w:t> </w:t>
      </w:r>
      <w:r>
        <w:rPr>
          <w:color w:val="231F20"/>
        </w:rPr>
        <w:t>presente valores de ACP1 positivos y negativos en diferentes años, indica que la variación ambiental entre años es grande, por lo que es conveniente continuar con la evaluación de los genotipos por varios ciclos en ese mismo lugar antes de seleccionar el genotipo de interés (Mejía y Molina, 2003; Alejos </w:t>
      </w:r>
      <w:r>
        <w:rPr>
          <w:i/>
          <w:color w:val="231F20"/>
        </w:rPr>
        <w:t>et al.</w:t>
      </w:r>
      <w:r>
        <w:rPr>
          <w:color w:val="231F20"/>
        </w:rPr>
        <w:t>, 2006; González </w:t>
      </w:r>
      <w:r>
        <w:rPr>
          <w:i/>
          <w:color w:val="231F20"/>
        </w:rPr>
        <w:t>et al.</w:t>
      </w:r>
      <w:r>
        <w:rPr>
          <w:color w:val="231F20"/>
        </w:rPr>
        <w:t>, 2007; Salas </w:t>
      </w:r>
      <w:r>
        <w:rPr>
          <w:i/>
          <w:color w:val="231F20"/>
        </w:rPr>
        <w:t>et al.</w:t>
      </w:r>
      <w:r>
        <w:rPr>
          <w:color w:val="231F20"/>
        </w:rPr>
        <w:t>, 2009; Alanís </w:t>
      </w:r>
      <w:r>
        <w:rPr>
          <w:i/>
          <w:color w:val="231F20"/>
        </w:rPr>
        <w:t>et al.</w:t>
      </w:r>
      <w:r>
        <w:rPr>
          <w:color w:val="231F20"/>
        </w:rPr>
        <w:t>,</w:t>
      </w:r>
      <w:r>
        <w:rPr>
          <w:color w:val="231F20"/>
          <w:spacing w:val="-15"/>
        </w:rPr>
        <w:t> </w:t>
      </w:r>
      <w:r>
        <w:rPr>
          <w:color w:val="231F20"/>
        </w:rPr>
        <w:t>2010).</w:t>
      </w:r>
    </w:p>
    <w:p>
      <w:pPr>
        <w:pStyle w:val="BodyText"/>
        <w:spacing w:before="5"/>
      </w:pPr>
    </w:p>
    <w:p>
      <w:pPr>
        <w:spacing w:line="290" w:lineRule="auto" w:before="0"/>
        <w:ind w:left="3425" w:right="2870" w:hanging="321"/>
        <w:jc w:val="left"/>
        <w:rPr>
          <w:b/>
          <w:sz w:val="18"/>
        </w:rPr>
      </w:pPr>
      <w:r>
        <w:rPr>
          <w:b/>
          <w:color w:val="010202"/>
          <w:sz w:val="18"/>
        </w:rPr>
        <w:t>Cuadro 3. Rendimiento medio y valores de ACP1 para cuatro ambientes del estado de Veracruz, México, 2009-2011</w:t>
      </w:r>
    </w:p>
    <w:p>
      <w:pPr>
        <w:pStyle w:val="BodyText"/>
        <w:spacing w:before="4"/>
        <w:rPr>
          <w:b/>
          <w:sz w:val="18"/>
        </w:rPr>
      </w:pPr>
    </w:p>
    <w:tbl>
      <w:tblPr>
        <w:tblW w:w="0" w:type="auto"/>
        <w:jc w:val="left"/>
        <w:tblInd w:w="127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92"/>
        <w:gridCol w:w="2895"/>
        <w:gridCol w:w="2573"/>
        <w:gridCol w:w="1519"/>
      </w:tblGrid>
      <w:tr>
        <w:trPr>
          <w:trHeight w:val="272" w:hRule="exact"/>
        </w:trPr>
        <w:tc>
          <w:tcPr>
            <w:tcW w:w="1392" w:type="dxa"/>
            <w:tcBorders>
              <w:top w:val="single" w:sz="6" w:space="0" w:color="010202"/>
              <w:bottom w:val="single" w:sz="6" w:space="0" w:color="010202"/>
            </w:tcBorders>
          </w:tcPr>
          <w:p>
            <w:pPr>
              <w:pStyle w:val="TableParagraph"/>
              <w:spacing w:before="32"/>
              <w:ind w:left="200"/>
              <w:rPr>
                <w:b/>
                <w:sz w:val="18"/>
              </w:rPr>
            </w:pPr>
            <w:r>
              <w:rPr>
                <w:b/>
                <w:color w:val="231F20"/>
                <w:sz w:val="18"/>
              </w:rPr>
              <w:t>Núm.</w:t>
            </w:r>
          </w:p>
        </w:tc>
        <w:tc>
          <w:tcPr>
            <w:tcW w:w="2895" w:type="dxa"/>
            <w:tcBorders>
              <w:top w:val="single" w:sz="6" w:space="0" w:color="010202"/>
              <w:bottom w:val="single" w:sz="6" w:space="0" w:color="010202"/>
            </w:tcBorders>
          </w:tcPr>
          <w:p>
            <w:pPr>
              <w:pStyle w:val="TableParagraph"/>
              <w:spacing w:before="32"/>
              <w:ind w:left="767"/>
              <w:rPr>
                <w:b/>
                <w:sz w:val="18"/>
              </w:rPr>
            </w:pPr>
            <w:r>
              <w:rPr>
                <w:b/>
                <w:color w:val="231F20"/>
                <w:sz w:val="18"/>
              </w:rPr>
              <w:t>Ambiente</w:t>
            </w:r>
          </w:p>
        </w:tc>
        <w:tc>
          <w:tcPr>
            <w:tcW w:w="2573" w:type="dxa"/>
            <w:tcBorders>
              <w:top w:val="single" w:sz="6" w:space="0" w:color="010202"/>
              <w:bottom w:val="single" w:sz="6" w:space="0" w:color="010202"/>
            </w:tcBorders>
          </w:tcPr>
          <w:p>
            <w:pPr>
              <w:pStyle w:val="TableParagraph"/>
              <w:spacing w:before="32"/>
              <w:ind w:left="752"/>
              <w:rPr>
                <w:b/>
                <w:sz w:val="18"/>
              </w:rPr>
            </w:pPr>
            <w:r>
              <w:rPr>
                <w:b/>
                <w:color w:val="231F20"/>
                <w:sz w:val="18"/>
              </w:rPr>
              <w:t>Rendimiento t ha-1</w:t>
            </w:r>
          </w:p>
        </w:tc>
        <w:tc>
          <w:tcPr>
            <w:tcW w:w="1519" w:type="dxa"/>
            <w:tcBorders>
              <w:top w:val="single" w:sz="6" w:space="0" w:color="010202"/>
              <w:bottom w:val="single" w:sz="6" w:space="0" w:color="010202"/>
            </w:tcBorders>
          </w:tcPr>
          <w:p>
            <w:pPr>
              <w:pStyle w:val="TableParagraph"/>
              <w:spacing w:before="32"/>
              <w:ind w:left="340"/>
              <w:rPr>
                <w:b/>
                <w:sz w:val="18"/>
              </w:rPr>
            </w:pPr>
            <w:r>
              <w:rPr>
                <w:b/>
                <w:color w:val="231F20"/>
                <w:sz w:val="18"/>
              </w:rPr>
              <w:t>ACP1</w:t>
            </w:r>
          </w:p>
        </w:tc>
      </w:tr>
      <w:tr>
        <w:trPr>
          <w:trHeight w:val="256" w:hRule="exact"/>
        </w:trPr>
        <w:tc>
          <w:tcPr>
            <w:tcW w:w="1392" w:type="dxa"/>
            <w:tcBorders>
              <w:top w:val="single" w:sz="6" w:space="0" w:color="010202"/>
            </w:tcBorders>
          </w:tcPr>
          <w:p>
            <w:pPr>
              <w:pStyle w:val="TableParagraph"/>
              <w:spacing w:before="10"/>
              <w:ind w:left="200"/>
              <w:rPr>
                <w:sz w:val="18"/>
              </w:rPr>
            </w:pPr>
            <w:r>
              <w:rPr>
                <w:color w:val="231F20"/>
                <w:sz w:val="18"/>
              </w:rPr>
              <w:t>A1</w:t>
            </w:r>
          </w:p>
        </w:tc>
        <w:tc>
          <w:tcPr>
            <w:tcW w:w="2895" w:type="dxa"/>
            <w:tcBorders>
              <w:top w:val="single" w:sz="6" w:space="0" w:color="010202"/>
            </w:tcBorders>
          </w:tcPr>
          <w:p>
            <w:pPr>
              <w:pStyle w:val="TableParagraph"/>
              <w:spacing w:before="10"/>
              <w:ind w:left="767"/>
              <w:rPr>
                <w:sz w:val="18"/>
              </w:rPr>
            </w:pPr>
            <w:r>
              <w:rPr>
                <w:color w:val="231F20"/>
                <w:sz w:val="18"/>
              </w:rPr>
              <w:t>Cotaxtla 2009B</w:t>
            </w:r>
          </w:p>
        </w:tc>
        <w:tc>
          <w:tcPr>
            <w:tcW w:w="2573" w:type="dxa"/>
            <w:tcBorders>
              <w:top w:val="single" w:sz="6" w:space="0" w:color="010202"/>
            </w:tcBorders>
          </w:tcPr>
          <w:p>
            <w:pPr>
              <w:pStyle w:val="TableParagraph"/>
              <w:spacing w:before="10"/>
              <w:ind w:left="752"/>
              <w:rPr>
                <w:sz w:val="18"/>
              </w:rPr>
            </w:pPr>
            <w:r>
              <w:rPr>
                <w:color w:val="231F20"/>
                <w:sz w:val="18"/>
              </w:rPr>
              <w:t>4.56 b</w:t>
            </w:r>
          </w:p>
        </w:tc>
        <w:tc>
          <w:tcPr>
            <w:tcW w:w="1519" w:type="dxa"/>
            <w:tcBorders>
              <w:top w:val="single" w:sz="6" w:space="0" w:color="010202"/>
            </w:tcBorders>
          </w:tcPr>
          <w:p>
            <w:pPr>
              <w:pStyle w:val="TableParagraph"/>
              <w:spacing w:before="10"/>
              <w:ind w:left="340"/>
              <w:rPr>
                <w:sz w:val="18"/>
              </w:rPr>
            </w:pPr>
            <w:r>
              <w:rPr>
                <w:color w:val="231F20"/>
                <w:sz w:val="18"/>
              </w:rPr>
              <w:t>-0.22308</w:t>
            </w:r>
          </w:p>
        </w:tc>
      </w:tr>
      <w:tr>
        <w:trPr>
          <w:trHeight w:val="250" w:hRule="exact"/>
        </w:trPr>
        <w:tc>
          <w:tcPr>
            <w:tcW w:w="1392" w:type="dxa"/>
          </w:tcPr>
          <w:p>
            <w:pPr>
              <w:pStyle w:val="TableParagraph"/>
              <w:spacing w:before="12"/>
              <w:ind w:left="199"/>
              <w:rPr>
                <w:sz w:val="18"/>
              </w:rPr>
            </w:pPr>
            <w:r>
              <w:rPr>
                <w:color w:val="231F20"/>
                <w:sz w:val="18"/>
              </w:rPr>
              <w:t>A2</w:t>
            </w:r>
          </w:p>
        </w:tc>
        <w:tc>
          <w:tcPr>
            <w:tcW w:w="2895" w:type="dxa"/>
          </w:tcPr>
          <w:p>
            <w:pPr>
              <w:pStyle w:val="TableParagraph"/>
              <w:spacing w:before="12"/>
              <w:ind w:left="767"/>
              <w:rPr>
                <w:sz w:val="18"/>
              </w:rPr>
            </w:pPr>
            <w:r>
              <w:rPr>
                <w:color w:val="231F20"/>
                <w:sz w:val="18"/>
              </w:rPr>
              <w:t>Cotaxtla 2010B</w:t>
            </w:r>
          </w:p>
        </w:tc>
        <w:tc>
          <w:tcPr>
            <w:tcW w:w="2573" w:type="dxa"/>
          </w:tcPr>
          <w:p>
            <w:pPr>
              <w:pStyle w:val="TableParagraph"/>
              <w:spacing w:before="12"/>
              <w:ind w:left="752"/>
              <w:rPr>
                <w:sz w:val="18"/>
              </w:rPr>
            </w:pPr>
            <w:r>
              <w:rPr>
                <w:color w:val="231F20"/>
                <w:sz w:val="18"/>
              </w:rPr>
              <w:t>4.87 ab</w:t>
            </w:r>
          </w:p>
        </w:tc>
        <w:tc>
          <w:tcPr>
            <w:tcW w:w="1519" w:type="dxa"/>
          </w:tcPr>
          <w:p>
            <w:pPr>
              <w:pStyle w:val="TableParagraph"/>
              <w:spacing w:before="12"/>
              <w:ind w:left="340"/>
              <w:rPr>
                <w:sz w:val="18"/>
              </w:rPr>
            </w:pPr>
            <w:r>
              <w:rPr>
                <w:color w:val="231F20"/>
                <w:sz w:val="18"/>
              </w:rPr>
              <w:t>0.92200</w:t>
            </w:r>
          </w:p>
        </w:tc>
      </w:tr>
      <w:tr>
        <w:trPr>
          <w:trHeight w:val="250" w:hRule="exact"/>
        </w:trPr>
        <w:tc>
          <w:tcPr>
            <w:tcW w:w="1392" w:type="dxa"/>
          </w:tcPr>
          <w:p>
            <w:pPr>
              <w:pStyle w:val="TableParagraph"/>
              <w:spacing w:before="12"/>
              <w:ind w:left="199"/>
              <w:rPr>
                <w:sz w:val="18"/>
              </w:rPr>
            </w:pPr>
            <w:r>
              <w:rPr>
                <w:color w:val="231F20"/>
                <w:sz w:val="18"/>
              </w:rPr>
              <w:t>A3</w:t>
            </w:r>
          </w:p>
        </w:tc>
        <w:tc>
          <w:tcPr>
            <w:tcW w:w="2895" w:type="dxa"/>
          </w:tcPr>
          <w:p>
            <w:pPr>
              <w:pStyle w:val="TableParagraph"/>
              <w:spacing w:before="12"/>
              <w:ind w:left="767"/>
              <w:rPr>
                <w:sz w:val="18"/>
              </w:rPr>
            </w:pPr>
            <w:r>
              <w:rPr>
                <w:color w:val="231F20"/>
                <w:sz w:val="18"/>
              </w:rPr>
              <w:t>Tlachiconal 2010B</w:t>
            </w:r>
          </w:p>
        </w:tc>
        <w:tc>
          <w:tcPr>
            <w:tcW w:w="2573" w:type="dxa"/>
          </w:tcPr>
          <w:p>
            <w:pPr>
              <w:pStyle w:val="TableParagraph"/>
              <w:spacing w:before="12"/>
              <w:ind w:left="752"/>
              <w:rPr>
                <w:sz w:val="18"/>
              </w:rPr>
            </w:pPr>
            <w:r>
              <w:rPr>
                <w:color w:val="231F20"/>
                <w:sz w:val="18"/>
              </w:rPr>
              <w:t>5.41 a</w:t>
            </w:r>
          </w:p>
        </w:tc>
        <w:tc>
          <w:tcPr>
            <w:tcW w:w="1519" w:type="dxa"/>
          </w:tcPr>
          <w:p>
            <w:pPr>
              <w:pStyle w:val="TableParagraph"/>
              <w:spacing w:before="12"/>
              <w:ind w:left="340"/>
              <w:rPr>
                <w:sz w:val="18"/>
              </w:rPr>
            </w:pPr>
            <w:r>
              <w:rPr>
                <w:color w:val="231F20"/>
                <w:sz w:val="18"/>
              </w:rPr>
              <w:t>0.07716</w:t>
            </w:r>
          </w:p>
        </w:tc>
      </w:tr>
      <w:tr>
        <w:trPr>
          <w:trHeight w:val="315" w:hRule="exact"/>
        </w:trPr>
        <w:tc>
          <w:tcPr>
            <w:tcW w:w="1392" w:type="dxa"/>
          </w:tcPr>
          <w:p>
            <w:pPr>
              <w:pStyle w:val="TableParagraph"/>
              <w:spacing w:before="12"/>
              <w:ind w:left="199"/>
              <w:rPr>
                <w:sz w:val="18"/>
              </w:rPr>
            </w:pPr>
            <w:r>
              <w:rPr>
                <w:color w:val="231F20"/>
                <w:sz w:val="18"/>
              </w:rPr>
              <w:t>A4</w:t>
            </w:r>
          </w:p>
        </w:tc>
        <w:tc>
          <w:tcPr>
            <w:tcW w:w="2895" w:type="dxa"/>
          </w:tcPr>
          <w:p>
            <w:pPr>
              <w:pStyle w:val="TableParagraph"/>
              <w:spacing w:before="12"/>
              <w:ind w:left="767"/>
              <w:rPr>
                <w:sz w:val="18"/>
              </w:rPr>
            </w:pPr>
            <w:r>
              <w:rPr>
                <w:color w:val="231F20"/>
                <w:sz w:val="18"/>
              </w:rPr>
              <w:t>Cotaxtla 2011A</w:t>
            </w:r>
          </w:p>
        </w:tc>
        <w:tc>
          <w:tcPr>
            <w:tcW w:w="2573" w:type="dxa"/>
          </w:tcPr>
          <w:p>
            <w:pPr>
              <w:pStyle w:val="TableParagraph"/>
              <w:spacing w:before="12"/>
              <w:ind w:left="752"/>
              <w:rPr>
                <w:sz w:val="18"/>
              </w:rPr>
            </w:pPr>
            <w:r>
              <w:rPr>
                <w:color w:val="231F20"/>
                <w:sz w:val="18"/>
              </w:rPr>
              <w:t>3.82 c</w:t>
            </w:r>
          </w:p>
        </w:tc>
        <w:tc>
          <w:tcPr>
            <w:tcW w:w="1519" w:type="dxa"/>
          </w:tcPr>
          <w:p>
            <w:pPr>
              <w:pStyle w:val="TableParagraph"/>
              <w:spacing w:before="12"/>
              <w:ind w:left="340"/>
              <w:rPr>
                <w:sz w:val="18"/>
              </w:rPr>
            </w:pPr>
            <w:r>
              <w:rPr>
                <w:color w:val="231F20"/>
                <w:sz w:val="18"/>
              </w:rPr>
              <w:t>-0.77608</w:t>
            </w:r>
          </w:p>
        </w:tc>
      </w:tr>
    </w:tbl>
    <w:p>
      <w:pPr>
        <w:pStyle w:val="BodyText"/>
        <w:spacing w:before="10"/>
        <w:rPr>
          <w:b/>
          <w:sz w:val="2"/>
        </w:rPr>
      </w:pPr>
    </w:p>
    <w:p>
      <w:pPr>
        <w:pStyle w:val="BodyText"/>
        <w:spacing w:line="20" w:lineRule="exact"/>
        <w:ind w:left="1262"/>
        <w:rPr>
          <w:sz w:val="2"/>
        </w:rPr>
      </w:pPr>
      <w:r>
        <w:rPr>
          <w:sz w:val="2"/>
        </w:rPr>
        <w:pict>
          <v:group style="width:419.75pt;height:.75pt;mso-position-horizontal-relative:char;mso-position-vertical-relative:line" coordorigin="0,0" coordsize="8395,15">
            <v:line style="position:absolute" from="8,8" to="8387,8" stroked="true" strokeweight=".75pt" strokecolor="#010202"/>
          </v:group>
        </w:pict>
      </w:r>
      <w:r>
        <w:rPr>
          <w:sz w:val="2"/>
        </w:rPr>
      </w:r>
    </w:p>
    <w:p>
      <w:pPr>
        <w:pStyle w:val="BodyText"/>
        <w:spacing w:before="5"/>
        <w:rPr>
          <w:b/>
          <w:sz w:val="6"/>
        </w:rPr>
      </w:pPr>
    </w:p>
    <w:p>
      <w:pPr>
        <w:spacing w:line="307" w:lineRule="auto" w:before="79"/>
        <w:ind w:left="1270" w:right="1268" w:firstLine="0"/>
        <w:jc w:val="both"/>
        <w:rPr>
          <w:b/>
          <w:i/>
          <w:sz w:val="17"/>
        </w:rPr>
      </w:pPr>
      <w:r>
        <w:rPr>
          <w:b/>
          <w:i/>
          <w:color w:val="231F20"/>
          <w:sz w:val="17"/>
        </w:rPr>
        <w:t>Medias</w:t>
      </w:r>
      <w:r>
        <w:rPr>
          <w:b/>
          <w:i/>
          <w:color w:val="231F20"/>
          <w:spacing w:val="-10"/>
          <w:sz w:val="17"/>
        </w:rPr>
        <w:t> </w:t>
      </w:r>
      <w:r>
        <w:rPr>
          <w:b/>
          <w:i/>
          <w:color w:val="231F20"/>
          <w:sz w:val="17"/>
        </w:rPr>
        <w:t>con</w:t>
      </w:r>
      <w:r>
        <w:rPr>
          <w:b/>
          <w:i/>
          <w:color w:val="231F20"/>
          <w:spacing w:val="-10"/>
          <w:sz w:val="17"/>
        </w:rPr>
        <w:t> </w:t>
      </w:r>
      <w:r>
        <w:rPr>
          <w:b/>
          <w:i/>
          <w:color w:val="231F20"/>
          <w:sz w:val="17"/>
        </w:rPr>
        <w:t>distinta</w:t>
      </w:r>
      <w:r>
        <w:rPr>
          <w:b/>
          <w:i/>
          <w:color w:val="231F20"/>
          <w:spacing w:val="-10"/>
          <w:sz w:val="17"/>
        </w:rPr>
        <w:t> </w:t>
      </w:r>
      <w:r>
        <w:rPr>
          <w:b/>
          <w:i/>
          <w:color w:val="231F20"/>
          <w:sz w:val="17"/>
        </w:rPr>
        <w:t>letra</w:t>
      </w:r>
      <w:r>
        <w:rPr>
          <w:b/>
          <w:i/>
          <w:color w:val="231F20"/>
          <w:spacing w:val="-10"/>
          <w:sz w:val="17"/>
        </w:rPr>
        <w:t> </w:t>
      </w:r>
      <w:r>
        <w:rPr>
          <w:b/>
          <w:i/>
          <w:color w:val="231F20"/>
          <w:sz w:val="17"/>
        </w:rPr>
        <w:t>son</w:t>
      </w:r>
      <w:r>
        <w:rPr>
          <w:b/>
          <w:i/>
          <w:color w:val="231F20"/>
          <w:spacing w:val="-10"/>
          <w:sz w:val="17"/>
        </w:rPr>
        <w:t> </w:t>
      </w:r>
      <w:r>
        <w:rPr>
          <w:b/>
          <w:i/>
          <w:color w:val="231F20"/>
          <w:sz w:val="17"/>
        </w:rPr>
        <w:t>estadísticamente</w:t>
      </w:r>
      <w:r>
        <w:rPr>
          <w:b/>
          <w:i/>
          <w:color w:val="231F20"/>
          <w:spacing w:val="-10"/>
          <w:sz w:val="17"/>
        </w:rPr>
        <w:t> </w:t>
      </w:r>
      <w:r>
        <w:rPr>
          <w:b/>
          <w:i/>
          <w:color w:val="231F20"/>
          <w:sz w:val="17"/>
        </w:rPr>
        <w:t>diferente</w:t>
      </w:r>
      <w:r>
        <w:rPr>
          <w:b/>
          <w:i/>
          <w:color w:val="231F20"/>
          <w:spacing w:val="-10"/>
          <w:sz w:val="17"/>
        </w:rPr>
        <w:t> </w:t>
      </w:r>
      <w:r>
        <w:rPr>
          <w:b/>
          <w:i/>
          <w:color w:val="231F20"/>
          <w:sz w:val="17"/>
        </w:rPr>
        <w:t>(Duncan,</w:t>
      </w:r>
      <w:r>
        <w:rPr>
          <w:b/>
          <w:i/>
          <w:color w:val="231F20"/>
          <w:spacing w:val="-10"/>
          <w:sz w:val="17"/>
        </w:rPr>
        <w:t> </w:t>
      </w:r>
      <w:r>
        <w:rPr>
          <w:b/>
          <w:i/>
          <w:color w:val="231F20"/>
          <w:sz w:val="17"/>
        </w:rPr>
        <w:t>P</w:t>
      </w:r>
      <w:r>
        <w:rPr>
          <w:b/>
          <w:i/>
          <w:color w:val="231F20"/>
          <w:spacing w:val="-15"/>
          <w:sz w:val="17"/>
        </w:rPr>
        <w:t> </w:t>
      </w:r>
      <w:r>
        <w:rPr>
          <w:b/>
          <w:i/>
          <w:color w:val="231F20"/>
          <w:sz w:val="17"/>
        </w:rPr>
        <w:t>&lt;</w:t>
      </w:r>
      <w:r>
        <w:rPr>
          <w:b/>
          <w:i/>
          <w:color w:val="231F20"/>
          <w:spacing w:val="-10"/>
          <w:sz w:val="17"/>
        </w:rPr>
        <w:t> </w:t>
      </w:r>
      <w:r>
        <w:rPr>
          <w:b/>
          <w:i/>
          <w:color w:val="231F20"/>
          <w:sz w:val="17"/>
        </w:rPr>
        <w:t>0.05);</w:t>
      </w:r>
      <w:r>
        <w:rPr>
          <w:b/>
          <w:i/>
          <w:color w:val="231F20"/>
          <w:spacing w:val="-15"/>
          <w:sz w:val="17"/>
        </w:rPr>
        <w:t> </w:t>
      </w:r>
      <w:r>
        <w:rPr>
          <w:b/>
          <w:i/>
          <w:color w:val="231F20"/>
          <w:sz w:val="17"/>
        </w:rPr>
        <w:t>ACP=</w:t>
      </w:r>
      <w:r>
        <w:rPr>
          <w:b/>
          <w:i/>
          <w:color w:val="231F20"/>
          <w:spacing w:val="-10"/>
          <w:sz w:val="17"/>
        </w:rPr>
        <w:t> </w:t>
      </w:r>
      <w:r>
        <w:rPr>
          <w:b/>
          <w:i/>
          <w:color w:val="231F20"/>
          <w:sz w:val="17"/>
        </w:rPr>
        <w:t>componente</w:t>
      </w:r>
      <w:r>
        <w:rPr>
          <w:b/>
          <w:i/>
          <w:color w:val="231F20"/>
          <w:spacing w:val="-10"/>
          <w:sz w:val="17"/>
        </w:rPr>
        <w:t> </w:t>
      </w:r>
      <w:r>
        <w:rPr>
          <w:b/>
          <w:i/>
          <w:color w:val="231F20"/>
          <w:sz w:val="17"/>
        </w:rPr>
        <w:t>principal;</w:t>
      </w:r>
      <w:r>
        <w:rPr>
          <w:b/>
          <w:i/>
          <w:color w:val="231F20"/>
          <w:spacing w:val="-15"/>
          <w:sz w:val="17"/>
        </w:rPr>
        <w:t> </w:t>
      </w:r>
      <w:r>
        <w:rPr>
          <w:b/>
          <w:i/>
          <w:color w:val="231F20"/>
          <w:sz w:val="17"/>
        </w:rPr>
        <w:t>A</w:t>
      </w:r>
      <w:r>
        <w:rPr>
          <w:b/>
          <w:i/>
          <w:color w:val="231F20"/>
          <w:spacing w:val="-18"/>
          <w:sz w:val="17"/>
        </w:rPr>
        <w:t> </w:t>
      </w:r>
      <w:r>
        <w:rPr>
          <w:b/>
          <w:i/>
          <w:color w:val="231F20"/>
          <w:sz w:val="17"/>
        </w:rPr>
        <w:t>=</w:t>
      </w:r>
      <w:r>
        <w:rPr>
          <w:b/>
          <w:i/>
          <w:color w:val="231F20"/>
          <w:spacing w:val="-10"/>
          <w:sz w:val="17"/>
        </w:rPr>
        <w:t> </w:t>
      </w:r>
      <w:r>
        <w:rPr>
          <w:b/>
          <w:i/>
          <w:color w:val="231F20"/>
          <w:sz w:val="17"/>
        </w:rPr>
        <w:t>primavera- </w:t>
      </w:r>
      <w:r>
        <w:rPr>
          <w:b/>
          <w:i/>
          <w:color w:val="231F20"/>
          <w:sz w:val="17"/>
        </w:rPr>
        <w:t>verano; B =</w:t>
      </w:r>
      <w:r>
        <w:rPr>
          <w:b/>
          <w:i/>
          <w:color w:val="231F20"/>
          <w:spacing w:val="-27"/>
          <w:sz w:val="17"/>
        </w:rPr>
        <w:t> </w:t>
      </w:r>
      <w:r>
        <w:rPr>
          <w:b/>
          <w:i/>
          <w:color w:val="231F20"/>
          <w:sz w:val="17"/>
        </w:rPr>
        <w:t>otoño-invierno.</w:t>
      </w:r>
    </w:p>
    <w:p>
      <w:pPr>
        <w:pStyle w:val="BodyText"/>
        <w:spacing w:before="7"/>
        <w:rPr>
          <w:b/>
          <w:i/>
          <w:sz w:val="18"/>
        </w:rPr>
      </w:pPr>
    </w:p>
    <w:p>
      <w:pPr>
        <w:pStyle w:val="BodyText"/>
        <w:spacing w:line="247" w:lineRule="auto"/>
        <w:ind w:left="1270" w:right="1267"/>
        <w:jc w:val="both"/>
      </w:pPr>
      <w:r>
        <w:rPr>
          <w:color w:val="231F20"/>
        </w:rPr>
        <w:t>Se detectó poca asociación entre las variedades de mayor rendimiento (Sintético 2, Sintético 4, Sin- tético</w:t>
      </w:r>
      <w:r>
        <w:rPr>
          <w:color w:val="231F20"/>
          <w:spacing w:val="-5"/>
        </w:rPr>
        <w:t> </w:t>
      </w:r>
      <w:r>
        <w:rPr>
          <w:color w:val="231F20"/>
        </w:rPr>
        <w:t>6</w:t>
      </w:r>
      <w:r>
        <w:rPr>
          <w:color w:val="231F20"/>
          <w:spacing w:val="-5"/>
        </w:rPr>
        <w:t> </w:t>
      </w:r>
      <w:r>
        <w:rPr>
          <w:color w:val="231F20"/>
        </w:rPr>
        <w:t>y</w:t>
      </w:r>
      <w:r>
        <w:rPr>
          <w:color w:val="231F20"/>
          <w:spacing w:val="-9"/>
        </w:rPr>
        <w:t> </w:t>
      </w:r>
      <w:r>
        <w:rPr>
          <w:color w:val="231F20"/>
        </w:rPr>
        <w:t>VS-536),</w:t>
      </w:r>
      <w:r>
        <w:rPr>
          <w:color w:val="231F20"/>
          <w:spacing w:val="42"/>
        </w:rPr>
        <w:t> </w:t>
      </w:r>
      <w:r>
        <w:rPr>
          <w:color w:val="231F20"/>
        </w:rPr>
        <w:t>y</w:t>
      </w:r>
      <w:r>
        <w:rPr>
          <w:color w:val="231F20"/>
          <w:spacing w:val="-5"/>
        </w:rPr>
        <w:t> </w:t>
      </w:r>
      <w:r>
        <w:rPr>
          <w:color w:val="231F20"/>
        </w:rPr>
        <w:t>los</w:t>
      </w:r>
      <w:r>
        <w:rPr>
          <w:color w:val="231F20"/>
          <w:spacing w:val="-5"/>
        </w:rPr>
        <w:t> </w:t>
      </w:r>
      <w:r>
        <w:rPr>
          <w:color w:val="231F20"/>
        </w:rPr>
        <w:t>ambientes</w:t>
      </w:r>
      <w:r>
        <w:rPr>
          <w:color w:val="231F20"/>
          <w:spacing w:val="-5"/>
        </w:rPr>
        <w:t> </w:t>
      </w:r>
      <w:r>
        <w:rPr>
          <w:color w:val="231F20"/>
        </w:rPr>
        <w:t>más</w:t>
      </w:r>
      <w:r>
        <w:rPr>
          <w:color w:val="231F20"/>
          <w:spacing w:val="-5"/>
        </w:rPr>
        <w:t> </w:t>
      </w:r>
      <w:r>
        <w:rPr>
          <w:color w:val="231F20"/>
        </w:rPr>
        <w:t>productivos</w:t>
      </w:r>
      <w:r>
        <w:rPr>
          <w:color w:val="231F20"/>
          <w:spacing w:val="-5"/>
        </w:rPr>
        <w:t> </w:t>
      </w:r>
      <w:r>
        <w:rPr>
          <w:color w:val="231F20"/>
        </w:rPr>
        <w:t>(A2</w:t>
      </w:r>
      <w:r>
        <w:rPr>
          <w:color w:val="231F20"/>
          <w:spacing w:val="-5"/>
        </w:rPr>
        <w:t> </w:t>
      </w:r>
      <w:r>
        <w:rPr>
          <w:color w:val="231F20"/>
        </w:rPr>
        <w:t>y</w:t>
      </w:r>
      <w:r>
        <w:rPr>
          <w:color w:val="231F20"/>
          <w:spacing w:val="-17"/>
        </w:rPr>
        <w:t> </w:t>
      </w:r>
      <w:r>
        <w:rPr>
          <w:color w:val="231F20"/>
        </w:rPr>
        <w:t>A3).</w:t>
      </w:r>
      <w:r>
        <w:rPr>
          <w:color w:val="231F20"/>
          <w:spacing w:val="-5"/>
        </w:rPr>
        <w:t> </w:t>
      </w:r>
      <w:r>
        <w:rPr>
          <w:color w:val="231F20"/>
        </w:rPr>
        <w:t>Lo</w:t>
      </w:r>
      <w:r>
        <w:rPr>
          <w:color w:val="231F20"/>
          <w:spacing w:val="-5"/>
        </w:rPr>
        <w:t> </w:t>
      </w:r>
      <w:r>
        <w:rPr>
          <w:color w:val="231F20"/>
        </w:rPr>
        <w:t>mismo</w:t>
      </w:r>
      <w:r>
        <w:rPr>
          <w:color w:val="231F20"/>
          <w:spacing w:val="-5"/>
        </w:rPr>
        <w:t> </w:t>
      </w:r>
      <w:r>
        <w:rPr>
          <w:color w:val="231F20"/>
        </w:rPr>
        <w:t>sucedió</w:t>
      </w:r>
      <w:r>
        <w:rPr>
          <w:color w:val="231F20"/>
          <w:spacing w:val="-5"/>
        </w:rPr>
        <w:t> </w:t>
      </w:r>
      <w:r>
        <w:rPr>
          <w:color w:val="231F20"/>
        </w:rPr>
        <w:t>en</w:t>
      </w:r>
      <w:r>
        <w:rPr>
          <w:color w:val="231F20"/>
          <w:spacing w:val="-5"/>
        </w:rPr>
        <w:t> </w:t>
      </w:r>
      <w:r>
        <w:rPr>
          <w:color w:val="231F20"/>
        </w:rPr>
        <w:t>los</w:t>
      </w:r>
      <w:r>
        <w:rPr>
          <w:color w:val="231F20"/>
          <w:spacing w:val="-5"/>
        </w:rPr>
        <w:t> </w:t>
      </w:r>
      <w:r>
        <w:rPr>
          <w:color w:val="231F20"/>
        </w:rPr>
        <w:t>ambientes pobres. Aunque el análisis AMMI mostró que los dos primeros ACP (Cuadro 1) no presentan sig- nificancia, los efectos del primer componente principal ACP1 con respecto al rendimiento de grano (Figura 1) mediante una gráfica “Biplot” indica que los ambientes A3 y A4 tienden a jerarquizar   de manera similar a los genotipos, por lo que se puede descartar uno de estos ambientes sin perder precisión de los resultados (Crossa et al., 1990; Gauch y Zobel, 1996). Caso contrario ocurrió entre los ambientes A1 y A2, que muestran una tendencia a ordenar los genotipos de manera contrastante (Alejos</w:t>
      </w:r>
      <w:r>
        <w:rPr>
          <w:color w:val="231F20"/>
          <w:spacing w:val="-7"/>
        </w:rPr>
        <w:t> </w:t>
      </w:r>
      <w:r>
        <w:rPr>
          <w:color w:val="231F20"/>
        </w:rPr>
        <w:t>et</w:t>
      </w:r>
      <w:r>
        <w:rPr>
          <w:color w:val="231F20"/>
          <w:spacing w:val="-7"/>
        </w:rPr>
        <w:t> </w:t>
      </w:r>
      <w:r>
        <w:rPr>
          <w:color w:val="231F20"/>
        </w:rPr>
        <w:t>al.,</w:t>
      </w:r>
      <w:r>
        <w:rPr>
          <w:color w:val="231F20"/>
          <w:spacing w:val="-7"/>
        </w:rPr>
        <w:t> </w:t>
      </w:r>
      <w:r>
        <w:rPr>
          <w:color w:val="231F20"/>
        </w:rPr>
        <w:t>2006).</w:t>
      </w:r>
      <w:r>
        <w:rPr>
          <w:color w:val="231F20"/>
          <w:spacing w:val="-7"/>
        </w:rPr>
        <w:t> </w:t>
      </w:r>
      <w:r>
        <w:rPr>
          <w:color w:val="231F20"/>
        </w:rPr>
        <w:t>En</w:t>
      </w:r>
      <w:r>
        <w:rPr>
          <w:color w:val="231F20"/>
          <w:spacing w:val="-7"/>
        </w:rPr>
        <w:t> </w:t>
      </w:r>
      <w:r>
        <w:rPr>
          <w:color w:val="231F20"/>
        </w:rPr>
        <w:t>lo</w:t>
      </w:r>
      <w:r>
        <w:rPr>
          <w:color w:val="231F20"/>
          <w:spacing w:val="-7"/>
        </w:rPr>
        <w:t> </w:t>
      </w:r>
      <w:r>
        <w:rPr>
          <w:color w:val="231F20"/>
        </w:rPr>
        <w:t>que</w:t>
      </w:r>
      <w:r>
        <w:rPr>
          <w:color w:val="231F20"/>
          <w:spacing w:val="-7"/>
        </w:rPr>
        <w:t> </w:t>
      </w:r>
      <w:r>
        <w:rPr>
          <w:color w:val="231F20"/>
        </w:rPr>
        <w:t>a</w:t>
      </w:r>
      <w:r>
        <w:rPr>
          <w:color w:val="231F20"/>
          <w:spacing w:val="-7"/>
        </w:rPr>
        <w:t> </w:t>
      </w:r>
      <w:r>
        <w:rPr>
          <w:color w:val="231F20"/>
        </w:rPr>
        <w:t>ambientes</w:t>
      </w:r>
      <w:r>
        <w:rPr>
          <w:color w:val="231F20"/>
          <w:spacing w:val="-8"/>
        </w:rPr>
        <w:t> </w:t>
      </w:r>
      <w:r>
        <w:rPr>
          <w:color w:val="231F20"/>
        </w:rPr>
        <w:t>se</w:t>
      </w:r>
      <w:r>
        <w:rPr>
          <w:color w:val="231F20"/>
          <w:spacing w:val="-7"/>
        </w:rPr>
        <w:t> </w:t>
      </w:r>
      <w:r>
        <w:rPr>
          <w:color w:val="231F20"/>
        </w:rPr>
        <w:t>refiere</w:t>
      </w:r>
      <w:r>
        <w:rPr>
          <w:color w:val="231F20"/>
          <w:spacing w:val="-15"/>
        </w:rPr>
        <w:t> </w:t>
      </w:r>
      <w:r>
        <w:rPr>
          <w:color w:val="231F20"/>
          <w:spacing w:val="-7"/>
        </w:rPr>
        <w:t>Yan </w:t>
      </w:r>
      <w:r>
        <w:rPr>
          <w:color w:val="231F20"/>
        </w:rPr>
        <w:t>et</w:t>
      </w:r>
      <w:r>
        <w:rPr>
          <w:color w:val="231F20"/>
          <w:spacing w:val="-7"/>
        </w:rPr>
        <w:t> </w:t>
      </w:r>
      <w:r>
        <w:rPr>
          <w:color w:val="231F20"/>
        </w:rPr>
        <w:t>al.</w:t>
      </w:r>
      <w:r>
        <w:rPr>
          <w:color w:val="231F20"/>
          <w:spacing w:val="-7"/>
        </w:rPr>
        <w:t> </w:t>
      </w:r>
      <w:r>
        <w:rPr>
          <w:color w:val="231F20"/>
        </w:rPr>
        <w:t>(2000)</w:t>
      </w:r>
      <w:r>
        <w:rPr>
          <w:color w:val="231F20"/>
          <w:spacing w:val="-7"/>
        </w:rPr>
        <w:t> </w:t>
      </w:r>
      <w:r>
        <w:rPr>
          <w:color w:val="231F20"/>
        </w:rPr>
        <w:t>señalan</w:t>
      </w:r>
      <w:r>
        <w:rPr>
          <w:color w:val="231F20"/>
          <w:spacing w:val="-7"/>
        </w:rPr>
        <w:t> </w:t>
      </w:r>
      <w:r>
        <w:rPr>
          <w:color w:val="231F20"/>
        </w:rPr>
        <w:t>que</w:t>
      </w:r>
      <w:r>
        <w:rPr>
          <w:color w:val="231F20"/>
          <w:spacing w:val="-7"/>
        </w:rPr>
        <w:t> </w:t>
      </w:r>
      <w:r>
        <w:rPr>
          <w:color w:val="231F20"/>
        </w:rPr>
        <w:t>los</w:t>
      </w:r>
      <w:r>
        <w:rPr>
          <w:color w:val="231F20"/>
          <w:spacing w:val="-7"/>
        </w:rPr>
        <w:t> </w:t>
      </w:r>
      <w:r>
        <w:rPr>
          <w:color w:val="231F20"/>
        </w:rPr>
        <w:t>ambientes</w:t>
      </w:r>
      <w:r>
        <w:rPr>
          <w:color w:val="231F20"/>
          <w:spacing w:val="-8"/>
        </w:rPr>
        <w:t> </w:t>
      </w:r>
      <w:r>
        <w:rPr>
          <w:color w:val="231F20"/>
        </w:rPr>
        <w:t>que exhiben entre ellos un ángulo menor a 90º tienen la cualidad de clasificar a los genotipos de manera semejante; y que los ambientes con un ángulo cercano a 180º tienden a ordenar de manera inversa a los genotipos, lo cual dificulta la selección por ser tan</w:t>
      </w:r>
      <w:r>
        <w:rPr>
          <w:color w:val="231F20"/>
          <w:spacing w:val="-11"/>
        </w:rPr>
        <w:t> </w:t>
      </w:r>
      <w:r>
        <w:rPr>
          <w:color w:val="231F20"/>
        </w:rPr>
        <w:t>contrastantes.</w:t>
      </w:r>
    </w:p>
    <w:p>
      <w:pPr>
        <w:spacing w:after="0" w:line="247" w:lineRule="auto"/>
        <w:jc w:val="both"/>
        <w:sectPr>
          <w:pgSz w:w="10920" w:h="13080"/>
          <w:pgMar w:header="0" w:footer="1025" w:top="420" w:bottom="1220" w:left="0" w:right="0"/>
        </w:sectPr>
      </w:pPr>
    </w:p>
    <w:p>
      <w:pPr>
        <w:pStyle w:val="BodyText"/>
        <w:rPr>
          <w:sz w:val="20"/>
        </w:rPr>
      </w:pPr>
    </w:p>
    <w:p>
      <w:pPr>
        <w:pStyle w:val="BodyText"/>
        <w:rPr>
          <w:sz w:val="20"/>
        </w:rPr>
      </w:pPr>
    </w:p>
    <w:p>
      <w:pPr>
        <w:pStyle w:val="BodyText"/>
        <w:rPr>
          <w:sz w:val="23"/>
        </w:rPr>
      </w:pPr>
    </w:p>
    <w:p>
      <w:pPr>
        <w:spacing w:line="249" w:lineRule="auto" w:before="77"/>
        <w:ind w:left="2194" w:right="2038" w:firstLine="232"/>
        <w:jc w:val="left"/>
        <w:rPr>
          <w:b/>
          <w:sz w:val="18"/>
        </w:rPr>
      </w:pPr>
      <w:r>
        <w:rPr>
          <w:b/>
          <w:color w:val="010202"/>
          <w:sz w:val="18"/>
        </w:rPr>
        <w:t>Figura 1. Patrón de respuesta a la interacción genotipo–ambiente (gxa) de ocho genotipos de maíz QPM evaluados en cuatro ambientes, Veracruz, México, 2009-2011</w:t>
      </w:r>
    </w:p>
    <w:p>
      <w:pPr>
        <w:pStyle w:val="BodyText"/>
        <w:spacing w:before="11"/>
        <w:rPr>
          <w:b/>
          <w:sz w:val="23"/>
        </w:rPr>
      </w:pPr>
      <w:r>
        <w:rPr/>
        <w:pict>
          <v:group style="position:absolute;margin-left:63.52pt;margin-top:15.736826pt;width:420.1pt;height:307.150pt;mso-position-horizontal-relative:page;mso-position-vertical-relative:paragraph;z-index:1864;mso-wrap-distance-left:0;mso-wrap-distance-right:0" coordorigin="1270,315" coordsize="8402,6143">
            <v:shape style="position:absolute;left:1273;top:315;width:7067;height:2888" type="#_x0000_t75" stroked="false">
              <v:imagedata r:id="rId23" o:title=""/>
            </v:shape>
            <v:line style="position:absolute" from="4646,1680" to="5108,717" stroked="true" strokeweight=".65456pt" strokecolor="#010202"/>
            <v:line style="position:absolute" from="4649,1672" to="2301,2515" stroked="true" strokeweight=".65528pt" strokecolor="#010202"/>
            <v:line style="position:absolute" from="4660,1680" to="4271,1938" stroked="true" strokeweight=".655084pt" strokecolor="#010202"/>
            <v:rect style="position:absolute;left:7524;top:337;width:2119;height:2539" filled="true" fillcolor="#ffffff" stroked="false">
              <v:fill type="solid"/>
            </v:rect>
            <v:shape style="position:absolute;left:1270;top:3252;width:8402;height:3205" type="#_x0000_t75" stroked="false">
              <v:imagedata r:id="rId24" o:title=""/>
            </v:shape>
            <v:shape style="position:absolute;left:1270;top:315;width:8402;height:6143" type="#_x0000_t202" filled="false" stroked="false">
              <v:textbox inset="0,0,0,0">
                <w:txbxContent>
                  <w:p>
                    <w:pPr>
                      <w:spacing w:line="242" w:lineRule="auto" w:before="84"/>
                      <w:ind w:left="6378" w:right="802" w:firstLine="0"/>
                      <w:jc w:val="left"/>
                      <w:rPr>
                        <w:rFonts w:ascii="Arial" w:hAnsi="Arial"/>
                        <w:sz w:val="19"/>
                      </w:rPr>
                    </w:pPr>
                    <w:r>
                      <w:rPr>
                        <w:rFonts w:ascii="Arial" w:hAnsi="Arial"/>
                        <w:b/>
                        <w:color w:val="010202"/>
                        <w:sz w:val="19"/>
                      </w:rPr>
                      <w:t>Genotipos </w:t>
                    </w:r>
                    <w:r>
                      <w:rPr>
                        <w:rFonts w:ascii="Arial" w:hAnsi="Arial"/>
                        <w:color w:val="010202"/>
                        <w:sz w:val="19"/>
                      </w:rPr>
                      <w:t>G1 Sintético-2 G2 Sintético-3 G3 Sintético-4 G4</w:t>
                    </w:r>
                    <w:r>
                      <w:rPr>
                        <w:rFonts w:ascii="Arial" w:hAnsi="Arial"/>
                        <w:color w:val="010202"/>
                        <w:spacing w:val="12"/>
                        <w:sz w:val="19"/>
                      </w:rPr>
                      <w:t> </w:t>
                    </w:r>
                    <w:r>
                      <w:rPr>
                        <w:rFonts w:ascii="Arial" w:hAnsi="Arial"/>
                        <w:color w:val="010202"/>
                        <w:sz w:val="19"/>
                      </w:rPr>
                      <w:t>Sintético-6</w:t>
                    </w:r>
                  </w:p>
                  <w:p>
                    <w:pPr>
                      <w:spacing w:before="1"/>
                      <w:ind w:left="0" w:right="558" w:firstLine="0"/>
                      <w:jc w:val="right"/>
                      <w:rPr>
                        <w:rFonts w:ascii="Arial" w:hAnsi="Arial"/>
                        <w:sz w:val="19"/>
                      </w:rPr>
                    </w:pPr>
                    <w:r>
                      <w:rPr>
                        <w:rFonts w:ascii="Arial" w:hAnsi="Arial"/>
                        <w:color w:val="010202"/>
                        <w:sz w:val="19"/>
                      </w:rPr>
                      <w:t>G5 Sintético-TS6</w:t>
                    </w:r>
                  </w:p>
                  <w:p>
                    <w:pPr>
                      <w:spacing w:line="244" w:lineRule="auto" w:before="1"/>
                      <w:ind w:left="6378" w:right="0" w:firstLine="0"/>
                      <w:jc w:val="left"/>
                      <w:rPr>
                        <w:rFonts w:ascii="Arial" w:hAnsi="Arial"/>
                        <w:sz w:val="19"/>
                      </w:rPr>
                    </w:pPr>
                    <w:r>
                      <w:rPr>
                        <w:rFonts w:ascii="Arial" w:hAnsi="Arial"/>
                        <w:color w:val="010202"/>
                        <w:sz w:val="19"/>
                      </w:rPr>
                      <w:t>G6 Sintético-3 sequía G7 VS-536</w:t>
                    </w:r>
                  </w:p>
                  <w:p>
                    <w:pPr>
                      <w:spacing w:line="216" w:lineRule="exact" w:before="0"/>
                      <w:ind w:left="0" w:right="1060" w:firstLine="0"/>
                      <w:jc w:val="right"/>
                      <w:rPr>
                        <w:rFonts w:ascii="Arial"/>
                        <w:sz w:val="19"/>
                      </w:rPr>
                    </w:pPr>
                    <w:r>
                      <w:rPr>
                        <w:rFonts w:ascii="Arial"/>
                        <w:color w:val="010202"/>
                        <w:sz w:val="19"/>
                      </w:rPr>
                      <w:t>G8 V-537C</w:t>
                    </w:r>
                  </w:p>
                  <w:p>
                    <w:pPr>
                      <w:spacing w:before="0"/>
                      <w:ind w:left="0" w:right="1039" w:firstLine="0"/>
                      <w:jc w:val="right"/>
                      <w:rPr>
                        <w:rFonts w:ascii="Arial"/>
                        <w:b/>
                        <w:sz w:val="19"/>
                      </w:rPr>
                    </w:pPr>
                    <w:r>
                      <w:rPr>
                        <w:rFonts w:ascii="Arial"/>
                        <w:b/>
                        <w:color w:val="010202"/>
                        <w:sz w:val="19"/>
                      </w:rPr>
                      <w:t>Ambientes</w:t>
                    </w:r>
                  </w:p>
                  <w:p>
                    <w:pPr>
                      <w:spacing w:before="6"/>
                      <w:ind w:left="0" w:right="291" w:firstLine="0"/>
                      <w:jc w:val="right"/>
                      <w:rPr>
                        <w:rFonts w:ascii="Arial"/>
                        <w:sz w:val="19"/>
                      </w:rPr>
                    </w:pPr>
                    <w:r>
                      <w:rPr>
                        <w:rFonts w:ascii="Arial"/>
                        <w:color w:val="010202"/>
                        <w:sz w:val="19"/>
                      </w:rPr>
                      <w:t>A1 Cotaxtla (2009B)</w:t>
                    </w:r>
                  </w:p>
                </w:txbxContent>
              </v:textbox>
              <w10:wrap type="none"/>
            </v:shape>
            <w10:wrap type="topAndBottom"/>
          </v:group>
        </w:pict>
      </w:r>
    </w:p>
    <w:p>
      <w:pPr>
        <w:pStyle w:val="BodyText"/>
        <w:rPr>
          <w:b/>
          <w:sz w:val="18"/>
        </w:rPr>
      </w:pPr>
    </w:p>
    <w:p>
      <w:pPr>
        <w:pStyle w:val="BodyText"/>
        <w:spacing w:line="247" w:lineRule="auto" w:before="73"/>
        <w:ind w:left="1270" w:right="1268"/>
        <w:jc w:val="both"/>
      </w:pPr>
      <w:r>
        <w:rPr>
          <w:color w:val="231F20"/>
        </w:rPr>
        <w:t>El modelo AMMI permitió agrupar los ambientes en dos grupos relativamente homogéneos: el pri- mero formado por los ambientes A2 y A3 y el segundo por A1 y A4. Lo anterior admite que se pueda</w:t>
      </w:r>
      <w:r>
        <w:rPr>
          <w:color w:val="231F20"/>
          <w:spacing w:val="-4"/>
        </w:rPr>
        <w:t> </w:t>
      </w:r>
      <w:r>
        <w:rPr>
          <w:color w:val="231F20"/>
        </w:rPr>
        <w:t>analizar</w:t>
      </w:r>
      <w:r>
        <w:rPr>
          <w:color w:val="231F20"/>
          <w:spacing w:val="-4"/>
        </w:rPr>
        <w:t> </w:t>
      </w:r>
      <w:r>
        <w:rPr>
          <w:color w:val="231F20"/>
        </w:rPr>
        <w:t>a</w:t>
      </w:r>
      <w:r>
        <w:rPr>
          <w:color w:val="231F20"/>
          <w:spacing w:val="-4"/>
        </w:rPr>
        <w:t> </w:t>
      </w:r>
      <w:r>
        <w:rPr>
          <w:color w:val="231F20"/>
        </w:rPr>
        <w:t>los</w:t>
      </w:r>
      <w:r>
        <w:rPr>
          <w:color w:val="231F20"/>
          <w:spacing w:val="-4"/>
        </w:rPr>
        <w:t> </w:t>
      </w:r>
      <w:r>
        <w:rPr>
          <w:color w:val="231F20"/>
        </w:rPr>
        <w:t>genotipos</w:t>
      </w:r>
      <w:r>
        <w:rPr>
          <w:color w:val="231F20"/>
          <w:spacing w:val="-4"/>
        </w:rPr>
        <w:t> </w:t>
      </w:r>
      <w:r>
        <w:rPr>
          <w:color w:val="231F20"/>
        </w:rPr>
        <w:t>por</w:t>
      </w:r>
      <w:r>
        <w:rPr>
          <w:color w:val="231F20"/>
          <w:spacing w:val="-4"/>
        </w:rPr>
        <w:t> </w:t>
      </w:r>
      <w:r>
        <w:rPr>
          <w:color w:val="231F20"/>
        </w:rPr>
        <w:t>su</w:t>
      </w:r>
      <w:r>
        <w:rPr>
          <w:color w:val="231F20"/>
          <w:spacing w:val="-4"/>
        </w:rPr>
        <w:t> </w:t>
      </w:r>
      <w:r>
        <w:rPr>
          <w:color w:val="231F20"/>
        </w:rPr>
        <w:t>capacidad</w:t>
      </w:r>
      <w:r>
        <w:rPr>
          <w:color w:val="231F20"/>
          <w:spacing w:val="-4"/>
        </w:rPr>
        <w:t> </w:t>
      </w:r>
      <w:r>
        <w:rPr>
          <w:color w:val="231F20"/>
        </w:rPr>
        <w:t>de</w:t>
      </w:r>
      <w:r>
        <w:rPr>
          <w:color w:val="231F20"/>
          <w:spacing w:val="-4"/>
        </w:rPr>
        <w:t> </w:t>
      </w:r>
      <w:r>
        <w:rPr>
          <w:color w:val="231F20"/>
        </w:rPr>
        <w:t>adaptación,</w:t>
      </w:r>
      <w:r>
        <w:rPr>
          <w:color w:val="231F20"/>
          <w:spacing w:val="-4"/>
        </w:rPr>
        <w:t> </w:t>
      </w:r>
      <w:r>
        <w:rPr>
          <w:color w:val="231F20"/>
        </w:rPr>
        <w:t>ya</w:t>
      </w:r>
      <w:r>
        <w:rPr>
          <w:color w:val="231F20"/>
          <w:spacing w:val="-4"/>
        </w:rPr>
        <w:t> </w:t>
      </w:r>
      <w:r>
        <w:rPr>
          <w:color w:val="231F20"/>
        </w:rPr>
        <w:t>sea</w:t>
      </w:r>
      <w:r>
        <w:rPr>
          <w:color w:val="231F20"/>
          <w:spacing w:val="-4"/>
        </w:rPr>
        <w:t> </w:t>
      </w:r>
      <w:r>
        <w:rPr>
          <w:color w:val="231F20"/>
        </w:rPr>
        <w:t>de</w:t>
      </w:r>
      <w:r>
        <w:rPr>
          <w:color w:val="231F20"/>
          <w:spacing w:val="-4"/>
        </w:rPr>
        <w:t> </w:t>
      </w:r>
      <w:r>
        <w:rPr>
          <w:color w:val="231F20"/>
        </w:rPr>
        <w:t>manera</w:t>
      </w:r>
      <w:r>
        <w:rPr>
          <w:color w:val="231F20"/>
          <w:spacing w:val="-4"/>
        </w:rPr>
        <w:t> </w:t>
      </w:r>
      <w:r>
        <w:rPr>
          <w:color w:val="231F20"/>
        </w:rPr>
        <w:t>amplia</w:t>
      </w:r>
      <w:r>
        <w:rPr>
          <w:color w:val="231F20"/>
          <w:spacing w:val="-4"/>
        </w:rPr>
        <w:t> </w:t>
      </w:r>
      <w:r>
        <w:rPr>
          <w:color w:val="231F20"/>
        </w:rPr>
        <w:t>o</w:t>
      </w:r>
      <w:r>
        <w:rPr>
          <w:color w:val="231F20"/>
          <w:spacing w:val="-4"/>
        </w:rPr>
        <w:t> </w:t>
      </w:r>
      <w:r>
        <w:rPr>
          <w:color w:val="231F20"/>
        </w:rPr>
        <w:t>específica (Kempton 1984; </w:t>
      </w:r>
      <w:r>
        <w:rPr>
          <w:color w:val="231F20"/>
          <w:spacing w:val="-5"/>
        </w:rPr>
        <w:t>Vargas </w:t>
      </w:r>
      <w:r>
        <w:rPr>
          <w:color w:val="231F20"/>
        </w:rPr>
        <w:t>y Crossa, 2000), lo que hace más eficiente el proceso de selección de geno- tipos para una región en particular (Alanís </w:t>
      </w:r>
      <w:r>
        <w:rPr>
          <w:i/>
          <w:color w:val="231F20"/>
        </w:rPr>
        <w:t>et al.</w:t>
      </w:r>
      <w:r>
        <w:rPr>
          <w:color w:val="231F20"/>
        </w:rPr>
        <w:t>, 2010; </w:t>
      </w:r>
      <w:r>
        <w:rPr>
          <w:color w:val="231F20"/>
          <w:spacing w:val="-7"/>
        </w:rPr>
        <w:t>Yan </w:t>
      </w:r>
      <w:r>
        <w:rPr>
          <w:i/>
          <w:color w:val="231F20"/>
        </w:rPr>
        <w:t>et al.</w:t>
      </w:r>
      <w:r>
        <w:rPr>
          <w:color w:val="231F20"/>
        </w:rPr>
        <w:t>,</w:t>
      </w:r>
      <w:r>
        <w:rPr>
          <w:color w:val="231F20"/>
          <w:spacing w:val="-4"/>
        </w:rPr>
        <w:t> </w:t>
      </w:r>
      <w:r>
        <w:rPr>
          <w:color w:val="231F20"/>
        </w:rPr>
        <w:t>2000).</w:t>
      </w:r>
    </w:p>
    <w:p>
      <w:pPr>
        <w:pStyle w:val="BodyText"/>
        <w:spacing w:before="10"/>
      </w:pPr>
    </w:p>
    <w:p>
      <w:pPr>
        <w:pStyle w:val="Heading5"/>
      </w:pPr>
      <w:r>
        <w:rPr>
          <w:color w:val="231F20"/>
        </w:rPr>
        <w:t>Calidad proteínica</w:t>
      </w:r>
    </w:p>
    <w:p>
      <w:pPr>
        <w:pStyle w:val="BodyText"/>
        <w:spacing w:line="247" w:lineRule="auto" w:before="8"/>
        <w:ind w:left="1270" w:right="1267"/>
        <w:jc w:val="both"/>
      </w:pPr>
      <w:r>
        <w:rPr>
          <w:color w:val="231F20"/>
        </w:rPr>
        <w:t>En el cuadro 4 se muestran los valores de lisina y triptófano de los componentes del endospermo analizados</w:t>
      </w:r>
      <w:r>
        <w:rPr>
          <w:color w:val="231F20"/>
          <w:spacing w:val="-6"/>
        </w:rPr>
        <w:t> </w:t>
      </w:r>
      <w:r>
        <w:rPr>
          <w:color w:val="231F20"/>
        </w:rPr>
        <w:t>solo</w:t>
      </w:r>
      <w:r>
        <w:rPr>
          <w:color w:val="231F20"/>
          <w:spacing w:val="-5"/>
        </w:rPr>
        <w:t> </w:t>
      </w:r>
      <w:r>
        <w:rPr>
          <w:color w:val="231F20"/>
        </w:rPr>
        <w:t>en</w:t>
      </w:r>
      <w:r>
        <w:rPr>
          <w:color w:val="231F20"/>
          <w:spacing w:val="-6"/>
        </w:rPr>
        <w:t> </w:t>
      </w:r>
      <w:r>
        <w:rPr>
          <w:color w:val="231F20"/>
        </w:rPr>
        <w:t>tres</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cuatro</w:t>
      </w:r>
      <w:r>
        <w:rPr>
          <w:color w:val="231F20"/>
          <w:spacing w:val="-6"/>
        </w:rPr>
        <w:t> </w:t>
      </w:r>
      <w:r>
        <w:rPr>
          <w:color w:val="231F20"/>
        </w:rPr>
        <w:t>sintéticos</w:t>
      </w:r>
      <w:r>
        <w:rPr>
          <w:color w:val="231F20"/>
          <w:spacing w:val="-5"/>
        </w:rPr>
        <w:t> </w:t>
      </w:r>
      <w:r>
        <w:rPr>
          <w:color w:val="231F20"/>
        </w:rPr>
        <w:t>integrados</w:t>
      </w:r>
      <w:r>
        <w:rPr>
          <w:color w:val="231F20"/>
          <w:spacing w:val="-6"/>
        </w:rPr>
        <w:t> </w:t>
      </w:r>
      <w:r>
        <w:rPr>
          <w:color w:val="231F20"/>
        </w:rPr>
        <w:t>con</w:t>
      </w:r>
      <w:r>
        <w:rPr>
          <w:color w:val="231F20"/>
          <w:spacing w:val="-6"/>
        </w:rPr>
        <w:t> </w:t>
      </w:r>
      <w:r>
        <w:rPr>
          <w:color w:val="231F20"/>
        </w:rPr>
        <w:t>líneas</w:t>
      </w:r>
      <w:r>
        <w:rPr>
          <w:color w:val="231F20"/>
          <w:spacing w:val="-6"/>
        </w:rPr>
        <w:t> </w:t>
      </w:r>
      <w:r>
        <w:rPr>
          <w:color w:val="231F20"/>
        </w:rPr>
        <w:t>de</w:t>
      </w:r>
      <w:r>
        <w:rPr>
          <w:color w:val="231F20"/>
          <w:spacing w:val="-6"/>
        </w:rPr>
        <w:t> </w:t>
      </w:r>
      <w:r>
        <w:rPr>
          <w:color w:val="231F20"/>
        </w:rPr>
        <w:t>maíz</w:t>
      </w:r>
      <w:r>
        <w:rPr>
          <w:color w:val="231F20"/>
          <w:spacing w:val="-6"/>
        </w:rPr>
        <w:t> </w:t>
      </w:r>
      <w:r>
        <w:rPr>
          <w:color w:val="231F20"/>
        </w:rPr>
        <w:t>que</w:t>
      </w:r>
      <w:r>
        <w:rPr>
          <w:color w:val="231F20"/>
          <w:spacing w:val="-6"/>
        </w:rPr>
        <w:t> </w:t>
      </w:r>
      <w:r>
        <w:rPr>
          <w:color w:val="231F20"/>
        </w:rPr>
        <w:t>han</w:t>
      </w:r>
      <w:r>
        <w:rPr>
          <w:color w:val="231F20"/>
          <w:spacing w:val="-6"/>
        </w:rPr>
        <w:t> </w:t>
      </w:r>
      <w:r>
        <w:rPr>
          <w:color w:val="231F20"/>
        </w:rPr>
        <w:t>sido</w:t>
      </w:r>
      <w:r>
        <w:rPr>
          <w:color w:val="231F20"/>
          <w:spacing w:val="-5"/>
        </w:rPr>
        <w:t> </w:t>
      </w:r>
      <w:r>
        <w:rPr>
          <w:color w:val="231F20"/>
        </w:rPr>
        <w:t>mejorados para calidad de proteína. El sintético 2 presentó mejor valor en lisina (0.359), habiendo superado a la</w:t>
      </w:r>
      <w:r>
        <w:rPr>
          <w:color w:val="231F20"/>
          <w:spacing w:val="-4"/>
        </w:rPr>
        <w:t> </w:t>
      </w:r>
      <w:r>
        <w:rPr>
          <w:color w:val="231F20"/>
        </w:rPr>
        <w:t>variedad</w:t>
      </w:r>
      <w:r>
        <w:rPr>
          <w:color w:val="231F20"/>
          <w:spacing w:val="-4"/>
        </w:rPr>
        <w:t> </w:t>
      </w:r>
      <w:r>
        <w:rPr>
          <w:color w:val="231F20"/>
        </w:rPr>
        <w:t>de</w:t>
      </w:r>
      <w:r>
        <w:rPr>
          <w:color w:val="231F20"/>
          <w:spacing w:val="-3"/>
        </w:rPr>
        <w:t> </w:t>
      </w:r>
      <w:r>
        <w:rPr>
          <w:color w:val="231F20"/>
        </w:rPr>
        <w:t>referencia</w:t>
      </w:r>
      <w:r>
        <w:rPr>
          <w:color w:val="231F20"/>
          <w:spacing w:val="-7"/>
        </w:rPr>
        <w:t> </w:t>
      </w:r>
      <w:r>
        <w:rPr>
          <w:color w:val="231F20"/>
        </w:rPr>
        <w:t>Tuxpeño</w:t>
      </w:r>
      <w:r>
        <w:rPr>
          <w:color w:val="231F20"/>
          <w:spacing w:val="-4"/>
        </w:rPr>
        <w:t> </w:t>
      </w:r>
      <w:r>
        <w:rPr>
          <w:color w:val="231F20"/>
        </w:rPr>
        <w:t>con</w:t>
      </w:r>
      <w:r>
        <w:rPr>
          <w:color w:val="231F20"/>
          <w:spacing w:val="-3"/>
        </w:rPr>
        <w:t> </w:t>
      </w:r>
      <w:r>
        <w:rPr>
          <w:color w:val="231F20"/>
        </w:rPr>
        <w:t>endospermo</w:t>
      </w:r>
      <w:r>
        <w:rPr>
          <w:color w:val="231F20"/>
          <w:spacing w:val="-4"/>
        </w:rPr>
        <w:t> </w:t>
      </w:r>
      <w:r>
        <w:rPr>
          <w:color w:val="231F20"/>
        </w:rPr>
        <w:t>normal</w:t>
      </w:r>
      <w:r>
        <w:rPr>
          <w:color w:val="231F20"/>
          <w:spacing w:val="-4"/>
        </w:rPr>
        <w:t> </w:t>
      </w:r>
      <w:r>
        <w:rPr>
          <w:color w:val="231F20"/>
        </w:rPr>
        <w:t>en</w:t>
      </w:r>
      <w:r>
        <w:rPr>
          <w:color w:val="231F20"/>
          <w:spacing w:val="-3"/>
        </w:rPr>
        <w:t> </w:t>
      </w:r>
      <w:r>
        <w:rPr>
          <w:color w:val="231F20"/>
        </w:rPr>
        <w:t>un</w:t>
      </w:r>
      <w:r>
        <w:rPr>
          <w:color w:val="231F20"/>
          <w:spacing w:val="-3"/>
        </w:rPr>
        <w:t> </w:t>
      </w:r>
      <w:r>
        <w:rPr>
          <w:color w:val="231F20"/>
        </w:rPr>
        <w:t>43</w:t>
      </w:r>
      <w:r>
        <w:rPr>
          <w:color w:val="231F20"/>
          <w:spacing w:val="-3"/>
        </w:rPr>
        <w:t> </w:t>
      </w:r>
      <w:r>
        <w:rPr>
          <w:color w:val="231F20"/>
        </w:rPr>
        <w:t>%,</w:t>
      </w:r>
      <w:r>
        <w:rPr>
          <w:color w:val="231F20"/>
          <w:spacing w:val="-3"/>
        </w:rPr>
        <w:t> </w:t>
      </w:r>
      <w:r>
        <w:rPr>
          <w:color w:val="231F20"/>
        </w:rPr>
        <w:t>aunque</w:t>
      </w:r>
      <w:r>
        <w:rPr>
          <w:color w:val="231F20"/>
          <w:spacing w:val="-4"/>
        </w:rPr>
        <w:t> </w:t>
      </w:r>
      <w:r>
        <w:rPr>
          <w:color w:val="231F20"/>
        </w:rPr>
        <w:t>en</w:t>
      </w:r>
      <w:r>
        <w:rPr>
          <w:color w:val="231F20"/>
          <w:spacing w:val="-4"/>
        </w:rPr>
        <w:t> </w:t>
      </w:r>
      <w:r>
        <w:rPr>
          <w:color w:val="231F20"/>
        </w:rPr>
        <w:t>triptófano</w:t>
      </w:r>
      <w:r>
        <w:rPr>
          <w:color w:val="231F20"/>
          <w:spacing w:val="-4"/>
        </w:rPr>
        <w:t> </w:t>
      </w:r>
      <w:r>
        <w:rPr>
          <w:color w:val="231F20"/>
        </w:rPr>
        <w:t>resultó de un valor menor que dicha variedad (0.089).</w:t>
      </w:r>
    </w:p>
    <w:p>
      <w:pPr>
        <w:spacing w:after="0" w:line="247" w:lineRule="auto"/>
        <w:jc w:val="both"/>
        <w:sectPr>
          <w:pgSz w:w="10920" w:h="13080"/>
          <w:pgMar w:header="0" w:footer="1025" w:top="420" w:bottom="1220" w:left="0" w:right="0"/>
        </w:sectPr>
      </w:pPr>
    </w:p>
    <w:p>
      <w:pPr>
        <w:pStyle w:val="BodyText"/>
        <w:rPr>
          <w:sz w:val="20"/>
        </w:rPr>
      </w:pPr>
    </w:p>
    <w:p>
      <w:pPr>
        <w:pStyle w:val="BodyText"/>
        <w:rPr>
          <w:sz w:val="20"/>
        </w:rPr>
      </w:pPr>
    </w:p>
    <w:p>
      <w:pPr>
        <w:pStyle w:val="BodyText"/>
        <w:rPr>
          <w:sz w:val="23"/>
        </w:rPr>
      </w:pPr>
    </w:p>
    <w:p>
      <w:pPr>
        <w:spacing w:before="77"/>
        <w:ind w:left="1489" w:right="1489" w:firstLine="0"/>
        <w:jc w:val="center"/>
        <w:rPr>
          <w:b/>
          <w:sz w:val="18"/>
        </w:rPr>
      </w:pPr>
      <w:r>
        <w:rPr>
          <w:b/>
          <w:color w:val="010202"/>
          <w:sz w:val="18"/>
        </w:rPr>
        <w:t>Cuadro 4. Contenido promedio de lisina y triptófano en sintéticos</w:t>
      </w:r>
    </w:p>
    <w:p>
      <w:pPr>
        <w:spacing w:before="9"/>
        <w:ind w:left="1489" w:right="1489" w:firstLine="0"/>
        <w:jc w:val="center"/>
        <w:rPr>
          <w:b/>
          <w:sz w:val="18"/>
        </w:rPr>
      </w:pPr>
      <w:r>
        <w:rPr>
          <w:b/>
          <w:color w:val="010202"/>
          <w:sz w:val="18"/>
        </w:rPr>
        <w:t>de maíz con alta calidad de proteína, Cotaxtla, Primavera-Verano 2008</w:t>
      </w:r>
    </w:p>
    <w:p>
      <w:pPr>
        <w:pStyle w:val="BodyText"/>
        <w:spacing w:before="10"/>
        <w:rPr>
          <w:b/>
          <w:sz w:val="18"/>
        </w:rPr>
      </w:pPr>
    </w:p>
    <w:tbl>
      <w:tblPr>
        <w:tblW w:w="0" w:type="auto"/>
        <w:jc w:val="left"/>
        <w:tblInd w:w="123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54"/>
        <w:gridCol w:w="1093"/>
        <w:gridCol w:w="1520"/>
        <w:gridCol w:w="1395"/>
        <w:gridCol w:w="1577"/>
        <w:gridCol w:w="1375"/>
      </w:tblGrid>
      <w:tr>
        <w:trPr>
          <w:trHeight w:val="324" w:hRule="exact"/>
        </w:trPr>
        <w:tc>
          <w:tcPr>
            <w:tcW w:w="1454" w:type="dxa"/>
            <w:tcBorders>
              <w:top w:val="single" w:sz="6" w:space="0" w:color="010202"/>
              <w:bottom w:val="single" w:sz="6" w:space="0" w:color="010202"/>
            </w:tcBorders>
          </w:tcPr>
          <w:p>
            <w:pPr>
              <w:pStyle w:val="TableParagraph"/>
              <w:spacing w:before="68"/>
              <w:ind w:left="35" w:right="-6"/>
              <w:rPr>
                <w:b/>
                <w:sz w:val="18"/>
              </w:rPr>
            </w:pPr>
            <w:r>
              <w:rPr>
                <w:b/>
                <w:color w:val="231F20"/>
                <w:sz w:val="18"/>
              </w:rPr>
              <w:t>Genotipo</w:t>
            </w:r>
          </w:p>
        </w:tc>
        <w:tc>
          <w:tcPr>
            <w:tcW w:w="1093" w:type="dxa"/>
            <w:tcBorders>
              <w:top w:val="single" w:sz="6" w:space="0" w:color="010202"/>
              <w:bottom w:val="single" w:sz="6" w:space="0" w:color="010202"/>
            </w:tcBorders>
          </w:tcPr>
          <w:p>
            <w:pPr>
              <w:pStyle w:val="TableParagraph"/>
              <w:spacing w:before="68"/>
              <w:ind w:left="20"/>
              <w:rPr>
                <w:b/>
                <w:sz w:val="18"/>
              </w:rPr>
            </w:pPr>
            <w:r>
              <w:rPr>
                <w:b/>
                <w:color w:val="231F20"/>
                <w:sz w:val="18"/>
              </w:rPr>
              <w:t>% Lisina</w:t>
            </w:r>
          </w:p>
        </w:tc>
        <w:tc>
          <w:tcPr>
            <w:tcW w:w="1520" w:type="dxa"/>
            <w:tcBorders>
              <w:top w:val="single" w:sz="6" w:space="0" w:color="010202"/>
              <w:bottom w:val="single" w:sz="6" w:space="0" w:color="010202"/>
            </w:tcBorders>
          </w:tcPr>
          <w:p>
            <w:pPr>
              <w:pStyle w:val="TableParagraph"/>
              <w:spacing w:before="68"/>
              <w:ind w:left="367"/>
              <w:rPr>
                <w:b/>
                <w:sz w:val="18"/>
              </w:rPr>
            </w:pPr>
            <w:r>
              <w:rPr>
                <w:b/>
                <w:color w:val="231F20"/>
                <w:sz w:val="18"/>
              </w:rPr>
              <w:t>% Relativo</w:t>
            </w:r>
          </w:p>
        </w:tc>
        <w:tc>
          <w:tcPr>
            <w:tcW w:w="1395" w:type="dxa"/>
            <w:tcBorders>
              <w:top w:val="single" w:sz="6" w:space="0" w:color="010202"/>
              <w:bottom w:val="single" w:sz="6" w:space="0" w:color="010202"/>
            </w:tcBorders>
          </w:tcPr>
          <w:p>
            <w:pPr>
              <w:pStyle w:val="TableParagraph"/>
              <w:spacing w:before="68"/>
              <w:ind w:left="204" w:right="311"/>
              <w:jc w:val="center"/>
              <w:rPr>
                <w:b/>
                <w:sz w:val="18"/>
              </w:rPr>
            </w:pPr>
            <w:r>
              <w:rPr>
                <w:b/>
                <w:color w:val="231F20"/>
                <w:sz w:val="18"/>
              </w:rPr>
              <w:t>Genotipo</w:t>
            </w:r>
          </w:p>
        </w:tc>
        <w:tc>
          <w:tcPr>
            <w:tcW w:w="1577" w:type="dxa"/>
            <w:tcBorders>
              <w:top w:val="single" w:sz="6" w:space="0" w:color="010202"/>
              <w:bottom w:val="single" w:sz="6" w:space="0" w:color="010202"/>
            </w:tcBorders>
          </w:tcPr>
          <w:p>
            <w:pPr>
              <w:pStyle w:val="TableParagraph"/>
              <w:spacing w:before="68"/>
              <w:ind w:left="332"/>
              <w:rPr>
                <w:b/>
                <w:sz w:val="18"/>
              </w:rPr>
            </w:pPr>
            <w:r>
              <w:rPr>
                <w:b/>
                <w:color w:val="231F20"/>
                <w:sz w:val="18"/>
              </w:rPr>
              <w:t>% Triptófano</w:t>
            </w:r>
          </w:p>
        </w:tc>
        <w:tc>
          <w:tcPr>
            <w:tcW w:w="1375" w:type="dxa"/>
            <w:tcBorders>
              <w:top w:val="single" w:sz="6" w:space="0" w:color="010202"/>
              <w:bottom w:val="single" w:sz="6" w:space="0" w:color="010202"/>
            </w:tcBorders>
          </w:tcPr>
          <w:p>
            <w:pPr>
              <w:pStyle w:val="TableParagraph"/>
              <w:spacing w:before="68"/>
              <w:ind w:left="195"/>
              <w:rPr>
                <w:b/>
                <w:sz w:val="18"/>
              </w:rPr>
            </w:pPr>
            <w:r>
              <w:rPr>
                <w:b/>
                <w:color w:val="231F20"/>
                <w:sz w:val="18"/>
              </w:rPr>
              <w:t>% Relativo</w:t>
            </w:r>
          </w:p>
        </w:tc>
      </w:tr>
      <w:tr>
        <w:trPr>
          <w:trHeight w:val="240" w:hRule="exact"/>
        </w:trPr>
        <w:tc>
          <w:tcPr>
            <w:tcW w:w="1454" w:type="dxa"/>
            <w:tcBorders>
              <w:top w:val="single" w:sz="6" w:space="0" w:color="010202"/>
            </w:tcBorders>
          </w:tcPr>
          <w:p>
            <w:pPr>
              <w:pStyle w:val="TableParagraph"/>
              <w:spacing w:line="201" w:lineRule="exact" w:before="0"/>
              <w:ind w:left="35" w:right="-6"/>
              <w:rPr>
                <w:sz w:val="18"/>
              </w:rPr>
            </w:pPr>
            <w:r>
              <w:rPr>
                <w:color w:val="231F20"/>
                <w:sz w:val="18"/>
              </w:rPr>
              <w:t>Sintético 2</w:t>
            </w:r>
          </w:p>
        </w:tc>
        <w:tc>
          <w:tcPr>
            <w:tcW w:w="1093" w:type="dxa"/>
            <w:tcBorders>
              <w:top w:val="single" w:sz="6" w:space="0" w:color="010202"/>
            </w:tcBorders>
          </w:tcPr>
          <w:p>
            <w:pPr>
              <w:pStyle w:val="TableParagraph"/>
              <w:spacing w:line="201" w:lineRule="exact" w:before="0"/>
              <w:ind w:left="20"/>
              <w:rPr>
                <w:sz w:val="18"/>
              </w:rPr>
            </w:pPr>
            <w:r>
              <w:rPr>
                <w:color w:val="231F20"/>
                <w:sz w:val="18"/>
              </w:rPr>
              <w:t>0.359</w:t>
            </w:r>
          </w:p>
        </w:tc>
        <w:tc>
          <w:tcPr>
            <w:tcW w:w="1520" w:type="dxa"/>
            <w:tcBorders>
              <w:top w:val="single" w:sz="6" w:space="0" w:color="010202"/>
            </w:tcBorders>
          </w:tcPr>
          <w:p>
            <w:pPr>
              <w:pStyle w:val="TableParagraph"/>
              <w:spacing w:line="201" w:lineRule="exact" w:before="0"/>
              <w:ind w:left="367"/>
              <w:rPr>
                <w:sz w:val="18"/>
              </w:rPr>
            </w:pPr>
            <w:r>
              <w:rPr>
                <w:color w:val="231F20"/>
                <w:sz w:val="18"/>
              </w:rPr>
              <w:t>143</w:t>
            </w:r>
          </w:p>
        </w:tc>
        <w:tc>
          <w:tcPr>
            <w:tcW w:w="1395" w:type="dxa"/>
            <w:tcBorders>
              <w:top w:val="single" w:sz="6" w:space="0" w:color="010202"/>
            </w:tcBorders>
          </w:tcPr>
          <w:p>
            <w:pPr>
              <w:pStyle w:val="TableParagraph"/>
              <w:spacing w:line="201" w:lineRule="exact" w:before="0"/>
              <w:ind w:left="269" w:right="311"/>
              <w:jc w:val="center"/>
              <w:rPr>
                <w:sz w:val="18"/>
              </w:rPr>
            </w:pPr>
            <w:r>
              <w:rPr>
                <w:color w:val="231F20"/>
                <w:sz w:val="18"/>
              </w:rPr>
              <w:t>Sintético 4</w:t>
            </w:r>
          </w:p>
        </w:tc>
        <w:tc>
          <w:tcPr>
            <w:tcW w:w="1577" w:type="dxa"/>
            <w:tcBorders>
              <w:top w:val="single" w:sz="6" w:space="0" w:color="010202"/>
            </w:tcBorders>
          </w:tcPr>
          <w:p>
            <w:pPr>
              <w:pStyle w:val="TableParagraph"/>
              <w:spacing w:line="201" w:lineRule="exact" w:before="0"/>
              <w:ind w:left="332"/>
              <w:rPr>
                <w:sz w:val="18"/>
              </w:rPr>
            </w:pPr>
            <w:r>
              <w:rPr>
                <w:color w:val="231F20"/>
                <w:sz w:val="18"/>
              </w:rPr>
              <w:t>0.093</w:t>
            </w:r>
          </w:p>
        </w:tc>
        <w:tc>
          <w:tcPr>
            <w:tcW w:w="1375" w:type="dxa"/>
            <w:tcBorders>
              <w:top w:val="single" w:sz="6" w:space="0" w:color="010202"/>
            </w:tcBorders>
          </w:tcPr>
          <w:p>
            <w:pPr>
              <w:pStyle w:val="TableParagraph"/>
              <w:spacing w:line="201" w:lineRule="exact" w:before="0"/>
              <w:ind w:left="195"/>
              <w:rPr>
                <w:sz w:val="18"/>
              </w:rPr>
            </w:pPr>
            <w:r>
              <w:rPr>
                <w:color w:val="231F20"/>
                <w:sz w:val="18"/>
              </w:rPr>
              <w:t>169</w:t>
            </w:r>
          </w:p>
        </w:tc>
      </w:tr>
      <w:tr>
        <w:trPr>
          <w:trHeight w:val="250" w:hRule="exact"/>
        </w:trPr>
        <w:tc>
          <w:tcPr>
            <w:tcW w:w="1454" w:type="dxa"/>
          </w:tcPr>
          <w:p>
            <w:pPr>
              <w:pStyle w:val="TableParagraph"/>
              <w:spacing w:before="12"/>
              <w:ind w:left="35" w:right="-6"/>
              <w:rPr>
                <w:sz w:val="18"/>
              </w:rPr>
            </w:pPr>
            <w:r>
              <w:rPr>
                <w:color w:val="231F20"/>
                <w:sz w:val="18"/>
              </w:rPr>
              <w:t>Sintético 3</w:t>
            </w:r>
          </w:p>
        </w:tc>
        <w:tc>
          <w:tcPr>
            <w:tcW w:w="1093" w:type="dxa"/>
          </w:tcPr>
          <w:p>
            <w:pPr>
              <w:pStyle w:val="TableParagraph"/>
              <w:spacing w:before="12"/>
              <w:ind w:left="20"/>
              <w:rPr>
                <w:sz w:val="18"/>
              </w:rPr>
            </w:pPr>
            <w:r>
              <w:rPr>
                <w:color w:val="231F20"/>
                <w:sz w:val="18"/>
              </w:rPr>
              <w:t>0.345</w:t>
            </w:r>
          </w:p>
        </w:tc>
        <w:tc>
          <w:tcPr>
            <w:tcW w:w="1520" w:type="dxa"/>
          </w:tcPr>
          <w:p>
            <w:pPr>
              <w:pStyle w:val="TableParagraph"/>
              <w:spacing w:before="12"/>
              <w:ind w:left="367"/>
              <w:rPr>
                <w:sz w:val="18"/>
              </w:rPr>
            </w:pPr>
            <w:r>
              <w:rPr>
                <w:color w:val="231F20"/>
                <w:sz w:val="18"/>
              </w:rPr>
              <w:t>137</w:t>
            </w:r>
          </w:p>
        </w:tc>
        <w:tc>
          <w:tcPr>
            <w:tcW w:w="1395" w:type="dxa"/>
          </w:tcPr>
          <w:p>
            <w:pPr>
              <w:pStyle w:val="TableParagraph"/>
              <w:spacing w:before="12"/>
              <w:ind w:left="269" w:right="311"/>
              <w:jc w:val="center"/>
              <w:rPr>
                <w:sz w:val="18"/>
              </w:rPr>
            </w:pPr>
            <w:r>
              <w:rPr>
                <w:color w:val="231F20"/>
                <w:sz w:val="18"/>
              </w:rPr>
              <w:t>Sintético 2</w:t>
            </w:r>
          </w:p>
        </w:tc>
        <w:tc>
          <w:tcPr>
            <w:tcW w:w="1577" w:type="dxa"/>
          </w:tcPr>
          <w:p>
            <w:pPr>
              <w:pStyle w:val="TableParagraph"/>
              <w:spacing w:before="12"/>
              <w:ind w:left="332"/>
              <w:rPr>
                <w:sz w:val="18"/>
              </w:rPr>
            </w:pPr>
            <w:r>
              <w:rPr>
                <w:color w:val="231F20"/>
                <w:sz w:val="18"/>
              </w:rPr>
              <w:t>0.089</w:t>
            </w:r>
          </w:p>
        </w:tc>
        <w:tc>
          <w:tcPr>
            <w:tcW w:w="1375" w:type="dxa"/>
          </w:tcPr>
          <w:p>
            <w:pPr>
              <w:pStyle w:val="TableParagraph"/>
              <w:spacing w:before="12"/>
              <w:ind w:left="195"/>
              <w:rPr>
                <w:sz w:val="18"/>
              </w:rPr>
            </w:pPr>
            <w:r>
              <w:rPr>
                <w:color w:val="231F20"/>
                <w:sz w:val="18"/>
              </w:rPr>
              <w:t>162</w:t>
            </w:r>
          </w:p>
        </w:tc>
      </w:tr>
      <w:tr>
        <w:trPr>
          <w:trHeight w:val="250" w:hRule="exact"/>
        </w:trPr>
        <w:tc>
          <w:tcPr>
            <w:tcW w:w="1454" w:type="dxa"/>
          </w:tcPr>
          <w:p>
            <w:pPr>
              <w:pStyle w:val="TableParagraph"/>
              <w:spacing w:before="12"/>
              <w:ind w:left="35" w:right="-6"/>
              <w:rPr>
                <w:sz w:val="18"/>
              </w:rPr>
            </w:pPr>
            <w:r>
              <w:rPr>
                <w:color w:val="231F20"/>
                <w:sz w:val="18"/>
              </w:rPr>
              <w:t>Sintético 4</w:t>
            </w:r>
          </w:p>
        </w:tc>
        <w:tc>
          <w:tcPr>
            <w:tcW w:w="1093" w:type="dxa"/>
          </w:tcPr>
          <w:p>
            <w:pPr>
              <w:pStyle w:val="TableParagraph"/>
              <w:spacing w:before="12"/>
              <w:ind w:left="20"/>
              <w:rPr>
                <w:sz w:val="18"/>
              </w:rPr>
            </w:pPr>
            <w:r>
              <w:rPr>
                <w:color w:val="231F20"/>
                <w:sz w:val="18"/>
              </w:rPr>
              <w:t>0.342</w:t>
            </w:r>
          </w:p>
        </w:tc>
        <w:tc>
          <w:tcPr>
            <w:tcW w:w="1520" w:type="dxa"/>
          </w:tcPr>
          <w:p>
            <w:pPr>
              <w:pStyle w:val="TableParagraph"/>
              <w:spacing w:before="12"/>
              <w:ind w:left="367"/>
              <w:rPr>
                <w:sz w:val="18"/>
              </w:rPr>
            </w:pPr>
            <w:r>
              <w:rPr>
                <w:color w:val="231F20"/>
                <w:sz w:val="18"/>
              </w:rPr>
              <w:t>136</w:t>
            </w:r>
          </w:p>
        </w:tc>
        <w:tc>
          <w:tcPr>
            <w:tcW w:w="1395" w:type="dxa"/>
          </w:tcPr>
          <w:p>
            <w:pPr>
              <w:pStyle w:val="TableParagraph"/>
              <w:spacing w:before="12"/>
              <w:ind w:left="269" w:right="311"/>
              <w:jc w:val="center"/>
              <w:rPr>
                <w:sz w:val="18"/>
              </w:rPr>
            </w:pPr>
            <w:r>
              <w:rPr>
                <w:color w:val="231F20"/>
                <w:sz w:val="18"/>
              </w:rPr>
              <w:t>Sintético 3</w:t>
            </w:r>
          </w:p>
        </w:tc>
        <w:tc>
          <w:tcPr>
            <w:tcW w:w="1577" w:type="dxa"/>
          </w:tcPr>
          <w:p>
            <w:pPr>
              <w:pStyle w:val="TableParagraph"/>
              <w:spacing w:before="12"/>
              <w:ind w:left="332"/>
              <w:rPr>
                <w:sz w:val="18"/>
              </w:rPr>
            </w:pPr>
            <w:r>
              <w:rPr>
                <w:color w:val="231F20"/>
                <w:sz w:val="18"/>
              </w:rPr>
              <w:t>0.079</w:t>
            </w:r>
          </w:p>
        </w:tc>
        <w:tc>
          <w:tcPr>
            <w:tcW w:w="1375" w:type="dxa"/>
          </w:tcPr>
          <w:p>
            <w:pPr>
              <w:pStyle w:val="TableParagraph"/>
              <w:spacing w:before="12"/>
              <w:ind w:left="195"/>
              <w:rPr>
                <w:sz w:val="18"/>
              </w:rPr>
            </w:pPr>
            <w:r>
              <w:rPr>
                <w:color w:val="231F20"/>
                <w:sz w:val="18"/>
              </w:rPr>
              <w:t>144</w:t>
            </w:r>
          </w:p>
        </w:tc>
      </w:tr>
      <w:tr>
        <w:trPr>
          <w:trHeight w:val="250" w:hRule="exact"/>
        </w:trPr>
        <w:tc>
          <w:tcPr>
            <w:tcW w:w="1454" w:type="dxa"/>
          </w:tcPr>
          <w:p>
            <w:pPr>
              <w:pStyle w:val="TableParagraph"/>
              <w:spacing w:before="12"/>
              <w:ind w:left="35" w:right="-6"/>
              <w:rPr>
                <w:sz w:val="18"/>
              </w:rPr>
            </w:pPr>
            <w:r>
              <w:rPr>
                <w:color w:val="231F20"/>
                <w:sz w:val="18"/>
              </w:rPr>
              <w:t>Media general</w:t>
            </w:r>
          </w:p>
        </w:tc>
        <w:tc>
          <w:tcPr>
            <w:tcW w:w="1093" w:type="dxa"/>
          </w:tcPr>
          <w:p>
            <w:pPr>
              <w:pStyle w:val="TableParagraph"/>
              <w:spacing w:before="12"/>
              <w:ind w:left="20"/>
              <w:rPr>
                <w:sz w:val="18"/>
              </w:rPr>
            </w:pPr>
            <w:r>
              <w:rPr>
                <w:color w:val="231F20"/>
                <w:sz w:val="18"/>
              </w:rPr>
              <w:t>0.349</w:t>
            </w:r>
          </w:p>
        </w:tc>
        <w:tc>
          <w:tcPr>
            <w:tcW w:w="1520" w:type="dxa"/>
          </w:tcPr>
          <w:p>
            <w:pPr/>
          </w:p>
        </w:tc>
        <w:tc>
          <w:tcPr>
            <w:tcW w:w="1395" w:type="dxa"/>
          </w:tcPr>
          <w:p>
            <w:pPr/>
          </w:p>
        </w:tc>
        <w:tc>
          <w:tcPr>
            <w:tcW w:w="1577" w:type="dxa"/>
          </w:tcPr>
          <w:p>
            <w:pPr>
              <w:pStyle w:val="TableParagraph"/>
              <w:spacing w:before="12"/>
              <w:ind w:left="332"/>
              <w:rPr>
                <w:sz w:val="18"/>
              </w:rPr>
            </w:pPr>
            <w:r>
              <w:rPr>
                <w:color w:val="231F20"/>
                <w:sz w:val="18"/>
              </w:rPr>
              <w:t>0.087</w:t>
            </w:r>
          </w:p>
        </w:tc>
        <w:tc>
          <w:tcPr>
            <w:tcW w:w="1375" w:type="dxa"/>
          </w:tcPr>
          <w:p>
            <w:pPr/>
          </w:p>
        </w:tc>
      </w:tr>
      <w:tr>
        <w:trPr>
          <w:trHeight w:val="319" w:hRule="exact"/>
        </w:trPr>
        <w:tc>
          <w:tcPr>
            <w:tcW w:w="1454" w:type="dxa"/>
            <w:tcBorders>
              <w:bottom w:val="single" w:sz="6" w:space="0" w:color="010202"/>
            </w:tcBorders>
          </w:tcPr>
          <w:p>
            <w:pPr>
              <w:pStyle w:val="TableParagraph"/>
              <w:spacing w:before="12"/>
              <w:ind w:left="35" w:right="-6"/>
              <w:rPr>
                <w:sz w:val="18"/>
              </w:rPr>
            </w:pPr>
            <w:r>
              <w:rPr>
                <w:color w:val="231F20"/>
                <w:sz w:val="18"/>
              </w:rPr>
              <w:t>Tuxpeño (normal)*</w:t>
            </w:r>
          </w:p>
        </w:tc>
        <w:tc>
          <w:tcPr>
            <w:tcW w:w="1093" w:type="dxa"/>
            <w:tcBorders>
              <w:bottom w:val="single" w:sz="6" w:space="0" w:color="010202"/>
            </w:tcBorders>
          </w:tcPr>
          <w:p>
            <w:pPr>
              <w:pStyle w:val="TableParagraph"/>
              <w:spacing w:before="12"/>
              <w:ind w:left="20"/>
              <w:rPr>
                <w:sz w:val="18"/>
              </w:rPr>
            </w:pPr>
            <w:r>
              <w:rPr>
                <w:color w:val="231F20"/>
                <w:sz w:val="18"/>
              </w:rPr>
              <w:t>0.252</w:t>
            </w:r>
          </w:p>
        </w:tc>
        <w:tc>
          <w:tcPr>
            <w:tcW w:w="1520" w:type="dxa"/>
            <w:tcBorders>
              <w:bottom w:val="single" w:sz="6" w:space="0" w:color="010202"/>
            </w:tcBorders>
          </w:tcPr>
          <w:p>
            <w:pPr>
              <w:pStyle w:val="TableParagraph"/>
              <w:spacing w:before="12"/>
              <w:ind w:left="367"/>
              <w:rPr>
                <w:sz w:val="18"/>
              </w:rPr>
            </w:pPr>
            <w:r>
              <w:rPr>
                <w:color w:val="231F20"/>
                <w:sz w:val="18"/>
              </w:rPr>
              <w:t>100</w:t>
            </w:r>
          </w:p>
        </w:tc>
        <w:tc>
          <w:tcPr>
            <w:tcW w:w="1395" w:type="dxa"/>
            <w:tcBorders>
              <w:bottom w:val="single" w:sz="6" w:space="0" w:color="010202"/>
            </w:tcBorders>
          </w:tcPr>
          <w:p>
            <w:pPr/>
          </w:p>
        </w:tc>
        <w:tc>
          <w:tcPr>
            <w:tcW w:w="1577" w:type="dxa"/>
            <w:tcBorders>
              <w:bottom w:val="single" w:sz="6" w:space="0" w:color="010202"/>
            </w:tcBorders>
          </w:tcPr>
          <w:p>
            <w:pPr>
              <w:pStyle w:val="TableParagraph"/>
              <w:spacing w:before="12"/>
              <w:ind w:left="332"/>
              <w:rPr>
                <w:sz w:val="18"/>
              </w:rPr>
            </w:pPr>
            <w:r>
              <w:rPr>
                <w:color w:val="231F20"/>
                <w:sz w:val="18"/>
              </w:rPr>
              <w:t>0.055</w:t>
            </w:r>
          </w:p>
        </w:tc>
        <w:tc>
          <w:tcPr>
            <w:tcW w:w="1375" w:type="dxa"/>
            <w:tcBorders>
              <w:bottom w:val="single" w:sz="6" w:space="0" w:color="010202"/>
            </w:tcBorders>
          </w:tcPr>
          <w:p>
            <w:pPr>
              <w:pStyle w:val="TableParagraph"/>
              <w:spacing w:before="12"/>
              <w:ind w:left="195"/>
              <w:rPr>
                <w:sz w:val="18"/>
              </w:rPr>
            </w:pPr>
            <w:r>
              <w:rPr>
                <w:color w:val="231F20"/>
                <w:sz w:val="18"/>
              </w:rPr>
              <w:t>100</w:t>
            </w:r>
          </w:p>
        </w:tc>
      </w:tr>
      <w:tr>
        <w:trPr>
          <w:trHeight w:val="494" w:hRule="exact"/>
        </w:trPr>
        <w:tc>
          <w:tcPr>
            <w:tcW w:w="1454" w:type="dxa"/>
            <w:tcBorders>
              <w:top w:val="single" w:sz="6" w:space="0" w:color="010202"/>
            </w:tcBorders>
          </w:tcPr>
          <w:p>
            <w:pPr>
              <w:pStyle w:val="TableParagraph"/>
              <w:spacing w:before="10"/>
              <w:ind w:left="0"/>
              <w:rPr>
                <w:b/>
                <w:sz w:val="16"/>
              </w:rPr>
            </w:pPr>
          </w:p>
          <w:p>
            <w:pPr>
              <w:pStyle w:val="TableParagraph"/>
              <w:spacing w:before="0"/>
              <w:ind w:left="35" w:right="-6"/>
              <w:rPr>
                <w:b/>
                <w:i/>
                <w:sz w:val="17"/>
              </w:rPr>
            </w:pPr>
            <w:r>
              <w:rPr>
                <w:b/>
                <w:i/>
                <w:color w:val="231F20"/>
                <w:sz w:val="17"/>
              </w:rPr>
              <w:t>*Vidal </w:t>
            </w:r>
            <w:r>
              <w:rPr>
                <w:color w:val="231F20"/>
                <w:sz w:val="17"/>
              </w:rPr>
              <w:t>et al. </w:t>
            </w:r>
            <w:r>
              <w:rPr>
                <w:b/>
                <w:i/>
                <w:color w:val="231F20"/>
                <w:sz w:val="17"/>
              </w:rPr>
              <w:t>(2008).</w:t>
            </w:r>
          </w:p>
        </w:tc>
        <w:tc>
          <w:tcPr>
            <w:tcW w:w="1093" w:type="dxa"/>
            <w:tcBorders>
              <w:top w:val="single" w:sz="6" w:space="0" w:color="010202"/>
            </w:tcBorders>
          </w:tcPr>
          <w:p>
            <w:pPr/>
          </w:p>
        </w:tc>
        <w:tc>
          <w:tcPr>
            <w:tcW w:w="1520" w:type="dxa"/>
            <w:tcBorders>
              <w:top w:val="single" w:sz="6" w:space="0" w:color="010202"/>
            </w:tcBorders>
          </w:tcPr>
          <w:p>
            <w:pPr/>
          </w:p>
        </w:tc>
        <w:tc>
          <w:tcPr>
            <w:tcW w:w="1395" w:type="dxa"/>
            <w:tcBorders>
              <w:top w:val="single" w:sz="6" w:space="0" w:color="010202"/>
            </w:tcBorders>
          </w:tcPr>
          <w:p>
            <w:pPr/>
          </w:p>
        </w:tc>
        <w:tc>
          <w:tcPr>
            <w:tcW w:w="1577" w:type="dxa"/>
            <w:tcBorders>
              <w:top w:val="single" w:sz="6" w:space="0" w:color="010202"/>
            </w:tcBorders>
          </w:tcPr>
          <w:p>
            <w:pPr/>
          </w:p>
        </w:tc>
        <w:tc>
          <w:tcPr>
            <w:tcW w:w="1375" w:type="dxa"/>
            <w:tcBorders>
              <w:top w:val="single" w:sz="6" w:space="0" w:color="010202"/>
            </w:tcBorders>
          </w:tcPr>
          <w:p>
            <w:pPr/>
          </w:p>
        </w:tc>
      </w:tr>
    </w:tbl>
    <w:p>
      <w:pPr>
        <w:pStyle w:val="BodyText"/>
        <w:spacing w:before="5"/>
        <w:rPr>
          <w:b/>
          <w:sz w:val="8"/>
        </w:rPr>
      </w:pPr>
    </w:p>
    <w:p>
      <w:pPr>
        <w:pStyle w:val="BodyText"/>
        <w:spacing w:line="247" w:lineRule="auto" w:before="73"/>
        <w:ind w:left="1270" w:right="1268"/>
        <w:jc w:val="both"/>
      </w:pPr>
      <w:r>
        <w:rPr>
          <w:color w:val="231F20"/>
        </w:rPr>
        <w:t>Así mismo, en cuanto a los valores de triptófano sobresale el sintético 4 con 0.093 que supera en un 69</w:t>
      </w:r>
      <w:r>
        <w:rPr>
          <w:color w:val="231F20"/>
          <w:spacing w:val="-3"/>
        </w:rPr>
        <w:t> </w:t>
      </w:r>
      <w:r>
        <w:rPr>
          <w:color w:val="231F20"/>
        </w:rPr>
        <w:t>%</w:t>
      </w:r>
      <w:r>
        <w:rPr>
          <w:color w:val="231F20"/>
          <w:spacing w:val="-3"/>
        </w:rPr>
        <w:t> </w:t>
      </w:r>
      <w:r>
        <w:rPr>
          <w:color w:val="231F20"/>
        </w:rPr>
        <w:t>a</w:t>
      </w:r>
      <w:r>
        <w:rPr>
          <w:color w:val="231F20"/>
          <w:spacing w:val="-3"/>
        </w:rPr>
        <w:t> </w:t>
      </w:r>
      <w:r>
        <w:rPr>
          <w:color w:val="231F20"/>
        </w:rPr>
        <w:t>la</w:t>
      </w:r>
      <w:r>
        <w:rPr>
          <w:color w:val="231F20"/>
          <w:spacing w:val="-3"/>
        </w:rPr>
        <w:t> </w:t>
      </w:r>
      <w:r>
        <w:rPr>
          <w:color w:val="231F20"/>
        </w:rPr>
        <w:t>variedad</w:t>
      </w:r>
      <w:r>
        <w:rPr>
          <w:color w:val="231F20"/>
          <w:spacing w:val="-3"/>
        </w:rPr>
        <w:t> </w:t>
      </w:r>
      <w:r>
        <w:rPr>
          <w:color w:val="231F20"/>
        </w:rPr>
        <w:t>de</w:t>
      </w:r>
      <w:r>
        <w:rPr>
          <w:color w:val="231F20"/>
          <w:spacing w:val="-3"/>
        </w:rPr>
        <w:t> </w:t>
      </w:r>
      <w:r>
        <w:rPr>
          <w:color w:val="231F20"/>
        </w:rPr>
        <w:t>referencia.</w:t>
      </w:r>
      <w:r>
        <w:rPr>
          <w:color w:val="231F20"/>
          <w:spacing w:val="-3"/>
        </w:rPr>
        <w:t> </w:t>
      </w:r>
      <w:r>
        <w:rPr>
          <w:color w:val="231F20"/>
        </w:rPr>
        <w:t>En</w:t>
      </w:r>
      <w:r>
        <w:rPr>
          <w:color w:val="231F20"/>
          <w:spacing w:val="-3"/>
        </w:rPr>
        <w:t> </w:t>
      </w:r>
      <w:r>
        <w:rPr>
          <w:color w:val="231F20"/>
        </w:rPr>
        <w:t>los</w:t>
      </w:r>
      <w:r>
        <w:rPr>
          <w:color w:val="231F20"/>
          <w:spacing w:val="-3"/>
        </w:rPr>
        <w:t> </w:t>
      </w:r>
      <w:r>
        <w:rPr>
          <w:color w:val="231F20"/>
        </w:rPr>
        <w:t>maíces</w:t>
      </w:r>
      <w:r>
        <w:rPr>
          <w:color w:val="231F20"/>
          <w:spacing w:val="-3"/>
        </w:rPr>
        <w:t> </w:t>
      </w:r>
      <w:r>
        <w:rPr>
          <w:color w:val="231F20"/>
        </w:rPr>
        <w:t>normales</w:t>
      </w:r>
      <w:r>
        <w:rPr>
          <w:color w:val="231F20"/>
          <w:spacing w:val="-3"/>
        </w:rPr>
        <w:t> </w:t>
      </w:r>
      <w:r>
        <w:rPr>
          <w:color w:val="231F20"/>
        </w:rPr>
        <w:t>los</w:t>
      </w:r>
      <w:r>
        <w:rPr>
          <w:color w:val="231F20"/>
          <w:spacing w:val="-3"/>
        </w:rPr>
        <w:t> </w:t>
      </w:r>
      <w:r>
        <w:rPr>
          <w:color w:val="231F20"/>
        </w:rPr>
        <w:t>valores</w:t>
      </w:r>
      <w:r>
        <w:rPr>
          <w:color w:val="231F20"/>
          <w:spacing w:val="-3"/>
        </w:rPr>
        <w:t> </w:t>
      </w:r>
      <w:r>
        <w:rPr>
          <w:color w:val="231F20"/>
        </w:rPr>
        <w:t>fluctúan</w:t>
      </w:r>
      <w:r>
        <w:rPr>
          <w:color w:val="231F20"/>
          <w:spacing w:val="-3"/>
        </w:rPr>
        <w:t> </w:t>
      </w:r>
      <w:r>
        <w:rPr>
          <w:color w:val="231F20"/>
        </w:rPr>
        <w:t>de</w:t>
      </w:r>
      <w:r>
        <w:rPr>
          <w:color w:val="231F20"/>
          <w:spacing w:val="-3"/>
        </w:rPr>
        <w:t> </w:t>
      </w:r>
      <w:r>
        <w:rPr>
          <w:color w:val="231F20"/>
        </w:rPr>
        <w:t>0.200</w:t>
      </w:r>
      <w:r>
        <w:rPr>
          <w:color w:val="231F20"/>
          <w:spacing w:val="-3"/>
        </w:rPr>
        <w:t> </w:t>
      </w:r>
      <w:r>
        <w:rPr>
          <w:color w:val="231F20"/>
        </w:rPr>
        <w:t>a</w:t>
      </w:r>
      <w:r>
        <w:rPr>
          <w:color w:val="231F20"/>
          <w:spacing w:val="-3"/>
        </w:rPr>
        <w:t> </w:t>
      </w:r>
      <w:r>
        <w:rPr>
          <w:color w:val="231F20"/>
        </w:rPr>
        <w:t>0.250</w:t>
      </w:r>
      <w:r>
        <w:rPr>
          <w:color w:val="231F20"/>
          <w:spacing w:val="-3"/>
        </w:rPr>
        <w:t> </w:t>
      </w:r>
      <w:r>
        <w:rPr>
          <w:color w:val="231F20"/>
        </w:rPr>
        <w:t>%</w:t>
      </w:r>
      <w:r>
        <w:rPr>
          <w:color w:val="231F20"/>
          <w:spacing w:val="-3"/>
        </w:rPr>
        <w:t> </w:t>
      </w:r>
      <w:r>
        <w:rPr>
          <w:color w:val="231F20"/>
        </w:rPr>
        <w:t>de lisina,</w:t>
      </w:r>
      <w:r>
        <w:rPr>
          <w:color w:val="231F20"/>
          <w:spacing w:val="-8"/>
        </w:rPr>
        <w:t> </w:t>
      </w:r>
      <w:r>
        <w:rPr>
          <w:color w:val="231F20"/>
        </w:rPr>
        <w:t>y</w:t>
      </w:r>
      <w:r>
        <w:rPr>
          <w:color w:val="231F20"/>
          <w:spacing w:val="-8"/>
        </w:rPr>
        <w:t> </w:t>
      </w:r>
      <w:r>
        <w:rPr>
          <w:color w:val="231F20"/>
        </w:rPr>
        <w:t>de</w:t>
      </w:r>
      <w:r>
        <w:rPr>
          <w:color w:val="231F20"/>
          <w:spacing w:val="-8"/>
        </w:rPr>
        <w:t> </w:t>
      </w:r>
      <w:r>
        <w:rPr>
          <w:color w:val="231F20"/>
        </w:rPr>
        <w:t>0.030</w:t>
      </w:r>
      <w:r>
        <w:rPr>
          <w:color w:val="231F20"/>
          <w:spacing w:val="-8"/>
        </w:rPr>
        <w:t> </w:t>
      </w:r>
      <w:r>
        <w:rPr>
          <w:color w:val="231F20"/>
        </w:rPr>
        <w:t>a</w:t>
      </w:r>
      <w:r>
        <w:rPr>
          <w:color w:val="231F20"/>
          <w:spacing w:val="-8"/>
        </w:rPr>
        <w:t> </w:t>
      </w:r>
      <w:r>
        <w:rPr>
          <w:color w:val="231F20"/>
        </w:rPr>
        <w:t>0.040</w:t>
      </w:r>
      <w:r>
        <w:rPr>
          <w:color w:val="231F20"/>
          <w:spacing w:val="-8"/>
        </w:rPr>
        <w:t> </w:t>
      </w:r>
      <w:r>
        <w:rPr>
          <w:color w:val="231F20"/>
        </w:rPr>
        <w:t>%</w:t>
      </w:r>
      <w:r>
        <w:rPr>
          <w:color w:val="231F20"/>
          <w:spacing w:val="-8"/>
        </w:rPr>
        <w:t> </w:t>
      </w:r>
      <w:r>
        <w:rPr>
          <w:color w:val="231F20"/>
        </w:rPr>
        <w:t>de</w:t>
      </w:r>
      <w:r>
        <w:rPr>
          <w:color w:val="231F20"/>
          <w:spacing w:val="-8"/>
        </w:rPr>
        <w:t> </w:t>
      </w:r>
      <w:r>
        <w:rPr>
          <w:color w:val="231F20"/>
        </w:rPr>
        <w:t>triptófano</w:t>
      </w:r>
      <w:r>
        <w:rPr>
          <w:color w:val="231F20"/>
          <w:spacing w:val="-8"/>
        </w:rPr>
        <w:t> </w:t>
      </w:r>
      <w:r>
        <w:rPr>
          <w:color w:val="231F20"/>
        </w:rPr>
        <w:t>Gómez</w:t>
      </w:r>
      <w:r>
        <w:rPr>
          <w:color w:val="231F20"/>
          <w:spacing w:val="-8"/>
        </w:rPr>
        <w:t> </w:t>
      </w:r>
      <w:r>
        <w:rPr>
          <w:color w:val="231F20"/>
        </w:rPr>
        <w:t>et</w:t>
      </w:r>
      <w:r>
        <w:rPr>
          <w:color w:val="231F20"/>
          <w:spacing w:val="-8"/>
        </w:rPr>
        <w:t> </w:t>
      </w:r>
      <w:r>
        <w:rPr>
          <w:color w:val="231F20"/>
        </w:rPr>
        <w:t>al.,</w:t>
      </w:r>
      <w:r>
        <w:rPr>
          <w:color w:val="231F20"/>
          <w:spacing w:val="-8"/>
        </w:rPr>
        <w:t> </w:t>
      </w:r>
      <w:r>
        <w:rPr>
          <w:color w:val="231F20"/>
        </w:rPr>
        <w:t>2003;</w:t>
      </w:r>
      <w:r>
        <w:rPr>
          <w:color w:val="231F20"/>
          <w:spacing w:val="-8"/>
        </w:rPr>
        <w:t> </w:t>
      </w:r>
      <w:r>
        <w:rPr>
          <w:color w:val="231F20"/>
        </w:rPr>
        <w:t>Sierra</w:t>
      </w:r>
      <w:r>
        <w:rPr>
          <w:color w:val="231F20"/>
          <w:spacing w:val="-8"/>
        </w:rPr>
        <w:t> </w:t>
      </w:r>
      <w:r>
        <w:rPr>
          <w:color w:val="231F20"/>
        </w:rPr>
        <w:t>et</w:t>
      </w:r>
      <w:r>
        <w:rPr>
          <w:color w:val="231F20"/>
          <w:spacing w:val="-8"/>
        </w:rPr>
        <w:t> </w:t>
      </w:r>
      <w:r>
        <w:rPr>
          <w:color w:val="231F20"/>
        </w:rPr>
        <w:t>al.,</w:t>
      </w:r>
      <w:r>
        <w:rPr>
          <w:color w:val="231F20"/>
          <w:spacing w:val="-8"/>
        </w:rPr>
        <w:t> </w:t>
      </w:r>
      <w:r>
        <w:rPr>
          <w:color w:val="231F20"/>
        </w:rPr>
        <w:t>2001</w:t>
      </w:r>
      <w:r>
        <w:rPr>
          <w:color w:val="231F20"/>
          <w:spacing w:val="-8"/>
        </w:rPr>
        <w:t> </w:t>
      </w:r>
      <w:r>
        <w:rPr>
          <w:color w:val="231F20"/>
        </w:rPr>
        <w:t>y</w:t>
      </w:r>
      <w:r>
        <w:rPr>
          <w:color w:val="231F20"/>
          <w:spacing w:val="-8"/>
        </w:rPr>
        <w:t> </w:t>
      </w:r>
      <w:r>
        <w:rPr>
          <w:color w:val="231F20"/>
        </w:rPr>
        <w:t>Ortega</w:t>
      </w:r>
      <w:r>
        <w:rPr>
          <w:color w:val="231F20"/>
          <w:spacing w:val="-8"/>
        </w:rPr>
        <w:t> </w:t>
      </w:r>
      <w:r>
        <w:rPr>
          <w:color w:val="231F20"/>
        </w:rPr>
        <w:t>et</w:t>
      </w:r>
      <w:r>
        <w:rPr>
          <w:color w:val="231F20"/>
          <w:spacing w:val="-8"/>
        </w:rPr>
        <w:t> </w:t>
      </w:r>
      <w:r>
        <w:rPr>
          <w:color w:val="231F20"/>
        </w:rPr>
        <w:t>al.,</w:t>
      </w:r>
      <w:r>
        <w:rPr>
          <w:color w:val="231F20"/>
          <w:spacing w:val="-8"/>
        </w:rPr>
        <w:t> </w:t>
      </w:r>
      <w:r>
        <w:rPr>
          <w:color w:val="231F20"/>
        </w:rPr>
        <w:t>1987.</w:t>
      </w:r>
    </w:p>
    <w:p>
      <w:pPr>
        <w:pStyle w:val="BodyText"/>
        <w:spacing w:before="8"/>
        <w:rPr>
          <w:sz w:val="22"/>
        </w:rPr>
      </w:pPr>
    </w:p>
    <w:p>
      <w:pPr>
        <w:pStyle w:val="Heading3"/>
      </w:pPr>
      <w:r>
        <w:rPr>
          <w:color w:val="010202"/>
        </w:rPr>
        <w:t>Conclusiones</w:t>
      </w:r>
    </w:p>
    <w:p>
      <w:pPr>
        <w:pStyle w:val="BodyText"/>
        <w:spacing w:before="10"/>
        <w:rPr>
          <w:b/>
        </w:rPr>
      </w:pPr>
    </w:p>
    <w:p>
      <w:pPr>
        <w:pStyle w:val="BodyText"/>
        <w:spacing w:line="247" w:lineRule="auto"/>
        <w:ind w:left="1270" w:right="1267"/>
        <w:jc w:val="both"/>
      </w:pPr>
      <w:r>
        <w:rPr>
          <w:color w:val="231F20"/>
        </w:rPr>
        <w:t>Existen respuestas diferenciales entre variedades sintéticas de maíz en los diversos ambientes eva- luados. El “Biplot” obtenido a partir del modelo AMMI resultó efectivo para obtener perfiles de subgrupos de ambientes y genotipos con interacción positiva. El genotipo de maíz más estable fue ‘Sintetico-2’. Se detectó poca asociación entre las variedades de mayor rendimiento y los</w:t>
      </w:r>
      <w:r>
        <w:rPr>
          <w:color w:val="231F20"/>
          <w:spacing w:val="-25"/>
        </w:rPr>
        <w:t> </w:t>
      </w:r>
      <w:r>
        <w:rPr>
          <w:color w:val="231F20"/>
        </w:rPr>
        <w:t>ambientes más productivos. Los genotipos más productivos identificados pueden ser objeto de mejoramiento adicional para obtener un cultivar superior o para implementar estrategias para potenciar el desarro- llo de líneas para formar mejores híbridos. Con relación al contenido proteínico indica que los sin- téticos 2 y 4 tienen alta calidad de proteína y son nutricionalmente aceptables, aunque su contenido proteico puede variar de acuerdo al genotipo, a la respuesta ambiental y al manejo</w:t>
      </w:r>
      <w:r>
        <w:rPr>
          <w:color w:val="231F20"/>
          <w:spacing w:val="-3"/>
        </w:rPr>
        <w:t> </w:t>
      </w:r>
      <w:r>
        <w:rPr>
          <w:color w:val="231F20"/>
        </w:rPr>
        <w:t>agronómico.</w:t>
      </w:r>
    </w:p>
    <w:p>
      <w:pPr>
        <w:pStyle w:val="BodyText"/>
        <w:spacing w:before="9"/>
        <w:rPr>
          <w:sz w:val="22"/>
        </w:rPr>
      </w:pPr>
    </w:p>
    <w:p>
      <w:pPr>
        <w:pStyle w:val="Heading3"/>
      </w:pPr>
      <w:r>
        <w:rPr>
          <w:color w:val="010202"/>
        </w:rPr>
        <w:t>Literatura citada</w:t>
      </w:r>
    </w:p>
    <w:p>
      <w:pPr>
        <w:pStyle w:val="BodyText"/>
        <w:spacing w:before="7"/>
        <w:rPr>
          <w:b/>
        </w:rPr>
      </w:pPr>
    </w:p>
    <w:p>
      <w:pPr>
        <w:spacing w:line="249" w:lineRule="auto" w:before="0"/>
        <w:ind w:left="1270" w:right="1268" w:firstLine="0"/>
        <w:jc w:val="both"/>
        <w:rPr>
          <w:sz w:val="19"/>
        </w:rPr>
      </w:pPr>
      <w:r>
        <w:rPr>
          <w:color w:val="231F20"/>
          <w:sz w:val="19"/>
        </w:rPr>
        <w:t>Alejos G., P. Monasterio., y R. Rea. 2006. Análisis de la interacción genotipo – ambiente para rendimiento de maíz en la región maicera del estado de Yaracuy, Venezuela. Agronomía Tropical 56: 369-384.</w:t>
      </w:r>
    </w:p>
    <w:p>
      <w:pPr>
        <w:pStyle w:val="BodyText"/>
        <w:spacing w:before="10"/>
        <w:rPr>
          <w:sz w:val="19"/>
        </w:rPr>
      </w:pPr>
    </w:p>
    <w:p>
      <w:pPr>
        <w:spacing w:line="249" w:lineRule="auto" w:before="0"/>
        <w:ind w:left="1270" w:right="1268" w:firstLine="0"/>
        <w:jc w:val="both"/>
        <w:rPr>
          <w:sz w:val="19"/>
        </w:rPr>
      </w:pPr>
      <w:r>
        <w:rPr>
          <w:color w:val="231F20"/>
          <w:sz w:val="19"/>
        </w:rPr>
        <w:t>Andrés-Meza, P., C. J. López-Collado, M. Sierra-Macías, G. López-Romero, O. R. Leyva-Ovalle, A. Palafox- Caballero, and F. A. Rodríguez-Montalvo. 2011. Combining ability in maize lines using a diallel cross. Trop. Subtrop. Agroecosystems 13: 525-532.</w:t>
      </w:r>
    </w:p>
    <w:p>
      <w:pPr>
        <w:pStyle w:val="BodyText"/>
        <w:spacing w:before="10"/>
        <w:rPr>
          <w:sz w:val="19"/>
        </w:rPr>
      </w:pPr>
    </w:p>
    <w:p>
      <w:pPr>
        <w:spacing w:line="249" w:lineRule="auto" w:before="0"/>
        <w:ind w:left="1270" w:right="1268" w:firstLine="0"/>
        <w:jc w:val="both"/>
        <w:rPr>
          <w:sz w:val="19"/>
        </w:rPr>
      </w:pPr>
      <w:r>
        <w:rPr>
          <w:color w:val="231F20"/>
          <w:sz w:val="19"/>
        </w:rPr>
        <w:t>Brennan,</w:t>
      </w:r>
      <w:r>
        <w:rPr>
          <w:color w:val="231F20"/>
          <w:spacing w:val="-5"/>
          <w:sz w:val="19"/>
        </w:rPr>
        <w:t> </w:t>
      </w:r>
      <w:r>
        <w:rPr>
          <w:color w:val="231F20"/>
          <w:spacing w:val="-11"/>
          <w:sz w:val="19"/>
        </w:rPr>
        <w:t>P.</w:t>
      </w:r>
      <w:r>
        <w:rPr>
          <w:color w:val="231F20"/>
          <w:spacing w:val="-5"/>
          <w:sz w:val="19"/>
        </w:rPr>
        <w:t> </w:t>
      </w:r>
      <w:r>
        <w:rPr>
          <w:color w:val="231F20"/>
          <w:sz w:val="19"/>
        </w:rPr>
        <w:t>S.,</w:t>
      </w:r>
      <w:r>
        <w:rPr>
          <w:color w:val="231F20"/>
          <w:spacing w:val="-5"/>
          <w:sz w:val="19"/>
        </w:rPr>
        <w:t> </w:t>
      </w:r>
      <w:r>
        <w:rPr>
          <w:color w:val="231F20"/>
          <w:sz w:val="19"/>
        </w:rPr>
        <w:t>D.</w:t>
      </w:r>
      <w:r>
        <w:rPr>
          <w:color w:val="231F20"/>
          <w:spacing w:val="-5"/>
          <w:sz w:val="19"/>
        </w:rPr>
        <w:t> </w:t>
      </w:r>
      <w:r>
        <w:rPr>
          <w:color w:val="231F20"/>
          <w:sz w:val="19"/>
        </w:rPr>
        <w:t>E.</w:t>
      </w:r>
      <w:r>
        <w:rPr>
          <w:color w:val="231F20"/>
          <w:spacing w:val="-5"/>
          <w:sz w:val="19"/>
        </w:rPr>
        <w:t> </w:t>
      </w:r>
      <w:r>
        <w:rPr>
          <w:color w:val="231F20"/>
          <w:sz w:val="19"/>
        </w:rPr>
        <w:t>Byth.,</w:t>
      </w:r>
      <w:r>
        <w:rPr>
          <w:color w:val="231F20"/>
          <w:spacing w:val="-5"/>
          <w:sz w:val="19"/>
        </w:rPr>
        <w:t> </w:t>
      </w:r>
      <w:r>
        <w:rPr>
          <w:color w:val="231F20"/>
          <w:sz w:val="19"/>
        </w:rPr>
        <w:t>D.</w:t>
      </w:r>
      <w:r>
        <w:rPr>
          <w:color w:val="231F20"/>
          <w:spacing w:val="-8"/>
          <w:sz w:val="19"/>
        </w:rPr>
        <w:t> </w:t>
      </w:r>
      <w:r>
        <w:rPr>
          <w:color w:val="231F20"/>
          <w:spacing w:val="-9"/>
          <w:sz w:val="19"/>
        </w:rPr>
        <w:t>W.</w:t>
      </w:r>
      <w:r>
        <w:rPr>
          <w:color w:val="231F20"/>
          <w:spacing w:val="-5"/>
          <w:sz w:val="19"/>
        </w:rPr>
        <w:t> </w:t>
      </w:r>
      <w:r>
        <w:rPr>
          <w:color w:val="231F20"/>
          <w:sz w:val="19"/>
        </w:rPr>
        <w:t>Draker.,</w:t>
      </w:r>
      <w:r>
        <w:rPr>
          <w:color w:val="231F20"/>
          <w:spacing w:val="-5"/>
          <w:sz w:val="19"/>
        </w:rPr>
        <w:t> </w:t>
      </w:r>
      <w:r>
        <w:rPr>
          <w:color w:val="231F20"/>
          <w:sz w:val="19"/>
        </w:rPr>
        <w:t>I.</w:t>
      </w:r>
      <w:r>
        <w:rPr>
          <w:color w:val="231F20"/>
          <w:spacing w:val="-5"/>
          <w:sz w:val="19"/>
        </w:rPr>
        <w:t> </w:t>
      </w:r>
      <w:r>
        <w:rPr>
          <w:color w:val="231F20"/>
          <w:sz w:val="19"/>
        </w:rPr>
        <w:t>H.</w:t>
      </w:r>
      <w:r>
        <w:rPr>
          <w:color w:val="231F20"/>
          <w:spacing w:val="-5"/>
          <w:sz w:val="19"/>
        </w:rPr>
        <w:t> </w:t>
      </w:r>
      <w:r>
        <w:rPr>
          <w:color w:val="231F20"/>
          <w:sz w:val="19"/>
        </w:rPr>
        <w:t>De</w:t>
      </w:r>
      <w:r>
        <w:rPr>
          <w:color w:val="231F20"/>
          <w:spacing w:val="-5"/>
          <w:sz w:val="19"/>
        </w:rPr>
        <w:t> </w:t>
      </w:r>
      <w:r>
        <w:rPr>
          <w:color w:val="231F20"/>
          <w:spacing w:val="-3"/>
          <w:sz w:val="19"/>
        </w:rPr>
        <w:t>Lacy,</w:t>
      </w:r>
      <w:r>
        <w:rPr>
          <w:color w:val="231F20"/>
          <w:spacing w:val="-5"/>
          <w:sz w:val="19"/>
        </w:rPr>
        <w:t> </w:t>
      </w:r>
      <w:r>
        <w:rPr>
          <w:color w:val="231F20"/>
          <w:sz w:val="19"/>
        </w:rPr>
        <w:t>and</w:t>
      </w:r>
      <w:r>
        <w:rPr>
          <w:color w:val="231F20"/>
          <w:spacing w:val="-5"/>
          <w:sz w:val="19"/>
        </w:rPr>
        <w:t> </w:t>
      </w:r>
      <w:r>
        <w:rPr>
          <w:color w:val="231F20"/>
          <w:sz w:val="19"/>
        </w:rPr>
        <w:t>D.</w:t>
      </w:r>
      <w:r>
        <w:rPr>
          <w:color w:val="231F20"/>
          <w:spacing w:val="-5"/>
          <w:sz w:val="19"/>
        </w:rPr>
        <w:t> </w:t>
      </w:r>
      <w:r>
        <w:rPr>
          <w:color w:val="231F20"/>
          <w:sz w:val="19"/>
        </w:rPr>
        <w:t>G.</w:t>
      </w:r>
      <w:r>
        <w:rPr>
          <w:color w:val="231F20"/>
          <w:spacing w:val="-5"/>
          <w:sz w:val="19"/>
        </w:rPr>
        <w:t> </w:t>
      </w:r>
      <w:r>
        <w:rPr>
          <w:color w:val="231F20"/>
          <w:sz w:val="19"/>
        </w:rPr>
        <w:t>Butler.</w:t>
      </w:r>
      <w:r>
        <w:rPr>
          <w:color w:val="231F20"/>
          <w:spacing w:val="-5"/>
          <w:sz w:val="19"/>
        </w:rPr>
        <w:t> </w:t>
      </w:r>
      <w:r>
        <w:rPr>
          <w:color w:val="231F20"/>
          <w:sz w:val="19"/>
        </w:rPr>
        <w:t>1981.</w:t>
      </w:r>
      <w:r>
        <w:rPr>
          <w:color w:val="231F20"/>
          <w:spacing w:val="-5"/>
          <w:sz w:val="19"/>
        </w:rPr>
        <w:t> </w:t>
      </w:r>
      <w:r>
        <w:rPr>
          <w:color w:val="231F20"/>
          <w:sz w:val="19"/>
        </w:rPr>
        <w:t>Determination</w:t>
      </w:r>
      <w:r>
        <w:rPr>
          <w:color w:val="231F20"/>
          <w:spacing w:val="-5"/>
          <w:sz w:val="19"/>
        </w:rPr>
        <w:t> </w:t>
      </w:r>
      <w:r>
        <w:rPr>
          <w:color w:val="231F20"/>
          <w:sz w:val="19"/>
        </w:rPr>
        <w:t>of</w:t>
      </w:r>
      <w:r>
        <w:rPr>
          <w:color w:val="231F20"/>
          <w:spacing w:val="-5"/>
          <w:sz w:val="19"/>
        </w:rPr>
        <w:t> </w:t>
      </w:r>
      <w:r>
        <w:rPr>
          <w:color w:val="231F20"/>
          <w:sz w:val="19"/>
        </w:rPr>
        <w:t>the</w:t>
      </w:r>
      <w:r>
        <w:rPr>
          <w:color w:val="231F20"/>
          <w:spacing w:val="-5"/>
          <w:sz w:val="19"/>
        </w:rPr>
        <w:t> </w:t>
      </w:r>
      <w:r>
        <w:rPr>
          <w:color w:val="231F20"/>
          <w:sz w:val="19"/>
        </w:rPr>
        <w:t>location and number of test environments for a wheat cultivar evaluation program. Aust. J. Agric. Res.  32:</w:t>
      </w:r>
      <w:r>
        <w:rPr>
          <w:color w:val="231F20"/>
          <w:spacing w:val="-23"/>
          <w:sz w:val="19"/>
        </w:rPr>
        <w:t> </w:t>
      </w:r>
      <w:r>
        <w:rPr>
          <w:color w:val="231F20"/>
          <w:sz w:val="19"/>
        </w:rPr>
        <w:t>189-201.</w:t>
      </w:r>
    </w:p>
    <w:p>
      <w:pPr>
        <w:pStyle w:val="BodyText"/>
        <w:spacing w:before="10"/>
        <w:rPr>
          <w:sz w:val="19"/>
        </w:rPr>
      </w:pPr>
    </w:p>
    <w:p>
      <w:pPr>
        <w:spacing w:line="249" w:lineRule="auto" w:before="0"/>
        <w:ind w:left="1270" w:right="1268" w:firstLine="0"/>
        <w:jc w:val="both"/>
        <w:rPr>
          <w:sz w:val="19"/>
        </w:rPr>
      </w:pPr>
      <w:r>
        <w:rPr>
          <w:color w:val="231F20"/>
          <w:sz w:val="19"/>
        </w:rPr>
        <w:t>Carballo C., A., y </w:t>
      </w:r>
      <w:r>
        <w:rPr>
          <w:color w:val="231F20"/>
          <w:spacing w:val="-8"/>
          <w:sz w:val="19"/>
        </w:rPr>
        <w:t>F. </w:t>
      </w:r>
      <w:r>
        <w:rPr>
          <w:color w:val="231F20"/>
          <w:sz w:val="19"/>
        </w:rPr>
        <w:t>Márquez S. 1970. Comparación de variedades de maíz del Bajío y la Mesa Central por su rendimiento y estabilidad. Agrociencia 5: 129-146.</w:t>
      </w:r>
    </w:p>
    <w:p>
      <w:pPr>
        <w:spacing w:after="0" w:line="249" w:lineRule="auto"/>
        <w:jc w:val="both"/>
        <w:rPr>
          <w:sz w:val="19"/>
        </w:rPr>
        <w:sectPr>
          <w:pgSz w:w="10920" w:h="13080"/>
          <w:pgMar w:header="0" w:footer="1025" w:top="420" w:bottom="1220" w:left="0" w:right="0"/>
        </w:sectPr>
      </w:pPr>
    </w:p>
    <w:p>
      <w:pPr>
        <w:pStyle w:val="BodyText"/>
        <w:rPr>
          <w:sz w:val="20"/>
        </w:rPr>
      </w:pPr>
    </w:p>
    <w:p>
      <w:pPr>
        <w:pStyle w:val="BodyText"/>
        <w:rPr>
          <w:sz w:val="20"/>
        </w:rPr>
      </w:pPr>
    </w:p>
    <w:p>
      <w:pPr>
        <w:pStyle w:val="BodyText"/>
        <w:spacing w:before="2"/>
        <w:rPr>
          <w:sz w:val="23"/>
        </w:rPr>
      </w:pPr>
    </w:p>
    <w:p>
      <w:pPr>
        <w:spacing w:line="249" w:lineRule="auto" w:before="76"/>
        <w:ind w:left="1270" w:right="1268" w:firstLine="0"/>
        <w:jc w:val="both"/>
        <w:rPr>
          <w:sz w:val="19"/>
        </w:rPr>
      </w:pPr>
      <w:r>
        <w:rPr>
          <w:color w:val="231F20"/>
          <w:sz w:val="19"/>
        </w:rPr>
        <w:t>Córdova O., S. H., y F. Márquez S. 1979. Efecto del número de líneas endogámicas sobre el comportamiento de las variedades sintéticas derivadas de una población de maíz (Zea mays L.): I. Rendimiento. Agrociencia 37: 235-252.</w:t>
      </w:r>
    </w:p>
    <w:p>
      <w:pPr>
        <w:pStyle w:val="BodyText"/>
        <w:spacing w:before="10"/>
        <w:rPr>
          <w:sz w:val="19"/>
        </w:rPr>
      </w:pPr>
    </w:p>
    <w:p>
      <w:pPr>
        <w:spacing w:line="249" w:lineRule="auto" w:before="0"/>
        <w:ind w:left="1270" w:right="1268" w:firstLine="0"/>
        <w:jc w:val="both"/>
        <w:rPr>
          <w:sz w:val="19"/>
        </w:rPr>
      </w:pPr>
      <w:r>
        <w:rPr>
          <w:color w:val="231F20"/>
          <w:sz w:val="19"/>
        </w:rPr>
        <w:t>Crossa,</w:t>
      </w:r>
      <w:r>
        <w:rPr>
          <w:color w:val="231F20"/>
          <w:spacing w:val="-3"/>
          <w:sz w:val="19"/>
        </w:rPr>
        <w:t> </w:t>
      </w:r>
      <w:r>
        <w:rPr>
          <w:color w:val="231F20"/>
          <w:sz w:val="19"/>
        </w:rPr>
        <w:t>J.,</w:t>
      </w:r>
      <w:r>
        <w:rPr>
          <w:color w:val="231F20"/>
          <w:spacing w:val="-3"/>
          <w:sz w:val="19"/>
        </w:rPr>
        <w:t> </w:t>
      </w:r>
      <w:r>
        <w:rPr>
          <w:color w:val="231F20"/>
          <w:sz w:val="19"/>
        </w:rPr>
        <w:t>H.</w:t>
      </w:r>
      <w:r>
        <w:rPr>
          <w:color w:val="231F20"/>
          <w:spacing w:val="-3"/>
          <w:sz w:val="19"/>
        </w:rPr>
        <w:t> </w:t>
      </w:r>
      <w:r>
        <w:rPr>
          <w:color w:val="231F20"/>
          <w:sz w:val="19"/>
        </w:rPr>
        <w:t>G.</w:t>
      </w:r>
      <w:r>
        <w:rPr>
          <w:color w:val="231F20"/>
          <w:spacing w:val="-3"/>
          <w:sz w:val="19"/>
        </w:rPr>
        <w:t> </w:t>
      </w:r>
      <w:r>
        <w:rPr>
          <w:color w:val="231F20"/>
          <w:sz w:val="19"/>
        </w:rPr>
        <w:t>Gauch,</w:t>
      </w:r>
      <w:r>
        <w:rPr>
          <w:color w:val="231F20"/>
          <w:spacing w:val="-3"/>
          <w:sz w:val="19"/>
        </w:rPr>
        <w:t> Jr., </w:t>
      </w:r>
      <w:r>
        <w:rPr>
          <w:color w:val="231F20"/>
          <w:sz w:val="19"/>
        </w:rPr>
        <w:t>and</w:t>
      </w:r>
      <w:r>
        <w:rPr>
          <w:color w:val="231F20"/>
          <w:spacing w:val="-3"/>
          <w:sz w:val="19"/>
        </w:rPr>
        <w:t> </w:t>
      </w:r>
      <w:r>
        <w:rPr>
          <w:color w:val="231F20"/>
          <w:sz w:val="19"/>
        </w:rPr>
        <w:t>R.</w:t>
      </w:r>
      <w:r>
        <w:rPr>
          <w:color w:val="231F20"/>
          <w:spacing w:val="-6"/>
          <w:sz w:val="19"/>
        </w:rPr>
        <w:t> </w:t>
      </w:r>
      <w:r>
        <w:rPr>
          <w:color w:val="231F20"/>
          <w:spacing w:val="-9"/>
          <w:sz w:val="19"/>
        </w:rPr>
        <w:t>W.</w:t>
      </w:r>
      <w:r>
        <w:rPr>
          <w:color w:val="231F20"/>
          <w:spacing w:val="-3"/>
          <w:sz w:val="19"/>
        </w:rPr>
        <w:t> </w:t>
      </w:r>
      <w:r>
        <w:rPr>
          <w:color w:val="231F20"/>
          <w:sz w:val="19"/>
        </w:rPr>
        <w:t>Zobel.</w:t>
      </w:r>
      <w:r>
        <w:rPr>
          <w:color w:val="231F20"/>
          <w:spacing w:val="-3"/>
          <w:sz w:val="19"/>
        </w:rPr>
        <w:t> </w:t>
      </w:r>
      <w:r>
        <w:rPr>
          <w:color w:val="231F20"/>
          <w:sz w:val="19"/>
        </w:rPr>
        <w:t>1990.</w:t>
      </w:r>
      <w:r>
        <w:rPr>
          <w:color w:val="231F20"/>
          <w:spacing w:val="-13"/>
          <w:sz w:val="19"/>
        </w:rPr>
        <w:t> </w:t>
      </w:r>
      <w:r>
        <w:rPr>
          <w:color w:val="231F20"/>
          <w:sz w:val="19"/>
        </w:rPr>
        <w:t>Additive</w:t>
      </w:r>
      <w:r>
        <w:rPr>
          <w:color w:val="231F20"/>
          <w:spacing w:val="-3"/>
          <w:sz w:val="19"/>
        </w:rPr>
        <w:t> </w:t>
      </w:r>
      <w:r>
        <w:rPr>
          <w:color w:val="231F20"/>
          <w:sz w:val="19"/>
        </w:rPr>
        <w:t>main</w:t>
      </w:r>
      <w:r>
        <w:rPr>
          <w:color w:val="231F20"/>
          <w:spacing w:val="-3"/>
          <w:sz w:val="19"/>
        </w:rPr>
        <w:t> </w:t>
      </w:r>
      <w:r>
        <w:rPr>
          <w:color w:val="231F20"/>
          <w:sz w:val="19"/>
        </w:rPr>
        <w:t>effects</w:t>
      </w:r>
      <w:r>
        <w:rPr>
          <w:color w:val="231F20"/>
          <w:spacing w:val="-3"/>
          <w:sz w:val="19"/>
        </w:rPr>
        <w:t> </w:t>
      </w:r>
      <w:r>
        <w:rPr>
          <w:color w:val="231F20"/>
          <w:sz w:val="19"/>
        </w:rPr>
        <w:t>and</w:t>
      </w:r>
      <w:r>
        <w:rPr>
          <w:color w:val="231F20"/>
          <w:spacing w:val="-3"/>
          <w:sz w:val="19"/>
        </w:rPr>
        <w:t> </w:t>
      </w:r>
      <w:r>
        <w:rPr>
          <w:color w:val="231F20"/>
          <w:sz w:val="19"/>
        </w:rPr>
        <w:t>multiplicative</w:t>
      </w:r>
      <w:r>
        <w:rPr>
          <w:color w:val="231F20"/>
          <w:spacing w:val="-3"/>
          <w:sz w:val="19"/>
        </w:rPr>
        <w:t> </w:t>
      </w:r>
      <w:r>
        <w:rPr>
          <w:color w:val="231F20"/>
          <w:sz w:val="19"/>
        </w:rPr>
        <w:t>interaction</w:t>
      </w:r>
      <w:r>
        <w:rPr>
          <w:color w:val="231F20"/>
          <w:spacing w:val="-3"/>
          <w:sz w:val="19"/>
        </w:rPr>
        <w:t> </w:t>
      </w:r>
      <w:r>
        <w:rPr>
          <w:color w:val="231F20"/>
          <w:sz w:val="19"/>
        </w:rPr>
        <w:t>analy- sis of two international maize cultivar trials. Crop Sci. 30:493-500.</w:t>
      </w:r>
    </w:p>
    <w:p>
      <w:pPr>
        <w:pStyle w:val="BodyText"/>
        <w:spacing w:before="10"/>
        <w:rPr>
          <w:sz w:val="19"/>
        </w:rPr>
      </w:pPr>
    </w:p>
    <w:p>
      <w:pPr>
        <w:spacing w:line="249" w:lineRule="auto" w:before="0"/>
        <w:ind w:left="1270" w:right="1268" w:firstLine="0"/>
        <w:jc w:val="both"/>
        <w:rPr>
          <w:sz w:val="19"/>
        </w:rPr>
      </w:pPr>
      <w:r>
        <w:rPr>
          <w:color w:val="231F20"/>
          <w:sz w:val="19"/>
        </w:rPr>
        <w:t>Espinosa C., A., J. Ortiz C., </w:t>
      </w:r>
      <w:r>
        <w:rPr>
          <w:color w:val="231F20"/>
          <w:spacing w:val="-8"/>
          <w:sz w:val="19"/>
        </w:rPr>
        <w:t>F. </w:t>
      </w:r>
      <w:r>
        <w:rPr>
          <w:color w:val="231F20"/>
          <w:sz w:val="19"/>
        </w:rPr>
        <w:t>Ramírez A., N. O. Gómez M., y A. Martínez G. 1998. Estabilidad y comporta- miento</w:t>
      </w:r>
      <w:r>
        <w:rPr>
          <w:color w:val="231F20"/>
          <w:spacing w:val="-6"/>
          <w:sz w:val="19"/>
        </w:rPr>
        <w:t> </w:t>
      </w:r>
      <w:r>
        <w:rPr>
          <w:color w:val="231F20"/>
          <w:sz w:val="19"/>
        </w:rPr>
        <w:t>de</w:t>
      </w:r>
      <w:r>
        <w:rPr>
          <w:color w:val="231F20"/>
          <w:spacing w:val="-6"/>
          <w:sz w:val="19"/>
        </w:rPr>
        <w:t> </w:t>
      </w:r>
      <w:r>
        <w:rPr>
          <w:color w:val="231F20"/>
          <w:sz w:val="19"/>
        </w:rPr>
        <w:t>líneas</w:t>
      </w:r>
      <w:r>
        <w:rPr>
          <w:color w:val="231F20"/>
          <w:spacing w:val="-6"/>
          <w:sz w:val="19"/>
        </w:rPr>
        <w:t> </w:t>
      </w:r>
      <w:r>
        <w:rPr>
          <w:color w:val="231F20"/>
          <w:sz w:val="19"/>
        </w:rPr>
        <w:t>per</w:t>
      </w:r>
      <w:r>
        <w:rPr>
          <w:color w:val="231F20"/>
          <w:spacing w:val="-6"/>
          <w:sz w:val="19"/>
        </w:rPr>
        <w:t> </w:t>
      </w:r>
      <w:r>
        <w:rPr>
          <w:color w:val="231F20"/>
          <w:sz w:val="19"/>
        </w:rPr>
        <w:t>se</w:t>
      </w:r>
      <w:r>
        <w:rPr>
          <w:color w:val="231F20"/>
          <w:spacing w:val="-6"/>
          <w:sz w:val="19"/>
        </w:rPr>
        <w:t> </w:t>
      </w:r>
      <w:r>
        <w:rPr>
          <w:color w:val="231F20"/>
          <w:sz w:val="19"/>
        </w:rPr>
        <w:t>y</w:t>
      </w:r>
      <w:r>
        <w:rPr>
          <w:color w:val="231F20"/>
          <w:spacing w:val="-6"/>
          <w:sz w:val="19"/>
        </w:rPr>
        <w:t> </w:t>
      </w:r>
      <w:r>
        <w:rPr>
          <w:color w:val="231F20"/>
          <w:sz w:val="19"/>
        </w:rPr>
        <w:t>cruzas</w:t>
      </w:r>
      <w:r>
        <w:rPr>
          <w:color w:val="231F20"/>
          <w:spacing w:val="-6"/>
          <w:sz w:val="19"/>
        </w:rPr>
        <w:t> </w:t>
      </w:r>
      <w:r>
        <w:rPr>
          <w:color w:val="231F20"/>
          <w:sz w:val="19"/>
        </w:rPr>
        <w:t>de</w:t>
      </w:r>
      <w:r>
        <w:rPr>
          <w:color w:val="231F20"/>
          <w:spacing w:val="-6"/>
          <w:sz w:val="19"/>
        </w:rPr>
        <w:t> </w:t>
      </w:r>
      <w:r>
        <w:rPr>
          <w:color w:val="231F20"/>
          <w:sz w:val="19"/>
        </w:rPr>
        <w:t>maíz</w:t>
      </w:r>
      <w:r>
        <w:rPr>
          <w:color w:val="231F20"/>
          <w:spacing w:val="-6"/>
          <w:sz w:val="19"/>
        </w:rPr>
        <w:t> </w:t>
      </w:r>
      <w:r>
        <w:rPr>
          <w:color w:val="231F20"/>
          <w:sz w:val="19"/>
        </w:rPr>
        <w:t>en</w:t>
      </w:r>
      <w:r>
        <w:rPr>
          <w:color w:val="231F20"/>
          <w:spacing w:val="-6"/>
          <w:sz w:val="19"/>
        </w:rPr>
        <w:t> </w:t>
      </w:r>
      <w:r>
        <w:rPr>
          <w:color w:val="231F20"/>
          <w:sz w:val="19"/>
        </w:rPr>
        <w:t>la</w:t>
      </w:r>
      <w:r>
        <w:rPr>
          <w:color w:val="231F20"/>
          <w:spacing w:val="-6"/>
          <w:sz w:val="19"/>
        </w:rPr>
        <w:t> </w:t>
      </w:r>
      <w:r>
        <w:rPr>
          <w:color w:val="231F20"/>
          <w:sz w:val="19"/>
        </w:rPr>
        <w:t>producción</w:t>
      </w:r>
      <w:r>
        <w:rPr>
          <w:color w:val="231F20"/>
          <w:spacing w:val="-6"/>
          <w:sz w:val="19"/>
        </w:rPr>
        <w:t> </w:t>
      </w:r>
      <w:r>
        <w:rPr>
          <w:color w:val="231F20"/>
          <w:sz w:val="19"/>
        </w:rPr>
        <w:t>de</w:t>
      </w:r>
      <w:r>
        <w:rPr>
          <w:color w:val="231F20"/>
          <w:spacing w:val="-6"/>
          <w:sz w:val="19"/>
        </w:rPr>
        <w:t> </w:t>
      </w:r>
      <w:r>
        <w:rPr>
          <w:color w:val="231F20"/>
          <w:sz w:val="19"/>
        </w:rPr>
        <w:t>semilla.</w:t>
      </w:r>
      <w:r>
        <w:rPr>
          <w:color w:val="231F20"/>
          <w:spacing w:val="-17"/>
          <w:sz w:val="19"/>
        </w:rPr>
        <w:t> </w:t>
      </w:r>
      <w:r>
        <w:rPr>
          <w:color w:val="231F20"/>
          <w:sz w:val="19"/>
        </w:rPr>
        <w:t>Agricultura</w:t>
      </w:r>
      <w:r>
        <w:rPr>
          <w:color w:val="231F20"/>
          <w:spacing w:val="-10"/>
          <w:sz w:val="19"/>
        </w:rPr>
        <w:t> </w:t>
      </w:r>
      <w:r>
        <w:rPr>
          <w:color w:val="231F20"/>
          <w:sz w:val="19"/>
        </w:rPr>
        <w:t>Técnica</w:t>
      </w:r>
      <w:r>
        <w:rPr>
          <w:color w:val="231F20"/>
          <w:spacing w:val="-6"/>
          <w:sz w:val="19"/>
        </w:rPr>
        <w:t> </w:t>
      </w:r>
      <w:r>
        <w:rPr>
          <w:color w:val="231F20"/>
          <w:sz w:val="19"/>
        </w:rPr>
        <w:t>en</w:t>
      </w:r>
      <w:r>
        <w:rPr>
          <w:color w:val="231F20"/>
          <w:spacing w:val="-6"/>
          <w:sz w:val="19"/>
        </w:rPr>
        <w:t> </w:t>
      </w:r>
      <w:r>
        <w:rPr>
          <w:color w:val="231F20"/>
          <w:sz w:val="19"/>
        </w:rPr>
        <w:t>México</w:t>
      </w:r>
      <w:r>
        <w:rPr>
          <w:color w:val="231F20"/>
          <w:spacing w:val="-6"/>
          <w:sz w:val="19"/>
        </w:rPr>
        <w:t> </w:t>
      </w:r>
      <w:r>
        <w:rPr>
          <w:color w:val="231F20"/>
          <w:sz w:val="19"/>
        </w:rPr>
        <w:t>24:</w:t>
      </w:r>
      <w:r>
        <w:rPr>
          <w:color w:val="231F20"/>
          <w:spacing w:val="-6"/>
          <w:sz w:val="19"/>
        </w:rPr>
        <w:t> </w:t>
      </w:r>
      <w:r>
        <w:rPr>
          <w:color w:val="231F20"/>
          <w:sz w:val="19"/>
        </w:rPr>
        <w:t>27-36.</w:t>
      </w:r>
    </w:p>
    <w:p>
      <w:pPr>
        <w:pStyle w:val="BodyText"/>
        <w:spacing w:before="10"/>
        <w:rPr>
          <w:sz w:val="19"/>
        </w:rPr>
      </w:pPr>
    </w:p>
    <w:p>
      <w:pPr>
        <w:spacing w:before="0"/>
        <w:ind w:left="1270" w:right="0" w:firstLine="0"/>
        <w:jc w:val="both"/>
        <w:rPr>
          <w:sz w:val="19"/>
        </w:rPr>
      </w:pPr>
      <w:r>
        <w:rPr>
          <w:color w:val="231F20"/>
          <w:sz w:val="19"/>
        </w:rPr>
        <w:t>Espinosa C., A., M. Tadeo R., A. Turrent F., N. O. Gómez M., M. Sierra M., F. Caballero H., R. Valdivia B., y</w:t>
      </w:r>
    </w:p>
    <w:p>
      <w:pPr>
        <w:spacing w:before="9"/>
        <w:ind w:left="1270" w:right="0" w:firstLine="0"/>
        <w:jc w:val="both"/>
        <w:rPr>
          <w:sz w:val="19"/>
        </w:rPr>
      </w:pPr>
      <w:r>
        <w:rPr>
          <w:color w:val="231F20"/>
          <w:sz w:val="19"/>
        </w:rPr>
        <w:t>F. A. Rodríguez M. 2009. El potencial de las variedades nativas y mejoradas de maíz. Ciencias 92-93: 118-125.</w:t>
      </w:r>
    </w:p>
    <w:p>
      <w:pPr>
        <w:pStyle w:val="BodyText"/>
        <w:spacing w:before="7"/>
        <w:rPr>
          <w:sz w:val="20"/>
        </w:rPr>
      </w:pPr>
    </w:p>
    <w:p>
      <w:pPr>
        <w:spacing w:line="249" w:lineRule="auto" w:before="0"/>
        <w:ind w:left="1270" w:right="1268" w:firstLine="0"/>
        <w:jc w:val="both"/>
        <w:rPr>
          <w:sz w:val="19"/>
        </w:rPr>
      </w:pPr>
      <w:r>
        <w:rPr>
          <w:color w:val="231F20"/>
          <w:sz w:val="19"/>
        </w:rPr>
        <w:t>García,</w:t>
      </w:r>
      <w:r>
        <w:rPr>
          <w:color w:val="231F20"/>
          <w:spacing w:val="-5"/>
          <w:sz w:val="19"/>
        </w:rPr>
        <w:t> </w:t>
      </w:r>
      <w:r>
        <w:rPr>
          <w:color w:val="231F20"/>
          <w:sz w:val="19"/>
        </w:rPr>
        <w:t>E.</w:t>
      </w:r>
      <w:r>
        <w:rPr>
          <w:color w:val="231F20"/>
          <w:spacing w:val="-5"/>
          <w:sz w:val="19"/>
        </w:rPr>
        <w:t> </w:t>
      </w:r>
      <w:r>
        <w:rPr>
          <w:color w:val="231F20"/>
          <w:sz w:val="19"/>
        </w:rPr>
        <w:t>1981.</w:t>
      </w:r>
      <w:r>
        <w:rPr>
          <w:color w:val="231F20"/>
          <w:spacing w:val="-5"/>
          <w:sz w:val="19"/>
        </w:rPr>
        <w:t> </w:t>
      </w:r>
      <w:r>
        <w:rPr>
          <w:color w:val="231F20"/>
          <w:sz w:val="19"/>
        </w:rPr>
        <w:t>Modificaciones</w:t>
      </w:r>
      <w:r>
        <w:rPr>
          <w:color w:val="231F20"/>
          <w:spacing w:val="-5"/>
          <w:sz w:val="19"/>
        </w:rPr>
        <w:t> </w:t>
      </w:r>
      <w:r>
        <w:rPr>
          <w:color w:val="231F20"/>
          <w:sz w:val="19"/>
        </w:rPr>
        <w:t>al</w:t>
      </w:r>
      <w:r>
        <w:rPr>
          <w:color w:val="231F20"/>
          <w:spacing w:val="-5"/>
          <w:sz w:val="19"/>
        </w:rPr>
        <w:t> </w:t>
      </w:r>
      <w:r>
        <w:rPr>
          <w:color w:val="231F20"/>
          <w:sz w:val="19"/>
        </w:rPr>
        <w:t>Sistema</w:t>
      </w:r>
      <w:r>
        <w:rPr>
          <w:color w:val="231F20"/>
          <w:spacing w:val="-5"/>
          <w:sz w:val="19"/>
        </w:rPr>
        <w:t> </w:t>
      </w:r>
      <w:r>
        <w:rPr>
          <w:color w:val="231F20"/>
          <w:sz w:val="19"/>
        </w:rPr>
        <w:t>de</w:t>
      </w:r>
      <w:r>
        <w:rPr>
          <w:color w:val="231F20"/>
          <w:spacing w:val="-5"/>
          <w:sz w:val="19"/>
        </w:rPr>
        <w:t> </w:t>
      </w:r>
      <w:r>
        <w:rPr>
          <w:color w:val="231F20"/>
          <w:sz w:val="19"/>
        </w:rPr>
        <w:t>Clasificación</w:t>
      </w:r>
      <w:r>
        <w:rPr>
          <w:color w:val="231F20"/>
          <w:spacing w:val="-5"/>
          <w:sz w:val="19"/>
        </w:rPr>
        <w:t> </w:t>
      </w:r>
      <w:r>
        <w:rPr>
          <w:color w:val="231F20"/>
          <w:sz w:val="19"/>
        </w:rPr>
        <w:t>Climática</w:t>
      </w:r>
      <w:r>
        <w:rPr>
          <w:color w:val="231F20"/>
          <w:spacing w:val="-5"/>
          <w:sz w:val="19"/>
        </w:rPr>
        <w:t> </w:t>
      </w:r>
      <w:r>
        <w:rPr>
          <w:color w:val="231F20"/>
          <w:sz w:val="19"/>
        </w:rPr>
        <w:t>de</w:t>
      </w:r>
      <w:r>
        <w:rPr>
          <w:color w:val="231F20"/>
          <w:spacing w:val="-5"/>
          <w:sz w:val="19"/>
        </w:rPr>
        <w:t> </w:t>
      </w:r>
      <w:r>
        <w:rPr>
          <w:color w:val="231F20"/>
          <w:sz w:val="19"/>
        </w:rPr>
        <w:t>Köppen:</w:t>
      </w:r>
      <w:r>
        <w:rPr>
          <w:color w:val="231F20"/>
          <w:spacing w:val="-5"/>
          <w:sz w:val="19"/>
        </w:rPr>
        <w:t> </w:t>
      </w:r>
      <w:r>
        <w:rPr>
          <w:color w:val="231F20"/>
          <w:sz w:val="19"/>
        </w:rPr>
        <w:t>para</w:t>
      </w:r>
      <w:r>
        <w:rPr>
          <w:color w:val="231F20"/>
          <w:spacing w:val="-14"/>
          <w:sz w:val="19"/>
        </w:rPr>
        <w:t> </w:t>
      </w:r>
      <w:r>
        <w:rPr>
          <w:color w:val="231F20"/>
          <w:sz w:val="19"/>
        </w:rPr>
        <w:t>Adaptarlo</w:t>
      </w:r>
      <w:r>
        <w:rPr>
          <w:color w:val="231F20"/>
          <w:spacing w:val="-5"/>
          <w:sz w:val="19"/>
        </w:rPr>
        <w:t> </w:t>
      </w:r>
      <w:r>
        <w:rPr>
          <w:color w:val="231F20"/>
          <w:sz w:val="19"/>
        </w:rPr>
        <w:t>a</w:t>
      </w:r>
      <w:r>
        <w:rPr>
          <w:color w:val="231F20"/>
          <w:spacing w:val="-5"/>
          <w:sz w:val="19"/>
        </w:rPr>
        <w:t> </w:t>
      </w:r>
      <w:r>
        <w:rPr>
          <w:color w:val="231F20"/>
          <w:sz w:val="19"/>
        </w:rPr>
        <w:t>las</w:t>
      </w:r>
      <w:r>
        <w:rPr>
          <w:color w:val="231F20"/>
          <w:spacing w:val="-5"/>
          <w:sz w:val="19"/>
        </w:rPr>
        <w:t> </w:t>
      </w:r>
      <w:r>
        <w:rPr>
          <w:color w:val="231F20"/>
          <w:sz w:val="19"/>
        </w:rPr>
        <w:t>Condi- ciones</w:t>
      </w:r>
      <w:r>
        <w:rPr>
          <w:color w:val="231F20"/>
          <w:spacing w:val="-9"/>
          <w:sz w:val="19"/>
        </w:rPr>
        <w:t> </w:t>
      </w:r>
      <w:r>
        <w:rPr>
          <w:color w:val="231F20"/>
          <w:sz w:val="19"/>
        </w:rPr>
        <w:t>de</w:t>
      </w:r>
      <w:r>
        <w:rPr>
          <w:color w:val="231F20"/>
          <w:spacing w:val="-9"/>
          <w:sz w:val="19"/>
        </w:rPr>
        <w:t> </w:t>
      </w:r>
      <w:r>
        <w:rPr>
          <w:color w:val="231F20"/>
          <w:sz w:val="19"/>
        </w:rPr>
        <w:t>la</w:t>
      </w:r>
      <w:r>
        <w:rPr>
          <w:color w:val="231F20"/>
          <w:spacing w:val="-9"/>
          <w:sz w:val="19"/>
        </w:rPr>
        <w:t> </w:t>
      </w:r>
      <w:r>
        <w:rPr>
          <w:color w:val="231F20"/>
          <w:sz w:val="19"/>
        </w:rPr>
        <w:t>República</w:t>
      </w:r>
      <w:r>
        <w:rPr>
          <w:color w:val="231F20"/>
          <w:spacing w:val="-9"/>
          <w:sz w:val="19"/>
        </w:rPr>
        <w:t> </w:t>
      </w:r>
      <w:r>
        <w:rPr>
          <w:color w:val="231F20"/>
          <w:sz w:val="19"/>
        </w:rPr>
        <w:t>Mexicana.</w:t>
      </w:r>
      <w:r>
        <w:rPr>
          <w:color w:val="231F20"/>
          <w:spacing w:val="-9"/>
          <w:sz w:val="19"/>
        </w:rPr>
        <w:t> </w:t>
      </w:r>
      <w:r>
        <w:rPr>
          <w:color w:val="231F20"/>
          <w:sz w:val="19"/>
        </w:rPr>
        <w:t>Dirección</w:t>
      </w:r>
      <w:r>
        <w:rPr>
          <w:color w:val="231F20"/>
          <w:spacing w:val="-9"/>
          <w:sz w:val="19"/>
        </w:rPr>
        <w:t> </w:t>
      </w:r>
      <w:r>
        <w:rPr>
          <w:color w:val="231F20"/>
          <w:sz w:val="19"/>
        </w:rPr>
        <w:t>General</w:t>
      </w:r>
      <w:r>
        <w:rPr>
          <w:color w:val="231F20"/>
          <w:spacing w:val="-9"/>
          <w:sz w:val="19"/>
        </w:rPr>
        <w:t> </w:t>
      </w:r>
      <w:r>
        <w:rPr>
          <w:color w:val="231F20"/>
          <w:sz w:val="19"/>
        </w:rPr>
        <w:t>de</w:t>
      </w:r>
      <w:r>
        <w:rPr>
          <w:color w:val="231F20"/>
          <w:spacing w:val="-9"/>
          <w:sz w:val="19"/>
        </w:rPr>
        <w:t> </w:t>
      </w:r>
      <w:r>
        <w:rPr>
          <w:color w:val="231F20"/>
          <w:sz w:val="19"/>
        </w:rPr>
        <w:t>Publicaciones.</w:t>
      </w:r>
      <w:r>
        <w:rPr>
          <w:color w:val="231F20"/>
          <w:spacing w:val="-9"/>
          <w:sz w:val="19"/>
        </w:rPr>
        <w:t> </w:t>
      </w:r>
      <w:r>
        <w:rPr>
          <w:color w:val="231F20"/>
          <w:sz w:val="19"/>
        </w:rPr>
        <w:t>Instituto</w:t>
      </w:r>
      <w:r>
        <w:rPr>
          <w:color w:val="231F20"/>
          <w:spacing w:val="-9"/>
          <w:sz w:val="19"/>
        </w:rPr>
        <w:t> </w:t>
      </w:r>
      <w:r>
        <w:rPr>
          <w:color w:val="231F20"/>
          <w:sz w:val="19"/>
        </w:rPr>
        <w:t>de</w:t>
      </w:r>
      <w:r>
        <w:rPr>
          <w:color w:val="231F20"/>
          <w:spacing w:val="-9"/>
          <w:sz w:val="19"/>
        </w:rPr>
        <w:t> </w:t>
      </w:r>
      <w:r>
        <w:rPr>
          <w:color w:val="231F20"/>
          <w:sz w:val="19"/>
        </w:rPr>
        <w:t>Geografía.</w:t>
      </w:r>
      <w:r>
        <w:rPr>
          <w:color w:val="231F20"/>
          <w:spacing w:val="-9"/>
          <w:sz w:val="19"/>
        </w:rPr>
        <w:t> </w:t>
      </w:r>
      <w:r>
        <w:rPr>
          <w:color w:val="231F20"/>
          <w:sz w:val="19"/>
        </w:rPr>
        <w:t>UNAM,</w:t>
      </w:r>
      <w:r>
        <w:rPr>
          <w:color w:val="231F20"/>
          <w:spacing w:val="-9"/>
          <w:sz w:val="19"/>
        </w:rPr>
        <w:t> </w:t>
      </w:r>
      <w:r>
        <w:rPr>
          <w:color w:val="231F20"/>
          <w:sz w:val="19"/>
        </w:rPr>
        <w:t>México. 252 p.</w:t>
      </w:r>
    </w:p>
    <w:p>
      <w:pPr>
        <w:pStyle w:val="BodyText"/>
        <w:spacing w:before="10"/>
        <w:rPr>
          <w:sz w:val="19"/>
        </w:rPr>
      </w:pPr>
    </w:p>
    <w:p>
      <w:pPr>
        <w:spacing w:line="249" w:lineRule="auto" w:before="0"/>
        <w:ind w:left="1270" w:right="1268" w:firstLine="0"/>
        <w:jc w:val="both"/>
        <w:rPr>
          <w:sz w:val="19"/>
        </w:rPr>
      </w:pPr>
      <w:r>
        <w:rPr>
          <w:color w:val="231F20"/>
          <w:sz w:val="19"/>
        </w:rPr>
        <w:t>Gauch,</w:t>
      </w:r>
      <w:r>
        <w:rPr>
          <w:color w:val="231F20"/>
          <w:spacing w:val="-3"/>
          <w:sz w:val="19"/>
        </w:rPr>
        <w:t> </w:t>
      </w:r>
      <w:r>
        <w:rPr>
          <w:color w:val="231F20"/>
          <w:spacing w:val="-4"/>
          <w:sz w:val="19"/>
        </w:rPr>
        <w:t>Jr.</w:t>
      </w:r>
      <w:r>
        <w:rPr>
          <w:color w:val="231F20"/>
          <w:spacing w:val="-3"/>
          <w:sz w:val="19"/>
        </w:rPr>
        <w:t> </w:t>
      </w:r>
      <w:r>
        <w:rPr>
          <w:color w:val="231F20"/>
          <w:sz w:val="19"/>
        </w:rPr>
        <w:t>H.</w:t>
      </w:r>
      <w:r>
        <w:rPr>
          <w:color w:val="231F20"/>
          <w:spacing w:val="-3"/>
          <w:sz w:val="19"/>
        </w:rPr>
        <w:t> </w:t>
      </w:r>
      <w:r>
        <w:rPr>
          <w:color w:val="231F20"/>
          <w:sz w:val="19"/>
        </w:rPr>
        <w:t>G.,</w:t>
      </w:r>
      <w:r>
        <w:rPr>
          <w:color w:val="231F20"/>
          <w:spacing w:val="-3"/>
          <w:sz w:val="19"/>
        </w:rPr>
        <w:t> </w:t>
      </w:r>
      <w:r>
        <w:rPr>
          <w:color w:val="231F20"/>
          <w:sz w:val="19"/>
        </w:rPr>
        <w:t>and</w:t>
      </w:r>
      <w:r>
        <w:rPr>
          <w:color w:val="231F20"/>
          <w:spacing w:val="-3"/>
          <w:sz w:val="19"/>
        </w:rPr>
        <w:t> </w:t>
      </w:r>
      <w:r>
        <w:rPr>
          <w:color w:val="231F20"/>
          <w:sz w:val="19"/>
        </w:rPr>
        <w:t>R.</w:t>
      </w:r>
      <w:r>
        <w:rPr>
          <w:color w:val="231F20"/>
          <w:spacing w:val="-7"/>
          <w:sz w:val="19"/>
        </w:rPr>
        <w:t> </w:t>
      </w:r>
      <w:r>
        <w:rPr>
          <w:color w:val="231F20"/>
          <w:spacing w:val="-9"/>
          <w:sz w:val="19"/>
        </w:rPr>
        <w:t>W.</w:t>
      </w:r>
      <w:r>
        <w:rPr>
          <w:color w:val="231F20"/>
          <w:spacing w:val="-3"/>
          <w:sz w:val="19"/>
        </w:rPr>
        <w:t> </w:t>
      </w:r>
      <w:r>
        <w:rPr>
          <w:color w:val="231F20"/>
          <w:sz w:val="19"/>
        </w:rPr>
        <w:t>Zobel.</w:t>
      </w:r>
      <w:r>
        <w:rPr>
          <w:color w:val="231F20"/>
          <w:spacing w:val="-3"/>
          <w:sz w:val="19"/>
        </w:rPr>
        <w:t> </w:t>
      </w:r>
      <w:r>
        <w:rPr>
          <w:color w:val="231F20"/>
          <w:sz w:val="19"/>
        </w:rPr>
        <w:t>1996.</w:t>
      </w:r>
      <w:r>
        <w:rPr>
          <w:color w:val="231F20"/>
          <w:spacing w:val="-14"/>
          <w:sz w:val="19"/>
        </w:rPr>
        <w:t> </w:t>
      </w:r>
      <w:r>
        <w:rPr>
          <w:color w:val="231F20"/>
          <w:sz w:val="19"/>
        </w:rPr>
        <w:t>AMMI</w:t>
      </w:r>
      <w:r>
        <w:rPr>
          <w:color w:val="231F20"/>
          <w:spacing w:val="-3"/>
          <w:sz w:val="19"/>
        </w:rPr>
        <w:t> </w:t>
      </w:r>
      <w:r>
        <w:rPr>
          <w:color w:val="231F20"/>
          <w:sz w:val="19"/>
        </w:rPr>
        <w:t>analysis</w:t>
      </w:r>
      <w:r>
        <w:rPr>
          <w:color w:val="231F20"/>
          <w:spacing w:val="-3"/>
          <w:sz w:val="19"/>
        </w:rPr>
        <w:t> </w:t>
      </w:r>
      <w:r>
        <w:rPr>
          <w:color w:val="231F20"/>
          <w:sz w:val="19"/>
        </w:rPr>
        <w:t>of</w:t>
      </w:r>
      <w:r>
        <w:rPr>
          <w:color w:val="231F20"/>
          <w:spacing w:val="-3"/>
          <w:sz w:val="19"/>
        </w:rPr>
        <w:t> </w:t>
      </w:r>
      <w:r>
        <w:rPr>
          <w:color w:val="231F20"/>
          <w:sz w:val="19"/>
        </w:rPr>
        <w:t>yield</w:t>
      </w:r>
      <w:r>
        <w:rPr>
          <w:color w:val="231F20"/>
          <w:spacing w:val="-3"/>
          <w:sz w:val="19"/>
        </w:rPr>
        <w:t> </w:t>
      </w:r>
      <w:r>
        <w:rPr>
          <w:color w:val="231F20"/>
          <w:sz w:val="19"/>
        </w:rPr>
        <w:t>trials.</w:t>
      </w:r>
      <w:r>
        <w:rPr>
          <w:color w:val="231F20"/>
          <w:spacing w:val="-3"/>
          <w:sz w:val="19"/>
        </w:rPr>
        <w:t> </w:t>
      </w:r>
      <w:r>
        <w:rPr>
          <w:color w:val="231F20"/>
          <w:sz w:val="19"/>
        </w:rPr>
        <w:t>In:</w:t>
      </w:r>
      <w:r>
        <w:rPr>
          <w:color w:val="231F20"/>
          <w:spacing w:val="-3"/>
          <w:sz w:val="19"/>
        </w:rPr>
        <w:t> </w:t>
      </w:r>
      <w:r>
        <w:rPr>
          <w:color w:val="231F20"/>
          <w:sz w:val="19"/>
        </w:rPr>
        <w:t>Genotype-by-Environment</w:t>
      </w:r>
      <w:r>
        <w:rPr>
          <w:color w:val="231F20"/>
          <w:spacing w:val="-3"/>
          <w:sz w:val="19"/>
        </w:rPr>
        <w:t> </w:t>
      </w:r>
      <w:r>
        <w:rPr>
          <w:color w:val="231F20"/>
          <w:sz w:val="19"/>
        </w:rPr>
        <w:t>Interac- tion. M S Kang and H G Gauch Jr (ed). CRC Press. Boca Ratón. pp: 85-122.</w:t>
      </w:r>
    </w:p>
    <w:p>
      <w:pPr>
        <w:pStyle w:val="BodyText"/>
        <w:spacing w:before="10"/>
        <w:rPr>
          <w:sz w:val="19"/>
        </w:rPr>
      </w:pPr>
    </w:p>
    <w:p>
      <w:pPr>
        <w:spacing w:line="249" w:lineRule="auto" w:before="0"/>
        <w:ind w:left="1270" w:right="1268" w:firstLine="0"/>
        <w:jc w:val="both"/>
        <w:rPr>
          <w:sz w:val="19"/>
        </w:rPr>
      </w:pPr>
      <w:r>
        <w:rPr>
          <w:color w:val="231F20"/>
          <w:sz w:val="19"/>
        </w:rPr>
        <w:t>Gauch,</w:t>
      </w:r>
      <w:r>
        <w:rPr>
          <w:color w:val="231F20"/>
          <w:spacing w:val="-7"/>
          <w:sz w:val="19"/>
        </w:rPr>
        <w:t> </w:t>
      </w:r>
      <w:r>
        <w:rPr>
          <w:color w:val="231F20"/>
          <w:spacing w:val="-3"/>
          <w:sz w:val="19"/>
        </w:rPr>
        <w:t>Jr.,</w:t>
      </w:r>
      <w:r>
        <w:rPr>
          <w:color w:val="231F20"/>
          <w:spacing w:val="-7"/>
          <w:sz w:val="19"/>
        </w:rPr>
        <w:t> </w:t>
      </w:r>
      <w:r>
        <w:rPr>
          <w:color w:val="231F20"/>
          <w:sz w:val="19"/>
        </w:rPr>
        <w:t>H.</w:t>
      </w:r>
      <w:r>
        <w:rPr>
          <w:color w:val="231F20"/>
          <w:spacing w:val="-7"/>
          <w:sz w:val="19"/>
        </w:rPr>
        <w:t> </w:t>
      </w:r>
      <w:r>
        <w:rPr>
          <w:color w:val="231F20"/>
          <w:sz w:val="19"/>
        </w:rPr>
        <w:t>G,</w:t>
      </w:r>
      <w:r>
        <w:rPr>
          <w:color w:val="231F20"/>
          <w:spacing w:val="-7"/>
          <w:sz w:val="19"/>
        </w:rPr>
        <w:t> </w:t>
      </w:r>
      <w:r>
        <w:rPr>
          <w:color w:val="231F20"/>
          <w:sz w:val="19"/>
        </w:rPr>
        <w:t>and</w:t>
      </w:r>
      <w:r>
        <w:rPr>
          <w:color w:val="231F20"/>
          <w:spacing w:val="-7"/>
          <w:sz w:val="19"/>
        </w:rPr>
        <w:t> </w:t>
      </w:r>
      <w:r>
        <w:rPr>
          <w:color w:val="231F20"/>
          <w:sz w:val="19"/>
        </w:rPr>
        <w:t>R.</w:t>
      </w:r>
      <w:r>
        <w:rPr>
          <w:color w:val="231F20"/>
          <w:spacing w:val="-10"/>
          <w:sz w:val="19"/>
        </w:rPr>
        <w:t> </w:t>
      </w:r>
      <w:r>
        <w:rPr>
          <w:color w:val="231F20"/>
          <w:spacing w:val="-9"/>
          <w:sz w:val="19"/>
        </w:rPr>
        <w:t>W.</w:t>
      </w:r>
      <w:r>
        <w:rPr>
          <w:color w:val="231F20"/>
          <w:spacing w:val="-7"/>
          <w:sz w:val="19"/>
        </w:rPr>
        <w:t> </w:t>
      </w:r>
      <w:r>
        <w:rPr>
          <w:color w:val="231F20"/>
          <w:sz w:val="19"/>
        </w:rPr>
        <w:t>Zobel.</w:t>
      </w:r>
      <w:r>
        <w:rPr>
          <w:color w:val="231F20"/>
          <w:spacing w:val="-7"/>
          <w:sz w:val="19"/>
        </w:rPr>
        <w:t> </w:t>
      </w:r>
      <w:r>
        <w:rPr>
          <w:color w:val="231F20"/>
          <w:sz w:val="19"/>
        </w:rPr>
        <w:t>1988.</w:t>
      </w:r>
      <w:r>
        <w:rPr>
          <w:color w:val="231F20"/>
          <w:spacing w:val="-7"/>
          <w:sz w:val="19"/>
        </w:rPr>
        <w:t> </w:t>
      </w:r>
      <w:r>
        <w:rPr>
          <w:color w:val="231F20"/>
          <w:sz w:val="19"/>
        </w:rPr>
        <w:t>Predictive</w:t>
      </w:r>
      <w:r>
        <w:rPr>
          <w:color w:val="231F20"/>
          <w:spacing w:val="-7"/>
          <w:sz w:val="19"/>
        </w:rPr>
        <w:t> </w:t>
      </w:r>
      <w:r>
        <w:rPr>
          <w:color w:val="231F20"/>
          <w:sz w:val="19"/>
        </w:rPr>
        <w:t>and</w:t>
      </w:r>
      <w:r>
        <w:rPr>
          <w:color w:val="231F20"/>
          <w:spacing w:val="-7"/>
          <w:sz w:val="19"/>
        </w:rPr>
        <w:t> </w:t>
      </w:r>
      <w:r>
        <w:rPr>
          <w:color w:val="231F20"/>
          <w:sz w:val="19"/>
        </w:rPr>
        <w:t>postdictive</w:t>
      </w:r>
      <w:r>
        <w:rPr>
          <w:color w:val="231F20"/>
          <w:spacing w:val="-7"/>
          <w:sz w:val="19"/>
        </w:rPr>
        <w:t> </w:t>
      </w:r>
      <w:r>
        <w:rPr>
          <w:color w:val="231F20"/>
          <w:sz w:val="19"/>
        </w:rPr>
        <w:t>success</w:t>
      </w:r>
      <w:r>
        <w:rPr>
          <w:color w:val="231F20"/>
          <w:spacing w:val="-7"/>
          <w:sz w:val="19"/>
        </w:rPr>
        <w:t> </w:t>
      </w:r>
      <w:r>
        <w:rPr>
          <w:color w:val="231F20"/>
          <w:sz w:val="19"/>
        </w:rPr>
        <w:t>of</w:t>
      </w:r>
      <w:r>
        <w:rPr>
          <w:color w:val="231F20"/>
          <w:spacing w:val="-7"/>
          <w:sz w:val="19"/>
        </w:rPr>
        <w:t> </w:t>
      </w:r>
      <w:r>
        <w:rPr>
          <w:color w:val="231F20"/>
          <w:sz w:val="19"/>
        </w:rPr>
        <w:t>statistical</w:t>
      </w:r>
      <w:r>
        <w:rPr>
          <w:color w:val="231F20"/>
          <w:spacing w:val="-7"/>
          <w:sz w:val="19"/>
        </w:rPr>
        <w:t> </w:t>
      </w:r>
      <w:r>
        <w:rPr>
          <w:color w:val="231F20"/>
          <w:sz w:val="19"/>
        </w:rPr>
        <w:t>analyses</w:t>
      </w:r>
      <w:r>
        <w:rPr>
          <w:color w:val="231F20"/>
          <w:spacing w:val="-7"/>
          <w:sz w:val="19"/>
        </w:rPr>
        <w:t> </w:t>
      </w:r>
      <w:r>
        <w:rPr>
          <w:color w:val="231F20"/>
          <w:sz w:val="19"/>
        </w:rPr>
        <w:t>of</w:t>
      </w:r>
      <w:r>
        <w:rPr>
          <w:color w:val="231F20"/>
          <w:spacing w:val="-7"/>
          <w:sz w:val="19"/>
        </w:rPr>
        <w:t> </w:t>
      </w:r>
      <w:r>
        <w:rPr>
          <w:color w:val="231F20"/>
          <w:sz w:val="19"/>
        </w:rPr>
        <w:t>yield</w:t>
      </w:r>
      <w:r>
        <w:rPr>
          <w:color w:val="231F20"/>
          <w:spacing w:val="-7"/>
          <w:sz w:val="19"/>
        </w:rPr>
        <w:t> </w:t>
      </w:r>
      <w:r>
        <w:rPr>
          <w:color w:val="231F20"/>
          <w:sz w:val="19"/>
        </w:rPr>
        <w:t>trials. Theor. Appl. Gen. 76:</w:t>
      </w:r>
      <w:r>
        <w:rPr>
          <w:color w:val="231F20"/>
          <w:spacing w:val="-22"/>
          <w:sz w:val="19"/>
        </w:rPr>
        <w:t> </w:t>
      </w:r>
      <w:r>
        <w:rPr>
          <w:color w:val="231F20"/>
          <w:sz w:val="19"/>
        </w:rPr>
        <w:t>1-10.</w:t>
      </w:r>
    </w:p>
    <w:p>
      <w:pPr>
        <w:pStyle w:val="BodyText"/>
        <w:spacing w:before="10"/>
        <w:rPr>
          <w:sz w:val="19"/>
        </w:rPr>
      </w:pPr>
    </w:p>
    <w:p>
      <w:pPr>
        <w:spacing w:line="249" w:lineRule="auto" w:before="0"/>
        <w:ind w:left="1270" w:right="1268" w:firstLine="0"/>
        <w:jc w:val="both"/>
        <w:rPr>
          <w:sz w:val="19"/>
        </w:rPr>
      </w:pPr>
      <w:r>
        <w:rPr>
          <w:color w:val="231F20"/>
          <w:sz w:val="19"/>
        </w:rPr>
        <w:t>Gollob, H. F. 1968. A statistical model which combines features of factor analytic and analysis of variance techniques. Psychometrika 33: 73-115.</w:t>
      </w:r>
    </w:p>
    <w:p>
      <w:pPr>
        <w:pStyle w:val="BodyText"/>
        <w:spacing w:before="10"/>
        <w:rPr>
          <w:sz w:val="19"/>
        </w:rPr>
      </w:pPr>
    </w:p>
    <w:p>
      <w:pPr>
        <w:spacing w:line="249" w:lineRule="auto" w:before="0"/>
        <w:ind w:left="1270" w:right="1268" w:firstLine="0"/>
        <w:jc w:val="both"/>
        <w:rPr>
          <w:sz w:val="19"/>
        </w:rPr>
      </w:pPr>
      <w:r>
        <w:rPr>
          <w:color w:val="231F20"/>
          <w:sz w:val="19"/>
        </w:rPr>
        <w:t>Gómez M., N., M. Sierra M., M. A. Cantú A., </w:t>
      </w:r>
      <w:r>
        <w:rPr>
          <w:color w:val="231F20"/>
          <w:spacing w:val="-8"/>
          <w:sz w:val="19"/>
        </w:rPr>
        <w:t>F. </w:t>
      </w:r>
      <w:r>
        <w:rPr>
          <w:color w:val="231F20"/>
          <w:sz w:val="19"/>
        </w:rPr>
        <w:t>A. Rodríguez M., M. Manjarrez S., M. González C., A. Espi- nosa</w:t>
      </w:r>
      <w:r>
        <w:rPr>
          <w:color w:val="231F20"/>
          <w:spacing w:val="-5"/>
          <w:sz w:val="19"/>
        </w:rPr>
        <w:t> </w:t>
      </w:r>
      <w:r>
        <w:rPr>
          <w:color w:val="231F20"/>
          <w:sz w:val="19"/>
        </w:rPr>
        <w:t>C.,</w:t>
      </w:r>
      <w:r>
        <w:rPr>
          <w:color w:val="231F20"/>
          <w:spacing w:val="-5"/>
          <w:sz w:val="19"/>
        </w:rPr>
        <w:t> </w:t>
      </w:r>
      <w:r>
        <w:rPr>
          <w:color w:val="231F20"/>
          <w:sz w:val="19"/>
        </w:rPr>
        <w:t>E.</w:t>
      </w:r>
      <w:r>
        <w:rPr>
          <w:color w:val="231F20"/>
          <w:spacing w:val="-5"/>
          <w:sz w:val="19"/>
        </w:rPr>
        <w:t> </w:t>
      </w:r>
      <w:r>
        <w:rPr>
          <w:color w:val="231F20"/>
          <w:sz w:val="19"/>
        </w:rPr>
        <w:t>Betanzos</w:t>
      </w:r>
      <w:r>
        <w:rPr>
          <w:color w:val="231F20"/>
          <w:spacing w:val="-5"/>
          <w:sz w:val="19"/>
        </w:rPr>
        <w:t> </w:t>
      </w:r>
      <w:r>
        <w:rPr>
          <w:color w:val="231F20"/>
          <w:sz w:val="19"/>
        </w:rPr>
        <w:t>M.,</w:t>
      </w:r>
      <w:r>
        <w:rPr>
          <w:color w:val="231F20"/>
          <w:spacing w:val="-5"/>
          <w:sz w:val="19"/>
        </w:rPr>
        <w:t> </w:t>
      </w:r>
      <w:r>
        <w:rPr>
          <w:color w:val="231F20"/>
          <w:sz w:val="19"/>
        </w:rPr>
        <w:t>H.</w:t>
      </w:r>
      <w:r>
        <w:rPr>
          <w:color w:val="231F20"/>
          <w:spacing w:val="-5"/>
          <w:sz w:val="19"/>
        </w:rPr>
        <w:t> </w:t>
      </w:r>
      <w:r>
        <w:rPr>
          <w:color w:val="231F20"/>
          <w:sz w:val="19"/>
        </w:rPr>
        <w:t>Córdova</w:t>
      </w:r>
      <w:r>
        <w:rPr>
          <w:color w:val="231F20"/>
          <w:spacing w:val="-5"/>
          <w:sz w:val="19"/>
        </w:rPr>
        <w:t> </w:t>
      </w:r>
      <w:r>
        <w:rPr>
          <w:color w:val="231F20"/>
          <w:sz w:val="19"/>
        </w:rPr>
        <w:t>O.,</w:t>
      </w:r>
      <w:r>
        <w:rPr>
          <w:color w:val="231F20"/>
          <w:spacing w:val="-5"/>
          <w:sz w:val="19"/>
        </w:rPr>
        <w:t> </w:t>
      </w:r>
      <w:r>
        <w:rPr>
          <w:color w:val="231F20"/>
          <w:spacing w:val="-8"/>
          <w:sz w:val="19"/>
        </w:rPr>
        <w:t>F.</w:t>
      </w:r>
      <w:r>
        <w:rPr>
          <w:color w:val="231F20"/>
          <w:spacing w:val="-5"/>
          <w:sz w:val="19"/>
        </w:rPr>
        <w:t> </w:t>
      </w:r>
      <w:r>
        <w:rPr>
          <w:color w:val="231F20"/>
          <w:sz w:val="19"/>
        </w:rPr>
        <w:t>Caballero</w:t>
      </w:r>
      <w:r>
        <w:rPr>
          <w:color w:val="231F20"/>
          <w:spacing w:val="-5"/>
          <w:sz w:val="19"/>
        </w:rPr>
        <w:t> </w:t>
      </w:r>
      <w:r>
        <w:rPr>
          <w:color w:val="231F20"/>
          <w:sz w:val="19"/>
        </w:rPr>
        <w:t>H.,</w:t>
      </w:r>
      <w:r>
        <w:rPr>
          <w:color w:val="231F20"/>
          <w:spacing w:val="-15"/>
          <w:sz w:val="19"/>
        </w:rPr>
        <w:t> </w:t>
      </w:r>
      <w:r>
        <w:rPr>
          <w:color w:val="231F20"/>
          <w:sz w:val="19"/>
        </w:rPr>
        <w:t>A.</w:t>
      </w:r>
      <w:r>
        <w:rPr>
          <w:color w:val="231F20"/>
          <w:spacing w:val="-8"/>
          <w:sz w:val="19"/>
        </w:rPr>
        <w:t> </w:t>
      </w:r>
      <w:r>
        <w:rPr>
          <w:color w:val="231F20"/>
          <w:sz w:val="19"/>
        </w:rPr>
        <w:t>Turrent</w:t>
      </w:r>
      <w:r>
        <w:rPr>
          <w:color w:val="231F20"/>
          <w:spacing w:val="-5"/>
          <w:sz w:val="19"/>
        </w:rPr>
        <w:t> </w:t>
      </w:r>
      <w:r>
        <w:rPr>
          <w:color w:val="231F20"/>
          <w:spacing w:val="-6"/>
          <w:sz w:val="19"/>
        </w:rPr>
        <w:t>F.,</w:t>
      </w:r>
      <w:r>
        <w:rPr>
          <w:color w:val="231F20"/>
          <w:spacing w:val="-16"/>
          <w:sz w:val="19"/>
        </w:rPr>
        <w:t> </w:t>
      </w:r>
      <w:r>
        <w:rPr>
          <w:color w:val="231F20"/>
          <w:sz w:val="19"/>
        </w:rPr>
        <w:t>A.</w:t>
      </w:r>
      <w:r>
        <w:rPr>
          <w:color w:val="231F20"/>
          <w:spacing w:val="-5"/>
          <w:sz w:val="19"/>
        </w:rPr>
        <w:t> </w:t>
      </w:r>
      <w:r>
        <w:rPr>
          <w:color w:val="231F20"/>
          <w:sz w:val="19"/>
        </w:rPr>
        <w:t>García</w:t>
      </w:r>
      <w:r>
        <w:rPr>
          <w:color w:val="231F20"/>
          <w:spacing w:val="-5"/>
          <w:sz w:val="19"/>
        </w:rPr>
        <w:t> </w:t>
      </w:r>
      <w:r>
        <w:rPr>
          <w:color w:val="231F20"/>
          <w:sz w:val="19"/>
        </w:rPr>
        <w:t>B.,</w:t>
      </w:r>
      <w:r>
        <w:rPr>
          <w:color w:val="231F20"/>
          <w:spacing w:val="-5"/>
          <w:sz w:val="19"/>
        </w:rPr>
        <w:t> </w:t>
      </w:r>
      <w:r>
        <w:rPr>
          <w:color w:val="231F20"/>
          <w:sz w:val="19"/>
        </w:rPr>
        <w:t>G.</w:t>
      </w:r>
      <w:r>
        <w:rPr>
          <w:color w:val="231F20"/>
          <w:spacing w:val="-5"/>
          <w:sz w:val="19"/>
        </w:rPr>
        <w:t> </w:t>
      </w:r>
      <w:r>
        <w:rPr>
          <w:color w:val="231F20"/>
          <w:sz w:val="19"/>
        </w:rPr>
        <w:t>Ramírez.,</w:t>
      </w:r>
      <w:r>
        <w:rPr>
          <w:color w:val="231F20"/>
          <w:spacing w:val="-16"/>
          <w:sz w:val="19"/>
        </w:rPr>
        <w:t> </w:t>
      </w:r>
      <w:r>
        <w:rPr>
          <w:color w:val="231F20"/>
          <w:sz w:val="19"/>
        </w:rPr>
        <w:t>A.</w:t>
      </w:r>
      <w:r>
        <w:rPr>
          <w:color w:val="231F20"/>
          <w:spacing w:val="-5"/>
          <w:sz w:val="19"/>
        </w:rPr>
        <w:t> </w:t>
      </w:r>
      <w:r>
        <w:rPr>
          <w:color w:val="231F20"/>
          <w:sz w:val="19"/>
        </w:rPr>
        <w:t>Sandoval R., B. Coutiño E., E. Cervantes M., C. Reyes M., y L. Nava </w:t>
      </w:r>
      <w:r>
        <w:rPr>
          <w:color w:val="231F20"/>
          <w:spacing w:val="-13"/>
          <w:sz w:val="19"/>
        </w:rPr>
        <w:t>V. </w:t>
      </w:r>
      <w:r>
        <w:rPr>
          <w:color w:val="231F20"/>
          <w:sz w:val="19"/>
        </w:rPr>
        <w:t>2003. </w:t>
      </w:r>
      <w:r>
        <w:rPr>
          <w:color w:val="231F20"/>
          <w:spacing w:val="-4"/>
          <w:sz w:val="19"/>
        </w:rPr>
        <w:t>V-538 </w:t>
      </w:r>
      <w:r>
        <w:rPr>
          <w:color w:val="231F20"/>
          <w:sz w:val="19"/>
        </w:rPr>
        <w:t>C y </w:t>
      </w:r>
      <w:r>
        <w:rPr>
          <w:color w:val="231F20"/>
          <w:spacing w:val="-4"/>
          <w:sz w:val="19"/>
        </w:rPr>
        <w:t>V-537 </w:t>
      </w:r>
      <w:r>
        <w:rPr>
          <w:color w:val="231F20"/>
          <w:sz w:val="19"/>
        </w:rPr>
        <w:t>C nuevas variedades de maíz con alta calidad de proteína para el trópico mexicano. Revista Fitotecnia Mexicana 26:</w:t>
      </w:r>
      <w:r>
        <w:rPr>
          <w:color w:val="231F20"/>
          <w:spacing w:val="1"/>
          <w:sz w:val="19"/>
        </w:rPr>
        <w:t> </w:t>
      </w:r>
      <w:r>
        <w:rPr>
          <w:color w:val="231F20"/>
          <w:sz w:val="19"/>
        </w:rPr>
        <w:t>213-214.</w:t>
      </w:r>
    </w:p>
    <w:p>
      <w:pPr>
        <w:pStyle w:val="BodyText"/>
        <w:spacing w:before="10"/>
        <w:rPr>
          <w:sz w:val="19"/>
        </w:rPr>
      </w:pPr>
    </w:p>
    <w:p>
      <w:pPr>
        <w:spacing w:before="0"/>
        <w:ind w:left="1270" w:right="0" w:firstLine="0"/>
        <w:jc w:val="both"/>
        <w:rPr>
          <w:sz w:val="19"/>
        </w:rPr>
      </w:pPr>
      <w:r>
        <w:rPr>
          <w:color w:val="231F20"/>
          <w:sz w:val="19"/>
        </w:rPr>
        <w:t>González T., E. Monteverde., C. Marín., y I. P. Madriz M. 2007. Comparación de tres métodos para estimar</w:t>
      </w:r>
    </w:p>
    <w:p>
      <w:pPr>
        <w:spacing w:before="9"/>
        <w:ind w:left="1270" w:right="0" w:firstLine="0"/>
        <w:jc w:val="both"/>
        <w:rPr>
          <w:sz w:val="19"/>
        </w:rPr>
      </w:pPr>
      <w:r>
        <w:rPr>
          <w:color w:val="231F20"/>
          <w:sz w:val="19"/>
        </w:rPr>
        <w:t>estabilidad del rendimiento en nueve variedades de algodón. Interciencia 32: 344-348.</w:t>
      </w:r>
    </w:p>
    <w:p>
      <w:pPr>
        <w:pStyle w:val="BodyText"/>
        <w:spacing w:before="7"/>
        <w:rPr>
          <w:sz w:val="20"/>
        </w:rPr>
      </w:pPr>
    </w:p>
    <w:p>
      <w:pPr>
        <w:spacing w:line="249" w:lineRule="auto" w:before="0"/>
        <w:ind w:left="1270" w:right="1268" w:firstLine="0"/>
        <w:jc w:val="both"/>
        <w:rPr>
          <w:sz w:val="19"/>
        </w:rPr>
      </w:pPr>
      <w:r>
        <w:rPr>
          <w:color w:val="231F20"/>
          <w:sz w:val="19"/>
        </w:rPr>
        <w:t>Hernández, H. H., and L. S. Bates. 1969. A modified method for rapid tryptophan analysis of maize. Centro Internacional de Mejoramiento de Maíz y Trigo. México City, México. Res. Bull. No.13.</w:t>
      </w:r>
    </w:p>
    <w:p>
      <w:pPr>
        <w:pStyle w:val="BodyText"/>
        <w:spacing w:before="10"/>
        <w:rPr>
          <w:sz w:val="19"/>
        </w:rPr>
      </w:pPr>
    </w:p>
    <w:p>
      <w:pPr>
        <w:spacing w:before="0"/>
        <w:ind w:left="1270" w:right="0" w:firstLine="0"/>
        <w:jc w:val="both"/>
        <w:rPr>
          <w:sz w:val="19"/>
        </w:rPr>
      </w:pPr>
      <w:r>
        <w:rPr>
          <w:color w:val="231F20"/>
          <w:sz w:val="19"/>
        </w:rPr>
        <w:t>Kempton, B. A. 1984. The use of biplots in interpreting variety by environment interactions. J. Agric. Sci.</w:t>
      </w:r>
    </w:p>
    <w:p>
      <w:pPr>
        <w:spacing w:before="9"/>
        <w:ind w:left="1270" w:right="0" w:firstLine="0"/>
        <w:jc w:val="both"/>
        <w:rPr>
          <w:sz w:val="19"/>
        </w:rPr>
      </w:pPr>
      <w:r>
        <w:rPr>
          <w:color w:val="231F20"/>
          <w:sz w:val="19"/>
        </w:rPr>
        <w:t>Camb. 103: 123-135.</w:t>
      </w:r>
    </w:p>
    <w:p>
      <w:pPr>
        <w:pStyle w:val="BodyText"/>
        <w:spacing w:before="7"/>
        <w:rPr>
          <w:sz w:val="20"/>
        </w:rPr>
      </w:pPr>
    </w:p>
    <w:p>
      <w:pPr>
        <w:spacing w:line="249" w:lineRule="auto" w:before="0"/>
        <w:ind w:left="1270" w:right="1268" w:firstLine="0"/>
        <w:jc w:val="both"/>
        <w:rPr>
          <w:sz w:val="19"/>
        </w:rPr>
      </w:pPr>
      <w:r>
        <w:rPr>
          <w:color w:val="231F20"/>
          <w:sz w:val="19"/>
        </w:rPr>
        <w:t>Lin, C. S., M. R. Binns, and L. P. Lefkovitch. 1986. Stability analysis: where do we stand? Crop Sci. 26: 894- 900.</w:t>
      </w:r>
    </w:p>
    <w:p>
      <w:pPr>
        <w:pStyle w:val="BodyText"/>
        <w:spacing w:before="10"/>
        <w:rPr>
          <w:sz w:val="19"/>
        </w:rPr>
      </w:pPr>
    </w:p>
    <w:p>
      <w:pPr>
        <w:spacing w:line="249" w:lineRule="auto" w:before="0"/>
        <w:ind w:left="1270" w:right="1268" w:firstLine="0"/>
        <w:jc w:val="both"/>
        <w:rPr>
          <w:sz w:val="19"/>
        </w:rPr>
      </w:pPr>
      <w:r>
        <w:rPr>
          <w:color w:val="231F20"/>
          <w:sz w:val="19"/>
        </w:rPr>
        <w:t>Márquez</w:t>
      </w:r>
      <w:r>
        <w:rPr>
          <w:color w:val="231F20"/>
          <w:spacing w:val="-3"/>
          <w:sz w:val="19"/>
        </w:rPr>
        <w:t> </w:t>
      </w:r>
      <w:r>
        <w:rPr>
          <w:color w:val="231F20"/>
          <w:sz w:val="19"/>
        </w:rPr>
        <w:t>S.,</w:t>
      </w:r>
      <w:r>
        <w:rPr>
          <w:color w:val="231F20"/>
          <w:spacing w:val="-2"/>
          <w:sz w:val="19"/>
        </w:rPr>
        <w:t> </w:t>
      </w:r>
      <w:r>
        <w:rPr>
          <w:color w:val="231F20"/>
          <w:spacing w:val="-8"/>
          <w:sz w:val="19"/>
        </w:rPr>
        <w:t>F.</w:t>
      </w:r>
      <w:r>
        <w:rPr>
          <w:color w:val="231F20"/>
          <w:spacing w:val="-2"/>
          <w:sz w:val="19"/>
        </w:rPr>
        <w:t> </w:t>
      </w:r>
      <w:r>
        <w:rPr>
          <w:color w:val="231F20"/>
          <w:sz w:val="19"/>
        </w:rPr>
        <w:t>2008.</w:t>
      </w:r>
      <w:r>
        <w:rPr>
          <w:color w:val="231F20"/>
          <w:spacing w:val="-2"/>
          <w:sz w:val="19"/>
        </w:rPr>
        <w:t> </w:t>
      </w:r>
      <w:r>
        <w:rPr>
          <w:color w:val="231F20"/>
          <w:sz w:val="19"/>
        </w:rPr>
        <w:t>Endogamia</w:t>
      </w:r>
      <w:r>
        <w:rPr>
          <w:color w:val="231F20"/>
          <w:spacing w:val="-3"/>
          <w:sz w:val="19"/>
        </w:rPr>
        <w:t> </w:t>
      </w:r>
      <w:r>
        <w:rPr>
          <w:color w:val="231F20"/>
          <w:sz w:val="19"/>
        </w:rPr>
        <w:t>y</w:t>
      </w:r>
      <w:r>
        <w:rPr>
          <w:color w:val="231F20"/>
          <w:spacing w:val="-2"/>
          <w:sz w:val="19"/>
        </w:rPr>
        <w:t> </w:t>
      </w:r>
      <w:r>
        <w:rPr>
          <w:color w:val="231F20"/>
          <w:sz w:val="19"/>
        </w:rPr>
        <w:t>predicción</w:t>
      </w:r>
      <w:r>
        <w:rPr>
          <w:color w:val="231F20"/>
          <w:spacing w:val="-3"/>
          <w:sz w:val="19"/>
        </w:rPr>
        <w:t> </w:t>
      </w:r>
      <w:r>
        <w:rPr>
          <w:color w:val="231F20"/>
          <w:sz w:val="19"/>
        </w:rPr>
        <w:t>de</w:t>
      </w:r>
      <w:r>
        <w:rPr>
          <w:color w:val="231F20"/>
          <w:spacing w:val="-3"/>
          <w:sz w:val="19"/>
        </w:rPr>
        <w:t> </w:t>
      </w:r>
      <w:r>
        <w:rPr>
          <w:color w:val="231F20"/>
          <w:sz w:val="19"/>
        </w:rPr>
        <w:t>sintéticos</w:t>
      </w:r>
      <w:r>
        <w:rPr>
          <w:color w:val="231F20"/>
          <w:spacing w:val="-3"/>
          <w:sz w:val="19"/>
        </w:rPr>
        <w:t> </w:t>
      </w:r>
      <w:r>
        <w:rPr>
          <w:color w:val="231F20"/>
          <w:sz w:val="19"/>
        </w:rPr>
        <w:t>de</w:t>
      </w:r>
      <w:r>
        <w:rPr>
          <w:color w:val="231F20"/>
          <w:spacing w:val="-3"/>
          <w:sz w:val="19"/>
        </w:rPr>
        <w:t> </w:t>
      </w:r>
      <w:r>
        <w:rPr>
          <w:color w:val="231F20"/>
          <w:sz w:val="19"/>
        </w:rPr>
        <w:t>maíz</w:t>
      </w:r>
      <w:r>
        <w:rPr>
          <w:color w:val="231F20"/>
          <w:spacing w:val="-3"/>
          <w:sz w:val="19"/>
        </w:rPr>
        <w:t> </w:t>
      </w:r>
      <w:r>
        <w:rPr>
          <w:color w:val="231F20"/>
          <w:sz w:val="19"/>
        </w:rPr>
        <w:t>de</w:t>
      </w:r>
      <w:r>
        <w:rPr>
          <w:color w:val="231F20"/>
          <w:spacing w:val="-3"/>
          <w:sz w:val="19"/>
        </w:rPr>
        <w:t> </w:t>
      </w:r>
      <w:r>
        <w:rPr>
          <w:color w:val="231F20"/>
          <w:sz w:val="19"/>
        </w:rPr>
        <w:t>cruzas</w:t>
      </w:r>
      <w:r>
        <w:rPr>
          <w:color w:val="231F20"/>
          <w:spacing w:val="-3"/>
          <w:sz w:val="19"/>
        </w:rPr>
        <w:t> </w:t>
      </w:r>
      <w:r>
        <w:rPr>
          <w:color w:val="231F20"/>
          <w:sz w:val="19"/>
        </w:rPr>
        <w:t>dobles.</w:t>
      </w:r>
      <w:r>
        <w:rPr>
          <w:color w:val="231F20"/>
          <w:spacing w:val="-3"/>
          <w:sz w:val="19"/>
        </w:rPr>
        <w:t> </w:t>
      </w:r>
      <w:r>
        <w:rPr>
          <w:color w:val="231F20"/>
          <w:sz w:val="19"/>
        </w:rPr>
        <w:t>Revista</w:t>
      </w:r>
      <w:r>
        <w:rPr>
          <w:color w:val="231F20"/>
          <w:spacing w:val="-3"/>
          <w:sz w:val="19"/>
        </w:rPr>
        <w:t> </w:t>
      </w:r>
      <w:r>
        <w:rPr>
          <w:color w:val="231F20"/>
          <w:sz w:val="19"/>
        </w:rPr>
        <w:t>Fitotecnia</w:t>
      </w:r>
      <w:r>
        <w:rPr>
          <w:color w:val="231F20"/>
          <w:spacing w:val="-3"/>
          <w:sz w:val="19"/>
        </w:rPr>
        <w:t> </w:t>
      </w:r>
      <w:r>
        <w:rPr>
          <w:color w:val="231F20"/>
          <w:sz w:val="19"/>
        </w:rPr>
        <w:t>Mexi- cana 31: 1-4.</w:t>
      </w:r>
    </w:p>
    <w:p>
      <w:pPr>
        <w:spacing w:after="0" w:line="249" w:lineRule="auto"/>
        <w:jc w:val="both"/>
        <w:rPr>
          <w:sz w:val="19"/>
        </w:rPr>
        <w:sectPr>
          <w:pgSz w:w="10920" w:h="13080"/>
          <w:pgMar w:header="0" w:footer="1025" w:top="420" w:bottom="1220" w:left="0" w:right="0"/>
        </w:sectPr>
      </w:pPr>
    </w:p>
    <w:p>
      <w:pPr>
        <w:pStyle w:val="BodyText"/>
        <w:rPr>
          <w:sz w:val="20"/>
        </w:rPr>
      </w:pPr>
    </w:p>
    <w:p>
      <w:pPr>
        <w:pStyle w:val="BodyText"/>
        <w:rPr>
          <w:sz w:val="20"/>
        </w:rPr>
      </w:pPr>
    </w:p>
    <w:p>
      <w:pPr>
        <w:pStyle w:val="BodyText"/>
        <w:spacing w:before="2"/>
        <w:rPr>
          <w:sz w:val="23"/>
        </w:rPr>
      </w:pPr>
    </w:p>
    <w:p>
      <w:pPr>
        <w:spacing w:line="249" w:lineRule="auto" w:before="76"/>
        <w:ind w:left="1270" w:right="1268" w:firstLine="0"/>
        <w:jc w:val="both"/>
        <w:rPr>
          <w:sz w:val="19"/>
        </w:rPr>
      </w:pPr>
      <w:r>
        <w:rPr>
          <w:color w:val="231F20"/>
          <w:sz w:val="19"/>
        </w:rPr>
        <w:t>Márquez S., </w:t>
      </w:r>
      <w:r>
        <w:rPr>
          <w:color w:val="231F20"/>
          <w:spacing w:val="-6"/>
          <w:sz w:val="19"/>
        </w:rPr>
        <w:t>F., </w:t>
      </w:r>
      <w:r>
        <w:rPr>
          <w:color w:val="231F20"/>
          <w:spacing w:val="-11"/>
          <w:sz w:val="19"/>
        </w:rPr>
        <w:t>P. </w:t>
      </w:r>
      <w:r>
        <w:rPr>
          <w:color w:val="231F20"/>
          <w:sz w:val="19"/>
        </w:rPr>
        <w:t>Ramírez </w:t>
      </w:r>
      <w:r>
        <w:rPr>
          <w:color w:val="231F20"/>
          <w:spacing w:val="-9"/>
          <w:sz w:val="19"/>
        </w:rPr>
        <w:t>V., </w:t>
      </w:r>
      <w:r>
        <w:rPr>
          <w:color w:val="231F20"/>
          <w:sz w:val="19"/>
        </w:rPr>
        <w:t>y H. S. Córdova O. 1983. </w:t>
      </w:r>
      <w:r>
        <w:rPr>
          <w:color w:val="231F20"/>
          <w:spacing w:val="-3"/>
          <w:sz w:val="19"/>
        </w:rPr>
        <w:t>Variedades </w:t>
      </w:r>
      <w:r>
        <w:rPr>
          <w:color w:val="231F20"/>
          <w:sz w:val="19"/>
        </w:rPr>
        <w:t>sintéticas de maíz. Colegio de Postgradua- dos, Universidad Autónoma Chapingo, México. 70 p.</w:t>
      </w:r>
    </w:p>
    <w:p>
      <w:pPr>
        <w:pStyle w:val="BodyText"/>
        <w:spacing w:before="10"/>
        <w:rPr>
          <w:sz w:val="19"/>
        </w:rPr>
      </w:pPr>
    </w:p>
    <w:p>
      <w:pPr>
        <w:spacing w:before="0"/>
        <w:ind w:left="1270" w:right="0" w:firstLine="0"/>
        <w:jc w:val="both"/>
        <w:rPr>
          <w:sz w:val="19"/>
        </w:rPr>
      </w:pPr>
      <w:r>
        <w:rPr>
          <w:color w:val="231F20"/>
          <w:sz w:val="19"/>
        </w:rPr>
        <w:t>Mejía C., J., y J. Molina G. 2003. Cambios de estabilidad en el rendimiento de variedades tropicales de  maíz.</w:t>
      </w:r>
    </w:p>
    <w:p>
      <w:pPr>
        <w:spacing w:before="9"/>
        <w:ind w:left="1270" w:right="0" w:firstLine="0"/>
        <w:jc w:val="both"/>
        <w:rPr>
          <w:sz w:val="19"/>
        </w:rPr>
      </w:pPr>
      <w:r>
        <w:rPr>
          <w:color w:val="231F20"/>
          <w:sz w:val="19"/>
        </w:rPr>
        <w:t>Revista Fitotecnia Mexicana 26: 89-94.</w:t>
      </w:r>
    </w:p>
    <w:p>
      <w:pPr>
        <w:pStyle w:val="BodyText"/>
        <w:spacing w:before="7"/>
        <w:rPr>
          <w:sz w:val="20"/>
        </w:rPr>
      </w:pPr>
    </w:p>
    <w:p>
      <w:pPr>
        <w:spacing w:line="249" w:lineRule="auto" w:before="0"/>
        <w:ind w:left="1270" w:right="1268" w:firstLine="0"/>
        <w:jc w:val="both"/>
        <w:rPr>
          <w:sz w:val="19"/>
        </w:rPr>
      </w:pPr>
      <w:r>
        <w:rPr>
          <w:color w:val="231F20"/>
          <w:sz w:val="19"/>
        </w:rPr>
        <w:t>Ortega,</w:t>
      </w:r>
      <w:r>
        <w:rPr>
          <w:color w:val="231F20"/>
          <w:spacing w:val="-5"/>
          <w:sz w:val="19"/>
        </w:rPr>
        <w:t> </w:t>
      </w:r>
      <w:r>
        <w:rPr>
          <w:color w:val="231F20"/>
          <w:sz w:val="19"/>
        </w:rPr>
        <w:t>C.</w:t>
      </w:r>
      <w:r>
        <w:rPr>
          <w:color w:val="231F20"/>
          <w:spacing w:val="-16"/>
          <w:sz w:val="19"/>
        </w:rPr>
        <w:t> </w:t>
      </w:r>
      <w:r>
        <w:rPr>
          <w:color w:val="231F20"/>
          <w:sz w:val="19"/>
        </w:rPr>
        <w:t>A.,</w:t>
      </w:r>
      <w:r>
        <w:rPr>
          <w:color w:val="231F20"/>
          <w:spacing w:val="-5"/>
          <w:sz w:val="19"/>
        </w:rPr>
        <w:t> </w:t>
      </w:r>
      <w:r>
        <w:rPr>
          <w:color w:val="231F20"/>
          <w:sz w:val="19"/>
        </w:rPr>
        <w:t>E.</w:t>
      </w:r>
      <w:r>
        <w:rPr>
          <w:color w:val="231F20"/>
          <w:spacing w:val="-9"/>
          <w:sz w:val="19"/>
        </w:rPr>
        <w:t> </w:t>
      </w:r>
      <w:r>
        <w:rPr>
          <w:color w:val="231F20"/>
          <w:sz w:val="19"/>
        </w:rPr>
        <w:t>Villegas,</w:t>
      </w:r>
      <w:r>
        <w:rPr>
          <w:color w:val="231F20"/>
          <w:spacing w:val="-5"/>
          <w:sz w:val="19"/>
        </w:rPr>
        <w:t> </w:t>
      </w:r>
      <w:r>
        <w:rPr>
          <w:color w:val="231F20"/>
          <w:sz w:val="19"/>
        </w:rPr>
        <w:t>and</w:t>
      </w:r>
      <w:r>
        <w:rPr>
          <w:color w:val="231F20"/>
          <w:spacing w:val="-5"/>
          <w:sz w:val="19"/>
        </w:rPr>
        <w:t> </w:t>
      </w:r>
      <w:r>
        <w:rPr>
          <w:color w:val="231F20"/>
          <w:sz w:val="19"/>
        </w:rPr>
        <w:t>S.</w:t>
      </w:r>
      <w:r>
        <w:rPr>
          <w:color w:val="231F20"/>
          <w:spacing w:val="-5"/>
          <w:sz w:val="19"/>
        </w:rPr>
        <w:t> </w:t>
      </w:r>
      <w:r>
        <w:rPr>
          <w:color w:val="231F20"/>
          <w:sz w:val="19"/>
        </w:rPr>
        <w:t>K.</w:t>
      </w:r>
      <w:r>
        <w:rPr>
          <w:color w:val="231F20"/>
          <w:spacing w:val="-9"/>
          <w:sz w:val="19"/>
        </w:rPr>
        <w:t> </w:t>
      </w:r>
      <w:r>
        <w:rPr>
          <w:color w:val="231F20"/>
          <w:spacing w:val="-4"/>
          <w:sz w:val="19"/>
        </w:rPr>
        <w:t>Vasal.</w:t>
      </w:r>
      <w:r>
        <w:rPr>
          <w:color w:val="231F20"/>
          <w:spacing w:val="-5"/>
          <w:sz w:val="19"/>
        </w:rPr>
        <w:t> </w:t>
      </w:r>
      <w:r>
        <w:rPr>
          <w:color w:val="231F20"/>
          <w:sz w:val="19"/>
        </w:rPr>
        <w:t>1987.</w:t>
      </w:r>
      <w:r>
        <w:rPr>
          <w:color w:val="231F20"/>
          <w:spacing w:val="-16"/>
          <w:sz w:val="19"/>
        </w:rPr>
        <w:t> </w:t>
      </w:r>
      <w:r>
        <w:rPr>
          <w:color w:val="231F20"/>
          <w:sz w:val="19"/>
        </w:rPr>
        <w:t>A</w:t>
      </w:r>
      <w:r>
        <w:rPr>
          <w:color w:val="231F20"/>
          <w:spacing w:val="-16"/>
          <w:sz w:val="19"/>
        </w:rPr>
        <w:t> </w:t>
      </w:r>
      <w:r>
        <w:rPr>
          <w:color w:val="231F20"/>
          <w:sz w:val="19"/>
        </w:rPr>
        <w:t>comparative</w:t>
      </w:r>
      <w:r>
        <w:rPr>
          <w:color w:val="231F20"/>
          <w:spacing w:val="-5"/>
          <w:sz w:val="19"/>
        </w:rPr>
        <w:t> </w:t>
      </w:r>
      <w:r>
        <w:rPr>
          <w:color w:val="231F20"/>
          <w:sz w:val="19"/>
        </w:rPr>
        <w:t>study</w:t>
      </w:r>
      <w:r>
        <w:rPr>
          <w:color w:val="231F20"/>
          <w:spacing w:val="-5"/>
          <w:sz w:val="19"/>
        </w:rPr>
        <w:t> </w:t>
      </w:r>
      <w:r>
        <w:rPr>
          <w:color w:val="231F20"/>
          <w:sz w:val="19"/>
        </w:rPr>
        <w:t>of</w:t>
      </w:r>
      <w:r>
        <w:rPr>
          <w:color w:val="231F20"/>
          <w:spacing w:val="-5"/>
          <w:sz w:val="19"/>
        </w:rPr>
        <w:t> </w:t>
      </w:r>
      <w:r>
        <w:rPr>
          <w:color w:val="231F20"/>
          <w:sz w:val="19"/>
        </w:rPr>
        <w:t>protein</w:t>
      </w:r>
      <w:r>
        <w:rPr>
          <w:color w:val="231F20"/>
          <w:spacing w:val="-5"/>
          <w:sz w:val="19"/>
        </w:rPr>
        <w:t> </w:t>
      </w:r>
      <w:r>
        <w:rPr>
          <w:color w:val="231F20"/>
          <w:sz w:val="19"/>
        </w:rPr>
        <w:t>changes</w:t>
      </w:r>
      <w:r>
        <w:rPr>
          <w:color w:val="231F20"/>
          <w:spacing w:val="-5"/>
          <w:sz w:val="19"/>
        </w:rPr>
        <w:t> </w:t>
      </w:r>
      <w:r>
        <w:rPr>
          <w:color w:val="231F20"/>
          <w:sz w:val="19"/>
        </w:rPr>
        <w:t>in</w:t>
      </w:r>
      <w:r>
        <w:rPr>
          <w:color w:val="231F20"/>
          <w:spacing w:val="-5"/>
          <w:sz w:val="19"/>
        </w:rPr>
        <w:t> </w:t>
      </w:r>
      <w:r>
        <w:rPr>
          <w:color w:val="231F20"/>
          <w:sz w:val="19"/>
        </w:rPr>
        <w:t>normal</w:t>
      </w:r>
      <w:r>
        <w:rPr>
          <w:color w:val="231F20"/>
          <w:spacing w:val="-5"/>
          <w:sz w:val="19"/>
        </w:rPr>
        <w:t> </w:t>
      </w:r>
      <w:r>
        <w:rPr>
          <w:color w:val="231F20"/>
          <w:sz w:val="19"/>
        </w:rPr>
        <w:t>and</w:t>
      </w:r>
      <w:r>
        <w:rPr>
          <w:color w:val="231F20"/>
          <w:spacing w:val="-5"/>
          <w:sz w:val="19"/>
        </w:rPr>
        <w:t> </w:t>
      </w:r>
      <w:r>
        <w:rPr>
          <w:color w:val="231F20"/>
          <w:sz w:val="19"/>
        </w:rPr>
        <w:t>quality protein maize during tortilla making. </w:t>
      </w:r>
      <w:r>
        <w:rPr>
          <w:color w:val="231F20"/>
          <w:spacing w:val="-3"/>
          <w:sz w:val="19"/>
        </w:rPr>
        <w:t>Cer. </w:t>
      </w:r>
      <w:r>
        <w:rPr>
          <w:color w:val="231F20"/>
          <w:sz w:val="19"/>
        </w:rPr>
        <w:t>Chem. 63:</w:t>
      </w:r>
      <w:r>
        <w:rPr>
          <w:color w:val="231F20"/>
          <w:spacing w:val="3"/>
          <w:sz w:val="19"/>
        </w:rPr>
        <w:t> </w:t>
      </w:r>
      <w:r>
        <w:rPr>
          <w:color w:val="231F20"/>
          <w:sz w:val="19"/>
        </w:rPr>
        <w:t>446-451.</w:t>
      </w:r>
    </w:p>
    <w:p>
      <w:pPr>
        <w:pStyle w:val="BodyText"/>
        <w:spacing w:before="10"/>
        <w:rPr>
          <w:sz w:val="19"/>
        </w:rPr>
      </w:pPr>
    </w:p>
    <w:p>
      <w:pPr>
        <w:spacing w:line="249" w:lineRule="auto" w:before="0"/>
        <w:ind w:left="1270" w:right="1268" w:firstLine="0"/>
        <w:jc w:val="both"/>
        <w:rPr>
          <w:sz w:val="19"/>
        </w:rPr>
      </w:pPr>
      <w:r>
        <w:rPr>
          <w:color w:val="231F20"/>
          <w:sz w:val="19"/>
        </w:rPr>
        <w:t>Padilla G., J., J. J. Sánchez G., J. L. Ramírez D., J. </w:t>
      </w:r>
      <w:r>
        <w:rPr>
          <w:color w:val="231F20"/>
          <w:spacing w:val="-8"/>
          <w:sz w:val="19"/>
        </w:rPr>
        <w:t>F. </w:t>
      </w:r>
      <w:r>
        <w:rPr>
          <w:color w:val="231F20"/>
          <w:sz w:val="19"/>
        </w:rPr>
        <w:t>Casas S., J. Ron </w:t>
      </w:r>
      <w:r>
        <w:rPr>
          <w:color w:val="231F20"/>
          <w:spacing w:val="-8"/>
          <w:sz w:val="19"/>
        </w:rPr>
        <w:t>P., </w:t>
      </w:r>
      <w:r>
        <w:rPr>
          <w:color w:val="231F20"/>
          <w:sz w:val="19"/>
        </w:rPr>
        <w:t>M. Chuela B., y M. Aguilar S. 2002. Medias y varianzas en variedades sintéticas de maíz con diferentes fuentes de germoplasma de teocintle. Re- vista Fitotecnia Mexicana 25: 401-409.</w:t>
      </w:r>
    </w:p>
    <w:p>
      <w:pPr>
        <w:pStyle w:val="BodyText"/>
        <w:spacing w:before="10"/>
        <w:rPr>
          <w:sz w:val="19"/>
        </w:rPr>
      </w:pPr>
    </w:p>
    <w:p>
      <w:pPr>
        <w:spacing w:line="249" w:lineRule="auto" w:before="0"/>
        <w:ind w:left="1270" w:right="1268" w:firstLine="0"/>
        <w:jc w:val="both"/>
        <w:rPr>
          <w:sz w:val="19"/>
        </w:rPr>
      </w:pPr>
      <w:r>
        <w:rPr>
          <w:color w:val="231F20"/>
          <w:sz w:val="19"/>
        </w:rPr>
        <w:t>Salas.,</w:t>
      </w:r>
      <w:r>
        <w:rPr>
          <w:color w:val="231F20"/>
          <w:spacing w:val="-4"/>
          <w:sz w:val="19"/>
        </w:rPr>
        <w:t> </w:t>
      </w:r>
      <w:r>
        <w:rPr>
          <w:color w:val="231F20"/>
          <w:sz w:val="19"/>
        </w:rPr>
        <w:t>E.,</w:t>
      </w:r>
      <w:r>
        <w:rPr>
          <w:color w:val="231F20"/>
          <w:spacing w:val="-4"/>
          <w:sz w:val="19"/>
        </w:rPr>
        <w:t> </w:t>
      </w:r>
      <w:r>
        <w:rPr>
          <w:color w:val="231F20"/>
          <w:sz w:val="19"/>
        </w:rPr>
        <w:t>H.</w:t>
      </w:r>
      <w:r>
        <w:rPr>
          <w:color w:val="231F20"/>
          <w:spacing w:val="-5"/>
          <w:sz w:val="19"/>
        </w:rPr>
        <w:t> </w:t>
      </w:r>
      <w:r>
        <w:rPr>
          <w:color w:val="231F20"/>
          <w:sz w:val="19"/>
        </w:rPr>
        <w:t>Juárez.,</w:t>
      </w:r>
      <w:r>
        <w:rPr>
          <w:color w:val="231F20"/>
          <w:spacing w:val="-5"/>
          <w:sz w:val="19"/>
        </w:rPr>
        <w:t> </w:t>
      </w:r>
      <w:r>
        <w:rPr>
          <w:color w:val="231F20"/>
          <w:sz w:val="19"/>
        </w:rPr>
        <w:t>D.</w:t>
      </w:r>
      <w:r>
        <w:rPr>
          <w:color w:val="231F20"/>
          <w:spacing w:val="-5"/>
          <w:sz w:val="19"/>
        </w:rPr>
        <w:t> </w:t>
      </w:r>
      <w:r>
        <w:rPr>
          <w:color w:val="231F20"/>
          <w:sz w:val="19"/>
        </w:rPr>
        <w:t>Giraldo.,</w:t>
      </w:r>
      <w:r>
        <w:rPr>
          <w:color w:val="231F20"/>
          <w:spacing w:val="-8"/>
          <w:sz w:val="19"/>
        </w:rPr>
        <w:t> </w:t>
      </w:r>
      <w:r>
        <w:rPr>
          <w:color w:val="231F20"/>
          <w:spacing w:val="-9"/>
          <w:sz w:val="19"/>
        </w:rPr>
        <w:t>W.</w:t>
      </w:r>
      <w:r>
        <w:rPr>
          <w:color w:val="231F20"/>
          <w:spacing w:val="-14"/>
          <w:sz w:val="19"/>
        </w:rPr>
        <w:t> </w:t>
      </w:r>
      <w:r>
        <w:rPr>
          <w:color w:val="231F20"/>
          <w:sz w:val="19"/>
        </w:rPr>
        <w:t>Amorós.,</w:t>
      </w:r>
      <w:r>
        <w:rPr>
          <w:color w:val="231F20"/>
          <w:spacing w:val="-5"/>
          <w:sz w:val="19"/>
        </w:rPr>
        <w:t> </w:t>
      </w:r>
      <w:r>
        <w:rPr>
          <w:color w:val="231F20"/>
          <w:sz w:val="19"/>
        </w:rPr>
        <w:t>R.</w:t>
      </w:r>
      <w:r>
        <w:rPr>
          <w:color w:val="231F20"/>
          <w:spacing w:val="-5"/>
          <w:sz w:val="19"/>
        </w:rPr>
        <w:t> </w:t>
      </w:r>
      <w:r>
        <w:rPr>
          <w:color w:val="231F20"/>
          <w:sz w:val="19"/>
        </w:rPr>
        <w:t>Simón.,</w:t>
      </w:r>
      <w:r>
        <w:rPr>
          <w:color w:val="231F20"/>
          <w:spacing w:val="-5"/>
          <w:sz w:val="19"/>
        </w:rPr>
        <w:t> </w:t>
      </w:r>
      <w:r>
        <w:rPr>
          <w:color w:val="231F20"/>
          <w:sz w:val="19"/>
        </w:rPr>
        <w:t>M.</w:t>
      </w:r>
      <w:r>
        <w:rPr>
          <w:color w:val="231F20"/>
          <w:spacing w:val="-5"/>
          <w:sz w:val="19"/>
        </w:rPr>
        <w:t> </w:t>
      </w:r>
      <w:r>
        <w:rPr>
          <w:color w:val="231F20"/>
          <w:sz w:val="19"/>
        </w:rPr>
        <w:t>Bonierbale.</w:t>
      </w:r>
      <w:r>
        <w:rPr>
          <w:color w:val="231F20"/>
          <w:spacing w:val="-5"/>
          <w:sz w:val="19"/>
        </w:rPr>
        <w:t> </w:t>
      </w:r>
      <w:r>
        <w:rPr>
          <w:color w:val="231F20"/>
          <w:sz w:val="19"/>
        </w:rPr>
        <w:t>2009.</w:t>
      </w:r>
      <w:r>
        <w:rPr>
          <w:color w:val="231F20"/>
          <w:spacing w:val="-5"/>
          <w:sz w:val="19"/>
        </w:rPr>
        <w:t> </w:t>
      </w:r>
      <w:r>
        <w:rPr>
          <w:color w:val="231F20"/>
          <w:sz w:val="19"/>
        </w:rPr>
        <w:t>Modelos</w:t>
      </w:r>
      <w:r>
        <w:rPr>
          <w:color w:val="231F20"/>
          <w:spacing w:val="-5"/>
          <w:sz w:val="19"/>
        </w:rPr>
        <w:t> </w:t>
      </w:r>
      <w:r>
        <w:rPr>
          <w:color w:val="231F20"/>
          <w:sz w:val="19"/>
        </w:rPr>
        <w:t>de</w:t>
      </w:r>
      <w:r>
        <w:rPr>
          <w:color w:val="231F20"/>
          <w:spacing w:val="-5"/>
          <w:sz w:val="19"/>
        </w:rPr>
        <w:t> </w:t>
      </w:r>
      <w:r>
        <w:rPr>
          <w:color w:val="231F20"/>
          <w:sz w:val="19"/>
        </w:rPr>
        <w:t>análisis</w:t>
      </w:r>
      <w:r>
        <w:rPr>
          <w:color w:val="231F20"/>
          <w:spacing w:val="-5"/>
          <w:sz w:val="19"/>
        </w:rPr>
        <w:t> </w:t>
      </w:r>
      <w:r>
        <w:rPr>
          <w:color w:val="231F20"/>
          <w:sz w:val="19"/>
        </w:rPr>
        <w:t>de</w:t>
      </w:r>
      <w:r>
        <w:rPr>
          <w:color w:val="231F20"/>
          <w:spacing w:val="-5"/>
          <w:sz w:val="19"/>
        </w:rPr>
        <w:t> </w:t>
      </w:r>
      <w:r>
        <w:rPr>
          <w:color w:val="231F20"/>
          <w:sz w:val="19"/>
        </w:rPr>
        <w:t>estabi- lidad y definición de ambientes basados en GIS. Centro Internacional de la Papa. Lima, Perú. 63</w:t>
      </w:r>
      <w:r>
        <w:rPr>
          <w:color w:val="231F20"/>
          <w:spacing w:val="-10"/>
          <w:sz w:val="19"/>
        </w:rPr>
        <w:t> </w:t>
      </w:r>
      <w:r>
        <w:rPr>
          <w:color w:val="231F20"/>
          <w:sz w:val="19"/>
        </w:rPr>
        <w:t>p.</w:t>
      </w:r>
    </w:p>
    <w:p>
      <w:pPr>
        <w:pStyle w:val="BodyText"/>
        <w:spacing w:before="10"/>
        <w:rPr>
          <w:sz w:val="19"/>
        </w:rPr>
      </w:pPr>
    </w:p>
    <w:p>
      <w:pPr>
        <w:spacing w:before="0"/>
        <w:ind w:left="1270" w:right="0" w:firstLine="0"/>
        <w:jc w:val="both"/>
        <w:rPr>
          <w:sz w:val="19"/>
        </w:rPr>
      </w:pPr>
      <w:r>
        <w:rPr>
          <w:color w:val="231F20"/>
          <w:sz w:val="19"/>
        </w:rPr>
        <w:t>SAS Institute Inc. 1990. SAS Users’ guide: Statistics, Version 6. Cary, NC. SAS Institute, Inc.</w:t>
      </w:r>
    </w:p>
    <w:p>
      <w:pPr>
        <w:pStyle w:val="BodyText"/>
        <w:spacing w:before="7"/>
        <w:rPr>
          <w:sz w:val="20"/>
        </w:rPr>
      </w:pPr>
    </w:p>
    <w:p>
      <w:pPr>
        <w:spacing w:line="249" w:lineRule="auto" w:before="0"/>
        <w:ind w:left="1270" w:right="1268" w:firstLine="0"/>
        <w:jc w:val="both"/>
        <w:rPr>
          <w:sz w:val="19"/>
        </w:rPr>
      </w:pPr>
      <w:r>
        <w:rPr>
          <w:color w:val="231F20"/>
          <w:sz w:val="19"/>
        </w:rPr>
        <w:t>Sierra M. M. A. Palafox C. O. Cano R. </w:t>
      </w:r>
      <w:r>
        <w:rPr>
          <w:color w:val="231F20"/>
          <w:spacing w:val="-8"/>
          <w:sz w:val="19"/>
        </w:rPr>
        <w:t>F. </w:t>
      </w:r>
      <w:r>
        <w:rPr>
          <w:color w:val="231F20"/>
          <w:sz w:val="19"/>
        </w:rPr>
        <w:t>A. Rodríguez M. A., Espinosa C. A., Turrent </w:t>
      </w:r>
      <w:r>
        <w:rPr>
          <w:color w:val="231F20"/>
          <w:spacing w:val="-8"/>
          <w:sz w:val="19"/>
        </w:rPr>
        <w:t>F. </w:t>
      </w:r>
      <w:r>
        <w:rPr>
          <w:color w:val="231F20"/>
          <w:sz w:val="19"/>
        </w:rPr>
        <w:t>N., Gómez M. H., Córdoba O. N., </w:t>
      </w:r>
      <w:r>
        <w:rPr>
          <w:color w:val="231F20"/>
          <w:spacing w:val="-4"/>
          <w:sz w:val="19"/>
        </w:rPr>
        <w:t>Vergara </w:t>
      </w:r>
      <w:r>
        <w:rPr>
          <w:color w:val="231F20"/>
          <w:sz w:val="19"/>
        </w:rPr>
        <w:t>A. R., Avendaño S. J.</w:t>
      </w:r>
      <w:r>
        <w:rPr>
          <w:color w:val="231F20"/>
          <w:spacing w:val="-33"/>
          <w:sz w:val="19"/>
        </w:rPr>
        <w:t> </w:t>
      </w:r>
      <w:r>
        <w:rPr>
          <w:color w:val="231F20"/>
          <w:sz w:val="19"/>
        </w:rPr>
        <w:t>A., Sandoval R. S., Barrón R. J. Romero M. </w:t>
      </w:r>
      <w:r>
        <w:rPr>
          <w:color w:val="231F20"/>
          <w:spacing w:val="-8"/>
          <w:sz w:val="19"/>
        </w:rPr>
        <w:t>F. </w:t>
      </w:r>
      <w:r>
        <w:rPr>
          <w:color w:val="231F20"/>
          <w:sz w:val="19"/>
        </w:rPr>
        <w:t>Caballero H. M., González C. y E. Betanzos M. 2001. Descripción varietal de H-519C, H-553C y </w:t>
      </w:r>
      <w:r>
        <w:rPr>
          <w:color w:val="231F20"/>
          <w:spacing w:val="-3"/>
          <w:sz w:val="19"/>
        </w:rPr>
        <w:t>V-537C, </w:t>
      </w:r>
      <w:r>
        <w:rPr>
          <w:color w:val="231F20"/>
          <w:sz w:val="19"/>
        </w:rPr>
        <w:t>Maíces con alta</w:t>
      </w:r>
      <w:r>
        <w:rPr>
          <w:color w:val="231F20"/>
          <w:spacing w:val="-32"/>
          <w:sz w:val="19"/>
        </w:rPr>
        <w:t> </w:t>
      </w:r>
      <w:r>
        <w:rPr>
          <w:color w:val="231F20"/>
          <w:sz w:val="19"/>
        </w:rPr>
        <w:t>cali- dad de proteica para el trópico húmedo de México. </w:t>
      </w:r>
      <w:r>
        <w:rPr>
          <w:color w:val="231F20"/>
          <w:spacing w:val="-6"/>
          <w:sz w:val="19"/>
        </w:rPr>
        <w:t>INIFAP. </w:t>
      </w:r>
      <w:r>
        <w:rPr>
          <w:color w:val="231F20"/>
          <w:sz w:val="19"/>
        </w:rPr>
        <w:t>CIRGOC. Campo Experimental Cotaxtla. Folleto Técnico Núm. 30. </w:t>
      </w:r>
      <w:r>
        <w:rPr>
          <w:color w:val="231F20"/>
          <w:spacing w:val="-3"/>
          <w:sz w:val="19"/>
        </w:rPr>
        <w:t>Veracruz, </w:t>
      </w:r>
      <w:r>
        <w:rPr>
          <w:color w:val="231F20"/>
          <w:sz w:val="19"/>
        </w:rPr>
        <w:t>México. 21</w:t>
      </w:r>
      <w:r>
        <w:rPr>
          <w:color w:val="231F20"/>
          <w:spacing w:val="5"/>
          <w:sz w:val="19"/>
        </w:rPr>
        <w:t> </w:t>
      </w:r>
      <w:r>
        <w:rPr>
          <w:color w:val="231F20"/>
          <w:sz w:val="19"/>
        </w:rPr>
        <w:t>p.</w:t>
      </w:r>
    </w:p>
    <w:p>
      <w:pPr>
        <w:pStyle w:val="BodyText"/>
        <w:spacing w:before="10"/>
        <w:rPr>
          <w:sz w:val="19"/>
        </w:rPr>
      </w:pPr>
    </w:p>
    <w:p>
      <w:pPr>
        <w:spacing w:line="249" w:lineRule="auto" w:before="0"/>
        <w:ind w:left="1270" w:right="1268" w:firstLine="0"/>
        <w:jc w:val="both"/>
        <w:rPr>
          <w:sz w:val="19"/>
        </w:rPr>
      </w:pPr>
      <w:r>
        <w:rPr>
          <w:color w:val="231F20"/>
          <w:sz w:val="19"/>
        </w:rPr>
        <w:t>Sierra</w:t>
      </w:r>
      <w:r>
        <w:rPr>
          <w:color w:val="231F20"/>
          <w:spacing w:val="-4"/>
          <w:sz w:val="19"/>
        </w:rPr>
        <w:t> </w:t>
      </w:r>
      <w:r>
        <w:rPr>
          <w:color w:val="231F20"/>
          <w:sz w:val="19"/>
        </w:rPr>
        <w:t>M.,</w:t>
      </w:r>
      <w:r>
        <w:rPr>
          <w:color w:val="231F20"/>
          <w:spacing w:val="-4"/>
          <w:sz w:val="19"/>
        </w:rPr>
        <w:t> </w:t>
      </w:r>
      <w:r>
        <w:rPr>
          <w:color w:val="231F20"/>
          <w:sz w:val="19"/>
        </w:rPr>
        <w:t>M.,</w:t>
      </w:r>
      <w:r>
        <w:rPr>
          <w:color w:val="231F20"/>
          <w:spacing w:val="39"/>
          <w:sz w:val="19"/>
        </w:rPr>
        <w:t> </w:t>
      </w:r>
      <w:r>
        <w:rPr>
          <w:color w:val="231F20"/>
          <w:spacing w:val="-8"/>
          <w:sz w:val="19"/>
        </w:rPr>
        <w:t>F.</w:t>
      </w:r>
      <w:r>
        <w:rPr>
          <w:color w:val="231F20"/>
          <w:spacing w:val="-15"/>
          <w:sz w:val="19"/>
        </w:rPr>
        <w:t> </w:t>
      </w:r>
      <w:r>
        <w:rPr>
          <w:color w:val="231F20"/>
          <w:sz w:val="19"/>
        </w:rPr>
        <w:t>A.</w:t>
      </w:r>
      <w:r>
        <w:rPr>
          <w:color w:val="231F20"/>
          <w:spacing w:val="-4"/>
          <w:sz w:val="19"/>
        </w:rPr>
        <w:t> </w:t>
      </w:r>
      <w:r>
        <w:rPr>
          <w:color w:val="231F20"/>
          <w:sz w:val="19"/>
        </w:rPr>
        <w:t>Rodríguez</w:t>
      </w:r>
      <w:r>
        <w:rPr>
          <w:color w:val="231F20"/>
          <w:spacing w:val="-4"/>
          <w:sz w:val="19"/>
        </w:rPr>
        <w:t> </w:t>
      </w:r>
      <w:r>
        <w:rPr>
          <w:color w:val="231F20"/>
          <w:sz w:val="19"/>
        </w:rPr>
        <w:t>M.,</w:t>
      </w:r>
      <w:r>
        <w:rPr>
          <w:color w:val="231F20"/>
          <w:spacing w:val="-4"/>
          <w:sz w:val="19"/>
        </w:rPr>
        <w:t> </w:t>
      </w:r>
      <w:r>
        <w:rPr>
          <w:color w:val="231F20"/>
          <w:sz w:val="19"/>
        </w:rPr>
        <w:t>R.</w:t>
      </w:r>
      <w:r>
        <w:rPr>
          <w:color w:val="231F20"/>
          <w:spacing w:val="-15"/>
          <w:sz w:val="19"/>
        </w:rPr>
        <w:t> </w:t>
      </w:r>
      <w:r>
        <w:rPr>
          <w:color w:val="231F20"/>
          <w:sz w:val="19"/>
        </w:rPr>
        <w:t>A.</w:t>
      </w:r>
      <w:r>
        <w:rPr>
          <w:color w:val="231F20"/>
          <w:spacing w:val="-4"/>
          <w:sz w:val="19"/>
        </w:rPr>
        <w:t> </w:t>
      </w:r>
      <w:r>
        <w:rPr>
          <w:color w:val="231F20"/>
          <w:sz w:val="19"/>
        </w:rPr>
        <w:t>Castillo</w:t>
      </w:r>
      <w:r>
        <w:rPr>
          <w:color w:val="231F20"/>
          <w:spacing w:val="-4"/>
          <w:sz w:val="19"/>
        </w:rPr>
        <w:t> </w:t>
      </w:r>
      <w:r>
        <w:rPr>
          <w:color w:val="231F20"/>
          <w:sz w:val="19"/>
        </w:rPr>
        <w:t>G.,</w:t>
      </w:r>
      <w:r>
        <w:rPr>
          <w:color w:val="231F20"/>
          <w:spacing w:val="-4"/>
          <w:sz w:val="19"/>
        </w:rPr>
        <w:t> </w:t>
      </w:r>
      <w:r>
        <w:rPr>
          <w:color w:val="231F20"/>
          <w:sz w:val="19"/>
        </w:rPr>
        <w:t>y</w:t>
      </w:r>
      <w:r>
        <w:rPr>
          <w:color w:val="231F20"/>
          <w:spacing w:val="-4"/>
          <w:sz w:val="19"/>
        </w:rPr>
        <w:t> </w:t>
      </w:r>
      <w:r>
        <w:rPr>
          <w:color w:val="231F20"/>
          <w:spacing w:val="-8"/>
          <w:sz w:val="19"/>
        </w:rPr>
        <w:t>F.</w:t>
      </w:r>
      <w:r>
        <w:rPr>
          <w:color w:val="231F20"/>
          <w:spacing w:val="-4"/>
          <w:sz w:val="19"/>
        </w:rPr>
        <w:t> </w:t>
      </w:r>
      <w:r>
        <w:rPr>
          <w:color w:val="231F20"/>
          <w:sz w:val="19"/>
        </w:rPr>
        <w:t>Márquez</w:t>
      </w:r>
      <w:r>
        <w:rPr>
          <w:color w:val="231F20"/>
          <w:spacing w:val="-4"/>
          <w:sz w:val="19"/>
        </w:rPr>
        <w:t> </w:t>
      </w:r>
      <w:r>
        <w:rPr>
          <w:color w:val="231F20"/>
          <w:sz w:val="19"/>
        </w:rPr>
        <w:t>S.</w:t>
      </w:r>
      <w:r>
        <w:rPr>
          <w:color w:val="231F20"/>
          <w:spacing w:val="-4"/>
          <w:sz w:val="19"/>
        </w:rPr>
        <w:t> </w:t>
      </w:r>
      <w:r>
        <w:rPr>
          <w:color w:val="231F20"/>
          <w:sz w:val="19"/>
        </w:rPr>
        <w:t>1992.</w:t>
      </w:r>
      <w:r>
        <w:rPr>
          <w:color w:val="231F20"/>
          <w:spacing w:val="-4"/>
          <w:sz w:val="19"/>
        </w:rPr>
        <w:t> </w:t>
      </w:r>
      <w:r>
        <w:rPr>
          <w:color w:val="231F20"/>
          <w:sz w:val="19"/>
        </w:rPr>
        <w:t>La</w:t>
      </w:r>
      <w:r>
        <w:rPr>
          <w:color w:val="231F20"/>
          <w:spacing w:val="-4"/>
          <w:sz w:val="19"/>
        </w:rPr>
        <w:t> </w:t>
      </w:r>
      <w:r>
        <w:rPr>
          <w:color w:val="231F20"/>
          <w:sz w:val="19"/>
        </w:rPr>
        <w:t>aplicación</w:t>
      </w:r>
      <w:r>
        <w:rPr>
          <w:color w:val="231F20"/>
          <w:spacing w:val="-4"/>
          <w:sz w:val="19"/>
        </w:rPr>
        <w:t> </w:t>
      </w:r>
      <w:r>
        <w:rPr>
          <w:color w:val="231F20"/>
          <w:sz w:val="19"/>
        </w:rPr>
        <w:t>de</w:t>
      </w:r>
      <w:r>
        <w:rPr>
          <w:color w:val="231F20"/>
          <w:spacing w:val="-4"/>
          <w:sz w:val="19"/>
        </w:rPr>
        <w:t> </w:t>
      </w:r>
      <w:r>
        <w:rPr>
          <w:color w:val="231F20"/>
          <w:sz w:val="19"/>
        </w:rPr>
        <w:t>los</w:t>
      </w:r>
      <w:r>
        <w:rPr>
          <w:color w:val="231F20"/>
          <w:spacing w:val="-4"/>
          <w:sz w:val="19"/>
        </w:rPr>
        <w:t> </w:t>
      </w:r>
      <w:r>
        <w:rPr>
          <w:color w:val="231F20"/>
          <w:sz w:val="19"/>
        </w:rPr>
        <w:t>parámetros</w:t>
      </w:r>
      <w:r>
        <w:rPr>
          <w:color w:val="231F20"/>
          <w:spacing w:val="-4"/>
          <w:sz w:val="19"/>
        </w:rPr>
        <w:t> </w:t>
      </w:r>
      <w:r>
        <w:rPr>
          <w:color w:val="231F20"/>
          <w:sz w:val="19"/>
        </w:rPr>
        <w:t>de estabilidad en el mejoramiento de maíz de la región sur de México. In: Memoria del Simposio de Interacción Genotipo-Ambiente en Genotecnia </w:t>
      </w:r>
      <w:r>
        <w:rPr>
          <w:color w:val="231F20"/>
          <w:spacing w:val="-3"/>
          <w:sz w:val="19"/>
        </w:rPr>
        <w:t>Vegetal. </w:t>
      </w:r>
      <w:r>
        <w:rPr>
          <w:color w:val="231F20"/>
          <w:sz w:val="19"/>
        </w:rPr>
        <w:t>Guadalajara, Jal., México. pp:</w:t>
      </w:r>
      <w:r>
        <w:rPr>
          <w:color w:val="231F20"/>
          <w:spacing w:val="1"/>
          <w:sz w:val="19"/>
        </w:rPr>
        <w:t> </w:t>
      </w:r>
      <w:r>
        <w:rPr>
          <w:color w:val="231F20"/>
          <w:sz w:val="19"/>
        </w:rPr>
        <w:t>239-260.</w:t>
      </w:r>
    </w:p>
    <w:p>
      <w:pPr>
        <w:pStyle w:val="BodyText"/>
        <w:spacing w:before="10"/>
        <w:rPr>
          <w:sz w:val="19"/>
        </w:rPr>
      </w:pPr>
    </w:p>
    <w:p>
      <w:pPr>
        <w:spacing w:before="0"/>
        <w:ind w:left="1270" w:right="0" w:firstLine="0"/>
        <w:jc w:val="both"/>
        <w:rPr>
          <w:sz w:val="19"/>
        </w:rPr>
      </w:pPr>
      <w:r>
        <w:rPr>
          <w:color w:val="231F20"/>
          <w:sz w:val="19"/>
        </w:rPr>
        <w:t>Sierra M., M., A. Palafox C., F. A. Rodríguez M., A. Espinosa C., G. Vázquez C., N. O. Gómez M. y S. Barrón</w:t>
      </w:r>
    </w:p>
    <w:p>
      <w:pPr>
        <w:spacing w:before="9"/>
        <w:ind w:left="1270" w:right="0" w:firstLine="0"/>
        <w:jc w:val="both"/>
        <w:rPr>
          <w:sz w:val="19"/>
        </w:rPr>
      </w:pPr>
      <w:r>
        <w:rPr>
          <w:color w:val="231F20"/>
          <w:sz w:val="19"/>
        </w:rPr>
        <w:t>F.  2011.       H-564C, híbrido de maíz con alta calidad de proteína para el trópico húmedo de México. Revista</w:t>
      </w:r>
    </w:p>
    <w:p>
      <w:pPr>
        <w:spacing w:before="9"/>
        <w:ind w:left="1270" w:right="0" w:firstLine="0"/>
        <w:jc w:val="both"/>
        <w:rPr>
          <w:sz w:val="19"/>
        </w:rPr>
      </w:pPr>
      <w:r>
        <w:rPr>
          <w:color w:val="231F20"/>
          <w:sz w:val="19"/>
        </w:rPr>
        <w:t>Mexicana de Ciencias Agrícolas 2:102-110.</w:t>
      </w:r>
    </w:p>
    <w:p>
      <w:pPr>
        <w:pStyle w:val="BodyText"/>
        <w:spacing w:before="7"/>
        <w:rPr>
          <w:sz w:val="20"/>
        </w:rPr>
      </w:pPr>
    </w:p>
    <w:p>
      <w:pPr>
        <w:spacing w:line="249" w:lineRule="auto" w:before="0"/>
        <w:ind w:left="1270" w:right="1268" w:firstLine="0"/>
        <w:jc w:val="both"/>
        <w:rPr>
          <w:sz w:val="19"/>
        </w:rPr>
      </w:pPr>
      <w:r>
        <w:rPr>
          <w:color w:val="231F20"/>
          <w:sz w:val="19"/>
        </w:rPr>
        <w:t>Sierra</w:t>
      </w:r>
      <w:r>
        <w:rPr>
          <w:color w:val="231F20"/>
          <w:spacing w:val="-2"/>
          <w:sz w:val="19"/>
        </w:rPr>
        <w:t> </w:t>
      </w:r>
      <w:r>
        <w:rPr>
          <w:color w:val="231F20"/>
          <w:sz w:val="19"/>
        </w:rPr>
        <w:t>M.,</w:t>
      </w:r>
      <w:r>
        <w:rPr>
          <w:color w:val="231F20"/>
          <w:spacing w:val="-2"/>
          <w:sz w:val="19"/>
        </w:rPr>
        <w:t> </w:t>
      </w:r>
      <w:r>
        <w:rPr>
          <w:color w:val="231F20"/>
          <w:sz w:val="19"/>
        </w:rPr>
        <w:t>M.,</w:t>
      </w:r>
      <w:r>
        <w:rPr>
          <w:color w:val="231F20"/>
          <w:spacing w:val="-13"/>
          <w:sz w:val="19"/>
        </w:rPr>
        <w:t> </w:t>
      </w:r>
      <w:r>
        <w:rPr>
          <w:color w:val="231F20"/>
          <w:sz w:val="19"/>
        </w:rPr>
        <w:t>A.</w:t>
      </w:r>
      <w:r>
        <w:rPr>
          <w:color w:val="231F20"/>
          <w:spacing w:val="-2"/>
          <w:sz w:val="19"/>
        </w:rPr>
        <w:t> </w:t>
      </w:r>
      <w:r>
        <w:rPr>
          <w:color w:val="231F20"/>
          <w:sz w:val="19"/>
        </w:rPr>
        <w:t>Palafox</w:t>
      </w:r>
      <w:r>
        <w:rPr>
          <w:color w:val="231F20"/>
          <w:spacing w:val="-2"/>
          <w:sz w:val="19"/>
        </w:rPr>
        <w:t> </w:t>
      </w:r>
      <w:r>
        <w:rPr>
          <w:color w:val="231F20"/>
          <w:sz w:val="19"/>
        </w:rPr>
        <w:t>C.,</w:t>
      </w:r>
      <w:r>
        <w:rPr>
          <w:color w:val="231F20"/>
          <w:spacing w:val="-2"/>
          <w:sz w:val="19"/>
        </w:rPr>
        <w:t> </w:t>
      </w:r>
      <w:r>
        <w:rPr>
          <w:color w:val="231F20"/>
          <w:sz w:val="19"/>
        </w:rPr>
        <w:t>O.</w:t>
      </w:r>
      <w:r>
        <w:rPr>
          <w:color w:val="231F20"/>
          <w:spacing w:val="-2"/>
          <w:sz w:val="19"/>
        </w:rPr>
        <w:t> </w:t>
      </w:r>
      <w:r>
        <w:rPr>
          <w:color w:val="231F20"/>
          <w:sz w:val="19"/>
        </w:rPr>
        <w:t>Cano</w:t>
      </w:r>
      <w:r>
        <w:rPr>
          <w:color w:val="231F20"/>
          <w:spacing w:val="-2"/>
          <w:sz w:val="19"/>
        </w:rPr>
        <w:t> </w:t>
      </w:r>
      <w:r>
        <w:rPr>
          <w:color w:val="231F20"/>
          <w:sz w:val="19"/>
        </w:rPr>
        <w:t>R.,</w:t>
      </w:r>
      <w:r>
        <w:rPr>
          <w:color w:val="231F20"/>
          <w:spacing w:val="-2"/>
          <w:sz w:val="19"/>
        </w:rPr>
        <w:t> </w:t>
      </w:r>
      <w:r>
        <w:rPr>
          <w:color w:val="231F20"/>
          <w:sz w:val="19"/>
        </w:rPr>
        <w:t>S.</w:t>
      </w:r>
      <w:r>
        <w:rPr>
          <w:color w:val="231F20"/>
          <w:spacing w:val="-2"/>
          <w:sz w:val="19"/>
        </w:rPr>
        <w:t> </w:t>
      </w:r>
      <w:r>
        <w:rPr>
          <w:color w:val="231F20"/>
          <w:sz w:val="19"/>
        </w:rPr>
        <w:t>Uribe</w:t>
      </w:r>
      <w:r>
        <w:rPr>
          <w:color w:val="231F20"/>
          <w:spacing w:val="-2"/>
          <w:sz w:val="19"/>
        </w:rPr>
        <w:t> </w:t>
      </w:r>
      <w:r>
        <w:rPr>
          <w:color w:val="231F20"/>
          <w:sz w:val="19"/>
        </w:rPr>
        <w:t>G.,</w:t>
      </w:r>
      <w:r>
        <w:rPr>
          <w:color w:val="231F20"/>
          <w:spacing w:val="-2"/>
          <w:sz w:val="19"/>
        </w:rPr>
        <w:t> </w:t>
      </w:r>
      <w:r>
        <w:rPr>
          <w:color w:val="231F20"/>
          <w:sz w:val="19"/>
        </w:rPr>
        <w:t>E.</w:t>
      </w:r>
      <w:r>
        <w:rPr>
          <w:color w:val="231F20"/>
          <w:spacing w:val="-2"/>
          <w:sz w:val="19"/>
        </w:rPr>
        <w:t> </w:t>
      </w:r>
      <w:r>
        <w:rPr>
          <w:color w:val="231F20"/>
          <w:sz w:val="19"/>
        </w:rPr>
        <w:t>N.</w:t>
      </w:r>
      <w:r>
        <w:rPr>
          <w:color w:val="231F20"/>
          <w:spacing w:val="-2"/>
          <w:sz w:val="19"/>
        </w:rPr>
        <w:t> </w:t>
      </w:r>
      <w:r>
        <w:rPr>
          <w:color w:val="231F20"/>
          <w:sz w:val="19"/>
        </w:rPr>
        <w:t>Becerra</w:t>
      </w:r>
      <w:r>
        <w:rPr>
          <w:color w:val="231F20"/>
          <w:spacing w:val="-3"/>
          <w:sz w:val="19"/>
        </w:rPr>
        <w:t> </w:t>
      </w:r>
      <w:r>
        <w:rPr>
          <w:color w:val="231F20"/>
          <w:sz w:val="19"/>
        </w:rPr>
        <w:t>L.,</w:t>
      </w:r>
      <w:r>
        <w:rPr>
          <w:color w:val="231F20"/>
          <w:spacing w:val="-2"/>
          <w:sz w:val="19"/>
        </w:rPr>
        <w:t> </w:t>
      </w:r>
      <w:r>
        <w:rPr>
          <w:color w:val="231F20"/>
          <w:sz w:val="19"/>
        </w:rPr>
        <w:t>D.</w:t>
      </w:r>
      <w:r>
        <w:rPr>
          <w:color w:val="231F20"/>
          <w:spacing w:val="-2"/>
          <w:sz w:val="19"/>
        </w:rPr>
        <w:t> </w:t>
      </w:r>
      <w:r>
        <w:rPr>
          <w:color w:val="231F20"/>
          <w:sz w:val="19"/>
        </w:rPr>
        <w:t>Lara.,</w:t>
      </w:r>
      <w:r>
        <w:rPr>
          <w:color w:val="231F20"/>
          <w:spacing w:val="-2"/>
          <w:sz w:val="19"/>
        </w:rPr>
        <w:t> </w:t>
      </w:r>
      <w:r>
        <w:rPr>
          <w:color w:val="231F20"/>
          <w:sz w:val="19"/>
        </w:rPr>
        <w:t>S.</w:t>
      </w:r>
      <w:r>
        <w:rPr>
          <w:color w:val="231F20"/>
          <w:spacing w:val="-2"/>
          <w:sz w:val="19"/>
        </w:rPr>
        <w:t> </w:t>
      </w:r>
      <w:r>
        <w:rPr>
          <w:color w:val="231F20"/>
          <w:sz w:val="19"/>
        </w:rPr>
        <w:t>Barrón</w:t>
      </w:r>
      <w:r>
        <w:rPr>
          <w:color w:val="231F20"/>
          <w:spacing w:val="-2"/>
          <w:sz w:val="19"/>
        </w:rPr>
        <w:t> </w:t>
      </w:r>
      <w:r>
        <w:rPr>
          <w:color w:val="231F20"/>
          <w:spacing w:val="-6"/>
          <w:sz w:val="19"/>
        </w:rPr>
        <w:t>F.,</w:t>
      </w:r>
      <w:r>
        <w:rPr>
          <w:color w:val="231F20"/>
          <w:spacing w:val="-2"/>
          <w:sz w:val="19"/>
        </w:rPr>
        <w:t> </w:t>
      </w:r>
      <w:r>
        <w:rPr>
          <w:color w:val="231F20"/>
          <w:spacing w:val="-8"/>
          <w:sz w:val="19"/>
        </w:rPr>
        <w:t>F.</w:t>
      </w:r>
      <w:r>
        <w:rPr>
          <w:color w:val="231F20"/>
          <w:spacing w:val="-13"/>
          <w:sz w:val="19"/>
        </w:rPr>
        <w:t> </w:t>
      </w:r>
      <w:r>
        <w:rPr>
          <w:color w:val="231F20"/>
          <w:sz w:val="19"/>
        </w:rPr>
        <w:t>A.</w:t>
      </w:r>
      <w:r>
        <w:rPr>
          <w:color w:val="231F20"/>
          <w:spacing w:val="-2"/>
          <w:sz w:val="19"/>
        </w:rPr>
        <w:t> </w:t>
      </w:r>
      <w:r>
        <w:rPr>
          <w:color w:val="231F20"/>
          <w:sz w:val="19"/>
        </w:rPr>
        <w:t>Rodríguez M., J. Romero., y A. Sandoval. 2003. Comportamiento de variedades de maíz normal y con alta calidad de proteína para la región golfo de México. Agronomía Mesoamericana 14:</w:t>
      </w:r>
      <w:r>
        <w:rPr>
          <w:color w:val="231F20"/>
          <w:spacing w:val="-11"/>
          <w:sz w:val="19"/>
        </w:rPr>
        <w:t> </w:t>
      </w:r>
      <w:r>
        <w:rPr>
          <w:color w:val="231F20"/>
          <w:sz w:val="19"/>
        </w:rPr>
        <w:t>135-141.</w:t>
      </w:r>
    </w:p>
    <w:p>
      <w:pPr>
        <w:pStyle w:val="BodyText"/>
        <w:spacing w:before="10"/>
        <w:rPr>
          <w:sz w:val="19"/>
        </w:rPr>
      </w:pPr>
    </w:p>
    <w:p>
      <w:pPr>
        <w:spacing w:line="249" w:lineRule="auto" w:before="0"/>
        <w:ind w:left="1270" w:right="1268" w:firstLine="0"/>
        <w:jc w:val="both"/>
        <w:rPr>
          <w:sz w:val="19"/>
        </w:rPr>
      </w:pPr>
      <w:r>
        <w:rPr>
          <w:color w:val="231F20"/>
          <w:spacing w:val="-4"/>
          <w:sz w:val="19"/>
        </w:rPr>
        <w:t>Tsai</w:t>
      </w:r>
      <w:r>
        <w:rPr>
          <w:color w:val="231F20"/>
          <w:spacing w:val="-5"/>
          <w:sz w:val="19"/>
        </w:rPr>
        <w:t> </w:t>
      </w:r>
      <w:r>
        <w:rPr>
          <w:color w:val="231F20"/>
          <w:sz w:val="19"/>
        </w:rPr>
        <w:t>C,</w:t>
      </w:r>
      <w:r>
        <w:rPr>
          <w:color w:val="231F20"/>
          <w:spacing w:val="-12"/>
          <w:sz w:val="19"/>
        </w:rPr>
        <w:t> </w:t>
      </w:r>
      <w:r>
        <w:rPr>
          <w:color w:val="231F20"/>
          <w:spacing w:val="-9"/>
          <w:sz w:val="19"/>
        </w:rPr>
        <w:t>Y.,</w:t>
      </w:r>
      <w:r>
        <w:rPr>
          <w:color w:val="231F20"/>
          <w:spacing w:val="-15"/>
          <w:sz w:val="19"/>
        </w:rPr>
        <w:t> </w:t>
      </w:r>
      <w:r>
        <w:rPr>
          <w:color w:val="231F20"/>
          <w:sz w:val="19"/>
        </w:rPr>
        <w:t>A.</w:t>
      </w:r>
      <w:r>
        <w:rPr>
          <w:color w:val="231F20"/>
          <w:spacing w:val="-5"/>
          <w:sz w:val="19"/>
        </w:rPr>
        <w:t> </w:t>
      </w:r>
      <w:r>
        <w:rPr>
          <w:color w:val="231F20"/>
          <w:sz w:val="19"/>
        </w:rPr>
        <w:t>Dalby</w:t>
      </w:r>
      <w:r>
        <w:rPr>
          <w:color w:val="231F20"/>
          <w:spacing w:val="-5"/>
          <w:sz w:val="19"/>
        </w:rPr>
        <w:t> </w:t>
      </w:r>
      <w:r>
        <w:rPr>
          <w:color w:val="231F20"/>
          <w:sz w:val="19"/>
        </w:rPr>
        <w:t>and</w:t>
      </w:r>
      <w:r>
        <w:rPr>
          <w:color w:val="231F20"/>
          <w:spacing w:val="-5"/>
          <w:sz w:val="19"/>
        </w:rPr>
        <w:t> </w:t>
      </w:r>
      <w:r>
        <w:rPr>
          <w:color w:val="231F20"/>
          <w:sz w:val="19"/>
        </w:rPr>
        <w:t>R.</w:t>
      </w:r>
      <w:r>
        <w:rPr>
          <w:color w:val="231F20"/>
          <w:spacing w:val="-15"/>
          <w:sz w:val="19"/>
        </w:rPr>
        <w:t> </w:t>
      </w:r>
      <w:r>
        <w:rPr>
          <w:color w:val="231F20"/>
          <w:sz w:val="19"/>
        </w:rPr>
        <w:t>A.</w:t>
      </w:r>
      <w:r>
        <w:rPr>
          <w:color w:val="231F20"/>
          <w:spacing w:val="-5"/>
          <w:sz w:val="19"/>
        </w:rPr>
        <w:t> </w:t>
      </w:r>
      <w:r>
        <w:rPr>
          <w:color w:val="231F20"/>
          <w:sz w:val="19"/>
        </w:rPr>
        <w:t>Jones.</w:t>
      </w:r>
      <w:r>
        <w:rPr>
          <w:color w:val="231F20"/>
          <w:spacing w:val="-5"/>
          <w:sz w:val="19"/>
        </w:rPr>
        <w:t> </w:t>
      </w:r>
      <w:r>
        <w:rPr>
          <w:color w:val="231F20"/>
          <w:sz w:val="19"/>
        </w:rPr>
        <w:t>1975.</w:t>
      </w:r>
      <w:r>
        <w:rPr>
          <w:color w:val="231F20"/>
          <w:spacing w:val="-5"/>
          <w:sz w:val="19"/>
        </w:rPr>
        <w:t> </w:t>
      </w:r>
      <w:r>
        <w:rPr>
          <w:color w:val="231F20"/>
          <w:sz w:val="19"/>
        </w:rPr>
        <w:t>Lysine</w:t>
      </w:r>
      <w:r>
        <w:rPr>
          <w:color w:val="231F20"/>
          <w:spacing w:val="-5"/>
          <w:sz w:val="19"/>
        </w:rPr>
        <w:t> </w:t>
      </w:r>
      <w:r>
        <w:rPr>
          <w:color w:val="231F20"/>
          <w:sz w:val="19"/>
        </w:rPr>
        <w:t>and</w:t>
      </w:r>
      <w:r>
        <w:rPr>
          <w:color w:val="231F20"/>
          <w:spacing w:val="-5"/>
          <w:sz w:val="19"/>
        </w:rPr>
        <w:t> </w:t>
      </w:r>
      <w:r>
        <w:rPr>
          <w:color w:val="231F20"/>
          <w:sz w:val="19"/>
        </w:rPr>
        <w:t>tryptophan</w:t>
      </w:r>
      <w:r>
        <w:rPr>
          <w:color w:val="231F20"/>
          <w:spacing w:val="-5"/>
          <w:sz w:val="19"/>
        </w:rPr>
        <w:t> </w:t>
      </w:r>
      <w:r>
        <w:rPr>
          <w:color w:val="231F20"/>
          <w:sz w:val="19"/>
        </w:rPr>
        <w:t>increases</w:t>
      </w:r>
      <w:r>
        <w:rPr>
          <w:color w:val="231F20"/>
          <w:spacing w:val="-5"/>
          <w:sz w:val="19"/>
        </w:rPr>
        <w:t> </w:t>
      </w:r>
      <w:r>
        <w:rPr>
          <w:color w:val="231F20"/>
          <w:sz w:val="19"/>
        </w:rPr>
        <w:t>during</w:t>
      </w:r>
      <w:r>
        <w:rPr>
          <w:color w:val="231F20"/>
          <w:spacing w:val="-5"/>
          <w:sz w:val="19"/>
        </w:rPr>
        <w:t> </w:t>
      </w:r>
      <w:r>
        <w:rPr>
          <w:color w:val="231F20"/>
          <w:sz w:val="19"/>
        </w:rPr>
        <w:t>germination</w:t>
      </w:r>
      <w:r>
        <w:rPr>
          <w:color w:val="231F20"/>
          <w:spacing w:val="-5"/>
          <w:sz w:val="19"/>
        </w:rPr>
        <w:t> </w:t>
      </w:r>
      <w:r>
        <w:rPr>
          <w:color w:val="231F20"/>
          <w:sz w:val="19"/>
        </w:rPr>
        <w:t>of</w:t>
      </w:r>
      <w:r>
        <w:rPr>
          <w:color w:val="231F20"/>
          <w:spacing w:val="-5"/>
          <w:sz w:val="19"/>
        </w:rPr>
        <w:t> </w:t>
      </w:r>
      <w:r>
        <w:rPr>
          <w:color w:val="231F20"/>
          <w:sz w:val="19"/>
        </w:rPr>
        <w:t>Maize</w:t>
      </w:r>
      <w:r>
        <w:rPr>
          <w:color w:val="231F20"/>
          <w:spacing w:val="-5"/>
          <w:sz w:val="19"/>
        </w:rPr>
        <w:t> </w:t>
      </w:r>
      <w:r>
        <w:rPr>
          <w:color w:val="231F20"/>
          <w:sz w:val="19"/>
        </w:rPr>
        <w:t>seed. </w:t>
      </w:r>
      <w:r>
        <w:rPr>
          <w:color w:val="231F20"/>
          <w:spacing w:val="-3"/>
          <w:sz w:val="19"/>
        </w:rPr>
        <w:t>Cer. </w:t>
      </w:r>
      <w:r>
        <w:rPr>
          <w:color w:val="231F20"/>
          <w:sz w:val="19"/>
        </w:rPr>
        <w:t>Chem. 52:</w:t>
      </w:r>
      <w:r>
        <w:rPr>
          <w:color w:val="231F20"/>
          <w:spacing w:val="4"/>
          <w:sz w:val="19"/>
        </w:rPr>
        <w:t> </w:t>
      </w:r>
      <w:r>
        <w:rPr>
          <w:color w:val="231F20"/>
          <w:sz w:val="19"/>
        </w:rPr>
        <w:t>356-360.</w:t>
      </w:r>
    </w:p>
    <w:p>
      <w:pPr>
        <w:pStyle w:val="BodyText"/>
        <w:spacing w:before="10"/>
        <w:rPr>
          <w:sz w:val="19"/>
        </w:rPr>
      </w:pPr>
    </w:p>
    <w:p>
      <w:pPr>
        <w:spacing w:line="249" w:lineRule="auto" w:before="0"/>
        <w:ind w:left="1270" w:right="1268" w:firstLine="0"/>
        <w:jc w:val="both"/>
        <w:rPr>
          <w:sz w:val="19"/>
        </w:rPr>
      </w:pPr>
      <w:r>
        <w:rPr>
          <w:color w:val="231F20"/>
          <w:sz w:val="19"/>
        </w:rPr>
        <w:t>Vargas, M., J. Crossa. 2000. The AMMI Analysis and Graphing the Biplot. Biometrics and Statistics Unit, CIMMYT. México. 42 p.</w:t>
      </w:r>
    </w:p>
    <w:p>
      <w:pPr>
        <w:pStyle w:val="BodyText"/>
        <w:spacing w:before="10"/>
        <w:rPr>
          <w:sz w:val="19"/>
        </w:rPr>
      </w:pPr>
    </w:p>
    <w:p>
      <w:pPr>
        <w:spacing w:line="249" w:lineRule="auto" w:before="0"/>
        <w:ind w:left="1270" w:right="1268" w:firstLine="0"/>
        <w:jc w:val="both"/>
        <w:rPr>
          <w:sz w:val="19"/>
        </w:rPr>
      </w:pPr>
      <w:r>
        <w:rPr>
          <w:color w:val="231F20"/>
          <w:sz w:val="19"/>
        </w:rPr>
        <w:t>Vidal V., A., M. G. Vázquez C., B. Coutiño E., A. Ortega C., J. L. Ramírez D., R. Valdivia B., M. J. Guerrero H., F. J. Caro V., y O. Cota A. 2008. Calidad proteínica en colectas de maíces criollos de la sierra de Nayarit, México. Revista Fitotecnia Mexicana 31: 15-21.</w:t>
      </w:r>
    </w:p>
    <w:p>
      <w:pPr>
        <w:spacing w:after="0" w:line="249" w:lineRule="auto"/>
        <w:jc w:val="both"/>
        <w:rPr>
          <w:sz w:val="19"/>
        </w:rPr>
        <w:sectPr>
          <w:pgSz w:w="10920" w:h="13080"/>
          <w:pgMar w:header="0" w:footer="1025" w:top="420" w:bottom="1220" w:left="0" w:right="0"/>
        </w:sectPr>
      </w:pPr>
    </w:p>
    <w:p>
      <w:pPr>
        <w:pStyle w:val="BodyText"/>
        <w:rPr>
          <w:sz w:val="20"/>
        </w:rPr>
      </w:pPr>
    </w:p>
    <w:p>
      <w:pPr>
        <w:pStyle w:val="BodyText"/>
        <w:rPr>
          <w:sz w:val="20"/>
        </w:rPr>
      </w:pPr>
    </w:p>
    <w:p>
      <w:pPr>
        <w:pStyle w:val="BodyText"/>
        <w:spacing w:before="2"/>
        <w:rPr>
          <w:sz w:val="23"/>
        </w:rPr>
      </w:pPr>
    </w:p>
    <w:p>
      <w:pPr>
        <w:spacing w:line="249" w:lineRule="auto" w:before="76"/>
        <w:ind w:left="1270" w:right="1268" w:firstLine="0"/>
        <w:jc w:val="left"/>
        <w:rPr>
          <w:sz w:val="19"/>
        </w:rPr>
      </w:pPr>
      <w:r>
        <w:rPr>
          <w:color w:val="231F20"/>
          <w:sz w:val="19"/>
        </w:rPr>
        <w:t>Yan, W., L. A. Hunt, Q. Sheng, and Z. Szlavnics. 2000. Cultivar evaluation and mega-environment investiga- tion based on GGE biplot. Crop Sci. 40: 597-605.</w:t>
      </w:r>
    </w:p>
    <w:p>
      <w:pPr>
        <w:pStyle w:val="BodyText"/>
        <w:spacing w:before="10"/>
        <w:rPr>
          <w:sz w:val="19"/>
        </w:rPr>
      </w:pPr>
    </w:p>
    <w:p>
      <w:pPr>
        <w:spacing w:before="0"/>
        <w:ind w:left="1270" w:right="1279" w:firstLine="0"/>
        <w:jc w:val="left"/>
        <w:rPr>
          <w:sz w:val="19"/>
        </w:rPr>
      </w:pPr>
      <w:r>
        <w:rPr>
          <w:color w:val="231F20"/>
          <w:sz w:val="19"/>
        </w:rPr>
        <w:t>Zobel, R. W., M. Wright, and H. G. Gauch Jr. 1988. Statistical analysis of a yield trial. Agron. J. 80: 88-397.</w:t>
      </w:r>
    </w:p>
    <w:p>
      <w:pPr>
        <w:spacing w:after="0"/>
        <w:jc w:val="left"/>
        <w:rPr>
          <w:sz w:val="19"/>
        </w:rPr>
        <w:sectPr>
          <w:pgSz w:w="10920" w:h="13080"/>
          <w:pgMar w:header="0" w:footer="1025" w:top="420" w:bottom="1220" w:left="0" w:right="0"/>
        </w:sectPr>
      </w:pPr>
    </w:p>
    <w:p>
      <w:pPr>
        <w:pStyle w:val="BodyText"/>
        <w:rPr>
          <w:sz w:val="20"/>
        </w:rPr>
      </w:pPr>
    </w:p>
    <w:p>
      <w:pPr>
        <w:pStyle w:val="BodyText"/>
        <w:rPr>
          <w:sz w:val="20"/>
        </w:rPr>
      </w:pPr>
    </w:p>
    <w:p>
      <w:pPr>
        <w:pStyle w:val="BodyText"/>
        <w:spacing w:before="6"/>
        <w:rPr>
          <w:sz w:val="23"/>
        </w:rPr>
      </w:pPr>
    </w:p>
    <w:p>
      <w:pPr>
        <w:spacing w:line="247" w:lineRule="auto" w:before="69"/>
        <w:ind w:left="2336" w:right="2334" w:firstLine="0"/>
        <w:jc w:val="center"/>
        <w:rPr>
          <w:rFonts w:ascii="Trebuchet MS" w:hAnsi="Trebuchet MS"/>
          <w:i/>
          <w:sz w:val="14"/>
        </w:rPr>
      </w:pPr>
      <w:r>
        <w:rPr>
          <w:rFonts w:ascii="Trebuchet MS" w:hAnsi="Trebuchet MS"/>
          <w:i/>
          <w:color w:val="010202"/>
          <w:spacing w:val="-3"/>
          <w:sz w:val="24"/>
        </w:rPr>
        <w:t>Mauro Sierra Macías</w:t>
      </w:r>
      <w:r>
        <w:rPr>
          <w:rFonts w:ascii="Trebuchet MS" w:hAnsi="Trebuchet MS"/>
          <w:i/>
          <w:color w:val="010202"/>
          <w:spacing w:val="-3"/>
          <w:position w:val="8"/>
          <w:sz w:val="14"/>
        </w:rPr>
        <w:t>1*</w:t>
      </w:r>
      <w:r>
        <w:rPr>
          <w:rFonts w:ascii="Trebuchet MS" w:hAnsi="Trebuchet MS"/>
          <w:i/>
          <w:color w:val="010202"/>
          <w:spacing w:val="-3"/>
          <w:sz w:val="24"/>
        </w:rPr>
        <w:t>, Flavio Antonio Rodríguez Montalvo</w:t>
      </w:r>
      <w:r>
        <w:rPr>
          <w:rFonts w:ascii="Trebuchet MS" w:hAnsi="Trebuchet MS"/>
          <w:i/>
          <w:color w:val="010202"/>
          <w:spacing w:val="-3"/>
          <w:position w:val="8"/>
          <w:sz w:val="14"/>
        </w:rPr>
        <w:t>1</w:t>
      </w:r>
      <w:r>
        <w:rPr>
          <w:rFonts w:ascii="Trebuchet MS" w:hAnsi="Trebuchet MS"/>
          <w:i/>
          <w:color w:val="010202"/>
          <w:spacing w:val="-3"/>
          <w:sz w:val="24"/>
        </w:rPr>
        <w:t>, </w:t>
      </w:r>
      <w:r>
        <w:rPr>
          <w:rFonts w:ascii="Trebuchet MS" w:hAnsi="Trebuchet MS"/>
          <w:i/>
          <w:color w:val="010202"/>
          <w:spacing w:val="-3"/>
          <w:sz w:val="24"/>
        </w:rPr>
        <w:t>Artemio Palafox Caballero</w:t>
      </w:r>
      <w:r>
        <w:rPr>
          <w:rFonts w:ascii="Trebuchet MS" w:hAnsi="Trebuchet MS"/>
          <w:i/>
          <w:color w:val="010202"/>
          <w:spacing w:val="-3"/>
          <w:position w:val="8"/>
          <w:sz w:val="14"/>
        </w:rPr>
        <w:t>1</w:t>
      </w:r>
      <w:r>
        <w:rPr>
          <w:rFonts w:ascii="Trebuchet MS" w:hAnsi="Trebuchet MS"/>
          <w:i/>
          <w:color w:val="010202"/>
          <w:spacing w:val="-3"/>
          <w:sz w:val="24"/>
        </w:rPr>
        <w:t>, Noel Orlando Gómez Montiel</w:t>
      </w:r>
      <w:r>
        <w:rPr>
          <w:rFonts w:ascii="Trebuchet MS" w:hAnsi="Trebuchet MS"/>
          <w:i/>
          <w:color w:val="010202"/>
          <w:spacing w:val="-3"/>
          <w:position w:val="8"/>
          <w:sz w:val="14"/>
        </w:rPr>
        <w:t>2 </w:t>
      </w:r>
      <w:r>
        <w:rPr>
          <w:rFonts w:ascii="Trebuchet MS" w:hAnsi="Trebuchet MS"/>
          <w:i/>
          <w:color w:val="010202"/>
          <w:sz w:val="24"/>
        </w:rPr>
        <w:t>y </w:t>
      </w:r>
      <w:r>
        <w:rPr>
          <w:rFonts w:ascii="Trebuchet MS" w:hAnsi="Trebuchet MS"/>
          <w:i/>
          <w:color w:val="010202"/>
          <w:spacing w:val="-3"/>
          <w:sz w:val="24"/>
        </w:rPr>
        <w:t>Alejandro Espinosa</w:t>
      </w:r>
      <w:r>
        <w:rPr>
          <w:rFonts w:ascii="Trebuchet MS" w:hAnsi="Trebuchet MS"/>
          <w:i/>
          <w:color w:val="010202"/>
          <w:spacing w:val="-13"/>
          <w:sz w:val="24"/>
        </w:rPr>
        <w:t> </w:t>
      </w:r>
      <w:r>
        <w:rPr>
          <w:rFonts w:ascii="Trebuchet MS" w:hAnsi="Trebuchet MS"/>
          <w:i/>
          <w:color w:val="010202"/>
          <w:spacing w:val="-3"/>
          <w:sz w:val="24"/>
        </w:rPr>
        <w:t>Calderón</w:t>
      </w:r>
      <w:r>
        <w:rPr>
          <w:rFonts w:ascii="Trebuchet MS" w:hAnsi="Trebuchet MS"/>
          <w:i/>
          <w:color w:val="010202"/>
          <w:spacing w:val="-3"/>
          <w:position w:val="8"/>
          <w:sz w:val="14"/>
        </w:rPr>
        <w:t>3</w:t>
      </w: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spacing w:before="7"/>
        <w:rPr>
          <w:rFonts w:ascii="Trebuchet MS"/>
          <w:i/>
          <w:sz w:val="31"/>
        </w:rPr>
      </w:pPr>
    </w:p>
    <w:p>
      <w:pPr>
        <w:pStyle w:val="Heading1"/>
        <w:spacing w:line="247" w:lineRule="auto"/>
        <w:ind w:left="2985" w:right="2011" w:hanging="900"/>
        <w:jc w:val="left"/>
      </w:pPr>
      <w:bookmarkStart w:name="_TOC_250009" w:id="2"/>
      <w:bookmarkEnd w:id="2"/>
      <w:r>
        <w:rPr>
          <w:color w:val="010202"/>
        </w:rPr>
        <w:t>SÍNTESIS HISTÓRICA DEL MEJORAMIENTO GENÉTICO DE MAÍZ PARA EL TRÓPICO HÚMEDO DE MÉXICO</w:t>
      </w:r>
    </w:p>
    <w:p>
      <w:pPr>
        <w:pStyle w:val="BodyText"/>
        <w:rPr>
          <w:rFonts w:ascii="Trebuchet MS"/>
          <w:b/>
          <w:sz w:val="36"/>
        </w:rPr>
      </w:pPr>
    </w:p>
    <w:p>
      <w:pPr>
        <w:pStyle w:val="BodyText"/>
        <w:rPr>
          <w:rFonts w:ascii="Trebuchet MS"/>
          <w:b/>
          <w:sz w:val="36"/>
        </w:rPr>
      </w:pPr>
    </w:p>
    <w:p>
      <w:pPr>
        <w:pStyle w:val="BodyText"/>
        <w:spacing w:before="8"/>
        <w:rPr>
          <w:rFonts w:ascii="Trebuchet MS"/>
          <w:b/>
          <w:sz w:val="49"/>
        </w:rPr>
      </w:pPr>
    </w:p>
    <w:p>
      <w:pPr>
        <w:spacing w:before="0"/>
        <w:ind w:left="1270" w:right="0" w:firstLine="0"/>
        <w:jc w:val="both"/>
        <w:rPr>
          <w:b/>
          <w:sz w:val="24"/>
        </w:rPr>
      </w:pPr>
      <w:r>
        <w:rPr>
          <w:b/>
          <w:color w:val="010202"/>
          <w:sz w:val="24"/>
        </w:rPr>
        <w:t>Introducción</w:t>
      </w:r>
    </w:p>
    <w:p>
      <w:pPr>
        <w:pStyle w:val="BodyText"/>
        <w:spacing w:before="10"/>
        <w:rPr>
          <w:b/>
        </w:rPr>
      </w:pPr>
    </w:p>
    <w:p>
      <w:pPr>
        <w:pStyle w:val="BodyText"/>
        <w:spacing w:line="247" w:lineRule="auto"/>
        <w:ind w:left="1270" w:right="1267"/>
        <w:jc w:val="both"/>
      </w:pPr>
      <w:r>
        <w:rPr>
          <w:color w:val="231F20"/>
        </w:rPr>
        <w:t>En</w:t>
      </w:r>
      <w:r>
        <w:rPr>
          <w:color w:val="231F20"/>
          <w:spacing w:val="-3"/>
        </w:rPr>
        <w:t> </w:t>
      </w:r>
      <w:r>
        <w:rPr>
          <w:color w:val="231F20"/>
        </w:rPr>
        <w:t>México</w:t>
      </w:r>
      <w:r>
        <w:rPr>
          <w:color w:val="231F20"/>
          <w:spacing w:val="-2"/>
        </w:rPr>
        <w:t> </w:t>
      </w:r>
      <w:r>
        <w:rPr>
          <w:color w:val="231F20"/>
        </w:rPr>
        <w:t>el</w:t>
      </w:r>
      <w:r>
        <w:rPr>
          <w:color w:val="231F20"/>
          <w:spacing w:val="-3"/>
        </w:rPr>
        <w:t> </w:t>
      </w:r>
      <w:r>
        <w:rPr>
          <w:color w:val="231F20"/>
        </w:rPr>
        <w:t>cultivo</w:t>
      </w:r>
      <w:r>
        <w:rPr>
          <w:color w:val="231F20"/>
          <w:spacing w:val="-3"/>
        </w:rPr>
        <w:t> </w:t>
      </w:r>
      <w:r>
        <w:rPr>
          <w:color w:val="231F20"/>
        </w:rPr>
        <w:t>de</w:t>
      </w:r>
      <w:r>
        <w:rPr>
          <w:color w:val="231F20"/>
          <w:spacing w:val="-3"/>
        </w:rPr>
        <w:t> </w:t>
      </w:r>
      <w:r>
        <w:rPr>
          <w:color w:val="231F20"/>
        </w:rPr>
        <w:t>maíz</w:t>
      </w:r>
      <w:r>
        <w:rPr>
          <w:color w:val="231F20"/>
          <w:spacing w:val="-3"/>
        </w:rPr>
        <w:t> </w:t>
      </w:r>
      <w:r>
        <w:rPr>
          <w:color w:val="231F20"/>
        </w:rPr>
        <w:t>es</w:t>
      </w:r>
      <w:r>
        <w:rPr>
          <w:color w:val="231F20"/>
          <w:spacing w:val="-3"/>
        </w:rPr>
        <w:t> </w:t>
      </w:r>
      <w:r>
        <w:rPr>
          <w:color w:val="231F20"/>
        </w:rPr>
        <w:t>el</w:t>
      </w:r>
      <w:r>
        <w:rPr>
          <w:color w:val="231F20"/>
          <w:spacing w:val="-3"/>
        </w:rPr>
        <w:t> </w:t>
      </w:r>
      <w:r>
        <w:rPr>
          <w:color w:val="231F20"/>
        </w:rPr>
        <w:t>más</w:t>
      </w:r>
      <w:r>
        <w:rPr>
          <w:color w:val="231F20"/>
          <w:spacing w:val="-3"/>
        </w:rPr>
        <w:t> </w:t>
      </w:r>
      <w:r>
        <w:rPr>
          <w:color w:val="231F20"/>
        </w:rPr>
        <w:t>importante</w:t>
      </w:r>
      <w:r>
        <w:rPr>
          <w:color w:val="231F20"/>
          <w:spacing w:val="-3"/>
        </w:rPr>
        <w:t> </w:t>
      </w:r>
      <w:r>
        <w:rPr>
          <w:color w:val="231F20"/>
        </w:rPr>
        <w:t>por</w:t>
      </w:r>
      <w:r>
        <w:rPr>
          <w:color w:val="231F20"/>
          <w:spacing w:val="-3"/>
        </w:rPr>
        <w:t> </w:t>
      </w:r>
      <w:r>
        <w:rPr>
          <w:color w:val="231F20"/>
        </w:rPr>
        <w:t>ser</w:t>
      </w:r>
      <w:r>
        <w:rPr>
          <w:color w:val="231F20"/>
          <w:spacing w:val="-3"/>
        </w:rPr>
        <w:t> </w:t>
      </w:r>
      <w:r>
        <w:rPr>
          <w:color w:val="231F20"/>
        </w:rPr>
        <w:t>el</w:t>
      </w:r>
      <w:r>
        <w:rPr>
          <w:color w:val="231F20"/>
          <w:spacing w:val="-3"/>
        </w:rPr>
        <w:t> </w:t>
      </w:r>
      <w:r>
        <w:rPr>
          <w:color w:val="231F20"/>
        </w:rPr>
        <w:t>alimento</w:t>
      </w:r>
      <w:r>
        <w:rPr>
          <w:color w:val="231F20"/>
          <w:spacing w:val="-3"/>
        </w:rPr>
        <w:t> </w:t>
      </w:r>
      <w:r>
        <w:rPr>
          <w:color w:val="231F20"/>
        </w:rPr>
        <w:t>principal</w:t>
      </w:r>
      <w:r>
        <w:rPr>
          <w:color w:val="231F20"/>
          <w:spacing w:val="-3"/>
        </w:rPr>
        <w:t> </w:t>
      </w:r>
      <w:r>
        <w:rPr>
          <w:color w:val="231F20"/>
        </w:rPr>
        <w:t>de</w:t>
      </w:r>
      <w:r>
        <w:rPr>
          <w:color w:val="231F20"/>
          <w:spacing w:val="-3"/>
        </w:rPr>
        <w:t> </w:t>
      </w:r>
      <w:r>
        <w:rPr>
          <w:color w:val="231F20"/>
        </w:rPr>
        <w:t>la</w:t>
      </w:r>
      <w:r>
        <w:rPr>
          <w:color w:val="231F20"/>
          <w:spacing w:val="-3"/>
        </w:rPr>
        <w:t> </w:t>
      </w:r>
      <w:r>
        <w:rPr>
          <w:color w:val="231F20"/>
        </w:rPr>
        <w:t>población,</w:t>
      </w:r>
      <w:r>
        <w:rPr>
          <w:color w:val="231F20"/>
          <w:spacing w:val="-3"/>
        </w:rPr>
        <w:t> </w:t>
      </w:r>
      <w:r>
        <w:rPr>
          <w:color w:val="231F20"/>
        </w:rPr>
        <w:t>por su</w:t>
      </w:r>
      <w:r>
        <w:rPr>
          <w:color w:val="231F20"/>
          <w:spacing w:val="-4"/>
        </w:rPr>
        <w:t> </w:t>
      </w:r>
      <w:r>
        <w:rPr>
          <w:color w:val="231F20"/>
        </w:rPr>
        <w:t>superficie</w:t>
      </w:r>
      <w:r>
        <w:rPr>
          <w:color w:val="231F20"/>
          <w:spacing w:val="-4"/>
        </w:rPr>
        <w:t> </w:t>
      </w:r>
      <w:r>
        <w:rPr>
          <w:color w:val="231F20"/>
        </w:rPr>
        <w:t>sembrada</w:t>
      </w:r>
      <w:r>
        <w:rPr>
          <w:color w:val="231F20"/>
          <w:spacing w:val="-4"/>
        </w:rPr>
        <w:t> </w:t>
      </w:r>
      <w:r>
        <w:rPr>
          <w:color w:val="231F20"/>
        </w:rPr>
        <w:t>valor</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producción</w:t>
      </w:r>
      <w:r>
        <w:rPr>
          <w:color w:val="231F20"/>
          <w:spacing w:val="-4"/>
        </w:rPr>
        <w:t> </w:t>
      </w:r>
      <w:r>
        <w:rPr>
          <w:color w:val="231F20"/>
        </w:rPr>
        <w:t>y</w:t>
      </w:r>
      <w:r>
        <w:rPr>
          <w:color w:val="231F20"/>
          <w:spacing w:val="-4"/>
        </w:rPr>
        <w:t> </w:t>
      </w:r>
      <w:r>
        <w:rPr>
          <w:color w:val="231F20"/>
        </w:rPr>
        <w:t>por</w:t>
      </w:r>
      <w:r>
        <w:rPr>
          <w:color w:val="231F20"/>
          <w:spacing w:val="-4"/>
        </w:rPr>
        <w:t> </w:t>
      </w:r>
      <w:r>
        <w:rPr>
          <w:color w:val="231F20"/>
        </w:rPr>
        <w:t>ocupar</w:t>
      </w:r>
      <w:r>
        <w:rPr>
          <w:color w:val="231F20"/>
          <w:spacing w:val="-4"/>
        </w:rPr>
        <w:t> </w:t>
      </w:r>
      <w:r>
        <w:rPr>
          <w:color w:val="231F20"/>
        </w:rPr>
        <w:t>el</w:t>
      </w:r>
      <w:r>
        <w:rPr>
          <w:color w:val="231F20"/>
          <w:spacing w:val="-4"/>
        </w:rPr>
        <w:t> </w:t>
      </w:r>
      <w:r>
        <w:rPr>
          <w:color w:val="231F20"/>
        </w:rPr>
        <w:t>20%</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población</w:t>
      </w:r>
      <w:r>
        <w:rPr>
          <w:color w:val="231F20"/>
          <w:spacing w:val="-4"/>
        </w:rPr>
        <w:t> </w:t>
      </w:r>
      <w:r>
        <w:rPr>
          <w:color w:val="231F20"/>
        </w:rPr>
        <w:t>económicamente activa. El uso principal es como consumo directo en sus diferentes formas en la alimentación</w:t>
      </w:r>
      <w:r>
        <w:rPr>
          <w:color w:val="231F20"/>
          <w:spacing w:val="-32"/>
        </w:rPr>
        <w:t> </w:t>
      </w:r>
      <w:r>
        <w:rPr>
          <w:color w:val="231F20"/>
        </w:rPr>
        <w:t>huma- na. Se reporta un consumo per cápita aparente de 209.8 kg. (Morris y López, 2000). La superficie nacional en los últimos años es de alrededor de 8.2 millones de hectáreas, con una producción de</w:t>
      </w:r>
      <w:r>
        <w:rPr>
          <w:color w:val="231F20"/>
          <w:spacing w:val="-33"/>
        </w:rPr>
        <w:t> </w:t>
      </w:r>
      <w:r>
        <w:rPr>
          <w:color w:val="231F20"/>
        </w:rPr>
        <w:t>18 millones</w:t>
      </w:r>
      <w:r>
        <w:rPr>
          <w:color w:val="231F20"/>
          <w:spacing w:val="-7"/>
        </w:rPr>
        <w:t> </w:t>
      </w:r>
      <w:r>
        <w:rPr>
          <w:color w:val="231F20"/>
        </w:rPr>
        <w:t>de</w:t>
      </w:r>
      <w:r>
        <w:rPr>
          <w:color w:val="231F20"/>
          <w:spacing w:val="-6"/>
        </w:rPr>
        <w:t> </w:t>
      </w:r>
      <w:r>
        <w:rPr>
          <w:color w:val="231F20"/>
        </w:rPr>
        <w:t>toneladas</w:t>
      </w:r>
      <w:r>
        <w:rPr>
          <w:color w:val="231F20"/>
          <w:spacing w:val="-7"/>
        </w:rPr>
        <w:t> </w:t>
      </w:r>
      <w:r>
        <w:rPr>
          <w:color w:val="231F20"/>
        </w:rPr>
        <w:t>de</w:t>
      </w:r>
      <w:r>
        <w:rPr>
          <w:color w:val="231F20"/>
          <w:spacing w:val="-6"/>
        </w:rPr>
        <w:t> </w:t>
      </w:r>
      <w:r>
        <w:rPr>
          <w:color w:val="231F20"/>
        </w:rPr>
        <w:t>grano,</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cuales</w:t>
      </w:r>
      <w:r>
        <w:rPr>
          <w:color w:val="231F20"/>
          <w:spacing w:val="-7"/>
        </w:rPr>
        <w:t> </w:t>
      </w:r>
      <w:r>
        <w:rPr>
          <w:color w:val="231F20"/>
        </w:rPr>
        <w:t>se</w:t>
      </w:r>
      <w:r>
        <w:rPr>
          <w:color w:val="231F20"/>
          <w:spacing w:val="-6"/>
        </w:rPr>
        <w:t> </w:t>
      </w:r>
      <w:r>
        <w:rPr>
          <w:color w:val="231F20"/>
        </w:rPr>
        <w:t>utilizan</w:t>
      </w:r>
      <w:r>
        <w:rPr>
          <w:color w:val="231F20"/>
          <w:spacing w:val="-6"/>
        </w:rPr>
        <w:t> </w:t>
      </w:r>
      <w:r>
        <w:rPr>
          <w:color w:val="231F20"/>
        </w:rPr>
        <w:t>para</w:t>
      </w:r>
      <w:r>
        <w:rPr>
          <w:color w:val="231F20"/>
          <w:spacing w:val="-6"/>
        </w:rPr>
        <w:t> </w:t>
      </w:r>
      <w:r>
        <w:rPr>
          <w:color w:val="231F20"/>
        </w:rPr>
        <w:t>el</w:t>
      </w:r>
      <w:r>
        <w:rPr>
          <w:color w:val="231F20"/>
          <w:spacing w:val="-6"/>
        </w:rPr>
        <w:t> </w:t>
      </w:r>
      <w:r>
        <w:rPr>
          <w:color w:val="231F20"/>
        </w:rPr>
        <w:t>consumo</w:t>
      </w:r>
      <w:r>
        <w:rPr>
          <w:color w:val="231F20"/>
          <w:spacing w:val="-7"/>
        </w:rPr>
        <w:t> </w:t>
      </w:r>
      <w:r>
        <w:rPr>
          <w:color w:val="231F20"/>
        </w:rPr>
        <w:t>directo</w:t>
      </w:r>
      <w:r>
        <w:rPr>
          <w:color w:val="231F20"/>
          <w:spacing w:val="-6"/>
        </w:rPr>
        <w:t> </w:t>
      </w:r>
      <w:r>
        <w:rPr>
          <w:color w:val="231F20"/>
        </w:rPr>
        <w:t>humano</w:t>
      </w:r>
      <w:r>
        <w:rPr>
          <w:color w:val="231F20"/>
          <w:spacing w:val="-6"/>
        </w:rPr>
        <w:t> </w:t>
      </w:r>
      <w:r>
        <w:rPr>
          <w:color w:val="231F20"/>
        </w:rPr>
        <w:t>12.3</w:t>
      </w:r>
      <w:r>
        <w:rPr>
          <w:color w:val="231F20"/>
          <w:spacing w:val="-6"/>
        </w:rPr>
        <w:t> </w:t>
      </w:r>
      <w:r>
        <w:rPr>
          <w:color w:val="231F20"/>
        </w:rPr>
        <w:t>millo- nes de toneladas; de estas, el 36% es a través de la industria harinera y 64% a través de la industria de la masa y la tortilla en el proceso de nixtamalización; </w:t>
      </w:r>
      <w:r>
        <w:rPr>
          <w:color w:val="231F20"/>
          <w:spacing w:val="-3"/>
        </w:rPr>
        <w:t>(SAGARPA, </w:t>
      </w:r>
      <w:r>
        <w:rPr>
          <w:color w:val="231F20"/>
        </w:rPr>
        <w:t>2008). Se importan alrededor de</w:t>
      </w:r>
      <w:r>
        <w:rPr>
          <w:color w:val="231F20"/>
          <w:spacing w:val="-8"/>
        </w:rPr>
        <w:t> </w:t>
      </w:r>
      <w:r>
        <w:rPr>
          <w:color w:val="231F20"/>
        </w:rPr>
        <w:t>5</w:t>
      </w:r>
      <w:r>
        <w:rPr>
          <w:color w:val="231F20"/>
          <w:spacing w:val="-8"/>
        </w:rPr>
        <w:t> </w:t>
      </w:r>
      <w:r>
        <w:rPr>
          <w:color w:val="231F20"/>
        </w:rPr>
        <w:t>millones</w:t>
      </w:r>
      <w:r>
        <w:rPr>
          <w:color w:val="231F20"/>
          <w:spacing w:val="-8"/>
        </w:rPr>
        <w:t> </w:t>
      </w:r>
      <w:r>
        <w:rPr>
          <w:color w:val="231F20"/>
        </w:rPr>
        <w:t>de</w:t>
      </w:r>
      <w:r>
        <w:rPr>
          <w:color w:val="231F20"/>
          <w:spacing w:val="-8"/>
        </w:rPr>
        <w:t> </w:t>
      </w:r>
      <w:r>
        <w:rPr>
          <w:color w:val="231F20"/>
        </w:rPr>
        <w:t>toneladas</w:t>
      </w:r>
      <w:r>
        <w:rPr>
          <w:color w:val="231F20"/>
          <w:spacing w:val="-8"/>
        </w:rPr>
        <w:t> </w:t>
      </w:r>
      <w:r>
        <w:rPr>
          <w:color w:val="231F20"/>
        </w:rPr>
        <w:t>de</w:t>
      </w:r>
      <w:r>
        <w:rPr>
          <w:color w:val="231F20"/>
          <w:spacing w:val="-8"/>
        </w:rPr>
        <w:t> </w:t>
      </w:r>
      <w:r>
        <w:rPr>
          <w:color w:val="231F20"/>
        </w:rPr>
        <w:t>grano</w:t>
      </w:r>
      <w:r>
        <w:rPr>
          <w:color w:val="231F20"/>
          <w:spacing w:val="-8"/>
        </w:rPr>
        <w:t> </w:t>
      </w:r>
      <w:r>
        <w:rPr>
          <w:color w:val="231F20"/>
        </w:rPr>
        <w:t>amarillo</w:t>
      </w:r>
      <w:r>
        <w:rPr>
          <w:color w:val="231F20"/>
          <w:spacing w:val="-8"/>
        </w:rPr>
        <w:t> </w:t>
      </w:r>
      <w:r>
        <w:rPr>
          <w:color w:val="231F20"/>
        </w:rPr>
        <w:t>para</w:t>
      </w:r>
      <w:r>
        <w:rPr>
          <w:color w:val="231F20"/>
          <w:spacing w:val="-8"/>
        </w:rPr>
        <w:t> </w:t>
      </w:r>
      <w:r>
        <w:rPr>
          <w:color w:val="231F20"/>
        </w:rPr>
        <w:t>la</w:t>
      </w:r>
      <w:r>
        <w:rPr>
          <w:color w:val="231F20"/>
          <w:spacing w:val="-8"/>
        </w:rPr>
        <w:t> </w:t>
      </w:r>
      <w:r>
        <w:rPr>
          <w:color w:val="231F20"/>
        </w:rPr>
        <w:t>industria</w:t>
      </w:r>
      <w:r>
        <w:rPr>
          <w:color w:val="231F20"/>
          <w:spacing w:val="-8"/>
        </w:rPr>
        <w:t> </w:t>
      </w:r>
      <w:r>
        <w:rPr>
          <w:color w:val="231F20"/>
        </w:rPr>
        <w:t>de</w:t>
      </w:r>
      <w:r>
        <w:rPr>
          <w:color w:val="231F20"/>
          <w:spacing w:val="-8"/>
        </w:rPr>
        <w:t> </w:t>
      </w:r>
      <w:r>
        <w:rPr>
          <w:color w:val="231F20"/>
        </w:rPr>
        <w:t>alimentos</w:t>
      </w:r>
      <w:r>
        <w:rPr>
          <w:color w:val="231F20"/>
          <w:spacing w:val="-8"/>
        </w:rPr>
        <w:t> </w:t>
      </w:r>
      <w:r>
        <w:rPr>
          <w:color w:val="231F20"/>
        </w:rPr>
        <w:t>balanceados.</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región tropical se siembran 3.2 millones de hectáreas de maíz, de las cuales un millón están comprendidas en</w:t>
      </w:r>
      <w:r>
        <w:rPr>
          <w:color w:val="231F20"/>
          <w:spacing w:val="-9"/>
        </w:rPr>
        <w:t> </w:t>
      </w:r>
      <w:r>
        <w:rPr>
          <w:color w:val="231F20"/>
        </w:rPr>
        <w:t>provincias</w:t>
      </w:r>
      <w:r>
        <w:rPr>
          <w:color w:val="231F20"/>
          <w:spacing w:val="-9"/>
        </w:rPr>
        <w:t> </w:t>
      </w:r>
      <w:r>
        <w:rPr>
          <w:color w:val="231F20"/>
        </w:rPr>
        <w:t>agronómicas</w:t>
      </w:r>
      <w:r>
        <w:rPr>
          <w:color w:val="231F20"/>
          <w:spacing w:val="-10"/>
        </w:rPr>
        <w:t> </w:t>
      </w:r>
      <w:r>
        <w:rPr>
          <w:color w:val="231F20"/>
        </w:rPr>
        <w:t>de</w:t>
      </w:r>
      <w:r>
        <w:rPr>
          <w:color w:val="231F20"/>
          <w:spacing w:val="-9"/>
        </w:rPr>
        <w:t> </w:t>
      </w:r>
      <w:r>
        <w:rPr>
          <w:color w:val="231F20"/>
        </w:rPr>
        <w:t>buena</w:t>
      </w:r>
      <w:r>
        <w:rPr>
          <w:color w:val="231F20"/>
          <w:spacing w:val="-9"/>
        </w:rPr>
        <w:t> </w:t>
      </w:r>
      <w:r>
        <w:rPr>
          <w:color w:val="231F20"/>
        </w:rPr>
        <w:t>y</w:t>
      </w:r>
      <w:r>
        <w:rPr>
          <w:color w:val="231F20"/>
          <w:spacing w:val="-9"/>
        </w:rPr>
        <w:t> </w:t>
      </w:r>
      <w:r>
        <w:rPr>
          <w:color w:val="231F20"/>
        </w:rPr>
        <w:t>muy</w:t>
      </w:r>
      <w:r>
        <w:rPr>
          <w:color w:val="231F20"/>
          <w:spacing w:val="-9"/>
        </w:rPr>
        <w:t> </w:t>
      </w:r>
      <w:r>
        <w:rPr>
          <w:color w:val="231F20"/>
        </w:rPr>
        <w:t>buena</w:t>
      </w:r>
      <w:r>
        <w:rPr>
          <w:color w:val="231F20"/>
          <w:spacing w:val="-9"/>
        </w:rPr>
        <w:t> </w:t>
      </w:r>
      <w:r>
        <w:rPr>
          <w:color w:val="231F20"/>
        </w:rPr>
        <w:t>productividad</w:t>
      </w:r>
      <w:r>
        <w:rPr>
          <w:color w:val="231F20"/>
          <w:spacing w:val="-9"/>
        </w:rPr>
        <w:t> </w:t>
      </w:r>
      <w:r>
        <w:rPr>
          <w:color w:val="231F20"/>
        </w:rPr>
        <w:t>y</w:t>
      </w:r>
      <w:r>
        <w:rPr>
          <w:color w:val="231F20"/>
          <w:spacing w:val="-9"/>
        </w:rPr>
        <w:t> </w:t>
      </w:r>
      <w:r>
        <w:rPr>
          <w:color w:val="231F20"/>
        </w:rPr>
        <w:t>donde</w:t>
      </w:r>
      <w:r>
        <w:rPr>
          <w:color w:val="231F20"/>
          <w:spacing w:val="-9"/>
        </w:rPr>
        <w:t> </w:t>
      </w:r>
      <w:r>
        <w:rPr>
          <w:color w:val="231F20"/>
        </w:rPr>
        <w:t>es</w:t>
      </w:r>
      <w:r>
        <w:rPr>
          <w:color w:val="231F20"/>
          <w:spacing w:val="-9"/>
        </w:rPr>
        <w:t> </w:t>
      </w:r>
      <w:r>
        <w:rPr>
          <w:color w:val="231F20"/>
        </w:rPr>
        <w:t>factible</w:t>
      </w:r>
      <w:r>
        <w:rPr>
          <w:color w:val="231F20"/>
          <w:spacing w:val="-9"/>
        </w:rPr>
        <w:t> </w:t>
      </w:r>
      <w:r>
        <w:rPr>
          <w:color w:val="231F20"/>
        </w:rPr>
        <w:t>el</w:t>
      </w:r>
      <w:r>
        <w:rPr>
          <w:color w:val="231F20"/>
          <w:spacing w:val="-9"/>
        </w:rPr>
        <w:t> </w:t>
      </w:r>
      <w:r>
        <w:rPr>
          <w:color w:val="231F20"/>
        </w:rPr>
        <w:t>uso</w:t>
      </w:r>
      <w:r>
        <w:rPr>
          <w:color w:val="231F20"/>
          <w:spacing w:val="-9"/>
        </w:rPr>
        <w:t> </w:t>
      </w:r>
      <w:r>
        <w:rPr>
          <w:color w:val="231F20"/>
        </w:rPr>
        <w:t>de</w:t>
      </w:r>
      <w:r>
        <w:rPr>
          <w:color w:val="231F20"/>
          <w:spacing w:val="-9"/>
        </w:rPr>
        <w:t> </w:t>
      </w:r>
      <w:r>
        <w:rPr>
          <w:color w:val="231F20"/>
        </w:rPr>
        <w:t>semilla mejorada de híbridos y variedades sintéticas (Sierra </w:t>
      </w:r>
      <w:r>
        <w:rPr>
          <w:i/>
          <w:color w:val="231F20"/>
        </w:rPr>
        <w:t>et al.</w:t>
      </w:r>
      <w:r>
        <w:rPr>
          <w:color w:val="231F20"/>
        </w:rPr>
        <w:t>,</w:t>
      </w:r>
      <w:r>
        <w:rPr>
          <w:color w:val="231F20"/>
          <w:spacing w:val="-11"/>
        </w:rPr>
        <w:t> </w:t>
      </w:r>
      <w:r>
        <w:rPr>
          <w:color w:val="231F20"/>
        </w:rPr>
        <w:t>2001).</w:t>
      </w:r>
    </w:p>
    <w:p>
      <w:pPr>
        <w:pStyle w:val="BodyText"/>
        <w:rPr>
          <w:sz w:val="20"/>
        </w:rPr>
      </w:pPr>
    </w:p>
    <w:p>
      <w:pPr>
        <w:pStyle w:val="BodyText"/>
        <w:rPr>
          <w:sz w:val="20"/>
        </w:rPr>
      </w:pPr>
    </w:p>
    <w:p>
      <w:pPr>
        <w:pStyle w:val="BodyText"/>
        <w:spacing w:before="4"/>
        <w:rPr>
          <w:sz w:val="24"/>
        </w:rPr>
      </w:pPr>
    </w:p>
    <w:p>
      <w:pPr>
        <w:spacing w:line="247" w:lineRule="auto" w:before="0"/>
        <w:ind w:left="1590" w:right="1268" w:firstLine="0"/>
        <w:jc w:val="left"/>
        <w:rPr>
          <w:rFonts w:ascii="Trebuchet MS" w:hAnsi="Trebuchet MS"/>
          <w:sz w:val="16"/>
        </w:rPr>
      </w:pPr>
      <w:r>
        <w:rPr>
          <w:rFonts w:ascii="Trebuchet MS" w:hAnsi="Trebuchet MS"/>
          <w:color w:val="231F20"/>
          <w:position w:val="5"/>
          <w:sz w:val="9"/>
        </w:rPr>
        <w:t>1</w:t>
      </w:r>
      <w:r>
        <w:rPr>
          <w:rFonts w:ascii="Trebuchet MS" w:hAnsi="Trebuchet MS"/>
          <w:color w:val="231F20"/>
          <w:sz w:val="16"/>
        </w:rPr>
        <w:t>Investigador de la </w:t>
      </w:r>
      <w:r>
        <w:rPr>
          <w:rFonts w:ascii="Trebuchet MS" w:hAnsi="Trebuchet MS"/>
          <w:color w:val="231F20"/>
          <w:spacing w:val="-3"/>
          <w:sz w:val="16"/>
        </w:rPr>
        <w:t>Red </w:t>
      </w:r>
      <w:r>
        <w:rPr>
          <w:rFonts w:ascii="Trebuchet MS" w:hAnsi="Trebuchet MS"/>
          <w:color w:val="231F20"/>
          <w:sz w:val="16"/>
        </w:rPr>
        <w:t>de maíz Campo Experimental Cotaxtla. </w:t>
      </w:r>
      <w:r>
        <w:rPr>
          <w:rFonts w:ascii="Trebuchet MS" w:hAnsi="Trebuchet MS"/>
          <w:color w:val="231F20"/>
          <w:spacing w:val="-8"/>
          <w:sz w:val="16"/>
        </w:rPr>
        <w:t>INIFAP, </w:t>
      </w:r>
      <w:r>
        <w:rPr>
          <w:rFonts w:ascii="Trebuchet MS" w:hAnsi="Trebuchet MS"/>
          <w:color w:val="231F20"/>
          <w:sz w:val="16"/>
        </w:rPr>
        <w:t>Km 34 </w:t>
      </w:r>
      <w:r>
        <w:rPr>
          <w:rFonts w:ascii="Trebuchet MS" w:hAnsi="Trebuchet MS"/>
          <w:color w:val="231F20"/>
          <w:spacing w:val="-6"/>
          <w:sz w:val="16"/>
        </w:rPr>
        <w:t>Carr. </w:t>
      </w:r>
      <w:r>
        <w:rPr>
          <w:rFonts w:ascii="Trebuchet MS" w:hAnsi="Trebuchet MS"/>
          <w:color w:val="231F20"/>
          <w:spacing w:val="-3"/>
          <w:sz w:val="16"/>
        </w:rPr>
        <w:t>Veracruz </w:t>
      </w:r>
      <w:r>
        <w:rPr>
          <w:rFonts w:ascii="Trebuchet MS" w:hAnsi="Trebuchet MS"/>
          <w:color w:val="231F20"/>
          <w:sz w:val="16"/>
        </w:rPr>
        <w:t>Córdoba, Mpio. de Medellín, </w:t>
      </w:r>
      <w:r>
        <w:rPr>
          <w:rFonts w:ascii="Trebuchet MS" w:hAnsi="Trebuchet MS"/>
          <w:color w:val="231F20"/>
          <w:spacing w:val="-8"/>
          <w:sz w:val="16"/>
        </w:rPr>
        <w:t>Ver., </w:t>
      </w:r>
      <w:r>
        <w:rPr>
          <w:rFonts w:ascii="Trebuchet MS" w:hAnsi="Trebuchet MS"/>
          <w:color w:val="231F20"/>
          <w:position w:val="5"/>
          <w:sz w:val="9"/>
        </w:rPr>
        <w:t>2</w:t>
      </w:r>
      <w:r>
        <w:rPr>
          <w:rFonts w:ascii="Trebuchet MS" w:hAnsi="Trebuchet MS"/>
          <w:color w:val="231F20"/>
          <w:sz w:val="16"/>
        </w:rPr>
        <w:t>Campo Experimental Iguala, </w:t>
      </w:r>
      <w:r>
        <w:rPr>
          <w:rFonts w:ascii="Trebuchet MS" w:hAnsi="Trebuchet MS"/>
          <w:color w:val="231F20"/>
          <w:spacing w:val="-8"/>
          <w:sz w:val="16"/>
        </w:rPr>
        <w:t>INIFAP. </w:t>
      </w:r>
      <w:r>
        <w:rPr>
          <w:rFonts w:ascii="Trebuchet MS" w:hAnsi="Trebuchet MS"/>
          <w:color w:val="231F20"/>
          <w:position w:val="5"/>
          <w:sz w:val="9"/>
        </w:rPr>
        <w:t>3</w:t>
      </w:r>
      <w:r>
        <w:rPr>
          <w:rFonts w:ascii="Trebuchet MS" w:hAnsi="Trebuchet MS"/>
          <w:color w:val="231F20"/>
          <w:sz w:val="16"/>
        </w:rPr>
        <w:t>Campo Experimental </w:t>
      </w:r>
      <w:r>
        <w:rPr>
          <w:rFonts w:ascii="Trebuchet MS" w:hAnsi="Trebuchet MS"/>
          <w:color w:val="231F20"/>
          <w:spacing w:val="-4"/>
          <w:sz w:val="16"/>
        </w:rPr>
        <w:t>Valle </w:t>
      </w:r>
      <w:r>
        <w:rPr>
          <w:rFonts w:ascii="Trebuchet MS" w:hAnsi="Trebuchet MS"/>
          <w:color w:val="231F20"/>
          <w:sz w:val="16"/>
        </w:rPr>
        <w:t>de México, </w:t>
      </w:r>
      <w:r>
        <w:rPr>
          <w:rFonts w:ascii="Trebuchet MS" w:hAnsi="Trebuchet MS"/>
          <w:color w:val="231F20"/>
          <w:spacing w:val="-8"/>
          <w:sz w:val="16"/>
        </w:rPr>
        <w:t>INIFAP. </w:t>
      </w:r>
      <w:r>
        <w:rPr>
          <w:rFonts w:ascii="Trebuchet MS" w:hAnsi="Trebuchet MS"/>
          <w:color w:val="231F20"/>
          <w:sz w:val="16"/>
        </w:rPr>
        <w:t>sierra.mauro@ </w:t>
      </w:r>
      <w:r>
        <w:rPr>
          <w:rFonts w:ascii="Trebuchet MS" w:hAnsi="Trebuchet MS"/>
          <w:color w:val="231F20"/>
          <w:spacing w:val="-1"/>
          <w:sz w:val="16"/>
        </w:rPr>
        <w:t>inifap.gob.mx, </w:t>
      </w:r>
      <w:hyperlink r:id="rId25">
        <w:r>
          <w:rPr>
            <w:rFonts w:ascii="Trebuchet MS" w:hAnsi="Trebuchet MS"/>
            <w:color w:val="231F20"/>
            <w:sz w:val="16"/>
          </w:rPr>
          <w:t>mauro_s55@hotmail.com</w:t>
        </w:r>
      </w:hyperlink>
    </w:p>
    <w:p>
      <w:pPr>
        <w:spacing w:after="0" w:line="247" w:lineRule="auto"/>
        <w:jc w:val="left"/>
        <w:rPr>
          <w:rFonts w:ascii="Trebuchet MS" w:hAnsi="Trebuchet MS"/>
          <w:sz w:val="16"/>
        </w:rPr>
        <w:sectPr>
          <w:pgSz w:w="10920" w:h="13080"/>
          <w:pgMar w:header="0" w:footer="1025" w:top="420" w:bottom="1220" w:left="0" w:right="0"/>
        </w:sectPr>
      </w:pPr>
    </w:p>
    <w:p>
      <w:pPr>
        <w:pStyle w:val="BodyText"/>
        <w:rPr>
          <w:rFonts w:ascii="Trebuchet MS"/>
          <w:sz w:val="20"/>
        </w:rPr>
      </w:pPr>
    </w:p>
    <w:p>
      <w:pPr>
        <w:pStyle w:val="BodyText"/>
        <w:rPr>
          <w:rFonts w:ascii="Trebuchet MS"/>
          <w:sz w:val="20"/>
        </w:rPr>
      </w:pPr>
    </w:p>
    <w:p>
      <w:pPr>
        <w:pStyle w:val="BodyText"/>
        <w:spacing w:before="4"/>
        <w:rPr>
          <w:rFonts w:ascii="Trebuchet MS"/>
          <w:sz w:val="22"/>
        </w:rPr>
      </w:pPr>
    </w:p>
    <w:p>
      <w:pPr>
        <w:pStyle w:val="BodyText"/>
        <w:spacing w:line="247" w:lineRule="auto" w:before="73"/>
        <w:ind w:left="1270" w:right="1268"/>
        <w:jc w:val="both"/>
      </w:pPr>
      <w:r>
        <w:rPr>
          <w:color w:val="231F20"/>
        </w:rPr>
        <w:t>En</w:t>
      </w:r>
      <w:r>
        <w:rPr>
          <w:color w:val="231F20"/>
          <w:spacing w:val="-6"/>
        </w:rPr>
        <w:t> </w:t>
      </w:r>
      <w:r>
        <w:rPr>
          <w:color w:val="231F20"/>
        </w:rPr>
        <w:t>México</w:t>
      </w:r>
      <w:r>
        <w:rPr>
          <w:color w:val="231F20"/>
          <w:spacing w:val="-6"/>
        </w:rPr>
        <w:t> </w:t>
      </w:r>
      <w:r>
        <w:rPr>
          <w:color w:val="231F20"/>
        </w:rPr>
        <w:t>existen</w:t>
      </w:r>
      <w:r>
        <w:rPr>
          <w:color w:val="231F20"/>
          <w:spacing w:val="-6"/>
        </w:rPr>
        <w:t> </w:t>
      </w:r>
      <w:r>
        <w:rPr>
          <w:color w:val="231F20"/>
        </w:rPr>
        <w:t>31</w:t>
      </w:r>
      <w:r>
        <w:rPr>
          <w:color w:val="231F20"/>
          <w:spacing w:val="-6"/>
        </w:rPr>
        <w:t> </w:t>
      </w:r>
      <w:r>
        <w:rPr>
          <w:color w:val="231F20"/>
        </w:rPr>
        <w:t>millones</w:t>
      </w:r>
      <w:r>
        <w:rPr>
          <w:color w:val="231F20"/>
          <w:spacing w:val="-6"/>
        </w:rPr>
        <w:t> </w:t>
      </w:r>
      <w:r>
        <w:rPr>
          <w:color w:val="231F20"/>
        </w:rPr>
        <w:t>de</w:t>
      </w:r>
      <w:r>
        <w:rPr>
          <w:color w:val="231F20"/>
          <w:spacing w:val="-6"/>
        </w:rPr>
        <w:t> </w:t>
      </w:r>
      <w:r>
        <w:rPr>
          <w:color w:val="231F20"/>
        </w:rPr>
        <w:t>personas</w:t>
      </w:r>
      <w:r>
        <w:rPr>
          <w:color w:val="231F20"/>
          <w:spacing w:val="-6"/>
        </w:rPr>
        <w:t> </w:t>
      </w:r>
      <w:r>
        <w:rPr>
          <w:color w:val="231F20"/>
        </w:rPr>
        <w:t>con</w:t>
      </w:r>
      <w:r>
        <w:rPr>
          <w:color w:val="231F20"/>
          <w:spacing w:val="-6"/>
        </w:rPr>
        <w:t> </w:t>
      </w:r>
      <w:r>
        <w:rPr>
          <w:color w:val="231F20"/>
        </w:rPr>
        <w:t>desnutrición,</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cuales</w:t>
      </w:r>
      <w:r>
        <w:rPr>
          <w:color w:val="231F20"/>
          <w:spacing w:val="-6"/>
        </w:rPr>
        <w:t> </w:t>
      </w:r>
      <w:r>
        <w:rPr>
          <w:color w:val="231F20"/>
        </w:rPr>
        <w:t>18</w:t>
      </w:r>
      <w:r>
        <w:rPr>
          <w:color w:val="231F20"/>
          <w:spacing w:val="-6"/>
        </w:rPr>
        <w:t> </w:t>
      </w:r>
      <w:r>
        <w:rPr>
          <w:color w:val="231F20"/>
        </w:rPr>
        <w:t>millones</w:t>
      </w:r>
      <w:r>
        <w:rPr>
          <w:color w:val="231F20"/>
          <w:spacing w:val="-6"/>
        </w:rPr>
        <w:t> </w:t>
      </w:r>
      <w:r>
        <w:rPr>
          <w:color w:val="231F20"/>
        </w:rPr>
        <w:t>padecen</w:t>
      </w:r>
      <w:r>
        <w:rPr>
          <w:color w:val="231F20"/>
          <w:spacing w:val="-6"/>
        </w:rPr>
        <w:t> </w:t>
      </w:r>
      <w:r>
        <w:rPr>
          <w:color w:val="231F20"/>
        </w:rPr>
        <w:t>des- nutrición</w:t>
      </w:r>
      <w:r>
        <w:rPr>
          <w:color w:val="231F20"/>
          <w:spacing w:val="-8"/>
        </w:rPr>
        <w:t> </w:t>
      </w:r>
      <w:r>
        <w:rPr>
          <w:color w:val="231F20"/>
        </w:rPr>
        <w:t>severa</w:t>
      </w:r>
      <w:r>
        <w:rPr>
          <w:color w:val="231F20"/>
          <w:spacing w:val="-8"/>
        </w:rPr>
        <w:t> </w:t>
      </w:r>
      <w:r>
        <w:rPr>
          <w:color w:val="231F20"/>
        </w:rPr>
        <w:t>(Espinosa</w:t>
      </w:r>
      <w:r>
        <w:rPr>
          <w:color w:val="231F20"/>
          <w:spacing w:val="-8"/>
        </w:rPr>
        <w:t> </w:t>
      </w:r>
      <w:r>
        <w:rPr>
          <w:color w:val="231F20"/>
        </w:rPr>
        <w:t>et</w:t>
      </w:r>
      <w:r>
        <w:rPr>
          <w:color w:val="231F20"/>
          <w:spacing w:val="-8"/>
        </w:rPr>
        <w:t> </w:t>
      </w:r>
      <w:r>
        <w:rPr>
          <w:color w:val="231F20"/>
        </w:rPr>
        <w:t>al.,</w:t>
      </w:r>
      <w:r>
        <w:rPr>
          <w:color w:val="231F20"/>
          <w:spacing w:val="-8"/>
        </w:rPr>
        <w:t> </w:t>
      </w:r>
      <w:r>
        <w:rPr>
          <w:color w:val="231F20"/>
        </w:rPr>
        <w:t>2006),</w:t>
      </w:r>
      <w:r>
        <w:rPr>
          <w:color w:val="231F20"/>
          <w:spacing w:val="-8"/>
        </w:rPr>
        <w:t> </w:t>
      </w:r>
      <w:r>
        <w:rPr>
          <w:color w:val="231F20"/>
        </w:rPr>
        <w:t>se</w:t>
      </w:r>
      <w:r>
        <w:rPr>
          <w:color w:val="231F20"/>
          <w:spacing w:val="-8"/>
        </w:rPr>
        <w:t> </w:t>
      </w:r>
      <w:r>
        <w:rPr>
          <w:color w:val="231F20"/>
        </w:rPr>
        <w:t>trata</w:t>
      </w:r>
      <w:r>
        <w:rPr>
          <w:color w:val="231F20"/>
          <w:spacing w:val="-8"/>
        </w:rPr>
        <w:t> </w:t>
      </w:r>
      <w:r>
        <w:rPr>
          <w:color w:val="231F20"/>
        </w:rPr>
        <w:t>de</w:t>
      </w:r>
      <w:r>
        <w:rPr>
          <w:color w:val="231F20"/>
          <w:spacing w:val="-8"/>
        </w:rPr>
        <w:t> </w:t>
      </w:r>
      <w:r>
        <w:rPr>
          <w:color w:val="231F20"/>
        </w:rPr>
        <w:t>diez</w:t>
      </w:r>
      <w:r>
        <w:rPr>
          <w:color w:val="231F20"/>
          <w:spacing w:val="37"/>
        </w:rPr>
        <w:t> </w:t>
      </w:r>
      <w:r>
        <w:rPr>
          <w:color w:val="231F20"/>
        </w:rPr>
        <w:t>millones</w:t>
      </w:r>
      <w:r>
        <w:rPr>
          <w:color w:val="231F20"/>
          <w:spacing w:val="-8"/>
        </w:rPr>
        <w:t> </w:t>
      </w:r>
      <w:r>
        <w:rPr>
          <w:color w:val="231F20"/>
        </w:rPr>
        <w:t>de</w:t>
      </w:r>
      <w:r>
        <w:rPr>
          <w:color w:val="231F20"/>
          <w:spacing w:val="-8"/>
        </w:rPr>
        <w:t> </w:t>
      </w:r>
      <w:r>
        <w:rPr>
          <w:color w:val="231F20"/>
        </w:rPr>
        <w:t>indígenas</w:t>
      </w:r>
      <w:r>
        <w:rPr>
          <w:color w:val="231F20"/>
          <w:spacing w:val="-8"/>
        </w:rPr>
        <w:t> </w:t>
      </w:r>
      <w:r>
        <w:rPr>
          <w:color w:val="231F20"/>
        </w:rPr>
        <w:t>y</w:t>
      </w:r>
      <w:r>
        <w:rPr>
          <w:color w:val="231F20"/>
          <w:spacing w:val="-8"/>
        </w:rPr>
        <w:t> </w:t>
      </w:r>
      <w:r>
        <w:rPr>
          <w:color w:val="231F20"/>
        </w:rPr>
        <w:t>el</w:t>
      </w:r>
      <w:r>
        <w:rPr>
          <w:color w:val="231F20"/>
          <w:spacing w:val="-8"/>
        </w:rPr>
        <w:t> </w:t>
      </w:r>
      <w:r>
        <w:rPr>
          <w:color w:val="231F20"/>
        </w:rPr>
        <w:t>resto</w:t>
      </w:r>
      <w:r>
        <w:rPr>
          <w:color w:val="231F20"/>
          <w:spacing w:val="-8"/>
        </w:rPr>
        <w:t> </w:t>
      </w:r>
      <w:r>
        <w:rPr>
          <w:color w:val="231F20"/>
        </w:rPr>
        <w:t>es</w:t>
      </w:r>
      <w:r>
        <w:rPr>
          <w:color w:val="231F20"/>
          <w:spacing w:val="-8"/>
        </w:rPr>
        <w:t> </w:t>
      </w:r>
      <w:r>
        <w:rPr>
          <w:color w:val="231F20"/>
        </w:rPr>
        <w:t>población urbana de bajos ingresos. De estos, el 50% corresponden a niños menores de 5 años de las áreas ru- rales</w:t>
      </w:r>
      <w:r>
        <w:rPr>
          <w:color w:val="231F20"/>
          <w:spacing w:val="-4"/>
        </w:rPr>
        <w:t> </w:t>
      </w:r>
      <w:r>
        <w:rPr>
          <w:color w:val="231F20"/>
        </w:rPr>
        <w:t>y</w:t>
      </w:r>
      <w:r>
        <w:rPr>
          <w:color w:val="231F20"/>
          <w:spacing w:val="-3"/>
        </w:rPr>
        <w:t> </w:t>
      </w:r>
      <w:r>
        <w:rPr>
          <w:color w:val="231F20"/>
        </w:rPr>
        <w:t>el</w:t>
      </w:r>
      <w:r>
        <w:rPr>
          <w:color w:val="231F20"/>
          <w:spacing w:val="-3"/>
        </w:rPr>
        <w:t> </w:t>
      </w:r>
      <w:r>
        <w:rPr>
          <w:color w:val="231F20"/>
        </w:rPr>
        <w:t>30</w:t>
      </w:r>
      <w:r>
        <w:rPr>
          <w:color w:val="231F20"/>
          <w:spacing w:val="-3"/>
        </w:rPr>
        <w:t> </w:t>
      </w:r>
      <w:r>
        <w:rPr>
          <w:color w:val="231F20"/>
        </w:rPr>
        <w:t>%</w:t>
      </w:r>
      <w:r>
        <w:rPr>
          <w:color w:val="231F20"/>
          <w:spacing w:val="-3"/>
        </w:rPr>
        <w:t> </w:t>
      </w:r>
      <w:r>
        <w:rPr>
          <w:color w:val="231F20"/>
        </w:rPr>
        <w:t>de</w:t>
      </w:r>
      <w:r>
        <w:rPr>
          <w:color w:val="231F20"/>
          <w:spacing w:val="-3"/>
        </w:rPr>
        <w:t> </w:t>
      </w:r>
      <w:r>
        <w:rPr>
          <w:color w:val="231F20"/>
        </w:rPr>
        <w:t>los</w:t>
      </w:r>
      <w:r>
        <w:rPr>
          <w:color w:val="231F20"/>
          <w:spacing w:val="-3"/>
        </w:rPr>
        <w:t> </w:t>
      </w:r>
      <w:r>
        <w:rPr>
          <w:color w:val="231F20"/>
        </w:rPr>
        <w:t>de</w:t>
      </w:r>
      <w:r>
        <w:rPr>
          <w:color w:val="231F20"/>
          <w:spacing w:val="-3"/>
        </w:rPr>
        <w:t> </w:t>
      </w:r>
      <w:r>
        <w:rPr>
          <w:color w:val="231F20"/>
        </w:rPr>
        <w:t>las</w:t>
      </w:r>
      <w:r>
        <w:rPr>
          <w:color w:val="231F20"/>
          <w:spacing w:val="-3"/>
        </w:rPr>
        <w:t> </w:t>
      </w:r>
      <w:r>
        <w:rPr>
          <w:color w:val="231F20"/>
        </w:rPr>
        <w:t>urbanas</w:t>
      </w:r>
      <w:r>
        <w:rPr>
          <w:color w:val="231F20"/>
          <w:spacing w:val="-3"/>
        </w:rPr>
        <w:t> </w:t>
      </w:r>
      <w:r>
        <w:rPr>
          <w:color w:val="231F20"/>
        </w:rPr>
        <w:t>(Espinosa</w:t>
      </w:r>
      <w:r>
        <w:rPr>
          <w:color w:val="231F20"/>
          <w:spacing w:val="-4"/>
        </w:rPr>
        <w:t> </w:t>
      </w:r>
      <w:r>
        <w:rPr>
          <w:i/>
          <w:color w:val="231F20"/>
        </w:rPr>
        <w:t>et</w:t>
      </w:r>
      <w:r>
        <w:rPr>
          <w:i/>
          <w:color w:val="231F20"/>
          <w:spacing w:val="-3"/>
        </w:rPr>
        <w:t> </w:t>
      </w:r>
      <w:r>
        <w:rPr>
          <w:i/>
          <w:color w:val="231F20"/>
        </w:rPr>
        <w:t>al.</w:t>
      </w:r>
      <w:r>
        <w:rPr>
          <w:color w:val="231F20"/>
        </w:rPr>
        <w:t>,</w:t>
      </w:r>
      <w:r>
        <w:rPr>
          <w:color w:val="231F20"/>
          <w:spacing w:val="-3"/>
        </w:rPr>
        <w:t> </w:t>
      </w:r>
      <w:r>
        <w:rPr>
          <w:color w:val="231F20"/>
        </w:rPr>
        <w:t>2006;</w:t>
      </w:r>
      <w:r>
        <w:rPr>
          <w:color w:val="231F20"/>
          <w:spacing w:val="-3"/>
        </w:rPr>
        <w:t> </w:t>
      </w:r>
      <w:r>
        <w:rPr>
          <w:color w:val="231F20"/>
        </w:rPr>
        <w:t>Chávez</w:t>
      </w:r>
      <w:r>
        <w:rPr>
          <w:color w:val="231F20"/>
          <w:spacing w:val="-4"/>
        </w:rPr>
        <w:t> </w:t>
      </w:r>
      <w:r>
        <w:rPr>
          <w:color w:val="231F20"/>
        </w:rPr>
        <w:t>y</w:t>
      </w:r>
      <w:r>
        <w:rPr>
          <w:color w:val="231F20"/>
          <w:spacing w:val="-3"/>
        </w:rPr>
        <w:t> </w:t>
      </w:r>
      <w:r>
        <w:rPr>
          <w:color w:val="231F20"/>
        </w:rPr>
        <w:t>Chávez,</w:t>
      </w:r>
      <w:r>
        <w:rPr>
          <w:color w:val="231F20"/>
          <w:spacing w:val="-4"/>
        </w:rPr>
        <w:t> </w:t>
      </w:r>
      <w:r>
        <w:rPr>
          <w:color w:val="231F20"/>
        </w:rPr>
        <w:t>2004).</w:t>
      </w:r>
      <w:r>
        <w:rPr>
          <w:color w:val="231F20"/>
          <w:spacing w:val="-3"/>
        </w:rPr>
        <w:t> </w:t>
      </w:r>
      <w:r>
        <w:rPr>
          <w:color w:val="231F20"/>
        </w:rPr>
        <w:t>En</w:t>
      </w:r>
      <w:r>
        <w:rPr>
          <w:color w:val="231F20"/>
          <w:spacing w:val="-3"/>
        </w:rPr>
        <w:t> </w:t>
      </w:r>
      <w:r>
        <w:rPr>
          <w:color w:val="231F20"/>
        </w:rPr>
        <w:t>este</w:t>
      </w:r>
      <w:r>
        <w:rPr>
          <w:color w:val="231F20"/>
          <w:spacing w:val="-4"/>
        </w:rPr>
        <w:t> </w:t>
      </w:r>
      <w:r>
        <w:rPr>
          <w:color w:val="231F20"/>
        </w:rPr>
        <w:t>marco, el</w:t>
      </w:r>
      <w:r>
        <w:rPr>
          <w:color w:val="231F20"/>
          <w:spacing w:val="-4"/>
        </w:rPr>
        <w:t> </w:t>
      </w:r>
      <w:r>
        <w:rPr>
          <w:color w:val="231F20"/>
        </w:rPr>
        <w:t>consumo</w:t>
      </w:r>
      <w:r>
        <w:rPr>
          <w:color w:val="231F20"/>
          <w:spacing w:val="-4"/>
        </w:rPr>
        <w:t> </w:t>
      </w:r>
      <w:r>
        <w:rPr>
          <w:color w:val="231F20"/>
        </w:rPr>
        <w:t>generalizado</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maíces</w:t>
      </w:r>
      <w:r>
        <w:rPr>
          <w:color w:val="231F20"/>
          <w:spacing w:val="-4"/>
        </w:rPr>
        <w:t> </w:t>
      </w:r>
      <w:r>
        <w:rPr>
          <w:color w:val="231F20"/>
        </w:rPr>
        <w:t>de</w:t>
      </w:r>
      <w:r>
        <w:rPr>
          <w:color w:val="231F20"/>
          <w:spacing w:val="-4"/>
        </w:rPr>
        <w:t> </w:t>
      </w:r>
      <w:r>
        <w:rPr>
          <w:color w:val="231F20"/>
        </w:rPr>
        <w:t>alta</w:t>
      </w:r>
      <w:r>
        <w:rPr>
          <w:color w:val="231F20"/>
          <w:spacing w:val="-4"/>
        </w:rPr>
        <w:t> </w:t>
      </w:r>
      <w:r>
        <w:rPr>
          <w:color w:val="231F20"/>
        </w:rPr>
        <w:t>calidad</w:t>
      </w:r>
      <w:r>
        <w:rPr>
          <w:color w:val="231F20"/>
          <w:spacing w:val="-4"/>
        </w:rPr>
        <w:t> </w:t>
      </w:r>
      <w:r>
        <w:rPr>
          <w:color w:val="231F20"/>
        </w:rPr>
        <w:t>de</w:t>
      </w:r>
      <w:r>
        <w:rPr>
          <w:color w:val="231F20"/>
          <w:spacing w:val="-4"/>
        </w:rPr>
        <w:t> </w:t>
      </w:r>
      <w:r>
        <w:rPr>
          <w:color w:val="231F20"/>
        </w:rPr>
        <w:t>proteína</w:t>
      </w:r>
      <w:r>
        <w:rPr>
          <w:color w:val="231F20"/>
          <w:spacing w:val="-3"/>
        </w:rPr>
        <w:t> </w:t>
      </w:r>
      <w:r>
        <w:rPr>
          <w:color w:val="231F20"/>
        </w:rPr>
        <w:t>puede</w:t>
      </w:r>
      <w:r>
        <w:rPr>
          <w:color w:val="231F20"/>
          <w:spacing w:val="-4"/>
        </w:rPr>
        <w:t> </w:t>
      </w:r>
      <w:r>
        <w:rPr>
          <w:color w:val="231F20"/>
        </w:rPr>
        <w:t>mejorar</w:t>
      </w:r>
      <w:r>
        <w:rPr>
          <w:color w:val="231F20"/>
          <w:spacing w:val="-4"/>
        </w:rPr>
        <w:t> </w:t>
      </w:r>
      <w:r>
        <w:rPr>
          <w:color w:val="231F20"/>
        </w:rPr>
        <w:t>el</w:t>
      </w:r>
      <w:r>
        <w:rPr>
          <w:color w:val="231F20"/>
          <w:spacing w:val="-4"/>
        </w:rPr>
        <w:t> </w:t>
      </w:r>
      <w:r>
        <w:rPr>
          <w:color w:val="231F20"/>
        </w:rPr>
        <w:t>nivel</w:t>
      </w:r>
      <w:r>
        <w:rPr>
          <w:color w:val="231F20"/>
          <w:spacing w:val="-4"/>
        </w:rPr>
        <w:t> </w:t>
      </w:r>
      <w:r>
        <w:rPr>
          <w:color w:val="231F20"/>
        </w:rPr>
        <w:t>nutricional en México, de manera especial en niños, mujeres lactantes y ancianos (Espinosa </w:t>
      </w:r>
      <w:r>
        <w:rPr>
          <w:i/>
          <w:color w:val="231F20"/>
        </w:rPr>
        <w:t>et al.</w:t>
      </w:r>
      <w:r>
        <w:rPr>
          <w:color w:val="231F20"/>
        </w:rPr>
        <w:t>,</w:t>
      </w:r>
      <w:r>
        <w:rPr>
          <w:color w:val="231F20"/>
          <w:spacing w:val="-14"/>
        </w:rPr>
        <w:t> </w:t>
      </w:r>
      <w:r>
        <w:rPr>
          <w:color w:val="231F20"/>
        </w:rPr>
        <w:t>2005).</w:t>
      </w:r>
    </w:p>
    <w:p>
      <w:pPr>
        <w:pStyle w:val="BodyText"/>
        <w:spacing w:before="10"/>
      </w:pPr>
    </w:p>
    <w:p>
      <w:pPr>
        <w:pStyle w:val="BodyText"/>
        <w:spacing w:line="247" w:lineRule="auto"/>
        <w:ind w:left="1270" w:right="1267"/>
        <w:jc w:val="both"/>
      </w:pPr>
      <w:r>
        <w:rPr>
          <w:color w:val="231F20"/>
        </w:rPr>
        <w:t>El maíz con alta calidad de proteína se deriva del aprovechamiento del gene mutante opaco o2o2, expresado en su versión homocigótica recesiva con mayor contenidos de Lisina y Triptofano, ami- noácidos esenciales en la alimentación (Mertz </w:t>
      </w:r>
      <w:r>
        <w:rPr>
          <w:i/>
          <w:color w:val="231F20"/>
        </w:rPr>
        <w:t>et al.</w:t>
      </w:r>
      <w:r>
        <w:rPr>
          <w:color w:val="231F20"/>
        </w:rPr>
        <w:t>, 1994). Por su parte, </w:t>
      </w:r>
      <w:r>
        <w:rPr>
          <w:color w:val="231F20"/>
          <w:spacing w:val="-5"/>
        </w:rPr>
        <w:t>Vasal </w:t>
      </w:r>
      <w:r>
        <w:rPr>
          <w:color w:val="231F20"/>
        </w:rPr>
        <w:t>y Villegas (2001), mediante técnicas de mejoramiento tradicionales incorporaron genes especiales al maíz opaco o2o2 llamados</w:t>
      </w:r>
      <w:r>
        <w:rPr>
          <w:color w:val="231F20"/>
          <w:spacing w:val="-4"/>
        </w:rPr>
        <w:t> </w:t>
      </w:r>
      <w:r>
        <w:rPr>
          <w:color w:val="231F20"/>
        </w:rPr>
        <w:t>genes</w:t>
      </w:r>
      <w:r>
        <w:rPr>
          <w:color w:val="231F20"/>
          <w:spacing w:val="-3"/>
        </w:rPr>
        <w:t> </w:t>
      </w:r>
      <w:r>
        <w:rPr>
          <w:color w:val="231F20"/>
        </w:rPr>
        <w:t>modificadores</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textura</w:t>
      </w:r>
      <w:r>
        <w:rPr>
          <w:color w:val="231F20"/>
          <w:spacing w:val="-4"/>
        </w:rPr>
        <w:t> </w:t>
      </w:r>
      <w:r>
        <w:rPr>
          <w:color w:val="231F20"/>
        </w:rPr>
        <w:t>del</w:t>
      </w:r>
      <w:r>
        <w:rPr>
          <w:color w:val="231F20"/>
          <w:spacing w:val="-4"/>
        </w:rPr>
        <w:t> </w:t>
      </w:r>
      <w:r>
        <w:rPr>
          <w:color w:val="231F20"/>
        </w:rPr>
        <w:t>endospermo.</w:t>
      </w:r>
      <w:r>
        <w:rPr>
          <w:color w:val="231F20"/>
          <w:spacing w:val="-4"/>
        </w:rPr>
        <w:t> </w:t>
      </w:r>
      <w:r>
        <w:rPr>
          <w:color w:val="231F20"/>
        </w:rPr>
        <w:t>Estos</w:t>
      </w:r>
      <w:r>
        <w:rPr>
          <w:color w:val="231F20"/>
          <w:spacing w:val="-3"/>
        </w:rPr>
        <w:t> </w:t>
      </w:r>
      <w:r>
        <w:rPr>
          <w:color w:val="231F20"/>
        </w:rPr>
        <w:t>genes</w:t>
      </w:r>
      <w:r>
        <w:rPr>
          <w:color w:val="231F20"/>
          <w:spacing w:val="-4"/>
        </w:rPr>
        <w:t> </w:t>
      </w:r>
      <w:r>
        <w:rPr>
          <w:color w:val="231F20"/>
        </w:rPr>
        <w:t>modificadores</w:t>
      </w:r>
      <w:r>
        <w:rPr>
          <w:color w:val="231F20"/>
          <w:spacing w:val="-4"/>
        </w:rPr>
        <w:t> </w:t>
      </w:r>
      <w:r>
        <w:rPr>
          <w:color w:val="231F20"/>
        </w:rPr>
        <w:t>confieren</w:t>
      </w:r>
      <w:r>
        <w:rPr>
          <w:color w:val="231F20"/>
          <w:spacing w:val="-4"/>
        </w:rPr>
        <w:t> </w:t>
      </w:r>
      <w:r>
        <w:rPr>
          <w:color w:val="231F20"/>
        </w:rPr>
        <w:t>al endospermo una textura de grano más dura que el maíz opaco, dando la apariencia del maíz normal </w:t>
      </w:r>
      <w:r>
        <w:rPr>
          <w:color w:val="231F20"/>
          <w:spacing w:val="-4"/>
        </w:rPr>
        <w:t>(Vasal, </w:t>
      </w:r>
      <w:r>
        <w:rPr>
          <w:color w:val="231F20"/>
        </w:rPr>
        <w:t>1994). Larkins </w:t>
      </w:r>
      <w:r>
        <w:rPr>
          <w:i/>
          <w:color w:val="231F20"/>
        </w:rPr>
        <w:t>et al.</w:t>
      </w:r>
      <w:r>
        <w:rPr>
          <w:color w:val="231F20"/>
        </w:rPr>
        <w:t>, (1994) indicaron que, los maíces con el gene o2o2 contienen de 40 a 50% más Lisina y de 35 a 40% más</w:t>
      </w:r>
      <w:r>
        <w:rPr>
          <w:color w:val="231F20"/>
          <w:spacing w:val="-13"/>
        </w:rPr>
        <w:t> </w:t>
      </w:r>
      <w:r>
        <w:rPr>
          <w:color w:val="231F20"/>
        </w:rPr>
        <w:t>Triptofano.</w:t>
      </w:r>
    </w:p>
    <w:p>
      <w:pPr>
        <w:pStyle w:val="BodyText"/>
        <w:spacing w:before="10"/>
      </w:pPr>
    </w:p>
    <w:p>
      <w:pPr>
        <w:pStyle w:val="BodyText"/>
        <w:spacing w:line="247" w:lineRule="auto"/>
        <w:ind w:left="1270" w:right="1267"/>
        <w:jc w:val="both"/>
      </w:pPr>
      <w:r>
        <w:rPr>
          <w:color w:val="231F20"/>
        </w:rPr>
        <w:t>El mejoramiento genético de maíz en el trópico húmedo de México, se inició en 1943 por los or- ganismos antecesores del actual </w:t>
      </w:r>
      <w:r>
        <w:rPr>
          <w:color w:val="231F20"/>
          <w:spacing w:val="-3"/>
        </w:rPr>
        <w:t>INIFAP </w:t>
      </w:r>
      <w:r>
        <w:rPr>
          <w:color w:val="231F20"/>
        </w:rPr>
        <w:t>como el Instituto Nacional de Investigaciones Agrícolas (INIA), formado a su vez por la fusión del Instituto de Investigaciones Agrícolas (IIA) y la Oficina de Estudios Especiales (OEE) (Reyes, 1971 y Sierra </w:t>
      </w:r>
      <w:r>
        <w:rPr>
          <w:i/>
          <w:color w:val="231F20"/>
        </w:rPr>
        <w:t>et al.</w:t>
      </w:r>
      <w:r>
        <w:rPr>
          <w:color w:val="231F20"/>
        </w:rPr>
        <w:t>, 1996). Desde sus inicios, el programa de maíz para el Trópico, ha tenido como objetivos, formar variedades, híbridos y sintéticos de elevado potencial de rendimiento y amplia adaptación, que minimicen los riesgos de producción. Durante más de cinco décadas de investigación continua se han liberado 16 híbridos, 6 variedades de po- linización libre y 5 sintéticos de la serie 500, los cuales han sido comercializados con muy buena aceptación por los productores. El Campo Experimental Cotaxtla, a partir de su creación en 1954</w:t>
      </w:r>
      <w:r>
        <w:rPr>
          <w:color w:val="231F20"/>
          <w:spacing w:val="-29"/>
        </w:rPr>
        <w:t> </w:t>
      </w:r>
      <w:r>
        <w:rPr>
          <w:color w:val="231F20"/>
        </w:rPr>
        <w:t>ha realizado investigaciones en el cultivo de maíz, con el fin de aportar a los productores, la</w:t>
      </w:r>
      <w:r>
        <w:rPr>
          <w:color w:val="231F20"/>
          <w:spacing w:val="-11"/>
        </w:rPr>
        <w:t> </w:t>
      </w:r>
      <w:r>
        <w:rPr>
          <w:color w:val="231F20"/>
        </w:rPr>
        <w:t>tecnología que permita incrementar el rendimiento, mejorar el beneficio económico y el abasto de este grano básico. Durante los últimos años se generaron híbridos y variedades con gran potencial de rendi- miento,</w:t>
      </w:r>
      <w:r>
        <w:rPr>
          <w:color w:val="231F20"/>
          <w:spacing w:val="-6"/>
        </w:rPr>
        <w:t> </w:t>
      </w:r>
      <w:r>
        <w:rPr>
          <w:color w:val="231F20"/>
        </w:rPr>
        <w:t>adaptados</w:t>
      </w:r>
      <w:r>
        <w:rPr>
          <w:color w:val="231F20"/>
          <w:spacing w:val="-6"/>
        </w:rPr>
        <w:t> </w:t>
      </w:r>
      <w:r>
        <w:rPr>
          <w:color w:val="231F20"/>
        </w:rPr>
        <w:t>a</w:t>
      </w:r>
      <w:r>
        <w:rPr>
          <w:color w:val="231F20"/>
          <w:spacing w:val="-6"/>
        </w:rPr>
        <w:t> </w:t>
      </w:r>
      <w:r>
        <w:rPr>
          <w:color w:val="231F20"/>
        </w:rPr>
        <w:t>las</w:t>
      </w:r>
      <w:r>
        <w:rPr>
          <w:color w:val="231F20"/>
          <w:spacing w:val="-6"/>
        </w:rPr>
        <w:t> </w:t>
      </w:r>
      <w:r>
        <w:rPr>
          <w:color w:val="231F20"/>
        </w:rPr>
        <w:t>condiciones</w:t>
      </w:r>
      <w:r>
        <w:rPr>
          <w:color w:val="231F20"/>
          <w:spacing w:val="-6"/>
        </w:rPr>
        <w:t> </w:t>
      </w:r>
      <w:r>
        <w:rPr>
          <w:color w:val="231F20"/>
        </w:rPr>
        <w:t>tropicales</w:t>
      </w:r>
      <w:r>
        <w:rPr>
          <w:color w:val="231F20"/>
          <w:spacing w:val="-6"/>
        </w:rPr>
        <w:t> </w:t>
      </w:r>
      <w:r>
        <w:rPr>
          <w:color w:val="231F20"/>
        </w:rPr>
        <w:t>húmedas</w:t>
      </w:r>
      <w:r>
        <w:rPr>
          <w:color w:val="231F20"/>
          <w:spacing w:val="-6"/>
        </w:rPr>
        <w:t> </w:t>
      </w:r>
      <w:r>
        <w:rPr>
          <w:color w:val="231F20"/>
        </w:rPr>
        <w:t>del</w:t>
      </w:r>
      <w:r>
        <w:rPr>
          <w:color w:val="231F20"/>
          <w:spacing w:val="-6"/>
        </w:rPr>
        <w:t> </w:t>
      </w:r>
      <w:r>
        <w:rPr>
          <w:color w:val="231F20"/>
        </w:rPr>
        <w:t>estado</w:t>
      </w:r>
      <w:r>
        <w:rPr>
          <w:color w:val="231F20"/>
          <w:spacing w:val="-6"/>
        </w:rPr>
        <w:t> </w:t>
      </w:r>
      <w:r>
        <w:rPr>
          <w:color w:val="231F20"/>
        </w:rPr>
        <w:t>de</w:t>
      </w:r>
      <w:r>
        <w:rPr>
          <w:color w:val="231F20"/>
          <w:spacing w:val="-9"/>
        </w:rPr>
        <w:t> </w:t>
      </w:r>
      <w:r>
        <w:rPr>
          <w:color w:val="231F20"/>
          <w:spacing w:val="-3"/>
        </w:rPr>
        <w:t>Veracruz</w:t>
      </w:r>
      <w:r>
        <w:rPr>
          <w:color w:val="231F20"/>
          <w:spacing w:val="-6"/>
        </w:rPr>
        <w:t> </w:t>
      </w:r>
      <w:r>
        <w:rPr>
          <w:color w:val="231F20"/>
        </w:rPr>
        <w:t>y</w:t>
      </w:r>
      <w:r>
        <w:rPr>
          <w:color w:val="231F20"/>
          <w:spacing w:val="-6"/>
        </w:rPr>
        <w:t> </w:t>
      </w:r>
      <w:r>
        <w:rPr>
          <w:color w:val="231F20"/>
        </w:rPr>
        <w:t>Sureste</w:t>
      </w:r>
      <w:r>
        <w:rPr>
          <w:color w:val="231F20"/>
          <w:spacing w:val="-6"/>
        </w:rPr>
        <w:t> </w:t>
      </w:r>
      <w:r>
        <w:rPr>
          <w:color w:val="231F20"/>
        </w:rPr>
        <w:t>de</w:t>
      </w:r>
      <w:r>
        <w:rPr>
          <w:color w:val="231F20"/>
          <w:spacing w:val="-6"/>
        </w:rPr>
        <w:t> </w:t>
      </w:r>
      <w:r>
        <w:rPr>
          <w:color w:val="231F20"/>
        </w:rPr>
        <w:t>México, entre los que destacan por su uso actual H-520, VS-536, H-519C, </w:t>
      </w:r>
      <w:r>
        <w:rPr>
          <w:color w:val="231F20"/>
          <w:spacing w:val="-3"/>
        </w:rPr>
        <w:t>V-537C, V-556AC </w:t>
      </w:r>
      <w:r>
        <w:rPr>
          <w:color w:val="231F20"/>
        </w:rPr>
        <w:t>y de reciente liberación,</w:t>
      </w:r>
      <w:r>
        <w:rPr>
          <w:color w:val="231F20"/>
          <w:spacing w:val="-7"/>
        </w:rPr>
        <w:t> </w:t>
      </w:r>
      <w:r>
        <w:rPr>
          <w:color w:val="231F20"/>
        </w:rPr>
        <w:t>el</w:t>
      </w:r>
      <w:r>
        <w:rPr>
          <w:color w:val="231F20"/>
          <w:spacing w:val="-6"/>
        </w:rPr>
        <w:t> </w:t>
      </w:r>
      <w:r>
        <w:rPr>
          <w:color w:val="231F20"/>
        </w:rPr>
        <w:t>híbrido</w:t>
      </w:r>
      <w:r>
        <w:rPr>
          <w:color w:val="231F20"/>
          <w:spacing w:val="-6"/>
        </w:rPr>
        <w:t> </w:t>
      </w:r>
      <w:r>
        <w:rPr>
          <w:color w:val="231F20"/>
        </w:rPr>
        <w:t>H-564C</w:t>
      </w:r>
      <w:r>
        <w:rPr>
          <w:color w:val="231F20"/>
          <w:spacing w:val="-6"/>
        </w:rPr>
        <w:t> </w:t>
      </w:r>
      <w:r>
        <w:rPr>
          <w:color w:val="231F20"/>
        </w:rPr>
        <w:t>de</w:t>
      </w:r>
      <w:r>
        <w:rPr>
          <w:color w:val="231F20"/>
          <w:spacing w:val="-6"/>
        </w:rPr>
        <w:t> </w:t>
      </w:r>
      <w:r>
        <w:rPr>
          <w:color w:val="231F20"/>
        </w:rPr>
        <w:t>alto</w:t>
      </w:r>
      <w:r>
        <w:rPr>
          <w:color w:val="231F20"/>
          <w:spacing w:val="-6"/>
        </w:rPr>
        <w:t> </w:t>
      </w:r>
      <w:r>
        <w:rPr>
          <w:color w:val="231F20"/>
        </w:rPr>
        <w:t>rendimiento</w:t>
      </w:r>
      <w:r>
        <w:rPr>
          <w:color w:val="231F20"/>
          <w:spacing w:val="-7"/>
        </w:rPr>
        <w:t> </w:t>
      </w:r>
      <w:r>
        <w:rPr>
          <w:color w:val="231F20"/>
        </w:rPr>
        <w:t>y</w:t>
      </w:r>
      <w:r>
        <w:rPr>
          <w:color w:val="231F20"/>
          <w:spacing w:val="-6"/>
        </w:rPr>
        <w:t> </w:t>
      </w:r>
      <w:r>
        <w:rPr>
          <w:color w:val="231F20"/>
        </w:rPr>
        <w:t>alta</w:t>
      </w:r>
      <w:r>
        <w:rPr>
          <w:color w:val="231F20"/>
          <w:spacing w:val="-6"/>
        </w:rPr>
        <w:t> </w:t>
      </w:r>
      <w:r>
        <w:rPr>
          <w:color w:val="231F20"/>
        </w:rPr>
        <w:t>calidad</w:t>
      </w:r>
      <w:r>
        <w:rPr>
          <w:color w:val="231F20"/>
          <w:spacing w:val="-6"/>
        </w:rPr>
        <w:t> </w:t>
      </w:r>
      <w:r>
        <w:rPr>
          <w:color w:val="231F20"/>
        </w:rPr>
        <w:t>proteínica</w:t>
      </w:r>
      <w:r>
        <w:rPr>
          <w:color w:val="231F20"/>
          <w:spacing w:val="-7"/>
        </w:rPr>
        <w:t> </w:t>
      </w:r>
      <w:r>
        <w:rPr>
          <w:color w:val="231F20"/>
        </w:rPr>
        <w:t>(Sierra</w:t>
      </w:r>
      <w:r>
        <w:rPr>
          <w:color w:val="231F20"/>
          <w:spacing w:val="-6"/>
        </w:rPr>
        <w:t> </w:t>
      </w:r>
      <w:r>
        <w:rPr>
          <w:i/>
          <w:color w:val="231F20"/>
        </w:rPr>
        <w:t>et</w:t>
      </w:r>
      <w:r>
        <w:rPr>
          <w:i/>
          <w:color w:val="231F20"/>
          <w:spacing w:val="-6"/>
        </w:rPr>
        <w:t> </w:t>
      </w:r>
      <w:r>
        <w:rPr>
          <w:i/>
          <w:color w:val="231F20"/>
        </w:rPr>
        <w:t>al.</w:t>
      </w:r>
      <w:r>
        <w:rPr>
          <w:color w:val="231F20"/>
        </w:rPr>
        <w:t>,</w:t>
      </w:r>
      <w:r>
        <w:rPr>
          <w:color w:val="231F20"/>
          <w:spacing w:val="-6"/>
        </w:rPr>
        <w:t> </w:t>
      </w:r>
      <w:r>
        <w:rPr>
          <w:color w:val="231F20"/>
        </w:rPr>
        <w:t>1992;</w:t>
      </w:r>
      <w:r>
        <w:rPr>
          <w:color w:val="231F20"/>
          <w:spacing w:val="-6"/>
        </w:rPr>
        <w:t> </w:t>
      </w:r>
      <w:r>
        <w:rPr>
          <w:color w:val="231F20"/>
        </w:rPr>
        <w:t>Sierra </w:t>
      </w:r>
      <w:r>
        <w:rPr>
          <w:i/>
          <w:color w:val="231F20"/>
        </w:rPr>
        <w:t>et al.</w:t>
      </w:r>
      <w:r>
        <w:rPr>
          <w:color w:val="231F20"/>
        </w:rPr>
        <w:t>, 2002; Sierra </w:t>
      </w:r>
      <w:r>
        <w:rPr>
          <w:i/>
          <w:color w:val="231F20"/>
        </w:rPr>
        <w:t>et al.</w:t>
      </w:r>
      <w:r>
        <w:rPr>
          <w:color w:val="231F20"/>
        </w:rPr>
        <w:t>, 2004a; Sierra </w:t>
      </w:r>
      <w:r>
        <w:rPr>
          <w:i/>
          <w:color w:val="231F20"/>
        </w:rPr>
        <w:t>et al.</w:t>
      </w:r>
      <w:r>
        <w:rPr>
          <w:color w:val="231F20"/>
        </w:rPr>
        <w:t>,</w:t>
      </w:r>
      <w:r>
        <w:rPr>
          <w:color w:val="231F20"/>
          <w:spacing w:val="-9"/>
        </w:rPr>
        <w:t> </w:t>
      </w:r>
      <w:r>
        <w:rPr>
          <w:color w:val="231F20"/>
        </w:rPr>
        <w:t>2011).</w:t>
      </w:r>
    </w:p>
    <w:p>
      <w:pPr>
        <w:pStyle w:val="BodyText"/>
        <w:spacing w:before="10"/>
      </w:pPr>
    </w:p>
    <w:p>
      <w:pPr>
        <w:pStyle w:val="BodyText"/>
        <w:spacing w:line="247" w:lineRule="auto"/>
        <w:ind w:left="1271" w:right="1267"/>
        <w:jc w:val="both"/>
      </w:pPr>
      <w:r>
        <w:rPr>
          <w:color w:val="231F20"/>
        </w:rPr>
        <w:t>Los objetivos: Desarrollar variedades, híbridos y sintéticos de elevado potencial de rendimiento      y amplia adaptación al trópico, que minimicen riesgos en la producción con buena cobertura de mazorca, arquetipo eficiente, tolerantes al acame y a enfermedades, b) Mejorar la calidad nutritiva  e</w:t>
      </w:r>
      <w:r>
        <w:rPr>
          <w:color w:val="231F20"/>
          <w:spacing w:val="-2"/>
        </w:rPr>
        <w:t> </w:t>
      </w:r>
      <w:r>
        <w:rPr>
          <w:color w:val="231F20"/>
        </w:rPr>
        <w:t>industrial;</w:t>
      </w:r>
      <w:r>
        <w:rPr>
          <w:color w:val="231F20"/>
          <w:spacing w:val="-2"/>
        </w:rPr>
        <w:t> </w:t>
      </w:r>
      <w:r>
        <w:rPr>
          <w:color w:val="231F20"/>
        </w:rPr>
        <w:t>c)</w:t>
      </w:r>
      <w:r>
        <w:rPr>
          <w:color w:val="231F20"/>
          <w:spacing w:val="-2"/>
        </w:rPr>
        <w:t> </w:t>
      </w:r>
      <w:r>
        <w:rPr>
          <w:color w:val="231F20"/>
        </w:rPr>
        <w:t>Desarrollar</w:t>
      </w:r>
      <w:r>
        <w:rPr>
          <w:color w:val="231F20"/>
          <w:spacing w:val="-2"/>
        </w:rPr>
        <w:t> </w:t>
      </w:r>
      <w:r>
        <w:rPr>
          <w:color w:val="231F20"/>
        </w:rPr>
        <w:t>la</w:t>
      </w:r>
      <w:r>
        <w:rPr>
          <w:color w:val="231F20"/>
          <w:spacing w:val="-2"/>
        </w:rPr>
        <w:t> </w:t>
      </w:r>
      <w:r>
        <w:rPr>
          <w:color w:val="231F20"/>
        </w:rPr>
        <w:t>tecnología</w:t>
      </w:r>
      <w:r>
        <w:rPr>
          <w:color w:val="231F20"/>
          <w:spacing w:val="-2"/>
        </w:rPr>
        <w:t> </w:t>
      </w:r>
      <w:r>
        <w:rPr>
          <w:color w:val="231F20"/>
        </w:rPr>
        <w:t>de</w:t>
      </w:r>
      <w:r>
        <w:rPr>
          <w:color w:val="231F20"/>
          <w:spacing w:val="-2"/>
        </w:rPr>
        <w:t> </w:t>
      </w:r>
      <w:r>
        <w:rPr>
          <w:color w:val="231F20"/>
        </w:rPr>
        <w:t>producción</w:t>
      </w:r>
      <w:r>
        <w:rPr>
          <w:color w:val="231F20"/>
          <w:spacing w:val="-2"/>
        </w:rPr>
        <w:t> </w:t>
      </w:r>
      <w:r>
        <w:rPr>
          <w:color w:val="231F20"/>
        </w:rPr>
        <w:t>para</w:t>
      </w:r>
      <w:r>
        <w:rPr>
          <w:color w:val="231F20"/>
          <w:spacing w:val="-2"/>
        </w:rPr>
        <w:t> </w:t>
      </w:r>
      <w:r>
        <w:rPr>
          <w:color w:val="231F20"/>
        </w:rPr>
        <w:t>granos</w:t>
      </w:r>
      <w:r>
        <w:rPr>
          <w:color w:val="231F20"/>
          <w:spacing w:val="-2"/>
        </w:rPr>
        <w:t> </w:t>
      </w:r>
      <w:r>
        <w:rPr>
          <w:color w:val="231F20"/>
        </w:rPr>
        <w:t>y</w:t>
      </w:r>
      <w:r>
        <w:rPr>
          <w:color w:val="231F20"/>
          <w:spacing w:val="-2"/>
        </w:rPr>
        <w:t> </w:t>
      </w:r>
      <w:r>
        <w:rPr>
          <w:color w:val="231F20"/>
        </w:rPr>
        <w:t>semillas</w:t>
      </w:r>
      <w:r>
        <w:rPr>
          <w:color w:val="231F20"/>
          <w:spacing w:val="-2"/>
        </w:rPr>
        <w:t> </w:t>
      </w:r>
      <w:r>
        <w:rPr>
          <w:color w:val="231F20"/>
        </w:rPr>
        <w:t>y</w:t>
      </w:r>
      <w:r>
        <w:rPr>
          <w:color w:val="231F20"/>
          <w:spacing w:val="-2"/>
        </w:rPr>
        <w:t> </w:t>
      </w:r>
      <w:r>
        <w:rPr>
          <w:color w:val="231F20"/>
        </w:rPr>
        <w:t>d)</w:t>
      </w:r>
      <w:r>
        <w:rPr>
          <w:color w:val="231F20"/>
          <w:spacing w:val="-14"/>
        </w:rPr>
        <w:t> </w:t>
      </w:r>
      <w:r>
        <w:rPr>
          <w:color w:val="231F20"/>
        </w:rPr>
        <w:t>Apoyo</w:t>
      </w:r>
      <w:r>
        <w:rPr>
          <w:color w:val="231F20"/>
          <w:spacing w:val="-2"/>
        </w:rPr>
        <w:t> </w:t>
      </w:r>
      <w:r>
        <w:rPr>
          <w:color w:val="231F20"/>
        </w:rPr>
        <w:t>la</w:t>
      </w:r>
      <w:r>
        <w:rPr>
          <w:color w:val="231F20"/>
          <w:spacing w:val="-2"/>
        </w:rPr>
        <w:t> </w:t>
      </w:r>
      <w:r>
        <w:rPr>
          <w:color w:val="231F20"/>
        </w:rPr>
        <w:t>transfe- rencia de tecnología.</w:t>
      </w:r>
    </w:p>
    <w:p>
      <w:pPr>
        <w:spacing w:after="0" w:line="247" w:lineRule="auto"/>
        <w:jc w:val="both"/>
        <w:sectPr>
          <w:pgSz w:w="10920" w:h="13080"/>
          <w:pgMar w:header="0" w:footer="1025" w:top="420" w:bottom="1220" w:left="0" w:right="0"/>
        </w:sectPr>
      </w:pPr>
    </w:p>
    <w:p>
      <w:pPr>
        <w:pStyle w:val="BodyText"/>
        <w:rPr>
          <w:sz w:val="20"/>
        </w:rPr>
      </w:pPr>
    </w:p>
    <w:p>
      <w:pPr>
        <w:pStyle w:val="BodyText"/>
        <w:rPr>
          <w:sz w:val="20"/>
        </w:rPr>
      </w:pPr>
    </w:p>
    <w:p>
      <w:pPr>
        <w:pStyle w:val="BodyText"/>
        <w:spacing w:before="4"/>
        <w:rPr>
          <w:sz w:val="22"/>
        </w:rPr>
      </w:pPr>
    </w:p>
    <w:p>
      <w:pPr>
        <w:pStyle w:val="Heading3"/>
        <w:spacing w:before="69"/>
      </w:pPr>
      <w:r>
        <w:rPr>
          <w:color w:val="010202"/>
        </w:rPr>
        <w:t>Materiales y métodos</w:t>
      </w:r>
    </w:p>
    <w:p>
      <w:pPr>
        <w:pStyle w:val="BodyText"/>
        <w:spacing w:before="10"/>
        <w:rPr>
          <w:b/>
        </w:rPr>
      </w:pPr>
    </w:p>
    <w:p>
      <w:pPr>
        <w:pStyle w:val="BodyText"/>
        <w:spacing w:line="247" w:lineRule="auto"/>
        <w:ind w:left="1270" w:right="1268"/>
        <w:jc w:val="both"/>
      </w:pPr>
      <w:r>
        <w:rPr>
          <w:color w:val="231F20"/>
        </w:rPr>
        <w:t>El área tropical húmeda y subhúmeda de México engloba de acuerdo con García (1981) al grupo climático</w:t>
      </w:r>
      <w:r>
        <w:rPr>
          <w:color w:val="231F20"/>
          <w:spacing w:val="-14"/>
        </w:rPr>
        <w:t> </w:t>
      </w:r>
      <w:r>
        <w:rPr>
          <w:color w:val="231F20"/>
        </w:rPr>
        <w:t>A</w:t>
      </w:r>
      <w:r>
        <w:rPr>
          <w:color w:val="231F20"/>
          <w:spacing w:val="-13"/>
        </w:rPr>
        <w:t> </w:t>
      </w:r>
      <w:r>
        <w:rPr>
          <w:color w:val="231F20"/>
          <w:spacing w:val="-5"/>
        </w:rPr>
        <w:t>(Aw0,</w:t>
      </w:r>
      <w:r>
        <w:rPr>
          <w:color w:val="231F20"/>
          <w:spacing w:val="-13"/>
        </w:rPr>
        <w:t> </w:t>
      </w:r>
      <w:r>
        <w:rPr>
          <w:color w:val="231F20"/>
          <w:spacing w:val="-6"/>
        </w:rPr>
        <w:t>Aw1,</w:t>
      </w:r>
      <w:r>
        <w:rPr>
          <w:color w:val="231F20"/>
          <w:spacing w:val="-13"/>
        </w:rPr>
        <w:t> </w:t>
      </w:r>
      <w:r>
        <w:rPr>
          <w:color w:val="231F20"/>
          <w:spacing w:val="-6"/>
        </w:rPr>
        <w:t>Aw2,</w:t>
      </w:r>
      <w:r>
        <w:rPr>
          <w:color w:val="231F20"/>
          <w:spacing w:val="-13"/>
        </w:rPr>
        <w:t> </w:t>
      </w:r>
      <w:r>
        <w:rPr>
          <w:color w:val="231F20"/>
        </w:rPr>
        <w:t>Am</w:t>
      </w:r>
      <w:r>
        <w:rPr>
          <w:color w:val="231F20"/>
          <w:spacing w:val="-2"/>
        </w:rPr>
        <w:t> </w:t>
      </w:r>
      <w:r>
        <w:rPr>
          <w:color w:val="231F20"/>
        </w:rPr>
        <w:t>y</w:t>
      </w:r>
      <w:r>
        <w:rPr>
          <w:color w:val="231F20"/>
          <w:spacing w:val="-13"/>
        </w:rPr>
        <w:t> </w:t>
      </w:r>
      <w:r>
        <w:rPr>
          <w:color w:val="231F20"/>
        </w:rPr>
        <w:t>Af).</w:t>
      </w:r>
      <w:r>
        <w:rPr>
          <w:color w:val="231F20"/>
          <w:spacing w:val="-2"/>
        </w:rPr>
        <w:t> </w:t>
      </w:r>
      <w:r>
        <w:rPr>
          <w:color w:val="231F20"/>
        </w:rPr>
        <w:t>En</w:t>
      </w:r>
      <w:r>
        <w:rPr>
          <w:color w:val="231F20"/>
          <w:spacing w:val="-2"/>
        </w:rPr>
        <w:t> </w:t>
      </w:r>
      <w:r>
        <w:rPr>
          <w:color w:val="231F20"/>
        </w:rPr>
        <w:t>cuanto</w:t>
      </w:r>
      <w:r>
        <w:rPr>
          <w:color w:val="231F20"/>
          <w:spacing w:val="-2"/>
        </w:rPr>
        <w:t> </w:t>
      </w:r>
      <w:r>
        <w:rPr>
          <w:color w:val="231F20"/>
        </w:rPr>
        <w:t>a</w:t>
      </w:r>
      <w:r>
        <w:rPr>
          <w:color w:val="231F20"/>
          <w:spacing w:val="-2"/>
        </w:rPr>
        <w:t> </w:t>
      </w:r>
      <w:r>
        <w:rPr>
          <w:color w:val="231F20"/>
        </w:rPr>
        <w:t>los</w:t>
      </w:r>
      <w:r>
        <w:rPr>
          <w:color w:val="231F20"/>
          <w:spacing w:val="-2"/>
        </w:rPr>
        <w:t> </w:t>
      </w:r>
      <w:r>
        <w:rPr>
          <w:color w:val="231F20"/>
        </w:rPr>
        <w:t>recursos</w:t>
      </w:r>
      <w:r>
        <w:rPr>
          <w:color w:val="231F20"/>
          <w:spacing w:val="-2"/>
        </w:rPr>
        <w:t> </w:t>
      </w:r>
      <w:r>
        <w:rPr>
          <w:color w:val="231F20"/>
        </w:rPr>
        <w:t>genéticos</w:t>
      </w:r>
      <w:r>
        <w:rPr>
          <w:color w:val="231F20"/>
          <w:spacing w:val="-2"/>
        </w:rPr>
        <w:t> </w:t>
      </w:r>
      <w:r>
        <w:rPr>
          <w:color w:val="231F20"/>
        </w:rPr>
        <w:t>que</w:t>
      </w:r>
      <w:r>
        <w:rPr>
          <w:color w:val="231F20"/>
          <w:spacing w:val="-2"/>
        </w:rPr>
        <w:t> </w:t>
      </w:r>
      <w:r>
        <w:rPr>
          <w:color w:val="231F20"/>
        </w:rPr>
        <w:t>han</w:t>
      </w:r>
      <w:r>
        <w:rPr>
          <w:color w:val="231F20"/>
          <w:spacing w:val="-2"/>
        </w:rPr>
        <w:t> </w:t>
      </w:r>
      <w:r>
        <w:rPr>
          <w:color w:val="231F20"/>
        </w:rPr>
        <w:t>servido</w:t>
      </w:r>
      <w:r>
        <w:rPr>
          <w:color w:val="231F20"/>
          <w:spacing w:val="-1"/>
        </w:rPr>
        <w:t> </w:t>
      </w:r>
      <w:r>
        <w:rPr>
          <w:color w:val="231F20"/>
        </w:rPr>
        <w:t>de</w:t>
      </w:r>
      <w:r>
        <w:rPr>
          <w:color w:val="231F20"/>
          <w:spacing w:val="-2"/>
        </w:rPr>
        <w:t> </w:t>
      </w:r>
      <w:r>
        <w:rPr>
          <w:color w:val="231F20"/>
        </w:rPr>
        <w:t>base en el mejoramiento genético han sido colectas de maíz criollo, integración de compuestos germo- plásmicos de maíz con amplia base genética y poblaciones avanzadas provenientes de la raza Tux- peño, raza de mayor distribución en el sureste mexicano, de las cuales se han derivado líneas con buen</w:t>
      </w:r>
      <w:r>
        <w:rPr>
          <w:color w:val="231F20"/>
          <w:spacing w:val="-7"/>
        </w:rPr>
        <w:t> </w:t>
      </w:r>
      <w:r>
        <w:rPr>
          <w:color w:val="231F20"/>
        </w:rPr>
        <w:t>comportamiento</w:t>
      </w:r>
      <w:r>
        <w:rPr>
          <w:color w:val="231F20"/>
          <w:spacing w:val="-7"/>
        </w:rPr>
        <w:t> </w:t>
      </w:r>
      <w:r>
        <w:rPr>
          <w:color w:val="231F20"/>
        </w:rPr>
        <w:t>per</w:t>
      </w:r>
      <w:r>
        <w:rPr>
          <w:color w:val="231F20"/>
          <w:spacing w:val="-7"/>
        </w:rPr>
        <w:t> </w:t>
      </w:r>
      <w:r>
        <w:rPr>
          <w:color w:val="231F20"/>
        </w:rPr>
        <w:t>se</w:t>
      </w:r>
      <w:r>
        <w:rPr>
          <w:color w:val="231F20"/>
          <w:spacing w:val="-7"/>
        </w:rPr>
        <w:t> </w:t>
      </w:r>
      <w:r>
        <w:rPr>
          <w:color w:val="231F20"/>
        </w:rPr>
        <w:t>y</w:t>
      </w:r>
      <w:r>
        <w:rPr>
          <w:color w:val="231F20"/>
          <w:spacing w:val="-7"/>
        </w:rPr>
        <w:t> </w:t>
      </w:r>
      <w:r>
        <w:rPr>
          <w:color w:val="231F20"/>
        </w:rPr>
        <w:t>buena</w:t>
      </w:r>
      <w:r>
        <w:rPr>
          <w:color w:val="231F20"/>
          <w:spacing w:val="-7"/>
        </w:rPr>
        <w:t> </w:t>
      </w:r>
      <w:r>
        <w:rPr>
          <w:color w:val="231F20"/>
        </w:rPr>
        <w:t>aptitud</w:t>
      </w:r>
      <w:r>
        <w:rPr>
          <w:color w:val="231F20"/>
          <w:spacing w:val="-7"/>
        </w:rPr>
        <w:t> </w:t>
      </w:r>
      <w:r>
        <w:rPr>
          <w:color w:val="231F20"/>
        </w:rPr>
        <w:t>combinatoria</w:t>
      </w:r>
      <w:r>
        <w:rPr>
          <w:color w:val="231F20"/>
          <w:spacing w:val="-7"/>
        </w:rPr>
        <w:t> </w:t>
      </w:r>
      <w:r>
        <w:rPr>
          <w:color w:val="231F20"/>
        </w:rPr>
        <w:t>general</w:t>
      </w:r>
      <w:r>
        <w:rPr>
          <w:color w:val="231F20"/>
          <w:spacing w:val="-7"/>
        </w:rPr>
        <w:t> </w:t>
      </w:r>
      <w:r>
        <w:rPr>
          <w:color w:val="231F20"/>
        </w:rPr>
        <w:t>y</w:t>
      </w:r>
      <w:r>
        <w:rPr>
          <w:color w:val="231F20"/>
          <w:spacing w:val="-7"/>
        </w:rPr>
        <w:t> </w:t>
      </w:r>
      <w:r>
        <w:rPr>
          <w:color w:val="231F20"/>
        </w:rPr>
        <w:t>específica,</w:t>
      </w:r>
      <w:r>
        <w:rPr>
          <w:color w:val="231F20"/>
          <w:spacing w:val="-7"/>
        </w:rPr>
        <w:t> </w:t>
      </w:r>
      <w:r>
        <w:rPr>
          <w:color w:val="231F20"/>
        </w:rPr>
        <w:t>con</w:t>
      </w:r>
      <w:r>
        <w:rPr>
          <w:color w:val="231F20"/>
          <w:spacing w:val="-7"/>
        </w:rPr>
        <w:t> </w:t>
      </w:r>
      <w:r>
        <w:rPr>
          <w:color w:val="231F20"/>
        </w:rPr>
        <w:t>las</w:t>
      </w:r>
      <w:r>
        <w:rPr>
          <w:color w:val="231F20"/>
          <w:spacing w:val="-7"/>
        </w:rPr>
        <w:t> </w:t>
      </w:r>
      <w:r>
        <w:rPr>
          <w:color w:val="231F20"/>
        </w:rPr>
        <w:t>cuales</w:t>
      </w:r>
      <w:r>
        <w:rPr>
          <w:color w:val="231F20"/>
          <w:spacing w:val="-7"/>
        </w:rPr>
        <w:t> </w:t>
      </w:r>
      <w:r>
        <w:rPr>
          <w:color w:val="231F20"/>
        </w:rPr>
        <w:t>se</w:t>
      </w:r>
      <w:r>
        <w:rPr>
          <w:color w:val="231F20"/>
          <w:spacing w:val="-7"/>
        </w:rPr>
        <w:t> </w:t>
      </w:r>
      <w:r>
        <w:rPr>
          <w:color w:val="231F20"/>
        </w:rPr>
        <w:t>han formado híbridos y variedades</w:t>
      </w:r>
      <w:r>
        <w:rPr>
          <w:color w:val="231F20"/>
          <w:spacing w:val="-11"/>
        </w:rPr>
        <w:t> </w:t>
      </w:r>
      <w:r>
        <w:rPr>
          <w:color w:val="231F20"/>
        </w:rPr>
        <w:t>sintéticas.</w:t>
      </w:r>
    </w:p>
    <w:p>
      <w:pPr>
        <w:pStyle w:val="BodyText"/>
        <w:spacing w:before="10"/>
      </w:pPr>
    </w:p>
    <w:p>
      <w:pPr>
        <w:pStyle w:val="BodyText"/>
        <w:spacing w:line="247" w:lineRule="auto"/>
        <w:ind w:left="1270" w:right="1268"/>
        <w:jc w:val="both"/>
      </w:pPr>
      <w:r>
        <w:rPr>
          <w:color w:val="231F20"/>
        </w:rPr>
        <w:t>Los enfoques y metodologías de investigación utilizados por el programa han variado a través del tiempo y ha permitido obtener ganancias en rendimiento e incorporar características agronómicas y arquetípicas en híbridos, variedades, sintéticos y líneas progenitoras. En un principio se utilizaron colectas regionales que resultaron sobresalientes como la fueron Papaloapan 1 y V-520C, y pos- teriormente se derivaron líneas que dieron origen a los primeros híbridos, entre ellos, el H-503 y H-507 (Reyes </w:t>
      </w:r>
      <w:r>
        <w:rPr>
          <w:i/>
          <w:color w:val="231F20"/>
        </w:rPr>
        <w:t>et al.</w:t>
      </w:r>
      <w:r>
        <w:rPr>
          <w:color w:val="231F20"/>
        </w:rPr>
        <w:t>, 1959; Reyes 1971), éste último, ampliamente adoptado entre los productores del sureste mexicano.</w:t>
      </w:r>
    </w:p>
    <w:p>
      <w:pPr>
        <w:pStyle w:val="BodyText"/>
        <w:spacing w:before="10"/>
      </w:pPr>
    </w:p>
    <w:p>
      <w:pPr>
        <w:pStyle w:val="BodyText"/>
        <w:spacing w:line="247" w:lineRule="auto"/>
        <w:ind w:left="1270" w:right="1267"/>
        <w:jc w:val="both"/>
      </w:pPr>
      <w:r>
        <w:rPr>
          <w:color w:val="231F20"/>
        </w:rPr>
        <w:t>La selección recurrente en poblaciones y la recombinación de líneas endogámicas de alta aptitud combinatoria general, ha sido un enfoque metodológico que permitió la formación y liberación de las</w:t>
      </w:r>
      <w:r>
        <w:rPr>
          <w:color w:val="231F20"/>
          <w:spacing w:val="-4"/>
        </w:rPr>
        <w:t> </w:t>
      </w:r>
      <w:r>
        <w:rPr>
          <w:color w:val="231F20"/>
        </w:rPr>
        <w:t>variedades</w:t>
      </w:r>
      <w:r>
        <w:rPr>
          <w:color w:val="231F20"/>
          <w:spacing w:val="-4"/>
        </w:rPr>
        <w:t> </w:t>
      </w:r>
      <w:r>
        <w:rPr>
          <w:color w:val="231F20"/>
        </w:rPr>
        <w:t>sintéticas</w:t>
      </w:r>
      <w:r>
        <w:rPr>
          <w:color w:val="231F20"/>
          <w:spacing w:val="-4"/>
        </w:rPr>
        <w:t> </w:t>
      </w:r>
      <w:r>
        <w:rPr>
          <w:color w:val="231F20"/>
        </w:rPr>
        <w:t>y</w:t>
      </w:r>
      <w:r>
        <w:rPr>
          <w:color w:val="231F20"/>
          <w:spacing w:val="-4"/>
        </w:rPr>
        <w:t> </w:t>
      </w:r>
      <w:r>
        <w:rPr>
          <w:color w:val="231F20"/>
        </w:rPr>
        <w:t>de</w:t>
      </w:r>
      <w:r>
        <w:rPr>
          <w:color w:val="231F20"/>
          <w:spacing w:val="-4"/>
        </w:rPr>
        <w:t> </w:t>
      </w:r>
      <w:r>
        <w:rPr>
          <w:color w:val="231F20"/>
        </w:rPr>
        <w:t>polinización</w:t>
      </w:r>
      <w:r>
        <w:rPr>
          <w:color w:val="231F20"/>
          <w:spacing w:val="-4"/>
        </w:rPr>
        <w:t> </w:t>
      </w:r>
      <w:r>
        <w:rPr>
          <w:color w:val="231F20"/>
        </w:rPr>
        <w:t>libre</w:t>
      </w:r>
      <w:r>
        <w:rPr>
          <w:color w:val="231F20"/>
          <w:spacing w:val="-7"/>
        </w:rPr>
        <w:t> </w:t>
      </w:r>
      <w:r>
        <w:rPr>
          <w:color w:val="231F20"/>
        </w:rPr>
        <w:t>VS-521,</w:t>
      </w:r>
      <w:r>
        <w:rPr>
          <w:color w:val="231F20"/>
          <w:spacing w:val="-7"/>
        </w:rPr>
        <w:t> </w:t>
      </w:r>
      <w:r>
        <w:rPr>
          <w:color w:val="231F20"/>
          <w:spacing w:val="-4"/>
        </w:rPr>
        <w:t>V-522,</w:t>
      </w:r>
      <w:r>
        <w:rPr>
          <w:color w:val="231F20"/>
          <w:spacing w:val="-7"/>
        </w:rPr>
        <w:t> </w:t>
      </w:r>
      <w:r>
        <w:rPr>
          <w:color w:val="231F20"/>
        </w:rPr>
        <w:t>VS-523</w:t>
      </w:r>
      <w:r>
        <w:rPr>
          <w:color w:val="231F20"/>
          <w:spacing w:val="-15"/>
        </w:rPr>
        <w:t> </w:t>
      </w:r>
      <w:r>
        <w:rPr>
          <w:color w:val="231F20"/>
        </w:rPr>
        <w:t>A,</w:t>
      </w:r>
      <w:r>
        <w:rPr>
          <w:color w:val="231F20"/>
          <w:spacing w:val="-7"/>
        </w:rPr>
        <w:t> </w:t>
      </w:r>
      <w:r>
        <w:rPr>
          <w:color w:val="231F20"/>
          <w:spacing w:val="-4"/>
        </w:rPr>
        <w:t>V-524 </w:t>
      </w:r>
      <w:r>
        <w:rPr>
          <w:color w:val="231F20"/>
        </w:rPr>
        <w:t>y</w:t>
      </w:r>
      <w:r>
        <w:rPr>
          <w:color w:val="231F20"/>
          <w:spacing w:val="-7"/>
        </w:rPr>
        <w:t> </w:t>
      </w:r>
      <w:r>
        <w:rPr>
          <w:color w:val="231F20"/>
        </w:rPr>
        <w:t>VS-525.</w:t>
      </w:r>
      <w:r>
        <w:rPr>
          <w:color w:val="231F20"/>
          <w:spacing w:val="-4"/>
        </w:rPr>
        <w:t> </w:t>
      </w:r>
      <w:r>
        <w:rPr>
          <w:color w:val="231F20"/>
        </w:rPr>
        <w:t>Debido a su constitución genética, dichos genotipos ofrecen la ventaja de poder ser utilizados por varios ciclos de siembra sin que decaiga el rendimiento, además, es más fácil la producción de su semilla. Así también, para reducir los riesgos por acame, a través del método de retrocruzas, se introdujo el carácter braquítico que permitió reducir la altura de planta y de mazorca en las líneas endogámicas progenitoras del H-503 y H-507, cuyos resultados dieron origen a los híbridos de planta baja H-508 y H-509  (Sierra </w:t>
      </w:r>
      <w:r>
        <w:rPr>
          <w:i/>
          <w:color w:val="231F20"/>
        </w:rPr>
        <w:t>et al.</w:t>
      </w:r>
      <w:r>
        <w:rPr>
          <w:color w:val="231F20"/>
        </w:rPr>
        <w:t>,</w:t>
      </w:r>
      <w:r>
        <w:rPr>
          <w:color w:val="231F20"/>
          <w:spacing w:val="-1"/>
        </w:rPr>
        <w:t> </w:t>
      </w:r>
      <w:r>
        <w:rPr>
          <w:color w:val="231F20"/>
        </w:rPr>
        <w:t>1996).</w:t>
      </w:r>
    </w:p>
    <w:p>
      <w:pPr>
        <w:pStyle w:val="BodyText"/>
        <w:spacing w:before="10"/>
      </w:pPr>
    </w:p>
    <w:p>
      <w:pPr>
        <w:pStyle w:val="BodyText"/>
        <w:spacing w:line="247" w:lineRule="auto"/>
        <w:ind w:left="1270" w:right="1267"/>
        <w:jc w:val="both"/>
      </w:pPr>
      <w:r>
        <w:rPr>
          <w:color w:val="231F20"/>
        </w:rPr>
        <w:t>En la década de los ochentas se dio énfasis a la derivación de líneas de poblaciones exóticas y al mejoramiento poblacional que aprovecha la porción aditiva de la varianza genética presente en las poblaciones de maíz. Se utilizó la selección recurrente mediante progenies de hermanos completos en las poblaciones de maíz Sintético Tropical Dentado (STD) y Tuxpeño Tropical Cristalino (TTC) de las que se obtuvieron las variedades de polinización libre </w:t>
      </w:r>
      <w:r>
        <w:rPr>
          <w:color w:val="231F20"/>
          <w:spacing w:val="-4"/>
        </w:rPr>
        <w:t>V-530 </w:t>
      </w:r>
      <w:r>
        <w:rPr>
          <w:color w:val="231F20"/>
        </w:rPr>
        <w:t>que se sembró comercialmente en</w:t>
      </w:r>
      <w:r>
        <w:rPr>
          <w:color w:val="231F20"/>
          <w:spacing w:val="-6"/>
        </w:rPr>
        <w:t> </w:t>
      </w:r>
      <w:r>
        <w:rPr>
          <w:color w:val="231F20"/>
        </w:rPr>
        <w:t>el</w:t>
      </w:r>
      <w:r>
        <w:rPr>
          <w:color w:val="231F20"/>
          <w:spacing w:val="-6"/>
        </w:rPr>
        <w:t> </w:t>
      </w:r>
      <w:r>
        <w:rPr>
          <w:color w:val="231F20"/>
        </w:rPr>
        <w:t>estado</w:t>
      </w:r>
      <w:r>
        <w:rPr>
          <w:color w:val="231F20"/>
          <w:spacing w:val="-6"/>
        </w:rPr>
        <w:t> </w:t>
      </w:r>
      <w:r>
        <w:rPr>
          <w:color w:val="231F20"/>
        </w:rPr>
        <w:t>de</w:t>
      </w:r>
      <w:r>
        <w:rPr>
          <w:color w:val="231F20"/>
          <w:spacing w:val="-9"/>
        </w:rPr>
        <w:t> </w:t>
      </w:r>
      <w:r>
        <w:rPr>
          <w:color w:val="231F20"/>
          <w:spacing w:val="-3"/>
        </w:rPr>
        <w:t>Veracruz,</w:t>
      </w:r>
      <w:r>
        <w:rPr>
          <w:color w:val="231F20"/>
          <w:spacing w:val="-10"/>
        </w:rPr>
        <w:t> </w:t>
      </w:r>
      <w:r>
        <w:rPr>
          <w:color w:val="231F20"/>
          <w:spacing w:val="-4"/>
        </w:rPr>
        <w:t>V-531</w:t>
      </w:r>
      <w:r>
        <w:rPr>
          <w:color w:val="231F20"/>
          <w:spacing w:val="-6"/>
        </w:rPr>
        <w:t> </w:t>
      </w:r>
      <w:r>
        <w:rPr>
          <w:color w:val="231F20"/>
        </w:rPr>
        <w:t>para</w:t>
      </w:r>
      <w:r>
        <w:rPr>
          <w:color w:val="231F20"/>
          <w:spacing w:val="-6"/>
        </w:rPr>
        <w:t> </w:t>
      </w:r>
      <w:r>
        <w:rPr>
          <w:color w:val="231F20"/>
        </w:rPr>
        <w:t>la</w:t>
      </w:r>
      <w:r>
        <w:rPr>
          <w:color w:val="231F20"/>
          <w:spacing w:val="-6"/>
        </w:rPr>
        <w:t> </w:t>
      </w:r>
      <w:r>
        <w:rPr>
          <w:color w:val="231F20"/>
        </w:rPr>
        <w:t>región</w:t>
      </w:r>
      <w:r>
        <w:rPr>
          <w:color w:val="231F20"/>
          <w:spacing w:val="-6"/>
        </w:rPr>
        <w:t> </w:t>
      </w:r>
      <w:r>
        <w:rPr>
          <w:color w:val="231F20"/>
        </w:rPr>
        <w:t>costera</w:t>
      </w:r>
      <w:r>
        <w:rPr>
          <w:color w:val="231F20"/>
          <w:spacing w:val="-6"/>
        </w:rPr>
        <w:t> </w:t>
      </w:r>
      <w:r>
        <w:rPr>
          <w:color w:val="231F20"/>
        </w:rPr>
        <w:t>del</w:t>
      </w:r>
      <w:r>
        <w:rPr>
          <w:color w:val="231F20"/>
          <w:spacing w:val="-6"/>
        </w:rPr>
        <w:t> </w:t>
      </w:r>
      <w:r>
        <w:rPr>
          <w:color w:val="231F20"/>
        </w:rPr>
        <w:t>Pacífico,</w:t>
      </w:r>
      <w:r>
        <w:rPr>
          <w:color w:val="231F20"/>
          <w:spacing w:val="-9"/>
        </w:rPr>
        <w:t> </w:t>
      </w:r>
      <w:r>
        <w:rPr>
          <w:color w:val="231F20"/>
          <w:spacing w:val="-4"/>
        </w:rPr>
        <w:t>V-532</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península</w:t>
      </w:r>
      <w:r>
        <w:rPr>
          <w:color w:val="231F20"/>
          <w:spacing w:val="-6"/>
        </w:rPr>
        <w:t> </w:t>
      </w:r>
      <w:r>
        <w:rPr>
          <w:color w:val="231F20"/>
        </w:rPr>
        <w:t>de</w:t>
      </w:r>
      <w:r>
        <w:rPr>
          <w:color w:val="231F20"/>
          <w:spacing w:val="-13"/>
        </w:rPr>
        <w:t> </w:t>
      </w:r>
      <w:r>
        <w:rPr>
          <w:color w:val="231F20"/>
          <w:spacing w:val="-4"/>
        </w:rPr>
        <w:t>Yucatán </w:t>
      </w:r>
      <w:r>
        <w:rPr>
          <w:color w:val="231F20"/>
        </w:rPr>
        <w:t>y </w:t>
      </w:r>
      <w:r>
        <w:rPr>
          <w:color w:val="231F20"/>
          <w:spacing w:val="-4"/>
        </w:rPr>
        <w:t>V-534 </w:t>
      </w:r>
      <w:r>
        <w:rPr>
          <w:color w:val="231F20"/>
        </w:rPr>
        <w:t>en la región central de Chiapas, las cuales han sido sembradas comercialmente en la región tropical del Sureste de México  (Sierra </w:t>
      </w:r>
      <w:r>
        <w:rPr>
          <w:i/>
          <w:color w:val="231F20"/>
        </w:rPr>
        <w:t>et al.</w:t>
      </w:r>
      <w:r>
        <w:rPr>
          <w:color w:val="231F20"/>
        </w:rPr>
        <w:t>, 1986; Sierra </w:t>
      </w:r>
      <w:r>
        <w:rPr>
          <w:i/>
          <w:color w:val="231F20"/>
        </w:rPr>
        <w:t>et al.</w:t>
      </w:r>
      <w:r>
        <w:rPr>
          <w:color w:val="231F20"/>
        </w:rPr>
        <w:t>, 1991; Ramírez </w:t>
      </w:r>
      <w:r>
        <w:rPr>
          <w:i/>
          <w:color w:val="231F20"/>
        </w:rPr>
        <w:t>et al.</w:t>
      </w:r>
      <w:r>
        <w:rPr>
          <w:color w:val="231F20"/>
        </w:rPr>
        <w:t>,</w:t>
      </w:r>
      <w:r>
        <w:rPr>
          <w:color w:val="231F20"/>
          <w:spacing w:val="-14"/>
        </w:rPr>
        <w:t> </w:t>
      </w:r>
      <w:r>
        <w:rPr>
          <w:color w:val="231F20"/>
        </w:rPr>
        <w:t>1990).</w:t>
      </w:r>
    </w:p>
    <w:p>
      <w:pPr>
        <w:pStyle w:val="BodyText"/>
        <w:spacing w:before="10"/>
      </w:pPr>
    </w:p>
    <w:p>
      <w:pPr>
        <w:pStyle w:val="BodyText"/>
        <w:spacing w:line="247" w:lineRule="auto"/>
        <w:ind w:left="1270" w:right="1267"/>
        <w:jc w:val="both"/>
      </w:pPr>
      <w:r>
        <w:rPr>
          <w:color w:val="231F20"/>
        </w:rPr>
        <w:t>Con</w:t>
      </w:r>
      <w:r>
        <w:rPr>
          <w:color w:val="231F20"/>
          <w:spacing w:val="-4"/>
        </w:rPr>
        <w:t> </w:t>
      </w:r>
      <w:r>
        <w:rPr>
          <w:color w:val="231F20"/>
        </w:rPr>
        <w:t>el</w:t>
      </w:r>
      <w:r>
        <w:rPr>
          <w:color w:val="231F20"/>
          <w:spacing w:val="-4"/>
        </w:rPr>
        <w:t> </w:t>
      </w:r>
      <w:r>
        <w:rPr>
          <w:color w:val="231F20"/>
        </w:rPr>
        <w:t>fin</w:t>
      </w:r>
      <w:r>
        <w:rPr>
          <w:color w:val="231F20"/>
          <w:spacing w:val="-4"/>
        </w:rPr>
        <w:t> </w:t>
      </w:r>
      <w:r>
        <w:rPr>
          <w:color w:val="231F20"/>
        </w:rPr>
        <w:t>de</w:t>
      </w:r>
      <w:r>
        <w:rPr>
          <w:color w:val="231F20"/>
          <w:spacing w:val="-4"/>
        </w:rPr>
        <w:t> </w:t>
      </w:r>
      <w:r>
        <w:rPr>
          <w:color w:val="231F20"/>
        </w:rPr>
        <w:t>aprovechar</w:t>
      </w:r>
      <w:r>
        <w:rPr>
          <w:color w:val="231F20"/>
          <w:spacing w:val="-4"/>
        </w:rPr>
        <w:t> </w:t>
      </w:r>
      <w:r>
        <w:rPr>
          <w:color w:val="231F20"/>
        </w:rPr>
        <w:t>el</w:t>
      </w:r>
      <w:r>
        <w:rPr>
          <w:color w:val="231F20"/>
          <w:spacing w:val="-4"/>
        </w:rPr>
        <w:t> </w:t>
      </w:r>
      <w:r>
        <w:rPr>
          <w:color w:val="231F20"/>
        </w:rPr>
        <w:t>germoplasma</w:t>
      </w:r>
      <w:r>
        <w:rPr>
          <w:color w:val="231F20"/>
          <w:spacing w:val="-4"/>
        </w:rPr>
        <w:t> </w:t>
      </w:r>
      <w:r>
        <w:rPr>
          <w:color w:val="231F20"/>
        </w:rPr>
        <w:t>élite</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diferentes</w:t>
      </w:r>
      <w:r>
        <w:rPr>
          <w:color w:val="231F20"/>
          <w:spacing w:val="-4"/>
        </w:rPr>
        <w:t> </w:t>
      </w:r>
      <w:r>
        <w:rPr>
          <w:color w:val="231F20"/>
        </w:rPr>
        <w:t>programas</w:t>
      </w:r>
      <w:r>
        <w:rPr>
          <w:color w:val="231F20"/>
          <w:spacing w:val="-4"/>
        </w:rPr>
        <w:t> </w:t>
      </w:r>
      <w:r>
        <w:rPr>
          <w:color w:val="231F20"/>
        </w:rPr>
        <w:t>de</w:t>
      </w:r>
      <w:r>
        <w:rPr>
          <w:color w:val="231F20"/>
          <w:spacing w:val="-4"/>
        </w:rPr>
        <w:t> </w:t>
      </w:r>
      <w:r>
        <w:rPr>
          <w:color w:val="231F20"/>
        </w:rPr>
        <w:t>mejoramiento</w:t>
      </w:r>
      <w:r>
        <w:rPr>
          <w:color w:val="231F20"/>
          <w:spacing w:val="-4"/>
        </w:rPr>
        <w:t> </w:t>
      </w:r>
      <w:r>
        <w:rPr>
          <w:color w:val="231F20"/>
        </w:rPr>
        <w:t>de</w:t>
      </w:r>
      <w:r>
        <w:rPr>
          <w:color w:val="231F20"/>
          <w:spacing w:val="-4"/>
        </w:rPr>
        <w:t> </w:t>
      </w:r>
      <w:r>
        <w:rPr>
          <w:color w:val="231F20"/>
        </w:rPr>
        <w:t>maíz en el trópico, así como la divergencia genética inferida por la diferencia ecológica, de acuerdo con Reyes (1985), se formó un dialelo con líneas provenientes de los programas de maíz de Cotaxtla, </w:t>
      </w:r>
      <w:r>
        <w:rPr>
          <w:color w:val="231F20"/>
          <w:spacing w:val="-8"/>
        </w:rPr>
        <w:t>Ver.,</w:t>
      </w:r>
      <w:r>
        <w:rPr>
          <w:color w:val="231F20"/>
          <w:spacing w:val="-9"/>
        </w:rPr>
        <w:t> </w:t>
      </w:r>
      <w:r>
        <w:rPr>
          <w:color w:val="231F20"/>
        </w:rPr>
        <w:t>Iguala,</w:t>
      </w:r>
      <w:r>
        <w:rPr>
          <w:color w:val="231F20"/>
          <w:spacing w:val="-10"/>
        </w:rPr>
        <w:t> </w:t>
      </w:r>
      <w:r>
        <w:rPr>
          <w:color w:val="231F20"/>
        </w:rPr>
        <w:t>Gro.</w:t>
      </w:r>
      <w:r>
        <w:rPr>
          <w:color w:val="231F20"/>
          <w:spacing w:val="-9"/>
        </w:rPr>
        <w:t> </w:t>
      </w:r>
      <w:r>
        <w:rPr>
          <w:color w:val="231F20"/>
        </w:rPr>
        <w:t>y</w:t>
      </w:r>
      <w:r>
        <w:rPr>
          <w:color w:val="231F20"/>
          <w:spacing w:val="-9"/>
        </w:rPr>
        <w:t> </w:t>
      </w:r>
      <w:r>
        <w:rPr>
          <w:color w:val="231F20"/>
        </w:rPr>
        <w:t>Río</w:t>
      </w:r>
      <w:r>
        <w:rPr>
          <w:color w:val="231F20"/>
          <w:spacing w:val="-9"/>
        </w:rPr>
        <w:t> </w:t>
      </w:r>
      <w:r>
        <w:rPr>
          <w:color w:val="231F20"/>
        </w:rPr>
        <w:t>Bravo,</w:t>
      </w:r>
      <w:r>
        <w:rPr>
          <w:color w:val="231F20"/>
          <w:spacing w:val="-13"/>
        </w:rPr>
        <w:t> </w:t>
      </w:r>
      <w:r>
        <w:rPr>
          <w:color w:val="231F20"/>
          <w:spacing w:val="-3"/>
        </w:rPr>
        <w:t>Tamps.</w:t>
      </w:r>
      <w:r>
        <w:rPr>
          <w:color w:val="231F20"/>
          <w:spacing w:val="-9"/>
        </w:rPr>
        <w:t> </w:t>
      </w:r>
      <w:r>
        <w:rPr>
          <w:color w:val="231F20"/>
        </w:rPr>
        <w:t>Con</w:t>
      </w:r>
      <w:r>
        <w:rPr>
          <w:color w:val="231F20"/>
          <w:spacing w:val="-9"/>
        </w:rPr>
        <w:t> </w:t>
      </w:r>
      <w:r>
        <w:rPr>
          <w:color w:val="231F20"/>
        </w:rPr>
        <w:t>líneas</w:t>
      </w:r>
      <w:r>
        <w:rPr>
          <w:color w:val="231F20"/>
          <w:spacing w:val="-10"/>
        </w:rPr>
        <w:t> </w:t>
      </w:r>
      <w:r>
        <w:rPr>
          <w:color w:val="231F20"/>
        </w:rPr>
        <w:t>de</w:t>
      </w:r>
      <w:r>
        <w:rPr>
          <w:color w:val="231F20"/>
          <w:spacing w:val="-9"/>
        </w:rPr>
        <w:t> </w:t>
      </w:r>
      <w:r>
        <w:rPr>
          <w:color w:val="231F20"/>
        </w:rPr>
        <w:t>buena</w:t>
      </w:r>
      <w:r>
        <w:rPr>
          <w:color w:val="231F20"/>
          <w:spacing w:val="-9"/>
        </w:rPr>
        <w:t> </w:t>
      </w:r>
      <w:r>
        <w:rPr>
          <w:color w:val="231F20"/>
        </w:rPr>
        <w:t>aptitud</w:t>
      </w:r>
      <w:r>
        <w:rPr>
          <w:color w:val="231F20"/>
          <w:spacing w:val="-10"/>
        </w:rPr>
        <w:t> </w:t>
      </w:r>
      <w:r>
        <w:rPr>
          <w:color w:val="231F20"/>
        </w:rPr>
        <w:t>combinatoria</w:t>
      </w:r>
      <w:r>
        <w:rPr>
          <w:color w:val="231F20"/>
          <w:spacing w:val="-10"/>
        </w:rPr>
        <w:t> </w:t>
      </w:r>
      <w:r>
        <w:rPr>
          <w:color w:val="231F20"/>
        </w:rPr>
        <w:t>general</w:t>
      </w:r>
      <w:r>
        <w:rPr>
          <w:color w:val="231F20"/>
          <w:spacing w:val="-10"/>
        </w:rPr>
        <w:t> </w:t>
      </w:r>
      <w:r>
        <w:rPr>
          <w:color w:val="231F20"/>
        </w:rPr>
        <w:t>se</w:t>
      </w:r>
      <w:r>
        <w:rPr>
          <w:color w:val="231F20"/>
          <w:spacing w:val="-9"/>
        </w:rPr>
        <w:t> </w:t>
      </w:r>
      <w:r>
        <w:rPr>
          <w:color w:val="231F20"/>
        </w:rPr>
        <w:t>formaron</w:t>
      </w:r>
    </w:p>
    <w:p>
      <w:pPr>
        <w:spacing w:after="0" w:line="247" w:lineRule="auto"/>
        <w:jc w:val="both"/>
        <w:sectPr>
          <w:pgSz w:w="10920" w:h="13080"/>
          <w:pgMar w:header="0" w:footer="1025" w:top="420" w:bottom="1220" w:left="0" w:right="0"/>
        </w:sectPr>
      </w:pPr>
    </w:p>
    <w:p>
      <w:pPr>
        <w:pStyle w:val="BodyText"/>
        <w:rPr>
          <w:sz w:val="20"/>
        </w:rPr>
      </w:pPr>
    </w:p>
    <w:p>
      <w:pPr>
        <w:pStyle w:val="BodyText"/>
        <w:rPr>
          <w:sz w:val="20"/>
        </w:rPr>
      </w:pPr>
    </w:p>
    <w:p>
      <w:pPr>
        <w:pStyle w:val="BodyText"/>
        <w:rPr>
          <w:sz w:val="23"/>
        </w:rPr>
      </w:pPr>
    </w:p>
    <w:p>
      <w:pPr>
        <w:pStyle w:val="BodyText"/>
        <w:spacing w:before="73"/>
        <w:ind w:left="1270"/>
        <w:jc w:val="both"/>
      </w:pPr>
      <w:r>
        <w:rPr>
          <w:color w:val="231F20"/>
        </w:rPr>
        <w:t>las variedades sintéticas VS-535, VS-536, y el híbrido de cruza doble H-512, (Sierra </w:t>
      </w:r>
      <w:r>
        <w:rPr>
          <w:i/>
          <w:color w:val="231F20"/>
        </w:rPr>
        <w:t>et al.</w:t>
      </w:r>
      <w:r>
        <w:rPr>
          <w:color w:val="231F20"/>
        </w:rPr>
        <w:t>,   1992b;</w:t>
      </w:r>
    </w:p>
    <w:p>
      <w:pPr>
        <w:pStyle w:val="BodyText"/>
        <w:spacing w:before="8"/>
        <w:ind w:left="1270"/>
        <w:jc w:val="both"/>
      </w:pPr>
      <w:r>
        <w:rPr>
          <w:color w:val="231F20"/>
        </w:rPr>
        <w:t>Sierra </w:t>
      </w:r>
      <w:r>
        <w:rPr>
          <w:i/>
          <w:color w:val="231F20"/>
        </w:rPr>
        <w:t>et al.</w:t>
      </w:r>
      <w:r>
        <w:rPr>
          <w:color w:val="231F20"/>
        </w:rPr>
        <w:t>, 1993); VS-536 es la variedad de mayor uso en el sureste mexicano.</w:t>
      </w:r>
    </w:p>
    <w:p>
      <w:pPr>
        <w:pStyle w:val="BodyText"/>
        <w:spacing w:before="5"/>
        <w:rPr>
          <w:sz w:val="22"/>
        </w:rPr>
      </w:pPr>
    </w:p>
    <w:p>
      <w:pPr>
        <w:pStyle w:val="BodyText"/>
        <w:spacing w:line="247" w:lineRule="auto"/>
        <w:ind w:left="1270" w:right="1267"/>
        <w:jc w:val="both"/>
      </w:pPr>
      <w:r>
        <w:rPr>
          <w:color w:val="231F20"/>
        </w:rPr>
        <w:t>En relación con la integración y uso de poblaciones de amplia base genética que funcionan como almacenes genéticos para la derivación de líneas o bien para ser practicada alguna variante de la se- lección</w:t>
      </w:r>
      <w:r>
        <w:rPr>
          <w:color w:val="231F20"/>
          <w:spacing w:val="-7"/>
        </w:rPr>
        <w:t> </w:t>
      </w:r>
      <w:r>
        <w:rPr>
          <w:color w:val="231F20"/>
        </w:rPr>
        <w:t>recurrente,</w:t>
      </w:r>
      <w:r>
        <w:rPr>
          <w:color w:val="231F20"/>
          <w:spacing w:val="-7"/>
        </w:rPr>
        <w:t> </w:t>
      </w:r>
      <w:r>
        <w:rPr>
          <w:color w:val="231F20"/>
        </w:rPr>
        <w:t>se</w:t>
      </w:r>
      <w:r>
        <w:rPr>
          <w:color w:val="231F20"/>
          <w:spacing w:val="-6"/>
        </w:rPr>
        <w:t> </w:t>
      </w:r>
      <w:r>
        <w:rPr>
          <w:color w:val="231F20"/>
        </w:rPr>
        <w:t>tiene</w:t>
      </w:r>
      <w:r>
        <w:rPr>
          <w:color w:val="231F20"/>
          <w:spacing w:val="-7"/>
        </w:rPr>
        <w:t> </w:t>
      </w:r>
      <w:r>
        <w:rPr>
          <w:color w:val="231F20"/>
        </w:rPr>
        <w:t>la</w:t>
      </w:r>
      <w:r>
        <w:rPr>
          <w:color w:val="231F20"/>
          <w:spacing w:val="-7"/>
        </w:rPr>
        <w:t> </w:t>
      </w:r>
      <w:r>
        <w:rPr>
          <w:color w:val="231F20"/>
        </w:rPr>
        <w:t>población</w:t>
      </w:r>
      <w:r>
        <w:rPr>
          <w:color w:val="231F20"/>
          <w:spacing w:val="-7"/>
        </w:rPr>
        <w:t> </w:t>
      </w:r>
      <w:r>
        <w:rPr>
          <w:color w:val="231F20"/>
        </w:rPr>
        <w:t>de</w:t>
      </w:r>
      <w:r>
        <w:rPr>
          <w:color w:val="231F20"/>
          <w:spacing w:val="-6"/>
        </w:rPr>
        <w:t> </w:t>
      </w:r>
      <w:r>
        <w:rPr>
          <w:color w:val="231F20"/>
        </w:rPr>
        <w:t>maíz</w:t>
      </w:r>
      <w:r>
        <w:rPr>
          <w:color w:val="231F20"/>
          <w:spacing w:val="-7"/>
        </w:rPr>
        <w:t> </w:t>
      </w:r>
      <w:r>
        <w:rPr>
          <w:color w:val="231F20"/>
        </w:rPr>
        <w:t>de</w:t>
      </w:r>
      <w:r>
        <w:rPr>
          <w:color w:val="231F20"/>
          <w:spacing w:val="-6"/>
        </w:rPr>
        <w:t> </w:t>
      </w:r>
      <w:r>
        <w:rPr>
          <w:color w:val="231F20"/>
        </w:rPr>
        <w:t>amplia</w:t>
      </w:r>
      <w:r>
        <w:rPr>
          <w:color w:val="231F20"/>
          <w:spacing w:val="-7"/>
        </w:rPr>
        <w:t> </w:t>
      </w:r>
      <w:r>
        <w:rPr>
          <w:color w:val="231F20"/>
        </w:rPr>
        <w:t>base</w:t>
      </w:r>
      <w:r>
        <w:rPr>
          <w:color w:val="231F20"/>
          <w:spacing w:val="-6"/>
        </w:rPr>
        <w:t> </w:t>
      </w:r>
      <w:r>
        <w:rPr>
          <w:color w:val="231F20"/>
        </w:rPr>
        <w:t>genética</w:t>
      </w:r>
      <w:r>
        <w:rPr>
          <w:color w:val="231F20"/>
          <w:spacing w:val="-7"/>
        </w:rPr>
        <w:t> </w:t>
      </w:r>
      <w:r>
        <w:rPr>
          <w:color w:val="231F20"/>
        </w:rPr>
        <w:t>de</w:t>
      </w:r>
      <w:r>
        <w:rPr>
          <w:color w:val="231F20"/>
          <w:spacing w:val="-6"/>
        </w:rPr>
        <w:t> </w:t>
      </w:r>
      <w:r>
        <w:rPr>
          <w:color w:val="231F20"/>
        </w:rPr>
        <w:t>ciclo</w:t>
      </w:r>
      <w:r>
        <w:rPr>
          <w:color w:val="231F20"/>
          <w:spacing w:val="-7"/>
        </w:rPr>
        <w:t> </w:t>
      </w:r>
      <w:r>
        <w:rPr>
          <w:color w:val="231F20"/>
        </w:rPr>
        <w:t>intermedio</w:t>
      </w:r>
      <w:r>
        <w:rPr>
          <w:color w:val="231F20"/>
          <w:spacing w:val="-7"/>
        </w:rPr>
        <w:t> </w:t>
      </w:r>
      <w:r>
        <w:rPr>
          <w:color w:val="231F20"/>
        </w:rPr>
        <w:t>y</w:t>
      </w:r>
      <w:r>
        <w:rPr>
          <w:color w:val="231F20"/>
          <w:spacing w:val="-7"/>
        </w:rPr>
        <w:t> </w:t>
      </w:r>
      <w:r>
        <w:rPr>
          <w:color w:val="231F20"/>
        </w:rPr>
        <w:t>grano blanco,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cual</w:t>
      </w:r>
      <w:r>
        <w:rPr>
          <w:color w:val="231F20"/>
          <w:spacing w:val="-10"/>
        </w:rPr>
        <w:t> </w:t>
      </w:r>
      <w:r>
        <w:rPr>
          <w:color w:val="231F20"/>
        </w:rPr>
        <w:t>han</w:t>
      </w:r>
      <w:r>
        <w:rPr>
          <w:color w:val="231F20"/>
          <w:spacing w:val="-10"/>
        </w:rPr>
        <w:t> </w:t>
      </w:r>
      <w:r>
        <w:rPr>
          <w:color w:val="231F20"/>
        </w:rPr>
        <w:t>sido</w:t>
      </w:r>
      <w:r>
        <w:rPr>
          <w:color w:val="231F20"/>
          <w:spacing w:val="-10"/>
        </w:rPr>
        <w:t> </w:t>
      </w:r>
      <w:r>
        <w:rPr>
          <w:color w:val="231F20"/>
        </w:rPr>
        <w:t>derivadas</w:t>
      </w:r>
      <w:r>
        <w:rPr>
          <w:color w:val="231F20"/>
          <w:spacing w:val="-10"/>
        </w:rPr>
        <w:t> </w:t>
      </w:r>
      <w:r>
        <w:rPr>
          <w:color w:val="231F20"/>
        </w:rPr>
        <w:t>líneas</w:t>
      </w:r>
      <w:r>
        <w:rPr>
          <w:color w:val="231F20"/>
          <w:spacing w:val="-11"/>
        </w:rPr>
        <w:t> </w:t>
      </w:r>
      <w:r>
        <w:rPr>
          <w:color w:val="231F20"/>
        </w:rPr>
        <w:t>endogámicas</w:t>
      </w:r>
      <w:r>
        <w:rPr>
          <w:color w:val="231F20"/>
          <w:spacing w:val="-11"/>
        </w:rPr>
        <w:t> </w:t>
      </w:r>
      <w:r>
        <w:rPr>
          <w:color w:val="231F20"/>
        </w:rPr>
        <w:t>con</w:t>
      </w:r>
      <w:r>
        <w:rPr>
          <w:color w:val="231F20"/>
          <w:spacing w:val="-10"/>
        </w:rPr>
        <w:t> </w:t>
      </w:r>
      <w:r>
        <w:rPr>
          <w:color w:val="231F20"/>
        </w:rPr>
        <w:t>cinco</w:t>
      </w:r>
      <w:r>
        <w:rPr>
          <w:color w:val="231F20"/>
          <w:spacing w:val="-10"/>
        </w:rPr>
        <w:t> </w:t>
      </w:r>
      <w:r>
        <w:rPr>
          <w:color w:val="231F20"/>
        </w:rPr>
        <w:t>niveles</w:t>
      </w:r>
      <w:r>
        <w:rPr>
          <w:color w:val="231F20"/>
          <w:spacing w:val="-10"/>
        </w:rPr>
        <w:t> </w:t>
      </w:r>
      <w:r>
        <w:rPr>
          <w:color w:val="231F20"/>
        </w:rPr>
        <w:t>de</w:t>
      </w:r>
      <w:r>
        <w:rPr>
          <w:color w:val="231F20"/>
          <w:spacing w:val="-10"/>
        </w:rPr>
        <w:t> </w:t>
      </w:r>
      <w:r>
        <w:rPr>
          <w:color w:val="231F20"/>
        </w:rPr>
        <w:t>autofecundación,</w:t>
      </w:r>
      <w:r>
        <w:rPr>
          <w:color w:val="231F20"/>
          <w:spacing w:val="-11"/>
        </w:rPr>
        <w:t> </w:t>
      </w:r>
      <w:r>
        <w:rPr>
          <w:color w:val="231F20"/>
        </w:rPr>
        <w:t>entre ellas </w:t>
      </w:r>
      <w:r>
        <w:rPr>
          <w:color w:val="231F20"/>
          <w:spacing w:val="-4"/>
        </w:rPr>
        <w:t>LT156, </w:t>
      </w:r>
      <w:r>
        <w:rPr>
          <w:color w:val="231F20"/>
        </w:rPr>
        <w:t>progenitor macho del</w:t>
      </w:r>
      <w:r>
        <w:rPr>
          <w:color w:val="231F20"/>
          <w:spacing w:val="8"/>
        </w:rPr>
        <w:t> </w:t>
      </w:r>
      <w:r>
        <w:rPr>
          <w:color w:val="231F20"/>
        </w:rPr>
        <w:t>H-520.</w:t>
      </w:r>
    </w:p>
    <w:p>
      <w:pPr>
        <w:pStyle w:val="BodyText"/>
        <w:spacing w:before="10"/>
      </w:pPr>
    </w:p>
    <w:p>
      <w:pPr>
        <w:pStyle w:val="BodyText"/>
        <w:spacing w:line="247" w:lineRule="auto"/>
        <w:ind w:left="1270" w:right="1267"/>
        <w:jc w:val="both"/>
      </w:pPr>
      <w:r>
        <w:rPr>
          <w:color w:val="231F20"/>
        </w:rPr>
        <w:t>Derivado del aprovechamiento de líneas pertenecientes a diferente grupo heterótico y con alta ap- titud combinatoria general y específica fueron definidos como sobresalientes el híbrido de cruza simple H-513 y los híbridos trilineales H-520 y H-518. Estos últimos con ventajas importantes en  la producción de semillas en virtud de que usan como progenitor hembra una cruza simple de alto rendimiento (Sierra </w:t>
      </w:r>
      <w:r>
        <w:rPr>
          <w:i/>
          <w:color w:val="231F20"/>
        </w:rPr>
        <w:t>et al.</w:t>
      </w:r>
      <w:r>
        <w:rPr>
          <w:color w:val="231F20"/>
        </w:rPr>
        <w:t>, 2005; Sierra </w:t>
      </w:r>
      <w:r>
        <w:rPr>
          <w:i/>
          <w:color w:val="231F20"/>
        </w:rPr>
        <w:t>et al.</w:t>
      </w:r>
      <w:r>
        <w:rPr>
          <w:color w:val="231F20"/>
        </w:rPr>
        <w:t>, 1994; Espinosa, 1997; Sierra, 2002). En relación con los</w:t>
      </w:r>
      <w:r>
        <w:rPr>
          <w:color w:val="231F20"/>
          <w:spacing w:val="-6"/>
        </w:rPr>
        <w:t> </w:t>
      </w:r>
      <w:r>
        <w:rPr>
          <w:color w:val="231F20"/>
        </w:rPr>
        <w:t>maíces</w:t>
      </w:r>
      <w:r>
        <w:rPr>
          <w:color w:val="231F20"/>
          <w:spacing w:val="-7"/>
        </w:rPr>
        <w:t> </w:t>
      </w:r>
      <w:r>
        <w:rPr>
          <w:color w:val="231F20"/>
        </w:rPr>
        <w:t>con</w:t>
      </w:r>
      <w:r>
        <w:rPr>
          <w:color w:val="231F20"/>
          <w:spacing w:val="-6"/>
        </w:rPr>
        <w:t> </w:t>
      </w:r>
      <w:r>
        <w:rPr>
          <w:color w:val="231F20"/>
        </w:rPr>
        <w:t>alta</w:t>
      </w:r>
      <w:r>
        <w:rPr>
          <w:color w:val="231F20"/>
          <w:spacing w:val="-7"/>
        </w:rPr>
        <w:t> </w:t>
      </w:r>
      <w:r>
        <w:rPr>
          <w:color w:val="231F20"/>
        </w:rPr>
        <w:t>calidad</w:t>
      </w:r>
      <w:r>
        <w:rPr>
          <w:color w:val="231F20"/>
          <w:spacing w:val="-7"/>
        </w:rPr>
        <w:t> </w:t>
      </w:r>
      <w:r>
        <w:rPr>
          <w:color w:val="231F20"/>
        </w:rPr>
        <w:t>de</w:t>
      </w:r>
      <w:r>
        <w:rPr>
          <w:color w:val="231F20"/>
          <w:spacing w:val="-6"/>
        </w:rPr>
        <w:t> </w:t>
      </w:r>
      <w:r>
        <w:rPr>
          <w:color w:val="231F20"/>
        </w:rPr>
        <w:t>proteína,</w:t>
      </w:r>
      <w:r>
        <w:rPr>
          <w:color w:val="231F20"/>
          <w:spacing w:val="-6"/>
        </w:rPr>
        <w:t> </w:t>
      </w:r>
      <w:r>
        <w:rPr>
          <w:color w:val="231F20"/>
        </w:rPr>
        <w:t>fueron</w:t>
      </w:r>
      <w:r>
        <w:rPr>
          <w:color w:val="231F20"/>
          <w:spacing w:val="-6"/>
        </w:rPr>
        <w:t> </w:t>
      </w:r>
      <w:r>
        <w:rPr>
          <w:color w:val="231F20"/>
        </w:rPr>
        <w:t>liberados</w:t>
      </w:r>
      <w:r>
        <w:rPr>
          <w:color w:val="231F20"/>
          <w:spacing w:val="-7"/>
        </w:rPr>
        <w:t> </w:t>
      </w:r>
      <w:r>
        <w:rPr>
          <w:color w:val="231F20"/>
        </w:rPr>
        <w:t>y</w:t>
      </w:r>
      <w:r>
        <w:rPr>
          <w:color w:val="231F20"/>
          <w:spacing w:val="-6"/>
        </w:rPr>
        <w:t> </w:t>
      </w:r>
      <w:r>
        <w:rPr>
          <w:color w:val="231F20"/>
        </w:rPr>
        <w:t>promovidos</w:t>
      </w:r>
      <w:r>
        <w:rPr>
          <w:color w:val="231F20"/>
          <w:spacing w:val="-6"/>
        </w:rPr>
        <w:t> </w:t>
      </w:r>
      <w:r>
        <w:rPr>
          <w:color w:val="231F20"/>
        </w:rPr>
        <w:t>los</w:t>
      </w:r>
      <w:r>
        <w:rPr>
          <w:color w:val="231F20"/>
          <w:spacing w:val="-6"/>
        </w:rPr>
        <w:t> </w:t>
      </w:r>
      <w:r>
        <w:rPr>
          <w:color w:val="231F20"/>
        </w:rPr>
        <w:t>genotipos</w:t>
      </w:r>
      <w:r>
        <w:rPr>
          <w:color w:val="231F20"/>
          <w:spacing w:val="-6"/>
        </w:rPr>
        <w:t> </w:t>
      </w:r>
      <w:r>
        <w:rPr>
          <w:color w:val="231F20"/>
        </w:rPr>
        <w:t>con</w:t>
      </w:r>
      <w:r>
        <w:rPr>
          <w:color w:val="231F20"/>
          <w:spacing w:val="-6"/>
        </w:rPr>
        <w:t> </w:t>
      </w:r>
      <w:r>
        <w:rPr>
          <w:color w:val="231F20"/>
        </w:rPr>
        <w:t>alta</w:t>
      </w:r>
      <w:r>
        <w:rPr>
          <w:color w:val="231F20"/>
          <w:spacing w:val="-7"/>
        </w:rPr>
        <w:t> </w:t>
      </w:r>
      <w:r>
        <w:rPr>
          <w:color w:val="231F20"/>
        </w:rPr>
        <w:t>calidad de proteína de grano blanco H-519C H-553C, H-564C y </w:t>
      </w:r>
      <w:r>
        <w:rPr>
          <w:color w:val="231F20"/>
          <w:spacing w:val="-4"/>
        </w:rPr>
        <w:t>V-537C </w:t>
      </w:r>
      <w:r>
        <w:rPr>
          <w:color w:val="231F20"/>
        </w:rPr>
        <w:t>y la variedad </w:t>
      </w:r>
      <w:r>
        <w:rPr>
          <w:color w:val="231F20"/>
          <w:spacing w:val="-3"/>
        </w:rPr>
        <w:t>V-556AC </w:t>
      </w:r>
      <w:r>
        <w:rPr>
          <w:color w:val="231F20"/>
        </w:rPr>
        <w:t>de grano amarillo (Sierra </w:t>
      </w:r>
      <w:r>
        <w:rPr>
          <w:i/>
          <w:color w:val="231F20"/>
        </w:rPr>
        <w:t>et al.</w:t>
      </w:r>
      <w:r>
        <w:rPr>
          <w:color w:val="231F20"/>
        </w:rPr>
        <w:t>, 2001; Sierra </w:t>
      </w:r>
      <w:r>
        <w:rPr>
          <w:i/>
          <w:color w:val="231F20"/>
        </w:rPr>
        <w:t>et al.</w:t>
      </w:r>
      <w:r>
        <w:rPr>
          <w:color w:val="231F20"/>
        </w:rPr>
        <w:t>,</w:t>
      </w:r>
      <w:r>
        <w:rPr>
          <w:color w:val="231F20"/>
          <w:spacing w:val="-10"/>
        </w:rPr>
        <w:t> </w:t>
      </w:r>
      <w:r>
        <w:rPr>
          <w:color w:val="231F20"/>
        </w:rPr>
        <w:t>2011).</w:t>
      </w:r>
    </w:p>
    <w:p>
      <w:pPr>
        <w:pStyle w:val="BodyText"/>
        <w:spacing w:before="9"/>
        <w:rPr>
          <w:sz w:val="22"/>
        </w:rPr>
      </w:pPr>
    </w:p>
    <w:p>
      <w:pPr>
        <w:pStyle w:val="Heading3"/>
      </w:pPr>
      <w:r>
        <w:rPr>
          <w:color w:val="010202"/>
        </w:rPr>
        <w:t>Resultados</w:t>
      </w:r>
    </w:p>
    <w:p>
      <w:pPr>
        <w:pStyle w:val="BodyText"/>
        <w:spacing w:before="10"/>
        <w:rPr>
          <w:b/>
        </w:rPr>
      </w:pPr>
    </w:p>
    <w:p>
      <w:pPr>
        <w:pStyle w:val="BodyText"/>
        <w:spacing w:line="247" w:lineRule="auto"/>
        <w:ind w:left="1270" w:right="1268"/>
        <w:jc w:val="both"/>
      </w:pPr>
      <w:r>
        <w:rPr>
          <w:color w:val="231F20"/>
        </w:rPr>
        <w:t>Híbridos</w:t>
      </w:r>
      <w:r>
        <w:rPr>
          <w:color w:val="231F20"/>
          <w:spacing w:val="-10"/>
        </w:rPr>
        <w:t> </w:t>
      </w:r>
      <w:r>
        <w:rPr>
          <w:color w:val="231F20"/>
        </w:rPr>
        <w:t>y</w:t>
      </w:r>
      <w:r>
        <w:rPr>
          <w:color w:val="231F20"/>
          <w:spacing w:val="-10"/>
        </w:rPr>
        <w:t> </w:t>
      </w:r>
      <w:r>
        <w:rPr>
          <w:color w:val="231F20"/>
        </w:rPr>
        <w:t>variedades</w:t>
      </w:r>
      <w:r>
        <w:rPr>
          <w:color w:val="231F20"/>
          <w:spacing w:val="-10"/>
        </w:rPr>
        <w:t> </w:t>
      </w:r>
      <w:r>
        <w:rPr>
          <w:color w:val="231F20"/>
        </w:rPr>
        <w:t>de</w:t>
      </w:r>
      <w:r>
        <w:rPr>
          <w:color w:val="231F20"/>
          <w:spacing w:val="-10"/>
        </w:rPr>
        <w:t> </w:t>
      </w:r>
      <w:r>
        <w:rPr>
          <w:color w:val="231F20"/>
        </w:rPr>
        <w:t>maíz.</w:t>
      </w:r>
      <w:r>
        <w:rPr>
          <w:color w:val="231F20"/>
          <w:spacing w:val="-10"/>
        </w:rPr>
        <w:t> </w:t>
      </w:r>
      <w:r>
        <w:rPr>
          <w:color w:val="231F20"/>
        </w:rPr>
        <w:t>Durante</w:t>
      </w:r>
      <w:r>
        <w:rPr>
          <w:color w:val="231F20"/>
          <w:spacing w:val="-10"/>
        </w:rPr>
        <w:t> </w:t>
      </w:r>
      <w:r>
        <w:rPr>
          <w:color w:val="231F20"/>
        </w:rPr>
        <w:t>más</w:t>
      </w:r>
      <w:r>
        <w:rPr>
          <w:color w:val="231F20"/>
          <w:spacing w:val="-10"/>
        </w:rPr>
        <w:t> </w:t>
      </w:r>
      <w:r>
        <w:rPr>
          <w:color w:val="231F20"/>
        </w:rPr>
        <w:t>de</w:t>
      </w:r>
      <w:r>
        <w:rPr>
          <w:color w:val="231F20"/>
          <w:spacing w:val="-10"/>
        </w:rPr>
        <w:t> </w:t>
      </w:r>
      <w:r>
        <w:rPr>
          <w:color w:val="231F20"/>
        </w:rPr>
        <w:t>cinco</w:t>
      </w:r>
      <w:r>
        <w:rPr>
          <w:color w:val="231F20"/>
          <w:spacing w:val="-10"/>
        </w:rPr>
        <w:t> </w:t>
      </w:r>
      <w:r>
        <w:rPr>
          <w:color w:val="231F20"/>
        </w:rPr>
        <w:t>décadas</w:t>
      </w:r>
      <w:r>
        <w:rPr>
          <w:color w:val="231F20"/>
          <w:spacing w:val="-10"/>
        </w:rPr>
        <w:t> </w:t>
      </w:r>
      <w:r>
        <w:rPr>
          <w:color w:val="231F20"/>
        </w:rPr>
        <w:t>de</w:t>
      </w:r>
      <w:r>
        <w:rPr>
          <w:color w:val="231F20"/>
          <w:spacing w:val="-10"/>
        </w:rPr>
        <w:t> </w:t>
      </w:r>
      <w:r>
        <w:rPr>
          <w:color w:val="231F20"/>
        </w:rPr>
        <w:t>investigación</w:t>
      </w:r>
      <w:r>
        <w:rPr>
          <w:color w:val="231F20"/>
          <w:spacing w:val="-10"/>
        </w:rPr>
        <w:t> </w:t>
      </w:r>
      <w:r>
        <w:rPr>
          <w:color w:val="231F20"/>
        </w:rPr>
        <w:t>continua</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progra- ma de maíz para el trópico húmedo, se han liberado 16 híbridos, 6 variedades de polinización libre y 5 sintéticos de la serie 500, los cuales han sido comercializados con muy buena aceptación entre los productores, de los cuales se encuentran en uso actual los híbridos H-520, H-564C, H-519C y las variedades VS-536, </w:t>
      </w:r>
      <w:r>
        <w:rPr>
          <w:color w:val="231F20"/>
          <w:spacing w:val="-4"/>
        </w:rPr>
        <w:t>V-537C </w:t>
      </w:r>
      <w:r>
        <w:rPr>
          <w:color w:val="231F20"/>
        </w:rPr>
        <w:t>y </w:t>
      </w:r>
      <w:r>
        <w:rPr>
          <w:color w:val="231F20"/>
          <w:spacing w:val="-3"/>
        </w:rPr>
        <w:t>V-556AC </w:t>
      </w:r>
      <w:r>
        <w:rPr>
          <w:color w:val="231F20"/>
        </w:rPr>
        <w:t>con adaptación a la región tropical húmeda en altitudes de 0 a 1200 msnm. (Cuadro 1). La Figura 1 muestra el progreso del mejoramiento para rendimiento de grano en variedades de maíz de 1952 a 1991, en la que se observa un avance importante de 1952 a 1975 y 1981 con las variedades </w:t>
      </w:r>
      <w:r>
        <w:rPr>
          <w:color w:val="231F20"/>
          <w:spacing w:val="-4"/>
        </w:rPr>
        <w:t>V-524 </w:t>
      </w:r>
      <w:r>
        <w:rPr>
          <w:color w:val="231F20"/>
        </w:rPr>
        <w:t>y VS-525, para 1989 hay una aparente disminución en el rendimiento, sin embargo, la variedad </w:t>
      </w:r>
      <w:r>
        <w:rPr>
          <w:color w:val="231F20"/>
          <w:spacing w:val="-4"/>
        </w:rPr>
        <w:t>V-530 </w:t>
      </w:r>
      <w:r>
        <w:rPr>
          <w:color w:val="231F20"/>
        </w:rPr>
        <w:t>liberada en ese año fue caracterizada como tolerante a sequía</w:t>
      </w:r>
      <w:r>
        <w:rPr>
          <w:color w:val="231F20"/>
          <w:spacing w:val="-3"/>
        </w:rPr>
        <w:t> </w:t>
      </w:r>
      <w:r>
        <w:rPr>
          <w:color w:val="231F20"/>
        </w:rPr>
        <w:t>y</w:t>
      </w:r>
      <w:r>
        <w:rPr>
          <w:color w:val="231F20"/>
          <w:spacing w:val="-3"/>
        </w:rPr>
        <w:t> </w:t>
      </w:r>
      <w:r>
        <w:rPr>
          <w:color w:val="231F20"/>
        </w:rPr>
        <w:t>recomendada</w:t>
      </w:r>
      <w:r>
        <w:rPr>
          <w:color w:val="231F20"/>
          <w:spacing w:val="-3"/>
        </w:rPr>
        <w:t> </w:t>
      </w:r>
      <w:r>
        <w:rPr>
          <w:color w:val="231F20"/>
        </w:rPr>
        <w:t>para</w:t>
      </w:r>
      <w:r>
        <w:rPr>
          <w:color w:val="231F20"/>
          <w:spacing w:val="-3"/>
        </w:rPr>
        <w:t> </w:t>
      </w:r>
      <w:r>
        <w:rPr>
          <w:color w:val="231F20"/>
        </w:rPr>
        <w:t>las</w:t>
      </w:r>
      <w:r>
        <w:rPr>
          <w:color w:val="231F20"/>
          <w:spacing w:val="-3"/>
        </w:rPr>
        <w:t> </w:t>
      </w:r>
      <w:r>
        <w:rPr>
          <w:color w:val="231F20"/>
        </w:rPr>
        <w:t>áreas</w:t>
      </w:r>
      <w:r>
        <w:rPr>
          <w:color w:val="231F20"/>
          <w:spacing w:val="-3"/>
        </w:rPr>
        <w:t> </w:t>
      </w:r>
      <w:r>
        <w:rPr>
          <w:color w:val="231F20"/>
        </w:rPr>
        <w:t>con</w:t>
      </w:r>
      <w:r>
        <w:rPr>
          <w:color w:val="231F20"/>
          <w:spacing w:val="-3"/>
        </w:rPr>
        <w:t> </w:t>
      </w:r>
      <w:r>
        <w:rPr>
          <w:color w:val="231F20"/>
        </w:rPr>
        <w:t>clima</w:t>
      </w:r>
      <w:r>
        <w:rPr>
          <w:color w:val="231F20"/>
          <w:spacing w:val="-15"/>
        </w:rPr>
        <w:t> </w:t>
      </w:r>
      <w:r>
        <w:rPr>
          <w:color w:val="231F20"/>
          <w:spacing w:val="-7"/>
        </w:rPr>
        <w:t>Aw0</w:t>
      </w:r>
      <w:r>
        <w:rPr>
          <w:color w:val="231F20"/>
          <w:spacing w:val="-3"/>
        </w:rPr>
        <w:t> </w:t>
      </w:r>
      <w:r>
        <w:rPr>
          <w:color w:val="231F20"/>
        </w:rPr>
        <w:t>de</w:t>
      </w:r>
      <w:r>
        <w:rPr>
          <w:color w:val="231F20"/>
          <w:spacing w:val="-3"/>
        </w:rPr>
        <w:t> </w:t>
      </w:r>
      <w:r>
        <w:rPr>
          <w:color w:val="231F20"/>
        </w:rPr>
        <w:t>la</w:t>
      </w:r>
      <w:r>
        <w:rPr>
          <w:color w:val="231F20"/>
          <w:spacing w:val="-3"/>
        </w:rPr>
        <w:t> </w:t>
      </w:r>
      <w:r>
        <w:rPr>
          <w:color w:val="231F20"/>
        </w:rPr>
        <w:t>región</w:t>
      </w:r>
      <w:r>
        <w:rPr>
          <w:color w:val="231F20"/>
          <w:spacing w:val="-3"/>
        </w:rPr>
        <w:t> </w:t>
      </w:r>
      <w:r>
        <w:rPr>
          <w:color w:val="231F20"/>
        </w:rPr>
        <w:t>central</w:t>
      </w:r>
      <w:r>
        <w:rPr>
          <w:color w:val="231F20"/>
          <w:spacing w:val="-3"/>
        </w:rPr>
        <w:t> </w:t>
      </w:r>
      <w:r>
        <w:rPr>
          <w:color w:val="231F20"/>
        </w:rPr>
        <w:t>del</w:t>
      </w:r>
      <w:r>
        <w:rPr>
          <w:color w:val="231F20"/>
          <w:spacing w:val="-3"/>
        </w:rPr>
        <w:t> </w:t>
      </w:r>
      <w:r>
        <w:rPr>
          <w:color w:val="231F20"/>
        </w:rPr>
        <w:t>estado</w:t>
      </w:r>
      <w:r>
        <w:rPr>
          <w:color w:val="231F20"/>
          <w:spacing w:val="-3"/>
        </w:rPr>
        <w:t> </w:t>
      </w:r>
      <w:r>
        <w:rPr>
          <w:color w:val="231F20"/>
        </w:rPr>
        <w:t>de</w:t>
      </w:r>
      <w:r>
        <w:rPr>
          <w:color w:val="231F20"/>
          <w:spacing w:val="-7"/>
        </w:rPr>
        <w:t> </w:t>
      </w:r>
      <w:r>
        <w:rPr>
          <w:color w:val="231F20"/>
          <w:spacing w:val="-3"/>
        </w:rPr>
        <w:t>Veracruz </w:t>
      </w:r>
      <w:r>
        <w:rPr>
          <w:color w:val="231F20"/>
        </w:rPr>
        <w:t>prin- cipalmente, atributo que no se expresa en esta evaluación. En 1991 fue liberada la variedad</w:t>
      </w:r>
      <w:r>
        <w:rPr>
          <w:color w:val="231F20"/>
          <w:spacing w:val="-30"/>
        </w:rPr>
        <w:t> </w:t>
      </w:r>
      <w:r>
        <w:rPr>
          <w:color w:val="231F20"/>
        </w:rPr>
        <w:t>sintética VS-536, que registró un incremento en rendimiento y fue adoptada por los agricultores en el</w:t>
      </w:r>
      <w:r>
        <w:rPr>
          <w:color w:val="231F20"/>
          <w:spacing w:val="-16"/>
        </w:rPr>
        <w:t> </w:t>
      </w:r>
      <w:r>
        <w:rPr>
          <w:color w:val="231F20"/>
        </w:rPr>
        <w:t>sureste mexicano y por las empresas semilleros para su producción y distribución</w:t>
      </w:r>
      <w:r>
        <w:rPr>
          <w:color w:val="231F20"/>
          <w:spacing w:val="-13"/>
        </w:rPr>
        <w:t> </w:t>
      </w:r>
      <w:r>
        <w:rPr>
          <w:color w:val="231F20"/>
        </w:rPr>
        <w:t>masiva.</w:t>
      </w:r>
    </w:p>
    <w:p>
      <w:pPr>
        <w:spacing w:after="0" w:line="247" w:lineRule="auto"/>
        <w:jc w:val="both"/>
        <w:sectPr>
          <w:pgSz w:w="10920" w:h="13080"/>
          <w:pgMar w:header="0" w:footer="1025" w:top="420" w:bottom="1220" w:left="0" w:right="0"/>
        </w:sectPr>
      </w:pPr>
    </w:p>
    <w:p>
      <w:pPr>
        <w:pStyle w:val="BodyText"/>
        <w:rPr>
          <w:sz w:val="20"/>
        </w:rPr>
      </w:pPr>
    </w:p>
    <w:p>
      <w:pPr>
        <w:pStyle w:val="BodyText"/>
        <w:rPr>
          <w:sz w:val="20"/>
        </w:rPr>
      </w:pPr>
    </w:p>
    <w:p>
      <w:pPr>
        <w:pStyle w:val="BodyText"/>
        <w:rPr>
          <w:sz w:val="23"/>
        </w:rPr>
      </w:pPr>
    </w:p>
    <w:p>
      <w:pPr>
        <w:spacing w:before="77"/>
        <w:ind w:left="1704" w:right="1279" w:firstLine="0"/>
        <w:jc w:val="left"/>
        <w:rPr>
          <w:b/>
          <w:sz w:val="18"/>
        </w:rPr>
      </w:pPr>
      <w:r>
        <w:rPr>
          <w:b/>
          <w:color w:val="010202"/>
          <w:sz w:val="18"/>
        </w:rPr>
        <w:t>Cuadro 1. Híbridos y variedades de maíz liberados para el trópico húmedo de México 1952 a 2009</w:t>
      </w:r>
    </w:p>
    <w:p>
      <w:pPr>
        <w:tabs>
          <w:tab w:pos="2710" w:val="left" w:leader="none"/>
          <w:tab w:pos="3430" w:val="left" w:leader="none"/>
          <w:tab w:pos="6310" w:val="left" w:leader="none"/>
          <w:tab w:pos="8470" w:val="left" w:leader="none"/>
        </w:tabs>
        <w:spacing w:line="500" w:lineRule="atLeast" w:before="0"/>
        <w:ind w:left="1490" w:right="2057" w:firstLine="0"/>
        <w:jc w:val="both"/>
        <w:rPr>
          <w:sz w:val="18"/>
        </w:rPr>
      </w:pPr>
      <w:r>
        <w:rPr/>
        <w:pict>
          <v:line style="position:absolute;mso-position-horizontal-relative:page;mso-position-vertical-relative:paragraph;z-index:-210640" from="63.519699pt,11.657041pt" to="482.480699pt,11.657041pt" stroked="true" strokeweight=".75pt" strokecolor="#010202">
            <w10:wrap type="none"/>
          </v:line>
        </w:pict>
      </w:r>
      <w:r>
        <w:rPr/>
        <w:pict>
          <v:line style="position:absolute;mso-position-horizontal-relative:page;mso-position-vertical-relative:paragraph;z-index:-210616" from="63.519699pt,30.069139pt" to="482.480699pt,30.069139pt" stroked="true" strokeweight=".75pt" strokecolor="#010202">
            <w10:wrap type="none"/>
          </v:line>
        </w:pict>
      </w:r>
      <w:r>
        <w:rPr>
          <w:color w:val="231F20"/>
          <w:sz w:val="18"/>
        </w:rPr>
        <w:t>GENOTIPO</w:t>
        <w:tab/>
        <w:tab/>
        <w:t>DESCRIPCIÓN</w:t>
        <w:tab/>
        <w:t>REGISTRO</w:t>
        <w:tab/>
        <w:t>AÑO </w:t>
      </w:r>
      <w:r>
        <w:rPr>
          <w:color w:val="231F20"/>
          <w:spacing w:val="-3"/>
          <w:sz w:val="18"/>
        </w:rPr>
        <w:t>V-520C</w:t>
        <w:tab/>
      </w:r>
      <w:r>
        <w:rPr>
          <w:color w:val="231F20"/>
          <w:spacing w:val="-6"/>
          <w:sz w:val="18"/>
        </w:rPr>
        <w:t>VAR. </w:t>
      </w:r>
      <w:r>
        <w:rPr>
          <w:color w:val="231F20"/>
          <w:sz w:val="18"/>
        </w:rPr>
        <w:t>DE</w:t>
      </w:r>
      <w:r>
        <w:rPr>
          <w:color w:val="231F20"/>
          <w:spacing w:val="6"/>
          <w:sz w:val="18"/>
        </w:rPr>
        <w:t> </w:t>
      </w:r>
      <w:r>
        <w:rPr>
          <w:color w:val="231F20"/>
          <w:sz w:val="18"/>
        </w:rPr>
        <w:t>POLINIZACIÓN LIBRE</w:t>
        <w:tab/>
        <w:tab/>
        <w:t>1952</w:t>
      </w:r>
    </w:p>
    <w:p>
      <w:pPr>
        <w:tabs>
          <w:tab w:pos="2710" w:val="left" w:leader="none"/>
          <w:tab w:pos="8470" w:val="left" w:leader="none"/>
        </w:tabs>
        <w:spacing w:before="43"/>
        <w:ind w:left="1490" w:right="0" w:firstLine="0"/>
        <w:jc w:val="both"/>
        <w:rPr>
          <w:sz w:val="18"/>
        </w:rPr>
      </w:pPr>
      <w:r>
        <w:rPr>
          <w:color w:val="231F20"/>
          <w:sz w:val="18"/>
        </w:rPr>
        <w:t>H-503</w:t>
        <w:tab/>
        <w:t>HÍBRIDO DE</w:t>
      </w:r>
      <w:r>
        <w:rPr>
          <w:color w:val="231F20"/>
          <w:spacing w:val="-1"/>
          <w:sz w:val="18"/>
        </w:rPr>
        <w:t> </w:t>
      </w:r>
      <w:r>
        <w:rPr>
          <w:color w:val="231F20"/>
          <w:sz w:val="18"/>
        </w:rPr>
        <w:t>CRUZA</w:t>
      </w:r>
      <w:r>
        <w:rPr>
          <w:color w:val="231F20"/>
          <w:spacing w:val="-11"/>
          <w:sz w:val="18"/>
        </w:rPr>
        <w:t> </w:t>
      </w:r>
      <w:r>
        <w:rPr>
          <w:color w:val="231F20"/>
          <w:sz w:val="18"/>
        </w:rPr>
        <w:t>DOBLE</w:t>
        <w:tab/>
        <w:t>1955</w:t>
      </w:r>
    </w:p>
    <w:p>
      <w:pPr>
        <w:tabs>
          <w:tab w:pos="2710" w:val="left" w:leader="none"/>
          <w:tab w:pos="8470" w:val="left" w:leader="none"/>
        </w:tabs>
        <w:spacing w:before="43"/>
        <w:ind w:left="1490" w:right="0" w:firstLine="0"/>
        <w:jc w:val="both"/>
        <w:rPr>
          <w:sz w:val="18"/>
        </w:rPr>
      </w:pPr>
      <w:r>
        <w:rPr>
          <w:color w:val="231F20"/>
          <w:sz w:val="18"/>
        </w:rPr>
        <w:t>H-507</w:t>
        <w:tab/>
        <w:t>HÍBRIDO DE</w:t>
      </w:r>
      <w:r>
        <w:rPr>
          <w:color w:val="231F20"/>
          <w:spacing w:val="-1"/>
          <w:sz w:val="18"/>
        </w:rPr>
        <w:t> </w:t>
      </w:r>
      <w:r>
        <w:rPr>
          <w:color w:val="231F20"/>
          <w:sz w:val="18"/>
        </w:rPr>
        <w:t>CRUZA</w:t>
      </w:r>
      <w:r>
        <w:rPr>
          <w:color w:val="231F20"/>
          <w:spacing w:val="-11"/>
          <w:sz w:val="18"/>
        </w:rPr>
        <w:t> </w:t>
      </w:r>
      <w:r>
        <w:rPr>
          <w:color w:val="231F20"/>
          <w:sz w:val="18"/>
        </w:rPr>
        <w:t>DOBLE</w:t>
        <w:tab/>
        <w:t>1961</w:t>
      </w:r>
    </w:p>
    <w:p>
      <w:pPr>
        <w:tabs>
          <w:tab w:pos="2710" w:val="left" w:leader="none"/>
          <w:tab w:pos="8470" w:val="left" w:leader="none"/>
        </w:tabs>
        <w:spacing w:before="43"/>
        <w:ind w:left="1490" w:right="0" w:firstLine="0"/>
        <w:jc w:val="both"/>
        <w:rPr>
          <w:sz w:val="18"/>
        </w:rPr>
      </w:pPr>
      <w:r>
        <w:rPr>
          <w:color w:val="231F20"/>
          <w:spacing w:val="-4"/>
          <w:sz w:val="18"/>
        </w:rPr>
        <w:t>V-522</w:t>
        <w:tab/>
      </w:r>
      <w:r>
        <w:rPr>
          <w:color w:val="231F20"/>
          <w:spacing w:val="-6"/>
          <w:sz w:val="18"/>
        </w:rPr>
        <w:t>VAR. </w:t>
      </w:r>
      <w:r>
        <w:rPr>
          <w:color w:val="231F20"/>
          <w:sz w:val="18"/>
        </w:rPr>
        <w:t>DE</w:t>
      </w:r>
      <w:r>
        <w:rPr>
          <w:color w:val="231F20"/>
          <w:spacing w:val="6"/>
          <w:sz w:val="18"/>
        </w:rPr>
        <w:t> </w:t>
      </w:r>
      <w:r>
        <w:rPr>
          <w:color w:val="231F20"/>
          <w:sz w:val="18"/>
        </w:rPr>
        <w:t>POLINIZACIÓN LIBRE</w:t>
        <w:tab/>
        <w:t>1975</w:t>
      </w:r>
    </w:p>
    <w:p>
      <w:pPr>
        <w:tabs>
          <w:tab w:pos="2710" w:val="left" w:leader="none"/>
          <w:tab w:pos="8470" w:val="left" w:leader="none"/>
        </w:tabs>
        <w:spacing w:before="43"/>
        <w:ind w:left="1490" w:right="0" w:firstLine="0"/>
        <w:jc w:val="both"/>
        <w:rPr>
          <w:sz w:val="18"/>
        </w:rPr>
      </w:pPr>
      <w:r>
        <w:rPr>
          <w:color w:val="231F20"/>
          <w:sz w:val="18"/>
        </w:rPr>
        <w:t>VS-523A</w:t>
        <w:tab/>
      </w:r>
      <w:r>
        <w:rPr>
          <w:color w:val="231F20"/>
          <w:spacing w:val="-3"/>
          <w:sz w:val="18"/>
        </w:rPr>
        <w:t>VARIEDAD</w:t>
      </w:r>
      <w:r>
        <w:rPr>
          <w:color w:val="231F20"/>
          <w:spacing w:val="-1"/>
          <w:sz w:val="18"/>
        </w:rPr>
        <w:t> </w:t>
      </w:r>
      <w:r>
        <w:rPr>
          <w:color w:val="231F20"/>
          <w:sz w:val="18"/>
        </w:rPr>
        <w:t>SINTÉTICA</w:t>
        <w:tab/>
        <w:t>1975</w:t>
      </w:r>
    </w:p>
    <w:p>
      <w:pPr>
        <w:tabs>
          <w:tab w:pos="2710" w:val="left" w:leader="none"/>
          <w:tab w:pos="8470" w:val="left" w:leader="none"/>
        </w:tabs>
        <w:spacing w:before="43"/>
        <w:ind w:left="1490" w:right="0" w:firstLine="0"/>
        <w:jc w:val="both"/>
        <w:rPr>
          <w:sz w:val="18"/>
        </w:rPr>
      </w:pPr>
      <w:r>
        <w:rPr>
          <w:color w:val="231F20"/>
          <w:spacing w:val="-4"/>
          <w:sz w:val="18"/>
        </w:rPr>
        <w:t>V-524</w:t>
        <w:tab/>
      </w:r>
      <w:r>
        <w:rPr>
          <w:color w:val="231F20"/>
          <w:spacing w:val="-6"/>
          <w:sz w:val="18"/>
        </w:rPr>
        <w:t>VAR. </w:t>
      </w:r>
      <w:r>
        <w:rPr>
          <w:color w:val="231F20"/>
          <w:sz w:val="18"/>
        </w:rPr>
        <w:t>DE</w:t>
      </w:r>
      <w:r>
        <w:rPr>
          <w:color w:val="231F20"/>
          <w:spacing w:val="6"/>
          <w:sz w:val="18"/>
        </w:rPr>
        <w:t> </w:t>
      </w:r>
      <w:r>
        <w:rPr>
          <w:color w:val="231F20"/>
          <w:sz w:val="18"/>
        </w:rPr>
        <w:t>POLINIZACIÓN LIBRE</w:t>
        <w:tab/>
        <w:t>1975</w:t>
      </w:r>
    </w:p>
    <w:p>
      <w:pPr>
        <w:tabs>
          <w:tab w:pos="2710" w:val="left" w:leader="none"/>
          <w:tab w:pos="8470" w:val="left" w:leader="none"/>
        </w:tabs>
        <w:spacing w:before="43"/>
        <w:ind w:left="1490" w:right="0" w:firstLine="0"/>
        <w:jc w:val="both"/>
        <w:rPr>
          <w:sz w:val="18"/>
        </w:rPr>
      </w:pPr>
      <w:r>
        <w:rPr>
          <w:color w:val="231F20"/>
          <w:sz w:val="18"/>
        </w:rPr>
        <w:t>H-510</w:t>
        <w:tab/>
        <w:t>HÍBRIDO DE</w:t>
      </w:r>
      <w:r>
        <w:rPr>
          <w:color w:val="231F20"/>
          <w:spacing w:val="-1"/>
          <w:sz w:val="18"/>
        </w:rPr>
        <w:t> </w:t>
      </w:r>
      <w:r>
        <w:rPr>
          <w:color w:val="231F20"/>
          <w:sz w:val="18"/>
        </w:rPr>
        <w:t>CRUZA</w:t>
      </w:r>
      <w:r>
        <w:rPr>
          <w:color w:val="231F20"/>
          <w:spacing w:val="-11"/>
          <w:sz w:val="18"/>
        </w:rPr>
        <w:t> </w:t>
      </w:r>
      <w:r>
        <w:rPr>
          <w:color w:val="231F20"/>
          <w:sz w:val="18"/>
        </w:rPr>
        <w:t>DOBLE</w:t>
        <w:tab/>
        <w:t>1975</w:t>
      </w:r>
    </w:p>
    <w:p>
      <w:pPr>
        <w:tabs>
          <w:tab w:pos="2710" w:val="left" w:leader="none"/>
          <w:tab w:pos="8470" w:val="left" w:leader="none"/>
        </w:tabs>
        <w:spacing w:before="43"/>
        <w:ind w:left="1490" w:right="0" w:firstLine="0"/>
        <w:jc w:val="both"/>
        <w:rPr>
          <w:sz w:val="18"/>
        </w:rPr>
      </w:pPr>
      <w:r>
        <w:rPr>
          <w:color w:val="231F20"/>
          <w:sz w:val="18"/>
        </w:rPr>
        <w:t>VS-525</w:t>
        <w:tab/>
      </w:r>
      <w:r>
        <w:rPr>
          <w:color w:val="231F20"/>
          <w:spacing w:val="-3"/>
          <w:sz w:val="18"/>
        </w:rPr>
        <w:t>VARIEDAD</w:t>
      </w:r>
      <w:r>
        <w:rPr>
          <w:color w:val="231F20"/>
          <w:spacing w:val="-1"/>
          <w:sz w:val="18"/>
        </w:rPr>
        <w:t> </w:t>
      </w:r>
      <w:r>
        <w:rPr>
          <w:color w:val="231F20"/>
          <w:sz w:val="18"/>
        </w:rPr>
        <w:t>SINTÉTICA</w:t>
        <w:tab/>
        <w:t>1981</w:t>
      </w:r>
    </w:p>
    <w:p>
      <w:pPr>
        <w:tabs>
          <w:tab w:pos="2710" w:val="left" w:leader="none"/>
          <w:tab w:pos="8470" w:val="left" w:leader="none"/>
        </w:tabs>
        <w:spacing w:before="43"/>
        <w:ind w:left="1490" w:right="0" w:firstLine="0"/>
        <w:jc w:val="both"/>
        <w:rPr>
          <w:sz w:val="18"/>
        </w:rPr>
      </w:pPr>
      <w:r>
        <w:rPr>
          <w:color w:val="231F20"/>
          <w:sz w:val="18"/>
        </w:rPr>
        <w:t>H-511</w:t>
        <w:tab/>
        <w:t>HÍBRIDO</w:t>
      </w:r>
      <w:r>
        <w:rPr>
          <w:color w:val="231F20"/>
          <w:spacing w:val="-1"/>
          <w:sz w:val="18"/>
        </w:rPr>
        <w:t> </w:t>
      </w:r>
      <w:r>
        <w:rPr>
          <w:color w:val="231F20"/>
          <w:sz w:val="18"/>
        </w:rPr>
        <w:t>SIMPLE</w:t>
        <w:tab/>
        <w:t>1981</w:t>
      </w:r>
    </w:p>
    <w:p>
      <w:pPr>
        <w:tabs>
          <w:tab w:pos="2710" w:val="left" w:leader="none"/>
          <w:tab w:pos="6310" w:val="left" w:leader="none"/>
          <w:tab w:pos="8470" w:val="left" w:leader="none"/>
        </w:tabs>
        <w:spacing w:line="290" w:lineRule="auto" w:before="43"/>
        <w:ind w:left="1490" w:right="2087" w:firstLine="0"/>
        <w:jc w:val="both"/>
        <w:rPr>
          <w:sz w:val="18"/>
        </w:rPr>
      </w:pPr>
      <w:r>
        <w:rPr>
          <w:color w:val="231F20"/>
          <w:spacing w:val="-4"/>
          <w:sz w:val="18"/>
        </w:rPr>
        <w:t>V-530</w:t>
        <w:tab/>
      </w:r>
      <w:r>
        <w:rPr>
          <w:color w:val="231F20"/>
          <w:spacing w:val="-6"/>
          <w:sz w:val="18"/>
        </w:rPr>
        <w:t>VAR.</w:t>
      </w:r>
      <w:r>
        <w:rPr>
          <w:color w:val="231F20"/>
          <w:sz w:val="18"/>
        </w:rPr>
        <w:t> POLINIZACIÓN LIBRE</w:t>
        <w:tab/>
        <w:t>MAZ-501-251104</w:t>
        <w:tab/>
        <w:t>1989 </w:t>
      </w:r>
      <w:r>
        <w:rPr>
          <w:color w:val="231F20"/>
          <w:spacing w:val="-4"/>
          <w:sz w:val="18"/>
        </w:rPr>
        <w:t>V-531</w:t>
        <w:tab/>
      </w:r>
      <w:r>
        <w:rPr>
          <w:color w:val="231F20"/>
          <w:spacing w:val="-6"/>
          <w:sz w:val="18"/>
        </w:rPr>
        <w:t>VAR.</w:t>
      </w:r>
      <w:r>
        <w:rPr>
          <w:color w:val="231F20"/>
          <w:sz w:val="18"/>
        </w:rPr>
        <w:t> POLINIZACIÓN LIBRE</w:t>
        <w:tab/>
        <w:tab/>
        <w:t>1990</w:t>
      </w:r>
    </w:p>
    <w:p>
      <w:pPr>
        <w:tabs>
          <w:tab w:pos="2710" w:val="left" w:leader="none"/>
          <w:tab w:pos="6310" w:val="left" w:leader="none"/>
          <w:tab w:pos="8470" w:val="left" w:leader="none"/>
        </w:tabs>
        <w:spacing w:line="290" w:lineRule="auto" w:before="1"/>
        <w:ind w:left="1490" w:right="2087" w:firstLine="0"/>
        <w:jc w:val="both"/>
        <w:rPr>
          <w:sz w:val="18"/>
        </w:rPr>
      </w:pPr>
      <w:r>
        <w:rPr>
          <w:color w:val="231F20"/>
          <w:spacing w:val="-4"/>
          <w:sz w:val="18"/>
        </w:rPr>
        <w:t>V-532</w:t>
        <w:tab/>
      </w:r>
      <w:r>
        <w:rPr>
          <w:color w:val="231F20"/>
          <w:spacing w:val="-6"/>
          <w:sz w:val="18"/>
        </w:rPr>
        <w:t>VAR.</w:t>
      </w:r>
      <w:r>
        <w:rPr>
          <w:color w:val="231F20"/>
          <w:sz w:val="18"/>
        </w:rPr>
        <w:t> POLINIZACIÓN LIBRE</w:t>
        <w:tab/>
        <w:tab/>
        <w:t>1990 </w:t>
      </w:r>
      <w:r>
        <w:rPr>
          <w:color w:val="231F20"/>
          <w:spacing w:val="-4"/>
          <w:sz w:val="18"/>
        </w:rPr>
        <w:t>V-534</w:t>
        <w:tab/>
      </w:r>
      <w:r>
        <w:rPr>
          <w:color w:val="231F20"/>
          <w:spacing w:val="-6"/>
          <w:sz w:val="18"/>
        </w:rPr>
        <w:t>VAR.</w:t>
      </w:r>
      <w:r>
        <w:rPr>
          <w:color w:val="231F20"/>
          <w:sz w:val="18"/>
        </w:rPr>
        <w:t> POLINIZACIÓN LIBRE</w:t>
        <w:tab/>
        <w:t>MAZ-502-251104</w:t>
        <w:tab/>
        <w:t>1990 VS-536*</w:t>
        <w:tab/>
      </w:r>
      <w:r>
        <w:rPr>
          <w:color w:val="231F20"/>
          <w:spacing w:val="-3"/>
          <w:sz w:val="18"/>
        </w:rPr>
        <w:t>VARIEDAD</w:t>
      </w:r>
      <w:r>
        <w:rPr>
          <w:color w:val="231F20"/>
          <w:spacing w:val="-1"/>
          <w:sz w:val="18"/>
        </w:rPr>
        <w:t> </w:t>
      </w:r>
      <w:r>
        <w:rPr>
          <w:color w:val="231F20"/>
          <w:sz w:val="18"/>
        </w:rPr>
        <w:t>SINTÉTICA</w:t>
        <w:tab/>
        <w:t>MAZ-200292-170</w:t>
        <w:tab/>
        <w:t>1991 H-512</w:t>
        <w:tab/>
        <w:t>HÍBRIDO DE</w:t>
      </w:r>
      <w:r>
        <w:rPr>
          <w:color w:val="231F20"/>
          <w:spacing w:val="-1"/>
          <w:sz w:val="18"/>
        </w:rPr>
        <w:t> </w:t>
      </w:r>
      <w:r>
        <w:rPr>
          <w:color w:val="231F20"/>
          <w:sz w:val="18"/>
        </w:rPr>
        <w:t>CRUZA</w:t>
      </w:r>
      <w:r>
        <w:rPr>
          <w:color w:val="231F20"/>
          <w:spacing w:val="-10"/>
          <w:sz w:val="18"/>
        </w:rPr>
        <w:t> </w:t>
      </w:r>
      <w:r>
        <w:rPr>
          <w:color w:val="231F20"/>
          <w:sz w:val="18"/>
        </w:rPr>
        <w:t>DOBLE</w:t>
        <w:tab/>
        <w:t>MAZ-181292-172 </w:t>
      </w:r>
      <w:r>
        <w:rPr>
          <w:color w:val="231F20"/>
          <w:spacing w:val="20"/>
          <w:sz w:val="18"/>
        </w:rPr>
        <w:t> </w:t>
      </w:r>
      <w:r>
        <w:rPr>
          <w:color w:val="231F20"/>
          <w:sz w:val="18"/>
        </w:rPr>
        <w:t>1992</w:t>
      </w:r>
    </w:p>
    <w:p>
      <w:pPr>
        <w:tabs>
          <w:tab w:pos="2710" w:val="left" w:leader="none"/>
          <w:tab w:pos="6310" w:val="left" w:leader="none"/>
        </w:tabs>
        <w:spacing w:before="1"/>
        <w:ind w:left="1490" w:right="0" w:firstLine="0"/>
        <w:jc w:val="both"/>
        <w:rPr>
          <w:sz w:val="18"/>
        </w:rPr>
      </w:pPr>
      <w:r>
        <w:rPr>
          <w:color w:val="231F20"/>
          <w:sz w:val="18"/>
        </w:rPr>
        <w:t>H-513</w:t>
        <w:tab/>
        <w:t>HÍBRIDO DE</w:t>
      </w:r>
      <w:r>
        <w:rPr>
          <w:color w:val="231F20"/>
          <w:spacing w:val="-1"/>
          <w:sz w:val="18"/>
        </w:rPr>
        <w:t> </w:t>
      </w:r>
      <w:r>
        <w:rPr>
          <w:color w:val="231F20"/>
          <w:sz w:val="18"/>
        </w:rPr>
        <w:t>CRUZA</w:t>
      </w:r>
      <w:r>
        <w:rPr>
          <w:color w:val="231F20"/>
          <w:spacing w:val="-11"/>
          <w:sz w:val="18"/>
        </w:rPr>
        <w:t> </w:t>
      </w:r>
      <w:r>
        <w:rPr>
          <w:color w:val="231F20"/>
          <w:sz w:val="18"/>
        </w:rPr>
        <w:t>SIMPLE</w:t>
        <w:tab/>
        <w:t>MAZ- 080394-183</w:t>
      </w:r>
      <w:r>
        <w:rPr>
          <w:color w:val="231F20"/>
          <w:spacing w:val="19"/>
          <w:sz w:val="18"/>
        </w:rPr>
        <w:t> </w:t>
      </w:r>
      <w:r>
        <w:rPr>
          <w:color w:val="231F20"/>
          <w:sz w:val="18"/>
        </w:rPr>
        <w:t>1994</w:t>
      </w:r>
    </w:p>
    <w:p>
      <w:pPr>
        <w:tabs>
          <w:tab w:pos="2710" w:val="left" w:leader="none"/>
        </w:tabs>
        <w:spacing w:line="290" w:lineRule="auto" w:before="43"/>
        <w:ind w:left="1490" w:right="2087" w:firstLine="0"/>
        <w:jc w:val="both"/>
        <w:rPr>
          <w:sz w:val="18"/>
        </w:rPr>
      </w:pPr>
      <w:r>
        <w:rPr>
          <w:color w:val="231F20"/>
          <w:sz w:val="18"/>
        </w:rPr>
        <w:t>H-519C*</w:t>
        <w:tab/>
        <w:t>HÍB. CON </w:t>
      </w:r>
      <w:r>
        <w:rPr>
          <w:color w:val="231F20"/>
          <w:spacing w:val="-8"/>
          <w:sz w:val="18"/>
        </w:rPr>
        <w:t>ALTA </w:t>
      </w:r>
      <w:r>
        <w:rPr>
          <w:color w:val="231F20"/>
          <w:sz w:val="18"/>
        </w:rPr>
        <w:t>CALIDAD DE PROTEÍNA    </w:t>
      </w:r>
      <w:r>
        <w:rPr>
          <w:color w:val="231F20"/>
          <w:spacing w:val="33"/>
          <w:sz w:val="18"/>
        </w:rPr>
        <w:t> </w:t>
      </w:r>
      <w:r>
        <w:rPr>
          <w:color w:val="231F20"/>
          <w:sz w:val="18"/>
        </w:rPr>
        <w:t>1308-MAZ-551-150800/C    </w:t>
      </w:r>
      <w:r>
        <w:rPr>
          <w:color w:val="231F20"/>
          <w:spacing w:val="14"/>
          <w:sz w:val="18"/>
        </w:rPr>
        <w:t> </w:t>
      </w:r>
      <w:r>
        <w:rPr>
          <w:color w:val="231F20"/>
          <w:sz w:val="18"/>
        </w:rPr>
        <w:t>2000 </w:t>
      </w:r>
      <w:r>
        <w:rPr>
          <w:color w:val="231F20"/>
          <w:spacing w:val="-3"/>
          <w:sz w:val="18"/>
        </w:rPr>
        <w:t>V-537C*</w:t>
        <w:tab/>
      </w:r>
      <w:r>
        <w:rPr>
          <w:color w:val="231F20"/>
          <w:spacing w:val="-8"/>
          <w:sz w:val="18"/>
        </w:rPr>
        <w:t>VAR </w:t>
      </w:r>
      <w:r>
        <w:rPr>
          <w:color w:val="231F20"/>
          <w:sz w:val="18"/>
        </w:rPr>
        <w:t>CON </w:t>
      </w:r>
      <w:r>
        <w:rPr>
          <w:color w:val="231F20"/>
          <w:spacing w:val="-8"/>
          <w:sz w:val="18"/>
        </w:rPr>
        <w:t>ALTA </w:t>
      </w:r>
      <w:r>
        <w:rPr>
          <w:color w:val="231F20"/>
          <w:sz w:val="18"/>
        </w:rPr>
        <w:t>CALIDAD DE PROTEÍNA    </w:t>
      </w:r>
      <w:r>
        <w:rPr>
          <w:color w:val="231F20"/>
          <w:spacing w:val="39"/>
          <w:sz w:val="18"/>
        </w:rPr>
        <w:t> </w:t>
      </w:r>
      <w:r>
        <w:rPr>
          <w:color w:val="231F20"/>
          <w:sz w:val="18"/>
        </w:rPr>
        <w:t>1322-MAZ-565-200900/C    </w:t>
      </w:r>
      <w:r>
        <w:rPr>
          <w:color w:val="231F20"/>
          <w:spacing w:val="14"/>
          <w:sz w:val="18"/>
        </w:rPr>
        <w:t> </w:t>
      </w:r>
      <w:r>
        <w:rPr>
          <w:color w:val="231F20"/>
          <w:sz w:val="18"/>
        </w:rPr>
        <w:t>2000 </w:t>
      </w:r>
      <w:r>
        <w:rPr>
          <w:color w:val="231F20"/>
          <w:spacing w:val="-3"/>
          <w:sz w:val="18"/>
        </w:rPr>
        <w:t>V-556AC*          </w:t>
      </w:r>
      <w:r>
        <w:rPr>
          <w:color w:val="231F20"/>
          <w:spacing w:val="-6"/>
          <w:sz w:val="18"/>
        </w:rPr>
        <w:t>VAR. </w:t>
      </w:r>
      <w:r>
        <w:rPr>
          <w:color w:val="231F20"/>
          <w:sz w:val="18"/>
        </w:rPr>
        <w:t>CON </w:t>
      </w:r>
      <w:r>
        <w:rPr>
          <w:color w:val="231F20"/>
          <w:spacing w:val="-8"/>
          <w:sz w:val="18"/>
        </w:rPr>
        <w:t>ALTA </w:t>
      </w:r>
      <w:r>
        <w:rPr>
          <w:color w:val="231F20"/>
          <w:sz w:val="18"/>
        </w:rPr>
        <w:t>CALIDAD DE</w:t>
      </w:r>
      <w:r>
        <w:rPr>
          <w:color w:val="231F20"/>
          <w:spacing w:val="16"/>
          <w:sz w:val="18"/>
        </w:rPr>
        <w:t> </w:t>
      </w:r>
      <w:r>
        <w:rPr>
          <w:color w:val="231F20"/>
          <w:sz w:val="18"/>
        </w:rPr>
        <w:t>PROTEINA</w:t>
      </w:r>
    </w:p>
    <w:p>
      <w:pPr>
        <w:tabs>
          <w:tab w:pos="6310" w:val="left" w:leader="none"/>
          <w:tab w:pos="8470" w:val="left" w:leader="none"/>
        </w:tabs>
        <w:spacing w:before="1"/>
        <w:ind w:left="2710" w:right="1279" w:firstLine="0"/>
        <w:jc w:val="left"/>
        <w:rPr>
          <w:sz w:val="18"/>
        </w:rPr>
      </w:pPr>
      <w:r>
        <w:rPr>
          <w:color w:val="231F20"/>
          <w:sz w:val="18"/>
        </w:rPr>
        <w:t>DE</w:t>
      </w:r>
      <w:r>
        <w:rPr>
          <w:color w:val="231F20"/>
          <w:spacing w:val="-1"/>
          <w:sz w:val="18"/>
        </w:rPr>
        <w:t> </w:t>
      </w:r>
      <w:r>
        <w:rPr>
          <w:color w:val="231F20"/>
          <w:sz w:val="18"/>
        </w:rPr>
        <w:t>GRANO</w:t>
      </w:r>
      <w:r>
        <w:rPr>
          <w:color w:val="231F20"/>
          <w:spacing w:val="-11"/>
          <w:sz w:val="18"/>
        </w:rPr>
        <w:t> </w:t>
      </w:r>
      <w:r>
        <w:rPr>
          <w:color w:val="231F20"/>
          <w:sz w:val="18"/>
        </w:rPr>
        <w:t>AMARILLO</w:t>
        <w:tab/>
        <w:t>1587-MAZ-759-230703/C</w:t>
        <w:tab/>
        <w:t>2003</w:t>
      </w:r>
    </w:p>
    <w:p>
      <w:pPr>
        <w:tabs>
          <w:tab w:pos="2710" w:val="left" w:leader="none"/>
          <w:tab w:pos="6310" w:val="left" w:leader="none"/>
        </w:tabs>
        <w:spacing w:line="290" w:lineRule="auto" w:before="43"/>
        <w:ind w:left="1490" w:right="2087" w:firstLine="0"/>
        <w:jc w:val="both"/>
        <w:rPr>
          <w:sz w:val="18"/>
        </w:rPr>
      </w:pPr>
      <w:r>
        <w:rPr>
          <w:color w:val="231F20"/>
          <w:sz w:val="18"/>
        </w:rPr>
        <w:t>H-520*</w:t>
        <w:tab/>
        <w:t>HÍBRIDO</w:t>
      </w:r>
      <w:r>
        <w:rPr>
          <w:color w:val="231F20"/>
          <w:spacing w:val="-4"/>
          <w:sz w:val="18"/>
        </w:rPr>
        <w:t> </w:t>
      </w:r>
      <w:r>
        <w:rPr>
          <w:color w:val="231F20"/>
          <w:sz w:val="18"/>
        </w:rPr>
        <w:t>TRILINEAL</w:t>
        <w:tab/>
        <w:t>1648-MAZ-807-140404/C    </w:t>
      </w:r>
      <w:r>
        <w:rPr>
          <w:color w:val="231F20"/>
          <w:spacing w:val="15"/>
          <w:sz w:val="18"/>
        </w:rPr>
        <w:t> </w:t>
      </w:r>
      <w:r>
        <w:rPr>
          <w:color w:val="231F20"/>
          <w:sz w:val="18"/>
        </w:rPr>
        <w:t>2004</w:t>
      </w:r>
      <w:r>
        <w:rPr>
          <w:color w:val="231F20"/>
          <w:w w:val="100"/>
          <w:sz w:val="18"/>
        </w:rPr>
        <w:t> </w:t>
      </w:r>
      <w:r>
        <w:rPr>
          <w:color w:val="231F20"/>
          <w:sz w:val="18"/>
        </w:rPr>
        <w:t>H-564C*</w:t>
        <w:tab/>
        <w:t>HÍB. TRILINEAL CON </w:t>
      </w:r>
      <w:r>
        <w:rPr>
          <w:color w:val="231F20"/>
          <w:spacing w:val="-8"/>
          <w:sz w:val="18"/>
        </w:rPr>
        <w:t>ALTA</w:t>
      </w:r>
      <w:r>
        <w:rPr>
          <w:color w:val="231F20"/>
          <w:spacing w:val="-32"/>
          <w:sz w:val="18"/>
        </w:rPr>
        <w:t> </w:t>
      </w:r>
      <w:r>
        <w:rPr>
          <w:color w:val="231F20"/>
          <w:sz w:val="18"/>
        </w:rPr>
        <w:t>CALIDAD</w:t>
      </w:r>
    </w:p>
    <w:p>
      <w:pPr>
        <w:tabs>
          <w:tab w:pos="2710" w:val="left" w:leader="none"/>
          <w:tab w:pos="6310" w:val="left" w:leader="none"/>
          <w:tab w:pos="8470" w:val="left" w:leader="none"/>
        </w:tabs>
        <w:spacing w:line="290" w:lineRule="auto" w:before="1"/>
        <w:ind w:left="1490" w:right="2087" w:firstLine="1220"/>
        <w:jc w:val="left"/>
        <w:rPr>
          <w:sz w:val="18"/>
        </w:rPr>
      </w:pPr>
      <w:r>
        <w:rPr/>
        <w:pict>
          <v:line style="position:absolute;mso-position-horizontal-relative:page;mso-position-vertical-relative:paragraph;z-index:-210592" from="63.519699pt,23.752844pt" to="482.480699pt,23.752844pt" stroked="true" strokeweight=".75pt" strokecolor="#010202">
            <w10:wrap type="none"/>
          </v:line>
        </w:pict>
      </w:r>
      <w:r>
        <w:rPr>
          <w:color w:val="231F20"/>
          <w:sz w:val="18"/>
        </w:rPr>
        <w:t>DE PROTEÍNA</w:t>
        <w:tab/>
        <w:t>2257-MAZ-1133-300609/C  </w:t>
      </w:r>
      <w:r>
        <w:rPr>
          <w:color w:val="231F20"/>
          <w:spacing w:val="13"/>
          <w:sz w:val="18"/>
        </w:rPr>
        <w:t> </w:t>
      </w:r>
      <w:r>
        <w:rPr>
          <w:color w:val="231F20"/>
          <w:sz w:val="18"/>
        </w:rPr>
        <w:t>2009</w:t>
      </w:r>
      <w:r>
        <w:rPr>
          <w:color w:val="231F20"/>
          <w:w w:val="99"/>
          <w:sz w:val="18"/>
        </w:rPr>
        <w:t> </w:t>
      </w:r>
      <w:r>
        <w:rPr>
          <w:color w:val="231F20"/>
          <w:sz w:val="18"/>
        </w:rPr>
        <w:t>H-518</w:t>
        <w:tab/>
        <w:t>HÍBRIDO</w:t>
      </w:r>
      <w:r>
        <w:rPr>
          <w:color w:val="231F20"/>
          <w:spacing w:val="-4"/>
          <w:sz w:val="18"/>
        </w:rPr>
        <w:t> </w:t>
      </w:r>
      <w:r>
        <w:rPr>
          <w:color w:val="231F20"/>
          <w:sz w:val="18"/>
        </w:rPr>
        <w:t>TRILINEAL</w:t>
        <w:tab/>
        <w:t>EN</w:t>
      </w:r>
      <w:r>
        <w:rPr>
          <w:color w:val="231F20"/>
          <w:spacing w:val="-4"/>
          <w:sz w:val="18"/>
        </w:rPr>
        <w:t> </w:t>
      </w:r>
      <w:r>
        <w:rPr>
          <w:color w:val="231F20"/>
          <w:sz w:val="18"/>
        </w:rPr>
        <w:t>TRAMITE</w:t>
        <w:tab/>
      </w:r>
      <w:r>
        <w:rPr>
          <w:color w:val="231F20"/>
          <w:spacing w:val="-1"/>
          <w:sz w:val="18"/>
        </w:rPr>
        <w:t>2011</w:t>
      </w:r>
    </w:p>
    <w:p>
      <w:pPr>
        <w:spacing w:before="10"/>
        <w:ind w:left="1270" w:right="5337" w:firstLine="0"/>
        <w:jc w:val="left"/>
        <w:rPr>
          <w:b/>
          <w:i/>
          <w:sz w:val="17"/>
        </w:rPr>
      </w:pPr>
      <w:r>
        <w:rPr>
          <w:b/>
          <w:i/>
          <w:color w:val="231F20"/>
          <w:sz w:val="17"/>
        </w:rPr>
        <w:t>* En uso actual</w:t>
      </w:r>
    </w:p>
    <w:p>
      <w:pPr>
        <w:pStyle w:val="BodyText"/>
        <w:rPr>
          <w:b/>
          <w:i/>
          <w:sz w:val="16"/>
        </w:rPr>
      </w:pPr>
    </w:p>
    <w:p>
      <w:pPr>
        <w:spacing w:before="120"/>
        <w:ind w:left="1270" w:right="0" w:firstLine="0"/>
        <w:jc w:val="left"/>
        <w:rPr>
          <w:b/>
          <w:i/>
          <w:sz w:val="17"/>
        </w:rPr>
      </w:pPr>
      <w:r>
        <w:rPr/>
        <w:pict>
          <v:group style="position:absolute;margin-left:96.711746pt;margin-top:.73934pt;width:351.75pt;height:135.75pt;mso-position-horizontal-relative:page;mso-position-vertical-relative:paragraph;z-index:2152" coordorigin="1934,15" coordsize="7035,2715">
            <v:line style="position:absolute" from="3824,1764" to="3824,372" stroked="true" strokeweight=".581851pt" strokecolor="#010202"/>
            <v:shape style="position:absolute;left:0;top:4466;width:16329;height:647700" coordorigin="0,4466" coordsize="16329,647700" path="m3789,1764l3824,1764m3789,1296l3824,1296m3789,840l3824,840m3789,372l3824,372e" filled="false" stroked="true" strokeweight=".583649pt" strokecolor="#010202">
              <v:path arrowok="t"/>
            </v:shape>
            <v:shape style="position:absolute;left:0;top:-1365;width:651199;height:5832" coordorigin="0,-1365" coordsize="651199,5832" path="m3824,1764l7718,1764m3824,1764l3824,1799m4603,1764l4603,1799m5382,1764l5382,1799m6161,1764l6161,1799m6939,1764l6939,1799m7718,1764l7718,1799e" filled="false" stroked="true" strokeweight=".583649pt" strokecolor="#010202">
              <v:path arrowok="t"/>
            </v:shape>
            <v:shape style="position:absolute;left:4219;top:384;width:3105;height:1100" coordorigin="4219,384" coordsize="3105,1100" path="m4219,1483l4998,781,5777,559,6544,898,7323,384e" filled="false" stroked="true" strokeweight=".585044pt" strokecolor="#010202">
              <v:path arrowok="t"/>
            </v:shape>
            <v:shape style="position:absolute;left:-317500;top:4466;width:317500;height:317500" coordorigin="-317500,4466" coordsize="317500,317500" path="m4248,1512l4190,1454m4219,1454l4219,1512m4190,1512l4248,1454e" filled="false" stroked="true" strokeweight=".583672pt" strokecolor="#010202">
              <v:path arrowok="t"/>
            </v:shape>
            <v:shape style="position:absolute;left:-317500;top:4466;width:317500;height:317500" coordorigin="-317500,4466" coordsize="317500,317500" path="m5027,810l4969,752m4998,752l4998,810m4969,810l5027,752e" filled="false" stroked="true" strokeweight=".583672pt" strokecolor="#010202">
              <v:path arrowok="t"/>
            </v:shape>
            <v:shape style="position:absolute;left:-317500;top:4466;width:317500;height:317500" coordorigin="-317500,4466" coordsize="317500,317500" path="m5806,588l5748,530m5777,530l5777,588m5748,588l5806,530e" filled="false" stroked="true" strokeweight=".583672pt" strokecolor="#010202">
              <v:path arrowok="t"/>
            </v:shape>
            <v:shape style="position:absolute;left:-317500;top:4466;width:317500;height:317500" coordorigin="-317500,4466" coordsize="317500,317500" path="m6573,927l6515,869m6544,869l6544,927m6515,927l6573,869e" filled="false" stroked="true" strokeweight=".583672pt" strokecolor="#010202">
              <v:path arrowok="t"/>
            </v:shape>
            <v:shape style="position:absolute;left:-317500;top:4466;width:317500;height:317500" coordorigin="-317500,4466" coordsize="317500,317500" path="m7352,413l7294,354m7323,354l7323,413m7294,413l7352,354e" filled="false" stroked="true" strokeweight=".583672pt" strokecolor="#010202">
              <v:path arrowok="t"/>
            </v:shape>
            <v:line style="position:absolute" from="4219,1413" to="7323,512" stroked="true" strokeweight=".585165pt" strokecolor="#010202">
              <v:stroke dashstyle="longDash"/>
            </v:line>
            <v:rect style="position:absolute;left:6695;top:372;width:2255;height:643" filled="false" stroked="true" strokeweight=".585182pt" strokecolor="#010202"/>
            <v:line style="position:absolute" from="7149,536" to="7544,536" stroked="true" strokeweight=".585420pt" strokecolor="#010202"/>
            <v:shape style="position:absolute;left:-317500;top:4466;width:317500;height:317500" coordorigin="-317500,4466" coordsize="317500,317500" path="m7381,571l7323,512m7346,512l7346,571m7323,571l7381,512e" filled="false" stroked="true" strokeweight=".583672pt" strokecolor="#010202">
              <v:path arrowok="t"/>
            </v:shape>
            <v:line style="position:absolute" from="7149,851" to="7544,851" stroked="true" strokeweight=".585420pt" strokecolor="#010202"/>
            <v:rect style="position:absolute;left:1946;top:27;width:7010;height:2690" filled="false" stroked="true" strokeweight="1.168805pt" strokecolor="#010202"/>
            <v:shape style="position:absolute;left:6695;top:372;width:2262;height:644" type="#_x0000_t202" filled="false" stroked="false">
              <v:textbox inset="0,0,0,0">
                <w:txbxContent>
                  <w:p>
                    <w:pPr>
                      <w:spacing w:line="240" w:lineRule="auto" w:before="11"/>
                      <w:rPr>
                        <w:b/>
                        <w:i/>
                        <w:sz w:val="8"/>
                      </w:rPr>
                    </w:pPr>
                  </w:p>
                  <w:p>
                    <w:pPr>
                      <w:spacing w:before="0"/>
                      <w:ind w:left="112" w:right="0" w:firstLine="0"/>
                      <w:jc w:val="center"/>
                      <w:rPr>
                        <w:rFonts w:ascii="Arial"/>
                        <w:b/>
                        <w:sz w:val="10"/>
                      </w:rPr>
                    </w:pPr>
                    <w:r>
                      <w:rPr>
                        <w:rFonts w:ascii="Arial"/>
                        <w:b/>
                        <w:color w:val="010202"/>
                        <w:w w:val="105"/>
                        <w:sz w:val="10"/>
                      </w:rPr>
                      <w:t>Variedades</w:t>
                    </w:r>
                  </w:p>
                  <w:p>
                    <w:pPr>
                      <w:spacing w:line="240" w:lineRule="auto" w:before="0"/>
                      <w:rPr>
                        <w:b/>
                        <w:i/>
                        <w:sz w:val="10"/>
                      </w:rPr>
                    </w:pPr>
                  </w:p>
                  <w:p>
                    <w:pPr>
                      <w:spacing w:line="240" w:lineRule="auto" w:before="11"/>
                      <w:rPr>
                        <w:b/>
                        <w:i/>
                        <w:sz w:val="7"/>
                      </w:rPr>
                    </w:pPr>
                  </w:p>
                  <w:p>
                    <w:pPr>
                      <w:tabs>
                        <w:tab w:pos="473" w:val="left" w:leader="none"/>
                      </w:tabs>
                      <w:spacing w:before="0"/>
                      <w:ind w:left="25" w:right="0" w:firstLine="0"/>
                      <w:jc w:val="center"/>
                      <w:rPr>
                        <w:rFonts w:ascii="Arial" w:hAnsi="Arial"/>
                        <w:b/>
                        <w:sz w:val="10"/>
                      </w:rPr>
                    </w:pPr>
                    <w:r>
                      <w:rPr>
                        <w:rFonts w:ascii="Arial" w:hAnsi="Arial"/>
                        <w:b/>
                        <w:color w:val="010202"/>
                        <w:w w:val="104"/>
                        <w:sz w:val="10"/>
                      </w:rPr>
                      <w:t> </w:t>
                    </w:r>
                    <w:r>
                      <w:rPr>
                        <w:rFonts w:ascii="Arial" w:hAnsi="Arial"/>
                        <w:b/>
                        <w:color w:val="010202"/>
                        <w:sz w:val="10"/>
                      </w:rPr>
                      <w:tab/>
                    </w:r>
                    <w:r>
                      <w:rPr>
                        <w:rFonts w:ascii="Arial" w:hAnsi="Arial"/>
                        <w:b/>
                        <w:color w:val="010202"/>
                        <w:w w:val="105"/>
                        <w:sz w:val="10"/>
                      </w:rPr>
                      <w:t>Lineal</w:t>
                    </w:r>
                    <w:r>
                      <w:rPr>
                        <w:rFonts w:ascii="Arial" w:hAnsi="Arial"/>
                        <w:b/>
                        <w:color w:val="010202"/>
                        <w:spacing w:val="5"/>
                        <w:w w:val="105"/>
                        <w:sz w:val="10"/>
                      </w:rPr>
                      <w:t> </w:t>
                    </w:r>
                    <w:r>
                      <w:rPr>
                        <w:rFonts w:ascii="Arial" w:hAnsi="Arial"/>
                        <w:b/>
                        <w:color w:val="010202"/>
                        <w:w w:val="105"/>
                        <w:sz w:val="10"/>
                      </w:rPr>
                      <w:t>(Regresión)</w:t>
                    </w:r>
                  </w:p>
                </w:txbxContent>
              </v:textbox>
              <w10:wrap type="none"/>
            </v:shape>
            <v:shape style="position:absolute;left:3666;top:312;width:65;height:118" type="#_x0000_t202" filled="false" stroked="false">
              <v:textbox inset="0,0,0,0">
                <w:txbxContent>
                  <w:p>
                    <w:pPr>
                      <w:spacing w:line="117" w:lineRule="exact" w:before="0"/>
                      <w:ind w:left="0" w:right="0" w:firstLine="0"/>
                      <w:jc w:val="left"/>
                      <w:rPr>
                        <w:rFonts w:ascii="Arial"/>
                        <w:b/>
                        <w:sz w:val="11"/>
                      </w:rPr>
                    </w:pPr>
                    <w:r>
                      <w:rPr>
                        <w:rFonts w:ascii="Arial"/>
                        <w:b/>
                        <w:color w:val="010202"/>
                        <w:w w:val="105"/>
                        <w:sz w:val="11"/>
                      </w:rPr>
                      <w:t>7</w:t>
                    </w:r>
                  </w:p>
                </w:txbxContent>
              </v:textbox>
              <w10:wrap type="none"/>
            </v:shape>
            <v:shape style="position:absolute;left:3666;top:779;width:65;height:118" type="#_x0000_t202" filled="false" stroked="false">
              <v:textbox inset="0,0,0,0">
                <w:txbxContent>
                  <w:p>
                    <w:pPr>
                      <w:spacing w:line="117" w:lineRule="exact" w:before="0"/>
                      <w:ind w:left="0" w:right="0" w:firstLine="0"/>
                      <w:jc w:val="left"/>
                      <w:rPr>
                        <w:rFonts w:ascii="Arial"/>
                        <w:b/>
                        <w:sz w:val="11"/>
                      </w:rPr>
                    </w:pPr>
                    <w:r>
                      <w:rPr>
                        <w:rFonts w:ascii="Arial"/>
                        <w:b/>
                        <w:color w:val="010202"/>
                        <w:w w:val="105"/>
                        <w:sz w:val="11"/>
                      </w:rPr>
                      <w:t>6</w:t>
                    </w:r>
                  </w:p>
                </w:txbxContent>
              </v:textbox>
              <w10:wrap type="none"/>
            </v:shape>
            <v:shape style="position:absolute;left:3666;top:1247;width:65;height:118" type="#_x0000_t202" filled="false" stroked="false">
              <v:textbox inset="0,0,0,0">
                <w:txbxContent>
                  <w:p>
                    <w:pPr>
                      <w:spacing w:line="117" w:lineRule="exact" w:before="0"/>
                      <w:ind w:left="0" w:right="0" w:firstLine="0"/>
                      <w:jc w:val="left"/>
                      <w:rPr>
                        <w:rFonts w:ascii="Arial"/>
                        <w:b/>
                        <w:sz w:val="11"/>
                      </w:rPr>
                    </w:pPr>
                    <w:r>
                      <w:rPr>
                        <w:rFonts w:ascii="Arial"/>
                        <w:b/>
                        <w:color w:val="010202"/>
                        <w:w w:val="105"/>
                        <w:sz w:val="11"/>
                      </w:rPr>
                      <w:t>5</w:t>
                    </w:r>
                  </w:p>
                </w:txbxContent>
              </v:textbox>
              <w10:wrap type="none"/>
            </v:shape>
            <v:shape style="position:absolute;left:3666;top:1715;width:65;height:118" type="#_x0000_t202" filled="false" stroked="false">
              <v:textbox inset="0,0,0,0">
                <w:txbxContent>
                  <w:p>
                    <w:pPr>
                      <w:spacing w:line="117" w:lineRule="exact" w:before="0"/>
                      <w:ind w:left="0" w:right="0" w:firstLine="0"/>
                      <w:jc w:val="left"/>
                      <w:rPr>
                        <w:rFonts w:ascii="Arial"/>
                        <w:b/>
                        <w:sz w:val="11"/>
                      </w:rPr>
                    </w:pPr>
                    <w:r>
                      <w:rPr>
                        <w:rFonts w:ascii="Arial"/>
                        <w:b/>
                        <w:color w:val="010202"/>
                        <w:w w:val="105"/>
                        <w:sz w:val="11"/>
                      </w:rPr>
                      <w:t>4</w:t>
                    </w:r>
                  </w:p>
                </w:txbxContent>
              </v:textbox>
              <w10:wrap type="none"/>
            </v:shape>
            <v:shape style="position:absolute;left:4091;top:1855;width:268;height:118" type="#_x0000_t202" filled="false" stroked="false">
              <v:textbox inset="0,0,0,0">
                <w:txbxContent>
                  <w:p>
                    <w:pPr>
                      <w:spacing w:line="117" w:lineRule="exact" w:before="0"/>
                      <w:ind w:left="0" w:right="-9" w:firstLine="0"/>
                      <w:jc w:val="left"/>
                      <w:rPr>
                        <w:rFonts w:ascii="Arial"/>
                        <w:b/>
                        <w:sz w:val="11"/>
                      </w:rPr>
                    </w:pPr>
                    <w:r>
                      <w:rPr>
                        <w:rFonts w:ascii="Arial"/>
                        <w:b/>
                        <w:color w:val="010202"/>
                        <w:w w:val="105"/>
                        <w:sz w:val="11"/>
                      </w:rPr>
                      <w:t>1952</w:t>
                    </w:r>
                  </w:p>
                </w:txbxContent>
              </v:textbox>
              <w10:wrap type="none"/>
            </v:shape>
            <v:shape style="position:absolute;left:4870;top:1855;width:268;height:118" type="#_x0000_t202" filled="false" stroked="false">
              <v:textbox inset="0,0,0,0">
                <w:txbxContent>
                  <w:p>
                    <w:pPr>
                      <w:spacing w:line="117" w:lineRule="exact" w:before="0"/>
                      <w:ind w:left="0" w:right="-9" w:firstLine="0"/>
                      <w:jc w:val="left"/>
                      <w:rPr>
                        <w:rFonts w:ascii="Arial"/>
                        <w:b/>
                        <w:sz w:val="11"/>
                      </w:rPr>
                    </w:pPr>
                    <w:r>
                      <w:rPr>
                        <w:rFonts w:ascii="Arial"/>
                        <w:b/>
                        <w:color w:val="010202"/>
                        <w:w w:val="105"/>
                        <w:sz w:val="11"/>
                      </w:rPr>
                      <w:t>1975</w:t>
                    </w:r>
                  </w:p>
                </w:txbxContent>
              </v:textbox>
              <w10:wrap type="none"/>
            </v:shape>
            <v:shape style="position:absolute;left:5649;top:1855;width:268;height:118" type="#_x0000_t202" filled="false" stroked="false">
              <v:textbox inset="0,0,0,0">
                <w:txbxContent>
                  <w:p>
                    <w:pPr>
                      <w:spacing w:line="117" w:lineRule="exact" w:before="0"/>
                      <w:ind w:left="0" w:right="-9" w:firstLine="0"/>
                      <w:jc w:val="left"/>
                      <w:rPr>
                        <w:rFonts w:ascii="Arial"/>
                        <w:b/>
                        <w:sz w:val="11"/>
                      </w:rPr>
                    </w:pPr>
                    <w:r>
                      <w:rPr>
                        <w:rFonts w:ascii="Arial"/>
                        <w:b/>
                        <w:color w:val="010202"/>
                        <w:w w:val="105"/>
                        <w:sz w:val="11"/>
                      </w:rPr>
                      <w:t>1981</w:t>
                    </w:r>
                  </w:p>
                </w:txbxContent>
              </v:textbox>
              <w10:wrap type="none"/>
            </v:shape>
            <v:shape style="position:absolute;left:6428;top:1855;width:268;height:118" type="#_x0000_t202" filled="false" stroked="false">
              <v:textbox inset="0,0,0,0">
                <w:txbxContent>
                  <w:p>
                    <w:pPr>
                      <w:spacing w:line="117" w:lineRule="exact" w:before="0"/>
                      <w:ind w:left="0" w:right="-9" w:firstLine="0"/>
                      <w:jc w:val="left"/>
                      <w:rPr>
                        <w:rFonts w:ascii="Arial"/>
                        <w:b/>
                        <w:sz w:val="11"/>
                      </w:rPr>
                    </w:pPr>
                    <w:r>
                      <w:rPr>
                        <w:rFonts w:ascii="Arial"/>
                        <w:b/>
                        <w:color w:val="010202"/>
                        <w:w w:val="105"/>
                        <w:sz w:val="11"/>
                      </w:rPr>
                      <w:t>1989</w:t>
                    </w:r>
                  </w:p>
                </w:txbxContent>
              </v:textbox>
              <w10:wrap type="none"/>
            </v:shape>
            <v:shape style="position:absolute;left:7206;top:1855;width:268;height:118" type="#_x0000_t202" filled="false" stroked="false">
              <v:textbox inset="0,0,0,0">
                <w:txbxContent>
                  <w:p>
                    <w:pPr>
                      <w:spacing w:line="117" w:lineRule="exact" w:before="0"/>
                      <w:ind w:left="0" w:right="-9" w:firstLine="0"/>
                      <w:jc w:val="left"/>
                      <w:rPr>
                        <w:rFonts w:ascii="Arial"/>
                        <w:b/>
                        <w:sz w:val="11"/>
                      </w:rPr>
                    </w:pPr>
                    <w:r>
                      <w:rPr>
                        <w:rFonts w:ascii="Arial"/>
                        <w:b/>
                        <w:color w:val="010202"/>
                        <w:w w:val="105"/>
                        <w:sz w:val="11"/>
                      </w:rPr>
                      <w:t>1991</w:t>
                    </w:r>
                  </w:p>
                </w:txbxContent>
              </v:textbox>
              <w10:wrap type="none"/>
            </v:shape>
            <v:shape style="position:absolute;left:2930;top:2105;width:5202;height:369" type="#_x0000_t202" filled="false" stroked="false">
              <v:textbox inset="0,0,0,0">
                <w:txbxContent>
                  <w:p>
                    <w:pPr>
                      <w:spacing w:line="118" w:lineRule="exact" w:before="0"/>
                      <w:ind w:left="2248" w:right="2484" w:firstLine="0"/>
                      <w:jc w:val="center"/>
                      <w:rPr>
                        <w:rFonts w:ascii="Arial" w:hAnsi="Arial"/>
                        <w:b/>
                        <w:sz w:val="11"/>
                      </w:rPr>
                    </w:pPr>
                    <w:r>
                      <w:rPr>
                        <w:rFonts w:ascii="Arial" w:hAnsi="Arial"/>
                        <w:b/>
                        <w:color w:val="010202"/>
                        <w:w w:val="105"/>
                        <w:sz w:val="11"/>
                      </w:rPr>
                      <w:t>Período</w:t>
                    </w:r>
                  </w:p>
                  <w:p>
                    <w:pPr>
                      <w:spacing w:line="146" w:lineRule="exact" w:before="103"/>
                      <w:ind w:left="0" w:right="0" w:firstLine="0"/>
                      <w:jc w:val="left"/>
                      <w:rPr>
                        <w:rFonts w:ascii="Arial" w:hAnsi="Arial"/>
                        <w:b/>
                        <w:sz w:val="13"/>
                      </w:rPr>
                    </w:pPr>
                    <w:r>
                      <w:rPr>
                        <w:rFonts w:ascii="Arial" w:hAnsi="Arial"/>
                        <w:b/>
                        <w:color w:val="010202"/>
                        <w:sz w:val="13"/>
                      </w:rPr>
                      <w:t>Figura</w:t>
                    </w:r>
                    <w:r>
                      <w:rPr>
                        <w:rFonts w:ascii="Arial" w:hAnsi="Arial"/>
                        <w:b/>
                        <w:color w:val="010202"/>
                        <w:spacing w:val="-7"/>
                        <w:sz w:val="13"/>
                      </w:rPr>
                      <w:t> </w:t>
                    </w:r>
                    <w:r>
                      <w:rPr>
                        <w:rFonts w:ascii="Arial" w:hAnsi="Arial"/>
                        <w:b/>
                        <w:color w:val="010202"/>
                        <w:sz w:val="13"/>
                      </w:rPr>
                      <w:t>1.</w:t>
                    </w:r>
                    <w:r>
                      <w:rPr>
                        <w:rFonts w:ascii="Arial" w:hAnsi="Arial"/>
                        <w:b/>
                        <w:color w:val="010202"/>
                        <w:spacing w:val="-6"/>
                        <w:sz w:val="13"/>
                      </w:rPr>
                      <w:t> </w:t>
                    </w:r>
                    <w:r>
                      <w:rPr>
                        <w:rFonts w:ascii="Arial" w:hAnsi="Arial"/>
                        <w:b/>
                        <w:color w:val="010202"/>
                        <w:spacing w:val="3"/>
                        <w:sz w:val="13"/>
                      </w:rPr>
                      <w:t>Progreso</w:t>
                    </w:r>
                    <w:r>
                      <w:rPr>
                        <w:rFonts w:ascii="Arial" w:hAnsi="Arial"/>
                        <w:b/>
                        <w:color w:val="010202"/>
                        <w:spacing w:val="-13"/>
                        <w:sz w:val="13"/>
                      </w:rPr>
                      <w:t> </w:t>
                    </w:r>
                    <w:r>
                      <w:rPr>
                        <w:rFonts w:ascii="Arial" w:hAnsi="Arial"/>
                        <w:b/>
                        <w:color w:val="010202"/>
                        <w:spacing w:val="4"/>
                        <w:sz w:val="13"/>
                      </w:rPr>
                      <w:t>del</w:t>
                    </w:r>
                    <w:r>
                      <w:rPr>
                        <w:rFonts w:ascii="Arial" w:hAnsi="Arial"/>
                        <w:b/>
                        <w:color w:val="010202"/>
                        <w:spacing w:val="-17"/>
                        <w:sz w:val="13"/>
                      </w:rPr>
                      <w:t> </w:t>
                    </w:r>
                    <w:r>
                      <w:rPr>
                        <w:rFonts w:ascii="Arial" w:hAnsi="Arial"/>
                        <w:b/>
                        <w:color w:val="010202"/>
                        <w:sz w:val="13"/>
                      </w:rPr>
                      <w:t>m</w:t>
                    </w:r>
                    <w:r>
                      <w:rPr>
                        <w:rFonts w:ascii="Arial" w:hAnsi="Arial"/>
                        <w:b/>
                        <w:color w:val="010202"/>
                        <w:spacing w:val="-24"/>
                        <w:sz w:val="13"/>
                      </w:rPr>
                      <w:t> </w:t>
                    </w:r>
                    <w:r>
                      <w:rPr>
                        <w:rFonts w:ascii="Arial" w:hAnsi="Arial"/>
                        <w:b/>
                        <w:color w:val="010202"/>
                        <w:sz w:val="13"/>
                      </w:rPr>
                      <w:t>ejoramiento</w:t>
                    </w:r>
                    <w:r>
                      <w:rPr>
                        <w:rFonts w:ascii="Arial" w:hAnsi="Arial"/>
                        <w:b/>
                        <w:color w:val="010202"/>
                        <w:spacing w:val="-24"/>
                        <w:sz w:val="13"/>
                      </w:rPr>
                      <w:t> </w:t>
                    </w:r>
                    <w:r>
                      <w:rPr>
                        <w:rFonts w:ascii="Arial" w:hAnsi="Arial"/>
                        <w:b/>
                        <w:color w:val="010202"/>
                        <w:sz w:val="13"/>
                      </w:rPr>
                      <w:t>de</w:t>
                    </w:r>
                    <w:r>
                      <w:rPr>
                        <w:rFonts w:ascii="Arial" w:hAnsi="Arial"/>
                        <w:b/>
                        <w:color w:val="010202"/>
                        <w:spacing w:val="-7"/>
                        <w:sz w:val="13"/>
                      </w:rPr>
                      <w:t> </w:t>
                    </w:r>
                    <w:r>
                      <w:rPr>
                        <w:rFonts w:ascii="Arial" w:hAnsi="Arial"/>
                        <w:b/>
                        <w:color w:val="010202"/>
                        <w:sz w:val="13"/>
                      </w:rPr>
                      <w:t>variedades</w:t>
                    </w:r>
                    <w:r>
                      <w:rPr>
                        <w:rFonts w:ascii="Arial" w:hAnsi="Arial"/>
                        <w:b/>
                        <w:color w:val="010202"/>
                        <w:spacing w:val="-18"/>
                        <w:sz w:val="13"/>
                      </w:rPr>
                      <w:t> </w:t>
                    </w:r>
                    <w:r>
                      <w:rPr>
                        <w:rFonts w:ascii="Arial" w:hAnsi="Arial"/>
                        <w:b/>
                        <w:color w:val="010202"/>
                        <w:sz w:val="13"/>
                      </w:rPr>
                      <w:t>de</w:t>
                    </w:r>
                    <w:r>
                      <w:rPr>
                        <w:rFonts w:ascii="Arial" w:hAnsi="Arial"/>
                        <w:b/>
                        <w:color w:val="010202"/>
                        <w:spacing w:val="-7"/>
                        <w:sz w:val="13"/>
                      </w:rPr>
                      <w:t> </w:t>
                    </w:r>
                    <w:r>
                      <w:rPr>
                        <w:rFonts w:ascii="Arial" w:hAnsi="Arial"/>
                        <w:b/>
                        <w:color w:val="010202"/>
                        <w:sz w:val="13"/>
                      </w:rPr>
                      <w:t>maíz</w:t>
                    </w:r>
                    <w:r>
                      <w:rPr>
                        <w:rFonts w:ascii="Arial" w:hAnsi="Arial"/>
                        <w:b/>
                        <w:color w:val="010202"/>
                        <w:spacing w:val="-11"/>
                        <w:sz w:val="13"/>
                      </w:rPr>
                      <w:t> </w:t>
                    </w:r>
                    <w:r>
                      <w:rPr>
                        <w:rFonts w:ascii="Arial" w:hAnsi="Arial"/>
                        <w:b/>
                        <w:color w:val="010202"/>
                        <w:spacing w:val="2"/>
                        <w:sz w:val="13"/>
                      </w:rPr>
                      <w:t>para</w:t>
                    </w:r>
                    <w:r>
                      <w:rPr>
                        <w:rFonts w:ascii="Arial" w:hAnsi="Arial"/>
                        <w:b/>
                        <w:color w:val="010202"/>
                        <w:spacing w:val="-18"/>
                        <w:sz w:val="13"/>
                      </w:rPr>
                      <w:t> </w:t>
                    </w:r>
                    <w:r>
                      <w:rPr>
                        <w:rFonts w:ascii="Arial" w:hAnsi="Arial"/>
                        <w:b/>
                        <w:color w:val="010202"/>
                        <w:spacing w:val="5"/>
                        <w:sz w:val="13"/>
                      </w:rPr>
                      <w:t>el</w:t>
                    </w:r>
                    <w:r>
                      <w:rPr>
                        <w:rFonts w:ascii="Arial" w:hAnsi="Arial"/>
                        <w:b/>
                        <w:color w:val="010202"/>
                        <w:spacing w:val="-17"/>
                        <w:sz w:val="13"/>
                      </w:rPr>
                      <w:t> </w:t>
                    </w:r>
                    <w:r>
                      <w:rPr>
                        <w:rFonts w:ascii="Arial" w:hAnsi="Arial"/>
                        <w:b/>
                        <w:color w:val="010202"/>
                        <w:sz w:val="13"/>
                      </w:rPr>
                      <w:t>trópico</w:t>
                    </w:r>
                    <w:r>
                      <w:rPr>
                        <w:rFonts w:ascii="Arial" w:hAnsi="Arial"/>
                        <w:b/>
                        <w:color w:val="010202"/>
                        <w:spacing w:val="-13"/>
                        <w:sz w:val="13"/>
                      </w:rPr>
                      <w:t> </w:t>
                    </w:r>
                    <w:r>
                      <w:rPr>
                        <w:rFonts w:ascii="Arial" w:hAnsi="Arial"/>
                        <w:b/>
                        <w:color w:val="010202"/>
                        <w:sz w:val="13"/>
                      </w:rPr>
                      <w:t>m</w:t>
                    </w:r>
                    <w:r>
                      <w:rPr>
                        <w:rFonts w:ascii="Arial" w:hAnsi="Arial"/>
                        <w:b/>
                        <w:color w:val="010202"/>
                        <w:spacing w:val="-24"/>
                        <w:sz w:val="13"/>
                      </w:rPr>
                      <w:t> </w:t>
                    </w:r>
                    <w:r>
                      <w:rPr>
                        <w:rFonts w:ascii="Arial" w:hAnsi="Arial"/>
                        <w:b/>
                        <w:color w:val="010202"/>
                        <w:sz w:val="13"/>
                      </w:rPr>
                      <w:t>exicano</w:t>
                    </w:r>
                  </w:p>
                </w:txbxContent>
              </v:textbox>
              <w10:wrap type="none"/>
            </v:shape>
            <w10:wrap type="none"/>
          </v:group>
        </w:pict>
      </w:r>
      <w:r>
        <w:rPr/>
        <w:pict>
          <v:shape style="position:absolute;margin-left:127.506523pt;margin-top:14.068316pt;width:7.85pt;height:54.6pt;mso-position-horizontal-relative:page;mso-position-vertical-relative:paragraph;z-index:2248" type="#_x0000_t202" filled="false" stroked="false">
            <v:textbox inset="0,0,0,0" style="layout-flow:vertical;mso-layout-flow-alt:bottom-to-top">
              <w:txbxContent>
                <w:p>
                  <w:pPr>
                    <w:spacing w:before="11"/>
                    <w:ind w:left="20" w:right="0" w:firstLine="0"/>
                    <w:jc w:val="left"/>
                    <w:rPr>
                      <w:rFonts w:ascii="Arial"/>
                      <w:b/>
                      <w:sz w:val="11"/>
                    </w:rPr>
                  </w:pPr>
                  <w:r>
                    <w:rPr>
                      <w:rFonts w:ascii="Arial"/>
                      <w:b/>
                      <w:color w:val="010202"/>
                      <w:spacing w:val="-3"/>
                      <w:w w:val="106"/>
                      <w:sz w:val="11"/>
                    </w:rPr>
                    <w:t>R</w:t>
                  </w:r>
                  <w:r>
                    <w:rPr>
                      <w:rFonts w:ascii="Arial"/>
                      <w:b/>
                      <w:color w:val="010202"/>
                      <w:spacing w:val="5"/>
                      <w:w w:val="106"/>
                      <w:sz w:val="11"/>
                    </w:rPr>
                    <w:t>e</w:t>
                  </w:r>
                  <w:r>
                    <w:rPr>
                      <w:rFonts w:ascii="Arial"/>
                      <w:b/>
                      <w:color w:val="010202"/>
                      <w:spacing w:val="-2"/>
                      <w:w w:val="106"/>
                      <w:sz w:val="11"/>
                    </w:rPr>
                    <w:t>nd</w:t>
                  </w:r>
                  <w:r>
                    <w:rPr>
                      <w:rFonts w:ascii="Arial"/>
                      <w:b/>
                      <w:color w:val="010202"/>
                      <w:spacing w:val="2"/>
                      <w:w w:val="106"/>
                      <w:sz w:val="11"/>
                    </w:rPr>
                    <w:t>i</w:t>
                  </w:r>
                  <w:r>
                    <w:rPr>
                      <w:rFonts w:ascii="Arial"/>
                      <w:b/>
                      <w:color w:val="010202"/>
                      <w:spacing w:val="1"/>
                      <w:w w:val="106"/>
                      <w:sz w:val="11"/>
                    </w:rPr>
                    <w:t>m</w:t>
                  </w:r>
                  <w:r>
                    <w:rPr>
                      <w:rFonts w:ascii="Arial"/>
                      <w:b/>
                      <w:color w:val="010202"/>
                      <w:spacing w:val="2"/>
                      <w:w w:val="106"/>
                      <w:sz w:val="11"/>
                    </w:rPr>
                    <w:t>i</w:t>
                  </w:r>
                  <w:r>
                    <w:rPr>
                      <w:rFonts w:ascii="Arial"/>
                      <w:b/>
                      <w:color w:val="010202"/>
                      <w:spacing w:val="5"/>
                      <w:w w:val="106"/>
                      <w:sz w:val="11"/>
                    </w:rPr>
                    <w:t>e</w:t>
                  </w:r>
                  <w:r>
                    <w:rPr>
                      <w:rFonts w:ascii="Arial"/>
                      <w:b/>
                      <w:color w:val="010202"/>
                      <w:spacing w:val="-2"/>
                      <w:w w:val="106"/>
                      <w:sz w:val="11"/>
                    </w:rPr>
                    <w:t>n</w:t>
                  </w:r>
                  <w:r>
                    <w:rPr>
                      <w:rFonts w:ascii="Arial"/>
                      <w:b/>
                      <w:color w:val="010202"/>
                      <w:spacing w:val="-4"/>
                      <w:w w:val="106"/>
                      <w:sz w:val="11"/>
                    </w:rPr>
                    <w:t>t</w:t>
                  </w:r>
                  <w:r>
                    <w:rPr>
                      <w:rFonts w:ascii="Arial"/>
                      <w:b/>
                      <w:color w:val="010202"/>
                      <w:w w:val="106"/>
                      <w:sz w:val="11"/>
                    </w:rPr>
                    <w:t>o</w:t>
                  </w:r>
                  <w:r>
                    <w:rPr>
                      <w:rFonts w:ascii="Arial"/>
                      <w:b/>
                      <w:color w:val="010202"/>
                      <w:spacing w:val="-9"/>
                      <w:sz w:val="11"/>
                    </w:rPr>
                    <w:t> </w:t>
                  </w:r>
                  <w:r>
                    <w:rPr>
                      <w:rFonts w:ascii="Arial"/>
                      <w:b/>
                      <w:color w:val="010202"/>
                      <w:w w:val="106"/>
                      <w:sz w:val="11"/>
                    </w:rPr>
                    <w:t>t</w:t>
                  </w:r>
                  <w:r>
                    <w:rPr>
                      <w:rFonts w:ascii="Arial"/>
                      <w:b/>
                      <w:color w:val="010202"/>
                      <w:sz w:val="11"/>
                    </w:rPr>
                    <w:t> </w:t>
                  </w:r>
                  <w:r>
                    <w:rPr>
                      <w:rFonts w:ascii="Arial"/>
                      <w:b/>
                      <w:color w:val="010202"/>
                      <w:spacing w:val="-2"/>
                      <w:w w:val="106"/>
                      <w:sz w:val="11"/>
                    </w:rPr>
                    <w:t>h</w:t>
                  </w:r>
                  <w:r>
                    <w:rPr>
                      <w:rFonts w:ascii="Arial"/>
                      <w:b/>
                      <w:color w:val="010202"/>
                      <w:spacing w:val="5"/>
                      <w:w w:val="106"/>
                      <w:sz w:val="11"/>
                    </w:rPr>
                    <w:t>a</w:t>
                  </w:r>
                  <w:r>
                    <w:rPr>
                      <w:rFonts w:ascii="Arial"/>
                      <w:b/>
                      <w:color w:val="010202"/>
                      <w:spacing w:val="-4"/>
                      <w:w w:val="106"/>
                      <w:sz w:val="11"/>
                    </w:rPr>
                    <w:t>-</w:t>
                  </w:r>
                  <w:r>
                    <w:rPr>
                      <w:rFonts w:ascii="Arial"/>
                      <w:b/>
                      <w:color w:val="010202"/>
                      <w:w w:val="106"/>
                      <w:sz w:val="11"/>
                    </w:rPr>
                    <w:t>1</w:t>
                  </w:r>
                </w:p>
              </w:txbxContent>
            </v:textbox>
            <w10:wrap type="none"/>
          </v:shape>
        </w:pict>
      </w:r>
      <w:r>
        <w:rPr>
          <w:b/>
          <w:i/>
          <w:color w:val="231F20"/>
          <w:sz w:val="17"/>
        </w:rPr>
        <w:t>.</w:t>
      </w:r>
    </w:p>
    <w:p>
      <w:pPr>
        <w:spacing w:after="0"/>
        <w:jc w:val="left"/>
        <w:rPr>
          <w:sz w:val="17"/>
        </w:rPr>
        <w:sectPr>
          <w:pgSz w:w="10920" w:h="13080"/>
          <w:pgMar w:header="0" w:footer="1025" w:top="420" w:bottom="1220" w:left="0" w:right="0"/>
        </w:sectPr>
      </w:pPr>
    </w:p>
    <w:p>
      <w:pPr>
        <w:pStyle w:val="BodyText"/>
        <w:rPr>
          <w:b/>
          <w:i/>
          <w:sz w:val="20"/>
        </w:rPr>
      </w:pPr>
    </w:p>
    <w:p>
      <w:pPr>
        <w:pStyle w:val="BodyText"/>
        <w:rPr>
          <w:b/>
          <w:i/>
          <w:sz w:val="20"/>
        </w:rPr>
      </w:pPr>
    </w:p>
    <w:p>
      <w:pPr>
        <w:pStyle w:val="BodyText"/>
        <w:rPr>
          <w:b/>
          <w:i/>
          <w:sz w:val="23"/>
        </w:rPr>
      </w:pPr>
    </w:p>
    <w:p>
      <w:pPr>
        <w:pStyle w:val="BodyText"/>
        <w:spacing w:line="247" w:lineRule="auto" w:before="73"/>
        <w:ind w:left="1270" w:right="1266"/>
        <w:jc w:val="both"/>
      </w:pPr>
      <w:r>
        <w:rPr/>
        <w:pict>
          <v:shape style="position:absolute;margin-left:119.070465pt;margin-top:171.061951pt;width:9.450pt;height:70.55pt;mso-position-horizontal-relative:page;mso-position-vertical-relative:paragraph;z-index:2632" type="#_x0000_t202" filled="false" stroked="false">
            <v:textbox inset="0,0,0,0" style="layout-flow:vertical;mso-layout-flow-alt:bottom-to-top">
              <w:txbxContent>
                <w:p>
                  <w:pPr>
                    <w:spacing w:before="0"/>
                    <w:ind w:left="20" w:right="0" w:firstLine="0"/>
                    <w:jc w:val="left"/>
                    <w:rPr>
                      <w:rFonts w:ascii="Arial"/>
                      <w:b/>
                      <w:sz w:val="15"/>
                    </w:rPr>
                  </w:pPr>
                  <w:r>
                    <w:rPr>
                      <w:rFonts w:ascii="Arial"/>
                      <w:b/>
                      <w:color w:val="010202"/>
                      <w:spacing w:val="-5"/>
                      <w:w w:val="99"/>
                      <w:sz w:val="15"/>
                    </w:rPr>
                    <w:t>R</w:t>
                  </w:r>
                  <w:r>
                    <w:rPr>
                      <w:rFonts w:ascii="Arial"/>
                      <w:b/>
                      <w:color w:val="010202"/>
                      <w:spacing w:val="8"/>
                      <w:w w:val="99"/>
                      <w:sz w:val="15"/>
                    </w:rPr>
                    <w:t>e</w:t>
                  </w:r>
                  <w:r>
                    <w:rPr>
                      <w:rFonts w:ascii="Arial"/>
                      <w:b/>
                      <w:color w:val="010202"/>
                      <w:w w:val="99"/>
                      <w:sz w:val="15"/>
                    </w:rPr>
                    <w:t>nd</w:t>
                  </w:r>
                  <w:r>
                    <w:rPr>
                      <w:rFonts w:ascii="Arial"/>
                      <w:b/>
                      <w:color w:val="010202"/>
                      <w:spacing w:val="4"/>
                      <w:w w:val="99"/>
                      <w:sz w:val="15"/>
                    </w:rPr>
                    <w:t>i</w:t>
                  </w:r>
                  <w:r>
                    <w:rPr>
                      <w:rFonts w:ascii="Arial"/>
                      <w:b/>
                      <w:color w:val="010202"/>
                      <w:spacing w:val="5"/>
                      <w:w w:val="99"/>
                      <w:sz w:val="15"/>
                    </w:rPr>
                    <w:t>m</w:t>
                  </w:r>
                  <w:r>
                    <w:rPr>
                      <w:rFonts w:ascii="Arial"/>
                      <w:b/>
                      <w:color w:val="010202"/>
                      <w:spacing w:val="4"/>
                      <w:w w:val="99"/>
                      <w:sz w:val="15"/>
                    </w:rPr>
                    <w:t>i</w:t>
                  </w:r>
                  <w:r>
                    <w:rPr>
                      <w:rFonts w:ascii="Arial"/>
                      <w:b/>
                      <w:color w:val="010202"/>
                      <w:spacing w:val="8"/>
                      <w:w w:val="99"/>
                      <w:sz w:val="15"/>
                    </w:rPr>
                    <w:t>e</w:t>
                  </w:r>
                  <w:r>
                    <w:rPr>
                      <w:rFonts w:ascii="Arial"/>
                      <w:b/>
                      <w:color w:val="010202"/>
                      <w:w w:val="99"/>
                      <w:sz w:val="15"/>
                    </w:rPr>
                    <w:t>n</w:t>
                  </w:r>
                  <w:r>
                    <w:rPr>
                      <w:rFonts w:ascii="Arial"/>
                      <w:b/>
                      <w:color w:val="010202"/>
                      <w:spacing w:val="-4"/>
                      <w:w w:val="99"/>
                      <w:sz w:val="15"/>
                    </w:rPr>
                    <w:t>t</w:t>
                  </w:r>
                  <w:r>
                    <w:rPr>
                      <w:rFonts w:ascii="Arial"/>
                      <w:b/>
                      <w:color w:val="010202"/>
                      <w:w w:val="99"/>
                      <w:sz w:val="15"/>
                    </w:rPr>
                    <w:t>o</w:t>
                  </w:r>
                  <w:r>
                    <w:rPr>
                      <w:rFonts w:ascii="Arial"/>
                      <w:b/>
                      <w:color w:val="010202"/>
                      <w:spacing w:val="-7"/>
                      <w:sz w:val="15"/>
                    </w:rPr>
                    <w:t> </w:t>
                  </w:r>
                  <w:r>
                    <w:rPr>
                      <w:rFonts w:ascii="Arial"/>
                      <w:b/>
                      <w:color w:val="010202"/>
                      <w:w w:val="99"/>
                      <w:sz w:val="15"/>
                    </w:rPr>
                    <w:t>t</w:t>
                  </w:r>
                  <w:r>
                    <w:rPr>
                      <w:rFonts w:ascii="Arial"/>
                      <w:b/>
                      <w:color w:val="010202"/>
                      <w:sz w:val="15"/>
                    </w:rPr>
                    <w:t> </w:t>
                  </w:r>
                  <w:r>
                    <w:rPr>
                      <w:rFonts w:ascii="Arial"/>
                      <w:b/>
                      <w:color w:val="010202"/>
                      <w:w w:val="99"/>
                      <w:sz w:val="15"/>
                    </w:rPr>
                    <w:t>h</w:t>
                  </w:r>
                  <w:r>
                    <w:rPr>
                      <w:rFonts w:ascii="Arial"/>
                      <w:b/>
                      <w:color w:val="010202"/>
                      <w:spacing w:val="8"/>
                      <w:w w:val="99"/>
                      <w:sz w:val="15"/>
                    </w:rPr>
                    <w:t>a</w:t>
                  </w:r>
                  <w:r>
                    <w:rPr>
                      <w:rFonts w:ascii="Arial"/>
                      <w:b/>
                      <w:color w:val="010202"/>
                      <w:spacing w:val="-4"/>
                      <w:w w:val="99"/>
                      <w:sz w:val="15"/>
                    </w:rPr>
                    <w:t>-</w:t>
                  </w:r>
                  <w:r>
                    <w:rPr>
                      <w:rFonts w:ascii="Arial"/>
                      <w:b/>
                      <w:color w:val="010202"/>
                      <w:w w:val="99"/>
                      <w:sz w:val="15"/>
                    </w:rPr>
                    <w:t>1</w:t>
                  </w:r>
                </w:p>
              </w:txbxContent>
            </v:textbox>
            <w10:wrap type="none"/>
          </v:shape>
        </w:pict>
      </w:r>
      <w:r>
        <w:rPr>
          <w:color w:val="231F20"/>
        </w:rPr>
        <w:t>La</w:t>
      </w:r>
      <w:r>
        <w:rPr>
          <w:color w:val="231F20"/>
          <w:spacing w:val="-21"/>
        </w:rPr>
        <w:t> </w:t>
      </w:r>
      <w:r>
        <w:rPr>
          <w:color w:val="231F20"/>
        </w:rPr>
        <w:t>Figura</w:t>
      </w:r>
      <w:r>
        <w:rPr>
          <w:color w:val="231F20"/>
          <w:spacing w:val="-21"/>
        </w:rPr>
        <w:t> </w:t>
      </w:r>
      <w:r>
        <w:rPr>
          <w:color w:val="231F20"/>
        </w:rPr>
        <w:t>2</w:t>
      </w:r>
      <w:r>
        <w:rPr>
          <w:color w:val="231F20"/>
          <w:spacing w:val="-21"/>
        </w:rPr>
        <w:t> </w:t>
      </w:r>
      <w:r>
        <w:rPr>
          <w:color w:val="231F20"/>
        </w:rPr>
        <w:t>muestra</w:t>
      </w:r>
      <w:r>
        <w:rPr>
          <w:color w:val="231F20"/>
          <w:spacing w:val="-21"/>
        </w:rPr>
        <w:t> </w:t>
      </w:r>
      <w:r>
        <w:rPr>
          <w:color w:val="231F20"/>
        </w:rPr>
        <w:t>el</w:t>
      </w:r>
      <w:r>
        <w:rPr>
          <w:color w:val="231F20"/>
          <w:spacing w:val="-21"/>
        </w:rPr>
        <w:t> </w:t>
      </w:r>
      <w:r>
        <w:rPr>
          <w:color w:val="231F20"/>
        </w:rPr>
        <w:t>progreso</w:t>
      </w:r>
      <w:r>
        <w:rPr>
          <w:color w:val="231F20"/>
          <w:spacing w:val="-21"/>
        </w:rPr>
        <w:t> </w:t>
      </w:r>
      <w:r>
        <w:rPr>
          <w:color w:val="231F20"/>
        </w:rPr>
        <w:t>del</w:t>
      </w:r>
      <w:r>
        <w:rPr>
          <w:color w:val="231F20"/>
          <w:spacing w:val="-21"/>
        </w:rPr>
        <w:t> </w:t>
      </w:r>
      <w:r>
        <w:rPr>
          <w:color w:val="231F20"/>
        </w:rPr>
        <w:t>mejoramiento</w:t>
      </w:r>
      <w:r>
        <w:rPr>
          <w:color w:val="231F20"/>
          <w:spacing w:val="-21"/>
        </w:rPr>
        <w:t> </w:t>
      </w:r>
      <w:r>
        <w:rPr>
          <w:color w:val="231F20"/>
        </w:rPr>
        <w:t>en</w:t>
      </w:r>
      <w:r>
        <w:rPr>
          <w:color w:val="231F20"/>
          <w:spacing w:val="-21"/>
        </w:rPr>
        <w:t> </w:t>
      </w:r>
      <w:r>
        <w:rPr>
          <w:color w:val="231F20"/>
        </w:rPr>
        <w:t>híbridos</w:t>
      </w:r>
      <w:r>
        <w:rPr>
          <w:color w:val="231F20"/>
          <w:spacing w:val="-21"/>
        </w:rPr>
        <w:t> </w:t>
      </w:r>
      <w:r>
        <w:rPr>
          <w:color w:val="231F20"/>
        </w:rPr>
        <w:t>en</w:t>
      </w:r>
      <w:r>
        <w:rPr>
          <w:color w:val="231F20"/>
          <w:spacing w:val="-21"/>
        </w:rPr>
        <w:t> </w:t>
      </w:r>
      <w:r>
        <w:rPr>
          <w:color w:val="231F20"/>
        </w:rPr>
        <w:t>el</w:t>
      </w:r>
      <w:r>
        <w:rPr>
          <w:color w:val="231F20"/>
          <w:spacing w:val="-21"/>
        </w:rPr>
        <w:t> </w:t>
      </w:r>
      <w:r>
        <w:rPr>
          <w:color w:val="231F20"/>
        </w:rPr>
        <w:t>trópico</w:t>
      </w:r>
      <w:r>
        <w:rPr>
          <w:color w:val="231F20"/>
          <w:spacing w:val="-21"/>
        </w:rPr>
        <w:t> </w:t>
      </w:r>
      <w:r>
        <w:rPr>
          <w:color w:val="231F20"/>
        </w:rPr>
        <w:t>mexicano</w:t>
      </w:r>
      <w:r>
        <w:rPr>
          <w:color w:val="231F20"/>
          <w:spacing w:val="-21"/>
        </w:rPr>
        <w:t> </w:t>
      </w:r>
      <w:r>
        <w:rPr>
          <w:color w:val="231F20"/>
        </w:rPr>
        <w:t>para</w:t>
      </w:r>
      <w:r>
        <w:rPr>
          <w:color w:val="231F20"/>
          <w:spacing w:val="-21"/>
        </w:rPr>
        <w:t> </w:t>
      </w:r>
      <w:r>
        <w:rPr>
          <w:color w:val="231F20"/>
        </w:rPr>
        <w:t>rendimiento de grano de 1955 al 2004. Se observa que los primeros híbridos liberados en 1955 y 1961, H-503 y H-507</w:t>
      </w:r>
      <w:r>
        <w:rPr>
          <w:color w:val="231F20"/>
          <w:spacing w:val="-15"/>
        </w:rPr>
        <w:t> </w:t>
      </w:r>
      <w:r>
        <w:rPr>
          <w:color w:val="231F20"/>
        </w:rPr>
        <w:t>respectivamente,</w:t>
      </w:r>
      <w:r>
        <w:rPr>
          <w:color w:val="231F20"/>
          <w:spacing w:val="-15"/>
        </w:rPr>
        <w:t> </w:t>
      </w:r>
      <w:r>
        <w:rPr>
          <w:color w:val="231F20"/>
        </w:rPr>
        <w:t>registraron</w:t>
      </w:r>
      <w:r>
        <w:rPr>
          <w:color w:val="231F20"/>
          <w:spacing w:val="-15"/>
        </w:rPr>
        <w:t> </w:t>
      </w:r>
      <w:r>
        <w:rPr>
          <w:color w:val="231F20"/>
        </w:rPr>
        <w:t>buen</w:t>
      </w:r>
      <w:r>
        <w:rPr>
          <w:color w:val="231F20"/>
          <w:spacing w:val="-15"/>
        </w:rPr>
        <w:t> </w:t>
      </w:r>
      <w:r>
        <w:rPr>
          <w:color w:val="231F20"/>
        </w:rPr>
        <w:t>potencial</w:t>
      </w:r>
      <w:r>
        <w:rPr>
          <w:color w:val="231F20"/>
          <w:spacing w:val="-15"/>
        </w:rPr>
        <w:t> </w:t>
      </w:r>
      <w:r>
        <w:rPr>
          <w:color w:val="231F20"/>
        </w:rPr>
        <w:t>de</w:t>
      </w:r>
      <w:r>
        <w:rPr>
          <w:color w:val="231F20"/>
          <w:spacing w:val="-15"/>
        </w:rPr>
        <w:t> </w:t>
      </w:r>
      <w:r>
        <w:rPr>
          <w:color w:val="231F20"/>
        </w:rPr>
        <w:t>rendimiento,</w:t>
      </w:r>
      <w:r>
        <w:rPr>
          <w:color w:val="231F20"/>
          <w:spacing w:val="-15"/>
        </w:rPr>
        <w:t> </w:t>
      </w:r>
      <w:r>
        <w:rPr>
          <w:color w:val="231F20"/>
        </w:rPr>
        <w:t>mismos</w:t>
      </w:r>
      <w:r>
        <w:rPr>
          <w:color w:val="231F20"/>
          <w:spacing w:val="-15"/>
        </w:rPr>
        <w:t> </w:t>
      </w:r>
      <w:r>
        <w:rPr>
          <w:color w:val="231F20"/>
        </w:rPr>
        <w:t>que</w:t>
      </w:r>
      <w:r>
        <w:rPr>
          <w:color w:val="231F20"/>
          <w:spacing w:val="-15"/>
        </w:rPr>
        <w:t> </w:t>
      </w:r>
      <w:r>
        <w:rPr>
          <w:color w:val="231F20"/>
        </w:rPr>
        <w:t>fueron</w:t>
      </w:r>
      <w:r>
        <w:rPr>
          <w:color w:val="231F20"/>
          <w:spacing w:val="-15"/>
        </w:rPr>
        <w:t> </w:t>
      </w:r>
      <w:r>
        <w:rPr>
          <w:color w:val="231F20"/>
        </w:rPr>
        <w:t>adoptados</w:t>
      </w:r>
      <w:r>
        <w:rPr>
          <w:color w:val="231F20"/>
          <w:spacing w:val="-15"/>
        </w:rPr>
        <w:t> </w:t>
      </w:r>
      <w:r>
        <w:rPr>
          <w:color w:val="231F20"/>
          <w:spacing w:val="-2"/>
        </w:rPr>
        <w:t>por </w:t>
      </w:r>
      <w:r>
        <w:rPr>
          <w:color w:val="231F20"/>
        </w:rPr>
        <w:t>los</w:t>
      </w:r>
      <w:r>
        <w:rPr>
          <w:color w:val="231F20"/>
          <w:spacing w:val="-21"/>
        </w:rPr>
        <w:t> </w:t>
      </w:r>
      <w:r>
        <w:rPr>
          <w:color w:val="231F20"/>
        </w:rPr>
        <w:t>agricultores,</w:t>
      </w:r>
      <w:r>
        <w:rPr>
          <w:color w:val="231F20"/>
          <w:spacing w:val="-21"/>
        </w:rPr>
        <w:t> </w:t>
      </w:r>
      <w:r>
        <w:rPr>
          <w:color w:val="231F20"/>
        </w:rPr>
        <w:t>particularmente,</w:t>
      </w:r>
      <w:r>
        <w:rPr>
          <w:color w:val="231F20"/>
          <w:spacing w:val="-21"/>
        </w:rPr>
        <w:t> </w:t>
      </w:r>
      <w:r>
        <w:rPr>
          <w:color w:val="231F20"/>
        </w:rPr>
        <w:t>el</w:t>
      </w:r>
      <w:r>
        <w:rPr>
          <w:color w:val="231F20"/>
          <w:spacing w:val="-21"/>
        </w:rPr>
        <w:t> </w:t>
      </w:r>
      <w:r>
        <w:rPr>
          <w:color w:val="231F20"/>
        </w:rPr>
        <w:t>H-507</w:t>
      </w:r>
      <w:r>
        <w:rPr>
          <w:color w:val="231F20"/>
          <w:spacing w:val="-21"/>
        </w:rPr>
        <w:t> </w:t>
      </w:r>
      <w:r>
        <w:rPr>
          <w:color w:val="231F20"/>
        </w:rPr>
        <w:t>se</w:t>
      </w:r>
      <w:r>
        <w:rPr>
          <w:color w:val="231F20"/>
          <w:spacing w:val="-21"/>
        </w:rPr>
        <w:t> </w:t>
      </w:r>
      <w:r>
        <w:rPr>
          <w:color w:val="231F20"/>
        </w:rPr>
        <w:t>distribuyó</w:t>
      </w:r>
      <w:r>
        <w:rPr>
          <w:color w:val="231F20"/>
          <w:spacing w:val="-21"/>
        </w:rPr>
        <w:t> </w:t>
      </w:r>
      <w:r>
        <w:rPr>
          <w:color w:val="231F20"/>
        </w:rPr>
        <w:t>comercialmente</w:t>
      </w:r>
      <w:r>
        <w:rPr>
          <w:color w:val="231F20"/>
          <w:spacing w:val="-21"/>
        </w:rPr>
        <w:t> </w:t>
      </w:r>
      <w:r>
        <w:rPr>
          <w:color w:val="231F20"/>
        </w:rPr>
        <w:t>por</w:t>
      </w:r>
      <w:r>
        <w:rPr>
          <w:color w:val="231F20"/>
          <w:spacing w:val="-21"/>
        </w:rPr>
        <w:t> </w:t>
      </w:r>
      <w:r>
        <w:rPr>
          <w:color w:val="231F20"/>
        </w:rPr>
        <w:t>más</w:t>
      </w:r>
      <w:r>
        <w:rPr>
          <w:color w:val="231F20"/>
          <w:spacing w:val="-21"/>
        </w:rPr>
        <w:t> </w:t>
      </w:r>
      <w:r>
        <w:rPr>
          <w:color w:val="231F20"/>
        </w:rPr>
        <w:t>de</w:t>
      </w:r>
      <w:r>
        <w:rPr>
          <w:color w:val="231F20"/>
          <w:spacing w:val="-21"/>
        </w:rPr>
        <w:t> </w:t>
      </w:r>
      <w:r>
        <w:rPr>
          <w:color w:val="231F20"/>
        </w:rPr>
        <w:t>30</w:t>
      </w:r>
      <w:r>
        <w:rPr>
          <w:color w:val="231F20"/>
          <w:spacing w:val="-21"/>
        </w:rPr>
        <w:t> </w:t>
      </w:r>
      <w:r>
        <w:rPr>
          <w:color w:val="231F20"/>
        </w:rPr>
        <w:t>años.</w:t>
      </w:r>
      <w:r>
        <w:rPr>
          <w:color w:val="231F20"/>
          <w:spacing w:val="-21"/>
        </w:rPr>
        <w:t> </w:t>
      </w:r>
      <w:r>
        <w:rPr>
          <w:color w:val="231F20"/>
        </w:rPr>
        <w:t>El</w:t>
      </w:r>
      <w:r>
        <w:rPr>
          <w:color w:val="231F20"/>
          <w:spacing w:val="-21"/>
        </w:rPr>
        <w:t> </w:t>
      </w:r>
      <w:r>
        <w:rPr>
          <w:color w:val="231F20"/>
        </w:rPr>
        <w:t>H-510 liberado</w:t>
      </w:r>
      <w:r>
        <w:rPr>
          <w:color w:val="231F20"/>
          <w:spacing w:val="-10"/>
        </w:rPr>
        <w:t> </w:t>
      </w:r>
      <w:r>
        <w:rPr>
          <w:color w:val="231F20"/>
        </w:rPr>
        <w:t>en</w:t>
      </w:r>
      <w:r>
        <w:rPr>
          <w:color w:val="231F20"/>
          <w:spacing w:val="-10"/>
        </w:rPr>
        <w:t> </w:t>
      </w:r>
      <w:r>
        <w:rPr>
          <w:color w:val="231F20"/>
        </w:rPr>
        <w:t>1975</w:t>
      </w:r>
      <w:r>
        <w:rPr>
          <w:color w:val="231F20"/>
          <w:spacing w:val="-10"/>
        </w:rPr>
        <w:t> </w:t>
      </w:r>
      <w:r>
        <w:rPr>
          <w:color w:val="231F20"/>
        </w:rPr>
        <w:t>no</w:t>
      </w:r>
      <w:r>
        <w:rPr>
          <w:color w:val="231F20"/>
          <w:spacing w:val="-10"/>
        </w:rPr>
        <w:t> </w:t>
      </w:r>
      <w:r>
        <w:rPr>
          <w:color w:val="231F20"/>
        </w:rPr>
        <w:t>tuvo</w:t>
      </w:r>
      <w:r>
        <w:rPr>
          <w:color w:val="231F20"/>
          <w:spacing w:val="-10"/>
        </w:rPr>
        <w:t> </w:t>
      </w:r>
      <w:r>
        <w:rPr>
          <w:color w:val="231F20"/>
        </w:rPr>
        <w:t>mayores</w:t>
      </w:r>
      <w:r>
        <w:rPr>
          <w:color w:val="231F20"/>
          <w:spacing w:val="-10"/>
        </w:rPr>
        <w:t> </w:t>
      </w:r>
      <w:r>
        <w:rPr>
          <w:color w:val="231F20"/>
        </w:rPr>
        <w:t>ventajas</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rendimiento</w:t>
      </w:r>
      <w:r>
        <w:rPr>
          <w:color w:val="231F20"/>
          <w:spacing w:val="-10"/>
        </w:rPr>
        <w:t> </w:t>
      </w:r>
      <w:r>
        <w:rPr>
          <w:color w:val="231F20"/>
        </w:rPr>
        <w:t>y</w:t>
      </w:r>
      <w:r>
        <w:rPr>
          <w:color w:val="231F20"/>
          <w:spacing w:val="-10"/>
        </w:rPr>
        <w:t> </w:t>
      </w:r>
      <w:r>
        <w:rPr>
          <w:color w:val="231F20"/>
        </w:rPr>
        <w:t>su</w:t>
      </w:r>
      <w:r>
        <w:rPr>
          <w:color w:val="231F20"/>
          <w:spacing w:val="-10"/>
        </w:rPr>
        <w:t> </w:t>
      </w:r>
      <w:r>
        <w:rPr>
          <w:color w:val="231F20"/>
        </w:rPr>
        <w:t>uso</w:t>
      </w:r>
      <w:r>
        <w:rPr>
          <w:color w:val="231F20"/>
          <w:spacing w:val="-10"/>
        </w:rPr>
        <w:t> </w:t>
      </w:r>
      <w:r>
        <w:rPr>
          <w:color w:val="231F20"/>
        </w:rPr>
        <w:t>fue</w:t>
      </w:r>
      <w:r>
        <w:rPr>
          <w:color w:val="231F20"/>
          <w:spacing w:val="-10"/>
        </w:rPr>
        <w:t> </w:t>
      </w:r>
      <w:r>
        <w:rPr>
          <w:color w:val="231F20"/>
        </w:rPr>
        <w:t>limitado.</w:t>
      </w:r>
      <w:r>
        <w:rPr>
          <w:color w:val="231F20"/>
          <w:spacing w:val="-10"/>
        </w:rPr>
        <w:t> </w:t>
      </w:r>
      <w:r>
        <w:rPr>
          <w:color w:val="231F20"/>
        </w:rPr>
        <w:t>En</w:t>
      </w:r>
      <w:r>
        <w:rPr>
          <w:color w:val="231F20"/>
          <w:spacing w:val="-10"/>
        </w:rPr>
        <w:t> </w:t>
      </w:r>
      <w:r>
        <w:rPr>
          <w:color w:val="231F20"/>
        </w:rPr>
        <w:t>1981</w:t>
      </w:r>
      <w:r>
        <w:rPr>
          <w:color w:val="231F20"/>
          <w:spacing w:val="-10"/>
        </w:rPr>
        <w:t> </w:t>
      </w:r>
      <w:r>
        <w:rPr>
          <w:color w:val="231F20"/>
        </w:rPr>
        <w:t>fue</w:t>
      </w:r>
      <w:r>
        <w:rPr>
          <w:color w:val="231F20"/>
          <w:spacing w:val="-10"/>
        </w:rPr>
        <w:t> </w:t>
      </w:r>
      <w:r>
        <w:rPr>
          <w:color w:val="231F20"/>
        </w:rPr>
        <w:t>libe- rado</w:t>
      </w:r>
      <w:r>
        <w:rPr>
          <w:color w:val="231F20"/>
          <w:spacing w:val="-18"/>
        </w:rPr>
        <w:t> </w:t>
      </w:r>
      <w:r>
        <w:rPr>
          <w:color w:val="231F20"/>
        </w:rPr>
        <w:t>el</w:t>
      </w:r>
      <w:r>
        <w:rPr>
          <w:color w:val="231F20"/>
          <w:spacing w:val="-18"/>
        </w:rPr>
        <w:t> </w:t>
      </w:r>
      <w:r>
        <w:rPr>
          <w:color w:val="231F20"/>
          <w:spacing w:val="-4"/>
        </w:rPr>
        <w:t>H-511</w:t>
      </w:r>
      <w:r>
        <w:rPr>
          <w:color w:val="231F20"/>
          <w:spacing w:val="-18"/>
        </w:rPr>
        <w:t> </w:t>
      </w:r>
      <w:r>
        <w:rPr>
          <w:color w:val="231F20"/>
        </w:rPr>
        <w:t>y</w:t>
      </w:r>
      <w:r>
        <w:rPr>
          <w:color w:val="231F20"/>
          <w:spacing w:val="-18"/>
        </w:rPr>
        <w:t> </w:t>
      </w:r>
      <w:r>
        <w:rPr>
          <w:color w:val="231F20"/>
        </w:rPr>
        <w:t>aunque</w:t>
      </w:r>
      <w:r>
        <w:rPr>
          <w:color w:val="231F20"/>
          <w:spacing w:val="-18"/>
        </w:rPr>
        <w:t> </w:t>
      </w:r>
      <w:r>
        <w:rPr>
          <w:color w:val="231F20"/>
        </w:rPr>
        <w:t>hay</w:t>
      </w:r>
      <w:r>
        <w:rPr>
          <w:color w:val="231F20"/>
          <w:spacing w:val="-18"/>
        </w:rPr>
        <w:t> </w:t>
      </w:r>
      <w:r>
        <w:rPr>
          <w:color w:val="231F20"/>
        </w:rPr>
        <w:t>un</w:t>
      </w:r>
      <w:r>
        <w:rPr>
          <w:color w:val="231F20"/>
          <w:spacing w:val="-18"/>
        </w:rPr>
        <w:t> </w:t>
      </w:r>
      <w:r>
        <w:rPr>
          <w:color w:val="231F20"/>
        </w:rPr>
        <w:t>avance</w:t>
      </w:r>
      <w:r>
        <w:rPr>
          <w:color w:val="231F20"/>
          <w:spacing w:val="-18"/>
        </w:rPr>
        <w:t> </w:t>
      </w:r>
      <w:r>
        <w:rPr>
          <w:color w:val="231F20"/>
        </w:rPr>
        <w:t>significativo</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rPr>
        <w:t>rendimiento</w:t>
      </w:r>
      <w:r>
        <w:rPr>
          <w:color w:val="231F20"/>
          <w:spacing w:val="-18"/>
        </w:rPr>
        <w:t> </w:t>
      </w:r>
      <w:r>
        <w:rPr>
          <w:color w:val="231F20"/>
        </w:rPr>
        <w:t>del</w:t>
      </w:r>
      <w:r>
        <w:rPr>
          <w:color w:val="231F20"/>
          <w:spacing w:val="-18"/>
        </w:rPr>
        <w:t> </w:t>
      </w:r>
      <w:r>
        <w:rPr>
          <w:color w:val="231F20"/>
        </w:rPr>
        <w:t>híbrido,</w:t>
      </w:r>
      <w:r>
        <w:rPr>
          <w:color w:val="231F20"/>
          <w:spacing w:val="-18"/>
        </w:rPr>
        <w:t> </w:t>
      </w:r>
      <w:r>
        <w:rPr>
          <w:color w:val="231F20"/>
        </w:rPr>
        <w:t>este</w:t>
      </w:r>
      <w:r>
        <w:rPr>
          <w:color w:val="231F20"/>
          <w:spacing w:val="-18"/>
        </w:rPr>
        <w:t> </w:t>
      </w:r>
      <w:r>
        <w:rPr>
          <w:color w:val="231F20"/>
        </w:rPr>
        <w:t>no</w:t>
      </w:r>
      <w:r>
        <w:rPr>
          <w:color w:val="231F20"/>
          <w:spacing w:val="-18"/>
        </w:rPr>
        <w:t> </w:t>
      </w:r>
      <w:r>
        <w:rPr>
          <w:color w:val="231F20"/>
        </w:rPr>
        <w:t>se</w:t>
      </w:r>
      <w:r>
        <w:rPr>
          <w:color w:val="231F20"/>
          <w:spacing w:val="-18"/>
        </w:rPr>
        <w:t> </w:t>
      </w:r>
      <w:r>
        <w:rPr>
          <w:color w:val="231F20"/>
        </w:rPr>
        <w:t>distribuyó comercialmente,</w:t>
      </w:r>
      <w:r>
        <w:rPr>
          <w:color w:val="231F20"/>
          <w:spacing w:val="-9"/>
        </w:rPr>
        <w:t> </w:t>
      </w:r>
      <w:r>
        <w:rPr>
          <w:color w:val="231F20"/>
        </w:rPr>
        <w:t>debido</w:t>
      </w:r>
      <w:r>
        <w:rPr>
          <w:color w:val="231F20"/>
          <w:spacing w:val="-9"/>
        </w:rPr>
        <w:t> </w:t>
      </w:r>
      <w:r>
        <w:rPr>
          <w:color w:val="231F20"/>
        </w:rPr>
        <w:t>entre</w:t>
      </w:r>
      <w:r>
        <w:rPr>
          <w:color w:val="231F20"/>
          <w:spacing w:val="-9"/>
        </w:rPr>
        <w:t> </w:t>
      </w:r>
      <w:r>
        <w:rPr>
          <w:color w:val="231F20"/>
        </w:rPr>
        <w:t>otras</w:t>
      </w:r>
      <w:r>
        <w:rPr>
          <w:color w:val="231F20"/>
          <w:spacing w:val="-9"/>
        </w:rPr>
        <w:t> </w:t>
      </w:r>
      <w:r>
        <w:rPr>
          <w:color w:val="231F20"/>
        </w:rPr>
        <w:t>razones</w:t>
      </w:r>
      <w:r>
        <w:rPr>
          <w:color w:val="231F20"/>
          <w:spacing w:val="-9"/>
        </w:rPr>
        <w:t> </w:t>
      </w:r>
      <w:r>
        <w:rPr>
          <w:color w:val="231F20"/>
        </w:rPr>
        <w:t>a</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trata</w:t>
      </w:r>
      <w:r>
        <w:rPr>
          <w:color w:val="231F20"/>
          <w:spacing w:val="-9"/>
        </w:rPr>
        <w:t> </w:t>
      </w:r>
      <w:r>
        <w:rPr>
          <w:color w:val="231F20"/>
        </w:rPr>
        <w:t>de</w:t>
      </w:r>
      <w:r>
        <w:rPr>
          <w:color w:val="231F20"/>
          <w:spacing w:val="-9"/>
        </w:rPr>
        <w:t> </w:t>
      </w:r>
      <w:r>
        <w:rPr>
          <w:color w:val="231F20"/>
        </w:rPr>
        <w:t>un</w:t>
      </w:r>
      <w:r>
        <w:rPr>
          <w:color w:val="231F20"/>
          <w:spacing w:val="-9"/>
        </w:rPr>
        <w:t> </w:t>
      </w:r>
      <w:r>
        <w:rPr>
          <w:color w:val="231F20"/>
        </w:rPr>
        <w:t>híbrido</w:t>
      </w:r>
      <w:r>
        <w:rPr>
          <w:color w:val="231F20"/>
          <w:spacing w:val="-9"/>
        </w:rPr>
        <w:t> </w:t>
      </w:r>
      <w:r>
        <w:rPr>
          <w:color w:val="231F20"/>
        </w:rPr>
        <w:t>de</w:t>
      </w:r>
      <w:r>
        <w:rPr>
          <w:color w:val="231F20"/>
          <w:spacing w:val="-9"/>
        </w:rPr>
        <w:t> </w:t>
      </w:r>
      <w:r>
        <w:rPr>
          <w:color w:val="231F20"/>
        </w:rPr>
        <w:t>cruza</w:t>
      </w:r>
      <w:r>
        <w:rPr>
          <w:color w:val="231F20"/>
          <w:spacing w:val="-9"/>
        </w:rPr>
        <w:t> </w:t>
      </w:r>
      <w:r>
        <w:rPr>
          <w:color w:val="231F20"/>
        </w:rPr>
        <w:t>simple</w:t>
      </w:r>
      <w:r>
        <w:rPr>
          <w:color w:val="231F20"/>
          <w:spacing w:val="-9"/>
        </w:rPr>
        <w:t> </w:t>
      </w:r>
      <w:r>
        <w:rPr>
          <w:color w:val="231F20"/>
        </w:rPr>
        <w:t>cuyos</w:t>
      </w:r>
      <w:r>
        <w:rPr>
          <w:color w:val="231F20"/>
          <w:spacing w:val="-9"/>
        </w:rPr>
        <w:t> </w:t>
      </w:r>
      <w:r>
        <w:rPr>
          <w:color w:val="231F20"/>
        </w:rPr>
        <w:t>proge- nitores</w:t>
      </w:r>
      <w:r>
        <w:rPr>
          <w:color w:val="231F20"/>
          <w:spacing w:val="-20"/>
        </w:rPr>
        <w:t> </w:t>
      </w:r>
      <w:r>
        <w:rPr>
          <w:color w:val="231F20"/>
        </w:rPr>
        <w:t>mostraban</w:t>
      </w:r>
      <w:r>
        <w:rPr>
          <w:color w:val="231F20"/>
          <w:spacing w:val="-20"/>
        </w:rPr>
        <w:t> </w:t>
      </w:r>
      <w:r>
        <w:rPr>
          <w:color w:val="231F20"/>
        </w:rPr>
        <w:t>limitaciones</w:t>
      </w:r>
      <w:r>
        <w:rPr>
          <w:color w:val="231F20"/>
          <w:spacing w:val="-20"/>
        </w:rPr>
        <w:t> </w:t>
      </w:r>
      <w:r>
        <w:rPr>
          <w:color w:val="231F20"/>
        </w:rPr>
        <w:t>en</w:t>
      </w:r>
      <w:r>
        <w:rPr>
          <w:color w:val="231F20"/>
          <w:spacing w:val="-20"/>
        </w:rPr>
        <w:t> </w:t>
      </w:r>
      <w:r>
        <w:rPr>
          <w:color w:val="231F20"/>
        </w:rPr>
        <w:t>su</w:t>
      </w:r>
      <w:r>
        <w:rPr>
          <w:color w:val="231F20"/>
          <w:spacing w:val="-20"/>
        </w:rPr>
        <w:t> </w:t>
      </w:r>
      <w:r>
        <w:rPr>
          <w:color w:val="231F20"/>
        </w:rPr>
        <w:t>mantenimiento</w:t>
      </w:r>
      <w:r>
        <w:rPr>
          <w:color w:val="231F20"/>
          <w:spacing w:val="-20"/>
        </w:rPr>
        <w:t> </w:t>
      </w:r>
      <w:r>
        <w:rPr>
          <w:color w:val="231F20"/>
        </w:rPr>
        <w:t>y</w:t>
      </w:r>
      <w:r>
        <w:rPr>
          <w:color w:val="231F20"/>
          <w:spacing w:val="-20"/>
        </w:rPr>
        <w:t> </w:t>
      </w:r>
      <w:r>
        <w:rPr>
          <w:color w:val="231F20"/>
        </w:rPr>
        <w:t>en</w:t>
      </w:r>
      <w:r>
        <w:rPr>
          <w:color w:val="231F20"/>
          <w:spacing w:val="-20"/>
        </w:rPr>
        <w:t> </w:t>
      </w:r>
      <w:r>
        <w:rPr>
          <w:color w:val="231F20"/>
        </w:rPr>
        <w:t>la</w:t>
      </w:r>
      <w:r>
        <w:rPr>
          <w:color w:val="231F20"/>
          <w:spacing w:val="-20"/>
        </w:rPr>
        <w:t> </w:t>
      </w:r>
      <w:r>
        <w:rPr>
          <w:color w:val="231F20"/>
        </w:rPr>
        <w:t>producción</w:t>
      </w:r>
      <w:r>
        <w:rPr>
          <w:color w:val="231F20"/>
          <w:spacing w:val="-20"/>
        </w:rPr>
        <w:t> </w:t>
      </w:r>
      <w:r>
        <w:rPr>
          <w:color w:val="231F20"/>
        </w:rPr>
        <w:t>comercial.</w:t>
      </w:r>
      <w:r>
        <w:rPr>
          <w:color w:val="231F20"/>
          <w:spacing w:val="-20"/>
        </w:rPr>
        <w:t> </w:t>
      </w:r>
      <w:r>
        <w:rPr>
          <w:color w:val="231F20"/>
        </w:rPr>
        <w:t>El</w:t>
      </w:r>
      <w:r>
        <w:rPr>
          <w:color w:val="231F20"/>
          <w:spacing w:val="-20"/>
        </w:rPr>
        <w:t> </w:t>
      </w:r>
      <w:r>
        <w:rPr>
          <w:color w:val="231F20"/>
        </w:rPr>
        <w:t>avance</w:t>
      </w:r>
      <w:r>
        <w:rPr>
          <w:color w:val="231F20"/>
          <w:spacing w:val="-20"/>
        </w:rPr>
        <w:t> </w:t>
      </w:r>
      <w:r>
        <w:rPr>
          <w:color w:val="231F20"/>
        </w:rPr>
        <w:t>mayor</w:t>
      </w:r>
      <w:r>
        <w:rPr>
          <w:color w:val="231F20"/>
          <w:spacing w:val="-20"/>
        </w:rPr>
        <w:t> </w:t>
      </w:r>
      <w:r>
        <w:rPr>
          <w:color w:val="231F20"/>
        </w:rPr>
        <w:t>se tiene</w:t>
      </w:r>
      <w:r>
        <w:rPr>
          <w:color w:val="231F20"/>
          <w:spacing w:val="-9"/>
        </w:rPr>
        <w:t> </w:t>
      </w:r>
      <w:r>
        <w:rPr>
          <w:color w:val="231F20"/>
        </w:rPr>
        <w:t>con</w:t>
      </w:r>
      <w:r>
        <w:rPr>
          <w:color w:val="231F20"/>
          <w:spacing w:val="-9"/>
        </w:rPr>
        <w:t> </w:t>
      </w:r>
      <w:r>
        <w:rPr>
          <w:color w:val="231F20"/>
        </w:rPr>
        <w:t>el</w:t>
      </w:r>
      <w:r>
        <w:rPr>
          <w:color w:val="231F20"/>
          <w:spacing w:val="-9"/>
        </w:rPr>
        <w:t> </w:t>
      </w:r>
      <w:r>
        <w:rPr>
          <w:color w:val="231F20"/>
        </w:rPr>
        <w:t>híbrido</w:t>
      </w:r>
      <w:r>
        <w:rPr>
          <w:color w:val="231F20"/>
          <w:spacing w:val="-9"/>
        </w:rPr>
        <w:t> </w:t>
      </w:r>
      <w:r>
        <w:rPr>
          <w:color w:val="231F20"/>
        </w:rPr>
        <w:t>trilineal</w:t>
      </w:r>
      <w:r>
        <w:rPr>
          <w:color w:val="231F20"/>
          <w:spacing w:val="-9"/>
        </w:rPr>
        <w:t> </w:t>
      </w:r>
      <w:r>
        <w:rPr>
          <w:color w:val="231F20"/>
        </w:rPr>
        <w:t>H-520</w:t>
      </w:r>
      <w:r>
        <w:rPr>
          <w:color w:val="231F20"/>
          <w:spacing w:val="-9"/>
        </w:rPr>
        <w:t> </w:t>
      </w:r>
      <w:r>
        <w:rPr>
          <w:color w:val="231F20"/>
        </w:rPr>
        <w:t>de</w:t>
      </w:r>
      <w:r>
        <w:rPr>
          <w:color w:val="231F20"/>
          <w:spacing w:val="-9"/>
        </w:rPr>
        <w:t> </w:t>
      </w:r>
      <w:r>
        <w:rPr>
          <w:color w:val="231F20"/>
        </w:rPr>
        <w:t>más</w:t>
      </w:r>
      <w:r>
        <w:rPr>
          <w:color w:val="231F20"/>
          <w:spacing w:val="-9"/>
        </w:rPr>
        <w:t> </w:t>
      </w:r>
      <w:r>
        <w:rPr>
          <w:color w:val="231F20"/>
        </w:rPr>
        <w:t>reciente</w:t>
      </w:r>
      <w:r>
        <w:rPr>
          <w:color w:val="231F20"/>
          <w:spacing w:val="-9"/>
        </w:rPr>
        <w:t> </w:t>
      </w:r>
      <w:r>
        <w:rPr>
          <w:color w:val="231F20"/>
        </w:rPr>
        <w:t>liberación</w:t>
      </w:r>
      <w:r>
        <w:rPr>
          <w:color w:val="231F20"/>
          <w:spacing w:val="-9"/>
        </w:rPr>
        <w:t> </w:t>
      </w:r>
      <w:r>
        <w:rPr>
          <w:color w:val="231F20"/>
        </w:rPr>
        <w:t>el</w:t>
      </w:r>
      <w:r>
        <w:rPr>
          <w:color w:val="231F20"/>
          <w:spacing w:val="-9"/>
        </w:rPr>
        <w:t> </w:t>
      </w:r>
      <w:r>
        <w:rPr>
          <w:color w:val="231F20"/>
        </w:rPr>
        <w:t>cual</w:t>
      </w:r>
      <w:r>
        <w:rPr>
          <w:color w:val="231F20"/>
          <w:spacing w:val="-9"/>
        </w:rPr>
        <w:t> </w:t>
      </w:r>
      <w:r>
        <w:rPr>
          <w:color w:val="231F20"/>
        </w:rPr>
        <w:t>registra</w:t>
      </w:r>
      <w:r>
        <w:rPr>
          <w:color w:val="231F20"/>
          <w:spacing w:val="-9"/>
        </w:rPr>
        <w:t> </w:t>
      </w:r>
      <w:r>
        <w:rPr>
          <w:color w:val="231F20"/>
        </w:rPr>
        <w:t>el</w:t>
      </w:r>
      <w:r>
        <w:rPr>
          <w:color w:val="231F20"/>
          <w:spacing w:val="-9"/>
        </w:rPr>
        <w:t> </w:t>
      </w:r>
      <w:r>
        <w:rPr>
          <w:color w:val="231F20"/>
        </w:rPr>
        <w:t>mayor</w:t>
      </w:r>
      <w:r>
        <w:rPr>
          <w:color w:val="231F20"/>
          <w:spacing w:val="-9"/>
        </w:rPr>
        <w:t> </w:t>
      </w:r>
      <w:r>
        <w:rPr>
          <w:color w:val="231F20"/>
        </w:rPr>
        <w:t>rendimiento</w:t>
      </w:r>
      <w:r>
        <w:rPr>
          <w:color w:val="231F20"/>
          <w:spacing w:val="-9"/>
        </w:rPr>
        <w:t> </w:t>
      </w:r>
      <w:r>
        <w:rPr>
          <w:color w:val="231F20"/>
        </w:rPr>
        <w:t>y en</w:t>
      </w:r>
      <w:r>
        <w:rPr>
          <w:color w:val="231F20"/>
          <w:spacing w:val="-12"/>
        </w:rPr>
        <w:t> </w:t>
      </w:r>
      <w:r>
        <w:rPr>
          <w:color w:val="231F20"/>
        </w:rPr>
        <w:t>la</w:t>
      </w:r>
      <w:r>
        <w:rPr>
          <w:color w:val="231F20"/>
          <w:spacing w:val="-12"/>
        </w:rPr>
        <w:t> </w:t>
      </w:r>
      <w:r>
        <w:rPr>
          <w:color w:val="231F20"/>
        </w:rPr>
        <w:t>producción</w:t>
      </w:r>
      <w:r>
        <w:rPr>
          <w:color w:val="231F20"/>
          <w:spacing w:val="-12"/>
        </w:rPr>
        <w:t> </w:t>
      </w:r>
      <w:r>
        <w:rPr>
          <w:color w:val="231F20"/>
        </w:rPr>
        <w:t>comercial</w:t>
      </w:r>
      <w:r>
        <w:rPr>
          <w:color w:val="231F20"/>
          <w:spacing w:val="-12"/>
        </w:rPr>
        <w:t> </w:t>
      </w:r>
      <w:r>
        <w:rPr>
          <w:color w:val="231F20"/>
        </w:rPr>
        <w:t>usa</w:t>
      </w:r>
      <w:r>
        <w:rPr>
          <w:color w:val="231F20"/>
          <w:spacing w:val="-12"/>
        </w:rPr>
        <w:t> </w:t>
      </w:r>
      <w:r>
        <w:rPr>
          <w:color w:val="231F20"/>
        </w:rPr>
        <w:t>como</w:t>
      </w:r>
      <w:r>
        <w:rPr>
          <w:color w:val="231F20"/>
          <w:spacing w:val="-12"/>
        </w:rPr>
        <w:t> </w:t>
      </w:r>
      <w:r>
        <w:rPr>
          <w:color w:val="231F20"/>
        </w:rPr>
        <w:t>progenitor</w:t>
      </w:r>
      <w:r>
        <w:rPr>
          <w:color w:val="231F20"/>
          <w:spacing w:val="-12"/>
        </w:rPr>
        <w:t> </w:t>
      </w:r>
      <w:r>
        <w:rPr>
          <w:color w:val="231F20"/>
        </w:rPr>
        <w:t>hembra</w:t>
      </w:r>
      <w:r>
        <w:rPr>
          <w:color w:val="231F20"/>
          <w:spacing w:val="-12"/>
        </w:rPr>
        <w:t> </w:t>
      </w:r>
      <w:r>
        <w:rPr>
          <w:color w:val="231F20"/>
        </w:rPr>
        <w:t>una</w:t>
      </w:r>
      <w:r>
        <w:rPr>
          <w:color w:val="231F20"/>
          <w:spacing w:val="-12"/>
        </w:rPr>
        <w:t> </w:t>
      </w:r>
      <w:r>
        <w:rPr>
          <w:color w:val="231F20"/>
        </w:rPr>
        <w:t>cruza</w:t>
      </w:r>
      <w:r>
        <w:rPr>
          <w:color w:val="231F20"/>
          <w:spacing w:val="-12"/>
        </w:rPr>
        <w:t> </w:t>
      </w:r>
      <w:r>
        <w:rPr>
          <w:color w:val="231F20"/>
        </w:rPr>
        <w:t>simple</w:t>
      </w:r>
      <w:r>
        <w:rPr>
          <w:color w:val="231F20"/>
          <w:spacing w:val="-12"/>
        </w:rPr>
        <w:t> </w:t>
      </w:r>
      <w:r>
        <w:rPr>
          <w:color w:val="231F20"/>
        </w:rPr>
        <w:t>de</w:t>
      </w:r>
      <w:r>
        <w:rPr>
          <w:color w:val="231F20"/>
          <w:spacing w:val="-12"/>
        </w:rPr>
        <w:t> </w:t>
      </w:r>
      <w:r>
        <w:rPr>
          <w:color w:val="231F20"/>
        </w:rPr>
        <w:t>alto</w:t>
      </w:r>
      <w:r>
        <w:rPr>
          <w:color w:val="231F20"/>
          <w:spacing w:val="-12"/>
        </w:rPr>
        <w:t> </w:t>
      </w:r>
      <w:r>
        <w:rPr>
          <w:color w:val="231F20"/>
          <w:spacing w:val="-2"/>
        </w:rPr>
        <w:t>rendimiento.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pPr>
    </w:p>
    <w:p>
      <w:pPr>
        <w:pStyle w:val="BodyText"/>
        <w:spacing w:line="247" w:lineRule="auto" w:before="73"/>
        <w:ind w:left="1270" w:right="1268"/>
        <w:jc w:val="both"/>
      </w:pPr>
      <w:r>
        <w:rPr/>
        <w:pict>
          <v:group style="position:absolute;margin-left:95.333572pt;margin-top:-174.60701pt;width:354.65pt;height:160.4pt;mso-position-horizontal-relative:page;mso-position-vertical-relative:paragraph;z-index:2608" coordorigin="1907,-3492" coordsize="7093,3208">
            <v:line style="position:absolute" from="2997,-1608" to="2997,-3326" stroked="true" strokeweight=".571067pt" strokecolor="#010202"/>
            <v:shape style="position:absolute;left:0;top:5433;width:80;height:3000" coordorigin="0,5433" coordsize="80,3000" path="m2952,-1608l2997,-1608m2952,-2043l2997,-2043m2952,-2467l2997,-2467m2952,-2902l2997,-2902m2952,-3326l2997,-3326e" filled="false" stroked="true" strokeweight=".57192pt" strokecolor="#010202">
              <v:path arrowok="t"/>
            </v:shape>
            <v:shape style="position:absolute;left:0;top:5353;width:7020;height:80" coordorigin="0,5353" coordsize="7020,80" path="m2997,-1608l7006,-1608m2997,-1608l2997,-1562m3569,-1608l3569,-1562m4140,-1608l4140,-1562m4711,-1608l4711,-1562m5293,-1608l5293,-1562m5864,-1608l5864,-1562m6435,-1608l6435,-1562m7006,-1608l7006,-1562e" filled="false" stroked="true" strokeweight=".57192pt" strokecolor="#010202">
              <v:path arrowok="t"/>
            </v:shape>
            <v:shape style="position:absolute;left:3283;top:-3280;width:3438;height:1020" coordorigin="3283,-3280" coordsize="3438,1020" path="m3283,-2822l3854,-2776,4425,-2261,5008,-3085,5579,-2684,6150,-2684,6721,-3280e" filled="false" stroked="true" strokeweight=".572635pt" strokecolor="#010202">
              <v:path arrowok="t"/>
            </v:shape>
            <v:shape style="position:absolute;left:-317500;top:5433;width:317500;height:317500" coordorigin="-317500,5433" coordsize="317500,317500" path="m3312,-2793l3254,-2851m3283,-2851l3283,-2793m3254,-2793l3312,-2851e" filled="false" stroked="true" strokeweight=".572548pt" strokecolor="#010202">
              <v:path arrowok="t"/>
            </v:shape>
            <v:shape style="position:absolute;left:-317500;top:5433;width:317500;height:317500" coordorigin="-317500,5433" coordsize="317500,317500" path="m3883,-2747l3826,-2805m3854,-2805l3854,-2747m3826,-2747l3883,-2805e" filled="false" stroked="true" strokeweight=".572548pt" strokecolor="#010202">
              <v:path arrowok="t"/>
            </v:shape>
            <v:shape style="position:absolute;left:-317500;top:5433;width:317500;height:317500" coordorigin="-317500,5433" coordsize="317500,317500" path="m4454,-2232l4397,-2289m4425,-2289l4425,-2232m4397,-2232l4454,-2289e" filled="false" stroked="true" strokeweight=".572548pt" strokecolor="#010202">
              <v:path arrowok="t"/>
            </v:shape>
            <v:shape style="position:absolute;left:-317500;top:5433;width:317500;height:317500" coordorigin="-317500,5433" coordsize="317500,317500" path="m5036,-3057l4979,-3114m5008,-3114l5008,-3057m4979,-3057l5036,-3114e" filled="false" stroked="true" strokeweight=".572548pt" strokecolor="#010202">
              <v:path arrowok="t"/>
            </v:shape>
            <v:shape style="position:absolute;left:-317500;top:5433;width:317500;height:317500" coordorigin="-317500,5433" coordsize="317500,317500" path="m5607,-2656l5550,-2713m5579,-2713l5579,-2656m5550,-2656l5607,-2713e" filled="false" stroked="true" strokeweight=".572548pt" strokecolor="#010202">
              <v:path arrowok="t"/>
            </v:shape>
            <v:shape style="position:absolute;left:-317500;top:5433;width:317500;height:317500" coordorigin="-317500,5433" coordsize="317500,317500" path="m6178,-2656l6121,-2713m6150,-2713l6150,-2656m6121,-2656l6178,-2713e" filled="false" stroked="true" strokeweight=".572548pt" strokecolor="#010202">
              <v:path arrowok="t"/>
            </v:shape>
            <v:shape style="position:absolute;left:-317500;top:5433;width:317500;height:317500" coordorigin="-317500,5433" coordsize="317500,317500" path="m6749,-3252l6692,-3309m6721,-3309l6721,-3252m6692,-3252l6749,-3309e" filled="false" stroked="true" strokeweight=".572548pt" strokecolor="#010202">
              <v:path arrowok="t"/>
            </v:shape>
            <v:rect style="position:absolute;left:3249;top:-2673;width:46;height:46" filled="false" stroked="true" strokeweight=".572545pt" strokecolor="#010202"/>
            <v:rect style="position:absolute;left:6687;top:-2971;width:46;height:46" filled="false" stroked="true" strokeweight=".572545pt" strokecolor="#010202"/>
            <v:line style="position:absolute" from="3283,-2639" to="6721,-2937" stroked="true" strokeweight=".573338pt" strokecolor="#010202">
              <v:stroke dashstyle="longDash"/>
            </v:line>
            <v:line style="position:absolute" from="6801,-2387" to="7189,-2387" stroked="true" strokeweight=".572773pt" strokecolor="#010202"/>
            <v:shape style="position:absolute;left:-317500;top:5433;width:317500;height:317500" coordorigin="-317500,5433" coordsize="317500,317500" path="m7029,-2352l6972,-2410m6995,-2410l6995,-2352m6972,-2352l7029,-2410e" filled="false" stroked="true" strokeweight=".572548pt" strokecolor="#010202">
              <v:path arrowok="t"/>
            </v:shape>
            <v:line style="position:absolute" from="6801,-1928" to="7189,-1928" stroked="true" strokeweight=".573311pt" strokecolor="#010202"/>
            <v:rect style="position:absolute;left:1918;top:-3481;width:7070;height:3185" filled="false" stroked="true" strokeweight="1.144972pt" strokecolor="#010202"/>
            <v:shape style="position:absolute;left:6584;top:-2616;width:2136;height:905" type="#_x0000_t202" filled="false" stroked="true" strokeweight=".572515pt" strokecolor="#010202">
              <v:textbox inset="0,0,0,0">
                <w:txbxContent>
                  <w:p>
                    <w:pPr>
                      <w:spacing w:line="240" w:lineRule="auto" w:before="5"/>
                      <w:rPr>
                        <w:sz w:val="11"/>
                      </w:rPr>
                    </w:pPr>
                  </w:p>
                  <w:p>
                    <w:pPr>
                      <w:spacing w:before="0"/>
                      <w:ind w:left="650" w:right="0" w:firstLine="0"/>
                      <w:jc w:val="left"/>
                      <w:rPr>
                        <w:rFonts w:ascii="Arial" w:hAnsi="Arial"/>
                        <w:b/>
                        <w:sz w:val="15"/>
                      </w:rPr>
                    </w:pPr>
                    <w:r>
                      <w:rPr>
                        <w:rFonts w:ascii="Arial" w:hAnsi="Arial"/>
                        <w:b/>
                        <w:color w:val="010202"/>
                        <w:sz w:val="15"/>
                      </w:rPr>
                      <w:t>Híbridos</w:t>
                    </w:r>
                  </w:p>
                  <w:p>
                    <w:pPr>
                      <w:spacing w:line="240" w:lineRule="auto" w:before="0"/>
                      <w:rPr>
                        <w:sz w:val="14"/>
                      </w:rPr>
                    </w:pPr>
                  </w:p>
                  <w:p>
                    <w:pPr>
                      <w:spacing w:line="240" w:lineRule="auto" w:before="11"/>
                      <w:rPr>
                        <w:sz w:val="10"/>
                      </w:rPr>
                    </w:pPr>
                  </w:p>
                  <w:p>
                    <w:pPr>
                      <w:tabs>
                        <w:tab w:pos="650" w:val="left" w:leader="none"/>
                      </w:tabs>
                      <w:spacing w:before="0"/>
                      <w:ind w:left="211" w:right="0" w:firstLine="0"/>
                      <w:jc w:val="left"/>
                      <w:rPr>
                        <w:rFonts w:ascii="Arial" w:hAnsi="Arial"/>
                        <w:b/>
                        <w:sz w:val="15"/>
                      </w:rPr>
                    </w:pPr>
                    <w:r>
                      <w:rPr>
                        <w:rFonts w:ascii="Arial" w:hAnsi="Arial"/>
                        <w:b/>
                        <w:color w:val="010202"/>
                        <w:w w:val="99"/>
                        <w:sz w:val="15"/>
                      </w:rPr>
                      <w:t> </w:t>
                    </w:r>
                    <w:r>
                      <w:rPr>
                        <w:rFonts w:ascii="Arial" w:hAnsi="Arial"/>
                        <w:b/>
                        <w:color w:val="010202"/>
                        <w:sz w:val="15"/>
                      </w:rPr>
                      <w:tab/>
                    </w:r>
                    <w:r>
                      <w:rPr>
                        <w:rFonts w:ascii="Arial" w:hAnsi="Arial"/>
                        <w:b/>
                        <w:color w:val="010202"/>
                        <w:w w:val="95"/>
                        <w:sz w:val="15"/>
                      </w:rPr>
                      <w:t>Lineal</w:t>
                    </w:r>
                    <w:r>
                      <w:rPr>
                        <w:rFonts w:ascii="Arial" w:hAnsi="Arial"/>
                        <w:b/>
                        <w:color w:val="010202"/>
                        <w:spacing w:val="34"/>
                        <w:w w:val="95"/>
                        <w:sz w:val="15"/>
                      </w:rPr>
                      <w:t> </w:t>
                    </w:r>
                    <w:r>
                      <w:rPr>
                        <w:rFonts w:ascii="Arial" w:hAnsi="Arial"/>
                        <w:b/>
                        <w:color w:val="010202"/>
                        <w:w w:val="95"/>
                        <w:sz w:val="15"/>
                      </w:rPr>
                      <w:t>(Regresión)</w:t>
                    </w:r>
                  </w:p>
                </w:txbxContent>
              </v:textbox>
              <w10:wrap type="none"/>
            </v:shape>
            <v:shape style="position:absolute;left:2781;top:-3404;width:83;height:150" type="#_x0000_t202" filled="false" stroked="false">
              <v:textbox inset="0,0,0,0">
                <w:txbxContent>
                  <w:p>
                    <w:pPr>
                      <w:spacing w:line="149" w:lineRule="exact" w:before="0"/>
                      <w:ind w:left="0" w:right="0" w:firstLine="0"/>
                      <w:jc w:val="left"/>
                      <w:rPr>
                        <w:rFonts w:ascii="Arial"/>
                        <w:b/>
                        <w:sz w:val="15"/>
                      </w:rPr>
                    </w:pPr>
                    <w:r>
                      <w:rPr>
                        <w:rFonts w:ascii="Arial"/>
                        <w:b/>
                        <w:color w:val="010202"/>
                        <w:w w:val="99"/>
                        <w:sz w:val="15"/>
                      </w:rPr>
                      <w:t>9</w:t>
                    </w:r>
                  </w:p>
                </w:txbxContent>
              </v:textbox>
              <w10:wrap type="none"/>
            </v:shape>
            <v:shape style="position:absolute;left:2781;top:-2973;width:83;height:150" type="#_x0000_t202" filled="false" stroked="false">
              <v:textbox inset="0,0,0,0">
                <w:txbxContent>
                  <w:p>
                    <w:pPr>
                      <w:spacing w:line="149" w:lineRule="exact" w:before="0"/>
                      <w:ind w:left="0" w:right="0" w:firstLine="0"/>
                      <w:jc w:val="left"/>
                      <w:rPr>
                        <w:rFonts w:ascii="Arial"/>
                        <w:b/>
                        <w:sz w:val="15"/>
                      </w:rPr>
                    </w:pPr>
                    <w:r>
                      <w:rPr>
                        <w:rFonts w:ascii="Arial"/>
                        <w:b/>
                        <w:color w:val="010202"/>
                        <w:w w:val="99"/>
                        <w:sz w:val="15"/>
                      </w:rPr>
                      <w:t>8</w:t>
                    </w:r>
                  </w:p>
                </w:txbxContent>
              </v:textbox>
              <w10:wrap type="none"/>
            </v:shape>
            <v:shape style="position:absolute;left:2781;top:-2542;width:83;height:150" type="#_x0000_t202" filled="false" stroked="false">
              <v:textbox inset="0,0,0,0">
                <w:txbxContent>
                  <w:p>
                    <w:pPr>
                      <w:spacing w:line="149" w:lineRule="exact" w:before="0"/>
                      <w:ind w:left="0" w:right="0" w:firstLine="0"/>
                      <w:jc w:val="left"/>
                      <w:rPr>
                        <w:rFonts w:ascii="Arial"/>
                        <w:b/>
                        <w:sz w:val="15"/>
                      </w:rPr>
                    </w:pPr>
                    <w:r>
                      <w:rPr>
                        <w:rFonts w:ascii="Arial"/>
                        <w:b/>
                        <w:color w:val="010202"/>
                        <w:w w:val="99"/>
                        <w:sz w:val="15"/>
                      </w:rPr>
                      <w:t>7</w:t>
                    </w:r>
                  </w:p>
                </w:txbxContent>
              </v:textbox>
              <w10:wrap type="none"/>
            </v:shape>
            <v:shape style="position:absolute;left:2781;top:-2111;width:83;height:150" type="#_x0000_t202" filled="false" stroked="false">
              <v:textbox inset="0,0,0,0">
                <w:txbxContent>
                  <w:p>
                    <w:pPr>
                      <w:spacing w:line="149" w:lineRule="exact" w:before="0"/>
                      <w:ind w:left="0" w:right="0" w:firstLine="0"/>
                      <w:jc w:val="left"/>
                      <w:rPr>
                        <w:rFonts w:ascii="Arial"/>
                        <w:b/>
                        <w:sz w:val="15"/>
                      </w:rPr>
                    </w:pPr>
                    <w:r>
                      <w:rPr>
                        <w:rFonts w:ascii="Arial"/>
                        <w:b/>
                        <w:color w:val="010202"/>
                        <w:w w:val="99"/>
                        <w:sz w:val="15"/>
                      </w:rPr>
                      <w:t>6</w:t>
                    </w:r>
                  </w:p>
                </w:txbxContent>
              </v:textbox>
              <w10:wrap type="none"/>
            </v:shape>
            <v:shape style="position:absolute;left:2781;top:-1680;width:83;height:150" type="#_x0000_t202" filled="false" stroked="false">
              <v:textbox inset="0,0,0,0">
                <w:txbxContent>
                  <w:p>
                    <w:pPr>
                      <w:spacing w:line="149" w:lineRule="exact" w:before="0"/>
                      <w:ind w:left="0" w:right="0" w:firstLine="0"/>
                      <w:jc w:val="left"/>
                      <w:rPr>
                        <w:rFonts w:ascii="Arial"/>
                        <w:b/>
                        <w:sz w:val="15"/>
                      </w:rPr>
                    </w:pPr>
                    <w:r>
                      <w:rPr>
                        <w:rFonts w:ascii="Arial"/>
                        <w:b/>
                        <w:color w:val="010202"/>
                        <w:w w:val="99"/>
                        <w:sz w:val="15"/>
                      </w:rPr>
                      <w:t>5</w:t>
                    </w:r>
                  </w:p>
                </w:txbxContent>
              </v:textbox>
              <w10:wrap type="none"/>
            </v:shape>
            <v:shape style="position:absolute;left:3115;top:-1497;width:332;height:150" type="#_x0000_t202" filled="false" stroked="false">
              <v:textbox inset="0,0,0,0">
                <w:txbxContent>
                  <w:p>
                    <w:pPr>
                      <w:spacing w:line="149" w:lineRule="exact" w:before="0"/>
                      <w:ind w:left="0" w:right="-5" w:firstLine="0"/>
                      <w:jc w:val="left"/>
                      <w:rPr>
                        <w:rFonts w:ascii="Arial"/>
                        <w:b/>
                        <w:sz w:val="15"/>
                      </w:rPr>
                    </w:pPr>
                    <w:r>
                      <w:rPr>
                        <w:rFonts w:ascii="Arial"/>
                        <w:b/>
                        <w:color w:val="010202"/>
                        <w:w w:val="95"/>
                        <w:sz w:val="15"/>
                      </w:rPr>
                      <w:t>1955</w:t>
                    </w:r>
                  </w:p>
                </w:txbxContent>
              </v:textbox>
              <w10:wrap type="none"/>
            </v:shape>
            <v:shape style="position:absolute;left:3689;top:-1497;width:332;height:150" type="#_x0000_t202" filled="false" stroked="false">
              <v:textbox inset="0,0,0,0">
                <w:txbxContent>
                  <w:p>
                    <w:pPr>
                      <w:spacing w:line="149" w:lineRule="exact" w:before="0"/>
                      <w:ind w:left="0" w:right="-5" w:firstLine="0"/>
                      <w:jc w:val="left"/>
                      <w:rPr>
                        <w:rFonts w:ascii="Arial"/>
                        <w:b/>
                        <w:sz w:val="15"/>
                      </w:rPr>
                    </w:pPr>
                    <w:r>
                      <w:rPr>
                        <w:rFonts w:ascii="Arial"/>
                        <w:b/>
                        <w:color w:val="010202"/>
                        <w:w w:val="95"/>
                        <w:sz w:val="15"/>
                      </w:rPr>
                      <w:t>1961</w:t>
                    </w:r>
                  </w:p>
                </w:txbxContent>
              </v:textbox>
              <w10:wrap type="none"/>
            </v:shape>
            <v:shape style="position:absolute;left:4264;top:-1497;width:332;height:150" type="#_x0000_t202" filled="false" stroked="false">
              <v:textbox inset="0,0,0,0">
                <w:txbxContent>
                  <w:p>
                    <w:pPr>
                      <w:spacing w:line="149" w:lineRule="exact" w:before="0"/>
                      <w:ind w:left="0" w:right="-5" w:firstLine="0"/>
                      <w:jc w:val="left"/>
                      <w:rPr>
                        <w:rFonts w:ascii="Arial"/>
                        <w:b/>
                        <w:sz w:val="15"/>
                      </w:rPr>
                    </w:pPr>
                    <w:r>
                      <w:rPr>
                        <w:rFonts w:ascii="Arial"/>
                        <w:b/>
                        <w:color w:val="010202"/>
                        <w:w w:val="95"/>
                        <w:sz w:val="15"/>
                      </w:rPr>
                      <w:t>1975</w:t>
                    </w:r>
                  </w:p>
                </w:txbxContent>
              </v:textbox>
              <w10:wrap type="none"/>
            </v:shape>
            <v:shape style="position:absolute;left:4838;top:-1497;width:332;height:150" type="#_x0000_t202" filled="false" stroked="false">
              <v:textbox inset="0,0,0,0">
                <w:txbxContent>
                  <w:p>
                    <w:pPr>
                      <w:spacing w:line="149" w:lineRule="exact" w:before="0"/>
                      <w:ind w:left="0" w:right="-5" w:firstLine="0"/>
                      <w:jc w:val="left"/>
                      <w:rPr>
                        <w:rFonts w:ascii="Arial"/>
                        <w:b/>
                        <w:sz w:val="15"/>
                      </w:rPr>
                    </w:pPr>
                    <w:r>
                      <w:rPr>
                        <w:rFonts w:ascii="Arial"/>
                        <w:b/>
                        <w:color w:val="010202"/>
                        <w:w w:val="95"/>
                        <w:sz w:val="15"/>
                      </w:rPr>
                      <w:t>1981</w:t>
                    </w:r>
                  </w:p>
                </w:txbxContent>
              </v:textbox>
              <w10:wrap type="none"/>
            </v:shape>
            <v:shape style="position:absolute;left:5413;top:-1497;width:332;height:150" type="#_x0000_t202" filled="false" stroked="false">
              <v:textbox inset="0,0,0,0">
                <w:txbxContent>
                  <w:p>
                    <w:pPr>
                      <w:spacing w:line="149" w:lineRule="exact" w:before="0"/>
                      <w:ind w:left="0" w:right="-5" w:firstLine="0"/>
                      <w:jc w:val="left"/>
                      <w:rPr>
                        <w:rFonts w:ascii="Arial"/>
                        <w:b/>
                        <w:sz w:val="15"/>
                      </w:rPr>
                    </w:pPr>
                    <w:r>
                      <w:rPr>
                        <w:rFonts w:ascii="Arial"/>
                        <w:b/>
                        <w:color w:val="010202"/>
                        <w:w w:val="95"/>
                        <w:sz w:val="15"/>
                      </w:rPr>
                      <w:t>1992</w:t>
                    </w:r>
                  </w:p>
                </w:txbxContent>
              </v:textbox>
              <w10:wrap type="none"/>
            </v:shape>
            <v:shape style="position:absolute;left:5987;top:-1497;width:332;height:150" type="#_x0000_t202" filled="false" stroked="false">
              <v:textbox inset="0,0,0,0">
                <w:txbxContent>
                  <w:p>
                    <w:pPr>
                      <w:spacing w:line="149" w:lineRule="exact" w:before="0"/>
                      <w:ind w:left="0" w:right="-5" w:firstLine="0"/>
                      <w:jc w:val="left"/>
                      <w:rPr>
                        <w:rFonts w:ascii="Arial"/>
                        <w:b/>
                        <w:sz w:val="15"/>
                      </w:rPr>
                    </w:pPr>
                    <w:r>
                      <w:rPr>
                        <w:rFonts w:ascii="Arial"/>
                        <w:b/>
                        <w:color w:val="010202"/>
                        <w:w w:val="95"/>
                        <w:sz w:val="15"/>
                      </w:rPr>
                      <w:t>1994</w:t>
                    </w:r>
                  </w:p>
                </w:txbxContent>
              </v:textbox>
              <w10:wrap type="none"/>
            </v:shape>
            <v:shape style="position:absolute;left:6562;top:-1497;width:332;height:150" type="#_x0000_t202" filled="false" stroked="false">
              <v:textbox inset="0,0,0,0">
                <w:txbxContent>
                  <w:p>
                    <w:pPr>
                      <w:spacing w:line="149" w:lineRule="exact" w:before="0"/>
                      <w:ind w:left="0" w:right="-5" w:firstLine="0"/>
                      <w:jc w:val="left"/>
                      <w:rPr>
                        <w:rFonts w:ascii="Arial"/>
                        <w:b/>
                        <w:sz w:val="15"/>
                      </w:rPr>
                    </w:pPr>
                    <w:r>
                      <w:rPr>
                        <w:rFonts w:ascii="Arial"/>
                        <w:b/>
                        <w:color w:val="010202"/>
                        <w:w w:val="95"/>
                        <w:sz w:val="15"/>
                      </w:rPr>
                      <w:t>2004</w:t>
                    </w:r>
                  </w:p>
                </w:txbxContent>
              </v:textbox>
              <w10:wrap type="none"/>
            </v:shape>
            <v:shape style="position:absolute;left:2886;top:-773;width:5242;height:368" type="#_x0000_t202" filled="false" stroked="false">
              <v:textbox inset="0,0,0,0">
                <w:txbxContent>
                  <w:p>
                    <w:pPr>
                      <w:spacing w:line="176" w:lineRule="exact" w:before="0"/>
                      <w:ind w:left="0" w:right="0" w:firstLine="0"/>
                      <w:jc w:val="center"/>
                      <w:rPr>
                        <w:rFonts w:ascii="Arial" w:hAnsi="Arial"/>
                        <w:b/>
                        <w:sz w:val="17"/>
                      </w:rPr>
                    </w:pPr>
                    <w:r>
                      <w:rPr>
                        <w:rFonts w:ascii="Arial" w:hAnsi="Arial"/>
                        <w:b/>
                        <w:color w:val="010202"/>
                        <w:sz w:val="17"/>
                      </w:rPr>
                      <w:t>Figura 2. Progreso del </w:t>
                    </w:r>
                    <w:r>
                      <w:rPr>
                        <w:rFonts w:ascii="Arial" w:hAnsi="Arial"/>
                        <w:b/>
                        <w:color w:val="010202"/>
                        <w:spacing w:val="-3"/>
                        <w:sz w:val="17"/>
                      </w:rPr>
                      <w:t>mejoramiento  </w:t>
                    </w:r>
                    <w:r>
                      <w:rPr>
                        <w:rFonts w:ascii="Arial" w:hAnsi="Arial"/>
                        <w:b/>
                        <w:color w:val="010202"/>
                        <w:sz w:val="17"/>
                      </w:rPr>
                      <w:t>de híbridos de </w:t>
                    </w:r>
                    <w:r>
                      <w:rPr>
                        <w:rFonts w:ascii="Arial" w:hAnsi="Arial"/>
                        <w:b/>
                        <w:color w:val="010202"/>
                        <w:spacing w:val="-6"/>
                        <w:sz w:val="17"/>
                      </w:rPr>
                      <w:t>maíz  </w:t>
                    </w:r>
                    <w:r>
                      <w:rPr>
                        <w:rFonts w:ascii="Arial" w:hAnsi="Arial"/>
                        <w:b/>
                        <w:color w:val="010202"/>
                        <w:sz w:val="17"/>
                      </w:rPr>
                      <w:t>para </w:t>
                    </w:r>
                    <w:r>
                      <w:rPr>
                        <w:rFonts w:ascii="Arial" w:hAnsi="Arial"/>
                        <w:b/>
                        <w:color w:val="010202"/>
                        <w:spacing w:val="3"/>
                        <w:sz w:val="17"/>
                      </w:rPr>
                      <w:t>el</w:t>
                    </w:r>
                  </w:p>
                  <w:p>
                    <w:pPr>
                      <w:spacing w:line="192" w:lineRule="exact" w:before="0"/>
                      <w:ind w:left="0" w:right="0" w:firstLine="0"/>
                      <w:jc w:val="center"/>
                      <w:rPr>
                        <w:rFonts w:ascii="Arial" w:hAnsi="Arial"/>
                        <w:b/>
                        <w:sz w:val="17"/>
                      </w:rPr>
                    </w:pPr>
                    <w:r>
                      <w:rPr>
                        <w:rFonts w:ascii="Arial" w:hAnsi="Arial"/>
                        <w:b/>
                        <w:color w:val="010202"/>
                        <w:sz w:val="17"/>
                      </w:rPr>
                      <w:t>trópico mexicano</w:t>
                    </w:r>
                  </w:p>
                </w:txbxContent>
              </v:textbox>
              <w10:wrap type="none"/>
            </v:shape>
            <w10:wrap type="none"/>
          </v:group>
        </w:pict>
      </w:r>
      <w:r>
        <w:rPr>
          <w:color w:val="231F20"/>
        </w:rPr>
        <w:t>VS-536.</w:t>
      </w:r>
      <w:r>
        <w:rPr>
          <w:color w:val="231F20"/>
          <w:spacing w:val="-9"/>
        </w:rPr>
        <w:t> </w:t>
      </w:r>
      <w:r>
        <w:rPr>
          <w:color w:val="231F20"/>
        </w:rPr>
        <w:t>La</w:t>
      </w:r>
      <w:r>
        <w:rPr>
          <w:color w:val="231F20"/>
          <w:spacing w:val="-9"/>
        </w:rPr>
        <w:t> </w:t>
      </w:r>
      <w:r>
        <w:rPr>
          <w:color w:val="231F20"/>
        </w:rPr>
        <w:t>variedad</w:t>
      </w:r>
      <w:r>
        <w:rPr>
          <w:color w:val="231F20"/>
          <w:spacing w:val="-9"/>
        </w:rPr>
        <w:t> </w:t>
      </w:r>
      <w:r>
        <w:rPr>
          <w:color w:val="231F20"/>
        </w:rPr>
        <w:t>sintética</w:t>
      </w:r>
      <w:r>
        <w:rPr>
          <w:color w:val="231F20"/>
          <w:spacing w:val="-13"/>
        </w:rPr>
        <w:t> </w:t>
      </w:r>
      <w:r>
        <w:rPr>
          <w:color w:val="231F20"/>
        </w:rPr>
        <w:t>VS-536,</w:t>
      </w:r>
      <w:r>
        <w:rPr>
          <w:color w:val="231F20"/>
          <w:spacing w:val="-9"/>
        </w:rPr>
        <w:t> </w:t>
      </w:r>
      <w:r>
        <w:rPr>
          <w:color w:val="231F20"/>
        </w:rPr>
        <w:t>presenta</w:t>
      </w:r>
      <w:r>
        <w:rPr>
          <w:color w:val="231F20"/>
          <w:spacing w:val="-9"/>
        </w:rPr>
        <w:t> </w:t>
      </w:r>
      <w:r>
        <w:rPr>
          <w:color w:val="231F20"/>
        </w:rPr>
        <w:t>buen</w:t>
      </w:r>
      <w:r>
        <w:rPr>
          <w:color w:val="231F20"/>
          <w:spacing w:val="-9"/>
        </w:rPr>
        <w:t> </w:t>
      </w:r>
      <w:r>
        <w:rPr>
          <w:color w:val="231F20"/>
        </w:rPr>
        <w:t>rendimiento</w:t>
      </w:r>
      <w:r>
        <w:rPr>
          <w:color w:val="231F20"/>
          <w:spacing w:val="-9"/>
        </w:rPr>
        <w:t> </w:t>
      </w:r>
      <w:r>
        <w:rPr>
          <w:color w:val="231F20"/>
        </w:rPr>
        <w:t>y</w:t>
      </w:r>
      <w:r>
        <w:rPr>
          <w:color w:val="231F20"/>
          <w:spacing w:val="-9"/>
        </w:rPr>
        <w:t> </w:t>
      </w:r>
      <w:r>
        <w:rPr>
          <w:color w:val="231F20"/>
        </w:rPr>
        <w:t>adaptación</w:t>
      </w:r>
      <w:r>
        <w:rPr>
          <w:color w:val="231F20"/>
          <w:spacing w:val="-10"/>
        </w:rPr>
        <w:t> </w:t>
      </w:r>
      <w:r>
        <w:rPr>
          <w:color w:val="231F20"/>
        </w:rPr>
        <w:t>en</w:t>
      </w:r>
      <w:r>
        <w:rPr>
          <w:color w:val="231F20"/>
          <w:spacing w:val="-9"/>
        </w:rPr>
        <w:t> </w:t>
      </w:r>
      <w:r>
        <w:rPr>
          <w:color w:val="231F20"/>
        </w:rPr>
        <w:t>el</w:t>
      </w:r>
      <w:r>
        <w:rPr>
          <w:color w:val="231F20"/>
          <w:spacing w:val="-9"/>
        </w:rPr>
        <w:t> </w:t>
      </w:r>
      <w:r>
        <w:rPr>
          <w:color w:val="231F20"/>
        </w:rPr>
        <w:t>sureste</w:t>
      </w:r>
      <w:r>
        <w:rPr>
          <w:color w:val="231F20"/>
          <w:spacing w:val="-9"/>
        </w:rPr>
        <w:t> </w:t>
      </w:r>
      <w:r>
        <w:rPr>
          <w:color w:val="231F20"/>
        </w:rPr>
        <w:t>mexica- no, con un potencial de rendimiento de 6.0 t /ha. presenta un ciclo vegetativo intermedio con 52-55 días a la floración, 90 días a madurez fisiológica y 120 días a cosecha, altura de planta y mazorca intermedia lo que le permite adaptación a los diferentes sistemas de producción y tolerancia al aca- me,</w:t>
      </w:r>
      <w:r>
        <w:rPr>
          <w:color w:val="231F20"/>
          <w:spacing w:val="-8"/>
        </w:rPr>
        <w:t> </w:t>
      </w:r>
      <w:r>
        <w:rPr>
          <w:color w:val="231F20"/>
        </w:rPr>
        <w:t>presenta</w:t>
      </w:r>
      <w:r>
        <w:rPr>
          <w:color w:val="231F20"/>
          <w:spacing w:val="-8"/>
        </w:rPr>
        <w:t> </w:t>
      </w:r>
      <w:r>
        <w:rPr>
          <w:color w:val="231F20"/>
        </w:rPr>
        <w:t>buena</w:t>
      </w:r>
      <w:r>
        <w:rPr>
          <w:color w:val="231F20"/>
          <w:spacing w:val="-8"/>
        </w:rPr>
        <w:t> </w:t>
      </w:r>
      <w:r>
        <w:rPr>
          <w:color w:val="231F20"/>
        </w:rPr>
        <w:t>cobertura</w:t>
      </w:r>
      <w:r>
        <w:rPr>
          <w:color w:val="231F20"/>
          <w:spacing w:val="-8"/>
        </w:rPr>
        <w:t> </w:t>
      </w:r>
      <w:r>
        <w:rPr>
          <w:color w:val="231F20"/>
        </w:rPr>
        <w:t>de</w:t>
      </w:r>
      <w:r>
        <w:rPr>
          <w:color w:val="231F20"/>
          <w:spacing w:val="-8"/>
        </w:rPr>
        <w:t> </w:t>
      </w:r>
      <w:r>
        <w:rPr>
          <w:color w:val="231F20"/>
        </w:rPr>
        <w:t>mazorca</w:t>
      </w:r>
      <w:r>
        <w:rPr>
          <w:color w:val="231F20"/>
          <w:spacing w:val="-8"/>
        </w:rPr>
        <w:t> </w:t>
      </w:r>
      <w:r>
        <w:rPr>
          <w:color w:val="231F20"/>
        </w:rPr>
        <w:t>y</w:t>
      </w:r>
      <w:r>
        <w:rPr>
          <w:color w:val="231F20"/>
          <w:spacing w:val="-8"/>
        </w:rPr>
        <w:t> </w:t>
      </w:r>
      <w:r>
        <w:rPr>
          <w:color w:val="231F20"/>
        </w:rPr>
        <w:t>es</w:t>
      </w:r>
      <w:r>
        <w:rPr>
          <w:color w:val="231F20"/>
          <w:spacing w:val="-8"/>
        </w:rPr>
        <w:t> </w:t>
      </w:r>
      <w:r>
        <w:rPr>
          <w:color w:val="231F20"/>
        </w:rPr>
        <w:t>tolerante</w:t>
      </w:r>
      <w:r>
        <w:rPr>
          <w:color w:val="231F20"/>
          <w:spacing w:val="-8"/>
        </w:rPr>
        <w:t> </w:t>
      </w:r>
      <w:r>
        <w:rPr>
          <w:color w:val="231F20"/>
        </w:rPr>
        <w:t>a</w:t>
      </w:r>
      <w:r>
        <w:rPr>
          <w:color w:val="231F20"/>
          <w:spacing w:val="-8"/>
        </w:rPr>
        <w:t> </w:t>
      </w:r>
      <w:r>
        <w:rPr>
          <w:color w:val="231F20"/>
        </w:rPr>
        <w:t>las</w:t>
      </w:r>
      <w:r>
        <w:rPr>
          <w:color w:val="231F20"/>
          <w:spacing w:val="-8"/>
        </w:rPr>
        <w:t> </w:t>
      </w:r>
      <w:r>
        <w:rPr>
          <w:color w:val="231F20"/>
        </w:rPr>
        <w:t>principales</w:t>
      </w:r>
      <w:r>
        <w:rPr>
          <w:color w:val="231F20"/>
          <w:spacing w:val="-8"/>
        </w:rPr>
        <w:t> </w:t>
      </w:r>
      <w:r>
        <w:rPr>
          <w:color w:val="231F20"/>
        </w:rPr>
        <w:t>enfermedades</w:t>
      </w:r>
      <w:r>
        <w:rPr>
          <w:color w:val="231F20"/>
          <w:spacing w:val="-8"/>
        </w:rPr>
        <w:t> </w:t>
      </w:r>
      <w:r>
        <w:rPr>
          <w:color w:val="231F20"/>
        </w:rPr>
        <w:t>de</w:t>
      </w:r>
      <w:r>
        <w:rPr>
          <w:color w:val="231F20"/>
          <w:spacing w:val="-8"/>
        </w:rPr>
        <w:t> </w:t>
      </w:r>
      <w:r>
        <w:rPr>
          <w:color w:val="231F20"/>
        </w:rPr>
        <w:t>planta</w:t>
      </w:r>
      <w:r>
        <w:rPr>
          <w:color w:val="231F20"/>
          <w:spacing w:val="-8"/>
        </w:rPr>
        <w:t> </w:t>
      </w:r>
      <w:r>
        <w:rPr>
          <w:color w:val="231F20"/>
        </w:rPr>
        <w:t>y</w:t>
      </w:r>
      <w:r>
        <w:rPr>
          <w:color w:val="231F20"/>
          <w:spacing w:val="-8"/>
        </w:rPr>
        <w:t> </w:t>
      </w:r>
      <w:r>
        <w:rPr>
          <w:color w:val="231F20"/>
        </w:rPr>
        <w:t>de mazorca, es de grano blanco, textura semidentada, buena calidad nixtamalera y</w:t>
      </w:r>
      <w:r>
        <w:rPr>
          <w:color w:val="231F20"/>
          <w:spacing w:val="-15"/>
        </w:rPr>
        <w:t> </w:t>
      </w:r>
      <w:r>
        <w:rPr>
          <w:color w:val="231F20"/>
        </w:rPr>
        <w:t>harinera.</w:t>
      </w:r>
    </w:p>
    <w:p>
      <w:pPr>
        <w:pStyle w:val="BodyText"/>
        <w:spacing w:before="10"/>
      </w:pPr>
    </w:p>
    <w:p>
      <w:pPr>
        <w:pStyle w:val="BodyText"/>
        <w:spacing w:line="247" w:lineRule="auto"/>
        <w:ind w:left="1270" w:right="1268"/>
        <w:jc w:val="both"/>
      </w:pPr>
      <w:r>
        <w:rPr>
          <w:color w:val="231F20"/>
        </w:rPr>
        <w:t>H-520.</w:t>
      </w:r>
      <w:r>
        <w:rPr>
          <w:color w:val="231F20"/>
          <w:spacing w:val="-7"/>
        </w:rPr>
        <w:t> </w:t>
      </w:r>
      <w:r>
        <w:rPr>
          <w:color w:val="231F20"/>
        </w:rPr>
        <w:t>El</w:t>
      </w:r>
      <w:r>
        <w:rPr>
          <w:color w:val="231F20"/>
          <w:spacing w:val="-7"/>
        </w:rPr>
        <w:t> </w:t>
      </w:r>
      <w:r>
        <w:rPr>
          <w:color w:val="231F20"/>
        </w:rPr>
        <w:t>híbrido</w:t>
      </w:r>
      <w:r>
        <w:rPr>
          <w:color w:val="231F20"/>
          <w:spacing w:val="-7"/>
        </w:rPr>
        <w:t> </w:t>
      </w:r>
      <w:r>
        <w:rPr>
          <w:color w:val="231F20"/>
        </w:rPr>
        <w:t>H-520</w:t>
      </w:r>
      <w:r>
        <w:rPr>
          <w:color w:val="231F20"/>
          <w:spacing w:val="-7"/>
        </w:rPr>
        <w:t> </w:t>
      </w:r>
      <w:r>
        <w:rPr>
          <w:color w:val="231F20"/>
        </w:rPr>
        <w:t>es</w:t>
      </w:r>
      <w:r>
        <w:rPr>
          <w:color w:val="231F20"/>
          <w:spacing w:val="-7"/>
        </w:rPr>
        <w:t> </w:t>
      </w:r>
      <w:r>
        <w:rPr>
          <w:color w:val="231F20"/>
        </w:rPr>
        <w:t>de</w:t>
      </w:r>
      <w:r>
        <w:rPr>
          <w:color w:val="231F20"/>
          <w:spacing w:val="-7"/>
        </w:rPr>
        <w:t> </w:t>
      </w:r>
      <w:r>
        <w:rPr>
          <w:color w:val="231F20"/>
        </w:rPr>
        <w:t>altura</w:t>
      </w:r>
      <w:r>
        <w:rPr>
          <w:color w:val="231F20"/>
          <w:spacing w:val="-7"/>
        </w:rPr>
        <w:t> </w:t>
      </w:r>
      <w:r>
        <w:rPr>
          <w:color w:val="231F20"/>
        </w:rPr>
        <w:t>de</w:t>
      </w:r>
      <w:r>
        <w:rPr>
          <w:color w:val="231F20"/>
          <w:spacing w:val="-7"/>
        </w:rPr>
        <w:t> </w:t>
      </w:r>
      <w:r>
        <w:rPr>
          <w:color w:val="231F20"/>
        </w:rPr>
        <w:t>planta</w:t>
      </w:r>
      <w:r>
        <w:rPr>
          <w:color w:val="231F20"/>
          <w:spacing w:val="-7"/>
        </w:rPr>
        <w:t> </w:t>
      </w:r>
      <w:r>
        <w:rPr>
          <w:color w:val="231F20"/>
        </w:rPr>
        <w:t>y</w:t>
      </w:r>
      <w:r>
        <w:rPr>
          <w:color w:val="231F20"/>
          <w:spacing w:val="-7"/>
        </w:rPr>
        <w:t> </w:t>
      </w:r>
      <w:r>
        <w:rPr>
          <w:color w:val="231F20"/>
        </w:rPr>
        <w:t>mazorca</w:t>
      </w:r>
      <w:r>
        <w:rPr>
          <w:color w:val="231F20"/>
          <w:spacing w:val="-7"/>
        </w:rPr>
        <w:t> </w:t>
      </w:r>
      <w:r>
        <w:rPr>
          <w:color w:val="231F20"/>
        </w:rPr>
        <w:t>intermedia</w:t>
      </w:r>
      <w:r>
        <w:rPr>
          <w:color w:val="231F20"/>
          <w:spacing w:val="-7"/>
        </w:rPr>
        <w:t> </w:t>
      </w:r>
      <w:r>
        <w:rPr>
          <w:color w:val="231F20"/>
        </w:rPr>
        <w:t>con</w:t>
      </w:r>
      <w:r>
        <w:rPr>
          <w:color w:val="231F20"/>
          <w:spacing w:val="-7"/>
        </w:rPr>
        <w:t> </w:t>
      </w:r>
      <w:r>
        <w:rPr>
          <w:color w:val="231F20"/>
        </w:rPr>
        <w:t>228</w:t>
      </w:r>
      <w:r>
        <w:rPr>
          <w:color w:val="231F20"/>
          <w:spacing w:val="-7"/>
        </w:rPr>
        <w:t> </w:t>
      </w:r>
      <w:r>
        <w:rPr>
          <w:color w:val="231F20"/>
        </w:rPr>
        <w:t>y</w:t>
      </w:r>
      <w:r>
        <w:rPr>
          <w:color w:val="231F20"/>
          <w:spacing w:val="-7"/>
        </w:rPr>
        <w:t> </w:t>
      </w:r>
      <w:r>
        <w:rPr>
          <w:color w:val="231F20"/>
        </w:rPr>
        <w:t>139</w:t>
      </w:r>
      <w:r>
        <w:rPr>
          <w:color w:val="231F20"/>
          <w:spacing w:val="-7"/>
        </w:rPr>
        <w:t> </w:t>
      </w:r>
      <w:r>
        <w:rPr>
          <w:color w:val="231F20"/>
        </w:rPr>
        <w:t>cm</w:t>
      </w:r>
      <w:r>
        <w:rPr>
          <w:color w:val="231F20"/>
          <w:spacing w:val="-7"/>
        </w:rPr>
        <w:t> </w:t>
      </w:r>
      <w:r>
        <w:rPr>
          <w:color w:val="231F20"/>
        </w:rPr>
        <w:t>para</w:t>
      </w:r>
      <w:r>
        <w:rPr>
          <w:color w:val="231F20"/>
          <w:spacing w:val="-7"/>
        </w:rPr>
        <w:t> </w:t>
      </w:r>
      <w:r>
        <w:rPr>
          <w:color w:val="231F20"/>
        </w:rPr>
        <w:t>cada</w:t>
      </w:r>
      <w:r>
        <w:rPr>
          <w:color w:val="231F20"/>
          <w:spacing w:val="-7"/>
        </w:rPr>
        <w:t> </w:t>
      </w:r>
      <w:r>
        <w:rPr>
          <w:color w:val="231F20"/>
        </w:rPr>
        <w:t>va- riable</w:t>
      </w:r>
      <w:r>
        <w:rPr>
          <w:color w:val="231F20"/>
          <w:spacing w:val="-4"/>
        </w:rPr>
        <w:t> </w:t>
      </w:r>
      <w:r>
        <w:rPr>
          <w:color w:val="231F20"/>
        </w:rPr>
        <w:t>respectivamente,</w:t>
      </w:r>
      <w:r>
        <w:rPr>
          <w:color w:val="231F20"/>
          <w:spacing w:val="-4"/>
        </w:rPr>
        <w:t> </w:t>
      </w:r>
      <w:r>
        <w:rPr>
          <w:color w:val="231F20"/>
        </w:rPr>
        <w:t>en</w:t>
      </w:r>
      <w:r>
        <w:rPr>
          <w:color w:val="231F20"/>
          <w:spacing w:val="-3"/>
        </w:rPr>
        <w:t> </w:t>
      </w:r>
      <w:r>
        <w:rPr>
          <w:color w:val="231F20"/>
        </w:rPr>
        <w:t>el</w:t>
      </w:r>
      <w:r>
        <w:rPr>
          <w:color w:val="231F20"/>
          <w:spacing w:val="-3"/>
        </w:rPr>
        <w:t> </w:t>
      </w:r>
      <w:r>
        <w:rPr>
          <w:color w:val="231F20"/>
        </w:rPr>
        <w:t>ciclo</w:t>
      </w:r>
      <w:r>
        <w:rPr>
          <w:color w:val="231F20"/>
          <w:spacing w:val="-4"/>
        </w:rPr>
        <w:t> </w:t>
      </w:r>
      <w:r>
        <w:rPr>
          <w:color w:val="231F20"/>
        </w:rPr>
        <w:t>primavera</w:t>
      </w:r>
      <w:r>
        <w:rPr>
          <w:color w:val="231F20"/>
          <w:spacing w:val="-4"/>
        </w:rPr>
        <w:t> </w:t>
      </w:r>
      <w:r>
        <w:rPr>
          <w:color w:val="231F20"/>
        </w:rPr>
        <w:t>–</w:t>
      </w:r>
      <w:r>
        <w:rPr>
          <w:color w:val="231F20"/>
          <w:spacing w:val="-3"/>
        </w:rPr>
        <w:t> </w:t>
      </w:r>
      <w:r>
        <w:rPr>
          <w:color w:val="231F20"/>
        </w:rPr>
        <w:t>verano</w:t>
      </w:r>
      <w:r>
        <w:rPr>
          <w:color w:val="231F20"/>
          <w:spacing w:val="-3"/>
        </w:rPr>
        <w:t> </w:t>
      </w:r>
      <w:r>
        <w:rPr>
          <w:color w:val="231F20"/>
        </w:rPr>
        <w:t>bajo</w:t>
      </w:r>
      <w:r>
        <w:rPr>
          <w:color w:val="231F20"/>
          <w:spacing w:val="-3"/>
        </w:rPr>
        <w:t> </w:t>
      </w:r>
      <w:r>
        <w:rPr>
          <w:color w:val="231F20"/>
        </w:rPr>
        <w:t>condiciones</w:t>
      </w:r>
      <w:r>
        <w:rPr>
          <w:color w:val="231F20"/>
          <w:spacing w:val="-3"/>
        </w:rPr>
        <w:t> </w:t>
      </w:r>
      <w:r>
        <w:rPr>
          <w:color w:val="231F20"/>
        </w:rPr>
        <w:t>de</w:t>
      </w:r>
      <w:r>
        <w:rPr>
          <w:color w:val="231F20"/>
          <w:spacing w:val="-3"/>
        </w:rPr>
        <w:t> </w:t>
      </w:r>
      <w:r>
        <w:rPr>
          <w:color w:val="231F20"/>
        </w:rPr>
        <w:t>temporal</w:t>
      </w:r>
      <w:r>
        <w:rPr>
          <w:color w:val="231F20"/>
          <w:spacing w:val="-4"/>
        </w:rPr>
        <w:t> </w:t>
      </w:r>
      <w:r>
        <w:rPr>
          <w:color w:val="231F20"/>
        </w:rPr>
        <w:t>con</w:t>
      </w:r>
      <w:r>
        <w:rPr>
          <w:color w:val="231F20"/>
          <w:spacing w:val="-3"/>
        </w:rPr>
        <w:t> </w:t>
      </w:r>
      <w:r>
        <w:rPr>
          <w:color w:val="231F20"/>
        </w:rPr>
        <w:t>54</w:t>
      </w:r>
      <w:r>
        <w:rPr>
          <w:color w:val="231F20"/>
          <w:spacing w:val="-3"/>
        </w:rPr>
        <w:t> </w:t>
      </w:r>
      <w:r>
        <w:rPr>
          <w:color w:val="231F20"/>
        </w:rPr>
        <w:t>días</w:t>
      </w:r>
      <w:r>
        <w:rPr>
          <w:color w:val="231F20"/>
          <w:spacing w:val="-3"/>
        </w:rPr>
        <w:t> </w:t>
      </w:r>
      <w:r>
        <w:rPr>
          <w:color w:val="231F20"/>
        </w:rPr>
        <w:t>a</w:t>
      </w:r>
      <w:r>
        <w:rPr>
          <w:color w:val="231F20"/>
          <w:spacing w:val="-3"/>
        </w:rPr>
        <w:t> </w:t>
      </w:r>
      <w:r>
        <w:rPr>
          <w:color w:val="231F20"/>
        </w:rPr>
        <w:t>la floración</w:t>
      </w:r>
      <w:r>
        <w:rPr>
          <w:color w:val="231F20"/>
          <w:spacing w:val="-4"/>
        </w:rPr>
        <w:t> </w:t>
      </w:r>
      <w:r>
        <w:rPr>
          <w:color w:val="231F20"/>
        </w:rPr>
        <w:t>masculina</w:t>
      </w:r>
      <w:r>
        <w:rPr>
          <w:color w:val="231F20"/>
          <w:spacing w:val="-4"/>
        </w:rPr>
        <w:t> </w:t>
      </w:r>
      <w:r>
        <w:rPr>
          <w:color w:val="231F20"/>
        </w:rPr>
        <w:t>y</w:t>
      </w:r>
      <w:r>
        <w:rPr>
          <w:color w:val="231F20"/>
          <w:spacing w:val="-3"/>
        </w:rPr>
        <w:t> </w:t>
      </w:r>
      <w:r>
        <w:rPr>
          <w:color w:val="231F20"/>
        </w:rPr>
        <w:t>53</w:t>
      </w:r>
      <w:r>
        <w:rPr>
          <w:color w:val="231F20"/>
          <w:spacing w:val="-3"/>
        </w:rPr>
        <w:t> </w:t>
      </w:r>
      <w:r>
        <w:rPr>
          <w:color w:val="231F20"/>
        </w:rPr>
        <w:t>a</w:t>
      </w:r>
      <w:r>
        <w:rPr>
          <w:color w:val="231F20"/>
          <w:spacing w:val="-3"/>
        </w:rPr>
        <w:t> </w:t>
      </w:r>
      <w:r>
        <w:rPr>
          <w:color w:val="231F20"/>
        </w:rPr>
        <w:t>la</w:t>
      </w:r>
      <w:r>
        <w:rPr>
          <w:color w:val="231F20"/>
          <w:spacing w:val="-4"/>
        </w:rPr>
        <w:t> </w:t>
      </w:r>
      <w:r>
        <w:rPr>
          <w:color w:val="231F20"/>
        </w:rPr>
        <w:t>floración</w:t>
      </w:r>
      <w:r>
        <w:rPr>
          <w:color w:val="231F20"/>
          <w:spacing w:val="-4"/>
        </w:rPr>
        <w:t> </w:t>
      </w:r>
      <w:r>
        <w:rPr>
          <w:color w:val="231F20"/>
        </w:rPr>
        <w:t>femenina,</w:t>
      </w:r>
      <w:r>
        <w:rPr>
          <w:color w:val="231F20"/>
          <w:spacing w:val="-4"/>
        </w:rPr>
        <w:t> </w:t>
      </w:r>
      <w:r>
        <w:rPr>
          <w:color w:val="231F20"/>
        </w:rPr>
        <w:t>alcanza</w:t>
      </w:r>
      <w:r>
        <w:rPr>
          <w:color w:val="231F20"/>
          <w:spacing w:val="-4"/>
        </w:rPr>
        <w:t> </w:t>
      </w:r>
      <w:r>
        <w:rPr>
          <w:color w:val="231F20"/>
        </w:rPr>
        <w:t>su</w:t>
      </w:r>
      <w:r>
        <w:rPr>
          <w:color w:val="231F20"/>
          <w:spacing w:val="-3"/>
        </w:rPr>
        <w:t> </w:t>
      </w:r>
      <w:r>
        <w:rPr>
          <w:color w:val="231F20"/>
        </w:rPr>
        <w:t>madurez</w:t>
      </w:r>
      <w:r>
        <w:rPr>
          <w:color w:val="231F20"/>
          <w:spacing w:val="-4"/>
        </w:rPr>
        <w:t> </w:t>
      </w:r>
      <w:r>
        <w:rPr>
          <w:color w:val="231F20"/>
        </w:rPr>
        <w:t>fisiológica</w:t>
      </w:r>
      <w:r>
        <w:rPr>
          <w:color w:val="231F20"/>
          <w:spacing w:val="-4"/>
        </w:rPr>
        <w:t> </w:t>
      </w:r>
      <w:r>
        <w:rPr>
          <w:color w:val="231F20"/>
        </w:rPr>
        <w:t>entre</w:t>
      </w:r>
      <w:r>
        <w:rPr>
          <w:color w:val="231F20"/>
          <w:spacing w:val="-4"/>
        </w:rPr>
        <w:t> </w:t>
      </w:r>
      <w:r>
        <w:rPr>
          <w:color w:val="231F20"/>
        </w:rPr>
        <w:t>90</w:t>
      </w:r>
      <w:r>
        <w:rPr>
          <w:color w:val="231F20"/>
          <w:spacing w:val="-3"/>
        </w:rPr>
        <w:t> </w:t>
      </w:r>
      <w:r>
        <w:rPr>
          <w:color w:val="231F20"/>
        </w:rPr>
        <w:t>y</w:t>
      </w:r>
      <w:r>
        <w:rPr>
          <w:color w:val="231F20"/>
          <w:spacing w:val="-3"/>
        </w:rPr>
        <w:t> </w:t>
      </w:r>
      <w:r>
        <w:rPr>
          <w:color w:val="231F20"/>
        </w:rPr>
        <w:t>100</w:t>
      </w:r>
      <w:r>
        <w:rPr>
          <w:color w:val="231F20"/>
          <w:spacing w:val="-3"/>
        </w:rPr>
        <w:t> </w:t>
      </w:r>
      <w:r>
        <w:rPr>
          <w:color w:val="231F20"/>
        </w:rPr>
        <w:t>días y</w:t>
      </w:r>
      <w:r>
        <w:rPr>
          <w:color w:val="231F20"/>
          <w:spacing w:val="-4"/>
        </w:rPr>
        <w:t> </w:t>
      </w:r>
      <w:r>
        <w:rPr>
          <w:color w:val="231F20"/>
        </w:rPr>
        <w:t>la</w:t>
      </w:r>
      <w:r>
        <w:rPr>
          <w:color w:val="231F20"/>
          <w:spacing w:val="-4"/>
        </w:rPr>
        <w:t> </w:t>
      </w:r>
      <w:r>
        <w:rPr>
          <w:color w:val="231F20"/>
        </w:rPr>
        <w:t>cosecha</w:t>
      </w:r>
      <w:r>
        <w:rPr>
          <w:color w:val="231F20"/>
          <w:spacing w:val="-5"/>
        </w:rPr>
        <w:t> </w:t>
      </w:r>
      <w:r>
        <w:rPr>
          <w:color w:val="231F20"/>
        </w:rPr>
        <w:t>puede</w:t>
      </w:r>
      <w:r>
        <w:rPr>
          <w:color w:val="231F20"/>
          <w:spacing w:val="-4"/>
        </w:rPr>
        <w:t> </w:t>
      </w:r>
      <w:r>
        <w:rPr>
          <w:color w:val="231F20"/>
        </w:rPr>
        <w:t>efectuarse</w:t>
      </w:r>
      <w:r>
        <w:rPr>
          <w:color w:val="231F20"/>
          <w:spacing w:val="-5"/>
        </w:rPr>
        <w:t> </w:t>
      </w:r>
      <w:r>
        <w:rPr>
          <w:color w:val="231F20"/>
        </w:rPr>
        <w:t>a</w:t>
      </w:r>
      <w:r>
        <w:rPr>
          <w:color w:val="231F20"/>
          <w:spacing w:val="-4"/>
        </w:rPr>
        <w:t> </w:t>
      </w:r>
      <w:r>
        <w:rPr>
          <w:color w:val="231F20"/>
        </w:rPr>
        <w:t>los</w:t>
      </w:r>
      <w:r>
        <w:rPr>
          <w:color w:val="231F20"/>
          <w:spacing w:val="-5"/>
        </w:rPr>
        <w:t> </w:t>
      </w:r>
      <w:r>
        <w:rPr>
          <w:color w:val="231F20"/>
          <w:spacing w:val="-3"/>
        </w:rPr>
        <w:t>110</w:t>
      </w:r>
      <w:r>
        <w:rPr>
          <w:color w:val="231F20"/>
          <w:spacing w:val="-4"/>
        </w:rPr>
        <w:t> </w:t>
      </w:r>
      <w:r>
        <w:rPr>
          <w:color w:val="231F20"/>
        </w:rPr>
        <w:t>a</w:t>
      </w:r>
      <w:r>
        <w:rPr>
          <w:color w:val="231F20"/>
          <w:spacing w:val="-4"/>
        </w:rPr>
        <w:t> </w:t>
      </w:r>
      <w:r>
        <w:rPr>
          <w:color w:val="231F20"/>
        </w:rPr>
        <w:t>120</w:t>
      </w:r>
      <w:r>
        <w:rPr>
          <w:color w:val="231F20"/>
          <w:spacing w:val="-4"/>
        </w:rPr>
        <w:t> </w:t>
      </w:r>
      <w:r>
        <w:rPr>
          <w:color w:val="231F20"/>
        </w:rPr>
        <w:t>días</w:t>
      </w:r>
      <w:r>
        <w:rPr>
          <w:color w:val="231F20"/>
          <w:spacing w:val="-4"/>
        </w:rPr>
        <w:t> </w:t>
      </w:r>
      <w:r>
        <w:rPr>
          <w:color w:val="231F20"/>
        </w:rPr>
        <w:t>Es</w:t>
      </w:r>
      <w:r>
        <w:rPr>
          <w:color w:val="231F20"/>
          <w:spacing w:val="-4"/>
        </w:rPr>
        <w:t> </w:t>
      </w:r>
      <w:r>
        <w:rPr>
          <w:color w:val="231F20"/>
        </w:rPr>
        <w:t>tolerante</w:t>
      </w:r>
      <w:r>
        <w:rPr>
          <w:color w:val="231F20"/>
          <w:spacing w:val="-5"/>
        </w:rPr>
        <w:t> </w:t>
      </w:r>
      <w:r>
        <w:rPr>
          <w:color w:val="231F20"/>
        </w:rPr>
        <w:t>al</w:t>
      </w:r>
      <w:r>
        <w:rPr>
          <w:color w:val="231F20"/>
          <w:spacing w:val="-4"/>
        </w:rPr>
        <w:t> </w:t>
      </w:r>
      <w:r>
        <w:rPr>
          <w:color w:val="231F20"/>
        </w:rPr>
        <w:t>acame,</w:t>
      </w:r>
      <w:r>
        <w:rPr>
          <w:color w:val="231F20"/>
          <w:spacing w:val="-5"/>
        </w:rPr>
        <w:t> </w:t>
      </w:r>
      <w:r>
        <w:rPr>
          <w:color w:val="231F20"/>
        </w:rPr>
        <w:t>con</w:t>
      </w:r>
      <w:r>
        <w:rPr>
          <w:color w:val="231F20"/>
          <w:spacing w:val="-5"/>
        </w:rPr>
        <w:t> </w:t>
      </w:r>
      <w:r>
        <w:rPr>
          <w:color w:val="231F20"/>
        </w:rPr>
        <w:t>buen</w:t>
      </w:r>
      <w:r>
        <w:rPr>
          <w:color w:val="231F20"/>
          <w:spacing w:val="-4"/>
        </w:rPr>
        <w:t> </w:t>
      </w:r>
      <w:r>
        <w:rPr>
          <w:color w:val="231F20"/>
        </w:rPr>
        <w:t>aspecto</w:t>
      </w:r>
      <w:r>
        <w:rPr>
          <w:color w:val="231F20"/>
          <w:spacing w:val="-5"/>
        </w:rPr>
        <w:t> </w:t>
      </w:r>
      <w:r>
        <w:rPr>
          <w:color w:val="231F20"/>
        </w:rPr>
        <w:t>y</w:t>
      </w:r>
      <w:r>
        <w:rPr>
          <w:color w:val="231F20"/>
          <w:spacing w:val="-4"/>
        </w:rPr>
        <w:t> </w:t>
      </w:r>
      <w:r>
        <w:rPr>
          <w:color w:val="231F20"/>
        </w:rPr>
        <w:t>sanidad de planta y mazorca, excelente cobertura de mazorca, con 14 hileras y grano blanco semidentado (Figura 4). H-520 registró los porcentajes más bajos de plantas con síntomas, la menor severidad y los porcentajes más bajos de mazorcas con daño de “achaparramiento”. (Sierra </w:t>
      </w:r>
      <w:r>
        <w:rPr>
          <w:i/>
          <w:color w:val="231F20"/>
        </w:rPr>
        <w:t>et al.</w:t>
      </w:r>
      <w:r>
        <w:rPr>
          <w:color w:val="231F20"/>
        </w:rPr>
        <w:t>,</w:t>
      </w:r>
      <w:r>
        <w:rPr>
          <w:color w:val="231F20"/>
          <w:spacing w:val="-1"/>
        </w:rPr>
        <w:t> </w:t>
      </w:r>
      <w:r>
        <w:rPr>
          <w:color w:val="231F20"/>
        </w:rPr>
        <w:t>2004a).</w:t>
      </w:r>
    </w:p>
    <w:p>
      <w:pPr>
        <w:spacing w:after="0" w:line="247" w:lineRule="auto"/>
        <w:jc w:val="both"/>
        <w:sectPr>
          <w:pgSz w:w="10920" w:h="13080"/>
          <w:pgMar w:header="0" w:footer="1025" w:top="420" w:bottom="1220" w:left="0" w:right="0"/>
        </w:sectPr>
      </w:pPr>
    </w:p>
    <w:p>
      <w:pPr>
        <w:pStyle w:val="BodyText"/>
        <w:rPr>
          <w:sz w:val="20"/>
        </w:rPr>
      </w:pPr>
    </w:p>
    <w:p>
      <w:pPr>
        <w:pStyle w:val="BodyText"/>
        <w:rPr>
          <w:sz w:val="20"/>
        </w:rPr>
      </w:pPr>
    </w:p>
    <w:p>
      <w:pPr>
        <w:pStyle w:val="BodyText"/>
        <w:rPr>
          <w:sz w:val="23"/>
        </w:rPr>
      </w:pPr>
    </w:p>
    <w:p>
      <w:pPr>
        <w:spacing w:before="77"/>
        <w:ind w:left="2145" w:right="1279" w:firstLine="0"/>
        <w:jc w:val="left"/>
        <w:rPr>
          <w:b/>
          <w:sz w:val="18"/>
        </w:rPr>
      </w:pPr>
      <w:r>
        <w:rPr/>
        <w:drawing>
          <wp:anchor distT="0" distB="0" distL="0" distR="0" allowOverlap="1" layoutInCell="1" locked="0" behindDoc="0" simplePos="0" relativeHeight="2656">
            <wp:simplePos x="0" y="0"/>
            <wp:positionH relativeFrom="page">
              <wp:posOffset>1080949</wp:posOffset>
            </wp:positionH>
            <wp:positionV relativeFrom="paragraph">
              <wp:posOffset>252583</wp:posOffset>
            </wp:positionV>
            <wp:extent cx="2299085" cy="1602104"/>
            <wp:effectExtent l="0" t="0" r="0" b="0"/>
            <wp:wrapTopAndBottom/>
            <wp:docPr id="65" name="image12.jpeg" descr=""/>
            <wp:cNvGraphicFramePr>
              <a:graphicFrameLocks noChangeAspect="1"/>
            </wp:cNvGraphicFramePr>
            <a:graphic>
              <a:graphicData uri="http://schemas.openxmlformats.org/drawingml/2006/picture">
                <pic:pic>
                  <pic:nvPicPr>
                    <pic:cNvPr id="66" name="image12.jpeg"/>
                    <pic:cNvPicPr/>
                  </pic:nvPicPr>
                  <pic:blipFill>
                    <a:blip r:embed="rId26" cstate="print"/>
                    <a:stretch>
                      <a:fillRect/>
                    </a:stretch>
                  </pic:blipFill>
                  <pic:spPr>
                    <a:xfrm>
                      <a:off x="0" y="0"/>
                      <a:ext cx="2299085" cy="1602104"/>
                    </a:xfrm>
                    <a:prstGeom prst="rect">
                      <a:avLst/>
                    </a:prstGeom>
                  </pic:spPr>
                </pic:pic>
              </a:graphicData>
            </a:graphic>
          </wp:anchor>
        </w:drawing>
      </w:r>
      <w:r>
        <w:rPr/>
        <w:drawing>
          <wp:anchor distT="0" distB="0" distL="0" distR="0" allowOverlap="1" layoutInCell="1" locked="0" behindDoc="0" simplePos="0" relativeHeight="2680">
            <wp:simplePos x="0" y="0"/>
            <wp:positionH relativeFrom="page">
              <wp:posOffset>3435744</wp:posOffset>
            </wp:positionH>
            <wp:positionV relativeFrom="paragraph">
              <wp:posOffset>252583</wp:posOffset>
            </wp:positionV>
            <wp:extent cx="2419308" cy="1629727"/>
            <wp:effectExtent l="0" t="0" r="0" b="0"/>
            <wp:wrapTopAndBottom/>
            <wp:docPr id="67" name="image13.jpeg" descr=""/>
            <wp:cNvGraphicFramePr>
              <a:graphicFrameLocks noChangeAspect="1"/>
            </wp:cNvGraphicFramePr>
            <a:graphic>
              <a:graphicData uri="http://schemas.openxmlformats.org/drawingml/2006/picture">
                <pic:pic>
                  <pic:nvPicPr>
                    <pic:cNvPr id="68" name="image13.jpeg"/>
                    <pic:cNvPicPr/>
                  </pic:nvPicPr>
                  <pic:blipFill>
                    <a:blip r:embed="rId27" cstate="print"/>
                    <a:stretch>
                      <a:fillRect/>
                    </a:stretch>
                  </pic:blipFill>
                  <pic:spPr>
                    <a:xfrm>
                      <a:off x="0" y="0"/>
                      <a:ext cx="2419308" cy="1629727"/>
                    </a:xfrm>
                    <a:prstGeom prst="rect">
                      <a:avLst/>
                    </a:prstGeom>
                  </pic:spPr>
                </pic:pic>
              </a:graphicData>
            </a:graphic>
          </wp:anchor>
        </w:drawing>
      </w:r>
      <w:r>
        <w:rPr>
          <w:b/>
          <w:color w:val="010202"/>
          <w:sz w:val="18"/>
        </w:rPr>
        <w:t>Figuras 3 y 4. VS-536 y H-520, variedad e híbrido de mayor uso en el sureste mexicano</w:t>
      </w:r>
    </w:p>
    <w:p>
      <w:pPr>
        <w:pStyle w:val="BodyText"/>
        <w:spacing w:before="7"/>
        <w:rPr>
          <w:b/>
          <w:sz w:val="23"/>
        </w:rPr>
      </w:pPr>
    </w:p>
    <w:p>
      <w:pPr>
        <w:pStyle w:val="ListParagraph"/>
        <w:numPr>
          <w:ilvl w:val="0"/>
          <w:numId w:val="3"/>
        </w:numPr>
        <w:tabs>
          <w:tab w:pos="1703" w:val="left" w:leader="none"/>
        </w:tabs>
        <w:spacing w:line="247" w:lineRule="auto" w:before="0" w:after="0"/>
        <w:ind w:left="1270" w:right="1267" w:firstLine="0"/>
        <w:jc w:val="both"/>
        <w:rPr>
          <w:sz w:val="21"/>
        </w:rPr>
      </w:pPr>
      <w:r>
        <w:rPr>
          <w:color w:val="231F20"/>
          <w:sz w:val="21"/>
        </w:rPr>
        <w:t>9C.</w:t>
      </w:r>
      <w:r>
        <w:rPr>
          <w:color w:val="231F20"/>
          <w:spacing w:val="-3"/>
          <w:sz w:val="21"/>
        </w:rPr>
        <w:t> </w:t>
      </w:r>
      <w:r>
        <w:rPr>
          <w:color w:val="231F20"/>
          <w:sz w:val="21"/>
        </w:rPr>
        <w:t>Es</w:t>
      </w:r>
      <w:r>
        <w:rPr>
          <w:color w:val="231F20"/>
          <w:spacing w:val="-3"/>
          <w:sz w:val="21"/>
        </w:rPr>
        <w:t> </w:t>
      </w:r>
      <w:r>
        <w:rPr>
          <w:color w:val="231F20"/>
          <w:sz w:val="21"/>
        </w:rPr>
        <w:t>un</w:t>
      </w:r>
      <w:r>
        <w:rPr>
          <w:color w:val="231F20"/>
          <w:spacing w:val="-3"/>
          <w:sz w:val="21"/>
        </w:rPr>
        <w:t> </w:t>
      </w:r>
      <w:r>
        <w:rPr>
          <w:color w:val="231F20"/>
          <w:sz w:val="21"/>
        </w:rPr>
        <w:t>híbrido</w:t>
      </w:r>
      <w:r>
        <w:rPr>
          <w:color w:val="231F20"/>
          <w:spacing w:val="-3"/>
          <w:sz w:val="21"/>
        </w:rPr>
        <w:t> </w:t>
      </w:r>
      <w:r>
        <w:rPr>
          <w:color w:val="231F20"/>
          <w:sz w:val="21"/>
        </w:rPr>
        <w:t>trilineal</w:t>
      </w:r>
      <w:r>
        <w:rPr>
          <w:color w:val="231F20"/>
          <w:spacing w:val="-3"/>
          <w:sz w:val="21"/>
        </w:rPr>
        <w:t> </w:t>
      </w:r>
      <w:r>
        <w:rPr>
          <w:color w:val="231F20"/>
          <w:sz w:val="21"/>
        </w:rPr>
        <w:t>con</w:t>
      </w:r>
      <w:r>
        <w:rPr>
          <w:color w:val="231F20"/>
          <w:spacing w:val="-3"/>
          <w:sz w:val="21"/>
        </w:rPr>
        <w:t> </w:t>
      </w:r>
      <w:r>
        <w:rPr>
          <w:color w:val="231F20"/>
          <w:sz w:val="21"/>
        </w:rPr>
        <w:t>alta</w:t>
      </w:r>
      <w:r>
        <w:rPr>
          <w:color w:val="231F20"/>
          <w:spacing w:val="-3"/>
          <w:sz w:val="21"/>
        </w:rPr>
        <w:t> </w:t>
      </w:r>
      <w:r>
        <w:rPr>
          <w:color w:val="231F20"/>
          <w:sz w:val="21"/>
        </w:rPr>
        <w:t>calidad</w:t>
      </w:r>
      <w:r>
        <w:rPr>
          <w:color w:val="231F20"/>
          <w:spacing w:val="-3"/>
          <w:sz w:val="21"/>
        </w:rPr>
        <w:t> </w:t>
      </w:r>
      <w:r>
        <w:rPr>
          <w:color w:val="231F20"/>
          <w:sz w:val="21"/>
        </w:rPr>
        <w:t>de</w:t>
      </w:r>
      <w:r>
        <w:rPr>
          <w:color w:val="231F20"/>
          <w:spacing w:val="-3"/>
          <w:sz w:val="21"/>
        </w:rPr>
        <w:t> </w:t>
      </w:r>
      <w:r>
        <w:rPr>
          <w:color w:val="231F20"/>
          <w:sz w:val="21"/>
        </w:rPr>
        <w:t>proteína</w:t>
      </w:r>
      <w:r>
        <w:rPr>
          <w:color w:val="231F20"/>
          <w:spacing w:val="-3"/>
          <w:sz w:val="21"/>
        </w:rPr>
        <w:t> </w:t>
      </w:r>
      <w:r>
        <w:rPr>
          <w:color w:val="231F20"/>
          <w:sz w:val="21"/>
        </w:rPr>
        <w:t>adaptado</w:t>
      </w:r>
      <w:r>
        <w:rPr>
          <w:color w:val="231F20"/>
          <w:spacing w:val="-3"/>
          <w:sz w:val="21"/>
        </w:rPr>
        <w:t> </w:t>
      </w:r>
      <w:r>
        <w:rPr>
          <w:color w:val="231F20"/>
          <w:sz w:val="21"/>
        </w:rPr>
        <w:t>a</w:t>
      </w:r>
      <w:r>
        <w:rPr>
          <w:color w:val="231F20"/>
          <w:spacing w:val="-3"/>
          <w:sz w:val="21"/>
        </w:rPr>
        <w:t> </w:t>
      </w:r>
      <w:r>
        <w:rPr>
          <w:color w:val="231F20"/>
          <w:sz w:val="21"/>
        </w:rPr>
        <w:t>la</w:t>
      </w:r>
      <w:r>
        <w:rPr>
          <w:color w:val="231F20"/>
          <w:spacing w:val="-3"/>
          <w:sz w:val="21"/>
        </w:rPr>
        <w:t> </w:t>
      </w:r>
      <w:r>
        <w:rPr>
          <w:color w:val="231F20"/>
          <w:sz w:val="21"/>
        </w:rPr>
        <w:t>región</w:t>
      </w:r>
      <w:r>
        <w:rPr>
          <w:color w:val="231F20"/>
          <w:spacing w:val="-3"/>
          <w:sz w:val="21"/>
        </w:rPr>
        <w:t> </w:t>
      </w:r>
      <w:r>
        <w:rPr>
          <w:color w:val="231F20"/>
          <w:sz w:val="21"/>
        </w:rPr>
        <w:t>tropical,</w:t>
      </w:r>
      <w:r>
        <w:rPr>
          <w:color w:val="231F20"/>
          <w:spacing w:val="-3"/>
          <w:sz w:val="21"/>
        </w:rPr>
        <w:t> </w:t>
      </w:r>
      <w:r>
        <w:rPr>
          <w:color w:val="231F20"/>
          <w:sz w:val="21"/>
        </w:rPr>
        <w:t>es</w:t>
      </w:r>
      <w:r>
        <w:rPr>
          <w:color w:val="231F20"/>
          <w:spacing w:val="-3"/>
          <w:sz w:val="21"/>
        </w:rPr>
        <w:t> </w:t>
      </w:r>
      <w:r>
        <w:rPr>
          <w:color w:val="231F20"/>
          <w:sz w:val="21"/>
        </w:rPr>
        <w:t>de</w:t>
      </w:r>
      <w:r>
        <w:rPr>
          <w:color w:val="231F20"/>
          <w:spacing w:val="-3"/>
          <w:sz w:val="21"/>
        </w:rPr>
        <w:t> </w:t>
      </w:r>
      <w:r>
        <w:rPr>
          <w:color w:val="231F20"/>
          <w:sz w:val="21"/>
        </w:rPr>
        <w:t>ciclo intermedio</w:t>
      </w:r>
      <w:r>
        <w:rPr>
          <w:color w:val="231F20"/>
          <w:spacing w:val="-6"/>
          <w:sz w:val="21"/>
        </w:rPr>
        <w:t> </w:t>
      </w:r>
      <w:r>
        <w:rPr>
          <w:color w:val="231F20"/>
          <w:sz w:val="21"/>
        </w:rPr>
        <w:t>con</w:t>
      </w:r>
      <w:r>
        <w:rPr>
          <w:color w:val="231F20"/>
          <w:spacing w:val="-6"/>
          <w:sz w:val="21"/>
        </w:rPr>
        <w:t> </w:t>
      </w:r>
      <w:r>
        <w:rPr>
          <w:color w:val="231F20"/>
          <w:sz w:val="21"/>
        </w:rPr>
        <w:t>55</w:t>
      </w:r>
      <w:r>
        <w:rPr>
          <w:color w:val="231F20"/>
          <w:spacing w:val="-6"/>
          <w:sz w:val="21"/>
        </w:rPr>
        <w:t> </w:t>
      </w:r>
      <w:r>
        <w:rPr>
          <w:color w:val="231F20"/>
          <w:sz w:val="21"/>
        </w:rPr>
        <w:t>a</w:t>
      </w:r>
      <w:r>
        <w:rPr>
          <w:color w:val="231F20"/>
          <w:spacing w:val="-6"/>
          <w:sz w:val="21"/>
        </w:rPr>
        <w:t> </w:t>
      </w:r>
      <w:r>
        <w:rPr>
          <w:color w:val="231F20"/>
          <w:sz w:val="21"/>
        </w:rPr>
        <w:t>56</w:t>
      </w:r>
      <w:r>
        <w:rPr>
          <w:color w:val="231F20"/>
          <w:spacing w:val="-6"/>
          <w:sz w:val="21"/>
        </w:rPr>
        <w:t> </w:t>
      </w:r>
      <w:r>
        <w:rPr>
          <w:color w:val="231F20"/>
          <w:sz w:val="21"/>
        </w:rPr>
        <w:t>días</w:t>
      </w:r>
      <w:r>
        <w:rPr>
          <w:color w:val="231F20"/>
          <w:spacing w:val="-6"/>
          <w:sz w:val="21"/>
        </w:rPr>
        <w:t> </w:t>
      </w:r>
      <w:r>
        <w:rPr>
          <w:color w:val="231F20"/>
          <w:sz w:val="21"/>
        </w:rPr>
        <w:t>a</w:t>
      </w:r>
      <w:r>
        <w:rPr>
          <w:color w:val="231F20"/>
          <w:spacing w:val="-6"/>
          <w:sz w:val="21"/>
        </w:rPr>
        <w:t> </w:t>
      </w:r>
      <w:r>
        <w:rPr>
          <w:color w:val="231F20"/>
          <w:sz w:val="21"/>
        </w:rPr>
        <w:t>la</w:t>
      </w:r>
      <w:r>
        <w:rPr>
          <w:color w:val="231F20"/>
          <w:spacing w:val="-6"/>
          <w:sz w:val="21"/>
        </w:rPr>
        <w:t> </w:t>
      </w:r>
      <w:r>
        <w:rPr>
          <w:color w:val="231F20"/>
          <w:sz w:val="21"/>
        </w:rPr>
        <w:t>floración</w:t>
      </w:r>
      <w:r>
        <w:rPr>
          <w:color w:val="231F20"/>
          <w:spacing w:val="-6"/>
          <w:sz w:val="21"/>
        </w:rPr>
        <w:t> </w:t>
      </w:r>
      <w:r>
        <w:rPr>
          <w:color w:val="231F20"/>
          <w:sz w:val="21"/>
        </w:rPr>
        <w:t>masculina</w:t>
      </w:r>
      <w:r>
        <w:rPr>
          <w:color w:val="231F20"/>
          <w:spacing w:val="-6"/>
          <w:sz w:val="21"/>
        </w:rPr>
        <w:t> </w:t>
      </w:r>
      <w:r>
        <w:rPr>
          <w:color w:val="231F20"/>
          <w:sz w:val="21"/>
        </w:rPr>
        <w:t>y</w:t>
      </w:r>
      <w:r>
        <w:rPr>
          <w:color w:val="231F20"/>
          <w:spacing w:val="-6"/>
          <w:sz w:val="21"/>
        </w:rPr>
        <w:t> </w:t>
      </w:r>
      <w:r>
        <w:rPr>
          <w:color w:val="231F20"/>
          <w:sz w:val="21"/>
        </w:rPr>
        <w:t>femenina,</w:t>
      </w:r>
      <w:r>
        <w:rPr>
          <w:color w:val="231F20"/>
          <w:spacing w:val="-6"/>
          <w:sz w:val="21"/>
        </w:rPr>
        <w:t> </w:t>
      </w:r>
      <w:r>
        <w:rPr>
          <w:color w:val="231F20"/>
          <w:sz w:val="21"/>
        </w:rPr>
        <w:t>90</w:t>
      </w:r>
      <w:r>
        <w:rPr>
          <w:color w:val="231F20"/>
          <w:spacing w:val="-6"/>
          <w:sz w:val="21"/>
        </w:rPr>
        <w:t> </w:t>
      </w:r>
      <w:r>
        <w:rPr>
          <w:color w:val="231F20"/>
          <w:sz w:val="21"/>
        </w:rPr>
        <w:t>a</w:t>
      </w:r>
      <w:r>
        <w:rPr>
          <w:color w:val="231F20"/>
          <w:spacing w:val="-6"/>
          <w:sz w:val="21"/>
        </w:rPr>
        <w:t> </w:t>
      </w:r>
      <w:r>
        <w:rPr>
          <w:color w:val="231F20"/>
          <w:sz w:val="21"/>
        </w:rPr>
        <w:t>100</w:t>
      </w:r>
      <w:r>
        <w:rPr>
          <w:color w:val="231F20"/>
          <w:spacing w:val="-6"/>
          <w:sz w:val="21"/>
        </w:rPr>
        <w:t> </w:t>
      </w:r>
      <w:r>
        <w:rPr>
          <w:color w:val="231F20"/>
          <w:sz w:val="21"/>
        </w:rPr>
        <w:t>días</w:t>
      </w:r>
      <w:r>
        <w:rPr>
          <w:color w:val="231F20"/>
          <w:spacing w:val="-6"/>
          <w:sz w:val="21"/>
        </w:rPr>
        <w:t> </w:t>
      </w:r>
      <w:r>
        <w:rPr>
          <w:color w:val="231F20"/>
          <w:sz w:val="21"/>
        </w:rPr>
        <w:t>a</w:t>
      </w:r>
      <w:r>
        <w:rPr>
          <w:color w:val="231F20"/>
          <w:spacing w:val="-6"/>
          <w:sz w:val="21"/>
        </w:rPr>
        <w:t> </w:t>
      </w:r>
      <w:r>
        <w:rPr>
          <w:color w:val="231F20"/>
          <w:sz w:val="21"/>
        </w:rPr>
        <w:t>madurez</w:t>
      </w:r>
      <w:r>
        <w:rPr>
          <w:color w:val="231F20"/>
          <w:spacing w:val="-6"/>
          <w:sz w:val="21"/>
        </w:rPr>
        <w:t> </w:t>
      </w:r>
      <w:r>
        <w:rPr>
          <w:color w:val="231F20"/>
          <w:sz w:val="21"/>
        </w:rPr>
        <w:t>fisiológica y 120 días a cosecha. Registra una altura de planta intermedia con una relación altura de mazorca / planta de 0.53, lo cual favorece su tolerancia al acame. Presenta buen aspecto y sanidad de planta y de mazorca. La mazorca es cilíndrica con 14 a 16 hileras y tiene excelente cobertura de la mazorca, el grano es de color blanco y de textura cristalina, (Sierra </w:t>
      </w:r>
      <w:r>
        <w:rPr>
          <w:i/>
          <w:color w:val="231F20"/>
          <w:sz w:val="21"/>
        </w:rPr>
        <w:t>et al.</w:t>
      </w:r>
      <w:r>
        <w:rPr>
          <w:color w:val="231F20"/>
          <w:sz w:val="21"/>
        </w:rPr>
        <w:t>,</w:t>
      </w:r>
      <w:r>
        <w:rPr>
          <w:color w:val="231F20"/>
          <w:spacing w:val="-5"/>
          <w:sz w:val="21"/>
        </w:rPr>
        <w:t> </w:t>
      </w:r>
      <w:r>
        <w:rPr>
          <w:color w:val="231F20"/>
          <w:sz w:val="21"/>
        </w:rPr>
        <w:t>2001).</w:t>
      </w:r>
    </w:p>
    <w:p>
      <w:pPr>
        <w:pStyle w:val="BodyText"/>
        <w:spacing w:before="10"/>
      </w:pPr>
    </w:p>
    <w:p>
      <w:pPr>
        <w:pStyle w:val="ListParagraph"/>
        <w:numPr>
          <w:ilvl w:val="0"/>
          <w:numId w:val="3"/>
        </w:numPr>
        <w:tabs>
          <w:tab w:pos="1684" w:val="left" w:leader="none"/>
        </w:tabs>
        <w:spacing w:line="247" w:lineRule="auto" w:before="0" w:after="0"/>
        <w:ind w:left="1270" w:right="1267" w:firstLine="0"/>
        <w:jc w:val="both"/>
        <w:rPr>
          <w:sz w:val="21"/>
        </w:rPr>
      </w:pPr>
      <w:r>
        <w:rPr>
          <w:color w:val="231F20"/>
          <w:sz w:val="21"/>
        </w:rPr>
        <w:t>7C.</w:t>
      </w:r>
      <w:r>
        <w:rPr>
          <w:color w:val="231F20"/>
          <w:spacing w:val="-6"/>
          <w:sz w:val="21"/>
        </w:rPr>
        <w:t> </w:t>
      </w:r>
      <w:r>
        <w:rPr>
          <w:color w:val="231F20"/>
          <w:sz w:val="21"/>
        </w:rPr>
        <w:t>Es</w:t>
      </w:r>
      <w:r>
        <w:rPr>
          <w:color w:val="231F20"/>
          <w:spacing w:val="-6"/>
          <w:sz w:val="21"/>
        </w:rPr>
        <w:t> </w:t>
      </w:r>
      <w:r>
        <w:rPr>
          <w:color w:val="231F20"/>
          <w:sz w:val="21"/>
        </w:rPr>
        <w:t>una</w:t>
      </w:r>
      <w:r>
        <w:rPr>
          <w:color w:val="231F20"/>
          <w:spacing w:val="-6"/>
          <w:sz w:val="21"/>
        </w:rPr>
        <w:t> </w:t>
      </w:r>
      <w:r>
        <w:rPr>
          <w:color w:val="231F20"/>
          <w:sz w:val="21"/>
        </w:rPr>
        <w:t>variedad</w:t>
      </w:r>
      <w:r>
        <w:rPr>
          <w:color w:val="231F20"/>
          <w:spacing w:val="-6"/>
          <w:sz w:val="21"/>
        </w:rPr>
        <w:t> </w:t>
      </w:r>
      <w:r>
        <w:rPr>
          <w:color w:val="231F20"/>
          <w:sz w:val="21"/>
        </w:rPr>
        <w:t>de</w:t>
      </w:r>
      <w:r>
        <w:rPr>
          <w:color w:val="231F20"/>
          <w:spacing w:val="-6"/>
          <w:sz w:val="21"/>
        </w:rPr>
        <w:t> </w:t>
      </w:r>
      <w:r>
        <w:rPr>
          <w:color w:val="231F20"/>
          <w:sz w:val="21"/>
        </w:rPr>
        <w:t>maíz</w:t>
      </w:r>
      <w:r>
        <w:rPr>
          <w:color w:val="231F20"/>
          <w:spacing w:val="-6"/>
          <w:sz w:val="21"/>
        </w:rPr>
        <w:t> </w:t>
      </w:r>
      <w:r>
        <w:rPr>
          <w:color w:val="231F20"/>
          <w:sz w:val="21"/>
        </w:rPr>
        <w:t>de</w:t>
      </w:r>
      <w:r>
        <w:rPr>
          <w:color w:val="231F20"/>
          <w:spacing w:val="-6"/>
          <w:sz w:val="21"/>
        </w:rPr>
        <w:t> </w:t>
      </w:r>
      <w:r>
        <w:rPr>
          <w:color w:val="231F20"/>
          <w:sz w:val="21"/>
        </w:rPr>
        <w:t>polinización</w:t>
      </w:r>
      <w:r>
        <w:rPr>
          <w:color w:val="231F20"/>
          <w:spacing w:val="-6"/>
          <w:sz w:val="21"/>
        </w:rPr>
        <w:t> </w:t>
      </w:r>
      <w:r>
        <w:rPr>
          <w:color w:val="231F20"/>
          <w:sz w:val="21"/>
        </w:rPr>
        <w:t>libre,</w:t>
      </w:r>
      <w:r>
        <w:rPr>
          <w:color w:val="231F20"/>
          <w:spacing w:val="-6"/>
          <w:sz w:val="21"/>
        </w:rPr>
        <w:t> </w:t>
      </w:r>
      <w:r>
        <w:rPr>
          <w:color w:val="231F20"/>
          <w:sz w:val="21"/>
        </w:rPr>
        <w:t>de</w:t>
      </w:r>
      <w:r>
        <w:rPr>
          <w:color w:val="231F20"/>
          <w:spacing w:val="-6"/>
          <w:sz w:val="21"/>
        </w:rPr>
        <w:t> </w:t>
      </w:r>
      <w:r>
        <w:rPr>
          <w:color w:val="231F20"/>
          <w:sz w:val="21"/>
        </w:rPr>
        <w:t>planta</w:t>
      </w:r>
      <w:r>
        <w:rPr>
          <w:color w:val="231F20"/>
          <w:spacing w:val="-6"/>
          <w:sz w:val="21"/>
        </w:rPr>
        <w:t> </w:t>
      </w:r>
      <w:r>
        <w:rPr>
          <w:color w:val="231F20"/>
          <w:sz w:val="21"/>
        </w:rPr>
        <w:t>y</w:t>
      </w:r>
      <w:r>
        <w:rPr>
          <w:color w:val="231F20"/>
          <w:spacing w:val="-6"/>
          <w:sz w:val="21"/>
        </w:rPr>
        <w:t> </w:t>
      </w:r>
      <w:r>
        <w:rPr>
          <w:color w:val="231F20"/>
          <w:sz w:val="21"/>
        </w:rPr>
        <w:t>mazorca</w:t>
      </w:r>
      <w:r>
        <w:rPr>
          <w:color w:val="231F20"/>
          <w:spacing w:val="-6"/>
          <w:sz w:val="21"/>
        </w:rPr>
        <w:t> </w:t>
      </w:r>
      <w:r>
        <w:rPr>
          <w:color w:val="231F20"/>
          <w:sz w:val="21"/>
        </w:rPr>
        <w:t>baja</w:t>
      </w:r>
      <w:r>
        <w:rPr>
          <w:color w:val="231F20"/>
          <w:spacing w:val="-6"/>
          <w:sz w:val="21"/>
        </w:rPr>
        <w:t> </w:t>
      </w:r>
      <w:r>
        <w:rPr>
          <w:color w:val="231F20"/>
          <w:sz w:val="21"/>
        </w:rPr>
        <w:t>y</w:t>
      </w:r>
      <w:r>
        <w:rPr>
          <w:color w:val="231F20"/>
          <w:spacing w:val="-6"/>
          <w:sz w:val="21"/>
        </w:rPr>
        <w:t> </w:t>
      </w:r>
      <w:r>
        <w:rPr>
          <w:color w:val="231F20"/>
          <w:sz w:val="21"/>
        </w:rPr>
        <w:t>una</w:t>
      </w:r>
      <w:r>
        <w:rPr>
          <w:color w:val="231F20"/>
          <w:spacing w:val="-6"/>
          <w:sz w:val="21"/>
        </w:rPr>
        <w:t> </w:t>
      </w:r>
      <w:r>
        <w:rPr>
          <w:color w:val="231F20"/>
          <w:sz w:val="21"/>
        </w:rPr>
        <w:t>relación</w:t>
      </w:r>
      <w:r>
        <w:rPr>
          <w:color w:val="231F20"/>
          <w:spacing w:val="-6"/>
          <w:sz w:val="21"/>
        </w:rPr>
        <w:t> </w:t>
      </w:r>
      <w:r>
        <w:rPr>
          <w:color w:val="231F20"/>
          <w:sz w:val="21"/>
        </w:rPr>
        <w:t>altu- ra de mazorca/altura de planta de 0.47 que le confiere tolerancia al acame. La mazorca es cilíndrica con 14 hileras, el grano es de color blanco y textura semidentada, Sierra </w:t>
      </w:r>
      <w:r>
        <w:rPr>
          <w:i/>
          <w:color w:val="231F20"/>
          <w:sz w:val="21"/>
        </w:rPr>
        <w:t>et al</w:t>
      </w:r>
      <w:r>
        <w:rPr>
          <w:i/>
          <w:color w:val="231F20"/>
          <w:spacing w:val="-1"/>
          <w:sz w:val="21"/>
        </w:rPr>
        <w:t> </w:t>
      </w:r>
      <w:r>
        <w:rPr>
          <w:color w:val="231F20"/>
          <w:sz w:val="21"/>
        </w:rPr>
        <w:t>(2001).</w:t>
      </w:r>
    </w:p>
    <w:p>
      <w:pPr>
        <w:pStyle w:val="BodyText"/>
        <w:spacing w:before="10"/>
      </w:pPr>
    </w:p>
    <w:p>
      <w:pPr>
        <w:pStyle w:val="BodyText"/>
        <w:spacing w:line="247" w:lineRule="auto"/>
        <w:ind w:left="1270" w:right="1267"/>
        <w:jc w:val="both"/>
      </w:pPr>
      <w:r>
        <w:rPr>
          <w:color w:val="231F20"/>
          <w:spacing w:val="-3"/>
        </w:rPr>
        <w:t>V-556AC. </w:t>
      </w:r>
      <w:r>
        <w:rPr>
          <w:color w:val="231F20"/>
        </w:rPr>
        <w:t>Ofrece una posibilidad en la industria forrajera y en alimentos balanceados, contiene</w:t>
      </w:r>
      <w:r>
        <w:rPr>
          <w:color w:val="231F20"/>
          <w:spacing w:val="-32"/>
        </w:rPr>
        <w:t> </w:t>
      </w:r>
      <w:r>
        <w:rPr>
          <w:color w:val="231F20"/>
        </w:rPr>
        <w:t>más Lisina y Triptofano que el maíz normal. Los climas tropicales más favorables para su desarrollo</w:t>
      </w:r>
      <w:r>
        <w:rPr>
          <w:color w:val="231F20"/>
          <w:spacing w:val="-31"/>
        </w:rPr>
        <w:t> </w:t>
      </w:r>
      <w:r>
        <w:rPr>
          <w:color w:val="231F20"/>
        </w:rPr>
        <w:t>son </w:t>
      </w:r>
      <w:r>
        <w:rPr>
          <w:color w:val="231F20"/>
          <w:spacing w:val="-7"/>
        </w:rPr>
        <w:t>Aw0</w:t>
      </w:r>
      <w:r>
        <w:rPr>
          <w:color w:val="231F20"/>
          <w:spacing w:val="-4"/>
        </w:rPr>
        <w:t> </w:t>
      </w:r>
      <w:r>
        <w:rPr>
          <w:color w:val="231F20"/>
        </w:rPr>
        <w:t>y</w:t>
      </w:r>
      <w:r>
        <w:rPr>
          <w:color w:val="231F20"/>
          <w:spacing w:val="-16"/>
        </w:rPr>
        <w:t> </w:t>
      </w:r>
      <w:r>
        <w:rPr>
          <w:color w:val="231F20"/>
          <w:spacing w:val="-6"/>
        </w:rPr>
        <w:t>Aw1.</w:t>
      </w:r>
      <w:r>
        <w:rPr>
          <w:color w:val="231F20"/>
          <w:spacing w:val="-4"/>
        </w:rPr>
        <w:t> </w:t>
      </w:r>
      <w:r>
        <w:rPr>
          <w:color w:val="231F20"/>
        </w:rPr>
        <w:t>Se</w:t>
      </w:r>
      <w:r>
        <w:rPr>
          <w:color w:val="231F20"/>
          <w:spacing w:val="-4"/>
        </w:rPr>
        <w:t> </w:t>
      </w:r>
      <w:r>
        <w:rPr>
          <w:color w:val="231F20"/>
        </w:rPr>
        <w:t>adapta</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región</w:t>
      </w:r>
      <w:r>
        <w:rPr>
          <w:color w:val="231F20"/>
          <w:spacing w:val="-4"/>
        </w:rPr>
        <w:t> </w:t>
      </w:r>
      <w:r>
        <w:rPr>
          <w:color w:val="231F20"/>
        </w:rPr>
        <w:t>tropical</w:t>
      </w:r>
      <w:r>
        <w:rPr>
          <w:color w:val="231F20"/>
          <w:spacing w:val="-4"/>
        </w:rPr>
        <w:t> </w:t>
      </w:r>
      <w:r>
        <w:rPr>
          <w:color w:val="231F20"/>
        </w:rPr>
        <w:t>del</w:t>
      </w:r>
      <w:r>
        <w:rPr>
          <w:color w:val="231F20"/>
          <w:spacing w:val="-4"/>
        </w:rPr>
        <w:t> </w:t>
      </w:r>
      <w:r>
        <w:rPr>
          <w:color w:val="231F20"/>
        </w:rPr>
        <w:t>sureste</w:t>
      </w:r>
      <w:r>
        <w:rPr>
          <w:color w:val="231F20"/>
          <w:spacing w:val="-4"/>
        </w:rPr>
        <w:t> </w:t>
      </w:r>
      <w:r>
        <w:rPr>
          <w:color w:val="231F20"/>
        </w:rPr>
        <w:t>de</w:t>
      </w:r>
      <w:r>
        <w:rPr>
          <w:color w:val="231F20"/>
          <w:spacing w:val="-4"/>
        </w:rPr>
        <w:t> </w:t>
      </w:r>
      <w:r>
        <w:rPr>
          <w:color w:val="231F20"/>
        </w:rPr>
        <w:t>México,</w:t>
      </w:r>
      <w:r>
        <w:rPr>
          <w:color w:val="231F20"/>
          <w:spacing w:val="-4"/>
        </w:rPr>
        <w:t> </w:t>
      </w:r>
      <w:r>
        <w:rPr>
          <w:color w:val="231F20"/>
        </w:rPr>
        <w:t>en</w:t>
      </w:r>
      <w:r>
        <w:rPr>
          <w:color w:val="231F20"/>
          <w:spacing w:val="-4"/>
        </w:rPr>
        <w:t> </w:t>
      </w:r>
      <w:r>
        <w:rPr>
          <w:color w:val="231F20"/>
        </w:rPr>
        <w:t>altitudes</w:t>
      </w:r>
      <w:r>
        <w:rPr>
          <w:color w:val="231F20"/>
          <w:spacing w:val="-4"/>
        </w:rPr>
        <w:t> </w:t>
      </w:r>
      <w:r>
        <w:rPr>
          <w:color w:val="231F20"/>
        </w:rPr>
        <w:t>de</w:t>
      </w:r>
      <w:r>
        <w:rPr>
          <w:color w:val="231F20"/>
          <w:spacing w:val="-4"/>
        </w:rPr>
        <w:t> </w:t>
      </w:r>
      <w:r>
        <w:rPr>
          <w:color w:val="231F20"/>
        </w:rPr>
        <w:t>0</w:t>
      </w:r>
      <w:r>
        <w:rPr>
          <w:color w:val="231F20"/>
          <w:spacing w:val="-4"/>
        </w:rPr>
        <w:t> </w:t>
      </w:r>
      <w:r>
        <w:rPr>
          <w:color w:val="231F20"/>
        </w:rPr>
        <w:t>a</w:t>
      </w:r>
      <w:r>
        <w:rPr>
          <w:color w:val="231F20"/>
          <w:spacing w:val="-4"/>
        </w:rPr>
        <w:t> </w:t>
      </w:r>
      <w:r>
        <w:rPr>
          <w:color w:val="231F20"/>
        </w:rPr>
        <w:t>1000</w:t>
      </w:r>
      <w:r>
        <w:rPr>
          <w:color w:val="231F20"/>
          <w:spacing w:val="-4"/>
        </w:rPr>
        <w:t> </w:t>
      </w:r>
      <w:r>
        <w:rPr>
          <w:color w:val="231F20"/>
        </w:rPr>
        <w:t>msnm</w:t>
      </w:r>
      <w:r>
        <w:rPr>
          <w:color w:val="231F20"/>
          <w:spacing w:val="-4"/>
        </w:rPr>
        <w:t> </w:t>
      </w:r>
      <w:r>
        <w:rPr>
          <w:color w:val="231F20"/>
        </w:rPr>
        <w:t>con rendimiento de hasta 6.0 t ha-1 de grano y 60 t ha-1 de forraje. Es de altura de planta y mazorca intermedia, con una relación altura de mazorca/altura de planta de 0.51 y es tolerante al acame. Su grano es de color amarillo y de textura semicristalina con buena cobertura de</w:t>
      </w:r>
      <w:r>
        <w:rPr>
          <w:color w:val="231F20"/>
          <w:spacing w:val="-18"/>
        </w:rPr>
        <w:t> </w:t>
      </w:r>
      <w:r>
        <w:rPr>
          <w:color w:val="231F20"/>
        </w:rPr>
        <w:t>mazorca.</w:t>
      </w:r>
    </w:p>
    <w:p>
      <w:pPr>
        <w:pStyle w:val="BodyText"/>
        <w:spacing w:before="10"/>
      </w:pPr>
    </w:p>
    <w:p>
      <w:pPr>
        <w:pStyle w:val="BodyText"/>
        <w:spacing w:line="247" w:lineRule="auto"/>
        <w:ind w:left="1270" w:right="1267"/>
        <w:jc w:val="both"/>
      </w:pPr>
      <w:r>
        <w:rPr>
          <w:color w:val="231F20"/>
        </w:rPr>
        <w:t>H-564C. El híbrido trilineal de maíz H-564C con alta calidad de proteína, se adapta a la región tro- pical en el sureste mexicano, representa una alternativa para incrementar los rendimientos de maíz  y mejorar la nutrición de los consumidores. Este híbrido registra buen rendimiento, características agronómicas favorables: buena cobertura de mazorca, buen aspecto y sanidad de planta y mazorca  y tolerancia al achaparramiento”; La mazorca es de grano blanco semicristalino de forma cilíndrica con</w:t>
      </w:r>
      <w:r>
        <w:rPr>
          <w:color w:val="231F20"/>
          <w:spacing w:val="-8"/>
        </w:rPr>
        <w:t> </w:t>
      </w:r>
      <w:r>
        <w:rPr>
          <w:color w:val="231F20"/>
        </w:rPr>
        <w:t>12</w:t>
      </w:r>
      <w:r>
        <w:rPr>
          <w:color w:val="231F20"/>
          <w:spacing w:val="-8"/>
        </w:rPr>
        <w:t> </w:t>
      </w:r>
      <w:r>
        <w:rPr>
          <w:color w:val="231F20"/>
        </w:rPr>
        <w:t>a</w:t>
      </w:r>
      <w:r>
        <w:rPr>
          <w:color w:val="231F20"/>
          <w:spacing w:val="-8"/>
        </w:rPr>
        <w:t> </w:t>
      </w:r>
      <w:r>
        <w:rPr>
          <w:color w:val="231F20"/>
        </w:rPr>
        <w:t>14</w:t>
      </w:r>
      <w:r>
        <w:rPr>
          <w:color w:val="231F20"/>
          <w:spacing w:val="-8"/>
        </w:rPr>
        <w:t> </w:t>
      </w:r>
      <w:r>
        <w:rPr>
          <w:color w:val="231F20"/>
        </w:rPr>
        <w:t>hileras</w:t>
      </w:r>
      <w:r>
        <w:rPr>
          <w:color w:val="231F20"/>
          <w:spacing w:val="-8"/>
        </w:rPr>
        <w:t> </w:t>
      </w:r>
      <w:r>
        <w:rPr>
          <w:color w:val="231F20"/>
        </w:rPr>
        <w:t>regulares</w:t>
      </w:r>
      <w:r>
        <w:rPr>
          <w:color w:val="231F20"/>
          <w:spacing w:val="-9"/>
        </w:rPr>
        <w:t> </w:t>
      </w:r>
      <w:r>
        <w:rPr>
          <w:color w:val="231F20"/>
        </w:rPr>
        <w:t>y</w:t>
      </w:r>
      <w:r>
        <w:rPr>
          <w:color w:val="231F20"/>
          <w:spacing w:val="-8"/>
        </w:rPr>
        <w:t> </w:t>
      </w:r>
      <w:r>
        <w:rPr>
          <w:color w:val="231F20"/>
        </w:rPr>
        <w:t>su</w:t>
      </w:r>
      <w:r>
        <w:rPr>
          <w:color w:val="231F20"/>
          <w:spacing w:val="-8"/>
        </w:rPr>
        <w:t> </w:t>
      </w:r>
      <w:r>
        <w:rPr>
          <w:color w:val="231F20"/>
        </w:rPr>
        <w:t>apariencia</w:t>
      </w:r>
      <w:r>
        <w:rPr>
          <w:color w:val="231F20"/>
          <w:spacing w:val="-9"/>
        </w:rPr>
        <w:t> </w:t>
      </w:r>
      <w:r>
        <w:rPr>
          <w:color w:val="231F20"/>
        </w:rPr>
        <w:t>es</w:t>
      </w:r>
      <w:r>
        <w:rPr>
          <w:color w:val="231F20"/>
          <w:spacing w:val="-8"/>
        </w:rPr>
        <w:t> </w:t>
      </w:r>
      <w:r>
        <w:rPr>
          <w:color w:val="231F20"/>
        </w:rPr>
        <w:t>practicamente</w:t>
      </w:r>
      <w:r>
        <w:rPr>
          <w:color w:val="231F20"/>
          <w:spacing w:val="-9"/>
        </w:rPr>
        <w:t> </w:t>
      </w:r>
      <w:r>
        <w:rPr>
          <w:color w:val="231F20"/>
        </w:rPr>
        <w:t>similar</w:t>
      </w:r>
      <w:r>
        <w:rPr>
          <w:color w:val="231F20"/>
          <w:spacing w:val="35"/>
        </w:rPr>
        <w:t> </w:t>
      </w:r>
      <w:r>
        <w:rPr>
          <w:color w:val="231F20"/>
        </w:rPr>
        <w:t>a</w:t>
      </w:r>
      <w:r>
        <w:rPr>
          <w:color w:val="231F20"/>
          <w:spacing w:val="-8"/>
        </w:rPr>
        <w:t> </w:t>
      </w:r>
      <w:r>
        <w:rPr>
          <w:color w:val="231F20"/>
        </w:rPr>
        <w:t>la</w:t>
      </w:r>
      <w:r>
        <w:rPr>
          <w:color w:val="231F20"/>
          <w:spacing w:val="-9"/>
        </w:rPr>
        <w:t> </w:t>
      </w:r>
      <w:r>
        <w:rPr>
          <w:color w:val="231F20"/>
        </w:rPr>
        <w:t>del</w:t>
      </w:r>
      <w:r>
        <w:rPr>
          <w:color w:val="231F20"/>
          <w:spacing w:val="-9"/>
        </w:rPr>
        <w:t> </w:t>
      </w:r>
      <w:r>
        <w:rPr>
          <w:color w:val="231F20"/>
        </w:rPr>
        <w:t>maíz</w:t>
      </w:r>
      <w:r>
        <w:rPr>
          <w:color w:val="231F20"/>
          <w:spacing w:val="-9"/>
        </w:rPr>
        <w:t> </w:t>
      </w:r>
      <w:r>
        <w:rPr>
          <w:color w:val="231F20"/>
        </w:rPr>
        <w:t>normal</w:t>
      </w:r>
      <w:r>
        <w:rPr>
          <w:color w:val="231F20"/>
          <w:spacing w:val="-9"/>
        </w:rPr>
        <w:t> </w:t>
      </w:r>
      <w:r>
        <w:rPr>
          <w:color w:val="231F20"/>
        </w:rPr>
        <w:t>(Figura</w:t>
      </w:r>
      <w:r>
        <w:rPr>
          <w:color w:val="231F20"/>
          <w:spacing w:val="-8"/>
        </w:rPr>
        <w:t> </w:t>
      </w:r>
      <w:r>
        <w:rPr>
          <w:color w:val="231F20"/>
        </w:rPr>
        <w:t>5)</w:t>
      </w:r>
    </w:p>
    <w:p>
      <w:pPr>
        <w:spacing w:after="0" w:line="247" w:lineRule="auto"/>
        <w:jc w:val="both"/>
        <w:sectPr>
          <w:pgSz w:w="10920" w:h="13080"/>
          <w:pgMar w:header="0" w:footer="1025" w:top="420" w:bottom="1220" w:left="0" w:right="0"/>
        </w:sectPr>
      </w:pPr>
    </w:p>
    <w:p>
      <w:pPr>
        <w:pStyle w:val="BodyText"/>
        <w:rPr>
          <w:sz w:val="20"/>
        </w:rPr>
      </w:pPr>
    </w:p>
    <w:p>
      <w:pPr>
        <w:pStyle w:val="BodyText"/>
        <w:rPr>
          <w:sz w:val="20"/>
        </w:rPr>
      </w:pPr>
    </w:p>
    <w:p>
      <w:pPr>
        <w:pStyle w:val="BodyText"/>
        <w:rPr>
          <w:sz w:val="23"/>
        </w:rPr>
      </w:pPr>
    </w:p>
    <w:p>
      <w:pPr>
        <w:spacing w:before="77"/>
        <w:ind w:left="2386" w:right="1279" w:firstLine="0"/>
        <w:jc w:val="left"/>
        <w:rPr>
          <w:b/>
          <w:sz w:val="18"/>
        </w:rPr>
      </w:pPr>
      <w:r>
        <w:rPr>
          <w:b/>
          <w:color w:val="010202"/>
          <w:sz w:val="18"/>
        </w:rPr>
        <w:t>Figura 5. H-564C con alta calidad de proteína, es de grano blanco semicristalino</w:t>
      </w:r>
    </w:p>
    <w:p>
      <w:pPr>
        <w:pStyle w:val="BodyText"/>
        <w:spacing w:before="6"/>
        <w:rPr>
          <w:b/>
          <w:sz w:val="10"/>
        </w:rPr>
      </w:pPr>
      <w:r>
        <w:rPr/>
        <w:drawing>
          <wp:anchor distT="0" distB="0" distL="0" distR="0" allowOverlap="1" layoutInCell="1" locked="0" behindDoc="0" simplePos="0" relativeHeight="2704">
            <wp:simplePos x="0" y="0"/>
            <wp:positionH relativeFrom="page">
              <wp:posOffset>1760895</wp:posOffset>
            </wp:positionH>
            <wp:positionV relativeFrom="paragraph">
              <wp:posOffset>101962</wp:posOffset>
            </wp:positionV>
            <wp:extent cx="3403782" cy="2565654"/>
            <wp:effectExtent l="0" t="0" r="0" b="0"/>
            <wp:wrapTopAndBottom/>
            <wp:docPr id="69" name="image14.jpeg" descr=""/>
            <wp:cNvGraphicFramePr>
              <a:graphicFrameLocks noChangeAspect="1"/>
            </wp:cNvGraphicFramePr>
            <a:graphic>
              <a:graphicData uri="http://schemas.openxmlformats.org/drawingml/2006/picture">
                <pic:pic>
                  <pic:nvPicPr>
                    <pic:cNvPr id="70" name="image14.jpeg"/>
                    <pic:cNvPicPr/>
                  </pic:nvPicPr>
                  <pic:blipFill>
                    <a:blip r:embed="rId28" cstate="print"/>
                    <a:stretch>
                      <a:fillRect/>
                    </a:stretch>
                  </pic:blipFill>
                  <pic:spPr>
                    <a:xfrm>
                      <a:off x="0" y="0"/>
                      <a:ext cx="3403782" cy="2565654"/>
                    </a:xfrm>
                    <a:prstGeom prst="rect">
                      <a:avLst/>
                    </a:prstGeom>
                  </pic:spPr>
                </pic:pic>
              </a:graphicData>
            </a:graphic>
          </wp:anchor>
        </w:drawing>
      </w:r>
    </w:p>
    <w:p>
      <w:pPr>
        <w:pStyle w:val="BodyText"/>
        <w:spacing w:before="9"/>
        <w:rPr>
          <w:b/>
          <w:sz w:val="24"/>
        </w:rPr>
      </w:pPr>
    </w:p>
    <w:p>
      <w:pPr>
        <w:pStyle w:val="Heading5"/>
      </w:pPr>
      <w:r>
        <w:rPr>
          <w:color w:val="231F20"/>
        </w:rPr>
        <w:t>Uso de semilla mejorada</w:t>
      </w:r>
    </w:p>
    <w:p>
      <w:pPr>
        <w:pStyle w:val="BodyText"/>
        <w:spacing w:line="247" w:lineRule="auto" w:before="8"/>
        <w:ind w:left="1270" w:right="1268"/>
        <w:jc w:val="both"/>
      </w:pPr>
      <w:r>
        <w:rPr>
          <w:color w:val="231F20"/>
        </w:rPr>
        <w:t>El</w:t>
      </w:r>
      <w:r>
        <w:rPr>
          <w:color w:val="231F20"/>
          <w:spacing w:val="-11"/>
        </w:rPr>
        <w:t> </w:t>
      </w:r>
      <w:r>
        <w:rPr>
          <w:color w:val="231F20"/>
          <w:spacing w:val="-3"/>
        </w:rPr>
        <w:t>INIFAP</w:t>
      </w:r>
      <w:r>
        <w:rPr>
          <w:color w:val="231F20"/>
          <w:spacing w:val="-18"/>
        </w:rPr>
        <w:t> </w:t>
      </w:r>
      <w:r>
        <w:rPr>
          <w:color w:val="231F20"/>
        </w:rPr>
        <w:t>produce</w:t>
      </w:r>
      <w:r>
        <w:rPr>
          <w:color w:val="231F20"/>
          <w:spacing w:val="-11"/>
        </w:rPr>
        <w:t> </w:t>
      </w:r>
      <w:r>
        <w:rPr>
          <w:color w:val="231F20"/>
        </w:rPr>
        <w:t>semilla</w:t>
      </w:r>
      <w:r>
        <w:rPr>
          <w:color w:val="231F20"/>
          <w:spacing w:val="-11"/>
        </w:rPr>
        <w:t> </w:t>
      </w:r>
      <w:r>
        <w:rPr>
          <w:color w:val="231F20"/>
        </w:rPr>
        <w:t>de</w:t>
      </w:r>
      <w:r>
        <w:rPr>
          <w:color w:val="231F20"/>
          <w:spacing w:val="-11"/>
        </w:rPr>
        <w:t> </w:t>
      </w:r>
      <w:r>
        <w:rPr>
          <w:color w:val="231F20"/>
        </w:rPr>
        <w:t>alto</w:t>
      </w:r>
      <w:r>
        <w:rPr>
          <w:color w:val="231F20"/>
          <w:spacing w:val="-11"/>
        </w:rPr>
        <w:t> </w:t>
      </w:r>
      <w:r>
        <w:rPr>
          <w:color w:val="231F20"/>
        </w:rPr>
        <w:t>registro</w:t>
      </w:r>
      <w:r>
        <w:rPr>
          <w:color w:val="231F20"/>
          <w:spacing w:val="-11"/>
        </w:rPr>
        <w:t> </w:t>
      </w:r>
      <w:r>
        <w:rPr>
          <w:color w:val="231F20"/>
        </w:rPr>
        <w:t>de</w:t>
      </w:r>
      <w:r>
        <w:rPr>
          <w:color w:val="231F20"/>
          <w:spacing w:val="-11"/>
        </w:rPr>
        <w:t> </w:t>
      </w:r>
      <w:r>
        <w:rPr>
          <w:color w:val="231F20"/>
        </w:rPr>
        <w:t>genotipos</w:t>
      </w:r>
      <w:r>
        <w:rPr>
          <w:color w:val="231F20"/>
          <w:spacing w:val="-11"/>
        </w:rPr>
        <w:t> </w:t>
      </w:r>
      <w:r>
        <w:rPr>
          <w:color w:val="231F20"/>
        </w:rPr>
        <w:t>sobresalientes,</w:t>
      </w:r>
      <w:r>
        <w:rPr>
          <w:color w:val="231F20"/>
          <w:spacing w:val="-11"/>
        </w:rPr>
        <w:t> </w:t>
      </w:r>
      <w:r>
        <w:rPr>
          <w:color w:val="231F20"/>
        </w:rPr>
        <w:t>adaptados</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región</w:t>
      </w:r>
      <w:r>
        <w:rPr>
          <w:color w:val="231F20"/>
          <w:spacing w:val="-11"/>
        </w:rPr>
        <w:t> </w:t>
      </w:r>
      <w:r>
        <w:rPr>
          <w:color w:val="231F20"/>
        </w:rPr>
        <w:t>tropical en</w:t>
      </w:r>
      <w:r>
        <w:rPr>
          <w:color w:val="231F20"/>
          <w:spacing w:val="-5"/>
        </w:rPr>
        <w:t> </w:t>
      </w:r>
      <w:r>
        <w:rPr>
          <w:color w:val="231F20"/>
        </w:rPr>
        <w:t>el</w:t>
      </w:r>
      <w:r>
        <w:rPr>
          <w:color w:val="231F20"/>
          <w:spacing w:val="-5"/>
        </w:rPr>
        <w:t> </w:t>
      </w:r>
      <w:r>
        <w:rPr>
          <w:color w:val="231F20"/>
        </w:rPr>
        <w:t>sureste</w:t>
      </w:r>
      <w:r>
        <w:rPr>
          <w:color w:val="231F20"/>
          <w:spacing w:val="-5"/>
        </w:rPr>
        <w:t> </w:t>
      </w:r>
      <w:r>
        <w:rPr>
          <w:color w:val="231F20"/>
        </w:rPr>
        <w:t>de</w:t>
      </w:r>
      <w:r>
        <w:rPr>
          <w:color w:val="231F20"/>
          <w:spacing w:val="-5"/>
        </w:rPr>
        <w:t> </w:t>
      </w:r>
      <w:r>
        <w:rPr>
          <w:color w:val="231F20"/>
        </w:rPr>
        <w:t>México.</w:t>
      </w:r>
      <w:r>
        <w:rPr>
          <w:color w:val="231F20"/>
          <w:spacing w:val="-5"/>
        </w:rPr>
        <w:t> </w:t>
      </w:r>
      <w:r>
        <w:rPr>
          <w:color w:val="231F20"/>
        </w:rPr>
        <w:t>Durante</w:t>
      </w:r>
      <w:r>
        <w:rPr>
          <w:color w:val="231F20"/>
          <w:spacing w:val="-5"/>
        </w:rPr>
        <w:t> </w:t>
      </w:r>
      <w:r>
        <w:rPr>
          <w:color w:val="231F20"/>
        </w:rPr>
        <w:t>2007</w:t>
      </w:r>
      <w:r>
        <w:rPr>
          <w:color w:val="231F20"/>
          <w:spacing w:val="-5"/>
        </w:rPr>
        <w:t> </w:t>
      </w:r>
      <w:r>
        <w:rPr>
          <w:color w:val="231F20"/>
        </w:rPr>
        <w:t>al</w:t>
      </w:r>
      <w:r>
        <w:rPr>
          <w:color w:val="231F20"/>
          <w:spacing w:val="-5"/>
        </w:rPr>
        <w:t> </w:t>
      </w:r>
      <w:r>
        <w:rPr>
          <w:color w:val="231F20"/>
        </w:rPr>
        <w:t>2010,</w:t>
      </w:r>
      <w:r>
        <w:rPr>
          <w:color w:val="231F20"/>
          <w:spacing w:val="-5"/>
        </w:rPr>
        <w:t> </w:t>
      </w:r>
      <w:r>
        <w:rPr>
          <w:color w:val="231F20"/>
        </w:rPr>
        <w:t>se</w:t>
      </w:r>
      <w:r>
        <w:rPr>
          <w:color w:val="231F20"/>
          <w:spacing w:val="-5"/>
        </w:rPr>
        <w:t> </w:t>
      </w:r>
      <w:r>
        <w:rPr>
          <w:color w:val="231F20"/>
        </w:rPr>
        <w:t>distribuyó</w:t>
      </w:r>
      <w:r>
        <w:rPr>
          <w:color w:val="231F20"/>
          <w:spacing w:val="-5"/>
        </w:rPr>
        <w:t> </w:t>
      </w:r>
      <w:r>
        <w:rPr>
          <w:color w:val="231F20"/>
        </w:rPr>
        <w:t>semilla</w:t>
      </w:r>
      <w:r>
        <w:rPr>
          <w:color w:val="231F20"/>
          <w:spacing w:val="-5"/>
        </w:rPr>
        <w:t> </w:t>
      </w:r>
      <w:r>
        <w:rPr>
          <w:color w:val="231F20"/>
        </w:rPr>
        <w:t>básica</w:t>
      </w:r>
      <w:r>
        <w:rPr>
          <w:color w:val="231F20"/>
          <w:spacing w:val="-5"/>
        </w:rPr>
        <w:t> </w:t>
      </w:r>
      <w:r>
        <w:rPr>
          <w:color w:val="231F20"/>
        </w:rPr>
        <w:t>y</w:t>
      </w:r>
      <w:r>
        <w:rPr>
          <w:color w:val="231F20"/>
          <w:spacing w:val="-5"/>
        </w:rPr>
        <w:t> </w:t>
      </w:r>
      <w:r>
        <w:rPr>
          <w:color w:val="231F20"/>
        </w:rPr>
        <w:t>registrada</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geno- tipos de maíz normal VS-536, H-520 y con alta calidad de proteína </w:t>
      </w:r>
      <w:r>
        <w:rPr>
          <w:color w:val="231F20"/>
          <w:spacing w:val="-3"/>
        </w:rPr>
        <w:t>V-537C, </w:t>
      </w:r>
      <w:r>
        <w:rPr>
          <w:color w:val="231F20"/>
        </w:rPr>
        <w:t>H-519C y H-564C, de grano blanco y </w:t>
      </w:r>
      <w:r>
        <w:rPr>
          <w:color w:val="231F20"/>
          <w:spacing w:val="-3"/>
        </w:rPr>
        <w:t>V-556AC </w:t>
      </w:r>
      <w:r>
        <w:rPr>
          <w:color w:val="231F20"/>
        </w:rPr>
        <w:t>de grano amarillo, a Organizaciones de productores y empresas</w:t>
      </w:r>
      <w:r>
        <w:rPr>
          <w:color w:val="231F20"/>
          <w:spacing w:val="-16"/>
        </w:rPr>
        <w:t> </w:t>
      </w:r>
      <w:r>
        <w:rPr>
          <w:color w:val="231F20"/>
        </w:rPr>
        <w:t>semilleras nacionales</w:t>
      </w:r>
      <w:r>
        <w:rPr>
          <w:color w:val="231F20"/>
          <w:spacing w:val="-8"/>
        </w:rPr>
        <w:t> </w:t>
      </w:r>
      <w:r>
        <w:rPr>
          <w:color w:val="231F20"/>
        </w:rPr>
        <w:t>para</w:t>
      </w:r>
      <w:r>
        <w:rPr>
          <w:color w:val="231F20"/>
          <w:spacing w:val="-8"/>
        </w:rPr>
        <w:t> </w:t>
      </w:r>
      <w:r>
        <w:rPr>
          <w:color w:val="231F20"/>
        </w:rPr>
        <w:t>la</w:t>
      </w:r>
      <w:r>
        <w:rPr>
          <w:color w:val="231F20"/>
          <w:spacing w:val="-8"/>
        </w:rPr>
        <w:t> </w:t>
      </w:r>
      <w:r>
        <w:rPr>
          <w:color w:val="231F20"/>
        </w:rPr>
        <w:t>producción</w:t>
      </w:r>
      <w:r>
        <w:rPr>
          <w:color w:val="231F20"/>
          <w:spacing w:val="-8"/>
        </w:rPr>
        <w:t> </w:t>
      </w:r>
      <w:r>
        <w:rPr>
          <w:color w:val="231F20"/>
        </w:rPr>
        <w:t>de</w:t>
      </w:r>
      <w:r>
        <w:rPr>
          <w:color w:val="231F20"/>
          <w:spacing w:val="-7"/>
        </w:rPr>
        <w:t> </w:t>
      </w:r>
      <w:r>
        <w:rPr>
          <w:color w:val="231F20"/>
        </w:rPr>
        <w:t>semilla</w:t>
      </w:r>
      <w:r>
        <w:rPr>
          <w:color w:val="231F20"/>
          <w:spacing w:val="-8"/>
        </w:rPr>
        <w:t> </w:t>
      </w:r>
      <w:r>
        <w:rPr>
          <w:color w:val="231F20"/>
        </w:rPr>
        <w:t>certificada,</w:t>
      </w:r>
      <w:r>
        <w:rPr>
          <w:color w:val="231F20"/>
          <w:spacing w:val="-8"/>
        </w:rPr>
        <w:t> </w:t>
      </w:r>
      <w:r>
        <w:rPr>
          <w:color w:val="231F20"/>
        </w:rPr>
        <w:t>la</w:t>
      </w:r>
      <w:r>
        <w:rPr>
          <w:color w:val="231F20"/>
          <w:spacing w:val="-8"/>
        </w:rPr>
        <w:t> </w:t>
      </w:r>
      <w:r>
        <w:rPr>
          <w:color w:val="231F20"/>
        </w:rPr>
        <w:t>cual</w:t>
      </w:r>
      <w:r>
        <w:rPr>
          <w:color w:val="231F20"/>
          <w:spacing w:val="-8"/>
        </w:rPr>
        <w:t> </w:t>
      </w:r>
      <w:r>
        <w:rPr>
          <w:color w:val="231F20"/>
        </w:rPr>
        <w:t>permitió</w:t>
      </w:r>
      <w:r>
        <w:rPr>
          <w:color w:val="231F20"/>
          <w:spacing w:val="-8"/>
        </w:rPr>
        <w:t> </w:t>
      </w:r>
      <w:r>
        <w:rPr>
          <w:color w:val="231F20"/>
        </w:rPr>
        <w:t>impactar</w:t>
      </w:r>
      <w:r>
        <w:rPr>
          <w:color w:val="231F20"/>
          <w:spacing w:val="-8"/>
        </w:rPr>
        <w:t> </w:t>
      </w:r>
      <w:r>
        <w:rPr>
          <w:color w:val="231F20"/>
        </w:rPr>
        <w:t>en</w:t>
      </w:r>
      <w:r>
        <w:rPr>
          <w:color w:val="231F20"/>
          <w:spacing w:val="-7"/>
        </w:rPr>
        <w:t> </w:t>
      </w:r>
      <w:r>
        <w:rPr>
          <w:color w:val="231F20"/>
        </w:rPr>
        <w:t>una</w:t>
      </w:r>
      <w:r>
        <w:rPr>
          <w:color w:val="231F20"/>
          <w:spacing w:val="-7"/>
        </w:rPr>
        <w:t> </w:t>
      </w:r>
      <w:r>
        <w:rPr>
          <w:color w:val="231F20"/>
        </w:rPr>
        <w:t>superficie</w:t>
      </w:r>
      <w:r>
        <w:rPr>
          <w:color w:val="231F20"/>
          <w:spacing w:val="-8"/>
        </w:rPr>
        <w:t> </w:t>
      </w:r>
      <w:r>
        <w:rPr>
          <w:color w:val="231F20"/>
        </w:rPr>
        <w:t>total en los últimos cuatro años, de 346,753.75 hectáreas de siembra comercial con estos genotipos en el sureste</w:t>
      </w:r>
      <w:r>
        <w:rPr>
          <w:color w:val="231F20"/>
          <w:spacing w:val="-10"/>
        </w:rPr>
        <w:t> </w:t>
      </w:r>
      <w:r>
        <w:rPr>
          <w:color w:val="231F20"/>
        </w:rPr>
        <w:t>mexicano,</w:t>
      </w:r>
      <w:r>
        <w:rPr>
          <w:color w:val="231F20"/>
          <w:spacing w:val="-10"/>
        </w:rPr>
        <w:t> </w:t>
      </w:r>
      <w:r>
        <w:rPr>
          <w:color w:val="231F20"/>
        </w:rPr>
        <w:t>según</w:t>
      </w:r>
      <w:r>
        <w:rPr>
          <w:color w:val="231F20"/>
          <w:spacing w:val="-10"/>
        </w:rPr>
        <w:t> </w:t>
      </w:r>
      <w:r>
        <w:rPr>
          <w:color w:val="231F20"/>
        </w:rPr>
        <w:t>se</w:t>
      </w:r>
      <w:r>
        <w:rPr>
          <w:color w:val="231F20"/>
          <w:spacing w:val="-10"/>
        </w:rPr>
        <w:t> </w:t>
      </w:r>
      <w:r>
        <w:rPr>
          <w:color w:val="231F20"/>
        </w:rPr>
        <w:t>desglosa</w:t>
      </w:r>
      <w:r>
        <w:rPr>
          <w:color w:val="231F20"/>
          <w:spacing w:val="-10"/>
        </w:rPr>
        <w:t> </w:t>
      </w:r>
      <w:r>
        <w:rPr>
          <w:color w:val="231F20"/>
        </w:rPr>
        <w:t>a</w:t>
      </w:r>
      <w:r>
        <w:rPr>
          <w:color w:val="231F20"/>
          <w:spacing w:val="-10"/>
        </w:rPr>
        <w:t> </w:t>
      </w:r>
      <w:r>
        <w:rPr>
          <w:color w:val="231F20"/>
        </w:rPr>
        <w:t>continuación</w:t>
      </w:r>
      <w:r>
        <w:rPr>
          <w:color w:val="231F20"/>
          <w:spacing w:val="-11"/>
        </w:rPr>
        <w:t> </w:t>
      </w:r>
      <w:r>
        <w:rPr>
          <w:color w:val="231F20"/>
        </w:rPr>
        <w:t>en</w:t>
      </w:r>
      <w:r>
        <w:rPr>
          <w:color w:val="231F20"/>
          <w:spacing w:val="-10"/>
        </w:rPr>
        <w:t> </w:t>
      </w:r>
      <w:r>
        <w:rPr>
          <w:color w:val="231F20"/>
        </w:rPr>
        <w:t>el</w:t>
      </w:r>
      <w:r>
        <w:rPr>
          <w:color w:val="231F20"/>
          <w:spacing w:val="-10"/>
        </w:rPr>
        <w:t> </w:t>
      </w:r>
      <w:r>
        <w:rPr>
          <w:color w:val="231F20"/>
        </w:rPr>
        <w:t>Cuadro</w:t>
      </w:r>
      <w:r>
        <w:rPr>
          <w:color w:val="231F20"/>
          <w:spacing w:val="-10"/>
        </w:rPr>
        <w:t> </w:t>
      </w:r>
      <w:r>
        <w:rPr>
          <w:color w:val="231F20"/>
        </w:rPr>
        <w:t>2.</w:t>
      </w:r>
      <w:r>
        <w:rPr>
          <w:color w:val="231F20"/>
          <w:spacing w:val="-10"/>
        </w:rPr>
        <w:t> </w:t>
      </w:r>
      <w:r>
        <w:rPr>
          <w:color w:val="231F20"/>
        </w:rPr>
        <w:t>Lo</w:t>
      </w:r>
      <w:r>
        <w:rPr>
          <w:color w:val="231F20"/>
          <w:spacing w:val="-10"/>
        </w:rPr>
        <w:t> </w:t>
      </w:r>
      <w:r>
        <w:rPr>
          <w:color w:val="231F20"/>
        </w:rPr>
        <w:t>anterior</w:t>
      </w:r>
      <w:r>
        <w:rPr>
          <w:color w:val="231F20"/>
          <w:spacing w:val="-11"/>
        </w:rPr>
        <w:t> </w:t>
      </w:r>
      <w:r>
        <w:rPr>
          <w:color w:val="231F20"/>
        </w:rPr>
        <w:t>sugiere</w:t>
      </w:r>
      <w:r>
        <w:rPr>
          <w:color w:val="231F20"/>
          <w:spacing w:val="-10"/>
        </w:rPr>
        <w:t> </w:t>
      </w:r>
      <w:r>
        <w:rPr>
          <w:color w:val="231F20"/>
        </w:rPr>
        <w:t>que</w:t>
      </w:r>
      <w:r>
        <w:rPr>
          <w:color w:val="231F20"/>
          <w:spacing w:val="-10"/>
        </w:rPr>
        <w:t> </w:t>
      </w:r>
      <w:r>
        <w:rPr>
          <w:color w:val="231F20"/>
        </w:rPr>
        <w:t>los</w:t>
      </w:r>
      <w:r>
        <w:rPr>
          <w:color w:val="231F20"/>
          <w:spacing w:val="-10"/>
        </w:rPr>
        <w:t> </w:t>
      </w:r>
      <w:r>
        <w:rPr>
          <w:color w:val="231F20"/>
        </w:rPr>
        <w:t>geno- tipos</w:t>
      </w:r>
      <w:r>
        <w:rPr>
          <w:color w:val="231F20"/>
          <w:spacing w:val="-6"/>
        </w:rPr>
        <w:t> </w:t>
      </w:r>
      <w:r>
        <w:rPr>
          <w:color w:val="231F20"/>
        </w:rPr>
        <w:t>han</w:t>
      </w:r>
      <w:r>
        <w:rPr>
          <w:color w:val="231F20"/>
          <w:spacing w:val="-6"/>
        </w:rPr>
        <w:t> </w:t>
      </w:r>
      <w:r>
        <w:rPr>
          <w:color w:val="231F20"/>
        </w:rPr>
        <w:t>sido</w:t>
      </w:r>
      <w:r>
        <w:rPr>
          <w:color w:val="231F20"/>
          <w:spacing w:val="-6"/>
        </w:rPr>
        <w:t> </w:t>
      </w:r>
      <w:r>
        <w:rPr>
          <w:color w:val="231F20"/>
        </w:rPr>
        <w:t>adoptados</w:t>
      </w:r>
      <w:r>
        <w:rPr>
          <w:color w:val="231F20"/>
          <w:spacing w:val="-7"/>
        </w:rPr>
        <w:t> </w:t>
      </w:r>
      <w:r>
        <w:rPr>
          <w:color w:val="231F20"/>
        </w:rPr>
        <w:t>por</w:t>
      </w:r>
      <w:r>
        <w:rPr>
          <w:color w:val="231F20"/>
          <w:spacing w:val="-6"/>
        </w:rPr>
        <w:t> </w:t>
      </w:r>
      <w:r>
        <w:rPr>
          <w:color w:val="231F20"/>
        </w:rPr>
        <w:t>los</w:t>
      </w:r>
      <w:r>
        <w:rPr>
          <w:color w:val="231F20"/>
          <w:spacing w:val="-6"/>
        </w:rPr>
        <w:t> </w:t>
      </w:r>
      <w:r>
        <w:rPr>
          <w:color w:val="231F20"/>
        </w:rPr>
        <w:t>productores</w:t>
      </w:r>
      <w:r>
        <w:rPr>
          <w:color w:val="231F20"/>
          <w:spacing w:val="-6"/>
        </w:rPr>
        <w:t> </w:t>
      </w:r>
      <w:r>
        <w:rPr>
          <w:color w:val="231F20"/>
        </w:rPr>
        <w:t>y</w:t>
      </w:r>
      <w:r>
        <w:rPr>
          <w:color w:val="231F20"/>
          <w:spacing w:val="-6"/>
        </w:rPr>
        <w:t> </w:t>
      </w:r>
      <w:r>
        <w:rPr>
          <w:color w:val="231F20"/>
        </w:rPr>
        <w:t>que</w:t>
      </w:r>
      <w:r>
        <w:rPr>
          <w:color w:val="231F20"/>
          <w:spacing w:val="-6"/>
        </w:rPr>
        <w:t> </w:t>
      </w:r>
      <w:r>
        <w:rPr>
          <w:color w:val="231F20"/>
        </w:rPr>
        <w:t>es</w:t>
      </w:r>
      <w:r>
        <w:rPr>
          <w:color w:val="231F20"/>
          <w:spacing w:val="-6"/>
        </w:rPr>
        <w:t> </w:t>
      </w:r>
      <w:r>
        <w:rPr>
          <w:color w:val="231F20"/>
        </w:rPr>
        <w:t>factible</w:t>
      </w:r>
      <w:r>
        <w:rPr>
          <w:color w:val="231F20"/>
          <w:spacing w:val="-6"/>
        </w:rPr>
        <w:t> </w:t>
      </w:r>
      <w:r>
        <w:rPr>
          <w:color w:val="231F20"/>
        </w:rPr>
        <w:t>y</w:t>
      </w:r>
      <w:r>
        <w:rPr>
          <w:color w:val="231F20"/>
          <w:spacing w:val="-6"/>
        </w:rPr>
        <w:t> </w:t>
      </w:r>
      <w:r>
        <w:rPr>
          <w:color w:val="231F20"/>
        </w:rPr>
        <w:t>rentable</w:t>
      </w:r>
      <w:r>
        <w:rPr>
          <w:color w:val="231F20"/>
          <w:spacing w:val="-6"/>
        </w:rPr>
        <w:t> </w:t>
      </w:r>
      <w:r>
        <w:rPr>
          <w:color w:val="231F20"/>
        </w:rPr>
        <w:t>la</w:t>
      </w:r>
      <w:r>
        <w:rPr>
          <w:color w:val="231F20"/>
          <w:spacing w:val="-6"/>
        </w:rPr>
        <w:t> </w:t>
      </w:r>
      <w:r>
        <w:rPr>
          <w:color w:val="231F20"/>
        </w:rPr>
        <w:t>producción</w:t>
      </w:r>
      <w:r>
        <w:rPr>
          <w:color w:val="231F20"/>
          <w:spacing w:val="-6"/>
        </w:rPr>
        <w:t> </w:t>
      </w:r>
      <w:r>
        <w:rPr>
          <w:color w:val="231F20"/>
        </w:rPr>
        <w:t>de</w:t>
      </w:r>
      <w:r>
        <w:rPr>
          <w:color w:val="231F20"/>
          <w:spacing w:val="-6"/>
        </w:rPr>
        <w:t> </w:t>
      </w:r>
      <w:r>
        <w:rPr>
          <w:color w:val="231F20"/>
        </w:rPr>
        <w:t>su</w:t>
      </w:r>
      <w:r>
        <w:rPr>
          <w:color w:val="231F20"/>
          <w:spacing w:val="-6"/>
        </w:rPr>
        <w:t> </w:t>
      </w:r>
      <w:r>
        <w:rPr>
          <w:color w:val="231F20"/>
        </w:rPr>
        <w:t>semilla.</w:t>
      </w:r>
    </w:p>
    <w:p>
      <w:pPr>
        <w:pStyle w:val="BodyText"/>
        <w:spacing w:before="4"/>
      </w:pPr>
    </w:p>
    <w:p>
      <w:pPr>
        <w:spacing w:before="1"/>
        <w:ind w:left="1498" w:right="1489" w:firstLine="0"/>
        <w:jc w:val="center"/>
        <w:rPr>
          <w:b/>
          <w:sz w:val="18"/>
        </w:rPr>
      </w:pPr>
      <w:r>
        <w:rPr>
          <w:b/>
          <w:color w:val="010202"/>
          <w:sz w:val="18"/>
        </w:rPr>
        <w:t>Cuadro 2. Superficie (Hectáreas) sembrada con semilla de maíz producida por el INIFAP</w:t>
      </w:r>
    </w:p>
    <w:p>
      <w:pPr>
        <w:spacing w:before="9"/>
        <w:ind w:left="1489" w:right="1489" w:firstLine="0"/>
        <w:jc w:val="center"/>
        <w:rPr>
          <w:b/>
          <w:sz w:val="18"/>
        </w:rPr>
      </w:pPr>
      <w:r>
        <w:rPr>
          <w:b/>
          <w:color w:val="010202"/>
          <w:sz w:val="18"/>
        </w:rPr>
        <w:t>Campo Experimental Cotaxtla para el Sureste Mexicano. 2007-2010</w:t>
      </w:r>
    </w:p>
    <w:p>
      <w:pPr>
        <w:pStyle w:val="BodyText"/>
        <w:spacing w:before="3"/>
        <w:rPr>
          <w:b/>
        </w:rPr>
      </w:pPr>
    </w:p>
    <w:tbl>
      <w:tblPr>
        <w:tblW w:w="0" w:type="auto"/>
        <w:jc w:val="left"/>
        <w:tblInd w:w="127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35"/>
        <w:gridCol w:w="1272"/>
        <w:gridCol w:w="1440"/>
        <w:gridCol w:w="1440"/>
        <w:gridCol w:w="1485"/>
        <w:gridCol w:w="1607"/>
      </w:tblGrid>
      <w:tr>
        <w:trPr>
          <w:trHeight w:val="285" w:hRule="exact"/>
        </w:trPr>
        <w:tc>
          <w:tcPr>
            <w:tcW w:w="1135" w:type="dxa"/>
            <w:tcBorders>
              <w:top w:val="single" w:sz="6" w:space="0" w:color="010202"/>
              <w:bottom w:val="single" w:sz="6" w:space="0" w:color="010202"/>
            </w:tcBorders>
          </w:tcPr>
          <w:p>
            <w:pPr>
              <w:pStyle w:val="TableParagraph"/>
              <w:spacing w:before="40"/>
              <w:ind w:left="119"/>
              <w:rPr>
                <w:b/>
                <w:sz w:val="18"/>
              </w:rPr>
            </w:pPr>
            <w:r>
              <w:rPr>
                <w:b/>
                <w:color w:val="231F20"/>
                <w:sz w:val="18"/>
              </w:rPr>
              <w:t>Genotipo</w:t>
            </w:r>
          </w:p>
        </w:tc>
        <w:tc>
          <w:tcPr>
            <w:tcW w:w="1272" w:type="dxa"/>
            <w:tcBorders>
              <w:top w:val="single" w:sz="6" w:space="0" w:color="010202"/>
              <w:bottom w:val="single" w:sz="6" w:space="0" w:color="010202"/>
            </w:tcBorders>
          </w:tcPr>
          <w:p>
            <w:pPr>
              <w:pStyle w:val="TableParagraph"/>
              <w:spacing w:before="40"/>
              <w:ind w:left="304"/>
              <w:rPr>
                <w:b/>
                <w:sz w:val="18"/>
              </w:rPr>
            </w:pPr>
            <w:r>
              <w:rPr>
                <w:b/>
                <w:color w:val="231F20"/>
                <w:sz w:val="18"/>
              </w:rPr>
              <w:t>2007</w:t>
            </w:r>
          </w:p>
        </w:tc>
        <w:tc>
          <w:tcPr>
            <w:tcW w:w="1440" w:type="dxa"/>
            <w:tcBorders>
              <w:top w:val="single" w:sz="6" w:space="0" w:color="010202"/>
              <w:bottom w:val="single" w:sz="6" w:space="0" w:color="010202"/>
            </w:tcBorders>
          </w:tcPr>
          <w:p>
            <w:pPr>
              <w:pStyle w:val="TableParagraph"/>
              <w:spacing w:before="40"/>
              <w:ind w:left="319" w:right="452"/>
              <w:jc w:val="center"/>
              <w:rPr>
                <w:b/>
                <w:sz w:val="18"/>
              </w:rPr>
            </w:pPr>
            <w:r>
              <w:rPr>
                <w:b/>
                <w:color w:val="231F20"/>
                <w:sz w:val="18"/>
              </w:rPr>
              <w:t>2008</w:t>
            </w:r>
          </w:p>
        </w:tc>
        <w:tc>
          <w:tcPr>
            <w:tcW w:w="1440" w:type="dxa"/>
            <w:tcBorders>
              <w:top w:val="single" w:sz="6" w:space="0" w:color="010202"/>
              <w:bottom w:val="single" w:sz="6" w:space="0" w:color="010202"/>
            </w:tcBorders>
          </w:tcPr>
          <w:p>
            <w:pPr>
              <w:pStyle w:val="TableParagraph"/>
              <w:spacing w:before="40"/>
              <w:ind w:left="472"/>
              <w:rPr>
                <w:b/>
                <w:sz w:val="18"/>
              </w:rPr>
            </w:pPr>
            <w:r>
              <w:rPr>
                <w:b/>
                <w:color w:val="231F20"/>
                <w:sz w:val="18"/>
              </w:rPr>
              <w:t>2009</w:t>
            </w:r>
          </w:p>
        </w:tc>
        <w:tc>
          <w:tcPr>
            <w:tcW w:w="1485" w:type="dxa"/>
            <w:tcBorders>
              <w:top w:val="single" w:sz="6" w:space="0" w:color="010202"/>
              <w:bottom w:val="single" w:sz="6" w:space="0" w:color="010202"/>
            </w:tcBorders>
          </w:tcPr>
          <w:p>
            <w:pPr>
              <w:pStyle w:val="TableParagraph"/>
              <w:spacing w:before="40"/>
              <w:ind w:left="472"/>
              <w:rPr>
                <w:b/>
                <w:sz w:val="18"/>
              </w:rPr>
            </w:pPr>
            <w:r>
              <w:rPr>
                <w:b/>
                <w:color w:val="231F20"/>
                <w:sz w:val="18"/>
              </w:rPr>
              <w:t>2010</w:t>
            </w:r>
          </w:p>
        </w:tc>
        <w:tc>
          <w:tcPr>
            <w:tcW w:w="1607" w:type="dxa"/>
            <w:tcBorders>
              <w:top w:val="single" w:sz="6" w:space="0" w:color="010202"/>
              <w:bottom w:val="single" w:sz="6" w:space="0" w:color="010202"/>
            </w:tcBorders>
          </w:tcPr>
          <w:p>
            <w:pPr>
              <w:pStyle w:val="TableParagraph"/>
              <w:spacing w:before="40"/>
              <w:ind w:left="427"/>
              <w:rPr>
                <w:b/>
                <w:sz w:val="18"/>
              </w:rPr>
            </w:pPr>
            <w:r>
              <w:rPr>
                <w:b/>
                <w:color w:val="231F20"/>
                <w:sz w:val="18"/>
              </w:rPr>
              <w:t>Total</w:t>
            </w:r>
          </w:p>
        </w:tc>
      </w:tr>
      <w:tr>
        <w:trPr>
          <w:trHeight w:val="251" w:hRule="exact"/>
        </w:trPr>
        <w:tc>
          <w:tcPr>
            <w:tcW w:w="1135" w:type="dxa"/>
            <w:tcBorders>
              <w:top w:val="single" w:sz="6" w:space="0" w:color="010202"/>
            </w:tcBorders>
          </w:tcPr>
          <w:p>
            <w:pPr>
              <w:pStyle w:val="TableParagraph"/>
              <w:spacing w:before="5"/>
              <w:ind w:left="119"/>
              <w:rPr>
                <w:sz w:val="18"/>
              </w:rPr>
            </w:pPr>
            <w:r>
              <w:rPr>
                <w:color w:val="231F20"/>
                <w:sz w:val="18"/>
              </w:rPr>
              <w:t>VS-536</w:t>
            </w:r>
          </w:p>
        </w:tc>
        <w:tc>
          <w:tcPr>
            <w:tcW w:w="1272" w:type="dxa"/>
            <w:tcBorders>
              <w:top w:val="single" w:sz="6" w:space="0" w:color="010202"/>
            </w:tcBorders>
          </w:tcPr>
          <w:p>
            <w:pPr>
              <w:pStyle w:val="TableParagraph"/>
              <w:spacing w:before="5"/>
              <w:ind w:left="304"/>
              <w:rPr>
                <w:sz w:val="18"/>
              </w:rPr>
            </w:pPr>
            <w:r>
              <w:rPr>
                <w:color w:val="231F20"/>
                <w:sz w:val="18"/>
              </w:rPr>
              <w:t>57625</w:t>
            </w:r>
          </w:p>
        </w:tc>
        <w:tc>
          <w:tcPr>
            <w:tcW w:w="1440" w:type="dxa"/>
            <w:tcBorders>
              <w:top w:val="single" w:sz="6" w:space="0" w:color="010202"/>
            </w:tcBorders>
          </w:tcPr>
          <w:p>
            <w:pPr>
              <w:pStyle w:val="TableParagraph"/>
              <w:spacing w:before="5"/>
              <w:ind w:left="409" w:right="452"/>
              <w:jc w:val="center"/>
              <w:rPr>
                <w:sz w:val="18"/>
              </w:rPr>
            </w:pPr>
            <w:r>
              <w:rPr>
                <w:color w:val="231F20"/>
                <w:sz w:val="18"/>
              </w:rPr>
              <w:t>21800</w:t>
            </w:r>
          </w:p>
        </w:tc>
        <w:tc>
          <w:tcPr>
            <w:tcW w:w="1440" w:type="dxa"/>
            <w:tcBorders>
              <w:top w:val="single" w:sz="6" w:space="0" w:color="010202"/>
            </w:tcBorders>
          </w:tcPr>
          <w:p>
            <w:pPr>
              <w:pStyle w:val="TableParagraph"/>
              <w:spacing w:before="5"/>
              <w:ind w:left="472"/>
              <w:rPr>
                <w:sz w:val="18"/>
              </w:rPr>
            </w:pPr>
            <w:r>
              <w:rPr>
                <w:color w:val="231F20"/>
                <w:sz w:val="18"/>
              </w:rPr>
              <w:t>40138</w:t>
            </w:r>
          </w:p>
        </w:tc>
        <w:tc>
          <w:tcPr>
            <w:tcW w:w="1485" w:type="dxa"/>
            <w:tcBorders>
              <w:top w:val="single" w:sz="6" w:space="0" w:color="010202"/>
            </w:tcBorders>
          </w:tcPr>
          <w:p>
            <w:pPr>
              <w:pStyle w:val="TableParagraph"/>
              <w:spacing w:before="5"/>
              <w:ind w:left="472"/>
              <w:rPr>
                <w:sz w:val="18"/>
              </w:rPr>
            </w:pPr>
            <w:r>
              <w:rPr>
                <w:color w:val="231F20"/>
                <w:sz w:val="18"/>
              </w:rPr>
              <w:t>82563</w:t>
            </w:r>
          </w:p>
        </w:tc>
        <w:tc>
          <w:tcPr>
            <w:tcW w:w="1607" w:type="dxa"/>
            <w:tcBorders>
              <w:top w:val="single" w:sz="6" w:space="0" w:color="010202"/>
            </w:tcBorders>
          </w:tcPr>
          <w:p>
            <w:pPr>
              <w:pStyle w:val="TableParagraph"/>
              <w:spacing w:before="5"/>
              <w:ind w:left="427"/>
              <w:rPr>
                <w:sz w:val="18"/>
              </w:rPr>
            </w:pPr>
            <w:r>
              <w:rPr>
                <w:color w:val="231F20"/>
                <w:sz w:val="18"/>
              </w:rPr>
              <w:t>202,126</w:t>
            </w:r>
          </w:p>
        </w:tc>
      </w:tr>
      <w:tr>
        <w:trPr>
          <w:trHeight w:val="250" w:hRule="exact"/>
        </w:trPr>
        <w:tc>
          <w:tcPr>
            <w:tcW w:w="1135" w:type="dxa"/>
          </w:tcPr>
          <w:p>
            <w:pPr>
              <w:pStyle w:val="TableParagraph"/>
              <w:spacing w:before="12"/>
              <w:ind w:left="119"/>
              <w:rPr>
                <w:sz w:val="18"/>
              </w:rPr>
            </w:pPr>
            <w:r>
              <w:rPr>
                <w:color w:val="231F20"/>
                <w:sz w:val="18"/>
              </w:rPr>
              <w:t>H-520</w:t>
            </w:r>
          </w:p>
        </w:tc>
        <w:tc>
          <w:tcPr>
            <w:tcW w:w="1272" w:type="dxa"/>
          </w:tcPr>
          <w:p>
            <w:pPr>
              <w:pStyle w:val="TableParagraph"/>
              <w:spacing w:before="12"/>
              <w:ind w:left="304"/>
              <w:rPr>
                <w:sz w:val="18"/>
              </w:rPr>
            </w:pPr>
            <w:r>
              <w:rPr>
                <w:color w:val="231F20"/>
                <w:sz w:val="18"/>
              </w:rPr>
              <w:t>6150</w:t>
            </w:r>
          </w:p>
        </w:tc>
        <w:tc>
          <w:tcPr>
            <w:tcW w:w="1440" w:type="dxa"/>
          </w:tcPr>
          <w:p>
            <w:pPr>
              <w:pStyle w:val="TableParagraph"/>
              <w:spacing w:before="12"/>
              <w:ind w:left="319" w:right="452"/>
              <w:jc w:val="center"/>
              <w:rPr>
                <w:sz w:val="18"/>
              </w:rPr>
            </w:pPr>
            <w:r>
              <w:rPr>
                <w:color w:val="231F20"/>
                <w:sz w:val="18"/>
              </w:rPr>
              <w:t>9546</w:t>
            </w:r>
          </w:p>
        </w:tc>
        <w:tc>
          <w:tcPr>
            <w:tcW w:w="1440" w:type="dxa"/>
          </w:tcPr>
          <w:p>
            <w:pPr>
              <w:pStyle w:val="TableParagraph"/>
              <w:spacing w:before="12"/>
              <w:ind w:left="472"/>
              <w:rPr>
                <w:sz w:val="18"/>
              </w:rPr>
            </w:pPr>
            <w:r>
              <w:rPr>
                <w:color w:val="231F20"/>
                <w:sz w:val="18"/>
              </w:rPr>
              <w:t>3631</w:t>
            </w:r>
          </w:p>
        </w:tc>
        <w:tc>
          <w:tcPr>
            <w:tcW w:w="1485" w:type="dxa"/>
          </w:tcPr>
          <w:p>
            <w:pPr>
              <w:pStyle w:val="TableParagraph"/>
              <w:spacing w:before="12"/>
              <w:ind w:left="472"/>
              <w:rPr>
                <w:sz w:val="18"/>
              </w:rPr>
            </w:pPr>
            <w:r>
              <w:rPr>
                <w:color w:val="231F20"/>
                <w:sz w:val="18"/>
              </w:rPr>
              <w:t>51274</w:t>
            </w:r>
          </w:p>
        </w:tc>
        <w:tc>
          <w:tcPr>
            <w:tcW w:w="1607" w:type="dxa"/>
          </w:tcPr>
          <w:p>
            <w:pPr>
              <w:pStyle w:val="TableParagraph"/>
              <w:spacing w:before="12"/>
              <w:ind w:left="427"/>
              <w:rPr>
                <w:sz w:val="18"/>
              </w:rPr>
            </w:pPr>
            <w:r>
              <w:rPr>
                <w:color w:val="231F20"/>
                <w:sz w:val="18"/>
              </w:rPr>
              <w:t>70,601</w:t>
            </w:r>
          </w:p>
        </w:tc>
      </w:tr>
      <w:tr>
        <w:trPr>
          <w:trHeight w:val="250" w:hRule="exact"/>
        </w:trPr>
        <w:tc>
          <w:tcPr>
            <w:tcW w:w="1135" w:type="dxa"/>
          </w:tcPr>
          <w:p>
            <w:pPr>
              <w:pStyle w:val="TableParagraph"/>
              <w:spacing w:before="12"/>
              <w:ind w:left="119"/>
              <w:rPr>
                <w:sz w:val="18"/>
              </w:rPr>
            </w:pPr>
            <w:r>
              <w:rPr>
                <w:color w:val="231F20"/>
                <w:sz w:val="18"/>
              </w:rPr>
              <w:t>V-537C</w:t>
            </w:r>
          </w:p>
        </w:tc>
        <w:tc>
          <w:tcPr>
            <w:tcW w:w="1272" w:type="dxa"/>
          </w:tcPr>
          <w:p>
            <w:pPr>
              <w:pStyle w:val="TableParagraph"/>
              <w:spacing w:before="12"/>
              <w:ind w:left="304"/>
              <w:rPr>
                <w:sz w:val="18"/>
              </w:rPr>
            </w:pPr>
            <w:r>
              <w:rPr>
                <w:color w:val="231F20"/>
                <w:sz w:val="18"/>
              </w:rPr>
              <w:t>25250</w:t>
            </w:r>
          </w:p>
        </w:tc>
        <w:tc>
          <w:tcPr>
            <w:tcW w:w="1440" w:type="dxa"/>
          </w:tcPr>
          <w:p>
            <w:pPr>
              <w:pStyle w:val="TableParagraph"/>
              <w:spacing w:before="12"/>
              <w:ind w:left="319" w:right="452"/>
              <w:jc w:val="center"/>
              <w:rPr>
                <w:sz w:val="18"/>
              </w:rPr>
            </w:pPr>
            <w:r>
              <w:rPr>
                <w:color w:val="231F20"/>
                <w:sz w:val="18"/>
              </w:rPr>
              <w:t>9300</w:t>
            </w:r>
          </w:p>
        </w:tc>
        <w:tc>
          <w:tcPr>
            <w:tcW w:w="1440" w:type="dxa"/>
          </w:tcPr>
          <w:p>
            <w:pPr>
              <w:pStyle w:val="TableParagraph"/>
              <w:spacing w:before="12"/>
              <w:ind w:left="472"/>
              <w:rPr>
                <w:sz w:val="18"/>
              </w:rPr>
            </w:pPr>
            <w:r>
              <w:rPr>
                <w:color w:val="231F20"/>
                <w:sz w:val="18"/>
              </w:rPr>
              <w:t>------</w:t>
            </w:r>
          </w:p>
        </w:tc>
        <w:tc>
          <w:tcPr>
            <w:tcW w:w="1485" w:type="dxa"/>
          </w:tcPr>
          <w:p>
            <w:pPr>
              <w:pStyle w:val="TableParagraph"/>
              <w:spacing w:before="12"/>
              <w:ind w:left="472"/>
              <w:rPr>
                <w:sz w:val="18"/>
              </w:rPr>
            </w:pPr>
            <w:r>
              <w:rPr>
                <w:color w:val="231F20"/>
                <w:sz w:val="18"/>
              </w:rPr>
              <w:t>15,800</w:t>
            </w:r>
          </w:p>
        </w:tc>
        <w:tc>
          <w:tcPr>
            <w:tcW w:w="1607" w:type="dxa"/>
          </w:tcPr>
          <w:p>
            <w:pPr>
              <w:pStyle w:val="TableParagraph"/>
              <w:spacing w:before="12"/>
              <w:ind w:left="427"/>
              <w:rPr>
                <w:sz w:val="18"/>
              </w:rPr>
            </w:pPr>
            <w:r>
              <w:rPr>
                <w:color w:val="231F20"/>
                <w:sz w:val="18"/>
              </w:rPr>
              <w:t>50,350</w:t>
            </w:r>
          </w:p>
        </w:tc>
      </w:tr>
      <w:tr>
        <w:trPr>
          <w:trHeight w:val="250" w:hRule="exact"/>
        </w:trPr>
        <w:tc>
          <w:tcPr>
            <w:tcW w:w="1135" w:type="dxa"/>
          </w:tcPr>
          <w:p>
            <w:pPr>
              <w:pStyle w:val="TableParagraph"/>
              <w:spacing w:before="12"/>
              <w:ind w:left="119"/>
              <w:rPr>
                <w:sz w:val="18"/>
              </w:rPr>
            </w:pPr>
            <w:r>
              <w:rPr>
                <w:color w:val="231F20"/>
                <w:sz w:val="18"/>
              </w:rPr>
              <w:t>H-519C</w:t>
            </w:r>
          </w:p>
        </w:tc>
        <w:tc>
          <w:tcPr>
            <w:tcW w:w="1272" w:type="dxa"/>
          </w:tcPr>
          <w:p>
            <w:pPr>
              <w:pStyle w:val="TableParagraph"/>
              <w:spacing w:before="12"/>
              <w:ind w:left="304"/>
              <w:rPr>
                <w:sz w:val="18"/>
              </w:rPr>
            </w:pPr>
            <w:r>
              <w:rPr>
                <w:color w:val="231F20"/>
                <w:sz w:val="18"/>
              </w:rPr>
              <w:t>-----</w:t>
            </w:r>
          </w:p>
        </w:tc>
        <w:tc>
          <w:tcPr>
            <w:tcW w:w="1440" w:type="dxa"/>
          </w:tcPr>
          <w:p>
            <w:pPr>
              <w:pStyle w:val="TableParagraph"/>
              <w:spacing w:before="12"/>
              <w:ind w:left="319" w:right="452"/>
              <w:jc w:val="center"/>
              <w:rPr>
                <w:sz w:val="18"/>
              </w:rPr>
            </w:pPr>
            <w:r>
              <w:rPr>
                <w:color w:val="231F20"/>
                <w:sz w:val="18"/>
              </w:rPr>
              <w:t>4603</w:t>
            </w:r>
          </w:p>
        </w:tc>
        <w:tc>
          <w:tcPr>
            <w:tcW w:w="1440" w:type="dxa"/>
          </w:tcPr>
          <w:p>
            <w:pPr>
              <w:pStyle w:val="TableParagraph"/>
              <w:spacing w:before="12"/>
              <w:ind w:left="472"/>
              <w:rPr>
                <w:sz w:val="18"/>
              </w:rPr>
            </w:pPr>
            <w:r>
              <w:rPr>
                <w:color w:val="231F20"/>
                <w:sz w:val="18"/>
              </w:rPr>
              <w:t>------</w:t>
            </w:r>
          </w:p>
        </w:tc>
        <w:tc>
          <w:tcPr>
            <w:tcW w:w="1485" w:type="dxa"/>
          </w:tcPr>
          <w:p>
            <w:pPr>
              <w:pStyle w:val="TableParagraph"/>
              <w:spacing w:before="12"/>
              <w:ind w:left="472"/>
              <w:rPr>
                <w:sz w:val="18"/>
              </w:rPr>
            </w:pPr>
            <w:r>
              <w:rPr>
                <w:color w:val="231F20"/>
                <w:sz w:val="18"/>
              </w:rPr>
              <w:t>4500</w:t>
            </w:r>
          </w:p>
        </w:tc>
        <w:tc>
          <w:tcPr>
            <w:tcW w:w="1607" w:type="dxa"/>
          </w:tcPr>
          <w:p>
            <w:pPr>
              <w:pStyle w:val="TableParagraph"/>
              <w:spacing w:before="12"/>
              <w:ind w:left="427"/>
              <w:rPr>
                <w:sz w:val="18"/>
              </w:rPr>
            </w:pPr>
            <w:r>
              <w:rPr>
                <w:color w:val="231F20"/>
                <w:sz w:val="18"/>
              </w:rPr>
              <w:t>9,103</w:t>
            </w:r>
          </w:p>
        </w:tc>
      </w:tr>
      <w:tr>
        <w:trPr>
          <w:trHeight w:val="250" w:hRule="exact"/>
        </w:trPr>
        <w:tc>
          <w:tcPr>
            <w:tcW w:w="1135" w:type="dxa"/>
          </w:tcPr>
          <w:p>
            <w:pPr>
              <w:pStyle w:val="TableParagraph"/>
              <w:spacing w:before="12"/>
              <w:ind w:left="119"/>
              <w:rPr>
                <w:sz w:val="18"/>
              </w:rPr>
            </w:pPr>
            <w:r>
              <w:rPr>
                <w:color w:val="231F20"/>
                <w:sz w:val="18"/>
              </w:rPr>
              <w:t>H-564C</w:t>
            </w:r>
          </w:p>
        </w:tc>
        <w:tc>
          <w:tcPr>
            <w:tcW w:w="1272" w:type="dxa"/>
          </w:tcPr>
          <w:p>
            <w:pPr>
              <w:pStyle w:val="TableParagraph"/>
              <w:spacing w:before="12"/>
              <w:ind w:left="304"/>
              <w:rPr>
                <w:sz w:val="18"/>
              </w:rPr>
            </w:pPr>
            <w:r>
              <w:rPr>
                <w:color w:val="231F20"/>
                <w:sz w:val="18"/>
              </w:rPr>
              <w:t>-----</w:t>
            </w:r>
          </w:p>
        </w:tc>
        <w:tc>
          <w:tcPr>
            <w:tcW w:w="1440" w:type="dxa"/>
          </w:tcPr>
          <w:p>
            <w:pPr>
              <w:pStyle w:val="TableParagraph"/>
              <w:spacing w:before="12"/>
              <w:ind w:left="259" w:right="452"/>
              <w:jc w:val="center"/>
              <w:rPr>
                <w:sz w:val="18"/>
              </w:rPr>
            </w:pPr>
            <w:r>
              <w:rPr>
                <w:color w:val="231F20"/>
                <w:sz w:val="18"/>
              </w:rPr>
              <w:t>-----</w:t>
            </w:r>
          </w:p>
        </w:tc>
        <w:tc>
          <w:tcPr>
            <w:tcW w:w="1440" w:type="dxa"/>
          </w:tcPr>
          <w:p>
            <w:pPr>
              <w:pStyle w:val="TableParagraph"/>
              <w:spacing w:before="12"/>
              <w:ind w:left="472"/>
              <w:rPr>
                <w:sz w:val="18"/>
              </w:rPr>
            </w:pPr>
            <w:r>
              <w:rPr>
                <w:color w:val="231F20"/>
                <w:sz w:val="18"/>
              </w:rPr>
              <w:t>----</w:t>
            </w:r>
          </w:p>
        </w:tc>
        <w:tc>
          <w:tcPr>
            <w:tcW w:w="1485" w:type="dxa"/>
          </w:tcPr>
          <w:p>
            <w:pPr>
              <w:pStyle w:val="TableParagraph"/>
              <w:spacing w:before="12"/>
              <w:ind w:left="472"/>
              <w:rPr>
                <w:sz w:val="18"/>
              </w:rPr>
            </w:pPr>
            <w:r>
              <w:rPr>
                <w:color w:val="231F20"/>
                <w:sz w:val="18"/>
              </w:rPr>
              <w:t>4650</w:t>
            </w:r>
          </w:p>
        </w:tc>
        <w:tc>
          <w:tcPr>
            <w:tcW w:w="1607" w:type="dxa"/>
          </w:tcPr>
          <w:p>
            <w:pPr>
              <w:pStyle w:val="TableParagraph"/>
              <w:spacing w:before="12"/>
              <w:ind w:left="427"/>
              <w:rPr>
                <w:sz w:val="18"/>
              </w:rPr>
            </w:pPr>
            <w:r>
              <w:rPr>
                <w:color w:val="231F20"/>
                <w:sz w:val="18"/>
              </w:rPr>
              <w:t>4,650</w:t>
            </w:r>
          </w:p>
        </w:tc>
      </w:tr>
      <w:tr>
        <w:trPr>
          <w:trHeight w:val="389" w:hRule="exact"/>
        </w:trPr>
        <w:tc>
          <w:tcPr>
            <w:tcW w:w="1135" w:type="dxa"/>
            <w:tcBorders>
              <w:bottom w:val="single" w:sz="6" w:space="0" w:color="010202"/>
            </w:tcBorders>
          </w:tcPr>
          <w:p>
            <w:pPr>
              <w:pStyle w:val="TableParagraph"/>
              <w:spacing w:before="12"/>
              <w:ind w:left="119"/>
              <w:rPr>
                <w:sz w:val="18"/>
              </w:rPr>
            </w:pPr>
            <w:r>
              <w:rPr>
                <w:color w:val="231F20"/>
                <w:sz w:val="18"/>
              </w:rPr>
              <w:t>V-556AC</w:t>
            </w:r>
          </w:p>
        </w:tc>
        <w:tc>
          <w:tcPr>
            <w:tcW w:w="1272" w:type="dxa"/>
            <w:tcBorders>
              <w:bottom w:val="single" w:sz="6" w:space="0" w:color="010202"/>
            </w:tcBorders>
          </w:tcPr>
          <w:p>
            <w:pPr>
              <w:pStyle w:val="TableParagraph"/>
              <w:spacing w:before="12"/>
              <w:ind w:left="304"/>
              <w:rPr>
                <w:sz w:val="18"/>
              </w:rPr>
            </w:pPr>
            <w:r>
              <w:rPr>
                <w:color w:val="231F20"/>
                <w:sz w:val="18"/>
              </w:rPr>
              <w:t>125</w:t>
            </w:r>
          </w:p>
        </w:tc>
        <w:tc>
          <w:tcPr>
            <w:tcW w:w="1440" w:type="dxa"/>
            <w:tcBorders>
              <w:bottom w:val="single" w:sz="6" w:space="0" w:color="010202"/>
            </w:tcBorders>
          </w:tcPr>
          <w:p>
            <w:pPr>
              <w:pStyle w:val="TableParagraph"/>
              <w:spacing w:before="12"/>
              <w:ind w:left="319" w:right="452"/>
              <w:jc w:val="center"/>
              <w:rPr>
                <w:sz w:val="18"/>
              </w:rPr>
            </w:pPr>
            <w:r>
              <w:rPr>
                <w:color w:val="231F20"/>
                <w:sz w:val="18"/>
              </w:rPr>
              <w:t>5400</w:t>
            </w:r>
          </w:p>
        </w:tc>
        <w:tc>
          <w:tcPr>
            <w:tcW w:w="1440" w:type="dxa"/>
            <w:tcBorders>
              <w:bottom w:val="single" w:sz="6" w:space="0" w:color="010202"/>
            </w:tcBorders>
          </w:tcPr>
          <w:p>
            <w:pPr>
              <w:pStyle w:val="TableParagraph"/>
              <w:spacing w:before="12"/>
              <w:ind w:left="472"/>
              <w:rPr>
                <w:sz w:val="18"/>
              </w:rPr>
            </w:pPr>
            <w:r>
              <w:rPr>
                <w:color w:val="231F20"/>
                <w:sz w:val="18"/>
              </w:rPr>
              <w:t>3200</w:t>
            </w:r>
          </w:p>
        </w:tc>
        <w:tc>
          <w:tcPr>
            <w:tcW w:w="1485" w:type="dxa"/>
            <w:tcBorders>
              <w:bottom w:val="single" w:sz="6" w:space="0" w:color="010202"/>
            </w:tcBorders>
          </w:tcPr>
          <w:p>
            <w:pPr>
              <w:pStyle w:val="TableParagraph"/>
              <w:spacing w:before="12"/>
              <w:ind w:left="472"/>
              <w:rPr>
                <w:sz w:val="18"/>
              </w:rPr>
            </w:pPr>
            <w:r>
              <w:rPr>
                <w:color w:val="231F20"/>
                <w:sz w:val="18"/>
              </w:rPr>
              <w:t>1200</w:t>
            </w:r>
          </w:p>
        </w:tc>
        <w:tc>
          <w:tcPr>
            <w:tcW w:w="1607" w:type="dxa"/>
            <w:tcBorders>
              <w:bottom w:val="single" w:sz="6" w:space="0" w:color="010202"/>
            </w:tcBorders>
          </w:tcPr>
          <w:p>
            <w:pPr>
              <w:pStyle w:val="TableParagraph"/>
              <w:spacing w:before="12"/>
              <w:ind w:left="427"/>
              <w:rPr>
                <w:sz w:val="18"/>
              </w:rPr>
            </w:pPr>
            <w:r>
              <w:rPr>
                <w:color w:val="231F20"/>
                <w:sz w:val="18"/>
              </w:rPr>
              <w:t>9,925</w:t>
            </w:r>
          </w:p>
        </w:tc>
      </w:tr>
      <w:tr>
        <w:trPr>
          <w:trHeight w:val="426" w:hRule="exact"/>
        </w:trPr>
        <w:tc>
          <w:tcPr>
            <w:tcW w:w="1135" w:type="dxa"/>
            <w:tcBorders>
              <w:top w:val="single" w:sz="6" w:space="0" w:color="010202"/>
            </w:tcBorders>
          </w:tcPr>
          <w:p>
            <w:pPr>
              <w:pStyle w:val="TableParagraph"/>
              <w:spacing w:before="115"/>
              <w:ind w:left="119"/>
              <w:rPr>
                <w:b/>
                <w:sz w:val="18"/>
              </w:rPr>
            </w:pPr>
            <w:r>
              <w:rPr>
                <w:b/>
                <w:color w:val="231F20"/>
                <w:sz w:val="18"/>
              </w:rPr>
              <w:t>Total</w:t>
            </w:r>
          </w:p>
        </w:tc>
        <w:tc>
          <w:tcPr>
            <w:tcW w:w="1272" w:type="dxa"/>
            <w:tcBorders>
              <w:top w:val="single" w:sz="6" w:space="0" w:color="010202"/>
            </w:tcBorders>
          </w:tcPr>
          <w:p>
            <w:pPr>
              <w:pStyle w:val="TableParagraph"/>
              <w:spacing w:before="115"/>
              <w:ind w:left="304"/>
              <w:rPr>
                <w:b/>
                <w:sz w:val="18"/>
              </w:rPr>
            </w:pPr>
            <w:r>
              <w:rPr>
                <w:b/>
                <w:color w:val="231F20"/>
                <w:sz w:val="18"/>
              </w:rPr>
              <w:t>89,150</w:t>
            </w:r>
          </w:p>
        </w:tc>
        <w:tc>
          <w:tcPr>
            <w:tcW w:w="1440" w:type="dxa"/>
            <w:tcBorders>
              <w:top w:val="single" w:sz="6" w:space="0" w:color="010202"/>
            </w:tcBorders>
          </w:tcPr>
          <w:p>
            <w:pPr>
              <w:pStyle w:val="TableParagraph"/>
              <w:spacing w:before="115"/>
              <w:ind w:left="452" w:right="452"/>
              <w:jc w:val="center"/>
              <w:rPr>
                <w:b/>
                <w:sz w:val="18"/>
              </w:rPr>
            </w:pPr>
            <w:r>
              <w:rPr>
                <w:b/>
                <w:color w:val="231F20"/>
                <w:sz w:val="18"/>
              </w:rPr>
              <w:t>50,649</w:t>
            </w:r>
          </w:p>
        </w:tc>
        <w:tc>
          <w:tcPr>
            <w:tcW w:w="1440" w:type="dxa"/>
            <w:tcBorders>
              <w:top w:val="single" w:sz="6" w:space="0" w:color="010202"/>
            </w:tcBorders>
          </w:tcPr>
          <w:p>
            <w:pPr>
              <w:pStyle w:val="TableParagraph"/>
              <w:spacing w:before="115"/>
              <w:ind w:left="472"/>
              <w:rPr>
                <w:b/>
                <w:sz w:val="18"/>
              </w:rPr>
            </w:pPr>
            <w:r>
              <w:rPr>
                <w:b/>
                <w:color w:val="231F20"/>
                <w:sz w:val="18"/>
              </w:rPr>
              <w:t>46,969</w:t>
            </w:r>
          </w:p>
        </w:tc>
        <w:tc>
          <w:tcPr>
            <w:tcW w:w="1485" w:type="dxa"/>
            <w:tcBorders>
              <w:top w:val="single" w:sz="6" w:space="0" w:color="010202"/>
            </w:tcBorders>
          </w:tcPr>
          <w:p>
            <w:pPr>
              <w:pStyle w:val="TableParagraph"/>
              <w:spacing w:before="115"/>
              <w:ind w:left="472"/>
              <w:rPr>
                <w:b/>
                <w:sz w:val="18"/>
              </w:rPr>
            </w:pPr>
            <w:r>
              <w:rPr>
                <w:b/>
                <w:color w:val="231F20"/>
                <w:sz w:val="18"/>
              </w:rPr>
              <w:t>159,987</w:t>
            </w:r>
          </w:p>
        </w:tc>
        <w:tc>
          <w:tcPr>
            <w:tcW w:w="1607" w:type="dxa"/>
            <w:tcBorders>
              <w:top w:val="single" w:sz="6" w:space="0" w:color="010202"/>
            </w:tcBorders>
          </w:tcPr>
          <w:p>
            <w:pPr>
              <w:pStyle w:val="TableParagraph"/>
              <w:spacing w:before="115"/>
              <w:ind w:left="427"/>
              <w:rPr>
                <w:b/>
                <w:sz w:val="18"/>
              </w:rPr>
            </w:pPr>
            <w:r>
              <w:rPr>
                <w:b/>
                <w:color w:val="231F20"/>
                <w:sz w:val="18"/>
              </w:rPr>
              <w:t>346,755</w:t>
            </w:r>
          </w:p>
        </w:tc>
      </w:tr>
    </w:tbl>
    <w:p>
      <w:pPr>
        <w:spacing w:after="0"/>
        <w:rPr>
          <w:sz w:val="18"/>
        </w:rPr>
        <w:sectPr>
          <w:pgSz w:w="10920" w:h="13080"/>
          <w:pgMar w:header="0" w:footer="1025" w:top="420" w:bottom="1220" w:left="0" w:right="0"/>
        </w:sectPr>
      </w:pPr>
    </w:p>
    <w:p>
      <w:pPr>
        <w:pStyle w:val="BodyText"/>
        <w:rPr>
          <w:b/>
          <w:sz w:val="20"/>
        </w:rPr>
      </w:pPr>
    </w:p>
    <w:p>
      <w:pPr>
        <w:pStyle w:val="BodyText"/>
        <w:rPr>
          <w:b/>
          <w:sz w:val="20"/>
        </w:rPr>
      </w:pPr>
    </w:p>
    <w:p>
      <w:pPr>
        <w:pStyle w:val="BodyText"/>
        <w:spacing w:before="4"/>
        <w:rPr>
          <w:b/>
          <w:sz w:val="22"/>
        </w:rPr>
      </w:pPr>
    </w:p>
    <w:p>
      <w:pPr>
        <w:pStyle w:val="Heading3"/>
        <w:spacing w:before="69"/>
      </w:pPr>
      <w:r>
        <w:rPr>
          <w:color w:val="010202"/>
        </w:rPr>
        <w:t>Conclusiones</w:t>
      </w:r>
    </w:p>
    <w:p>
      <w:pPr>
        <w:pStyle w:val="BodyText"/>
        <w:spacing w:before="10"/>
        <w:rPr>
          <w:b/>
        </w:rPr>
      </w:pPr>
    </w:p>
    <w:p>
      <w:pPr>
        <w:pStyle w:val="BodyText"/>
        <w:spacing w:line="247" w:lineRule="auto"/>
        <w:ind w:left="1270" w:right="1268"/>
        <w:jc w:val="both"/>
      </w:pPr>
      <w:r>
        <w:rPr>
          <w:color w:val="231F20"/>
        </w:rPr>
        <w:t>El</w:t>
      </w:r>
      <w:r>
        <w:rPr>
          <w:color w:val="231F20"/>
          <w:spacing w:val="-6"/>
        </w:rPr>
        <w:t> </w:t>
      </w:r>
      <w:r>
        <w:rPr>
          <w:color w:val="231F20"/>
        </w:rPr>
        <w:t>programa</w:t>
      </w:r>
      <w:r>
        <w:rPr>
          <w:color w:val="231F20"/>
          <w:spacing w:val="-6"/>
        </w:rPr>
        <w:t> </w:t>
      </w:r>
      <w:r>
        <w:rPr>
          <w:color w:val="231F20"/>
        </w:rPr>
        <w:t>de</w:t>
      </w:r>
      <w:r>
        <w:rPr>
          <w:color w:val="231F20"/>
          <w:spacing w:val="-6"/>
        </w:rPr>
        <w:t> </w:t>
      </w:r>
      <w:r>
        <w:rPr>
          <w:color w:val="231F20"/>
        </w:rPr>
        <w:t>maíz</w:t>
      </w:r>
      <w:r>
        <w:rPr>
          <w:color w:val="231F20"/>
          <w:spacing w:val="-6"/>
        </w:rPr>
        <w:t> </w:t>
      </w:r>
      <w:r>
        <w:rPr>
          <w:color w:val="231F20"/>
        </w:rPr>
        <w:t>para</w:t>
      </w:r>
      <w:r>
        <w:rPr>
          <w:color w:val="231F20"/>
          <w:spacing w:val="-6"/>
        </w:rPr>
        <w:t> </w:t>
      </w:r>
      <w:r>
        <w:rPr>
          <w:color w:val="231F20"/>
        </w:rPr>
        <w:t>el</w:t>
      </w:r>
      <w:r>
        <w:rPr>
          <w:color w:val="231F20"/>
          <w:spacing w:val="-6"/>
        </w:rPr>
        <w:t> </w:t>
      </w:r>
      <w:r>
        <w:rPr>
          <w:color w:val="231F20"/>
        </w:rPr>
        <w:t>trópico</w:t>
      </w:r>
      <w:r>
        <w:rPr>
          <w:color w:val="231F20"/>
          <w:spacing w:val="-7"/>
        </w:rPr>
        <w:t> </w:t>
      </w:r>
      <w:r>
        <w:rPr>
          <w:color w:val="231F20"/>
        </w:rPr>
        <w:t>ha</w:t>
      </w:r>
      <w:r>
        <w:rPr>
          <w:color w:val="231F20"/>
          <w:spacing w:val="-6"/>
        </w:rPr>
        <w:t> </w:t>
      </w:r>
      <w:r>
        <w:rPr>
          <w:color w:val="231F20"/>
        </w:rPr>
        <w:t>generado</w:t>
      </w:r>
      <w:r>
        <w:rPr>
          <w:color w:val="231F20"/>
          <w:spacing w:val="-6"/>
        </w:rPr>
        <w:t> </w:t>
      </w:r>
      <w:r>
        <w:rPr>
          <w:color w:val="231F20"/>
        </w:rPr>
        <w:t>híbridos</w:t>
      </w:r>
      <w:r>
        <w:rPr>
          <w:color w:val="231F20"/>
          <w:spacing w:val="-6"/>
        </w:rPr>
        <w:t> </w:t>
      </w:r>
      <w:r>
        <w:rPr>
          <w:color w:val="231F20"/>
        </w:rPr>
        <w:t>y</w:t>
      </w:r>
      <w:r>
        <w:rPr>
          <w:color w:val="231F20"/>
          <w:spacing w:val="-6"/>
        </w:rPr>
        <w:t> </w:t>
      </w:r>
      <w:r>
        <w:rPr>
          <w:color w:val="231F20"/>
        </w:rPr>
        <w:t>variedades</w:t>
      </w:r>
      <w:r>
        <w:rPr>
          <w:color w:val="231F20"/>
          <w:spacing w:val="-6"/>
        </w:rPr>
        <w:t> </w:t>
      </w:r>
      <w:r>
        <w:rPr>
          <w:color w:val="231F20"/>
        </w:rPr>
        <w:t>de</w:t>
      </w:r>
      <w:r>
        <w:rPr>
          <w:color w:val="231F20"/>
          <w:spacing w:val="-6"/>
        </w:rPr>
        <w:t> </w:t>
      </w:r>
      <w:r>
        <w:rPr>
          <w:color w:val="231F20"/>
        </w:rPr>
        <w:t>maíz</w:t>
      </w:r>
      <w:r>
        <w:rPr>
          <w:color w:val="231F20"/>
          <w:spacing w:val="-6"/>
        </w:rPr>
        <w:t> </w:t>
      </w:r>
      <w:r>
        <w:rPr>
          <w:color w:val="231F20"/>
        </w:rPr>
        <w:t>con</w:t>
      </w:r>
      <w:r>
        <w:rPr>
          <w:color w:val="231F20"/>
          <w:spacing w:val="-6"/>
        </w:rPr>
        <w:t> </w:t>
      </w:r>
      <w:r>
        <w:rPr>
          <w:color w:val="231F20"/>
        </w:rPr>
        <w:t>ventajas</w:t>
      </w:r>
      <w:r>
        <w:rPr>
          <w:color w:val="231F20"/>
          <w:spacing w:val="-6"/>
        </w:rPr>
        <w:t> </w:t>
      </w:r>
      <w:r>
        <w:rPr>
          <w:color w:val="231F20"/>
        </w:rPr>
        <w:t>agronó- micas y arquetípicas y con ventajas en la producción comercial de</w:t>
      </w:r>
      <w:r>
        <w:rPr>
          <w:color w:val="231F20"/>
          <w:spacing w:val="-13"/>
        </w:rPr>
        <w:t> </w:t>
      </w:r>
      <w:r>
        <w:rPr>
          <w:color w:val="231F20"/>
        </w:rPr>
        <w:t>semilla.</w:t>
      </w:r>
    </w:p>
    <w:p>
      <w:pPr>
        <w:pStyle w:val="BodyText"/>
        <w:spacing w:before="10"/>
      </w:pPr>
    </w:p>
    <w:p>
      <w:pPr>
        <w:pStyle w:val="BodyText"/>
        <w:spacing w:line="247" w:lineRule="auto"/>
        <w:ind w:left="1270" w:right="1268"/>
        <w:jc w:val="both"/>
      </w:pPr>
      <w:r>
        <w:rPr>
          <w:color w:val="231F20"/>
        </w:rPr>
        <w:t>Existe germoplasma sobresaliente de maíz que ha sido adoptado por empresas y grupos</w:t>
      </w:r>
      <w:r>
        <w:rPr>
          <w:color w:val="231F20"/>
          <w:spacing w:val="-34"/>
        </w:rPr>
        <w:t> </w:t>
      </w:r>
      <w:r>
        <w:rPr>
          <w:color w:val="231F20"/>
        </w:rPr>
        <w:t>productores de semilla y por agricultores en el sureste de</w:t>
      </w:r>
      <w:r>
        <w:rPr>
          <w:color w:val="231F20"/>
          <w:spacing w:val="-21"/>
        </w:rPr>
        <w:t> </w:t>
      </w:r>
      <w:r>
        <w:rPr>
          <w:color w:val="231F20"/>
        </w:rPr>
        <w:t>México.</w:t>
      </w:r>
    </w:p>
    <w:p>
      <w:pPr>
        <w:pStyle w:val="BodyText"/>
        <w:spacing w:before="8"/>
        <w:rPr>
          <w:sz w:val="22"/>
        </w:rPr>
      </w:pPr>
    </w:p>
    <w:p>
      <w:pPr>
        <w:pStyle w:val="Heading3"/>
      </w:pPr>
      <w:r>
        <w:rPr>
          <w:color w:val="010202"/>
        </w:rPr>
        <w:t>Literatura citada</w:t>
      </w:r>
    </w:p>
    <w:p>
      <w:pPr>
        <w:pStyle w:val="BodyText"/>
        <w:spacing w:before="7"/>
        <w:rPr>
          <w:b/>
        </w:rPr>
      </w:pPr>
    </w:p>
    <w:p>
      <w:pPr>
        <w:spacing w:before="0"/>
        <w:ind w:left="1270" w:right="0" w:firstLine="0"/>
        <w:jc w:val="both"/>
        <w:rPr>
          <w:sz w:val="19"/>
        </w:rPr>
      </w:pPr>
      <w:r>
        <w:rPr>
          <w:color w:val="231F20"/>
          <w:sz w:val="19"/>
        </w:rPr>
        <w:t>Chávez A, M de Chávez. 2004. La tortilla de Alto Valor Nutritivo. Mc Graw Hill. México, D.F. 110 p.</w:t>
      </w:r>
    </w:p>
    <w:p>
      <w:pPr>
        <w:pStyle w:val="BodyText"/>
        <w:spacing w:before="7"/>
        <w:rPr>
          <w:sz w:val="20"/>
        </w:rPr>
      </w:pPr>
    </w:p>
    <w:p>
      <w:pPr>
        <w:spacing w:line="249" w:lineRule="auto" w:before="0"/>
        <w:ind w:left="1270" w:right="1268" w:firstLine="0"/>
        <w:jc w:val="both"/>
        <w:rPr>
          <w:sz w:val="19"/>
        </w:rPr>
      </w:pPr>
      <w:r>
        <w:rPr>
          <w:color w:val="231F20"/>
          <w:sz w:val="19"/>
        </w:rPr>
        <w:t>Espinosa</w:t>
      </w:r>
      <w:r>
        <w:rPr>
          <w:color w:val="231F20"/>
          <w:spacing w:val="-3"/>
          <w:sz w:val="19"/>
        </w:rPr>
        <w:t> </w:t>
      </w:r>
      <w:r>
        <w:rPr>
          <w:color w:val="231F20"/>
          <w:sz w:val="19"/>
        </w:rPr>
        <w:t>C.,</w:t>
      </w:r>
      <w:r>
        <w:rPr>
          <w:color w:val="231F20"/>
          <w:spacing w:val="-13"/>
          <w:sz w:val="19"/>
        </w:rPr>
        <w:t> </w:t>
      </w:r>
      <w:r>
        <w:rPr>
          <w:color w:val="231F20"/>
          <w:sz w:val="19"/>
        </w:rPr>
        <w:t>A.;</w:t>
      </w:r>
      <w:r>
        <w:rPr>
          <w:color w:val="231F20"/>
          <w:spacing w:val="-3"/>
          <w:sz w:val="19"/>
        </w:rPr>
        <w:t> </w:t>
      </w:r>
      <w:r>
        <w:rPr>
          <w:color w:val="231F20"/>
          <w:sz w:val="19"/>
        </w:rPr>
        <w:t>Gómez</w:t>
      </w:r>
      <w:r>
        <w:rPr>
          <w:color w:val="231F20"/>
          <w:spacing w:val="-3"/>
          <w:sz w:val="19"/>
        </w:rPr>
        <w:t> </w:t>
      </w:r>
      <w:r>
        <w:rPr>
          <w:color w:val="231F20"/>
          <w:sz w:val="19"/>
        </w:rPr>
        <w:t>M.,</w:t>
      </w:r>
      <w:r>
        <w:rPr>
          <w:color w:val="231F20"/>
          <w:spacing w:val="-3"/>
          <w:sz w:val="19"/>
        </w:rPr>
        <w:t> </w:t>
      </w:r>
      <w:r>
        <w:rPr>
          <w:color w:val="231F20"/>
          <w:sz w:val="19"/>
        </w:rPr>
        <w:t>N.;</w:t>
      </w:r>
      <w:r>
        <w:rPr>
          <w:color w:val="231F20"/>
          <w:spacing w:val="-3"/>
          <w:sz w:val="19"/>
        </w:rPr>
        <w:t> </w:t>
      </w:r>
      <w:r>
        <w:rPr>
          <w:color w:val="231F20"/>
          <w:sz w:val="19"/>
        </w:rPr>
        <w:t>Sierra</w:t>
      </w:r>
      <w:r>
        <w:rPr>
          <w:color w:val="231F20"/>
          <w:spacing w:val="-3"/>
          <w:sz w:val="19"/>
        </w:rPr>
        <w:t> </w:t>
      </w:r>
      <w:r>
        <w:rPr>
          <w:color w:val="231F20"/>
          <w:sz w:val="19"/>
        </w:rPr>
        <w:t>M.,</w:t>
      </w:r>
      <w:r>
        <w:rPr>
          <w:color w:val="231F20"/>
          <w:spacing w:val="-3"/>
          <w:sz w:val="19"/>
        </w:rPr>
        <w:t> </w:t>
      </w:r>
      <w:r>
        <w:rPr>
          <w:color w:val="231F20"/>
          <w:sz w:val="19"/>
        </w:rPr>
        <w:t>M.;</w:t>
      </w:r>
      <w:r>
        <w:rPr>
          <w:color w:val="231F20"/>
          <w:spacing w:val="-3"/>
          <w:sz w:val="19"/>
        </w:rPr>
        <w:t> </w:t>
      </w:r>
      <w:r>
        <w:rPr>
          <w:color w:val="231F20"/>
          <w:sz w:val="19"/>
        </w:rPr>
        <w:t>Betanzos</w:t>
      </w:r>
      <w:r>
        <w:rPr>
          <w:color w:val="231F20"/>
          <w:spacing w:val="-3"/>
          <w:sz w:val="19"/>
        </w:rPr>
        <w:t> </w:t>
      </w:r>
      <w:r>
        <w:rPr>
          <w:color w:val="231F20"/>
          <w:sz w:val="19"/>
        </w:rPr>
        <w:t>M.,</w:t>
      </w:r>
      <w:r>
        <w:rPr>
          <w:color w:val="231F20"/>
          <w:spacing w:val="-3"/>
          <w:sz w:val="19"/>
        </w:rPr>
        <w:t> </w:t>
      </w:r>
      <w:r>
        <w:rPr>
          <w:color w:val="231F20"/>
          <w:sz w:val="19"/>
        </w:rPr>
        <w:t>E.;</w:t>
      </w:r>
      <w:r>
        <w:rPr>
          <w:color w:val="231F20"/>
          <w:spacing w:val="-3"/>
          <w:sz w:val="19"/>
        </w:rPr>
        <w:t> </w:t>
      </w:r>
      <w:r>
        <w:rPr>
          <w:color w:val="231F20"/>
          <w:sz w:val="19"/>
        </w:rPr>
        <w:t>y</w:t>
      </w:r>
      <w:r>
        <w:rPr>
          <w:color w:val="231F20"/>
          <w:spacing w:val="-3"/>
          <w:sz w:val="19"/>
        </w:rPr>
        <w:t> </w:t>
      </w:r>
      <w:r>
        <w:rPr>
          <w:color w:val="231F20"/>
          <w:sz w:val="19"/>
        </w:rPr>
        <w:t>Caballero</w:t>
      </w:r>
      <w:r>
        <w:rPr>
          <w:color w:val="231F20"/>
          <w:spacing w:val="-3"/>
          <w:sz w:val="19"/>
        </w:rPr>
        <w:t> </w:t>
      </w:r>
      <w:r>
        <w:rPr>
          <w:color w:val="231F20"/>
          <w:sz w:val="19"/>
        </w:rPr>
        <w:t>H.,</w:t>
      </w:r>
      <w:r>
        <w:rPr>
          <w:color w:val="231F20"/>
          <w:spacing w:val="-3"/>
          <w:sz w:val="19"/>
        </w:rPr>
        <w:t> </w:t>
      </w:r>
      <w:r>
        <w:rPr>
          <w:color w:val="231F20"/>
          <w:spacing w:val="-8"/>
          <w:sz w:val="19"/>
        </w:rPr>
        <w:t>F.</w:t>
      </w:r>
      <w:r>
        <w:rPr>
          <w:color w:val="231F20"/>
          <w:spacing w:val="-3"/>
          <w:sz w:val="19"/>
        </w:rPr>
        <w:t> </w:t>
      </w:r>
      <w:r>
        <w:rPr>
          <w:color w:val="231F20"/>
          <w:sz w:val="19"/>
        </w:rPr>
        <w:t>2006.</w:t>
      </w:r>
      <w:r>
        <w:rPr>
          <w:color w:val="231F20"/>
          <w:spacing w:val="-6"/>
          <w:sz w:val="19"/>
        </w:rPr>
        <w:t> </w:t>
      </w:r>
      <w:r>
        <w:rPr>
          <w:color w:val="231F20"/>
          <w:spacing w:val="-3"/>
          <w:sz w:val="19"/>
        </w:rPr>
        <w:t>Variedades </w:t>
      </w:r>
      <w:r>
        <w:rPr>
          <w:color w:val="231F20"/>
          <w:sz w:val="19"/>
        </w:rPr>
        <w:t>e</w:t>
      </w:r>
      <w:r>
        <w:rPr>
          <w:color w:val="231F20"/>
          <w:spacing w:val="-3"/>
          <w:sz w:val="19"/>
        </w:rPr>
        <w:t> </w:t>
      </w:r>
      <w:r>
        <w:rPr>
          <w:color w:val="231F20"/>
          <w:sz w:val="19"/>
        </w:rPr>
        <w:t>híbridos de calidad proteínica. Revista Ciencia. Academia Mexicana de las ciencias. </w:t>
      </w:r>
      <w:r>
        <w:rPr>
          <w:color w:val="231F20"/>
          <w:spacing w:val="-7"/>
          <w:sz w:val="19"/>
        </w:rPr>
        <w:t>Vol. </w:t>
      </w:r>
      <w:r>
        <w:rPr>
          <w:color w:val="231F20"/>
          <w:sz w:val="19"/>
        </w:rPr>
        <w:t>57 (2):</w:t>
      </w:r>
      <w:r>
        <w:rPr>
          <w:color w:val="231F20"/>
          <w:spacing w:val="-5"/>
          <w:sz w:val="19"/>
        </w:rPr>
        <w:t> </w:t>
      </w:r>
      <w:r>
        <w:rPr>
          <w:color w:val="231F20"/>
          <w:sz w:val="19"/>
        </w:rPr>
        <w:t>1-10.</w:t>
      </w:r>
    </w:p>
    <w:p>
      <w:pPr>
        <w:pStyle w:val="BodyText"/>
        <w:spacing w:before="10"/>
        <w:rPr>
          <w:sz w:val="19"/>
        </w:rPr>
      </w:pPr>
    </w:p>
    <w:p>
      <w:pPr>
        <w:spacing w:line="249" w:lineRule="auto" w:before="0"/>
        <w:ind w:left="1270" w:right="1268" w:firstLine="0"/>
        <w:jc w:val="both"/>
        <w:rPr>
          <w:sz w:val="19"/>
        </w:rPr>
      </w:pPr>
      <w:r>
        <w:rPr>
          <w:color w:val="231F20"/>
          <w:sz w:val="19"/>
        </w:rPr>
        <w:t>Espinosa</w:t>
      </w:r>
      <w:r>
        <w:rPr>
          <w:color w:val="231F20"/>
          <w:spacing w:val="-4"/>
          <w:sz w:val="19"/>
        </w:rPr>
        <w:t> </w:t>
      </w:r>
      <w:r>
        <w:rPr>
          <w:color w:val="231F20"/>
          <w:sz w:val="19"/>
        </w:rPr>
        <w:t>C.,</w:t>
      </w:r>
      <w:r>
        <w:rPr>
          <w:color w:val="231F20"/>
          <w:spacing w:val="-14"/>
          <w:sz w:val="19"/>
        </w:rPr>
        <w:t> </w:t>
      </w:r>
      <w:r>
        <w:rPr>
          <w:color w:val="231F20"/>
          <w:sz w:val="19"/>
        </w:rPr>
        <w:t>A.;</w:t>
      </w:r>
      <w:r>
        <w:rPr>
          <w:color w:val="231F20"/>
          <w:spacing w:val="-4"/>
          <w:sz w:val="19"/>
        </w:rPr>
        <w:t> </w:t>
      </w:r>
      <w:r>
        <w:rPr>
          <w:color w:val="231F20"/>
          <w:sz w:val="19"/>
        </w:rPr>
        <w:t>N.,</w:t>
      </w:r>
      <w:r>
        <w:rPr>
          <w:color w:val="231F20"/>
          <w:spacing w:val="-4"/>
          <w:sz w:val="19"/>
        </w:rPr>
        <w:t> </w:t>
      </w:r>
      <w:r>
        <w:rPr>
          <w:color w:val="231F20"/>
          <w:sz w:val="19"/>
        </w:rPr>
        <w:t>Gómez</w:t>
      </w:r>
      <w:r>
        <w:rPr>
          <w:color w:val="231F20"/>
          <w:spacing w:val="-4"/>
          <w:sz w:val="19"/>
        </w:rPr>
        <w:t> </w:t>
      </w:r>
      <w:r>
        <w:rPr>
          <w:color w:val="231F20"/>
          <w:sz w:val="19"/>
        </w:rPr>
        <w:t>M.;</w:t>
      </w:r>
      <w:r>
        <w:rPr>
          <w:color w:val="231F20"/>
          <w:spacing w:val="-4"/>
          <w:sz w:val="19"/>
        </w:rPr>
        <w:t> </w:t>
      </w:r>
      <w:r>
        <w:rPr>
          <w:color w:val="231F20"/>
          <w:sz w:val="19"/>
        </w:rPr>
        <w:t>M.,</w:t>
      </w:r>
      <w:r>
        <w:rPr>
          <w:color w:val="231F20"/>
          <w:spacing w:val="-4"/>
          <w:sz w:val="19"/>
        </w:rPr>
        <w:t> </w:t>
      </w:r>
      <w:r>
        <w:rPr>
          <w:color w:val="231F20"/>
          <w:sz w:val="19"/>
        </w:rPr>
        <w:t>Sierra</w:t>
      </w:r>
      <w:r>
        <w:rPr>
          <w:color w:val="231F20"/>
          <w:spacing w:val="-4"/>
          <w:sz w:val="19"/>
        </w:rPr>
        <w:t> </w:t>
      </w:r>
      <w:r>
        <w:rPr>
          <w:color w:val="231F20"/>
          <w:sz w:val="19"/>
        </w:rPr>
        <w:t>M.;</w:t>
      </w:r>
      <w:r>
        <w:rPr>
          <w:color w:val="231F20"/>
          <w:spacing w:val="-4"/>
          <w:sz w:val="19"/>
        </w:rPr>
        <w:t> </w:t>
      </w:r>
      <w:r>
        <w:rPr>
          <w:color w:val="231F20"/>
          <w:spacing w:val="-6"/>
          <w:sz w:val="19"/>
        </w:rPr>
        <w:t>F.,</w:t>
      </w:r>
      <w:r>
        <w:rPr>
          <w:color w:val="231F20"/>
          <w:spacing w:val="-4"/>
          <w:sz w:val="19"/>
        </w:rPr>
        <w:t> </w:t>
      </w:r>
      <w:r>
        <w:rPr>
          <w:color w:val="231F20"/>
          <w:sz w:val="19"/>
        </w:rPr>
        <w:t>Caballero</w:t>
      </w:r>
      <w:r>
        <w:rPr>
          <w:color w:val="231F20"/>
          <w:spacing w:val="-4"/>
          <w:sz w:val="19"/>
        </w:rPr>
        <w:t> </w:t>
      </w:r>
      <w:r>
        <w:rPr>
          <w:color w:val="231F20"/>
          <w:sz w:val="19"/>
        </w:rPr>
        <w:t>H.;</w:t>
      </w:r>
      <w:r>
        <w:rPr>
          <w:color w:val="231F20"/>
          <w:spacing w:val="-4"/>
          <w:sz w:val="19"/>
        </w:rPr>
        <w:t> </w:t>
      </w:r>
      <w:r>
        <w:rPr>
          <w:color w:val="231F20"/>
          <w:sz w:val="19"/>
        </w:rPr>
        <w:t>B.,</w:t>
      </w:r>
      <w:r>
        <w:rPr>
          <w:color w:val="231F20"/>
          <w:spacing w:val="-4"/>
          <w:sz w:val="19"/>
        </w:rPr>
        <w:t> </w:t>
      </w:r>
      <w:r>
        <w:rPr>
          <w:color w:val="231F20"/>
          <w:sz w:val="19"/>
        </w:rPr>
        <w:t>Coutiño</w:t>
      </w:r>
      <w:r>
        <w:rPr>
          <w:color w:val="231F20"/>
          <w:spacing w:val="-4"/>
          <w:sz w:val="19"/>
        </w:rPr>
        <w:t> </w:t>
      </w:r>
      <w:r>
        <w:rPr>
          <w:color w:val="231F20"/>
          <w:sz w:val="19"/>
        </w:rPr>
        <w:t>E.;</w:t>
      </w:r>
      <w:r>
        <w:rPr>
          <w:color w:val="231F20"/>
          <w:spacing w:val="-14"/>
          <w:sz w:val="19"/>
        </w:rPr>
        <w:t> </w:t>
      </w:r>
      <w:r>
        <w:rPr>
          <w:color w:val="231F20"/>
          <w:sz w:val="19"/>
        </w:rPr>
        <w:t>A.,</w:t>
      </w:r>
      <w:r>
        <w:rPr>
          <w:color w:val="231F20"/>
          <w:spacing w:val="-4"/>
          <w:sz w:val="19"/>
        </w:rPr>
        <w:t> </w:t>
      </w:r>
      <w:r>
        <w:rPr>
          <w:color w:val="231F20"/>
          <w:sz w:val="19"/>
        </w:rPr>
        <w:t>Palafox</w:t>
      </w:r>
      <w:r>
        <w:rPr>
          <w:color w:val="231F20"/>
          <w:spacing w:val="-4"/>
          <w:sz w:val="19"/>
        </w:rPr>
        <w:t> </w:t>
      </w:r>
      <w:r>
        <w:rPr>
          <w:color w:val="231F20"/>
          <w:sz w:val="19"/>
        </w:rPr>
        <w:t>C.;</w:t>
      </w:r>
      <w:r>
        <w:rPr>
          <w:color w:val="231F20"/>
          <w:spacing w:val="-4"/>
          <w:sz w:val="19"/>
        </w:rPr>
        <w:t> </w:t>
      </w:r>
      <w:r>
        <w:rPr>
          <w:color w:val="231F20"/>
          <w:sz w:val="19"/>
        </w:rPr>
        <w:t>et</w:t>
      </w:r>
      <w:r>
        <w:rPr>
          <w:color w:val="231F20"/>
          <w:spacing w:val="-4"/>
          <w:sz w:val="19"/>
        </w:rPr>
        <w:t> </w:t>
      </w:r>
      <w:r>
        <w:rPr>
          <w:color w:val="231F20"/>
          <w:sz w:val="19"/>
        </w:rPr>
        <w:t>al.</w:t>
      </w:r>
      <w:r>
        <w:rPr>
          <w:color w:val="231F20"/>
          <w:spacing w:val="-4"/>
          <w:sz w:val="19"/>
        </w:rPr>
        <w:t> </w:t>
      </w:r>
      <w:r>
        <w:rPr>
          <w:color w:val="231F20"/>
          <w:sz w:val="19"/>
        </w:rPr>
        <w:t>2005.</w:t>
      </w:r>
      <w:r>
        <w:rPr>
          <w:color w:val="231F20"/>
          <w:spacing w:val="-4"/>
          <w:sz w:val="19"/>
        </w:rPr>
        <w:t> </w:t>
      </w:r>
      <w:r>
        <w:rPr>
          <w:color w:val="231F20"/>
          <w:sz w:val="19"/>
        </w:rPr>
        <w:t>Los maíces de calidad proteínica y la producción de semillas en México. Ciencia y Desarrollo. p. 1-10.</w:t>
      </w:r>
    </w:p>
    <w:p>
      <w:pPr>
        <w:pStyle w:val="BodyText"/>
        <w:spacing w:before="10"/>
        <w:rPr>
          <w:sz w:val="19"/>
        </w:rPr>
      </w:pPr>
    </w:p>
    <w:p>
      <w:pPr>
        <w:spacing w:line="249" w:lineRule="auto" w:before="0"/>
        <w:ind w:left="1270" w:right="1268" w:firstLine="0"/>
        <w:jc w:val="both"/>
        <w:rPr>
          <w:sz w:val="19"/>
        </w:rPr>
      </w:pPr>
      <w:r>
        <w:rPr>
          <w:color w:val="231F20"/>
          <w:sz w:val="19"/>
        </w:rPr>
        <w:t>Espinosa</w:t>
      </w:r>
      <w:r>
        <w:rPr>
          <w:color w:val="231F20"/>
          <w:spacing w:val="-5"/>
          <w:sz w:val="19"/>
        </w:rPr>
        <w:t> </w:t>
      </w:r>
      <w:r>
        <w:rPr>
          <w:color w:val="231F20"/>
          <w:sz w:val="19"/>
        </w:rPr>
        <w:t>C.,</w:t>
      </w:r>
      <w:r>
        <w:rPr>
          <w:color w:val="231F20"/>
          <w:spacing w:val="-16"/>
          <w:sz w:val="19"/>
        </w:rPr>
        <w:t> </w:t>
      </w:r>
      <w:r>
        <w:rPr>
          <w:color w:val="231F20"/>
          <w:sz w:val="19"/>
        </w:rPr>
        <w:t>A.,</w:t>
      </w:r>
      <w:r>
        <w:rPr>
          <w:color w:val="231F20"/>
          <w:spacing w:val="-5"/>
          <w:sz w:val="19"/>
        </w:rPr>
        <w:t> </w:t>
      </w:r>
      <w:r>
        <w:rPr>
          <w:color w:val="231F20"/>
          <w:sz w:val="19"/>
        </w:rPr>
        <w:t>1997.</w:t>
      </w:r>
      <w:r>
        <w:rPr>
          <w:color w:val="231F20"/>
          <w:spacing w:val="-5"/>
          <w:sz w:val="19"/>
        </w:rPr>
        <w:t> </w:t>
      </w:r>
      <w:r>
        <w:rPr>
          <w:color w:val="231F20"/>
          <w:sz w:val="19"/>
        </w:rPr>
        <w:t>Comportamiento</w:t>
      </w:r>
      <w:r>
        <w:rPr>
          <w:color w:val="231F20"/>
          <w:spacing w:val="-6"/>
          <w:sz w:val="19"/>
        </w:rPr>
        <w:t> </w:t>
      </w:r>
      <w:r>
        <w:rPr>
          <w:color w:val="231F20"/>
          <w:sz w:val="19"/>
        </w:rPr>
        <w:t>per</w:t>
      </w:r>
      <w:r>
        <w:rPr>
          <w:color w:val="231F20"/>
          <w:spacing w:val="-5"/>
          <w:sz w:val="19"/>
        </w:rPr>
        <w:t> </w:t>
      </w:r>
      <w:r>
        <w:rPr>
          <w:color w:val="231F20"/>
          <w:sz w:val="19"/>
        </w:rPr>
        <w:t>se</w:t>
      </w:r>
      <w:r>
        <w:rPr>
          <w:color w:val="231F20"/>
          <w:spacing w:val="-5"/>
          <w:sz w:val="19"/>
        </w:rPr>
        <w:t> </w:t>
      </w:r>
      <w:r>
        <w:rPr>
          <w:color w:val="231F20"/>
          <w:sz w:val="19"/>
        </w:rPr>
        <w:t>y</w:t>
      </w:r>
      <w:r>
        <w:rPr>
          <w:color w:val="231F20"/>
          <w:spacing w:val="-16"/>
          <w:sz w:val="19"/>
        </w:rPr>
        <w:t> </w:t>
      </w:r>
      <w:r>
        <w:rPr>
          <w:color w:val="231F20"/>
          <w:sz w:val="19"/>
        </w:rPr>
        <w:t>ACG</w:t>
      </w:r>
      <w:r>
        <w:rPr>
          <w:color w:val="231F20"/>
          <w:spacing w:val="-5"/>
          <w:sz w:val="19"/>
        </w:rPr>
        <w:t> </w:t>
      </w:r>
      <w:r>
        <w:rPr>
          <w:color w:val="231F20"/>
          <w:sz w:val="19"/>
        </w:rPr>
        <w:t>de</w:t>
      </w:r>
      <w:r>
        <w:rPr>
          <w:color w:val="231F20"/>
          <w:spacing w:val="-5"/>
          <w:sz w:val="19"/>
        </w:rPr>
        <w:t> </w:t>
      </w:r>
      <w:r>
        <w:rPr>
          <w:color w:val="231F20"/>
          <w:sz w:val="19"/>
        </w:rPr>
        <w:t>caracteres</w:t>
      </w:r>
      <w:r>
        <w:rPr>
          <w:color w:val="231F20"/>
          <w:spacing w:val="-6"/>
          <w:sz w:val="19"/>
        </w:rPr>
        <w:t> </w:t>
      </w:r>
      <w:r>
        <w:rPr>
          <w:color w:val="231F20"/>
          <w:sz w:val="19"/>
        </w:rPr>
        <w:t>relacionados</w:t>
      </w:r>
      <w:r>
        <w:rPr>
          <w:color w:val="231F20"/>
          <w:spacing w:val="-6"/>
          <w:sz w:val="19"/>
        </w:rPr>
        <w:t> </w:t>
      </w:r>
      <w:r>
        <w:rPr>
          <w:color w:val="231F20"/>
          <w:sz w:val="19"/>
        </w:rPr>
        <w:t>con</w:t>
      </w:r>
      <w:r>
        <w:rPr>
          <w:color w:val="231F20"/>
          <w:spacing w:val="-5"/>
          <w:sz w:val="19"/>
        </w:rPr>
        <w:t> </w:t>
      </w:r>
      <w:r>
        <w:rPr>
          <w:color w:val="231F20"/>
          <w:sz w:val="19"/>
        </w:rPr>
        <w:t>la</w:t>
      </w:r>
      <w:r>
        <w:rPr>
          <w:color w:val="231F20"/>
          <w:spacing w:val="-5"/>
          <w:sz w:val="19"/>
        </w:rPr>
        <w:t> </w:t>
      </w:r>
      <w:r>
        <w:rPr>
          <w:color w:val="231F20"/>
          <w:sz w:val="19"/>
        </w:rPr>
        <w:t>producción</w:t>
      </w:r>
      <w:r>
        <w:rPr>
          <w:color w:val="231F20"/>
          <w:spacing w:val="-5"/>
          <w:sz w:val="19"/>
        </w:rPr>
        <w:t> </w:t>
      </w:r>
      <w:r>
        <w:rPr>
          <w:color w:val="231F20"/>
          <w:sz w:val="19"/>
        </w:rPr>
        <w:t>de</w:t>
      </w:r>
      <w:r>
        <w:rPr>
          <w:color w:val="231F20"/>
          <w:spacing w:val="-5"/>
          <w:sz w:val="19"/>
        </w:rPr>
        <w:t> </w:t>
      </w:r>
      <w:r>
        <w:rPr>
          <w:color w:val="231F20"/>
          <w:sz w:val="19"/>
        </w:rPr>
        <w:t>semillas en líneas de maíz (Zea mays L) y sus cruzas. </w:t>
      </w:r>
      <w:r>
        <w:rPr>
          <w:color w:val="231F20"/>
          <w:spacing w:val="-3"/>
          <w:sz w:val="19"/>
        </w:rPr>
        <w:t>Tesis </w:t>
      </w:r>
      <w:r>
        <w:rPr>
          <w:color w:val="231F20"/>
          <w:sz w:val="19"/>
        </w:rPr>
        <w:t>de Doctor en ciencias. Colegio de Postgraduados.</w:t>
      </w:r>
      <w:r>
        <w:rPr>
          <w:color w:val="231F20"/>
          <w:spacing w:val="-18"/>
          <w:sz w:val="19"/>
        </w:rPr>
        <w:t> </w:t>
      </w:r>
      <w:r>
        <w:rPr>
          <w:color w:val="231F20"/>
          <w:sz w:val="19"/>
        </w:rPr>
        <w:t>Monteci- llos, Edo. de México. 121</w:t>
      </w:r>
      <w:r>
        <w:rPr>
          <w:color w:val="231F20"/>
          <w:spacing w:val="-8"/>
          <w:sz w:val="19"/>
        </w:rPr>
        <w:t> </w:t>
      </w:r>
      <w:r>
        <w:rPr>
          <w:color w:val="231F20"/>
          <w:sz w:val="19"/>
        </w:rPr>
        <w:t>p.</w:t>
      </w:r>
    </w:p>
    <w:p>
      <w:pPr>
        <w:pStyle w:val="BodyText"/>
        <w:spacing w:before="10"/>
        <w:rPr>
          <w:sz w:val="19"/>
        </w:rPr>
      </w:pPr>
    </w:p>
    <w:p>
      <w:pPr>
        <w:spacing w:before="0"/>
        <w:ind w:left="1270" w:right="0" w:firstLine="0"/>
        <w:jc w:val="both"/>
        <w:rPr>
          <w:sz w:val="19"/>
        </w:rPr>
      </w:pPr>
      <w:r>
        <w:rPr>
          <w:color w:val="231F20"/>
          <w:sz w:val="19"/>
        </w:rPr>
        <w:t>García E., 1981. Modificaciones al sistema climático de Köppen. UNAM. 3ª ed. 252 p.</w:t>
      </w:r>
    </w:p>
    <w:p>
      <w:pPr>
        <w:pStyle w:val="BodyText"/>
        <w:spacing w:before="7"/>
        <w:rPr>
          <w:sz w:val="20"/>
        </w:rPr>
      </w:pPr>
    </w:p>
    <w:p>
      <w:pPr>
        <w:spacing w:line="249" w:lineRule="auto" w:before="0"/>
        <w:ind w:left="1270" w:right="1268" w:firstLine="0"/>
        <w:jc w:val="both"/>
        <w:rPr>
          <w:sz w:val="19"/>
        </w:rPr>
      </w:pPr>
      <w:r>
        <w:rPr>
          <w:color w:val="231F20"/>
          <w:sz w:val="19"/>
        </w:rPr>
        <w:t>Larkins,</w:t>
      </w:r>
      <w:r>
        <w:rPr>
          <w:color w:val="231F20"/>
          <w:spacing w:val="-3"/>
          <w:sz w:val="19"/>
        </w:rPr>
        <w:t> </w:t>
      </w:r>
      <w:r>
        <w:rPr>
          <w:color w:val="231F20"/>
          <w:sz w:val="19"/>
        </w:rPr>
        <w:t>B.,</w:t>
      </w:r>
      <w:r>
        <w:rPr>
          <w:color w:val="231F20"/>
          <w:spacing w:val="-13"/>
          <w:sz w:val="19"/>
        </w:rPr>
        <w:t> </w:t>
      </w:r>
      <w:r>
        <w:rPr>
          <w:color w:val="231F20"/>
          <w:sz w:val="19"/>
        </w:rPr>
        <w:t>A.;</w:t>
      </w:r>
      <w:r>
        <w:rPr>
          <w:color w:val="231F20"/>
          <w:spacing w:val="-3"/>
          <w:sz w:val="19"/>
        </w:rPr>
        <w:t> </w:t>
      </w:r>
      <w:r>
        <w:rPr>
          <w:color w:val="231F20"/>
          <w:sz w:val="19"/>
        </w:rPr>
        <w:t>Dannehoffer,</w:t>
      </w:r>
      <w:r>
        <w:rPr>
          <w:color w:val="231F20"/>
          <w:spacing w:val="-3"/>
          <w:sz w:val="19"/>
        </w:rPr>
        <w:t> D.,F.; </w:t>
      </w:r>
      <w:r>
        <w:rPr>
          <w:color w:val="231F20"/>
          <w:sz w:val="19"/>
        </w:rPr>
        <w:t>Bostwick,</w:t>
      </w:r>
      <w:r>
        <w:rPr>
          <w:color w:val="231F20"/>
          <w:spacing w:val="-3"/>
          <w:sz w:val="19"/>
        </w:rPr>
        <w:t> </w:t>
      </w:r>
      <w:r>
        <w:rPr>
          <w:color w:val="231F20"/>
          <w:sz w:val="19"/>
        </w:rPr>
        <w:t>E.,O.;</w:t>
      </w:r>
      <w:r>
        <w:rPr>
          <w:color w:val="231F20"/>
          <w:spacing w:val="-3"/>
          <w:sz w:val="19"/>
        </w:rPr>
        <w:t> </w:t>
      </w:r>
      <w:r>
        <w:rPr>
          <w:color w:val="231F20"/>
          <w:sz w:val="19"/>
        </w:rPr>
        <w:t>Moro</w:t>
      </w:r>
      <w:r>
        <w:rPr>
          <w:color w:val="231F20"/>
          <w:spacing w:val="-3"/>
          <w:sz w:val="19"/>
        </w:rPr>
        <w:t> </w:t>
      </w:r>
      <w:r>
        <w:rPr>
          <w:color w:val="231F20"/>
          <w:sz w:val="19"/>
        </w:rPr>
        <w:t>G.,A.;</w:t>
      </w:r>
      <w:r>
        <w:rPr>
          <w:color w:val="231F20"/>
          <w:spacing w:val="-3"/>
          <w:sz w:val="19"/>
        </w:rPr>
        <w:t> </w:t>
      </w:r>
      <w:r>
        <w:rPr>
          <w:color w:val="231F20"/>
          <w:sz w:val="19"/>
        </w:rPr>
        <w:t>and</w:t>
      </w:r>
      <w:r>
        <w:rPr>
          <w:color w:val="231F20"/>
          <w:spacing w:val="-3"/>
          <w:sz w:val="19"/>
        </w:rPr>
        <w:t> </w:t>
      </w:r>
      <w:r>
        <w:rPr>
          <w:color w:val="231F20"/>
          <w:sz w:val="19"/>
        </w:rPr>
        <w:t>M.A.</w:t>
      </w:r>
      <w:r>
        <w:rPr>
          <w:color w:val="231F20"/>
          <w:spacing w:val="-3"/>
          <w:sz w:val="19"/>
        </w:rPr>
        <w:t> </w:t>
      </w:r>
      <w:r>
        <w:rPr>
          <w:color w:val="231F20"/>
          <w:sz w:val="19"/>
        </w:rPr>
        <w:t>Lopez.</w:t>
      </w:r>
      <w:r>
        <w:rPr>
          <w:color w:val="231F20"/>
          <w:spacing w:val="-3"/>
          <w:sz w:val="19"/>
        </w:rPr>
        <w:t> </w:t>
      </w:r>
      <w:r>
        <w:rPr>
          <w:color w:val="231F20"/>
          <w:sz w:val="19"/>
        </w:rPr>
        <w:t>1994.</w:t>
      </w:r>
      <w:r>
        <w:rPr>
          <w:color w:val="231F20"/>
          <w:spacing w:val="-3"/>
          <w:sz w:val="19"/>
        </w:rPr>
        <w:t> </w:t>
      </w:r>
      <w:r>
        <w:rPr>
          <w:color w:val="231F20"/>
          <w:sz w:val="19"/>
        </w:rPr>
        <w:t>Opaque</w:t>
      </w:r>
      <w:r>
        <w:rPr>
          <w:color w:val="231F20"/>
          <w:spacing w:val="-3"/>
          <w:sz w:val="19"/>
        </w:rPr>
        <w:t> </w:t>
      </w:r>
      <w:r>
        <w:rPr>
          <w:color w:val="231F20"/>
          <w:sz w:val="19"/>
        </w:rPr>
        <w:t>2</w:t>
      </w:r>
      <w:r>
        <w:rPr>
          <w:color w:val="231F20"/>
          <w:spacing w:val="-3"/>
          <w:sz w:val="19"/>
        </w:rPr>
        <w:t> </w:t>
      </w:r>
      <w:r>
        <w:rPr>
          <w:color w:val="231F20"/>
          <w:sz w:val="19"/>
        </w:rPr>
        <w:t>modifiers, what they are and how they work, In: Quality protein maize. 1964-1994. Proc. of the international symposium on quality protein maize. EMBRAPA/CNPMS, Sete Lagoas MG Brasil. December 1-3 1994, p.</w:t>
      </w:r>
      <w:r>
        <w:rPr>
          <w:color w:val="231F20"/>
          <w:spacing w:val="-18"/>
          <w:sz w:val="19"/>
        </w:rPr>
        <w:t> </w:t>
      </w:r>
      <w:r>
        <w:rPr>
          <w:color w:val="231F20"/>
          <w:sz w:val="19"/>
        </w:rPr>
        <w:t>133-148.</w:t>
      </w:r>
    </w:p>
    <w:p>
      <w:pPr>
        <w:pStyle w:val="BodyText"/>
        <w:spacing w:before="10"/>
        <w:rPr>
          <w:sz w:val="19"/>
        </w:rPr>
      </w:pPr>
    </w:p>
    <w:p>
      <w:pPr>
        <w:spacing w:line="249" w:lineRule="auto" w:before="0"/>
        <w:ind w:left="1270" w:right="1268" w:firstLine="0"/>
        <w:jc w:val="both"/>
        <w:rPr>
          <w:sz w:val="19"/>
        </w:rPr>
      </w:pPr>
      <w:r>
        <w:rPr>
          <w:color w:val="231F20"/>
          <w:sz w:val="19"/>
        </w:rPr>
        <w:t>Mertz, E., T. 1994. Thirty years of opaque 2 maize. In: Quality Protein Maize. 1964-1994. Proc. of Symp. of Quality Protein Maize. EMBRAPA/CNPMS, Sete Lagoas M. G. Brasil. p 1-10.</w:t>
      </w:r>
    </w:p>
    <w:p>
      <w:pPr>
        <w:pStyle w:val="BodyText"/>
        <w:spacing w:before="10"/>
        <w:rPr>
          <w:sz w:val="19"/>
        </w:rPr>
      </w:pPr>
    </w:p>
    <w:p>
      <w:pPr>
        <w:spacing w:line="249" w:lineRule="auto" w:before="0"/>
        <w:ind w:left="1270" w:right="1268" w:firstLine="0"/>
        <w:jc w:val="both"/>
        <w:rPr>
          <w:sz w:val="19"/>
        </w:rPr>
      </w:pPr>
      <w:r>
        <w:rPr>
          <w:color w:val="231F20"/>
          <w:sz w:val="19"/>
        </w:rPr>
        <w:t>Morris M.L.; y López P., M.A. 2000. Impactos del mejoramiento de maíz en América Latina 1966-1997. Mé- xico D.F. CIMMYT 45 p.</w:t>
      </w:r>
    </w:p>
    <w:p>
      <w:pPr>
        <w:pStyle w:val="BodyText"/>
        <w:spacing w:before="10"/>
        <w:rPr>
          <w:sz w:val="19"/>
        </w:rPr>
      </w:pPr>
    </w:p>
    <w:p>
      <w:pPr>
        <w:spacing w:line="249" w:lineRule="auto" w:before="0"/>
        <w:ind w:left="1270" w:right="1268" w:firstLine="0"/>
        <w:jc w:val="both"/>
        <w:rPr>
          <w:sz w:val="19"/>
        </w:rPr>
      </w:pPr>
      <w:r>
        <w:rPr>
          <w:color w:val="231F20"/>
          <w:sz w:val="19"/>
        </w:rPr>
        <w:t>Ramírez</w:t>
      </w:r>
      <w:r>
        <w:rPr>
          <w:color w:val="231F20"/>
          <w:spacing w:val="-19"/>
          <w:sz w:val="19"/>
        </w:rPr>
        <w:t> </w:t>
      </w:r>
      <w:r>
        <w:rPr>
          <w:color w:val="231F20"/>
          <w:spacing w:val="-7"/>
          <w:sz w:val="19"/>
        </w:rPr>
        <w:t>F.,</w:t>
      </w:r>
      <w:r>
        <w:rPr>
          <w:color w:val="231F20"/>
          <w:spacing w:val="-28"/>
          <w:sz w:val="19"/>
        </w:rPr>
        <w:t> </w:t>
      </w:r>
      <w:r>
        <w:rPr>
          <w:color w:val="231F20"/>
          <w:sz w:val="19"/>
        </w:rPr>
        <w:t>A.;</w:t>
      </w:r>
      <w:r>
        <w:rPr>
          <w:color w:val="231F20"/>
          <w:spacing w:val="-19"/>
          <w:sz w:val="19"/>
        </w:rPr>
        <w:t> </w:t>
      </w:r>
      <w:r>
        <w:rPr>
          <w:color w:val="231F20"/>
          <w:sz w:val="19"/>
        </w:rPr>
        <w:t>Coutiño</w:t>
      </w:r>
      <w:r>
        <w:rPr>
          <w:color w:val="231F20"/>
          <w:spacing w:val="-19"/>
          <w:sz w:val="19"/>
        </w:rPr>
        <w:t> </w:t>
      </w:r>
      <w:r>
        <w:rPr>
          <w:color w:val="231F20"/>
          <w:sz w:val="19"/>
        </w:rPr>
        <w:t>E.,</w:t>
      </w:r>
      <w:r>
        <w:rPr>
          <w:color w:val="231F20"/>
          <w:spacing w:val="-19"/>
          <w:sz w:val="19"/>
        </w:rPr>
        <w:t> </w:t>
      </w:r>
      <w:r>
        <w:rPr>
          <w:color w:val="231F20"/>
          <w:sz w:val="19"/>
        </w:rPr>
        <w:t>B:;</w:t>
      </w:r>
      <w:r>
        <w:rPr>
          <w:color w:val="231F20"/>
          <w:spacing w:val="-19"/>
          <w:sz w:val="19"/>
        </w:rPr>
        <w:t> </w:t>
      </w:r>
      <w:r>
        <w:rPr>
          <w:color w:val="231F20"/>
          <w:sz w:val="19"/>
        </w:rPr>
        <w:t>Gómez</w:t>
      </w:r>
      <w:r>
        <w:rPr>
          <w:color w:val="231F20"/>
          <w:spacing w:val="-19"/>
          <w:sz w:val="19"/>
        </w:rPr>
        <w:t> </w:t>
      </w:r>
      <w:r>
        <w:rPr>
          <w:color w:val="231F20"/>
          <w:sz w:val="19"/>
        </w:rPr>
        <w:t>M.,</w:t>
      </w:r>
      <w:r>
        <w:rPr>
          <w:color w:val="231F20"/>
          <w:spacing w:val="-19"/>
          <w:sz w:val="19"/>
        </w:rPr>
        <w:t> </w:t>
      </w:r>
      <w:r>
        <w:rPr>
          <w:color w:val="231F20"/>
          <w:sz w:val="19"/>
        </w:rPr>
        <w:t>N.;</w:t>
      </w:r>
      <w:r>
        <w:rPr>
          <w:color w:val="231F20"/>
          <w:spacing w:val="-19"/>
          <w:sz w:val="19"/>
        </w:rPr>
        <w:t> </w:t>
      </w:r>
      <w:r>
        <w:rPr>
          <w:color w:val="231F20"/>
          <w:sz w:val="19"/>
        </w:rPr>
        <w:t>Sierra</w:t>
      </w:r>
      <w:r>
        <w:rPr>
          <w:color w:val="231F20"/>
          <w:spacing w:val="-19"/>
          <w:sz w:val="19"/>
        </w:rPr>
        <w:t> </w:t>
      </w:r>
      <w:r>
        <w:rPr>
          <w:color w:val="231F20"/>
          <w:sz w:val="19"/>
        </w:rPr>
        <w:t>M.,</w:t>
      </w:r>
      <w:r>
        <w:rPr>
          <w:color w:val="231F20"/>
          <w:spacing w:val="-19"/>
          <w:sz w:val="19"/>
        </w:rPr>
        <w:t> </w:t>
      </w:r>
      <w:r>
        <w:rPr>
          <w:color w:val="231F20"/>
          <w:sz w:val="19"/>
        </w:rPr>
        <w:t>M.</w:t>
      </w:r>
      <w:r>
        <w:rPr>
          <w:color w:val="231F20"/>
          <w:spacing w:val="-19"/>
          <w:sz w:val="19"/>
        </w:rPr>
        <w:t> </w:t>
      </w:r>
      <w:r>
        <w:rPr>
          <w:color w:val="231F20"/>
          <w:sz w:val="19"/>
        </w:rPr>
        <w:t>1990.</w:t>
      </w:r>
      <w:r>
        <w:rPr>
          <w:color w:val="231F20"/>
          <w:spacing w:val="-21"/>
          <w:sz w:val="19"/>
        </w:rPr>
        <w:t> </w:t>
      </w:r>
      <w:r>
        <w:rPr>
          <w:color w:val="231F20"/>
          <w:spacing w:val="-5"/>
          <w:sz w:val="19"/>
        </w:rPr>
        <w:t>V-534,</w:t>
      </w:r>
      <w:r>
        <w:rPr>
          <w:color w:val="231F20"/>
          <w:spacing w:val="-19"/>
          <w:sz w:val="19"/>
        </w:rPr>
        <w:t> </w:t>
      </w:r>
      <w:r>
        <w:rPr>
          <w:color w:val="231F20"/>
          <w:sz w:val="19"/>
        </w:rPr>
        <w:t>Nueva</w:t>
      </w:r>
      <w:r>
        <w:rPr>
          <w:color w:val="231F20"/>
          <w:spacing w:val="-19"/>
          <w:sz w:val="19"/>
        </w:rPr>
        <w:t> </w:t>
      </w:r>
      <w:r>
        <w:rPr>
          <w:color w:val="231F20"/>
          <w:sz w:val="19"/>
        </w:rPr>
        <w:t>variedad</w:t>
      </w:r>
      <w:r>
        <w:rPr>
          <w:color w:val="231F20"/>
          <w:spacing w:val="-19"/>
          <w:sz w:val="19"/>
        </w:rPr>
        <w:t> </w:t>
      </w:r>
      <w:r>
        <w:rPr>
          <w:color w:val="231F20"/>
          <w:sz w:val="19"/>
        </w:rPr>
        <w:t>de</w:t>
      </w:r>
      <w:r>
        <w:rPr>
          <w:color w:val="231F20"/>
          <w:spacing w:val="-19"/>
          <w:sz w:val="19"/>
        </w:rPr>
        <w:t> </w:t>
      </w:r>
      <w:r>
        <w:rPr>
          <w:color w:val="231F20"/>
          <w:sz w:val="19"/>
        </w:rPr>
        <w:t>maíz</w:t>
      </w:r>
      <w:r>
        <w:rPr>
          <w:color w:val="231F20"/>
          <w:spacing w:val="-19"/>
          <w:sz w:val="19"/>
        </w:rPr>
        <w:t> </w:t>
      </w:r>
      <w:r>
        <w:rPr>
          <w:color w:val="231F20"/>
          <w:sz w:val="19"/>
        </w:rPr>
        <w:t>de</w:t>
      </w:r>
      <w:r>
        <w:rPr>
          <w:color w:val="231F20"/>
          <w:spacing w:val="-19"/>
          <w:sz w:val="19"/>
        </w:rPr>
        <w:t> </w:t>
      </w:r>
      <w:r>
        <w:rPr>
          <w:color w:val="231F20"/>
          <w:spacing w:val="-2"/>
          <w:sz w:val="19"/>
        </w:rPr>
        <w:t>polinización </w:t>
      </w:r>
      <w:r>
        <w:rPr>
          <w:color w:val="231F20"/>
          <w:sz w:val="19"/>
        </w:rPr>
        <w:t>libre</w:t>
      </w:r>
      <w:r>
        <w:rPr>
          <w:color w:val="231F20"/>
          <w:spacing w:val="-17"/>
          <w:sz w:val="19"/>
        </w:rPr>
        <w:t> </w:t>
      </w:r>
      <w:r>
        <w:rPr>
          <w:color w:val="231F20"/>
          <w:sz w:val="19"/>
        </w:rPr>
        <w:t>para</w:t>
      </w:r>
      <w:r>
        <w:rPr>
          <w:color w:val="231F20"/>
          <w:spacing w:val="-17"/>
          <w:sz w:val="19"/>
        </w:rPr>
        <w:t> </w:t>
      </w:r>
      <w:r>
        <w:rPr>
          <w:color w:val="231F20"/>
          <w:sz w:val="19"/>
        </w:rPr>
        <w:t>la</w:t>
      </w:r>
      <w:r>
        <w:rPr>
          <w:color w:val="231F20"/>
          <w:spacing w:val="-17"/>
          <w:sz w:val="19"/>
        </w:rPr>
        <w:t> </w:t>
      </w:r>
      <w:r>
        <w:rPr>
          <w:color w:val="231F20"/>
          <w:sz w:val="19"/>
        </w:rPr>
        <w:t>región</w:t>
      </w:r>
      <w:r>
        <w:rPr>
          <w:color w:val="231F20"/>
          <w:spacing w:val="-17"/>
          <w:sz w:val="19"/>
        </w:rPr>
        <w:t> </w:t>
      </w:r>
      <w:r>
        <w:rPr>
          <w:color w:val="231F20"/>
          <w:sz w:val="19"/>
        </w:rPr>
        <w:t>central</w:t>
      </w:r>
      <w:r>
        <w:rPr>
          <w:color w:val="231F20"/>
          <w:spacing w:val="-17"/>
          <w:sz w:val="19"/>
        </w:rPr>
        <w:t> </w:t>
      </w:r>
      <w:r>
        <w:rPr>
          <w:color w:val="231F20"/>
          <w:sz w:val="19"/>
        </w:rPr>
        <w:t>de</w:t>
      </w:r>
      <w:r>
        <w:rPr>
          <w:color w:val="231F20"/>
          <w:spacing w:val="-17"/>
          <w:sz w:val="19"/>
        </w:rPr>
        <w:t> </w:t>
      </w:r>
      <w:r>
        <w:rPr>
          <w:color w:val="231F20"/>
          <w:sz w:val="19"/>
        </w:rPr>
        <w:t>Chiapas.</w:t>
      </w:r>
      <w:r>
        <w:rPr>
          <w:color w:val="231F20"/>
          <w:spacing w:val="-17"/>
          <w:sz w:val="19"/>
        </w:rPr>
        <w:t> </w:t>
      </w:r>
      <w:r>
        <w:rPr>
          <w:color w:val="231F20"/>
          <w:sz w:val="19"/>
        </w:rPr>
        <w:t>Folleto</w:t>
      </w:r>
      <w:r>
        <w:rPr>
          <w:color w:val="231F20"/>
          <w:spacing w:val="-20"/>
          <w:sz w:val="19"/>
        </w:rPr>
        <w:t> </w:t>
      </w:r>
      <w:r>
        <w:rPr>
          <w:color w:val="231F20"/>
          <w:sz w:val="19"/>
        </w:rPr>
        <w:t>Técnico</w:t>
      </w:r>
      <w:r>
        <w:rPr>
          <w:color w:val="231F20"/>
          <w:spacing w:val="-17"/>
          <w:sz w:val="19"/>
        </w:rPr>
        <w:t> </w:t>
      </w:r>
      <w:r>
        <w:rPr>
          <w:color w:val="231F20"/>
          <w:sz w:val="19"/>
        </w:rPr>
        <w:t>Núm.</w:t>
      </w:r>
      <w:r>
        <w:rPr>
          <w:color w:val="231F20"/>
          <w:spacing w:val="-17"/>
          <w:sz w:val="19"/>
        </w:rPr>
        <w:t> </w:t>
      </w:r>
      <w:r>
        <w:rPr>
          <w:color w:val="231F20"/>
          <w:sz w:val="19"/>
        </w:rPr>
        <w:t>3.</w:t>
      </w:r>
      <w:r>
        <w:rPr>
          <w:color w:val="231F20"/>
          <w:spacing w:val="-17"/>
          <w:sz w:val="19"/>
        </w:rPr>
        <w:t> </w:t>
      </w:r>
      <w:r>
        <w:rPr>
          <w:color w:val="231F20"/>
          <w:sz w:val="19"/>
        </w:rPr>
        <w:t>CECECH,</w:t>
      </w:r>
      <w:r>
        <w:rPr>
          <w:color w:val="231F20"/>
          <w:spacing w:val="-17"/>
          <w:sz w:val="19"/>
        </w:rPr>
        <w:t> </w:t>
      </w:r>
      <w:r>
        <w:rPr>
          <w:color w:val="231F20"/>
          <w:spacing w:val="-5"/>
          <w:sz w:val="19"/>
        </w:rPr>
        <w:t>CIFAP</w:t>
      </w:r>
      <w:r>
        <w:rPr>
          <w:color w:val="231F20"/>
          <w:spacing w:val="-22"/>
          <w:sz w:val="19"/>
        </w:rPr>
        <w:t> </w:t>
      </w:r>
      <w:r>
        <w:rPr>
          <w:color w:val="231F20"/>
          <w:sz w:val="19"/>
        </w:rPr>
        <w:t>Chiapas.</w:t>
      </w:r>
      <w:r>
        <w:rPr>
          <w:color w:val="231F20"/>
          <w:spacing w:val="-17"/>
          <w:sz w:val="19"/>
        </w:rPr>
        <w:t> </w:t>
      </w:r>
      <w:r>
        <w:rPr>
          <w:color w:val="231F20"/>
          <w:spacing w:val="-7"/>
          <w:sz w:val="19"/>
        </w:rPr>
        <w:t>INIFAP.</w:t>
      </w:r>
      <w:r>
        <w:rPr>
          <w:color w:val="231F20"/>
          <w:spacing w:val="-17"/>
          <w:sz w:val="19"/>
        </w:rPr>
        <w:t> </w:t>
      </w:r>
      <w:r>
        <w:rPr>
          <w:color w:val="231F20"/>
          <w:sz w:val="19"/>
        </w:rPr>
        <w:t>SARH.</w:t>
      </w:r>
      <w:r>
        <w:rPr>
          <w:color w:val="231F20"/>
          <w:spacing w:val="-17"/>
          <w:sz w:val="19"/>
        </w:rPr>
        <w:t> </w:t>
      </w:r>
      <w:r>
        <w:rPr>
          <w:color w:val="231F20"/>
          <w:sz w:val="19"/>
        </w:rPr>
        <w:t>14</w:t>
      </w:r>
      <w:r>
        <w:rPr>
          <w:color w:val="231F20"/>
          <w:spacing w:val="-17"/>
          <w:sz w:val="19"/>
        </w:rPr>
        <w:t> </w:t>
      </w:r>
      <w:r>
        <w:rPr>
          <w:color w:val="231F20"/>
          <w:sz w:val="19"/>
        </w:rPr>
        <w:t>p.</w:t>
      </w:r>
    </w:p>
    <w:p>
      <w:pPr>
        <w:pStyle w:val="BodyText"/>
        <w:spacing w:before="10"/>
        <w:rPr>
          <w:sz w:val="19"/>
        </w:rPr>
      </w:pPr>
    </w:p>
    <w:p>
      <w:pPr>
        <w:spacing w:line="249" w:lineRule="auto" w:before="0"/>
        <w:ind w:left="1270" w:right="1268" w:firstLine="0"/>
        <w:jc w:val="both"/>
        <w:rPr>
          <w:sz w:val="19"/>
        </w:rPr>
      </w:pPr>
      <w:r>
        <w:rPr>
          <w:color w:val="231F20"/>
          <w:sz w:val="19"/>
        </w:rPr>
        <w:t>Reyes C., P; Molina G., J; y Rodríguez V., A. 1959. Maíz Cotaxtla contribuye al mejoramiento de maíz tropi- cal. In: Campo Cotaxtla, 4 años de labores. Oficina de Estudios Especiales (OEE). Secretaría de Agricultura y Ganadería (SAG) p. 13-23.</w:t>
      </w:r>
    </w:p>
    <w:p>
      <w:pPr>
        <w:pStyle w:val="BodyText"/>
        <w:spacing w:before="10"/>
        <w:rPr>
          <w:sz w:val="19"/>
        </w:rPr>
      </w:pPr>
    </w:p>
    <w:p>
      <w:pPr>
        <w:spacing w:line="249" w:lineRule="auto" w:before="0"/>
        <w:ind w:left="1270" w:right="1268" w:firstLine="0"/>
        <w:jc w:val="both"/>
        <w:rPr>
          <w:sz w:val="19"/>
        </w:rPr>
      </w:pPr>
      <w:r>
        <w:rPr>
          <w:color w:val="231F20"/>
          <w:sz w:val="19"/>
        </w:rPr>
        <w:t>Reyes C., </w:t>
      </w:r>
      <w:r>
        <w:rPr>
          <w:color w:val="231F20"/>
          <w:spacing w:val="-11"/>
          <w:sz w:val="19"/>
        </w:rPr>
        <w:t>P. </w:t>
      </w:r>
      <w:r>
        <w:rPr>
          <w:color w:val="231F20"/>
          <w:sz w:val="19"/>
        </w:rPr>
        <w:t>1971. Genotecnia del maíz para tierra caliente. Instituto </w:t>
      </w:r>
      <w:r>
        <w:rPr>
          <w:color w:val="231F20"/>
          <w:spacing w:val="-3"/>
          <w:sz w:val="19"/>
        </w:rPr>
        <w:t>Tecnológico </w:t>
      </w:r>
      <w:r>
        <w:rPr>
          <w:color w:val="231F20"/>
          <w:sz w:val="19"/>
        </w:rPr>
        <w:t>y de Estudios Superiores de </w:t>
      </w:r>
      <w:r>
        <w:rPr>
          <w:color w:val="231F20"/>
          <w:spacing w:val="-3"/>
          <w:sz w:val="19"/>
        </w:rPr>
        <w:t>Monterrey.</w:t>
      </w:r>
      <w:r>
        <w:rPr>
          <w:color w:val="231F20"/>
          <w:spacing w:val="-14"/>
          <w:sz w:val="19"/>
        </w:rPr>
        <w:t> </w:t>
      </w:r>
      <w:r>
        <w:rPr>
          <w:color w:val="231F20"/>
          <w:sz w:val="19"/>
        </w:rPr>
        <w:t>División</w:t>
      </w:r>
      <w:r>
        <w:rPr>
          <w:color w:val="231F20"/>
          <w:spacing w:val="-14"/>
          <w:sz w:val="19"/>
        </w:rPr>
        <w:t> </w:t>
      </w:r>
      <w:r>
        <w:rPr>
          <w:color w:val="231F20"/>
          <w:sz w:val="19"/>
        </w:rPr>
        <w:t>de</w:t>
      </w:r>
      <w:r>
        <w:rPr>
          <w:color w:val="231F20"/>
          <w:spacing w:val="-14"/>
          <w:sz w:val="19"/>
        </w:rPr>
        <w:t> </w:t>
      </w:r>
      <w:r>
        <w:rPr>
          <w:color w:val="231F20"/>
          <w:sz w:val="19"/>
        </w:rPr>
        <w:t>ciencias</w:t>
      </w:r>
      <w:r>
        <w:rPr>
          <w:color w:val="231F20"/>
          <w:spacing w:val="-14"/>
          <w:sz w:val="19"/>
        </w:rPr>
        <w:t> </w:t>
      </w:r>
      <w:r>
        <w:rPr>
          <w:color w:val="231F20"/>
          <w:sz w:val="19"/>
        </w:rPr>
        <w:t>agropecuarias</w:t>
      </w:r>
      <w:r>
        <w:rPr>
          <w:color w:val="231F20"/>
          <w:spacing w:val="-14"/>
          <w:sz w:val="19"/>
        </w:rPr>
        <w:t> </w:t>
      </w:r>
      <w:r>
        <w:rPr>
          <w:color w:val="231F20"/>
          <w:sz w:val="19"/>
        </w:rPr>
        <w:t>y</w:t>
      </w:r>
      <w:r>
        <w:rPr>
          <w:color w:val="231F20"/>
          <w:spacing w:val="-14"/>
          <w:sz w:val="19"/>
        </w:rPr>
        <w:t> </w:t>
      </w:r>
      <w:r>
        <w:rPr>
          <w:color w:val="231F20"/>
          <w:sz w:val="19"/>
        </w:rPr>
        <w:t>marítimas.</w:t>
      </w:r>
      <w:r>
        <w:rPr>
          <w:color w:val="231F20"/>
          <w:spacing w:val="-14"/>
          <w:sz w:val="19"/>
        </w:rPr>
        <w:t> </w:t>
      </w:r>
      <w:r>
        <w:rPr>
          <w:color w:val="231F20"/>
          <w:sz w:val="19"/>
        </w:rPr>
        <w:t>Departamento</w:t>
      </w:r>
      <w:r>
        <w:rPr>
          <w:color w:val="231F20"/>
          <w:spacing w:val="-14"/>
          <w:sz w:val="19"/>
        </w:rPr>
        <w:t> </w:t>
      </w:r>
      <w:r>
        <w:rPr>
          <w:color w:val="231F20"/>
          <w:sz w:val="19"/>
        </w:rPr>
        <w:t>de</w:t>
      </w:r>
      <w:r>
        <w:rPr>
          <w:color w:val="231F20"/>
          <w:spacing w:val="-14"/>
          <w:sz w:val="19"/>
        </w:rPr>
        <w:t> </w:t>
      </w:r>
      <w:r>
        <w:rPr>
          <w:color w:val="231F20"/>
          <w:sz w:val="19"/>
        </w:rPr>
        <w:t>agronomía.</w:t>
      </w:r>
      <w:r>
        <w:rPr>
          <w:color w:val="231F20"/>
          <w:spacing w:val="-14"/>
          <w:sz w:val="19"/>
        </w:rPr>
        <w:t> </w:t>
      </w:r>
      <w:r>
        <w:rPr>
          <w:color w:val="231F20"/>
          <w:spacing w:val="-3"/>
          <w:sz w:val="19"/>
        </w:rPr>
        <w:t>Monterrey,</w:t>
      </w:r>
      <w:r>
        <w:rPr>
          <w:color w:val="231F20"/>
          <w:spacing w:val="-14"/>
          <w:sz w:val="19"/>
        </w:rPr>
        <w:t> </w:t>
      </w:r>
      <w:r>
        <w:rPr>
          <w:color w:val="231F20"/>
          <w:sz w:val="19"/>
        </w:rPr>
        <w:t>N.L.</w:t>
      </w:r>
      <w:r>
        <w:rPr>
          <w:color w:val="231F20"/>
          <w:spacing w:val="-14"/>
          <w:sz w:val="19"/>
        </w:rPr>
        <w:t> </w:t>
      </w:r>
      <w:r>
        <w:rPr>
          <w:color w:val="231F20"/>
          <w:sz w:val="19"/>
        </w:rPr>
        <w:t>138</w:t>
      </w:r>
      <w:r>
        <w:rPr>
          <w:color w:val="231F20"/>
          <w:spacing w:val="-14"/>
          <w:sz w:val="19"/>
        </w:rPr>
        <w:t> </w:t>
      </w:r>
      <w:r>
        <w:rPr>
          <w:color w:val="231F20"/>
          <w:sz w:val="19"/>
        </w:rPr>
        <w:t>p.</w:t>
      </w:r>
    </w:p>
    <w:p>
      <w:pPr>
        <w:spacing w:after="0" w:line="249" w:lineRule="auto"/>
        <w:jc w:val="both"/>
        <w:rPr>
          <w:sz w:val="19"/>
        </w:rPr>
        <w:sectPr>
          <w:pgSz w:w="10920" w:h="13080"/>
          <w:pgMar w:header="0" w:footer="1025" w:top="420" w:bottom="1220" w:left="0" w:right="0"/>
        </w:sectPr>
      </w:pPr>
    </w:p>
    <w:p>
      <w:pPr>
        <w:pStyle w:val="BodyText"/>
        <w:rPr>
          <w:sz w:val="20"/>
        </w:rPr>
      </w:pPr>
    </w:p>
    <w:p>
      <w:pPr>
        <w:pStyle w:val="BodyText"/>
        <w:rPr>
          <w:sz w:val="20"/>
        </w:rPr>
      </w:pPr>
    </w:p>
    <w:p>
      <w:pPr>
        <w:pStyle w:val="BodyText"/>
        <w:spacing w:before="2"/>
        <w:rPr>
          <w:sz w:val="23"/>
        </w:rPr>
      </w:pPr>
    </w:p>
    <w:p>
      <w:pPr>
        <w:spacing w:before="76"/>
        <w:ind w:left="1270" w:right="0" w:firstLine="0"/>
        <w:jc w:val="both"/>
        <w:rPr>
          <w:sz w:val="19"/>
        </w:rPr>
      </w:pPr>
      <w:r>
        <w:rPr>
          <w:color w:val="231F20"/>
          <w:sz w:val="19"/>
        </w:rPr>
        <w:t>Reyes C., P. 1985. Fitogenotecnia básica y aplicada. AGT Editor, México. 460 p.</w:t>
      </w:r>
    </w:p>
    <w:p>
      <w:pPr>
        <w:pStyle w:val="BodyText"/>
        <w:spacing w:before="7"/>
        <w:rPr>
          <w:sz w:val="20"/>
        </w:rPr>
      </w:pPr>
    </w:p>
    <w:p>
      <w:pPr>
        <w:spacing w:line="249" w:lineRule="auto" w:before="0"/>
        <w:ind w:left="1270" w:right="1268" w:firstLine="0"/>
        <w:jc w:val="both"/>
        <w:rPr>
          <w:sz w:val="19"/>
        </w:rPr>
      </w:pPr>
      <w:r>
        <w:rPr>
          <w:color w:val="231F20"/>
          <w:spacing w:val="-3"/>
          <w:sz w:val="19"/>
        </w:rPr>
        <w:t>SAGARPA.</w:t>
      </w:r>
      <w:r>
        <w:rPr>
          <w:color w:val="231F20"/>
          <w:spacing w:val="-4"/>
          <w:sz w:val="19"/>
        </w:rPr>
        <w:t> </w:t>
      </w:r>
      <w:r>
        <w:rPr>
          <w:color w:val="231F20"/>
          <w:sz w:val="19"/>
        </w:rPr>
        <w:t>2008.</w:t>
      </w:r>
      <w:r>
        <w:rPr>
          <w:color w:val="231F20"/>
          <w:spacing w:val="-4"/>
          <w:sz w:val="19"/>
        </w:rPr>
        <w:t> </w:t>
      </w:r>
      <w:r>
        <w:rPr>
          <w:color w:val="231F20"/>
          <w:sz w:val="19"/>
        </w:rPr>
        <w:t>Servicio</w:t>
      </w:r>
      <w:r>
        <w:rPr>
          <w:color w:val="231F20"/>
          <w:spacing w:val="-4"/>
          <w:sz w:val="19"/>
        </w:rPr>
        <w:t> </w:t>
      </w:r>
      <w:r>
        <w:rPr>
          <w:color w:val="231F20"/>
          <w:sz w:val="19"/>
        </w:rPr>
        <w:t>de</w:t>
      </w:r>
      <w:r>
        <w:rPr>
          <w:color w:val="231F20"/>
          <w:spacing w:val="-4"/>
          <w:sz w:val="19"/>
        </w:rPr>
        <w:t> </w:t>
      </w:r>
      <w:r>
        <w:rPr>
          <w:color w:val="231F20"/>
          <w:sz w:val="19"/>
        </w:rPr>
        <w:t>Información</w:t>
      </w:r>
      <w:r>
        <w:rPr>
          <w:color w:val="231F20"/>
          <w:spacing w:val="-4"/>
          <w:sz w:val="19"/>
        </w:rPr>
        <w:t> </w:t>
      </w:r>
      <w:r>
        <w:rPr>
          <w:color w:val="231F20"/>
          <w:sz w:val="19"/>
        </w:rPr>
        <w:t>y</w:t>
      </w:r>
      <w:r>
        <w:rPr>
          <w:color w:val="231F20"/>
          <w:spacing w:val="-4"/>
          <w:sz w:val="19"/>
        </w:rPr>
        <w:t> </w:t>
      </w:r>
      <w:r>
        <w:rPr>
          <w:color w:val="231F20"/>
          <w:sz w:val="19"/>
        </w:rPr>
        <w:t>Estadística</w:t>
      </w:r>
      <w:r>
        <w:rPr>
          <w:color w:val="231F20"/>
          <w:spacing w:val="-15"/>
          <w:sz w:val="19"/>
        </w:rPr>
        <w:t> </w:t>
      </w:r>
      <w:r>
        <w:rPr>
          <w:color w:val="231F20"/>
          <w:sz w:val="19"/>
        </w:rPr>
        <w:t>Agroalimentaria</w:t>
      </w:r>
      <w:r>
        <w:rPr>
          <w:color w:val="231F20"/>
          <w:spacing w:val="-4"/>
          <w:sz w:val="19"/>
        </w:rPr>
        <w:t> </w:t>
      </w:r>
      <w:r>
        <w:rPr>
          <w:color w:val="231F20"/>
          <w:sz w:val="19"/>
        </w:rPr>
        <w:t>y</w:t>
      </w:r>
      <w:r>
        <w:rPr>
          <w:color w:val="231F20"/>
          <w:spacing w:val="-4"/>
          <w:sz w:val="19"/>
        </w:rPr>
        <w:t> </w:t>
      </w:r>
      <w:r>
        <w:rPr>
          <w:color w:val="231F20"/>
          <w:sz w:val="19"/>
        </w:rPr>
        <w:t>Pesquera.</w:t>
      </w:r>
      <w:r>
        <w:rPr>
          <w:color w:val="231F20"/>
          <w:spacing w:val="-15"/>
          <w:sz w:val="19"/>
        </w:rPr>
        <w:t> </w:t>
      </w:r>
      <w:r>
        <w:rPr>
          <w:color w:val="231F20"/>
          <w:sz w:val="19"/>
        </w:rPr>
        <w:t>Anuario</w:t>
      </w:r>
      <w:r>
        <w:rPr>
          <w:color w:val="231F20"/>
          <w:spacing w:val="-4"/>
          <w:sz w:val="19"/>
        </w:rPr>
        <w:t> </w:t>
      </w:r>
      <w:r>
        <w:rPr>
          <w:color w:val="231F20"/>
          <w:sz w:val="19"/>
        </w:rPr>
        <w:t>estadístico</w:t>
      </w:r>
      <w:r>
        <w:rPr>
          <w:color w:val="231F20"/>
          <w:spacing w:val="-4"/>
          <w:sz w:val="19"/>
        </w:rPr>
        <w:t> </w:t>
      </w:r>
      <w:r>
        <w:rPr>
          <w:color w:val="231F20"/>
          <w:sz w:val="19"/>
        </w:rPr>
        <w:t>de</w:t>
      </w:r>
      <w:r>
        <w:rPr>
          <w:color w:val="231F20"/>
          <w:spacing w:val="-4"/>
          <w:sz w:val="19"/>
        </w:rPr>
        <w:t> </w:t>
      </w:r>
      <w:r>
        <w:rPr>
          <w:color w:val="231F20"/>
          <w:sz w:val="19"/>
        </w:rPr>
        <w:t>la producción agrícola de los Estados Unidos Mexicanos. Disponible en: </w:t>
      </w:r>
      <w:hyperlink r:id="rId29">
        <w:r>
          <w:rPr>
            <w:color w:val="231F20"/>
            <w:sz w:val="19"/>
          </w:rPr>
          <w:t>http//www.siap.sagarpa.gob.mx</w:t>
        </w:r>
      </w:hyperlink>
      <w:r>
        <w:rPr>
          <w:color w:val="231F20"/>
          <w:sz w:val="19"/>
        </w:rPr>
        <w:t> </w:t>
      </w:r>
      <w:r>
        <w:rPr>
          <w:color w:val="231F20"/>
          <w:spacing w:val="-3"/>
          <w:sz w:val="19"/>
        </w:rPr>
        <w:t>(11 </w:t>
      </w:r>
      <w:r>
        <w:rPr>
          <w:color w:val="231F20"/>
          <w:sz w:val="19"/>
        </w:rPr>
        <w:t>de septiembre 2008). s/p.</w:t>
      </w:r>
    </w:p>
    <w:p>
      <w:pPr>
        <w:pStyle w:val="BodyText"/>
        <w:spacing w:before="10"/>
        <w:rPr>
          <w:sz w:val="19"/>
        </w:rPr>
      </w:pPr>
    </w:p>
    <w:p>
      <w:pPr>
        <w:spacing w:line="249" w:lineRule="auto" w:before="0"/>
        <w:ind w:left="1270" w:right="1268" w:firstLine="0"/>
        <w:jc w:val="both"/>
        <w:rPr>
          <w:sz w:val="19"/>
        </w:rPr>
      </w:pPr>
      <w:r>
        <w:rPr>
          <w:color w:val="231F20"/>
          <w:sz w:val="19"/>
        </w:rPr>
        <w:t>Sierra M., M; Palafox c., A.; Rodríguez M., </w:t>
      </w:r>
      <w:r>
        <w:rPr>
          <w:color w:val="231F20"/>
          <w:spacing w:val="-6"/>
          <w:sz w:val="19"/>
        </w:rPr>
        <w:t>F.; </w:t>
      </w:r>
      <w:r>
        <w:rPr>
          <w:color w:val="231F20"/>
          <w:sz w:val="19"/>
        </w:rPr>
        <w:t>Espinosa C., A.; Vásquez C., G.; Gómez M., N.; Barrón </w:t>
      </w:r>
      <w:r>
        <w:rPr>
          <w:color w:val="231F20"/>
          <w:spacing w:val="-6"/>
          <w:sz w:val="19"/>
        </w:rPr>
        <w:t>F., </w:t>
      </w:r>
      <w:r>
        <w:rPr>
          <w:color w:val="231F20"/>
          <w:sz w:val="19"/>
        </w:rPr>
        <w:t>S. 2011. H-564C, Híbrido de maíz con alta calidad de proteína para el trópico húmedo de México. Revista</w:t>
      </w:r>
      <w:r>
        <w:rPr>
          <w:color w:val="231F20"/>
          <w:spacing w:val="-24"/>
          <w:sz w:val="19"/>
        </w:rPr>
        <w:t> </w:t>
      </w:r>
      <w:r>
        <w:rPr>
          <w:color w:val="231F20"/>
          <w:sz w:val="19"/>
        </w:rPr>
        <w:t>Mexi- cana de las Ciencias Agrícolas </w:t>
      </w:r>
      <w:r>
        <w:rPr>
          <w:color w:val="231F20"/>
          <w:spacing w:val="-9"/>
          <w:sz w:val="19"/>
        </w:rPr>
        <w:t>Vol </w:t>
      </w:r>
      <w:r>
        <w:rPr>
          <w:color w:val="231F20"/>
          <w:sz w:val="19"/>
        </w:rPr>
        <w:t>2(1):</w:t>
      </w:r>
      <w:r>
        <w:rPr>
          <w:color w:val="231F20"/>
          <w:spacing w:val="-4"/>
          <w:sz w:val="19"/>
        </w:rPr>
        <w:t> </w:t>
      </w:r>
      <w:r>
        <w:rPr>
          <w:color w:val="231F20"/>
          <w:sz w:val="19"/>
        </w:rPr>
        <w:t>71-84.</w:t>
      </w:r>
    </w:p>
    <w:p>
      <w:pPr>
        <w:pStyle w:val="BodyText"/>
        <w:spacing w:before="10"/>
        <w:rPr>
          <w:sz w:val="19"/>
        </w:rPr>
      </w:pPr>
    </w:p>
    <w:p>
      <w:pPr>
        <w:spacing w:line="249" w:lineRule="auto" w:before="0"/>
        <w:ind w:left="1270" w:right="1268" w:firstLine="0"/>
        <w:jc w:val="both"/>
        <w:rPr>
          <w:sz w:val="19"/>
        </w:rPr>
      </w:pPr>
      <w:r>
        <w:rPr>
          <w:color w:val="231F20"/>
          <w:sz w:val="19"/>
        </w:rPr>
        <w:t>Sierra M., M; Márquez S., F.; Valdivia B., R.; Córdova O., H.; Lezama G., R.; Pescador R., A. 2004a. Uso de probadores en la selección de líneas para formar híbridos de maíz (Zea mays L). Agric. Téc. Méx. Vol 30 (2): 169-181.</w:t>
      </w:r>
    </w:p>
    <w:p>
      <w:pPr>
        <w:pStyle w:val="BodyText"/>
        <w:spacing w:before="10"/>
        <w:rPr>
          <w:sz w:val="19"/>
        </w:rPr>
      </w:pPr>
    </w:p>
    <w:p>
      <w:pPr>
        <w:spacing w:before="0"/>
        <w:ind w:left="1270" w:right="0" w:firstLine="0"/>
        <w:jc w:val="both"/>
        <w:rPr>
          <w:sz w:val="19"/>
        </w:rPr>
      </w:pPr>
      <w:r>
        <w:rPr>
          <w:color w:val="231F20"/>
          <w:sz w:val="19"/>
        </w:rPr>
        <w:t>Sierra, M., M., Palafox, C., A., Rodríguez, M., F. A., Espinosa, C., A., Gómez, M. N., Caballero, H., F., Barrón,</w:t>
      </w:r>
    </w:p>
    <w:p>
      <w:pPr>
        <w:spacing w:line="249" w:lineRule="auto" w:before="9"/>
        <w:ind w:left="1270" w:right="1268" w:firstLine="0"/>
        <w:jc w:val="both"/>
        <w:rPr>
          <w:sz w:val="19"/>
        </w:rPr>
      </w:pPr>
      <w:r>
        <w:rPr>
          <w:color w:val="231F20"/>
          <w:spacing w:val="-8"/>
          <w:sz w:val="19"/>
        </w:rPr>
        <w:t>F.</w:t>
      </w:r>
      <w:r>
        <w:rPr>
          <w:color w:val="231F20"/>
          <w:spacing w:val="-2"/>
          <w:sz w:val="19"/>
        </w:rPr>
        <w:t> </w:t>
      </w:r>
      <w:r>
        <w:rPr>
          <w:color w:val="231F20"/>
          <w:sz w:val="19"/>
        </w:rPr>
        <w:t>S.</w:t>
      </w:r>
      <w:r>
        <w:rPr>
          <w:color w:val="231F20"/>
          <w:spacing w:val="-2"/>
          <w:sz w:val="19"/>
        </w:rPr>
        <w:t> </w:t>
      </w:r>
      <w:r>
        <w:rPr>
          <w:color w:val="231F20"/>
          <w:sz w:val="19"/>
        </w:rPr>
        <w:t>y</w:t>
      </w:r>
      <w:r>
        <w:rPr>
          <w:color w:val="231F20"/>
          <w:spacing w:val="-2"/>
          <w:sz w:val="19"/>
        </w:rPr>
        <w:t> </w:t>
      </w:r>
      <w:r>
        <w:rPr>
          <w:color w:val="231F20"/>
          <w:sz w:val="19"/>
        </w:rPr>
        <w:t>Zambada,</w:t>
      </w:r>
      <w:r>
        <w:rPr>
          <w:color w:val="231F20"/>
          <w:spacing w:val="-2"/>
          <w:sz w:val="19"/>
        </w:rPr>
        <w:t> </w:t>
      </w:r>
      <w:r>
        <w:rPr>
          <w:color w:val="231F20"/>
          <w:sz w:val="19"/>
        </w:rPr>
        <w:t>M.</w:t>
      </w:r>
      <w:r>
        <w:rPr>
          <w:color w:val="231F20"/>
          <w:spacing w:val="-13"/>
          <w:sz w:val="19"/>
        </w:rPr>
        <w:t> </w:t>
      </w:r>
      <w:r>
        <w:rPr>
          <w:color w:val="231F20"/>
          <w:sz w:val="19"/>
        </w:rPr>
        <w:t>A.</w:t>
      </w:r>
      <w:r>
        <w:rPr>
          <w:color w:val="231F20"/>
          <w:spacing w:val="-2"/>
          <w:sz w:val="19"/>
        </w:rPr>
        <w:t> </w:t>
      </w:r>
      <w:r>
        <w:rPr>
          <w:color w:val="231F20"/>
          <w:sz w:val="19"/>
        </w:rPr>
        <w:t>2004b.</w:t>
      </w:r>
      <w:r>
        <w:rPr>
          <w:color w:val="231F20"/>
          <w:spacing w:val="-2"/>
          <w:sz w:val="19"/>
        </w:rPr>
        <w:t> </w:t>
      </w:r>
      <w:r>
        <w:rPr>
          <w:color w:val="231F20"/>
          <w:sz w:val="19"/>
        </w:rPr>
        <w:t>H-518</w:t>
      </w:r>
      <w:r>
        <w:rPr>
          <w:color w:val="231F20"/>
          <w:spacing w:val="-2"/>
          <w:sz w:val="19"/>
        </w:rPr>
        <w:t> </w:t>
      </w:r>
      <w:r>
        <w:rPr>
          <w:color w:val="231F20"/>
          <w:sz w:val="19"/>
        </w:rPr>
        <w:t>y</w:t>
      </w:r>
      <w:r>
        <w:rPr>
          <w:color w:val="231F20"/>
          <w:spacing w:val="-2"/>
          <w:sz w:val="19"/>
        </w:rPr>
        <w:t> </w:t>
      </w:r>
      <w:r>
        <w:rPr>
          <w:color w:val="231F20"/>
          <w:sz w:val="19"/>
        </w:rPr>
        <w:t>H-520,</w:t>
      </w:r>
      <w:r>
        <w:rPr>
          <w:color w:val="231F20"/>
          <w:spacing w:val="-2"/>
          <w:sz w:val="19"/>
        </w:rPr>
        <w:t> </w:t>
      </w:r>
      <w:r>
        <w:rPr>
          <w:color w:val="231F20"/>
          <w:sz w:val="19"/>
        </w:rPr>
        <w:t>híbridos</w:t>
      </w:r>
      <w:r>
        <w:rPr>
          <w:color w:val="231F20"/>
          <w:spacing w:val="-2"/>
          <w:sz w:val="19"/>
        </w:rPr>
        <w:t> </w:t>
      </w:r>
      <w:r>
        <w:rPr>
          <w:color w:val="231F20"/>
          <w:sz w:val="19"/>
        </w:rPr>
        <w:t>trilineales</w:t>
      </w:r>
      <w:r>
        <w:rPr>
          <w:color w:val="231F20"/>
          <w:spacing w:val="-2"/>
          <w:sz w:val="19"/>
        </w:rPr>
        <w:t> </w:t>
      </w:r>
      <w:r>
        <w:rPr>
          <w:color w:val="231F20"/>
          <w:sz w:val="19"/>
        </w:rPr>
        <w:t>de</w:t>
      </w:r>
      <w:r>
        <w:rPr>
          <w:color w:val="231F20"/>
          <w:spacing w:val="-2"/>
          <w:sz w:val="19"/>
        </w:rPr>
        <w:t> </w:t>
      </w:r>
      <w:r>
        <w:rPr>
          <w:color w:val="231F20"/>
          <w:sz w:val="19"/>
        </w:rPr>
        <w:t>maíz</w:t>
      </w:r>
      <w:r>
        <w:rPr>
          <w:color w:val="231F20"/>
          <w:spacing w:val="-2"/>
          <w:sz w:val="19"/>
        </w:rPr>
        <w:t> </w:t>
      </w:r>
      <w:r>
        <w:rPr>
          <w:color w:val="231F20"/>
          <w:sz w:val="19"/>
        </w:rPr>
        <w:t>para</w:t>
      </w:r>
      <w:r>
        <w:rPr>
          <w:color w:val="231F20"/>
          <w:spacing w:val="-2"/>
          <w:sz w:val="19"/>
        </w:rPr>
        <w:t> </w:t>
      </w:r>
      <w:r>
        <w:rPr>
          <w:color w:val="231F20"/>
          <w:sz w:val="19"/>
        </w:rPr>
        <w:t>el</w:t>
      </w:r>
      <w:r>
        <w:rPr>
          <w:color w:val="231F20"/>
          <w:spacing w:val="-2"/>
          <w:sz w:val="19"/>
        </w:rPr>
        <w:t> </w:t>
      </w:r>
      <w:r>
        <w:rPr>
          <w:color w:val="231F20"/>
          <w:sz w:val="19"/>
        </w:rPr>
        <w:t>trópico</w:t>
      </w:r>
      <w:r>
        <w:rPr>
          <w:color w:val="231F20"/>
          <w:spacing w:val="-2"/>
          <w:sz w:val="19"/>
        </w:rPr>
        <w:t> </w:t>
      </w:r>
      <w:r>
        <w:rPr>
          <w:color w:val="231F20"/>
          <w:sz w:val="19"/>
        </w:rPr>
        <w:t>húmedo</w:t>
      </w:r>
      <w:r>
        <w:rPr>
          <w:color w:val="231F20"/>
          <w:spacing w:val="-2"/>
          <w:sz w:val="19"/>
        </w:rPr>
        <w:t> </w:t>
      </w:r>
      <w:r>
        <w:rPr>
          <w:color w:val="231F20"/>
          <w:sz w:val="19"/>
        </w:rPr>
        <w:t>de</w:t>
      </w:r>
      <w:r>
        <w:rPr>
          <w:color w:val="231F20"/>
          <w:spacing w:val="-2"/>
          <w:sz w:val="19"/>
        </w:rPr>
        <w:t> </w:t>
      </w:r>
      <w:r>
        <w:rPr>
          <w:color w:val="231F20"/>
          <w:sz w:val="19"/>
        </w:rPr>
        <w:t>México. </w:t>
      </w:r>
      <w:r>
        <w:rPr>
          <w:color w:val="231F20"/>
          <w:spacing w:val="-6"/>
          <w:sz w:val="19"/>
        </w:rPr>
        <w:t>INIFAP. </w:t>
      </w:r>
      <w:r>
        <w:rPr>
          <w:color w:val="231F20"/>
          <w:sz w:val="19"/>
        </w:rPr>
        <w:t>CIRGOC. Campo Experimental Cotaxtla. Folleto Técnico Núm. 38. </w:t>
      </w:r>
      <w:r>
        <w:rPr>
          <w:color w:val="231F20"/>
          <w:spacing w:val="-3"/>
          <w:sz w:val="19"/>
        </w:rPr>
        <w:t>Veracruz, </w:t>
      </w:r>
      <w:r>
        <w:rPr>
          <w:color w:val="231F20"/>
          <w:sz w:val="19"/>
        </w:rPr>
        <w:t>México. 17</w:t>
      </w:r>
      <w:r>
        <w:rPr>
          <w:color w:val="231F20"/>
          <w:spacing w:val="12"/>
          <w:sz w:val="19"/>
        </w:rPr>
        <w:t> </w:t>
      </w:r>
      <w:r>
        <w:rPr>
          <w:color w:val="231F20"/>
          <w:sz w:val="19"/>
        </w:rPr>
        <w:t>p.</w:t>
      </w:r>
    </w:p>
    <w:p>
      <w:pPr>
        <w:pStyle w:val="BodyText"/>
        <w:spacing w:before="10"/>
        <w:rPr>
          <w:sz w:val="19"/>
        </w:rPr>
      </w:pPr>
    </w:p>
    <w:p>
      <w:pPr>
        <w:spacing w:line="249" w:lineRule="auto" w:before="0"/>
        <w:ind w:left="1270" w:right="1268" w:firstLine="0"/>
        <w:jc w:val="both"/>
        <w:rPr>
          <w:sz w:val="19"/>
        </w:rPr>
      </w:pPr>
      <w:r>
        <w:rPr>
          <w:color w:val="231F20"/>
          <w:sz w:val="19"/>
        </w:rPr>
        <w:t>Sierra M., M; Preciado O., R.E; Alcázar A., J. y Rodríguez M., F. 1986. Selección familiar de progenies de hermanos completos en poblaciones de maíz para el trópico mexicano. Revista Turrialba. Vol. 41(2) 202-210.</w:t>
      </w:r>
    </w:p>
    <w:p>
      <w:pPr>
        <w:pStyle w:val="BodyText"/>
        <w:spacing w:before="10"/>
        <w:rPr>
          <w:sz w:val="19"/>
        </w:rPr>
      </w:pPr>
    </w:p>
    <w:p>
      <w:pPr>
        <w:spacing w:line="249" w:lineRule="auto" w:before="0"/>
        <w:ind w:left="1270" w:right="1268" w:firstLine="0"/>
        <w:jc w:val="both"/>
        <w:rPr>
          <w:sz w:val="19"/>
        </w:rPr>
      </w:pPr>
      <w:r>
        <w:rPr>
          <w:color w:val="231F20"/>
          <w:sz w:val="19"/>
        </w:rPr>
        <w:t>Sierra M., M; Preciado O., R.E; Martínez C., J. J; Gómez M., N; Valdivia B., R; Caballero H., F; Alcázar A., J; Rodríguez M., F. y Arroyo L., C. 1991. V-530 nueva variedad de maíz para las áreas tropicales de México. Revista Fitotecnia Mexicana Vol. 13 (2): 204.</w:t>
      </w:r>
    </w:p>
    <w:p>
      <w:pPr>
        <w:pStyle w:val="BodyText"/>
        <w:spacing w:before="10"/>
        <w:rPr>
          <w:sz w:val="19"/>
        </w:rPr>
      </w:pPr>
    </w:p>
    <w:p>
      <w:pPr>
        <w:spacing w:line="249" w:lineRule="auto" w:before="0"/>
        <w:ind w:left="1270" w:right="1267" w:firstLine="0"/>
        <w:jc w:val="both"/>
        <w:rPr>
          <w:sz w:val="19"/>
        </w:rPr>
      </w:pPr>
      <w:r>
        <w:rPr>
          <w:color w:val="231F20"/>
          <w:sz w:val="19"/>
        </w:rPr>
        <w:t>Sierra M., M., Rodríguez M., F.A; Castillo G.R; Márquez S., F. 1992a. La aplicación de los parámetros de estabilidad en el mejoramiento de maíz en la región sur de México. In: Memorias del Simposio de interacción genotipo ambiente en genotecnia vegetal. Sociedad Mexicana de Fitogenética (SOMEFI). Guadalajara, Jal. p 239-260.</w:t>
      </w:r>
    </w:p>
    <w:p>
      <w:pPr>
        <w:pStyle w:val="BodyText"/>
        <w:spacing w:before="10"/>
        <w:rPr>
          <w:sz w:val="19"/>
        </w:rPr>
      </w:pPr>
    </w:p>
    <w:p>
      <w:pPr>
        <w:spacing w:line="249" w:lineRule="auto" w:before="0"/>
        <w:ind w:left="1270" w:right="1268" w:firstLine="0"/>
        <w:jc w:val="both"/>
        <w:rPr>
          <w:sz w:val="19"/>
        </w:rPr>
      </w:pPr>
      <w:r>
        <w:rPr>
          <w:color w:val="231F20"/>
          <w:sz w:val="19"/>
        </w:rPr>
        <w:t>Sierra M., M; Rodríguez M., F; Castillo G., R; Preciado O., R.E. y Márquez S., F. 1992b. VS-536 variedad sintética de maíz para el trópico de Veracruz y regiones similares. Folleto Técnico Núm. 2 Campo Cotaxtla. SARH. INIFAP. CIRGOC. 11 p.</w:t>
      </w:r>
    </w:p>
    <w:p>
      <w:pPr>
        <w:pStyle w:val="BodyText"/>
        <w:spacing w:before="10"/>
        <w:rPr>
          <w:sz w:val="19"/>
        </w:rPr>
      </w:pPr>
    </w:p>
    <w:p>
      <w:pPr>
        <w:spacing w:line="249" w:lineRule="auto" w:before="0"/>
        <w:ind w:left="1270" w:right="1268" w:firstLine="0"/>
        <w:jc w:val="both"/>
        <w:rPr>
          <w:sz w:val="19"/>
        </w:rPr>
      </w:pPr>
      <w:r>
        <w:rPr>
          <w:color w:val="231F20"/>
          <w:sz w:val="19"/>
        </w:rPr>
        <w:t>Sierra</w:t>
      </w:r>
      <w:r>
        <w:rPr>
          <w:color w:val="231F20"/>
          <w:spacing w:val="-8"/>
          <w:sz w:val="19"/>
        </w:rPr>
        <w:t> </w:t>
      </w:r>
      <w:r>
        <w:rPr>
          <w:color w:val="231F20"/>
          <w:sz w:val="19"/>
        </w:rPr>
        <w:t>M.,</w:t>
      </w:r>
      <w:r>
        <w:rPr>
          <w:color w:val="231F20"/>
          <w:spacing w:val="-8"/>
          <w:sz w:val="19"/>
        </w:rPr>
        <w:t> </w:t>
      </w:r>
      <w:r>
        <w:rPr>
          <w:color w:val="231F20"/>
          <w:sz w:val="19"/>
        </w:rPr>
        <w:t>M;</w:t>
      </w:r>
      <w:r>
        <w:rPr>
          <w:color w:val="231F20"/>
          <w:spacing w:val="-8"/>
          <w:sz w:val="19"/>
        </w:rPr>
        <w:t> </w:t>
      </w:r>
      <w:r>
        <w:rPr>
          <w:color w:val="231F20"/>
          <w:sz w:val="19"/>
        </w:rPr>
        <w:t>Rodríguez</w:t>
      </w:r>
      <w:r>
        <w:rPr>
          <w:color w:val="231F20"/>
          <w:spacing w:val="-8"/>
          <w:sz w:val="19"/>
        </w:rPr>
        <w:t> </w:t>
      </w:r>
      <w:r>
        <w:rPr>
          <w:color w:val="231F20"/>
          <w:sz w:val="19"/>
        </w:rPr>
        <w:t>M.,</w:t>
      </w:r>
      <w:r>
        <w:rPr>
          <w:color w:val="231F20"/>
          <w:spacing w:val="-8"/>
          <w:sz w:val="19"/>
        </w:rPr>
        <w:t> </w:t>
      </w:r>
      <w:r>
        <w:rPr>
          <w:color w:val="231F20"/>
          <w:sz w:val="19"/>
        </w:rPr>
        <w:t>F;</w:t>
      </w:r>
      <w:r>
        <w:rPr>
          <w:color w:val="231F20"/>
          <w:spacing w:val="-8"/>
          <w:sz w:val="19"/>
        </w:rPr>
        <w:t> </w:t>
      </w:r>
      <w:r>
        <w:rPr>
          <w:color w:val="231F20"/>
          <w:sz w:val="19"/>
        </w:rPr>
        <w:t>Preciado</w:t>
      </w:r>
      <w:r>
        <w:rPr>
          <w:color w:val="231F20"/>
          <w:spacing w:val="-8"/>
          <w:sz w:val="19"/>
        </w:rPr>
        <w:t> </w:t>
      </w:r>
      <w:r>
        <w:rPr>
          <w:color w:val="231F20"/>
          <w:sz w:val="19"/>
        </w:rPr>
        <w:t>O.,</w:t>
      </w:r>
      <w:r>
        <w:rPr>
          <w:color w:val="231F20"/>
          <w:spacing w:val="-8"/>
          <w:sz w:val="19"/>
        </w:rPr>
        <w:t> </w:t>
      </w:r>
      <w:r>
        <w:rPr>
          <w:color w:val="231F20"/>
          <w:sz w:val="19"/>
        </w:rPr>
        <w:t>R.E;</w:t>
      </w:r>
      <w:r>
        <w:rPr>
          <w:color w:val="231F20"/>
          <w:spacing w:val="-8"/>
          <w:sz w:val="19"/>
        </w:rPr>
        <w:t> </w:t>
      </w:r>
      <w:r>
        <w:rPr>
          <w:color w:val="231F20"/>
          <w:sz w:val="19"/>
        </w:rPr>
        <w:t>Castillo</w:t>
      </w:r>
      <w:r>
        <w:rPr>
          <w:color w:val="231F20"/>
          <w:spacing w:val="-8"/>
          <w:sz w:val="19"/>
        </w:rPr>
        <w:t> </w:t>
      </w:r>
      <w:r>
        <w:rPr>
          <w:color w:val="231F20"/>
          <w:sz w:val="19"/>
        </w:rPr>
        <w:t>G.,</w:t>
      </w:r>
      <w:r>
        <w:rPr>
          <w:color w:val="231F20"/>
          <w:spacing w:val="-8"/>
          <w:sz w:val="19"/>
        </w:rPr>
        <w:t> </w:t>
      </w:r>
      <w:r>
        <w:rPr>
          <w:color w:val="231F20"/>
          <w:sz w:val="19"/>
        </w:rPr>
        <w:t>R;</w:t>
      </w:r>
      <w:r>
        <w:rPr>
          <w:color w:val="231F20"/>
          <w:spacing w:val="-8"/>
          <w:sz w:val="19"/>
        </w:rPr>
        <w:t> </w:t>
      </w:r>
      <w:r>
        <w:rPr>
          <w:color w:val="231F20"/>
          <w:sz w:val="19"/>
        </w:rPr>
        <w:t>Ortiz</w:t>
      </w:r>
      <w:r>
        <w:rPr>
          <w:color w:val="231F20"/>
          <w:spacing w:val="-8"/>
          <w:sz w:val="19"/>
        </w:rPr>
        <w:t> </w:t>
      </w:r>
      <w:r>
        <w:rPr>
          <w:color w:val="231F20"/>
          <w:sz w:val="19"/>
        </w:rPr>
        <w:t>C.,</w:t>
      </w:r>
      <w:r>
        <w:rPr>
          <w:color w:val="231F20"/>
          <w:spacing w:val="-8"/>
          <w:sz w:val="19"/>
        </w:rPr>
        <w:t> </w:t>
      </w:r>
      <w:r>
        <w:rPr>
          <w:color w:val="231F20"/>
          <w:sz w:val="19"/>
        </w:rPr>
        <w:t>J;</w:t>
      </w:r>
      <w:r>
        <w:rPr>
          <w:color w:val="231F20"/>
          <w:spacing w:val="-8"/>
          <w:sz w:val="19"/>
        </w:rPr>
        <w:t> </w:t>
      </w:r>
      <w:r>
        <w:rPr>
          <w:color w:val="231F20"/>
          <w:sz w:val="19"/>
        </w:rPr>
        <w:t>Márquez</w:t>
      </w:r>
      <w:r>
        <w:rPr>
          <w:color w:val="231F20"/>
          <w:spacing w:val="-8"/>
          <w:sz w:val="19"/>
        </w:rPr>
        <w:t> </w:t>
      </w:r>
      <w:r>
        <w:rPr>
          <w:color w:val="231F20"/>
          <w:sz w:val="19"/>
        </w:rPr>
        <w:t>S.,</w:t>
      </w:r>
      <w:r>
        <w:rPr>
          <w:color w:val="231F20"/>
          <w:spacing w:val="-8"/>
          <w:sz w:val="19"/>
        </w:rPr>
        <w:t> </w:t>
      </w:r>
      <w:r>
        <w:rPr>
          <w:color w:val="231F20"/>
          <w:sz w:val="19"/>
        </w:rPr>
        <w:t>F;</w:t>
      </w:r>
      <w:r>
        <w:rPr>
          <w:color w:val="231F20"/>
          <w:spacing w:val="-11"/>
          <w:sz w:val="19"/>
        </w:rPr>
        <w:t> </w:t>
      </w:r>
      <w:r>
        <w:rPr>
          <w:color w:val="231F20"/>
          <w:spacing w:val="-3"/>
          <w:sz w:val="19"/>
        </w:rPr>
        <w:t>Tosquy</w:t>
      </w:r>
      <w:r>
        <w:rPr>
          <w:color w:val="231F20"/>
          <w:spacing w:val="-11"/>
          <w:sz w:val="19"/>
        </w:rPr>
        <w:t> </w:t>
      </w:r>
      <w:r>
        <w:rPr>
          <w:color w:val="231F20"/>
          <w:spacing w:val="-9"/>
          <w:sz w:val="19"/>
        </w:rPr>
        <w:t>V.,</w:t>
      </w:r>
      <w:r>
        <w:rPr>
          <w:color w:val="231F20"/>
          <w:spacing w:val="-8"/>
          <w:sz w:val="19"/>
        </w:rPr>
        <w:t> </w:t>
      </w:r>
      <w:r>
        <w:rPr>
          <w:color w:val="231F20"/>
          <w:sz w:val="19"/>
        </w:rPr>
        <w:t>H.</w:t>
      </w:r>
      <w:r>
        <w:rPr>
          <w:color w:val="231F20"/>
          <w:spacing w:val="-8"/>
          <w:sz w:val="19"/>
        </w:rPr>
        <w:t> </w:t>
      </w:r>
      <w:r>
        <w:rPr>
          <w:color w:val="231F20"/>
          <w:sz w:val="19"/>
        </w:rPr>
        <w:t>1993. H-512 híbrido de maíz de cruza doble para el trópico húmedo de México. Folleto Técnico Núm. 3 Campo Co- taxtla. SARH. </w:t>
      </w:r>
      <w:r>
        <w:rPr>
          <w:color w:val="231F20"/>
          <w:spacing w:val="-6"/>
          <w:sz w:val="19"/>
        </w:rPr>
        <w:t>INIFAP. </w:t>
      </w:r>
      <w:r>
        <w:rPr>
          <w:color w:val="231F20"/>
          <w:sz w:val="19"/>
        </w:rPr>
        <w:t>CIRGOC. 13</w:t>
      </w:r>
      <w:r>
        <w:rPr>
          <w:color w:val="231F20"/>
          <w:spacing w:val="11"/>
          <w:sz w:val="19"/>
        </w:rPr>
        <w:t> </w:t>
      </w:r>
      <w:r>
        <w:rPr>
          <w:color w:val="231F20"/>
          <w:sz w:val="19"/>
        </w:rPr>
        <w:t>p.</w:t>
      </w:r>
    </w:p>
    <w:p>
      <w:pPr>
        <w:pStyle w:val="BodyText"/>
        <w:spacing w:before="10"/>
        <w:rPr>
          <w:sz w:val="19"/>
        </w:rPr>
      </w:pPr>
    </w:p>
    <w:p>
      <w:pPr>
        <w:spacing w:line="249" w:lineRule="auto" w:before="0"/>
        <w:ind w:left="1270" w:right="1268" w:firstLine="0"/>
        <w:jc w:val="both"/>
        <w:rPr>
          <w:sz w:val="19"/>
        </w:rPr>
      </w:pPr>
      <w:r>
        <w:rPr>
          <w:color w:val="231F20"/>
          <w:sz w:val="19"/>
        </w:rPr>
        <w:t>Sierra M., M; Rodríguez M., F; Castillo G., R; Ortiz C., J; Barrón </w:t>
      </w:r>
      <w:r>
        <w:rPr>
          <w:color w:val="231F20"/>
          <w:spacing w:val="-6"/>
          <w:sz w:val="19"/>
        </w:rPr>
        <w:t>F., </w:t>
      </w:r>
      <w:r>
        <w:rPr>
          <w:color w:val="231F20"/>
          <w:sz w:val="19"/>
        </w:rPr>
        <w:t>S; </w:t>
      </w:r>
      <w:r>
        <w:rPr>
          <w:color w:val="231F20"/>
          <w:spacing w:val="-3"/>
          <w:sz w:val="19"/>
        </w:rPr>
        <w:t>Tosquy </w:t>
      </w:r>
      <w:r>
        <w:rPr>
          <w:color w:val="231F20"/>
          <w:spacing w:val="-9"/>
          <w:sz w:val="19"/>
        </w:rPr>
        <w:t>V., </w:t>
      </w:r>
      <w:r>
        <w:rPr>
          <w:color w:val="231F20"/>
          <w:sz w:val="19"/>
        </w:rPr>
        <w:t>H; Romero M., J; Tinoco A.,</w:t>
      </w:r>
      <w:r>
        <w:rPr>
          <w:color w:val="231F20"/>
          <w:spacing w:val="-2"/>
          <w:sz w:val="19"/>
        </w:rPr>
        <w:t> </w:t>
      </w:r>
      <w:r>
        <w:rPr>
          <w:color w:val="231F20"/>
          <w:sz w:val="19"/>
        </w:rPr>
        <w:t>C;</w:t>
      </w:r>
      <w:r>
        <w:rPr>
          <w:color w:val="231F20"/>
          <w:spacing w:val="-2"/>
          <w:sz w:val="19"/>
        </w:rPr>
        <w:t> </w:t>
      </w:r>
      <w:r>
        <w:rPr>
          <w:color w:val="231F20"/>
          <w:sz w:val="19"/>
        </w:rPr>
        <w:t>Sandoval</w:t>
      </w:r>
      <w:r>
        <w:rPr>
          <w:color w:val="231F20"/>
          <w:spacing w:val="-2"/>
          <w:sz w:val="19"/>
        </w:rPr>
        <w:t> </w:t>
      </w:r>
      <w:r>
        <w:rPr>
          <w:color w:val="231F20"/>
          <w:sz w:val="19"/>
        </w:rPr>
        <w:t>R.,</w:t>
      </w:r>
      <w:r>
        <w:rPr>
          <w:color w:val="231F20"/>
          <w:spacing w:val="-13"/>
          <w:sz w:val="19"/>
        </w:rPr>
        <w:t> </w:t>
      </w:r>
      <w:r>
        <w:rPr>
          <w:color w:val="231F20"/>
          <w:sz w:val="19"/>
        </w:rPr>
        <w:t>A.</w:t>
      </w:r>
      <w:r>
        <w:rPr>
          <w:color w:val="231F20"/>
          <w:spacing w:val="-2"/>
          <w:sz w:val="19"/>
        </w:rPr>
        <w:t> </w:t>
      </w:r>
      <w:r>
        <w:rPr>
          <w:color w:val="231F20"/>
          <w:sz w:val="19"/>
        </w:rPr>
        <w:t>1994.</w:t>
      </w:r>
      <w:r>
        <w:rPr>
          <w:color w:val="231F20"/>
          <w:spacing w:val="-2"/>
          <w:sz w:val="19"/>
        </w:rPr>
        <w:t> </w:t>
      </w:r>
      <w:r>
        <w:rPr>
          <w:color w:val="231F20"/>
          <w:sz w:val="19"/>
        </w:rPr>
        <w:t>H-513</w:t>
      </w:r>
      <w:r>
        <w:rPr>
          <w:color w:val="231F20"/>
          <w:spacing w:val="-2"/>
          <w:sz w:val="19"/>
        </w:rPr>
        <w:t> </w:t>
      </w:r>
      <w:r>
        <w:rPr>
          <w:color w:val="231F20"/>
          <w:sz w:val="19"/>
        </w:rPr>
        <w:t>híbrido</w:t>
      </w:r>
      <w:r>
        <w:rPr>
          <w:color w:val="231F20"/>
          <w:spacing w:val="-2"/>
          <w:sz w:val="19"/>
        </w:rPr>
        <w:t> </w:t>
      </w:r>
      <w:r>
        <w:rPr>
          <w:color w:val="231F20"/>
          <w:sz w:val="19"/>
        </w:rPr>
        <w:t>de</w:t>
      </w:r>
      <w:r>
        <w:rPr>
          <w:color w:val="231F20"/>
          <w:spacing w:val="-2"/>
          <w:sz w:val="19"/>
        </w:rPr>
        <w:t> </w:t>
      </w:r>
      <w:r>
        <w:rPr>
          <w:color w:val="231F20"/>
          <w:sz w:val="19"/>
        </w:rPr>
        <w:t>maíz</w:t>
      </w:r>
      <w:r>
        <w:rPr>
          <w:color w:val="231F20"/>
          <w:spacing w:val="-2"/>
          <w:sz w:val="19"/>
        </w:rPr>
        <w:t> </w:t>
      </w:r>
      <w:r>
        <w:rPr>
          <w:color w:val="231F20"/>
          <w:sz w:val="19"/>
        </w:rPr>
        <w:t>de</w:t>
      </w:r>
      <w:r>
        <w:rPr>
          <w:color w:val="231F20"/>
          <w:spacing w:val="-2"/>
          <w:sz w:val="19"/>
        </w:rPr>
        <w:t> </w:t>
      </w:r>
      <w:r>
        <w:rPr>
          <w:color w:val="231F20"/>
          <w:sz w:val="19"/>
        </w:rPr>
        <w:t>cruza</w:t>
      </w:r>
      <w:r>
        <w:rPr>
          <w:color w:val="231F20"/>
          <w:spacing w:val="-2"/>
          <w:sz w:val="19"/>
        </w:rPr>
        <w:t> </w:t>
      </w:r>
      <w:r>
        <w:rPr>
          <w:color w:val="231F20"/>
          <w:sz w:val="19"/>
        </w:rPr>
        <w:t>simple</w:t>
      </w:r>
      <w:r>
        <w:rPr>
          <w:color w:val="231F20"/>
          <w:spacing w:val="-2"/>
          <w:sz w:val="19"/>
        </w:rPr>
        <w:t> </w:t>
      </w:r>
      <w:r>
        <w:rPr>
          <w:color w:val="231F20"/>
          <w:sz w:val="19"/>
        </w:rPr>
        <w:t>para</w:t>
      </w:r>
      <w:r>
        <w:rPr>
          <w:color w:val="231F20"/>
          <w:spacing w:val="-2"/>
          <w:sz w:val="19"/>
        </w:rPr>
        <w:t> </w:t>
      </w:r>
      <w:r>
        <w:rPr>
          <w:color w:val="231F20"/>
          <w:sz w:val="19"/>
        </w:rPr>
        <w:t>el</w:t>
      </w:r>
      <w:r>
        <w:rPr>
          <w:color w:val="231F20"/>
          <w:spacing w:val="-2"/>
          <w:sz w:val="19"/>
        </w:rPr>
        <w:t> </w:t>
      </w:r>
      <w:r>
        <w:rPr>
          <w:color w:val="231F20"/>
          <w:sz w:val="19"/>
        </w:rPr>
        <w:t>trópico</w:t>
      </w:r>
      <w:r>
        <w:rPr>
          <w:color w:val="231F20"/>
          <w:spacing w:val="-2"/>
          <w:sz w:val="19"/>
        </w:rPr>
        <w:t> </w:t>
      </w:r>
      <w:r>
        <w:rPr>
          <w:color w:val="231F20"/>
          <w:sz w:val="19"/>
        </w:rPr>
        <w:t>mexicano.</w:t>
      </w:r>
      <w:r>
        <w:rPr>
          <w:color w:val="231F20"/>
          <w:spacing w:val="-2"/>
          <w:sz w:val="19"/>
        </w:rPr>
        <w:t> </w:t>
      </w:r>
      <w:r>
        <w:rPr>
          <w:color w:val="231F20"/>
          <w:sz w:val="19"/>
        </w:rPr>
        <w:t>Folleto</w:t>
      </w:r>
      <w:r>
        <w:rPr>
          <w:color w:val="231F20"/>
          <w:spacing w:val="-6"/>
          <w:sz w:val="19"/>
        </w:rPr>
        <w:t> </w:t>
      </w:r>
      <w:r>
        <w:rPr>
          <w:color w:val="231F20"/>
          <w:sz w:val="19"/>
        </w:rPr>
        <w:t>Técnico Núm. 9. Campo Cotaxtla. SARH. </w:t>
      </w:r>
      <w:r>
        <w:rPr>
          <w:color w:val="231F20"/>
          <w:spacing w:val="-6"/>
          <w:sz w:val="19"/>
        </w:rPr>
        <w:t>INIFAP. </w:t>
      </w:r>
      <w:r>
        <w:rPr>
          <w:color w:val="231F20"/>
          <w:sz w:val="19"/>
        </w:rPr>
        <w:t>CIRGOC.</w:t>
      </w:r>
      <w:r>
        <w:rPr>
          <w:color w:val="231F20"/>
          <w:spacing w:val="12"/>
          <w:sz w:val="19"/>
        </w:rPr>
        <w:t> </w:t>
      </w:r>
      <w:r>
        <w:rPr>
          <w:color w:val="231F20"/>
          <w:sz w:val="19"/>
        </w:rPr>
        <w:t>18p.</w:t>
      </w:r>
    </w:p>
    <w:p>
      <w:pPr>
        <w:pStyle w:val="BodyText"/>
        <w:spacing w:before="10"/>
        <w:rPr>
          <w:sz w:val="19"/>
        </w:rPr>
      </w:pPr>
    </w:p>
    <w:p>
      <w:pPr>
        <w:spacing w:before="0"/>
        <w:ind w:left="1270" w:right="0" w:firstLine="0"/>
        <w:jc w:val="both"/>
        <w:rPr>
          <w:sz w:val="19"/>
        </w:rPr>
      </w:pPr>
      <w:r>
        <w:rPr>
          <w:color w:val="231F20"/>
          <w:sz w:val="19"/>
        </w:rPr>
        <w:t>Sierra, M. M., Palafox, C. A., Cano, R., O., Rodríguez, M. F. A., Espinosa, C., A. Turrent, F., A. Gómez, M.,</w:t>
      </w:r>
    </w:p>
    <w:p>
      <w:pPr>
        <w:spacing w:line="249" w:lineRule="auto" w:before="9"/>
        <w:ind w:left="1270" w:right="1266" w:firstLine="0"/>
        <w:jc w:val="both"/>
        <w:rPr>
          <w:sz w:val="19"/>
        </w:rPr>
      </w:pPr>
      <w:r>
        <w:rPr>
          <w:color w:val="231F20"/>
          <w:sz w:val="19"/>
        </w:rPr>
        <w:t>N., Córdova, O., H., Vergara, A., N., Aveldaño, S. R., Barrón, F., S., Romero, M., J. Caballero, H., F., Gon- zález, C. M. y Betanzos, M., E. 2001. Descripción varietal de H-519C, H-553C y V-537C, maíces con alta</w:t>
      </w:r>
    </w:p>
    <w:p>
      <w:pPr>
        <w:spacing w:after="0" w:line="249" w:lineRule="auto"/>
        <w:jc w:val="both"/>
        <w:rPr>
          <w:sz w:val="19"/>
        </w:rPr>
        <w:sectPr>
          <w:pgSz w:w="10920" w:h="13080"/>
          <w:pgMar w:header="0" w:footer="1025" w:top="420" w:bottom="1220" w:left="0" w:right="0"/>
        </w:sectPr>
      </w:pPr>
    </w:p>
    <w:p>
      <w:pPr>
        <w:pStyle w:val="BodyText"/>
        <w:rPr>
          <w:sz w:val="20"/>
        </w:rPr>
      </w:pPr>
    </w:p>
    <w:p>
      <w:pPr>
        <w:pStyle w:val="BodyText"/>
        <w:rPr>
          <w:sz w:val="20"/>
        </w:rPr>
      </w:pPr>
    </w:p>
    <w:p>
      <w:pPr>
        <w:pStyle w:val="BodyText"/>
        <w:spacing w:before="2"/>
        <w:rPr>
          <w:sz w:val="23"/>
        </w:rPr>
      </w:pPr>
    </w:p>
    <w:p>
      <w:pPr>
        <w:spacing w:line="249" w:lineRule="auto" w:before="76"/>
        <w:ind w:left="1270" w:right="1279" w:firstLine="0"/>
        <w:jc w:val="left"/>
        <w:rPr>
          <w:sz w:val="19"/>
        </w:rPr>
      </w:pPr>
      <w:r>
        <w:rPr>
          <w:color w:val="231F20"/>
          <w:sz w:val="19"/>
        </w:rPr>
        <w:t>calidad de proteína para el trópico húmedo de México. INIFAP CIRGOC. Campo Experimental Cotaxtla. Folleto Técnico Núm.30. Veracruz, Ver., México. 21 p.</w:t>
      </w:r>
    </w:p>
    <w:p>
      <w:pPr>
        <w:pStyle w:val="BodyText"/>
        <w:spacing w:before="10"/>
        <w:rPr>
          <w:sz w:val="19"/>
        </w:rPr>
      </w:pPr>
    </w:p>
    <w:p>
      <w:pPr>
        <w:spacing w:line="249" w:lineRule="auto" w:before="0"/>
        <w:ind w:left="1270" w:right="1176" w:firstLine="0"/>
        <w:jc w:val="left"/>
        <w:rPr>
          <w:sz w:val="19"/>
        </w:rPr>
      </w:pPr>
      <w:r>
        <w:rPr>
          <w:color w:val="231F20"/>
          <w:sz w:val="19"/>
        </w:rPr>
        <w:t>Vasal S., K. and Villegas E. 2001. The quality protein maize revolution. Improved nutrition and livelihoods for the poor. CIMMYT, El Batán Texcoco, Mex. 7p.</w:t>
      </w:r>
    </w:p>
    <w:p>
      <w:pPr>
        <w:pStyle w:val="BodyText"/>
        <w:spacing w:before="10"/>
        <w:rPr>
          <w:sz w:val="19"/>
        </w:rPr>
      </w:pPr>
    </w:p>
    <w:p>
      <w:pPr>
        <w:spacing w:line="273" w:lineRule="auto" w:before="0"/>
        <w:ind w:left="1270" w:right="1279" w:firstLine="0"/>
        <w:jc w:val="left"/>
        <w:rPr>
          <w:sz w:val="19"/>
        </w:rPr>
      </w:pPr>
      <w:r>
        <w:rPr>
          <w:color w:val="231F20"/>
          <w:sz w:val="19"/>
        </w:rPr>
        <w:t>Vasal, S. K., Vergara, A. N. y Mc Lean, S. 1994. Estrategias en el desarrollo de híbridos tropicales de maíz. Agronomía Mesoamericana Vol. 5: 184-189.</w:t>
      </w:r>
    </w:p>
    <w:p>
      <w:pPr>
        <w:spacing w:after="0" w:line="273" w:lineRule="auto"/>
        <w:jc w:val="left"/>
        <w:rPr>
          <w:sz w:val="19"/>
        </w:rPr>
        <w:sectPr>
          <w:pgSz w:w="10920" w:h="13080"/>
          <w:pgMar w:header="0" w:footer="1025" w:top="420" w:bottom="1220" w:left="0" w:right="0"/>
        </w:sectPr>
      </w:pPr>
    </w:p>
    <w:p>
      <w:pPr>
        <w:pStyle w:val="BodyText"/>
        <w:rPr>
          <w:sz w:val="20"/>
        </w:rPr>
      </w:pPr>
    </w:p>
    <w:p>
      <w:pPr>
        <w:pStyle w:val="BodyText"/>
        <w:rPr>
          <w:sz w:val="20"/>
        </w:rPr>
      </w:pPr>
    </w:p>
    <w:p>
      <w:pPr>
        <w:pStyle w:val="BodyText"/>
        <w:spacing w:before="6"/>
        <w:rPr>
          <w:sz w:val="23"/>
        </w:rPr>
      </w:pPr>
    </w:p>
    <w:p>
      <w:pPr>
        <w:spacing w:line="247" w:lineRule="auto" w:before="69"/>
        <w:ind w:left="1268" w:right="1266" w:firstLine="0"/>
        <w:jc w:val="center"/>
        <w:rPr>
          <w:rFonts w:ascii="Trebuchet MS" w:hAnsi="Trebuchet MS"/>
          <w:i/>
          <w:sz w:val="14"/>
        </w:rPr>
      </w:pPr>
      <w:r>
        <w:rPr>
          <w:rFonts w:ascii="Trebuchet MS" w:hAnsi="Trebuchet MS"/>
          <w:i/>
          <w:color w:val="010202"/>
          <w:spacing w:val="-3"/>
          <w:sz w:val="24"/>
        </w:rPr>
        <w:t>Selene Mariana Sánchez Mendoza</w:t>
      </w:r>
      <w:r>
        <w:rPr>
          <w:rFonts w:ascii="Trebuchet MS" w:hAnsi="Trebuchet MS"/>
          <w:i/>
          <w:color w:val="010202"/>
          <w:spacing w:val="-3"/>
          <w:position w:val="8"/>
          <w:sz w:val="14"/>
        </w:rPr>
        <w:t>1</w:t>
      </w:r>
      <w:r>
        <w:rPr>
          <w:rFonts w:ascii="Trebuchet MS" w:hAnsi="Trebuchet MS"/>
          <w:i/>
          <w:color w:val="010202"/>
          <w:spacing w:val="-3"/>
          <w:sz w:val="24"/>
        </w:rPr>
        <w:t>; José Alberto Salvador Escalante Estrada</w:t>
      </w:r>
      <w:r>
        <w:rPr>
          <w:rFonts w:ascii="Trebuchet MS" w:hAnsi="Trebuchet MS"/>
          <w:i/>
          <w:color w:val="010202"/>
          <w:spacing w:val="-3"/>
          <w:position w:val="8"/>
          <w:sz w:val="14"/>
        </w:rPr>
        <w:t>1</w:t>
      </w:r>
      <w:r>
        <w:rPr>
          <w:rFonts w:ascii="Trebuchet MS" w:hAnsi="Trebuchet MS"/>
          <w:i/>
          <w:color w:val="010202"/>
          <w:spacing w:val="-3"/>
          <w:sz w:val="24"/>
        </w:rPr>
        <w:t>, </w:t>
      </w:r>
      <w:r>
        <w:rPr>
          <w:rFonts w:ascii="Trebuchet MS" w:hAnsi="Trebuchet MS"/>
          <w:i/>
          <w:color w:val="010202"/>
          <w:spacing w:val="-3"/>
          <w:sz w:val="24"/>
        </w:rPr>
        <w:t>María </w:t>
      </w:r>
      <w:r>
        <w:rPr>
          <w:rFonts w:ascii="Trebuchet MS" w:hAnsi="Trebuchet MS"/>
          <w:i/>
          <w:color w:val="010202"/>
          <w:spacing w:val="-8"/>
          <w:sz w:val="24"/>
        </w:rPr>
        <w:t>Teresa </w:t>
      </w:r>
      <w:r>
        <w:rPr>
          <w:rFonts w:ascii="Trebuchet MS" w:hAnsi="Trebuchet MS"/>
          <w:i/>
          <w:color w:val="010202"/>
          <w:spacing w:val="-3"/>
          <w:sz w:val="24"/>
        </w:rPr>
        <w:t>Rodríguez González</w:t>
      </w:r>
      <w:r>
        <w:rPr>
          <w:rFonts w:ascii="Trebuchet MS" w:hAnsi="Trebuchet MS"/>
          <w:i/>
          <w:color w:val="010202"/>
          <w:spacing w:val="-3"/>
          <w:position w:val="8"/>
          <w:sz w:val="14"/>
        </w:rPr>
        <w:t>1  </w:t>
      </w:r>
      <w:r>
        <w:rPr>
          <w:rFonts w:ascii="Trebuchet MS" w:hAnsi="Trebuchet MS"/>
          <w:i/>
          <w:color w:val="010202"/>
          <w:sz w:val="24"/>
        </w:rPr>
        <w:t>y </w:t>
      </w:r>
      <w:r>
        <w:rPr>
          <w:rFonts w:ascii="Trebuchet MS" w:hAnsi="Trebuchet MS"/>
          <w:i/>
          <w:color w:val="010202"/>
          <w:spacing w:val="-3"/>
          <w:sz w:val="24"/>
        </w:rPr>
        <w:t>Fernando Castillo González</w:t>
      </w:r>
      <w:r>
        <w:rPr>
          <w:rFonts w:ascii="Trebuchet MS" w:hAnsi="Trebuchet MS"/>
          <w:i/>
          <w:color w:val="010202"/>
          <w:spacing w:val="-3"/>
          <w:position w:val="8"/>
          <w:sz w:val="14"/>
        </w:rPr>
        <w:t>2</w:t>
      </w: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spacing w:before="9"/>
        <w:rPr>
          <w:rFonts w:ascii="Trebuchet MS"/>
          <w:i/>
          <w:sz w:val="20"/>
        </w:rPr>
      </w:pPr>
    </w:p>
    <w:p>
      <w:pPr>
        <w:spacing w:line="247" w:lineRule="auto" w:before="0"/>
        <w:ind w:left="1755" w:right="1690" w:firstLine="327"/>
        <w:jc w:val="left"/>
        <w:rPr>
          <w:rFonts w:ascii="Trebuchet MS" w:hAnsi="Trebuchet MS"/>
          <w:b/>
          <w:sz w:val="36"/>
        </w:rPr>
      </w:pPr>
      <w:r>
        <w:rPr>
          <w:rFonts w:ascii="Trebuchet MS" w:hAnsi="Trebuchet MS"/>
          <w:b/>
          <w:color w:val="010202"/>
          <w:spacing w:val="-11"/>
          <w:sz w:val="36"/>
        </w:rPr>
        <w:t>CARACTERIZACIÓN </w:t>
      </w:r>
      <w:r>
        <w:rPr>
          <w:rFonts w:ascii="Trebuchet MS" w:hAnsi="Trebuchet MS"/>
          <w:b/>
          <w:color w:val="010202"/>
          <w:spacing w:val="-6"/>
          <w:sz w:val="36"/>
        </w:rPr>
        <w:t>DE </w:t>
      </w:r>
      <w:r>
        <w:rPr>
          <w:rFonts w:ascii="Trebuchet MS" w:hAnsi="Trebuchet MS"/>
          <w:b/>
          <w:color w:val="010202"/>
          <w:spacing w:val="-10"/>
          <w:sz w:val="36"/>
        </w:rPr>
        <w:t>GENOTIPOS </w:t>
      </w:r>
      <w:r>
        <w:rPr>
          <w:rFonts w:ascii="Trebuchet MS" w:hAnsi="Trebuchet MS"/>
          <w:b/>
          <w:color w:val="010202"/>
          <w:spacing w:val="-6"/>
          <w:sz w:val="36"/>
        </w:rPr>
        <w:t>DE </w:t>
      </w:r>
      <w:r>
        <w:rPr>
          <w:rFonts w:ascii="Trebuchet MS" w:hAnsi="Trebuchet MS"/>
          <w:b/>
          <w:color w:val="010202"/>
          <w:spacing w:val="-11"/>
          <w:sz w:val="36"/>
        </w:rPr>
        <w:t>MAÍZ </w:t>
      </w:r>
      <w:r>
        <w:rPr>
          <w:rFonts w:ascii="Trebuchet MS" w:hAnsi="Trebuchet MS"/>
          <w:b/>
          <w:color w:val="010202"/>
          <w:spacing w:val="-6"/>
          <w:sz w:val="36"/>
        </w:rPr>
        <w:t>DE </w:t>
      </w:r>
      <w:r>
        <w:rPr>
          <w:rFonts w:ascii="Trebuchet MS" w:hAnsi="Trebuchet MS"/>
          <w:b/>
          <w:color w:val="010202"/>
          <w:spacing w:val="-14"/>
          <w:sz w:val="36"/>
        </w:rPr>
        <w:t>VALLES </w:t>
      </w:r>
      <w:r>
        <w:rPr>
          <w:rFonts w:ascii="Trebuchet MS" w:hAnsi="Trebuchet MS"/>
          <w:b/>
          <w:color w:val="010202"/>
          <w:spacing w:val="-19"/>
          <w:sz w:val="36"/>
        </w:rPr>
        <w:t>ALTOS </w:t>
      </w:r>
      <w:r>
        <w:rPr>
          <w:rFonts w:ascii="Trebuchet MS" w:hAnsi="Trebuchet MS"/>
          <w:b/>
          <w:color w:val="010202"/>
          <w:spacing w:val="-8"/>
          <w:sz w:val="36"/>
        </w:rPr>
        <w:t>CON </w:t>
      </w:r>
      <w:r>
        <w:rPr>
          <w:rFonts w:ascii="Trebuchet MS" w:hAnsi="Trebuchet MS"/>
          <w:b/>
          <w:color w:val="010202"/>
          <w:spacing w:val="-9"/>
          <w:sz w:val="36"/>
        </w:rPr>
        <w:t>BASE </w:t>
      </w:r>
      <w:r>
        <w:rPr>
          <w:rFonts w:ascii="Trebuchet MS" w:hAnsi="Trebuchet MS"/>
          <w:b/>
          <w:color w:val="010202"/>
          <w:spacing w:val="-6"/>
          <w:sz w:val="36"/>
        </w:rPr>
        <w:t>EN </w:t>
      </w:r>
      <w:r>
        <w:rPr>
          <w:rFonts w:ascii="Trebuchet MS" w:hAnsi="Trebuchet MS"/>
          <w:b/>
          <w:color w:val="010202"/>
          <w:spacing w:val="-11"/>
          <w:sz w:val="36"/>
        </w:rPr>
        <w:t>COMPONENTES</w:t>
      </w:r>
    </w:p>
    <w:p>
      <w:pPr>
        <w:spacing w:before="1"/>
        <w:ind w:left="1480" w:right="1489" w:firstLine="0"/>
        <w:jc w:val="center"/>
        <w:rPr>
          <w:rFonts w:ascii="Trebuchet MS" w:hAnsi="Trebuchet MS"/>
          <w:b/>
          <w:sz w:val="36"/>
        </w:rPr>
      </w:pPr>
      <w:r>
        <w:rPr>
          <w:rFonts w:ascii="Trebuchet MS" w:hAnsi="Trebuchet MS"/>
          <w:b/>
          <w:color w:val="010202"/>
          <w:sz w:val="36"/>
        </w:rPr>
        <w:t>FISIOLÓGICOS Y MORFOLÓGICOS</w:t>
      </w:r>
    </w:p>
    <w:p>
      <w:pPr>
        <w:pStyle w:val="BodyText"/>
        <w:rPr>
          <w:rFonts w:ascii="Trebuchet MS"/>
          <w:b/>
          <w:sz w:val="36"/>
        </w:rPr>
      </w:pPr>
    </w:p>
    <w:p>
      <w:pPr>
        <w:pStyle w:val="BodyText"/>
        <w:rPr>
          <w:rFonts w:ascii="Trebuchet MS"/>
          <w:b/>
          <w:sz w:val="36"/>
        </w:rPr>
      </w:pPr>
    </w:p>
    <w:p>
      <w:pPr>
        <w:pStyle w:val="BodyText"/>
        <w:spacing w:before="9"/>
        <w:rPr>
          <w:rFonts w:ascii="Trebuchet MS"/>
          <w:b/>
          <w:sz w:val="50"/>
        </w:rPr>
      </w:pPr>
    </w:p>
    <w:p>
      <w:pPr>
        <w:spacing w:before="0"/>
        <w:ind w:left="1270" w:right="0" w:firstLine="0"/>
        <w:jc w:val="both"/>
        <w:rPr>
          <w:b/>
          <w:sz w:val="24"/>
        </w:rPr>
      </w:pPr>
      <w:r>
        <w:rPr>
          <w:b/>
          <w:color w:val="010202"/>
          <w:sz w:val="24"/>
        </w:rPr>
        <w:t>Introducción</w:t>
      </w:r>
    </w:p>
    <w:p>
      <w:pPr>
        <w:pStyle w:val="BodyText"/>
        <w:spacing w:before="10"/>
        <w:rPr>
          <w:b/>
        </w:rPr>
      </w:pPr>
    </w:p>
    <w:p>
      <w:pPr>
        <w:pStyle w:val="BodyText"/>
        <w:spacing w:line="247" w:lineRule="auto"/>
        <w:ind w:left="1270" w:right="1267"/>
        <w:jc w:val="both"/>
      </w:pPr>
      <w:r>
        <w:rPr>
          <w:color w:val="231F20"/>
        </w:rPr>
        <w:t>El maíz (</w:t>
      </w:r>
      <w:r>
        <w:rPr>
          <w:i/>
          <w:color w:val="231F20"/>
        </w:rPr>
        <w:t>Zea mays </w:t>
      </w:r>
      <w:r>
        <w:rPr>
          <w:color w:val="231F20"/>
        </w:rPr>
        <w:t>subsp. </w:t>
      </w:r>
      <w:r>
        <w:rPr>
          <w:i/>
          <w:color w:val="231F20"/>
        </w:rPr>
        <w:t>mays </w:t>
      </w:r>
      <w:r>
        <w:rPr>
          <w:color w:val="231F20"/>
        </w:rPr>
        <w:t>L.) es un cultivo de amplia importancia en México debido a que ha constituido la base de la alimentación y de la reproducción social y cultural del país (Kato </w:t>
      </w:r>
      <w:r>
        <w:rPr>
          <w:i/>
          <w:color w:val="231F20"/>
        </w:rPr>
        <w:t>et al.</w:t>
      </w:r>
      <w:r>
        <w:rPr>
          <w:color w:val="231F20"/>
        </w:rPr>
        <w:t>, 2009), con 38.6% de la superficie nacional y 63.3% de la superficie sembrada con granos y oleagi- nosas </w:t>
      </w:r>
      <w:r>
        <w:rPr>
          <w:color w:val="231F20"/>
          <w:spacing w:val="-5"/>
        </w:rPr>
        <w:t>(INIFAP, </w:t>
      </w:r>
      <w:r>
        <w:rPr>
          <w:color w:val="231F20"/>
        </w:rPr>
        <w:t>2011). Actualmente la producción interna de maíz no es suficiente para abastecer el consumo</w:t>
      </w:r>
      <w:r>
        <w:rPr>
          <w:color w:val="231F20"/>
          <w:spacing w:val="-5"/>
        </w:rPr>
        <w:t> </w:t>
      </w:r>
      <w:r>
        <w:rPr>
          <w:color w:val="231F20"/>
        </w:rPr>
        <w:t>nacional,</w:t>
      </w:r>
      <w:r>
        <w:rPr>
          <w:color w:val="231F20"/>
          <w:spacing w:val="-5"/>
        </w:rPr>
        <w:t> </w:t>
      </w:r>
      <w:r>
        <w:rPr>
          <w:color w:val="231F20"/>
        </w:rPr>
        <w:t>pues</w:t>
      </w:r>
      <w:r>
        <w:rPr>
          <w:color w:val="231F20"/>
          <w:spacing w:val="-5"/>
        </w:rPr>
        <w:t> </w:t>
      </w:r>
      <w:r>
        <w:rPr>
          <w:color w:val="231F20"/>
        </w:rPr>
        <w:t>se</w:t>
      </w:r>
      <w:r>
        <w:rPr>
          <w:color w:val="231F20"/>
          <w:spacing w:val="-5"/>
        </w:rPr>
        <w:t> </w:t>
      </w:r>
      <w:r>
        <w:rPr>
          <w:color w:val="231F20"/>
        </w:rPr>
        <w:t>importan</w:t>
      </w:r>
      <w:r>
        <w:rPr>
          <w:color w:val="231F20"/>
          <w:spacing w:val="-5"/>
        </w:rPr>
        <w:t> </w:t>
      </w:r>
      <w:r>
        <w:rPr>
          <w:color w:val="231F20"/>
        </w:rPr>
        <w:t>anualmente</w:t>
      </w:r>
      <w:r>
        <w:rPr>
          <w:color w:val="231F20"/>
          <w:spacing w:val="-5"/>
        </w:rPr>
        <w:t> </w:t>
      </w:r>
      <w:r>
        <w:rPr>
          <w:color w:val="231F20"/>
        </w:rPr>
        <w:t>10</w:t>
      </w:r>
      <w:r>
        <w:rPr>
          <w:color w:val="231F20"/>
          <w:spacing w:val="-5"/>
        </w:rPr>
        <w:t> </w:t>
      </w:r>
      <w:r>
        <w:rPr>
          <w:color w:val="231F20"/>
        </w:rPr>
        <w:t>millones</w:t>
      </w:r>
      <w:r>
        <w:rPr>
          <w:color w:val="231F20"/>
          <w:spacing w:val="-5"/>
        </w:rPr>
        <w:t> </w:t>
      </w:r>
      <w:r>
        <w:rPr>
          <w:color w:val="231F20"/>
        </w:rPr>
        <w:t>de</w:t>
      </w:r>
      <w:r>
        <w:rPr>
          <w:color w:val="231F20"/>
          <w:spacing w:val="-5"/>
        </w:rPr>
        <w:t> </w:t>
      </w:r>
      <w:r>
        <w:rPr>
          <w:color w:val="231F20"/>
        </w:rPr>
        <w:t>toneladas</w:t>
      </w:r>
      <w:r>
        <w:rPr>
          <w:color w:val="231F20"/>
          <w:spacing w:val="-5"/>
        </w:rPr>
        <w:t> </w:t>
      </w:r>
      <w:r>
        <w:rPr>
          <w:color w:val="231F20"/>
        </w:rPr>
        <w:t>de</w:t>
      </w:r>
      <w:r>
        <w:rPr>
          <w:color w:val="231F20"/>
          <w:spacing w:val="-5"/>
        </w:rPr>
        <w:t> </w:t>
      </w:r>
      <w:r>
        <w:rPr>
          <w:color w:val="231F20"/>
        </w:rPr>
        <w:t>grano</w:t>
      </w:r>
      <w:r>
        <w:rPr>
          <w:color w:val="231F20"/>
          <w:spacing w:val="-5"/>
        </w:rPr>
        <w:t> </w:t>
      </w:r>
      <w:r>
        <w:rPr>
          <w:color w:val="231F20"/>
        </w:rPr>
        <w:t>amarillo</w:t>
      </w:r>
      <w:r>
        <w:rPr>
          <w:color w:val="231F20"/>
          <w:spacing w:val="-5"/>
        </w:rPr>
        <w:t> </w:t>
      </w:r>
      <w:r>
        <w:rPr>
          <w:color w:val="231F20"/>
        </w:rPr>
        <w:t>necesa- rias para la elaboración de alimentos forrajeros, extracción de almidones, industria cerealera y otros destinos industriales </w:t>
      </w:r>
      <w:r>
        <w:rPr>
          <w:color w:val="231F20"/>
          <w:spacing w:val="-5"/>
        </w:rPr>
        <w:t>(INIFAP, </w:t>
      </w:r>
      <w:r>
        <w:rPr>
          <w:color w:val="231F20"/>
        </w:rPr>
        <w:t>2011). En los </w:t>
      </w:r>
      <w:r>
        <w:rPr>
          <w:color w:val="231F20"/>
          <w:spacing w:val="-4"/>
        </w:rPr>
        <w:t>Valles </w:t>
      </w:r>
      <w:r>
        <w:rPr>
          <w:color w:val="231F20"/>
        </w:rPr>
        <w:t>Altos de México (2,200 y 2,600 m de altitud),</w:t>
      </w:r>
      <w:r>
        <w:rPr>
          <w:color w:val="231F20"/>
          <w:spacing w:val="-15"/>
        </w:rPr>
        <w:t> </w:t>
      </w:r>
      <w:r>
        <w:rPr>
          <w:color w:val="231F20"/>
        </w:rPr>
        <w:t>se siembran aproximadamente 700 mil hectáreas de maíz en áreas de potencial productivo favorable (con</w:t>
      </w:r>
      <w:r>
        <w:rPr>
          <w:color w:val="231F20"/>
          <w:spacing w:val="-4"/>
        </w:rPr>
        <w:t> </w:t>
      </w:r>
      <w:r>
        <w:rPr>
          <w:color w:val="231F20"/>
        </w:rPr>
        <w:t>riego,</w:t>
      </w:r>
      <w:r>
        <w:rPr>
          <w:color w:val="231F20"/>
          <w:spacing w:val="-4"/>
        </w:rPr>
        <w:t> </w:t>
      </w:r>
      <w:r>
        <w:rPr>
          <w:color w:val="231F20"/>
        </w:rPr>
        <w:t>punta</w:t>
      </w:r>
      <w:r>
        <w:rPr>
          <w:color w:val="231F20"/>
          <w:spacing w:val="-4"/>
        </w:rPr>
        <w:t> </w:t>
      </w:r>
      <w:r>
        <w:rPr>
          <w:color w:val="231F20"/>
        </w:rPr>
        <w:t>de</w:t>
      </w:r>
      <w:r>
        <w:rPr>
          <w:color w:val="231F20"/>
          <w:spacing w:val="-4"/>
        </w:rPr>
        <w:t> </w:t>
      </w:r>
      <w:r>
        <w:rPr>
          <w:color w:val="231F20"/>
        </w:rPr>
        <w:t>riego,</w:t>
      </w:r>
      <w:r>
        <w:rPr>
          <w:color w:val="231F20"/>
          <w:spacing w:val="-4"/>
        </w:rPr>
        <w:t> </w:t>
      </w:r>
      <w:r>
        <w:rPr>
          <w:color w:val="231F20"/>
        </w:rPr>
        <w:t>humedad</w:t>
      </w:r>
      <w:r>
        <w:rPr>
          <w:color w:val="231F20"/>
          <w:spacing w:val="-4"/>
        </w:rPr>
        <w:t> </w:t>
      </w:r>
      <w:r>
        <w:rPr>
          <w:color w:val="231F20"/>
        </w:rPr>
        <w:t>residual</w:t>
      </w:r>
      <w:r>
        <w:rPr>
          <w:color w:val="231F20"/>
          <w:spacing w:val="-4"/>
        </w:rPr>
        <w:t> </w:t>
      </w:r>
      <w:r>
        <w:rPr>
          <w:color w:val="231F20"/>
        </w:rPr>
        <w:t>y</w:t>
      </w:r>
      <w:r>
        <w:rPr>
          <w:color w:val="231F20"/>
          <w:spacing w:val="-4"/>
        </w:rPr>
        <w:t> </w:t>
      </w:r>
      <w:r>
        <w:rPr>
          <w:color w:val="231F20"/>
        </w:rPr>
        <w:t>buen</w:t>
      </w:r>
      <w:r>
        <w:rPr>
          <w:color w:val="231F20"/>
          <w:spacing w:val="-4"/>
        </w:rPr>
        <w:t> </w:t>
      </w:r>
      <w:r>
        <w:rPr>
          <w:color w:val="231F20"/>
        </w:rPr>
        <w:t>régimen</w:t>
      </w:r>
      <w:r>
        <w:rPr>
          <w:color w:val="231F20"/>
          <w:spacing w:val="-4"/>
        </w:rPr>
        <w:t> </w:t>
      </w:r>
      <w:r>
        <w:rPr>
          <w:color w:val="231F20"/>
        </w:rPr>
        <w:t>de</w:t>
      </w:r>
      <w:r>
        <w:rPr>
          <w:color w:val="231F20"/>
          <w:spacing w:val="-4"/>
        </w:rPr>
        <w:t> </w:t>
      </w:r>
      <w:r>
        <w:rPr>
          <w:color w:val="231F20"/>
        </w:rPr>
        <w:t>lluvias</w:t>
      </w:r>
      <w:r>
        <w:rPr>
          <w:color w:val="231F20"/>
          <w:spacing w:val="-4"/>
        </w:rPr>
        <w:t> </w:t>
      </w:r>
      <w:r>
        <w:rPr>
          <w:color w:val="231F20"/>
        </w:rPr>
        <w:t>estacionales)</w:t>
      </w:r>
      <w:r>
        <w:rPr>
          <w:color w:val="231F20"/>
          <w:spacing w:val="-5"/>
        </w:rPr>
        <w:t> </w:t>
      </w:r>
      <w:r>
        <w:rPr>
          <w:color w:val="231F20"/>
        </w:rPr>
        <w:t>en</w:t>
      </w:r>
      <w:r>
        <w:rPr>
          <w:color w:val="231F20"/>
          <w:spacing w:val="-4"/>
        </w:rPr>
        <w:t> </w:t>
      </w:r>
      <w:r>
        <w:rPr>
          <w:color w:val="231F20"/>
        </w:rPr>
        <w:t>las</w:t>
      </w:r>
      <w:r>
        <w:rPr>
          <w:color w:val="231F20"/>
          <w:spacing w:val="-4"/>
        </w:rPr>
        <w:t> </w:t>
      </w:r>
      <w:r>
        <w:rPr>
          <w:color w:val="231F20"/>
        </w:rPr>
        <w:t>cuales</w:t>
      </w:r>
      <w:r>
        <w:rPr>
          <w:color w:val="231F20"/>
          <w:spacing w:val="-4"/>
        </w:rPr>
        <w:t> </w:t>
      </w:r>
      <w:r>
        <w:rPr>
          <w:color w:val="231F20"/>
        </w:rPr>
        <w:t>el rendimiento promedio es de 3.5 t </w:t>
      </w:r>
      <w:r>
        <w:rPr>
          <w:color w:val="231F20"/>
          <w:spacing w:val="-4"/>
        </w:rPr>
        <w:t>ha-1(INIFAP,</w:t>
      </w:r>
      <w:r>
        <w:rPr>
          <w:color w:val="231F20"/>
        </w:rPr>
        <w:t> 2011).</w:t>
      </w:r>
    </w:p>
    <w:p>
      <w:pPr>
        <w:pStyle w:val="BodyText"/>
        <w:spacing w:before="10"/>
      </w:pPr>
    </w:p>
    <w:p>
      <w:pPr>
        <w:pStyle w:val="BodyText"/>
        <w:spacing w:line="247" w:lineRule="auto"/>
        <w:ind w:left="1270" w:right="1268"/>
        <w:jc w:val="both"/>
      </w:pPr>
      <w:r>
        <w:rPr>
          <w:color w:val="231F20"/>
        </w:rPr>
        <w:t>El mejoramiento de maíz se ha propuesto como una alternativa para optimizar el rendimiento de grano</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resistencia</w:t>
      </w:r>
      <w:r>
        <w:rPr>
          <w:color w:val="231F20"/>
          <w:spacing w:val="-7"/>
        </w:rPr>
        <w:t> </w:t>
      </w:r>
      <w:r>
        <w:rPr>
          <w:color w:val="231F20"/>
        </w:rPr>
        <w:t>ante</w:t>
      </w:r>
      <w:r>
        <w:rPr>
          <w:color w:val="231F20"/>
          <w:spacing w:val="-7"/>
        </w:rPr>
        <w:t> </w:t>
      </w:r>
      <w:r>
        <w:rPr>
          <w:color w:val="231F20"/>
        </w:rPr>
        <w:t>variables</w:t>
      </w:r>
      <w:r>
        <w:rPr>
          <w:color w:val="231F20"/>
          <w:spacing w:val="-7"/>
        </w:rPr>
        <w:t> </w:t>
      </w:r>
      <w:r>
        <w:rPr>
          <w:color w:val="231F20"/>
        </w:rPr>
        <w:t>ambientales</w:t>
      </w:r>
      <w:r>
        <w:rPr>
          <w:color w:val="231F20"/>
          <w:spacing w:val="-8"/>
        </w:rPr>
        <w:t> </w:t>
      </w:r>
      <w:r>
        <w:rPr>
          <w:color w:val="231F20"/>
        </w:rPr>
        <w:t>adversas,</w:t>
      </w:r>
      <w:r>
        <w:rPr>
          <w:color w:val="231F20"/>
          <w:spacing w:val="-8"/>
        </w:rPr>
        <w:t> </w:t>
      </w:r>
      <w:r>
        <w:rPr>
          <w:color w:val="231F20"/>
        </w:rPr>
        <w:t>de</w:t>
      </w:r>
      <w:r>
        <w:rPr>
          <w:color w:val="231F20"/>
          <w:spacing w:val="-7"/>
        </w:rPr>
        <w:t> </w:t>
      </w:r>
      <w:r>
        <w:rPr>
          <w:color w:val="231F20"/>
        </w:rPr>
        <w:t>ahí</w:t>
      </w:r>
      <w:r>
        <w:rPr>
          <w:color w:val="231F20"/>
          <w:spacing w:val="-7"/>
        </w:rPr>
        <w:t> </w:t>
      </w:r>
      <w:r>
        <w:rPr>
          <w:color w:val="231F20"/>
        </w:rPr>
        <w:t>la</w:t>
      </w:r>
      <w:r>
        <w:rPr>
          <w:color w:val="231F20"/>
          <w:spacing w:val="-7"/>
        </w:rPr>
        <w:t> </w:t>
      </w:r>
      <w:r>
        <w:rPr>
          <w:color w:val="231F20"/>
        </w:rPr>
        <w:t>generación</w:t>
      </w:r>
      <w:r>
        <w:rPr>
          <w:color w:val="231F20"/>
          <w:spacing w:val="-7"/>
        </w:rPr>
        <w:t> </w:t>
      </w:r>
      <w:r>
        <w:rPr>
          <w:color w:val="231F20"/>
        </w:rPr>
        <w:t>de</w:t>
      </w:r>
      <w:r>
        <w:rPr>
          <w:color w:val="231F20"/>
          <w:spacing w:val="-7"/>
        </w:rPr>
        <w:t> </w:t>
      </w:r>
      <w:r>
        <w:rPr>
          <w:color w:val="231F20"/>
        </w:rPr>
        <w:t>genotipos</w:t>
      </w:r>
      <w:r>
        <w:rPr>
          <w:color w:val="231F20"/>
          <w:spacing w:val="-7"/>
        </w:rPr>
        <w:t> </w:t>
      </w:r>
      <w:r>
        <w:rPr>
          <w:color w:val="231F20"/>
        </w:rPr>
        <w:t>híbridos de amplitudes y tolerancias diversas </w:t>
      </w:r>
      <w:r>
        <w:rPr>
          <w:color w:val="231F20"/>
          <w:spacing w:val="-3"/>
        </w:rPr>
        <w:t>(Tadeo </w:t>
      </w:r>
      <w:r>
        <w:rPr>
          <w:color w:val="231F20"/>
        </w:rPr>
        <w:t>y Espinosa,</w:t>
      </w:r>
      <w:r>
        <w:rPr>
          <w:color w:val="231F20"/>
          <w:spacing w:val="5"/>
        </w:rPr>
        <w:t> </w:t>
      </w:r>
      <w:r>
        <w:rPr>
          <w:color w:val="231F20"/>
        </w:rPr>
        <w:t>2004).</w:t>
      </w:r>
    </w:p>
    <w:p>
      <w:pPr>
        <w:pStyle w:val="BodyText"/>
        <w:spacing w:before="10"/>
        <w:rPr>
          <w:sz w:val="20"/>
        </w:rPr>
      </w:pPr>
    </w:p>
    <w:p>
      <w:pPr>
        <w:spacing w:line="247" w:lineRule="auto" w:before="0"/>
        <w:ind w:left="1590" w:right="1296" w:firstLine="0"/>
        <w:jc w:val="both"/>
        <w:rPr>
          <w:rFonts w:ascii="Trebuchet MS" w:hAnsi="Trebuchet MS"/>
          <w:sz w:val="16"/>
        </w:rPr>
      </w:pPr>
      <w:r>
        <w:rPr>
          <w:rFonts w:ascii="Trebuchet MS" w:hAnsi="Trebuchet MS"/>
          <w:color w:val="231F20"/>
          <w:position w:val="5"/>
          <w:sz w:val="9"/>
        </w:rPr>
        <w:t>1</w:t>
      </w:r>
      <w:r>
        <w:rPr>
          <w:rFonts w:ascii="Trebuchet MS" w:hAnsi="Trebuchet MS"/>
          <w:color w:val="231F20"/>
          <w:sz w:val="16"/>
        </w:rPr>
        <w:t>Postgrado</w:t>
      </w:r>
      <w:r>
        <w:rPr>
          <w:rFonts w:ascii="Trebuchet MS" w:hAnsi="Trebuchet MS"/>
          <w:color w:val="231F20"/>
          <w:spacing w:val="-10"/>
          <w:sz w:val="16"/>
        </w:rPr>
        <w:t> </w:t>
      </w:r>
      <w:r>
        <w:rPr>
          <w:rFonts w:ascii="Trebuchet MS" w:hAnsi="Trebuchet MS"/>
          <w:color w:val="231F20"/>
          <w:sz w:val="16"/>
        </w:rPr>
        <w:t>en</w:t>
      </w:r>
      <w:r>
        <w:rPr>
          <w:rFonts w:ascii="Trebuchet MS" w:hAnsi="Trebuchet MS"/>
          <w:color w:val="231F20"/>
          <w:spacing w:val="-9"/>
          <w:sz w:val="16"/>
        </w:rPr>
        <w:t> </w:t>
      </w:r>
      <w:r>
        <w:rPr>
          <w:rFonts w:ascii="Trebuchet MS" w:hAnsi="Trebuchet MS"/>
          <w:color w:val="231F20"/>
          <w:sz w:val="16"/>
        </w:rPr>
        <w:t>Botánica</w:t>
      </w:r>
      <w:r>
        <w:rPr>
          <w:rFonts w:ascii="Trebuchet MS" w:hAnsi="Trebuchet MS"/>
          <w:color w:val="231F20"/>
          <w:spacing w:val="-10"/>
          <w:sz w:val="16"/>
        </w:rPr>
        <w:t> </w:t>
      </w:r>
      <w:r>
        <w:rPr>
          <w:rFonts w:ascii="Trebuchet MS" w:hAnsi="Trebuchet MS"/>
          <w:color w:val="231F20"/>
          <w:sz w:val="16"/>
        </w:rPr>
        <w:t>y</w:t>
      </w:r>
      <w:r>
        <w:rPr>
          <w:rFonts w:ascii="Trebuchet MS" w:hAnsi="Trebuchet MS"/>
          <w:color w:val="231F20"/>
          <w:spacing w:val="-9"/>
          <w:sz w:val="16"/>
        </w:rPr>
        <w:t> </w:t>
      </w:r>
      <w:r>
        <w:rPr>
          <w:rFonts w:ascii="Trebuchet MS" w:hAnsi="Trebuchet MS"/>
          <w:color w:val="231F20"/>
          <w:position w:val="5"/>
          <w:sz w:val="9"/>
        </w:rPr>
        <w:t>2</w:t>
      </w:r>
      <w:r>
        <w:rPr>
          <w:rFonts w:ascii="Trebuchet MS" w:hAnsi="Trebuchet MS"/>
          <w:color w:val="231F20"/>
          <w:sz w:val="16"/>
        </w:rPr>
        <w:t>Postgrado</w:t>
      </w:r>
      <w:r>
        <w:rPr>
          <w:rFonts w:ascii="Trebuchet MS" w:hAnsi="Trebuchet MS"/>
          <w:color w:val="231F20"/>
          <w:spacing w:val="-10"/>
          <w:sz w:val="16"/>
        </w:rPr>
        <w:t> </w:t>
      </w:r>
      <w:r>
        <w:rPr>
          <w:rFonts w:ascii="Trebuchet MS" w:hAnsi="Trebuchet MS"/>
          <w:color w:val="231F20"/>
          <w:sz w:val="16"/>
        </w:rPr>
        <w:t>en</w:t>
      </w:r>
      <w:r>
        <w:rPr>
          <w:rFonts w:ascii="Trebuchet MS" w:hAnsi="Trebuchet MS"/>
          <w:color w:val="231F20"/>
          <w:spacing w:val="-9"/>
          <w:sz w:val="16"/>
        </w:rPr>
        <w:t> </w:t>
      </w:r>
      <w:r>
        <w:rPr>
          <w:rFonts w:ascii="Trebuchet MS" w:hAnsi="Trebuchet MS"/>
          <w:color w:val="231F20"/>
          <w:sz w:val="16"/>
        </w:rPr>
        <w:t>Genética</w:t>
      </w:r>
      <w:r>
        <w:rPr>
          <w:rFonts w:ascii="Trebuchet MS" w:hAnsi="Trebuchet MS"/>
          <w:color w:val="231F20"/>
          <w:spacing w:val="-9"/>
          <w:sz w:val="16"/>
        </w:rPr>
        <w:t> </w:t>
      </w:r>
      <w:r>
        <w:rPr>
          <w:rFonts w:ascii="Trebuchet MS" w:hAnsi="Trebuchet MS"/>
          <w:color w:val="231F20"/>
          <w:sz w:val="16"/>
        </w:rPr>
        <w:t>Colegio</w:t>
      </w:r>
      <w:r>
        <w:rPr>
          <w:rFonts w:ascii="Trebuchet MS" w:hAnsi="Trebuchet MS"/>
          <w:color w:val="231F20"/>
          <w:spacing w:val="-9"/>
          <w:sz w:val="16"/>
        </w:rPr>
        <w:t> </w:t>
      </w:r>
      <w:r>
        <w:rPr>
          <w:rFonts w:ascii="Trebuchet MS" w:hAnsi="Trebuchet MS"/>
          <w:color w:val="231F20"/>
          <w:sz w:val="16"/>
        </w:rPr>
        <w:t>de</w:t>
      </w:r>
      <w:r>
        <w:rPr>
          <w:rFonts w:ascii="Trebuchet MS" w:hAnsi="Trebuchet MS"/>
          <w:color w:val="231F20"/>
          <w:spacing w:val="-9"/>
          <w:sz w:val="16"/>
        </w:rPr>
        <w:t> </w:t>
      </w:r>
      <w:r>
        <w:rPr>
          <w:rFonts w:ascii="Trebuchet MS" w:hAnsi="Trebuchet MS"/>
          <w:color w:val="231F20"/>
          <w:sz w:val="16"/>
        </w:rPr>
        <w:t>Postgraduados,</w:t>
      </w:r>
      <w:r>
        <w:rPr>
          <w:rFonts w:ascii="Trebuchet MS" w:hAnsi="Trebuchet MS"/>
          <w:color w:val="231F20"/>
          <w:spacing w:val="-11"/>
          <w:sz w:val="16"/>
        </w:rPr>
        <w:t> </w:t>
      </w:r>
      <w:r>
        <w:rPr>
          <w:rFonts w:ascii="Trebuchet MS" w:hAnsi="Trebuchet MS"/>
          <w:color w:val="231F20"/>
          <w:sz w:val="16"/>
        </w:rPr>
        <w:t>Campus</w:t>
      </w:r>
      <w:r>
        <w:rPr>
          <w:rFonts w:ascii="Trebuchet MS" w:hAnsi="Trebuchet MS"/>
          <w:color w:val="231F20"/>
          <w:spacing w:val="-9"/>
          <w:sz w:val="16"/>
        </w:rPr>
        <w:t> </w:t>
      </w:r>
      <w:r>
        <w:rPr>
          <w:rFonts w:ascii="Trebuchet MS" w:hAnsi="Trebuchet MS"/>
          <w:color w:val="231F20"/>
          <w:sz w:val="16"/>
        </w:rPr>
        <w:t>Montecillo.</w:t>
      </w:r>
      <w:r>
        <w:rPr>
          <w:rFonts w:ascii="Trebuchet MS" w:hAnsi="Trebuchet MS"/>
          <w:color w:val="231F20"/>
          <w:spacing w:val="-9"/>
          <w:sz w:val="16"/>
        </w:rPr>
        <w:t> </w:t>
      </w:r>
      <w:r>
        <w:rPr>
          <w:rFonts w:ascii="Trebuchet MS" w:hAnsi="Trebuchet MS"/>
          <w:color w:val="231F20"/>
          <w:sz w:val="16"/>
        </w:rPr>
        <w:t>Km</w:t>
      </w:r>
      <w:r>
        <w:rPr>
          <w:rFonts w:ascii="Trebuchet MS" w:hAnsi="Trebuchet MS"/>
          <w:color w:val="231F20"/>
          <w:spacing w:val="-9"/>
          <w:sz w:val="16"/>
        </w:rPr>
        <w:t> </w:t>
      </w:r>
      <w:r>
        <w:rPr>
          <w:rFonts w:ascii="Trebuchet MS" w:hAnsi="Trebuchet MS"/>
          <w:color w:val="231F20"/>
          <w:sz w:val="16"/>
        </w:rPr>
        <w:t>36.5</w:t>
      </w:r>
      <w:r>
        <w:rPr>
          <w:rFonts w:ascii="Trebuchet MS" w:hAnsi="Trebuchet MS"/>
          <w:color w:val="231F20"/>
          <w:spacing w:val="-9"/>
          <w:sz w:val="16"/>
        </w:rPr>
        <w:t> </w:t>
      </w:r>
      <w:r>
        <w:rPr>
          <w:rFonts w:ascii="Trebuchet MS" w:hAnsi="Trebuchet MS"/>
          <w:color w:val="231F20"/>
          <w:sz w:val="16"/>
        </w:rPr>
        <w:t>carrete- ra</w:t>
      </w:r>
      <w:r>
        <w:rPr>
          <w:rFonts w:ascii="Trebuchet MS" w:hAnsi="Trebuchet MS"/>
          <w:color w:val="231F20"/>
          <w:spacing w:val="-4"/>
          <w:sz w:val="16"/>
        </w:rPr>
        <w:t> </w:t>
      </w:r>
      <w:r>
        <w:rPr>
          <w:rFonts w:ascii="Trebuchet MS" w:hAnsi="Trebuchet MS"/>
          <w:color w:val="231F20"/>
          <w:spacing w:val="-3"/>
          <w:sz w:val="16"/>
        </w:rPr>
        <w:t>México-Texcoco, </w:t>
      </w:r>
      <w:r>
        <w:rPr>
          <w:rFonts w:ascii="Trebuchet MS" w:hAnsi="Trebuchet MS"/>
          <w:color w:val="231F20"/>
          <w:sz w:val="16"/>
        </w:rPr>
        <w:t>56230.</w:t>
      </w:r>
      <w:r>
        <w:rPr>
          <w:rFonts w:ascii="Trebuchet MS" w:hAnsi="Trebuchet MS"/>
          <w:color w:val="231F20"/>
          <w:spacing w:val="-7"/>
          <w:sz w:val="16"/>
        </w:rPr>
        <w:t> </w:t>
      </w:r>
      <w:r>
        <w:rPr>
          <w:rFonts w:ascii="Trebuchet MS" w:hAnsi="Trebuchet MS"/>
          <w:color w:val="231F20"/>
          <w:spacing w:val="-4"/>
          <w:sz w:val="16"/>
        </w:rPr>
        <w:t>Teléfono</w:t>
      </w:r>
      <w:r>
        <w:rPr>
          <w:rFonts w:ascii="Trebuchet MS" w:hAnsi="Trebuchet MS"/>
          <w:color w:val="231F20"/>
          <w:spacing w:val="-3"/>
          <w:sz w:val="16"/>
        </w:rPr>
        <w:t> </w:t>
      </w:r>
      <w:r>
        <w:rPr>
          <w:rFonts w:ascii="Trebuchet MS" w:hAnsi="Trebuchet MS"/>
          <w:color w:val="231F20"/>
          <w:sz w:val="16"/>
        </w:rPr>
        <w:t>01(595)</w:t>
      </w:r>
      <w:r>
        <w:rPr>
          <w:rFonts w:ascii="Trebuchet MS" w:hAnsi="Trebuchet MS"/>
          <w:color w:val="231F20"/>
          <w:spacing w:val="-4"/>
          <w:sz w:val="16"/>
        </w:rPr>
        <w:t> </w:t>
      </w:r>
      <w:r>
        <w:rPr>
          <w:rFonts w:ascii="Trebuchet MS" w:hAnsi="Trebuchet MS"/>
          <w:color w:val="231F20"/>
          <w:sz w:val="16"/>
        </w:rPr>
        <w:t>952</w:t>
      </w:r>
      <w:r>
        <w:rPr>
          <w:rFonts w:ascii="Trebuchet MS" w:hAnsi="Trebuchet MS"/>
          <w:color w:val="231F20"/>
          <w:spacing w:val="-4"/>
          <w:sz w:val="16"/>
        </w:rPr>
        <w:t> </w:t>
      </w:r>
      <w:r>
        <w:rPr>
          <w:rFonts w:ascii="Trebuchet MS" w:hAnsi="Trebuchet MS"/>
          <w:color w:val="231F20"/>
          <w:sz w:val="16"/>
        </w:rPr>
        <w:t>02</w:t>
      </w:r>
      <w:r>
        <w:rPr>
          <w:rFonts w:ascii="Trebuchet MS" w:hAnsi="Trebuchet MS"/>
          <w:color w:val="231F20"/>
          <w:spacing w:val="-4"/>
          <w:sz w:val="16"/>
        </w:rPr>
        <w:t> </w:t>
      </w:r>
      <w:r>
        <w:rPr>
          <w:rFonts w:ascii="Trebuchet MS" w:hAnsi="Trebuchet MS"/>
          <w:color w:val="231F20"/>
          <w:sz w:val="16"/>
        </w:rPr>
        <w:t>00</w:t>
      </w:r>
      <w:r>
        <w:rPr>
          <w:rFonts w:ascii="Trebuchet MS" w:hAnsi="Trebuchet MS"/>
          <w:color w:val="231F20"/>
          <w:spacing w:val="-4"/>
          <w:sz w:val="16"/>
        </w:rPr>
        <w:t> </w:t>
      </w:r>
      <w:r>
        <w:rPr>
          <w:rFonts w:ascii="Trebuchet MS" w:hAnsi="Trebuchet MS"/>
          <w:color w:val="231F20"/>
          <w:sz w:val="16"/>
        </w:rPr>
        <w:t>Ext.</w:t>
      </w:r>
      <w:r>
        <w:rPr>
          <w:rFonts w:ascii="Trebuchet MS" w:hAnsi="Trebuchet MS"/>
          <w:color w:val="231F20"/>
          <w:spacing w:val="-5"/>
          <w:sz w:val="16"/>
        </w:rPr>
        <w:t> </w:t>
      </w:r>
      <w:r>
        <w:rPr>
          <w:rFonts w:ascii="Trebuchet MS" w:hAnsi="Trebuchet MS"/>
          <w:color w:val="231F20"/>
          <w:sz w:val="16"/>
        </w:rPr>
        <w:t>1330.</w:t>
      </w:r>
      <w:r>
        <w:rPr>
          <w:rFonts w:ascii="Trebuchet MS" w:hAnsi="Trebuchet MS"/>
          <w:color w:val="231F20"/>
          <w:spacing w:val="-4"/>
          <w:sz w:val="16"/>
        </w:rPr>
        <w:t> </w:t>
      </w:r>
      <w:r>
        <w:rPr>
          <w:rFonts w:ascii="Trebuchet MS" w:hAnsi="Trebuchet MS"/>
          <w:color w:val="231F20"/>
          <w:sz w:val="16"/>
        </w:rPr>
        <w:t>Montecillo,</w:t>
      </w:r>
      <w:r>
        <w:rPr>
          <w:rFonts w:ascii="Trebuchet MS" w:hAnsi="Trebuchet MS"/>
          <w:color w:val="231F20"/>
          <w:spacing w:val="-6"/>
          <w:sz w:val="16"/>
        </w:rPr>
        <w:t> </w:t>
      </w:r>
      <w:r>
        <w:rPr>
          <w:rFonts w:ascii="Trebuchet MS" w:hAnsi="Trebuchet MS"/>
          <w:color w:val="231F20"/>
          <w:spacing w:val="-4"/>
          <w:sz w:val="16"/>
        </w:rPr>
        <w:t>Texcoco,</w:t>
      </w:r>
      <w:r>
        <w:rPr>
          <w:rFonts w:ascii="Trebuchet MS" w:hAnsi="Trebuchet MS"/>
          <w:color w:val="231F20"/>
          <w:spacing w:val="-3"/>
          <w:sz w:val="16"/>
        </w:rPr>
        <w:t> </w:t>
      </w:r>
      <w:r>
        <w:rPr>
          <w:rFonts w:ascii="Trebuchet MS" w:hAnsi="Trebuchet MS"/>
          <w:color w:val="231F20"/>
          <w:sz w:val="16"/>
        </w:rPr>
        <w:t>Estado</w:t>
      </w:r>
      <w:r>
        <w:rPr>
          <w:rFonts w:ascii="Trebuchet MS" w:hAnsi="Trebuchet MS"/>
          <w:color w:val="231F20"/>
          <w:spacing w:val="-5"/>
          <w:sz w:val="16"/>
        </w:rPr>
        <w:t> </w:t>
      </w:r>
      <w:r>
        <w:rPr>
          <w:rFonts w:ascii="Trebuchet MS" w:hAnsi="Trebuchet MS"/>
          <w:color w:val="231F20"/>
          <w:sz w:val="16"/>
        </w:rPr>
        <w:t>de</w:t>
      </w:r>
      <w:r>
        <w:rPr>
          <w:rFonts w:ascii="Trebuchet MS" w:hAnsi="Trebuchet MS"/>
          <w:color w:val="231F20"/>
          <w:spacing w:val="-4"/>
          <w:sz w:val="16"/>
        </w:rPr>
        <w:t> </w:t>
      </w:r>
      <w:r>
        <w:rPr>
          <w:rFonts w:ascii="Trebuchet MS" w:hAnsi="Trebuchet MS"/>
          <w:color w:val="231F20"/>
          <w:sz w:val="16"/>
        </w:rPr>
        <w:t>México.</w:t>
      </w:r>
      <w:r>
        <w:rPr>
          <w:rFonts w:ascii="Trebuchet MS" w:hAnsi="Trebuchet MS"/>
          <w:color w:val="231F20"/>
          <w:spacing w:val="-3"/>
          <w:sz w:val="16"/>
        </w:rPr>
        <w:t> </w:t>
      </w:r>
      <w:r>
        <w:rPr>
          <w:rFonts w:ascii="Trebuchet MS" w:hAnsi="Trebuchet MS"/>
          <w:color w:val="231F20"/>
          <w:sz w:val="16"/>
        </w:rPr>
        <w:t>E.</w:t>
      </w:r>
      <w:r>
        <w:rPr>
          <w:rFonts w:ascii="Trebuchet MS" w:hAnsi="Trebuchet MS"/>
          <w:color w:val="231F20"/>
          <w:spacing w:val="-4"/>
          <w:sz w:val="16"/>
        </w:rPr>
        <w:t> </w:t>
      </w:r>
      <w:r>
        <w:rPr>
          <w:rFonts w:ascii="Trebuchet MS" w:hAnsi="Trebuchet MS"/>
          <w:color w:val="231F20"/>
          <w:sz w:val="16"/>
        </w:rPr>
        <w:t>Mail: </w:t>
      </w:r>
      <w:r>
        <w:rPr>
          <w:rFonts w:ascii="Trebuchet MS" w:hAnsi="Trebuchet MS"/>
          <w:color w:val="231F20"/>
          <w:spacing w:val="-1"/>
          <w:sz w:val="16"/>
        </w:rPr>
        <w:t>selene.sanchez@colpos.mx;</w:t>
      </w:r>
      <w:r>
        <w:rPr>
          <w:rFonts w:ascii="Trebuchet MS" w:hAnsi="Trebuchet MS"/>
          <w:color w:val="231F20"/>
          <w:spacing w:val="-18"/>
          <w:sz w:val="16"/>
        </w:rPr>
        <w:t> </w:t>
      </w:r>
      <w:hyperlink r:id="rId30">
        <w:r>
          <w:rPr>
            <w:rFonts w:ascii="Trebuchet MS" w:hAnsi="Trebuchet MS"/>
            <w:color w:val="231F20"/>
            <w:sz w:val="16"/>
          </w:rPr>
          <w:t>jasee@colpos.mx.</w:t>
        </w:r>
      </w:hyperlink>
    </w:p>
    <w:p>
      <w:pPr>
        <w:spacing w:after="0" w:line="247" w:lineRule="auto"/>
        <w:jc w:val="both"/>
        <w:rPr>
          <w:rFonts w:ascii="Trebuchet MS" w:hAnsi="Trebuchet MS"/>
          <w:sz w:val="16"/>
        </w:rPr>
        <w:sectPr>
          <w:pgSz w:w="10920" w:h="13080"/>
          <w:pgMar w:header="0" w:footer="1025" w:top="420" w:bottom="1220" w:left="0" w:right="0"/>
        </w:sectPr>
      </w:pPr>
    </w:p>
    <w:p>
      <w:pPr>
        <w:pStyle w:val="BodyText"/>
        <w:rPr>
          <w:rFonts w:ascii="Trebuchet MS"/>
          <w:sz w:val="20"/>
        </w:rPr>
      </w:pPr>
    </w:p>
    <w:p>
      <w:pPr>
        <w:pStyle w:val="BodyText"/>
        <w:rPr>
          <w:rFonts w:ascii="Trebuchet MS"/>
          <w:sz w:val="20"/>
        </w:rPr>
      </w:pPr>
    </w:p>
    <w:p>
      <w:pPr>
        <w:pStyle w:val="BodyText"/>
        <w:spacing w:before="4"/>
        <w:rPr>
          <w:rFonts w:ascii="Trebuchet MS"/>
          <w:sz w:val="22"/>
        </w:rPr>
      </w:pPr>
    </w:p>
    <w:p>
      <w:pPr>
        <w:pStyle w:val="BodyText"/>
        <w:spacing w:line="247" w:lineRule="auto" w:before="73"/>
        <w:ind w:left="1270" w:right="1267"/>
        <w:jc w:val="both"/>
      </w:pPr>
      <w:r>
        <w:rPr>
          <w:color w:val="231F20"/>
        </w:rPr>
        <w:t>El desarrollo de genotipos para los Valles Altos de México ha sugerido un incremento en el rendi- miento de grano de hasta de un 100%. Algunos de los materiales trabajados han sido el H48, H50, H53 y H57 (INIFAP, 2011). Sin embargo, debe considerarse que en áreas rurales de la región, un elevado volumen de la producción de grano, no expresada en las estadísticas nacionales, deriva aún del cultivo de maíces criollos (Kato </w:t>
      </w:r>
      <w:r>
        <w:rPr>
          <w:i/>
          <w:color w:val="231F20"/>
        </w:rPr>
        <w:t>et al.</w:t>
      </w:r>
      <w:r>
        <w:rPr>
          <w:color w:val="231F20"/>
        </w:rPr>
        <w:t>, 2009). Lo anterior indica que si bien existen híbridos potencialmente vigorosos en cuanto a rendimiento, derivados de líneas criollas producto del mejo- ramiento genético, su representatividad en las tierras de cultivo de los Valles Altos de México aún es incipiente.</w:t>
      </w:r>
    </w:p>
    <w:p>
      <w:pPr>
        <w:pStyle w:val="BodyText"/>
        <w:spacing w:before="10"/>
      </w:pPr>
    </w:p>
    <w:p>
      <w:pPr>
        <w:pStyle w:val="BodyText"/>
        <w:spacing w:line="247" w:lineRule="auto"/>
        <w:ind w:left="1270" w:right="1267"/>
        <w:jc w:val="both"/>
      </w:pPr>
      <w:r>
        <w:rPr>
          <w:color w:val="231F20"/>
        </w:rPr>
        <w:t>La</w:t>
      </w:r>
      <w:r>
        <w:rPr>
          <w:color w:val="231F20"/>
          <w:spacing w:val="-11"/>
        </w:rPr>
        <w:t> </w:t>
      </w:r>
      <w:r>
        <w:rPr>
          <w:color w:val="231F20"/>
        </w:rPr>
        <w:t>descripción</w:t>
      </w:r>
      <w:r>
        <w:rPr>
          <w:color w:val="231F20"/>
          <w:spacing w:val="-11"/>
        </w:rPr>
        <w:t> </w:t>
      </w:r>
      <w:r>
        <w:rPr>
          <w:color w:val="231F20"/>
        </w:rPr>
        <w:t>morfológica</w:t>
      </w:r>
      <w:r>
        <w:rPr>
          <w:color w:val="231F20"/>
          <w:spacing w:val="-11"/>
        </w:rPr>
        <w:t> </w:t>
      </w:r>
      <w:r>
        <w:rPr>
          <w:color w:val="231F20"/>
        </w:rPr>
        <w:t>y</w:t>
      </w:r>
      <w:r>
        <w:rPr>
          <w:color w:val="231F20"/>
          <w:spacing w:val="-11"/>
        </w:rPr>
        <w:t> </w:t>
      </w:r>
      <w:r>
        <w:rPr>
          <w:color w:val="231F20"/>
        </w:rPr>
        <w:t>fisiológica</w:t>
      </w:r>
      <w:r>
        <w:rPr>
          <w:color w:val="231F20"/>
          <w:spacing w:val="-11"/>
        </w:rPr>
        <w:t> </w:t>
      </w:r>
      <w:r>
        <w:rPr>
          <w:color w:val="231F20"/>
        </w:rPr>
        <w:t>de</w:t>
      </w:r>
      <w:r>
        <w:rPr>
          <w:color w:val="231F20"/>
          <w:spacing w:val="-11"/>
        </w:rPr>
        <w:t> </w:t>
      </w:r>
      <w:r>
        <w:rPr>
          <w:color w:val="231F20"/>
        </w:rPr>
        <w:t>genotipos</w:t>
      </w:r>
      <w:r>
        <w:rPr>
          <w:color w:val="231F20"/>
          <w:spacing w:val="-11"/>
        </w:rPr>
        <w:t> </w:t>
      </w:r>
      <w:r>
        <w:rPr>
          <w:color w:val="231F20"/>
        </w:rPr>
        <w:t>podría</w:t>
      </w:r>
      <w:r>
        <w:rPr>
          <w:color w:val="231F20"/>
          <w:spacing w:val="-11"/>
        </w:rPr>
        <w:t> </w:t>
      </w:r>
      <w:r>
        <w:rPr>
          <w:color w:val="231F20"/>
        </w:rPr>
        <w:t>beneficiar</w:t>
      </w:r>
      <w:r>
        <w:rPr>
          <w:color w:val="231F20"/>
          <w:spacing w:val="-11"/>
        </w:rPr>
        <w:t> </w:t>
      </w:r>
      <w:r>
        <w:rPr>
          <w:color w:val="231F20"/>
        </w:rPr>
        <w:t>tanto</w:t>
      </w:r>
      <w:r>
        <w:rPr>
          <w:color w:val="231F20"/>
          <w:spacing w:val="-11"/>
        </w:rPr>
        <w:t> </w:t>
      </w:r>
      <w:r>
        <w:rPr>
          <w:color w:val="231F20"/>
        </w:rPr>
        <w:t>al</w:t>
      </w:r>
      <w:r>
        <w:rPr>
          <w:color w:val="231F20"/>
          <w:spacing w:val="-11"/>
        </w:rPr>
        <w:t> </w:t>
      </w:r>
      <w:r>
        <w:rPr>
          <w:color w:val="231F20"/>
        </w:rPr>
        <w:t>mejorador</w:t>
      </w:r>
      <w:r>
        <w:rPr>
          <w:color w:val="231F20"/>
          <w:spacing w:val="-11"/>
        </w:rPr>
        <w:t> </w:t>
      </w:r>
      <w:r>
        <w:rPr>
          <w:color w:val="231F20"/>
        </w:rPr>
        <w:t>de</w:t>
      </w:r>
      <w:r>
        <w:rPr>
          <w:color w:val="231F20"/>
          <w:spacing w:val="-11"/>
        </w:rPr>
        <w:t> </w:t>
      </w:r>
      <w:r>
        <w:rPr>
          <w:color w:val="231F20"/>
        </w:rPr>
        <w:t>plantas como al productor de semillas y al agricultor, ya que permite adecuar las prácticas de manejo en el cultivo para cada genotipo y contar con parámetros de elección más precisos basados en el cono- cimiento científico sobre la respuesta ecofisiológica del genotipo cultivado (Smith y Smith, 1989). Además, la caracterización de genotipos de maíz en etapa vegetativa por atributos fisiológicos y morfológicos, tiene una implicación práctica importante en el mejoramiento vegetal, tanto para la identificación de genotipos comerciales como para la estimación de relaciones genéticas</w:t>
      </w:r>
      <w:r>
        <w:rPr>
          <w:color w:val="231F20"/>
          <w:spacing w:val="-33"/>
        </w:rPr>
        <w:t> </w:t>
      </w:r>
      <w:r>
        <w:rPr>
          <w:color w:val="231F20"/>
        </w:rPr>
        <w:t>(Bonamico </w:t>
      </w:r>
      <w:r>
        <w:rPr>
          <w:i/>
          <w:color w:val="231F20"/>
        </w:rPr>
        <w:t>et al.</w:t>
      </w:r>
      <w:r>
        <w:rPr>
          <w:color w:val="231F20"/>
        </w:rPr>
        <w:t>, 2004). No obstante, a la fecha poco se ha hecho al respecto. Para la región del bajío Andrio y colaboradores</w:t>
      </w:r>
      <w:r>
        <w:rPr>
          <w:color w:val="231F20"/>
          <w:spacing w:val="-11"/>
        </w:rPr>
        <w:t> </w:t>
      </w:r>
      <w:r>
        <w:rPr>
          <w:color w:val="231F20"/>
        </w:rPr>
        <w:t>(2011)</w:t>
      </w:r>
      <w:r>
        <w:rPr>
          <w:color w:val="231F20"/>
          <w:spacing w:val="-10"/>
        </w:rPr>
        <w:t> </w:t>
      </w:r>
      <w:r>
        <w:rPr>
          <w:color w:val="231F20"/>
        </w:rPr>
        <w:t>analizaron</w:t>
      </w:r>
      <w:r>
        <w:rPr>
          <w:color w:val="231F20"/>
          <w:spacing w:val="-10"/>
        </w:rPr>
        <w:t> </w:t>
      </w:r>
      <w:r>
        <w:rPr>
          <w:color w:val="231F20"/>
        </w:rPr>
        <w:t>componentes</w:t>
      </w:r>
      <w:r>
        <w:rPr>
          <w:color w:val="231F20"/>
          <w:spacing w:val="-11"/>
        </w:rPr>
        <w:t> </w:t>
      </w:r>
      <w:r>
        <w:rPr>
          <w:color w:val="231F20"/>
        </w:rPr>
        <w:t>del</w:t>
      </w:r>
      <w:r>
        <w:rPr>
          <w:color w:val="231F20"/>
          <w:spacing w:val="-10"/>
        </w:rPr>
        <w:t> </w:t>
      </w:r>
      <w:r>
        <w:rPr>
          <w:color w:val="231F20"/>
        </w:rPr>
        <w:t>rendimiento</w:t>
      </w:r>
      <w:r>
        <w:rPr>
          <w:color w:val="231F20"/>
          <w:spacing w:val="-10"/>
        </w:rPr>
        <w:t> </w:t>
      </w:r>
      <w:r>
        <w:rPr>
          <w:color w:val="231F20"/>
        </w:rPr>
        <w:t>de</w:t>
      </w:r>
      <w:r>
        <w:rPr>
          <w:color w:val="231F20"/>
          <w:spacing w:val="-10"/>
        </w:rPr>
        <w:t> </w:t>
      </w:r>
      <w:r>
        <w:rPr>
          <w:color w:val="231F20"/>
        </w:rPr>
        <w:t>razas</w:t>
      </w:r>
      <w:r>
        <w:rPr>
          <w:color w:val="231F20"/>
          <w:spacing w:val="-10"/>
        </w:rPr>
        <w:t> </w:t>
      </w:r>
      <w:r>
        <w:rPr>
          <w:color w:val="231F20"/>
        </w:rPr>
        <w:t>criollas</w:t>
      </w:r>
      <w:r>
        <w:rPr>
          <w:color w:val="231F20"/>
          <w:spacing w:val="-11"/>
        </w:rPr>
        <w:t> </w:t>
      </w:r>
      <w:r>
        <w:rPr>
          <w:color w:val="231F20"/>
        </w:rPr>
        <w:t>de</w:t>
      </w:r>
      <w:r>
        <w:rPr>
          <w:color w:val="231F20"/>
          <w:spacing w:val="-10"/>
        </w:rPr>
        <w:t> </w:t>
      </w:r>
      <w:r>
        <w:rPr>
          <w:color w:val="231F20"/>
        </w:rPr>
        <w:t>maíz</w:t>
      </w:r>
      <w:r>
        <w:rPr>
          <w:color w:val="231F20"/>
          <w:spacing w:val="-11"/>
        </w:rPr>
        <w:t> </w:t>
      </w:r>
      <w:r>
        <w:rPr>
          <w:color w:val="231F20"/>
        </w:rPr>
        <w:t>relacionados a variables fenológicas, fisiológicas y morfológicas, y reportan una amplia variabilidad entre razas para las diferentes características medidas. Debido a lo anterior, el presente estudio busca conocer diferencias entre genotipos considerando variables morfo-fisiológicas que permitan caracterizarlos desde la etapa</w:t>
      </w:r>
      <w:r>
        <w:rPr>
          <w:color w:val="231F20"/>
          <w:spacing w:val="-1"/>
        </w:rPr>
        <w:t> </w:t>
      </w:r>
      <w:r>
        <w:rPr>
          <w:color w:val="231F20"/>
        </w:rPr>
        <w:t>vegetativa.</w:t>
      </w:r>
    </w:p>
    <w:p>
      <w:pPr>
        <w:pStyle w:val="BodyText"/>
        <w:spacing w:before="10"/>
        <w:rPr>
          <w:sz w:val="22"/>
        </w:rPr>
      </w:pPr>
    </w:p>
    <w:p>
      <w:pPr>
        <w:pStyle w:val="Heading3"/>
      </w:pPr>
      <w:r>
        <w:rPr>
          <w:color w:val="010202"/>
        </w:rPr>
        <w:t>Materiales y métodos</w:t>
      </w:r>
    </w:p>
    <w:p>
      <w:pPr>
        <w:pStyle w:val="BodyText"/>
        <w:spacing w:before="10"/>
        <w:rPr>
          <w:b/>
        </w:rPr>
      </w:pPr>
    </w:p>
    <w:p>
      <w:pPr>
        <w:pStyle w:val="BodyText"/>
        <w:spacing w:line="247" w:lineRule="auto"/>
        <w:ind w:left="1270" w:right="1267"/>
        <w:jc w:val="both"/>
      </w:pPr>
      <w:r>
        <w:rPr>
          <w:i/>
          <w:color w:val="231F20"/>
        </w:rPr>
        <w:t>Características</w:t>
      </w:r>
      <w:r>
        <w:rPr>
          <w:i/>
          <w:color w:val="231F20"/>
          <w:spacing w:val="-3"/>
        </w:rPr>
        <w:t> </w:t>
      </w:r>
      <w:r>
        <w:rPr>
          <w:i/>
          <w:color w:val="231F20"/>
        </w:rPr>
        <w:t>de</w:t>
      </w:r>
      <w:r>
        <w:rPr>
          <w:i/>
          <w:color w:val="231F20"/>
          <w:spacing w:val="-3"/>
        </w:rPr>
        <w:t> </w:t>
      </w:r>
      <w:r>
        <w:rPr>
          <w:i/>
          <w:color w:val="231F20"/>
        </w:rPr>
        <w:t>la</w:t>
      </w:r>
      <w:r>
        <w:rPr>
          <w:i/>
          <w:color w:val="231F20"/>
          <w:spacing w:val="-3"/>
        </w:rPr>
        <w:t> </w:t>
      </w:r>
      <w:r>
        <w:rPr>
          <w:i/>
          <w:color w:val="231F20"/>
        </w:rPr>
        <w:t>región</w:t>
      </w:r>
      <w:r>
        <w:rPr>
          <w:i/>
          <w:color w:val="231F20"/>
          <w:spacing w:val="-3"/>
        </w:rPr>
        <w:t> </w:t>
      </w:r>
      <w:r>
        <w:rPr>
          <w:i/>
          <w:color w:val="231F20"/>
        </w:rPr>
        <w:t>de</w:t>
      </w:r>
      <w:r>
        <w:rPr>
          <w:i/>
          <w:color w:val="231F20"/>
          <w:spacing w:val="-3"/>
        </w:rPr>
        <w:t> </w:t>
      </w:r>
      <w:r>
        <w:rPr>
          <w:i/>
          <w:color w:val="231F20"/>
        </w:rPr>
        <w:t>estudio</w:t>
      </w:r>
      <w:r>
        <w:rPr>
          <w:color w:val="231F20"/>
        </w:rPr>
        <w:t>.</w:t>
      </w:r>
      <w:r>
        <w:rPr>
          <w:color w:val="231F20"/>
          <w:spacing w:val="-3"/>
        </w:rPr>
        <w:t> </w:t>
      </w:r>
      <w:r>
        <w:rPr>
          <w:color w:val="231F20"/>
        </w:rPr>
        <w:t>El</w:t>
      </w:r>
      <w:r>
        <w:rPr>
          <w:color w:val="231F20"/>
          <w:spacing w:val="-3"/>
        </w:rPr>
        <w:t> </w:t>
      </w:r>
      <w:r>
        <w:rPr>
          <w:color w:val="231F20"/>
        </w:rPr>
        <w:t>estudio</w:t>
      </w:r>
      <w:r>
        <w:rPr>
          <w:color w:val="231F20"/>
          <w:spacing w:val="-4"/>
        </w:rPr>
        <w:t> </w:t>
      </w:r>
      <w:r>
        <w:rPr>
          <w:color w:val="231F20"/>
        </w:rPr>
        <w:t>se</w:t>
      </w:r>
      <w:r>
        <w:rPr>
          <w:color w:val="231F20"/>
          <w:spacing w:val="-3"/>
        </w:rPr>
        <w:t> </w:t>
      </w:r>
      <w:r>
        <w:rPr>
          <w:color w:val="231F20"/>
        </w:rPr>
        <w:t>realizó</w:t>
      </w:r>
      <w:r>
        <w:rPr>
          <w:color w:val="231F20"/>
          <w:spacing w:val="-3"/>
        </w:rPr>
        <w:t> </w:t>
      </w:r>
      <w:r>
        <w:rPr>
          <w:color w:val="231F20"/>
        </w:rPr>
        <w:t>en</w:t>
      </w:r>
      <w:r>
        <w:rPr>
          <w:color w:val="231F20"/>
          <w:spacing w:val="-3"/>
        </w:rPr>
        <w:t> </w:t>
      </w:r>
      <w:r>
        <w:rPr>
          <w:color w:val="231F20"/>
        </w:rPr>
        <w:t>el</w:t>
      </w:r>
      <w:r>
        <w:rPr>
          <w:color w:val="231F20"/>
          <w:spacing w:val="-3"/>
        </w:rPr>
        <w:t> </w:t>
      </w:r>
      <w:r>
        <w:rPr>
          <w:color w:val="231F20"/>
        </w:rPr>
        <w:t>ciclo</w:t>
      </w:r>
      <w:r>
        <w:rPr>
          <w:color w:val="231F20"/>
          <w:spacing w:val="-3"/>
        </w:rPr>
        <w:t> </w:t>
      </w:r>
      <w:r>
        <w:rPr>
          <w:color w:val="231F20"/>
        </w:rPr>
        <w:t>primavera-verano</w:t>
      </w:r>
      <w:r>
        <w:rPr>
          <w:color w:val="231F20"/>
          <w:spacing w:val="-3"/>
        </w:rPr>
        <w:t> </w:t>
      </w:r>
      <w:r>
        <w:rPr>
          <w:color w:val="231F20"/>
        </w:rPr>
        <w:t>en</w:t>
      </w:r>
      <w:r>
        <w:rPr>
          <w:color w:val="231F20"/>
          <w:spacing w:val="-3"/>
        </w:rPr>
        <w:t> </w:t>
      </w:r>
      <w:r>
        <w:rPr>
          <w:color w:val="231F20"/>
        </w:rPr>
        <w:t>un</w:t>
      </w:r>
      <w:r>
        <w:rPr>
          <w:color w:val="231F20"/>
          <w:spacing w:val="-3"/>
        </w:rPr>
        <w:t> </w:t>
      </w:r>
      <w:r>
        <w:rPr>
          <w:color w:val="231F20"/>
        </w:rPr>
        <w:t>lote experimental del Colegio de Postgraduados Campus Montecillo, Estado de México (19º 29’N; 98º 54’</w:t>
      </w:r>
      <w:r>
        <w:rPr>
          <w:color w:val="231F20"/>
          <w:spacing w:val="-22"/>
        </w:rPr>
        <w:t> </w:t>
      </w:r>
      <w:r>
        <w:rPr>
          <w:color w:val="231F20"/>
        </w:rPr>
        <w:t>O</w:t>
      </w:r>
      <w:r>
        <w:rPr>
          <w:color w:val="231F20"/>
          <w:spacing w:val="-7"/>
        </w:rPr>
        <w:t> </w:t>
      </w:r>
      <w:r>
        <w:rPr>
          <w:color w:val="231F20"/>
        </w:rPr>
        <w:t>y</w:t>
      </w:r>
      <w:r>
        <w:rPr>
          <w:color w:val="231F20"/>
          <w:spacing w:val="-7"/>
        </w:rPr>
        <w:t> </w:t>
      </w:r>
      <w:r>
        <w:rPr>
          <w:color w:val="231F20"/>
        </w:rPr>
        <w:t>2250</w:t>
      </w:r>
      <w:r>
        <w:rPr>
          <w:color w:val="231F20"/>
          <w:spacing w:val="-7"/>
        </w:rPr>
        <w:t> </w:t>
      </w:r>
      <w:r>
        <w:rPr>
          <w:color w:val="231F20"/>
        </w:rPr>
        <w:t>m</w:t>
      </w:r>
      <w:r>
        <w:rPr>
          <w:color w:val="231F20"/>
          <w:spacing w:val="-7"/>
        </w:rPr>
        <w:t> </w:t>
      </w:r>
      <w:r>
        <w:rPr>
          <w:color w:val="231F20"/>
        </w:rPr>
        <w:t>de</w:t>
      </w:r>
      <w:r>
        <w:rPr>
          <w:color w:val="231F20"/>
          <w:spacing w:val="-7"/>
        </w:rPr>
        <w:t> </w:t>
      </w:r>
      <w:r>
        <w:rPr>
          <w:color w:val="231F20"/>
        </w:rPr>
        <w:t>altitud)</w:t>
      </w:r>
      <w:r>
        <w:rPr>
          <w:color w:val="231F20"/>
          <w:spacing w:val="-7"/>
        </w:rPr>
        <w:t> </w:t>
      </w:r>
      <w:r>
        <w:rPr>
          <w:color w:val="231F20"/>
        </w:rPr>
        <w:t>bajo</w:t>
      </w:r>
      <w:r>
        <w:rPr>
          <w:color w:val="231F20"/>
          <w:spacing w:val="-7"/>
        </w:rPr>
        <w:t> </w:t>
      </w:r>
      <w:r>
        <w:rPr>
          <w:color w:val="231F20"/>
        </w:rPr>
        <w:t>condiciones</w:t>
      </w:r>
      <w:r>
        <w:rPr>
          <w:color w:val="231F20"/>
          <w:spacing w:val="-7"/>
        </w:rPr>
        <w:t> </w:t>
      </w:r>
      <w:r>
        <w:rPr>
          <w:color w:val="231F20"/>
        </w:rPr>
        <w:t>de</w:t>
      </w:r>
      <w:r>
        <w:rPr>
          <w:color w:val="231F20"/>
          <w:spacing w:val="-7"/>
        </w:rPr>
        <w:t> </w:t>
      </w:r>
      <w:r>
        <w:rPr>
          <w:color w:val="231F20"/>
        </w:rPr>
        <w:t>lluvia</w:t>
      </w:r>
      <w:r>
        <w:rPr>
          <w:color w:val="231F20"/>
          <w:spacing w:val="-7"/>
        </w:rPr>
        <w:t> </w:t>
      </w:r>
      <w:r>
        <w:rPr>
          <w:color w:val="231F20"/>
        </w:rPr>
        <w:t>estacional.</w:t>
      </w:r>
      <w:r>
        <w:rPr>
          <w:color w:val="231F20"/>
          <w:spacing w:val="-7"/>
        </w:rPr>
        <w:t> </w:t>
      </w:r>
      <w:r>
        <w:rPr>
          <w:color w:val="231F20"/>
        </w:rPr>
        <w:t>El</w:t>
      </w:r>
      <w:r>
        <w:rPr>
          <w:color w:val="231F20"/>
          <w:spacing w:val="-7"/>
        </w:rPr>
        <w:t> </w:t>
      </w:r>
      <w:r>
        <w:rPr>
          <w:color w:val="231F20"/>
        </w:rPr>
        <w:t>clima</w:t>
      </w:r>
      <w:r>
        <w:rPr>
          <w:color w:val="231F20"/>
          <w:spacing w:val="-7"/>
        </w:rPr>
        <w:t> </w:t>
      </w:r>
      <w:r>
        <w:rPr>
          <w:color w:val="231F20"/>
        </w:rPr>
        <w:t>es</w:t>
      </w:r>
      <w:r>
        <w:rPr>
          <w:color w:val="231F20"/>
          <w:spacing w:val="-7"/>
        </w:rPr>
        <w:t> </w:t>
      </w:r>
      <w:r>
        <w:rPr>
          <w:color w:val="231F20"/>
        </w:rPr>
        <w:t>del</w:t>
      </w:r>
      <w:r>
        <w:rPr>
          <w:color w:val="231F20"/>
          <w:spacing w:val="-7"/>
        </w:rPr>
        <w:t> </w:t>
      </w:r>
      <w:r>
        <w:rPr>
          <w:color w:val="231F20"/>
        </w:rPr>
        <w:t>tipo</w:t>
      </w:r>
      <w:r>
        <w:rPr>
          <w:color w:val="231F20"/>
          <w:spacing w:val="-7"/>
        </w:rPr>
        <w:t> </w:t>
      </w:r>
      <w:r>
        <w:rPr>
          <w:color w:val="231F20"/>
        </w:rPr>
        <w:t>BS1</w:t>
      </w:r>
      <w:r>
        <w:rPr>
          <w:color w:val="231F20"/>
          <w:spacing w:val="-7"/>
        </w:rPr>
        <w:t> </w:t>
      </w:r>
      <w:r>
        <w:rPr>
          <w:color w:val="231F20"/>
        </w:rPr>
        <w:t>que</w:t>
      </w:r>
      <w:r>
        <w:rPr>
          <w:color w:val="231F20"/>
          <w:spacing w:val="-7"/>
        </w:rPr>
        <w:t> </w:t>
      </w:r>
      <w:r>
        <w:rPr>
          <w:color w:val="231F20"/>
        </w:rPr>
        <w:t>corres- ponde al menos seco de lo áridos con lluvias en verano, una temperatura median anula de 14.6ºC y precipitación media anual de 558.5 mm (García, 2004).</w:t>
      </w:r>
    </w:p>
    <w:p>
      <w:pPr>
        <w:pStyle w:val="BodyText"/>
        <w:spacing w:before="10"/>
      </w:pPr>
    </w:p>
    <w:p>
      <w:pPr>
        <w:pStyle w:val="BodyText"/>
        <w:spacing w:line="247" w:lineRule="auto"/>
        <w:ind w:left="1270" w:right="1268"/>
        <w:jc w:val="both"/>
      </w:pPr>
      <w:r>
        <w:rPr>
          <w:i/>
          <w:color w:val="231F20"/>
        </w:rPr>
        <w:t>Germoplasma utilizado</w:t>
      </w:r>
      <w:r>
        <w:rPr>
          <w:color w:val="231F20"/>
        </w:rPr>
        <w:t>. Se sembraron 4 híbridos y un criollo azul regional. Los híbridos y sus</w:t>
      </w:r>
      <w:r>
        <w:rPr>
          <w:color w:val="231F20"/>
          <w:spacing w:val="-28"/>
        </w:rPr>
        <w:t> </w:t>
      </w:r>
      <w:r>
        <w:rPr>
          <w:color w:val="231F20"/>
        </w:rPr>
        <w:t>prin- cipales características agronómicas se presentan a</w:t>
      </w:r>
      <w:r>
        <w:rPr>
          <w:color w:val="231F20"/>
          <w:spacing w:val="-4"/>
        </w:rPr>
        <w:t> </w:t>
      </w:r>
      <w:r>
        <w:rPr>
          <w:color w:val="231F20"/>
        </w:rPr>
        <w:t>continuación:</w:t>
      </w:r>
    </w:p>
    <w:p>
      <w:pPr>
        <w:pStyle w:val="BodyText"/>
        <w:spacing w:line="247" w:lineRule="auto" w:before="1"/>
        <w:ind w:left="1270" w:right="1268"/>
        <w:jc w:val="both"/>
      </w:pPr>
      <w:r>
        <w:rPr>
          <w:color w:val="231F20"/>
        </w:rPr>
        <w:t>H-48: Híbrido trilineal; el germoplasma de la línea macho progenitora corresponde a la raza có- nico procedente del Instituto Nacional de Investigaciones Forestales, Agrícolas y Pecuarias (INI- FAP); la línea hembra es una cruza simple del Centro Internacional de Mejoramiento de maíz y trigo (CIMMYT). La altura de la planta es de 2.45 m y de la mazorca 1.35m; la floración masculina y femenina ocurre a los 82 días y la madurez fisiológica entre los 150 y 155 días, en altitudes de 2,240 m; la mazorca mide 16.8 cm de largo, con 16 hileras, posee grano color blanco con 68% de reflectancia. Tiene un rendimiento superior en 26.2% con respecto al H-33 (híbrido que le antecede cronológicamente en liberación comercial); resistente al acame y roya (</w:t>
      </w:r>
      <w:r>
        <w:rPr>
          <w:i/>
          <w:color w:val="231F20"/>
        </w:rPr>
        <w:t>Puccinia sorghi</w:t>
      </w:r>
      <w:r>
        <w:rPr>
          <w:color w:val="231F20"/>
        </w:rPr>
        <w:t>); específico</w:t>
      </w:r>
    </w:p>
    <w:p>
      <w:pPr>
        <w:spacing w:after="0" w:line="247" w:lineRule="auto"/>
        <w:jc w:val="both"/>
        <w:sectPr>
          <w:pgSz w:w="10920" w:h="13080"/>
          <w:pgMar w:header="0" w:footer="1025" w:top="420" w:bottom="1220" w:left="0" w:right="0"/>
        </w:sectPr>
      </w:pPr>
    </w:p>
    <w:p>
      <w:pPr>
        <w:pStyle w:val="BodyText"/>
        <w:rPr>
          <w:sz w:val="20"/>
        </w:rPr>
      </w:pPr>
    </w:p>
    <w:p>
      <w:pPr>
        <w:pStyle w:val="BodyText"/>
        <w:rPr>
          <w:sz w:val="20"/>
        </w:rPr>
      </w:pPr>
    </w:p>
    <w:p>
      <w:pPr>
        <w:pStyle w:val="BodyText"/>
        <w:rPr>
          <w:sz w:val="23"/>
        </w:rPr>
      </w:pPr>
    </w:p>
    <w:p>
      <w:pPr>
        <w:pStyle w:val="BodyText"/>
        <w:spacing w:line="247" w:lineRule="auto" w:before="73"/>
        <w:ind w:left="1270" w:right="1268"/>
        <w:jc w:val="both"/>
      </w:pPr>
      <w:r>
        <w:rPr>
          <w:color w:val="231F20"/>
        </w:rPr>
        <w:t>para punta de riego y condiciones de temporal favorable en los Valles Altos de la Mesa Central de México, entre 2,200 y 2,600 m (Espinosa </w:t>
      </w:r>
      <w:r>
        <w:rPr>
          <w:i/>
          <w:color w:val="231F20"/>
        </w:rPr>
        <w:t>et al.</w:t>
      </w:r>
      <w:r>
        <w:rPr>
          <w:color w:val="231F20"/>
        </w:rPr>
        <w:t>, 2003).</w:t>
      </w:r>
    </w:p>
    <w:p>
      <w:pPr>
        <w:pStyle w:val="BodyText"/>
        <w:spacing w:line="247" w:lineRule="auto" w:before="1"/>
        <w:ind w:left="1270" w:right="1260"/>
        <w:jc w:val="both"/>
      </w:pPr>
      <w:r>
        <w:rPr>
          <w:color w:val="231F20"/>
        </w:rPr>
        <w:t>H-50:</w:t>
      </w:r>
      <w:r>
        <w:rPr>
          <w:color w:val="231F20"/>
          <w:spacing w:val="-10"/>
        </w:rPr>
        <w:t> </w:t>
      </w:r>
      <w:r>
        <w:rPr>
          <w:color w:val="231F20"/>
        </w:rPr>
        <w:t>Maíz</w:t>
      </w:r>
      <w:r>
        <w:rPr>
          <w:color w:val="231F20"/>
          <w:spacing w:val="-11"/>
        </w:rPr>
        <w:t> </w:t>
      </w:r>
      <w:r>
        <w:rPr>
          <w:color w:val="231F20"/>
        </w:rPr>
        <w:t>híbrido</w:t>
      </w:r>
      <w:r>
        <w:rPr>
          <w:color w:val="231F20"/>
          <w:spacing w:val="-10"/>
        </w:rPr>
        <w:t> </w:t>
      </w:r>
      <w:r>
        <w:rPr>
          <w:color w:val="231F20"/>
        </w:rPr>
        <w:t>de</w:t>
      </w:r>
      <w:r>
        <w:rPr>
          <w:color w:val="231F20"/>
          <w:spacing w:val="-10"/>
        </w:rPr>
        <w:t> </w:t>
      </w:r>
      <w:r>
        <w:rPr>
          <w:color w:val="231F20"/>
        </w:rPr>
        <w:t>cruza</w:t>
      </w:r>
      <w:r>
        <w:rPr>
          <w:color w:val="231F20"/>
          <w:spacing w:val="-11"/>
        </w:rPr>
        <w:t> </w:t>
      </w:r>
      <w:r>
        <w:rPr>
          <w:color w:val="231F20"/>
        </w:rPr>
        <w:t>doble</w:t>
      </w:r>
      <w:r>
        <w:rPr>
          <w:color w:val="231F20"/>
          <w:spacing w:val="-11"/>
        </w:rPr>
        <w:t> </w:t>
      </w:r>
      <w:r>
        <w:rPr>
          <w:color w:val="231F20"/>
        </w:rPr>
        <w:t>de</w:t>
      </w:r>
      <w:r>
        <w:rPr>
          <w:color w:val="231F20"/>
          <w:spacing w:val="-10"/>
        </w:rPr>
        <w:t> </w:t>
      </w:r>
      <w:r>
        <w:rPr>
          <w:color w:val="231F20"/>
        </w:rPr>
        <w:t>ciclo</w:t>
      </w:r>
      <w:r>
        <w:rPr>
          <w:color w:val="231F20"/>
          <w:spacing w:val="-11"/>
        </w:rPr>
        <w:t> </w:t>
      </w:r>
      <w:r>
        <w:rPr>
          <w:color w:val="231F20"/>
        </w:rPr>
        <w:t>intermedio,</w:t>
      </w:r>
      <w:r>
        <w:rPr>
          <w:color w:val="231F20"/>
          <w:spacing w:val="-11"/>
        </w:rPr>
        <w:t> </w:t>
      </w:r>
      <w:r>
        <w:rPr>
          <w:color w:val="231F20"/>
        </w:rPr>
        <w:t>producto</w:t>
      </w:r>
      <w:r>
        <w:rPr>
          <w:color w:val="231F20"/>
          <w:spacing w:val="-10"/>
        </w:rPr>
        <w:t> </w:t>
      </w:r>
      <w:r>
        <w:rPr>
          <w:color w:val="231F20"/>
        </w:rPr>
        <w:t>de</w:t>
      </w:r>
      <w:r>
        <w:rPr>
          <w:color w:val="231F20"/>
          <w:spacing w:val="-10"/>
        </w:rPr>
        <w:t> </w:t>
      </w:r>
      <w:r>
        <w:rPr>
          <w:color w:val="231F20"/>
        </w:rPr>
        <w:t>la</w:t>
      </w:r>
      <w:r>
        <w:rPr>
          <w:color w:val="231F20"/>
          <w:spacing w:val="-11"/>
        </w:rPr>
        <w:t> </w:t>
      </w:r>
      <w:r>
        <w:rPr>
          <w:color w:val="231F20"/>
        </w:rPr>
        <w:t>cruza</w:t>
      </w:r>
      <w:r>
        <w:rPr>
          <w:color w:val="231F20"/>
          <w:spacing w:val="-11"/>
        </w:rPr>
        <w:t> </w:t>
      </w:r>
      <w:r>
        <w:rPr>
          <w:color w:val="231F20"/>
        </w:rPr>
        <w:t>de</w:t>
      </w:r>
      <w:r>
        <w:rPr>
          <w:color w:val="231F20"/>
          <w:spacing w:val="-10"/>
        </w:rPr>
        <w:t> </w:t>
      </w:r>
      <w:r>
        <w:rPr>
          <w:color w:val="231F20"/>
        </w:rPr>
        <w:t>dos</w:t>
      </w:r>
      <w:r>
        <w:rPr>
          <w:color w:val="231F20"/>
          <w:spacing w:val="-10"/>
        </w:rPr>
        <w:t> </w:t>
      </w:r>
      <w:r>
        <w:rPr>
          <w:color w:val="231F20"/>
        </w:rPr>
        <w:t>líneas</w:t>
      </w:r>
      <w:r>
        <w:rPr>
          <w:color w:val="231F20"/>
          <w:spacing w:val="-11"/>
        </w:rPr>
        <w:t> </w:t>
      </w:r>
      <w:r>
        <w:rPr>
          <w:color w:val="231F20"/>
        </w:rPr>
        <w:t>del</w:t>
      </w:r>
      <w:r>
        <w:rPr>
          <w:color w:val="231F20"/>
          <w:spacing w:val="-11"/>
        </w:rPr>
        <w:t> </w:t>
      </w:r>
      <w:r>
        <w:rPr>
          <w:color w:val="231F20"/>
          <w:spacing w:val="-3"/>
        </w:rPr>
        <w:t>INIFAP </w:t>
      </w:r>
      <w:r>
        <w:rPr>
          <w:color w:val="231F20"/>
        </w:rPr>
        <w:t>derivadas de la raza Cónico, y líneas endogámicas desarrolladas por el </w:t>
      </w:r>
      <w:r>
        <w:rPr>
          <w:color w:val="231F20"/>
          <w:spacing w:val="-3"/>
        </w:rPr>
        <w:t>CIMMYT. </w:t>
      </w:r>
      <w:r>
        <w:rPr>
          <w:color w:val="231F20"/>
        </w:rPr>
        <w:t>La altura de la planta</w:t>
      </w:r>
      <w:r>
        <w:rPr>
          <w:color w:val="231F20"/>
          <w:spacing w:val="-2"/>
        </w:rPr>
        <w:t> </w:t>
      </w:r>
      <w:r>
        <w:rPr>
          <w:color w:val="231F20"/>
        </w:rPr>
        <w:t>es</w:t>
      </w:r>
      <w:r>
        <w:rPr>
          <w:color w:val="231F20"/>
          <w:spacing w:val="-2"/>
        </w:rPr>
        <w:t> </w:t>
      </w:r>
      <w:r>
        <w:rPr>
          <w:color w:val="231F20"/>
        </w:rPr>
        <w:t>de</w:t>
      </w:r>
      <w:r>
        <w:rPr>
          <w:color w:val="231F20"/>
          <w:spacing w:val="-2"/>
        </w:rPr>
        <w:t> </w:t>
      </w:r>
      <w:r>
        <w:rPr>
          <w:color w:val="231F20"/>
        </w:rPr>
        <w:t>2.38</w:t>
      </w:r>
      <w:r>
        <w:rPr>
          <w:color w:val="231F20"/>
          <w:spacing w:val="-2"/>
        </w:rPr>
        <w:t> </w:t>
      </w:r>
      <w:r>
        <w:rPr>
          <w:color w:val="231F20"/>
        </w:rPr>
        <w:t>m</w:t>
      </w:r>
      <w:r>
        <w:rPr>
          <w:color w:val="231F20"/>
          <w:spacing w:val="-2"/>
        </w:rPr>
        <w:t> </w:t>
      </w:r>
      <w:r>
        <w:rPr>
          <w:color w:val="231F20"/>
        </w:rPr>
        <w:t>y</w:t>
      </w:r>
      <w:r>
        <w:rPr>
          <w:color w:val="231F20"/>
          <w:spacing w:val="-2"/>
        </w:rPr>
        <w:t> </w:t>
      </w:r>
      <w:r>
        <w:rPr>
          <w:color w:val="231F20"/>
        </w:rPr>
        <w:t>de</w:t>
      </w:r>
      <w:r>
        <w:rPr>
          <w:color w:val="231F20"/>
          <w:spacing w:val="-2"/>
        </w:rPr>
        <w:t> </w:t>
      </w:r>
      <w:r>
        <w:rPr>
          <w:color w:val="231F20"/>
        </w:rPr>
        <w:t>mazorca</w:t>
      </w:r>
      <w:r>
        <w:rPr>
          <w:color w:val="231F20"/>
          <w:spacing w:val="-2"/>
        </w:rPr>
        <w:t> </w:t>
      </w:r>
      <w:r>
        <w:rPr>
          <w:color w:val="231F20"/>
        </w:rPr>
        <w:t>1.49</w:t>
      </w:r>
      <w:r>
        <w:rPr>
          <w:color w:val="231F20"/>
          <w:spacing w:val="-2"/>
        </w:rPr>
        <w:t> </w:t>
      </w:r>
      <w:r>
        <w:rPr>
          <w:color w:val="231F20"/>
        </w:rPr>
        <w:t>m,</w:t>
      </w:r>
      <w:r>
        <w:rPr>
          <w:color w:val="231F20"/>
          <w:spacing w:val="-2"/>
        </w:rPr>
        <w:t> </w:t>
      </w:r>
      <w:r>
        <w:rPr>
          <w:color w:val="231F20"/>
        </w:rPr>
        <w:t>tiene</w:t>
      </w:r>
      <w:r>
        <w:rPr>
          <w:color w:val="231F20"/>
          <w:spacing w:val="-2"/>
        </w:rPr>
        <w:t> </w:t>
      </w:r>
      <w:r>
        <w:rPr>
          <w:color w:val="231F20"/>
        </w:rPr>
        <w:t>16</w:t>
      </w:r>
      <w:r>
        <w:rPr>
          <w:color w:val="231F20"/>
          <w:spacing w:val="-2"/>
        </w:rPr>
        <w:t> </w:t>
      </w:r>
      <w:r>
        <w:rPr>
          <w:color w:val="231F20"/>
        </w:rPr>
        <w:t>hileras</w:t>
      </w:r>
      <w:r>
        <w:rPr>
          <w:color w:val="231F20"/>
          <w:spacing w:val="-2"/>
        </w:rPr>
        <w:t> </w:t>
      </w:r>
      <w:r>
        <w:rPr>
          <w:color w:val="231F20"/>
        </w:rPr>
        <w:t>con</w:t>
      </w:r>
      <w:r>
        <w:rPr>
          <w:color w:val="231F20"/>
          <w:spacing w:val="-2"/>
        </w:rPr>
        <w:t> </w:t>
      </w:r>
      <w:r>
        <w:rPr>
          <w:color w:val="231F20"/>
        </w:rPr>
        <w:t>granos</w:t>
      </w:r>
      <w:r>
        <w:rPr>
          <w:color w:val="231F20"/>
          <w:spacing w:val="-2"/>
        </w:rPr>
        <w:t> </w:t>
      </w:r>
      <w:r>
        <w:rPr>
          <w:color w:val="231F20"/>
        </w:rPr>
        <w:t>de</w:t>
      </w:r>
      <w:r>
        <w:rPr>
          <w:color w:val="231F20"/>
          <w:spacing w:val="-2"/>
        </w:rPr>
        <w:t> </w:t>
      </w:r>
      <w:r>
        <w:rPr>
          <w:color w:val="231F20"/>
        </w:rPr>
        <w:t>color</w:t>
      </w:r>
      <w:r>
        <w:rPr>
          <w:color w:val="231F20"/>
          <w:spacing w:val="-2"/>
        </w:rPr>
        <w:t> </w:t>
      </w:r>
      <w:r>
        <w:rPr>
          <w:color w:val="231F20"/>
        </w:rPr>
        <w:t>blanco;</w:t>
      </w:r>
      <w:r>
        <w:rPr>
          <w:color w:val="231F20"/>
          <w:spacing w:val="-2"/>
        </w:rPr>
        <w:t> </w:t>
      </w:r>
      <w:r>
        <w:rPr>
          <w:color w:val="231F20"/>
        </w:rPr>
        <w:t>tiene</w:t>
      </w:r>
      <w:r>
        <w:rPr>
          <w:color w:val="231F20"/>
          <w:spacing w:val="-2"/>
        </w:rPr>
        <w:t> </w:t>
      </w:r>
      <w:r>
        <w:rPr>
          <w:color w:val="231F20"/>
        </w:rPr>
        <w:t>155</w:t>
      </w:r>
      <w:r>
        <w:rPr>
          <w:color w:val="231F20"/>
          <w:spacing w:val="-2"/>
        </w:rPr>
        <w:t> </w:t>
      </w:r>
      <w:r>
        <w:rPr>
          <w:color w:val="231F20"/>
        </w:rPr>
        <w:t>días a madurez fisiológica; la floración masculina se presenta a los 83 días, la femenina a los 84 días, en altitudes de 2,240 m (Espinosa </w:t>
      </w:r>
      <w:r>
        <w:rPr>
          <w:i/>
          <w:color w:val="231F20"/>
        </w:rPr>
        <w:t>et al.</w:t>
      </w:r>
      <w:r>
        <w:rPr>
          <w:color w:val="231F20"/>
        </w:rPr>
        <w:t>,</w:t>
      </w:r>
      <w:r>
        <w:rPr>
          <w:color w:val="231F20"/>
          <w:spacing w:val="-1"/>
        </w:rPr>
        <w:t> </w:t>
      </w:r>
      <w:r>
        <w:rPr>
          <w:color w:val="231F20"/>
        </w:rPr>
        <w:t>2003).</w:t>
      </w:r>
    </w:p>
    <w:p>
      <w:pPr>
        <w:pStyle w:val="BodyText"/>
        <w:spacing w:line="247" w:lineRule="auto" w:before="1"/>
        <w:ind w:left="1270" w:right="1267"/>
      </w:pPr>
      <w:r>
        <w:rPr>
          <w:color w:val="231F20"/>
          <w:spacing w:val="-3"/>
        </w:rPr>
        <w:t>H-53: Híbrido trilineal desarrollado </w:t>
      </w:r>
      <w:r>
        <w:rPr>
          <w:color w:val="231F20"/>
        </w:rPr>
        <w:t>por el </w:t>
      </w:r>
      <w:r>
        <w:rPr>
          <w:color w:val="231F20"/>
          <w:spacing w:val="-8"/>
        </w:rPr>
        <w:t>INIFAP. </w:t>
      </w:r>
      <w:r>
        <w:rPr>
          <w:color w:val="231F20"/>
          <w:spacing w:val="-3"/>
        </w:rPr>
        <w:t>Altura </w:t>
      </w:r>
      <w:r>
        <w:rPr>
          <w:color w:val="231F20"/>
        </w:rPr>
        <w:t>de la </w:t>
      </w:r>
      <w:r>
        <w:rPr>
          <w:color w:val="231F20"/>
          <w:spacing w:val="-3"/>
        </w:rPr>
        <w:t>planta </w:t>
      </w:r>
      <w:r>
        <w:rPr>
          <w:color w:val="231F20"/>
        </w:rPr>
        <w:t>de </w:t>
      </w:r>
      <w:r>
        <w:rPr>
          <w:color w:val="231F20"/>
          <w:spacing w:val="-3"/>
        </w:rPr>
        <w:t>2.35 </w:t>
      </w:r>
      <w:r>
        <w:rPr>
          <w:color w:val="231F20"/>
        </w:rPr>
        <w:t>a </w:t>
      </w:r>
      <w:r>
        <w:rPr>
          <w:color w:val="231F20"/>
          <w:spacing w:val="-3"/>
        </w:rPr>
        <w:t>2.43 </w:t>
      </w:r>
      <w:r>
        <w:rPr>
          <w:color w:val="231F20"/>
        </w:rPr>
        <w:t>m, y la </w:t>
      </w:r>
      <w:r>
        <w:rPr>
          <w:color w:val="231F20"/>
          <w:spacing w:val="-3"/>
        </w:rPr>
        <w:t>mazorca </w:t>
      </w:r>
      <w:r>
        <w:rPr>
          <w:color w:val="231F20"/>
        </w:rPr>
        <w:t>de</w:t>
      </w:r>
      <w:r>
        <w:rPr>
          <w:color w:val="231F20"/>
          <w:spacing w:val="-11"/>
        </w:rPr>
        <w:t> </w:t>
      </w:r>
      <w:r>
        <w:rPr>
          <w:color w:val="231F20"/>
          <w:spacing w:val="-3"/>
        </w:rPr>
        <w:t>1.25</w:t>
      </w:r>
      <w:r>
        <w:rPr>
          <w:color w:val="231F20"/>
          <w:spacing w:val="-11"/>
        </w:rPr>
        <w:t> </w:t>
      </w:r>
      <w:r>
        <w:rPr>
          <w:color w:val="231F20"/>
        </w:rPr>
        <w:t>a</w:t>
      </w:r>
      <w:r>
        <w:rPr>
          <w:color w:val="231F20"/>
          <w:spacing w:val="-11"/>
        </w:rPr>
        <w:t> </w:t>
      </w:r>
      <w:r>
        <w:rPr>
          <w:color w:val="231F20"/>
          <w:spacing w:val="-3"/>
        </w:rPr>
        <w:t>1.36</w:t>
      </w:r>
      <w:r>
        <w:rPr>
          <w:color w:val="231F20"/>
          <w:spacing w:val="-11"/>
        </w:rPr>
        <w:t> </w:t>
      </w:r>
      <w:r>
        <w:rPr>
          <w:color w:val="231F20"/>
        </w:rPr>
        <w:t>m,</w:t>
      </w:r>
      <w:r>
        <w:rPr>
          <w:color w:val="231F20"/>
          <w:spacing w:val="-11"/>
        </w:rPr>
        <w:t> </w:t>
      </w:r>
      <w:r>
        <w:rPr>
          <w:color w:val="231F20"/>
        </w:rPr>
        <w:t>con</w:t>
      </w:r>
      <w:r>
        <w:rPr>
          <w:color w:val="231F20"/>
          <w:spacing w:val="-11"/>
        </w:rPr>
        <w:t> </w:t>
      </w:r>
      <w:r>
        <w:rPr>
          <w:color w:val="231F20"/>
        </w:rPr>
        <w:t>17</w:t>
      </w:r>
      <w:r>
        <w:rPr>
          <w:color w:val="231F20"/>
          <w:spacing w:val="-11"/>
        </w:rPr>
        <w:t> </w:t>
      </w:r>
      <w:r>
        <w:rPr>
          <w:color w:val="231F20"/>
        </w:rPr>
        <w:t>cm</w:t>
      </w:r>
      <w:r>
        <w:rPr>
          <w:color w:val="231F20"/>
          <w:spacing w:val="-11"/>
        </w:rPr>
        <w:t> </w:t>
      </w:r>
      <w:r>
        <w:rPr>
          <w:color w:val="231F20"/>
        </w:rPr>
        <w:t>de</w:t>
      </w:r>
      <w:r>
        <w:rPr>
          <w:color w:val="231F20"/>
          <w:spacing w:val="-11"/>
        </w:rPr>
        <w:t> </w:t>
      </w:r>
      <w:r>
        <w:rPr>
          <w:color w:val="231F20"/>
          <w:spacing w:val="-3"/>
        </w:rPr>
        <w:t>longitud</w:t>
      </w:r>
      <w:r>
        <w:rPr>
          <w:color w:val="231F20"/>
          <w:spacing w:val="-11"/>
        </w:rPr>
        <w:t> </w:t>
      </w:r>
      <w:r>
        <w:rPr>
          <w:color w:val="231F20"/>
        </w:rPr>
        <w:t>y</w:t>
      </w:r>
      <w:r>
        <w:rPr>
          <w:color w:val="231F20"/>
          <w:spacing w:val="-11"/>
        </w:rPr>
        <w:t> </w:t>
      </w:r>
      <w:r>
        <w:rPr>
          <w:color w:val="231F20"/>
        </w:rPr>
        <w:t>16</w:t>
      </w:r>
      <w:r>
        <w:rPr>
          <w:color w:val="231F20"/>
          <w:spacing w:val="-11"/>
        </w:rPr>
        <w:t> </w:t>
      </w:r>
      <w:r>
        <w:rPr>
          <w:color w:val="231F20"/>
          <w:spacing w:val="-3"/>
        </w:rPr>
        <w:t>hileras,</w:t>
      </w:r>
      <w:r>
        <w:rPr>
          <w:color w:val="231F20"/>
          <w:spacing w:val="-11"/>
        </w:rPr>
        <w:t> </w:t>
      </w:r>
      <w:r>
        <w:rPr>
          <w:color w:val="231F20"/>
          <w:spacing w:val="-3"/>
        </w:rPr>
        <w:t>grano</w:t>
      </w:r>
      <w:r>
        <w:rPr>
          <w:color w:val="231F20"/>
          <w:spacing w:val="-11"/>
        </w:rPr>
        <w:t> </w:t>
      </w:r>
      <w:r>
        <w:rPr>
          <w:color w:val="231F20"/>
          <w:spacing w:val="-3"/>
        </w:rPr>
        <w:t>dentado</w:t>
      </w:r>
      <w:r>
        <w:rPr>
          <w:color w:val="231F20"/>
          <w:spacing w:val="-11"/>
        </w:rPr>
        <w:t> </w:t>
      </w:r>
      <w:r>
        <w:rPr>
          <w:color w:val="231F20"/>
        </w:rPr>
        <w:t>de</w:t>
      </w:r>
      <w:r>
        <w:rPr>
          <w:color w:val="231F20"/>
          <w:spacing w:val="-11"/>
        </w:rPr>
        <w:t> </w:t>
      </w:r>
      <w:r>
        <w:rPr>
          <w:color w:val="231F20"/>
          <w:spacing w:val="-3"/>
        </w:rPr>
        <w:t>color</w:t>
      </w:r>
      <w:r>
        <w:rPr>
          <w:color w:val="231F20"/>
          <w:spacing w:val="-11"/>
        </w:rPr>
        <w:t> </w:t>
      </w:r>
      <w:r>
        <w:rPr>
          <w:color w:val="231F20"/>
          <w:spacing w:val="-3"/>
        </w:rPr>
        <w:t>blanco;</w:t>
      </w:r>
      <w:r>
        <w:rPr>
          <w:color w:val="231F20"/>
          <w:spacing w:val="-11"/>
        </w:rPr>
        <w:t> </w:t>
      </w:r>
      <w:r>
        <w:rPr>
          <w:color w:val="231F20"/>
          <w:spacing w:val="-3"/>
        </w:rPr>
        <w:t>tiene</w:t>
      </w:r>
      <w:r>
        <w:rPr>
          <w:color w:val="231F20"/>
          <w:spacing w:val="-11"/>
        </w:rPr>
        <w:t> </w:t>
      </w:r>
      <w:r>
        <w:rPr>
          <w:color w:val="231F20"/>
          <w:spacing w:val="-3"/>
        </w:rPr>
        <w:t>160-165</w:t>
      </w:r>
      <w:r>
        <w:rPr>
          <w:color w:val="231F20"/>
          <w:spacing w:val="-11"/>
        </w:rPr>
        <w:t> </w:t>
      </w:r>
      <w:r>
        <w:rPr>
          <w:color w:val="231F20"/>
          <w:spacing w:val="-3"/>
        </w:rPr>
        <w:t>días </w:t>
      </w:r>
      <w:r>
        <w:rPr>
          <w:color w:val="231F20"/>
        </w:rPr>
        <w:t>a </w:t>
      </w:r>
      <w:r>
        <w:rPr>
          <w:color w:val="231F20"/>
          <w:spacing w:val="-3"/>
        </w:rPr>
        <w:t>madurez fisiológica; </w:t>
      </w:r>
      <w:r>
        <w:rPr>
          <w:color w:val="231F20"/>
        </w:rPr>
        <w:t>la </w:t>
      </w:r>
      <w:r>
        <w:rPr>
          <w:color w:val="231F20"/>
          <w:spacing w:val="-3"/>
        </w:rPr>
        <w:t>floración </w:t>
      </w:r>
      <w:r>
        <w:rPr>
          <w:color w:val="231F20"/>
        </w:rPr>
        <w:t>se </w:t>
      </w:r>
      <w:r>
        <w:rPr>
          <w:color w:val="231F20"/>
          <w:spacing w:val="-3"/>
        </w:rPr>
        <w:t>presenta </w:t>
      </w:r>
      <w:r>
        <w:rPr>
          <w:color w:val="231F20"/>
        </w:rPr>
        <w:t>a los 87 </w:t>
      </w:r>
      <w:r>
        <w:rPr>
          <w:color w:val="231F20"/>
          <w:spacing w:val="-3"/>
        </w:rPr>
        <w:t>días, </w:t>
      </w:r>
      <w:r>
        <w:rPr>
          <w:color w:val="231F20"/>
        </w:rPr>
        <w:t>en </w:t>
      </w:r>
      <w:r>
        <w:rPr>
          <w:color w:val="231F20"/>
          <w:spacing w:val="-3"/>
        </w:rPr>
        <w:t>altitudes </w:t>
      </w:r>
      <w:r>
        <w:rPr>
          <w:color w:val="231F20"/>
        </w:rPr>
        <w:t>de </w:t>
      </w:r>
      <w:r>
        <w:rPr>
          <w:color w:val="231F20"/>
          <w:spacing w:val="-3"/>
        </w:rPr>
        <w:t>2,240 </w:t>
      </w:r>
      <w:r>
        <w:rPr>
          <w:color w:val="231F20"/>
        </w:rPr>
        <w:t>m </w:t>
      </w:r>
      <w:r>
        <w:rPr>
          <w:color w:val="231F20"/>
          <w:spacing w:val="-8"/>
        </w:rPr>
        <w:t>(INIFAP, </w:t>
      </w:r>
      <w:r>
        <w:rPr>
          <w:color w:val="231F20"/>
          <w:spacing w:val="-5"/>
        </w:rPr>
        <w:t>2011). </w:t>
      </w:r>
      <w:r>
        <w:rPr>
          <w:color w:val="231F20"/>
        </w:rPr>
        <w:t>H-57:</w:t>
      </w:r>
      <w:r>
        <w:rPr>
          <w:color w:val="231F20"/>
          <w:spacing w:val="-7"/>
        </w:rPr>
        <w:t> </w:t>
      </w:r>
      <w:r>
        <w:rPr>
          <w:color w:val="231F20"/>
        </w:rPr>
        <w:t>Híbrido</w:t>
      </w:r>
      <w:r>
        <w:rPr>
          <w:color w:val="231F20"/>
          <w:spacing w:val="-7"/>
        </w:rPr>
        <w:t> </w:t>
      </w:r>
      <w:r>
        <w:rPr>
          <w:color w:val="231F20"/>
        </w:rPr>
        <w:t>trilineal</w:t>
      </w:r>
      <w:r>
        <w:rPr>
          <w:color w:val="231F20"/>
          <w:spacing w:val="-7"/>
        </w:rPr>
        <w:t> </w:t>
      </w:r>
      <w:r>
        <w:rPr>
          <w:color w:val="231F20"/>
        </w:rPr>
        <w:t>desarrollado</w:t>
      </w:r>
      <w:r>
        <w:rPr>
          <w:color w:val="231F20"/>
          <w:spacing w:val="-7"/>
        </w:rPr>
        <w:t> </w:t>
      </w:r>
      <w:r>
        <w:rPr>
          <w:color w:val="231F20"/>
        </w:rPr>
        <w:t>por</w:t>
      </w:r>
      <w:r>
        <w:rPr>
          <w:color w:val="231F20"/>
          <w:spacing w:val="-7"/>
        </w:rPr>
        <w:t> </w:t>
      </w:r>
      <w:r>
        <w:rPr>
          <w:color w:val="231F20"/>
        </w:rPr>
        <w:t>el</w:t>
      </w:r>
      <w:r>
        <w:rPr>
          <w:color w:val="231F20"/>
          <w:spacing w:val="-7"/>
        </w:rPr>
        <w:t> </w:t>
      </w:r>
      <w:r>
        <w:rPr>
          <w:color w:val="231F20"/>
          <w:spacing w:val="-6"/>
        </w:rPr>
        <w:t>INIFAP.</w:t>
      </w:r>
      <w:r>
        <w:rPr>
          <w:color w:val="231F20"/>
          <w:spacing w:val="-19"/>
        </w:rPr>
        <w:t> </w:t>
      </w:r>
      <w:r>
        <w:rPr>
          <w:color w:val="231F20"/>
        </w:rPr>
        <w:t>Altura</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planta</w:t>
      </w:r>
      <w:r>
        <w:rPr>
          <w:color w:val="231F20"/>
          <w:spacing w:val="-7"/>
        </w:rPr>
        <w:t> </w:t>
      </w:r>
      <w:r>
        <w:rPr>
          <w:color w:val="231F20"/>
        </w:rPr>
        <w:t>de</w:t>
      </w:r>
      <w:r>
        <w:rPr>
          <w:color w:val="231F20"/>
          <w:spacing w:val="-7"/>
        </w:rPr>
        <w:t> </w:t>
      </w:r>
      <w:r>
        <w:rPr>
          <w:color w:val="231F20"/>
        </w:rPr>
        <w:t>2.57</w:t>
      </w:r>
      <w:r>
        <w:rPr>
          <w:color w:val="231F20"/>
          <w:spacing w:val="-7"/>
        </w:rPr>
        <w:t> </w:t>
      </w:r>
      <w:r>
        <w:rPr>
          <w:color w:val="231F20"/>
        </w:rPr>
        <w:t>a</w:t>
      </w:r>
      <w:r>
        <w:rPr>
          <w:color w:val="231F20"/>
          <w:spacing w:val="-7"/>
        </w:rPr>
        <w:t> </w:t>
      </w:r>
      <w:r>
        <w:rPr>
          <w:color w:val="231F20"/>
        </w:rPr>
        <w:t>2.80</w:t>
      </w:r>
      <w:r>
        <w:rPr>
          <w:color w:val="231F20"/>
          <w:spacing w:val="-7"/>
        </w:rPr>
        <w:t> </w:t>
      </w:r>
      <w:r>
        <w:rPr>
          <w:color w:val="231F20"/>
        </w:rPr>
        <w:t>m,</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mazorca de 1.35 a 1.45 m, con 17.2 cm de longitud y 16 hileras, grano semidentado de color blanco; tiene 163-165 días a madurez fisiológica; la floración se presenta a los 88 días, en altitudes de 2,240 m </w:t>
      </w:r>
      <w:r>
        <w:rPr>
          <w:color w:val="231F20"/>
          <w:spacing w:val="-5"/>
        </w:rPr>
        <w:t>(INIFAP,</w:t>
      </w:r>
      <w:r>
        <w:rPr>
          <w:color w:val="231F20"/>
          <w:spacing w:val="-9"/>
        </w:rPr>
        <w:t> </w:t>
      </w:r>
      <w:r>
        <w:rPr>
          <w:color w:val="231F20"/>
        </w:rPr>
        <w:t>2011).</w:t>
      </w:r>
    </w:p>
    <w:p>
      <w:pPr>
        <w:pStyle w:val="BodyText"/>
        <w:spacing w:line="247" w:lineRule="auto" w:before="1"/>
        <w:ind w:left="1270" w:right="1267"/>
        <w:jc w:val="both"/>
      </w:pPr>
      <w:r>
        <w:rPr>
          <w:color w:val="231F20"/>
        </w:rPr>
        <w:t>Criollo azul regional. No existe una descripción precisa del criollo utilizado. El origen del mismo</w:t>
      </w:r>
      <w:r>
        <w:rPr>
          <w:color w:val="231F20"/>
          <w:spacing w:val="-29"/>
        </w:rPr>
        <w:t> </w:t>
      </w:r>
      <w:r>
        <w:rPr>
          <w:color w:val="231F20"/>
        </w:rPr>
        <w:t>es la</w:t>
      </w:r>
      <w:r>
        <w:rPr>
          <w:color w:val="231F20"/>
          <w:spacing w:val="-7"/>
        </w:rPr>
        <w:t> </w:t>
      </w:r>
      <w:r>
        <w:rPr>
          <w:color w:val="231F20"/>
        </w:rPr>
        <w:t>localidad</w:t>
      </w:r>
      <w:r>
        <w:rPr>
          <w:color w:val="231F20"/>
          <w:spacing w:val="-7"/>
        </w:rPr>
        <w:t> </w:t>
      </w:r>
      <w:r>
        <w:rPr>
          <w:color w:val="231F20"/>
        </w:rPr>
        <w:t>de</w:t>
      </w:r>
      <w:r>
        <w:rPr>
          <w:color w:val="231F20"/>
          <w:spacing w:val="-7"/>
        </w:rPr>
        <w:t> </w:t>
      </w:r>
      <w:r>
        <w:rPr>
          <w:color w:val="231F20"/>
        </w:rPr>
        <w:t>San</w:t>
      </w:r>
      <w:r>
        <w:rPr>
          <w:color w:val="231F20"/>
          <w:spacing w:val="-18"/>
        </w:rPr>
        <w:t> </w:t>
      </w:r>
      <w:r>
        <w:rPr>
          <w:color w:val="231F20"/>
        </w:rPr>
        <w:t>Andrés</w:t>
      </w:r>
      <w:r>
        <w:rPr>
          <w:color w:val="231F20"/>
          <w:spacing w:val="-10"/>
        </w:rPr>
        <w:t> </w:t>
      </w:r>
      <w:r>
        <w:rPr>
          <w:color w:val="231F20"/>
        </w:rPr>
        <w:t>Tocuila,</w:t>
      </w:r>
      <w:r>
        <w:rPr>
          <w:color w:val="231F20"/>
          <w:spacing w:val="-10"/>
        </w:rPr>
        <w:t> </w:t>
      </w:r>
      <w:r>
        <w:rPr>
          <w:color w:val="231F20"/>
        </w:rPr>
        <w:t>Texcoco,</w:t>
      </w:r>
      <w:r>
        <w:rPr>
          <w:color w:val="231F20"/>
          <w:spacing w:val="-7"/>
        </w:rPr>
        <w:t> </w:t>
      </w:r>
      <w:r>
        <w:rPr>
          <w:color w:val="231F20"/>
        </w:rPr>
        <w:t>Estado</w:t>
      </w:r>
      <w:r>
        <w:rPr>
          <w:color w:val="231F20"/>
          <w:spacing w:val="-7"/>
        </w:rPr>
        <w:t> </w:t>
      </w:r>
      <w:r>
        <w:rPr>
          <w:color w:val="231F20"/>
        </w:rPr>
        <w:t>de</w:t>
      </w:r>
      <w:r>
        <w:rPr>
          <w:color w:val="231F20"/>
          <w:spacing w:val="-7"/>
        </w:rPr>
        <w:t> </w:t>
      </w:r>
      <w:r>
        <w:rPr>
          <w:color w:val="231F20"/>
        </w:rPr>
        <w:t>México.</w:t>
      </w:r>
      <w:r>
        <w:rPr>
          <w:color w:val="231F20"/>
          <w:spacing w:val="-7"/>
        </w:rPr>
        <w:t> </w:t>
      </w:r>
      <w:r>
        <w:rPr>
          <w:color w:val="231F20"/>
        </w:rPr>
        <w:t>Puede</w:t>
      </w:r>
      <w:r>
        <w:rPr>
          <w:color w:val="231F20"/>
          <w:spacing w:val="-7"/>
        </w:rPr>
        <w:t> </w:t>
      </w:r>
      <w:r>
        <w:rPr>
          <w:color w:val="231F20"/>
        </w:rPr>
        <w:t>alcanzar</w:t>
      </w:r>
      <w:r>
        <w:rPr>
          <w:color w:val="231F20"/>
          <w:spacing w:val="-7"/>
        </w:rPr>
        <w:t> </w:t>
      </w:r>
      <w:r>
        <w:rPr>
          <w:color w:val="231F20"/>
        </w:rPr>
        <w:t>una</w:t>
      </w:r>
      <w:r>
        <w:rPr>
          <w:color w:val="231F20"/>
          <w:spacing w:val="-7"/>
        </w:rPr>
        <w:t> </w:t>
      </w:r>
      <w:r>
        <w:rPr>
          <w:color w:val="231F20"/>
        </w:rPr>
        <w:t>altura</w:t>
      </w:r>
      <w:r>
        <w:rPr>
          <w:color w:val="231F20"/>
          <w:spacing w:val="-7"/>
        </w:rPr>
        <w:t> </w:t>
      </w:r>
      <w:r>
        <w:rPr>
          <w:color w:val="231F20"/>
        </w:rPr>
        <w:t>de</w:t>
      </w:r>
      <w:r>
        <w:rPr>
          <w:color w:val="231F20"/>
          <w:spacing w:val="-7"/>
        </w:rPr>
        <w:t> </w:t>
      </w:r>
      <w:r>
        <w:rPr>
          <w:color w:val="231F20"/>
        </w:rPr>
        <w:t>planta de hasta 3.20 m y de mazorca de 1.80 m.</w:t>
      </w:r>
    </w:p>
    <w:p>
      <w:pPr>
        <w:pStyle w:val="BodyText"/>
        <w:spacing w:before="10"/>
      </w:pPr>
    </w:p>
    <w:p>
      <w:pPr>
        <w:pStyle w:val="BodyText"/>
        <w:spacing w:line="247" w:lineRule="auto"/>
        <w:ind w:left="1270" w:right="1267"/>
        <w:jc w:val="both"/>
      </w:pPr>
      <w:r>
        <w:rPr>
          <w:i/>
          <w:color w:val="231F20"/>
        </w:rPr>
        <w:t>Diseño experimental</w:t>
      </w:r>
      <w:r>
        <w:rPr>
          <w:color w:val="231F20"/>
        </w:rPr>
        <w:t>. Se utilizó un diseño de bloques completos al azar con cuatro repeticiones, donde los tratamientos consistieron en la siembra de tres surcos de 5m de largo por 0.8 m de ancho para cada uno de los cinco genotipos mencionados. Se consideró como parcela útil el surco central.</w:t>
      </w:r>
    </w:p>
    <w:p>
      <w:pPr>
        <w:pStyle w:val="BodyText"/>
        <w:spacing w:before="10"/>
      </w:pPr>
    </w:p>
    <w:p>
      <w:pPr>
        <w:pStyle w:val="BodyText"/>
        <w:spacing w:line="247" w:lineRule="auto"/>
        <w:ind w:left="1270" w:right="1267"/>
        <w:jc w:val="both"/>
      </w:pPr>
      <w:r>
        <w:rPr>
          <w:i/>
          <w:color w:val="231F20"/>
        </w:rPr>
        <w:t>Conducción</w:t>
      </w:r>
      <w:r>
        <w:rPr>
          <w:i/>
          <w:color w:val="231F20"/>
          <w:spacing w:val="-8"/>
        </w:rPr>
        <w:t> </w:t>
      </w:r>
      <w:r>
        <w:rPr>
          <w:i/>
          <w:color w:val="231F20"/>
        </w:rPr>
        <w:t>del</w:t>
      </w:r>
      <w:r>
        <w:rPr>
          <w:i/>
          <w:color w:val="231F20"/>
          <w:spacing w:val="-8"/>
        </w:rPr>
        <w:t> </w:t>
      </w:r>
      <w:r>
        <w:rPr>
          <w:i/>
          <w:color w:val="231F20"/>
        </w:rPr>
        <w:t>experimento</w:t>
      </w:r>
      <w:r>
        <w:rPr>
          <w:color w:val="231F20"/>
        </w:rPr>
        <w:t>.</w:t>
      </w:r>
      <w:r>
        <w:rPr>
          <w:color w:val="231F20"/>
          <w:spacing w:val="-8"/>
        </w:rPr>
        <w:t> </w:t>
      </w:r>
      <w:r>
        <w:rPr>
          <w:color w:val="231F20"/>
        </w:rPr>
        <w:t>La</w:t>
      </w:r>
      <w:r>
        <w:rPr>
          <w:color w:val="231F20"/>
          <w:spacing w:val="-8"/>
        </w:rPr>
        <w:t> </w:t>
      </w:r>
      <w:r>
        <w:rPr>
          <w:color w:val="231F20"/>
        </w:rPr>
        <w:t>preparación</w:t>
      </w:r>
      <w:r>
        <w:rPr>
          <w:color w:val="231F20"/>
          <w:spacing w:val="-8"/>
        </w:rPr>
        <w:t> </w:t>
      </w:r>
      <w:r>
        <w:rPr>
          <w:color w:val="231F20"/>
        </w:rPr>
        <w:t>del</w:t>
      </w:r>
      <w:r>
        <w:rPr>
          <w:color w:val="231F20"/>
          <w:spacing w:val="-8"/>
        </w:rPr>
        <w:t> </w:t>
      </w:r>
      <w:r>
        <w:rPr>
          <w:color w:val="231F20"/>
        </w:rPr>
        <w:t>terreno</w:t>
      </w:r>
      <w:r>
        <w:rPr>
          <w:color w:val="231F20"/>
          <w:spacing w:val="-9"/>
        </w:rPr>
        <w:t> </w:t>
      </w:r>
      <w:r>
        <w:rPr>
          <w:color w:val="231F20"/>
        </w:rPr>
        <w:t>se</w:t>
      </w:r>
      <w:r>
        <w:rPr>
          <w:color w:val="231F20"/>
          <w:spacing w:val="-8"/>
        </w:rPr>
        <w:t> </w:t>
      </w:r>
      <w:r>
        <w:rPr>
          <w:color w:val="231F20"/>
        </w:rPr>
        <w:t>realizó</w:t>
      </w:r>
      <w:r>
        <w:rPr>
          <w:color w:val="231F20"/>
          <w:spacing w:val="-8"/>
        </w:rPr>
        <w:t> </w:t>
      </w:r>
      <w:r>
        <w:rPr>
          <w:color w:val="231F20"/>
        </w:rPr>
        <w:t>de</w:t>
      </w:r>
      <w:r>
        <w:rPr>
          <w:color w:val="231F20"/>
          <w:spacing w:val="-8"/>
        </w:rPr>
        <w:t> </w:t>
      </w:r>
      <w:r>
        <w:rPr>
          <w:color w:val="231F20"/>
        </w:rPr>
        <w:t>manera</w:t>
      </w:r>
      <w:r>
        <w:rPr>
          <w:color w:val="231F20"/>
          <w:spacing w:val="-9"/>
        </w:rPr>
        <w:t> </w:t>
      </w:r>
      <w:r>
        <w:rPr>
          <w:color w:val="231F20"/>
        </w:rPr>
        <w:t>mecanizada</w:t>
      </w:r>
      <w:r>
        <w:rPr>
          <w:color w:val="231F20"/>
          <w:spacing w:val="-9"/>
        </w:rPr>
        <w:t> </w:t>
      </w:r>
      <w:r>
        <w:rPr>
          <w:color w:val="231F20"/>
        </w:rPr>
        <w:t>consisten- te en aradura, rastreo y surcado. La siembra de los genotipos de maíz se efectuó de manera manual el 8 de mayo de 2012, colocando dos semillas por golpe cada 0.30 m. Para el manejo de maleza se aplicaron deshierbes manuales desde el inicio del</w:t>
      </w:r>
      <w:r>
        <w:rPr>
          <w:color w:val="231F20"/>
          <w:spacing w:val="-3"/>
        </w:rPr>
        <w:t> </w:t>
      </w:r>
      <w:r>
        <w:rPr>
          <w:color w:val="231F20"/>
        </w:rPr>
        <w:t>ciclo.</w:t>
      </w:r>
    </w:p>
    <w:p>
      <w:pPr>
        <w:pStyle w:val="BodyText"/>
        <w:spacing w:before="10"/>
      </w:pPr>
    </w:p>
    <w:p>
      <w:pPr>
        <w:pStyle w:val="BodyText"/>
        <w:ind w:left="1270"/>
        <w:jc w:val="both"/>
      </w:pPr>
      <w:r>
        <w:rPr>
          <w:i/>
          <w:color w:val="231F20"/>
        </w:rPr>
        <w:t>Variables evaluadas</w:t>
      </w:r>
      <w:r>
        <w:rPr>
          <w:color w:val="231F20"/>
        </w:rPr>
        <w:t>. Morfológicas: altura de la planta y ángulo de inserción de las hojas en el  tallo</w:t>
      </w:r>
    </w:p>
    <w:p>
      <w:pPr>
        <w:pStyle w:val="BodyText"/>
        <w:spacing w:before="8"/>
        <w:ind w:left="1270"/>
        <w:jc w:val="both"/>
      </w:pPr>
      <w:r>
        <w:rPr>
          <w:color w:val="231F20"/>
        </w:rPr>
        <w:t>los 60 días después de la siembra (dds).</w:t>
      </w:r>
    </w:p>
    <w:p>
      <w:pPr>
        <w:pStyle w:val="BodyText"/>
        <w:spacing w:before="1"/>
        <w:rPr>
          <w:sz w:val="22"/>
        </w:rPr>
      </w:pPr>
    </w:p>
    <w:p>
      <w:pPr>
        <w:spacing w:line="249" w:lineRule="auto" w:before="0"/>
        <w:ind w:left="2639" w:right="2637" w:firstLine="0"/>
        <w:jc w:val="center"/>
        <w:rPr>
          <w:b/>
          <w:sz w:val="18"/>
        </w:rPr>
      </w:pPr>
      <w:r>
        <w:rPr>
          <w:b/>
          <w:color w:val="010202"/>
          <w:sz w:val="18"/>
        </w:rPr>
        <w:t>Figura 1. Ángulo de inserción foliar del criollo azul a los 60 dds, medido con un transportador de madera de 40 cm de largo</w:t>
      </w:r>
    </w:p>
    <w:p>
      <w:pPr>
        <w:pStyle w:val="BodyText"/>
        <w:spacing w:before="1"/>
        <w:rPr>
          <w:b/>
          <w:sz w:val="15"/>
        </w:rPr>
      </w:pPr>
      <w:r>
        <w:rPr/>
        <w:drawing>
          <wp:anchor distT="0" distB="0" distL="0" distR="0" allowOverlap="1" layoutInCell="1" locked="0" behindDoc="0" simplePos="0" relativeHeight="2728">
            <wp:simplePos x="0" y="0"/>
            <wp:positionH relativeFrom="page">
              <wp:posOffset>2957702</wp:posOffset>
            </wp:positionH>
            <wp:positionV relativeFrom="paragraph">
              <wp:posOffset>135314</wp:posOffset>
            </wp:positionV>
            <wp:extent cx="999951" cy="1347787"/>
            <wp:effectExtent l="0" t="0" r="0" b="0"/>
            <wp:wrapTopAndBottom/>
            <wp:docPr id="71" name="image15.jpeg" descr=""/>
            <wp:cNvGraphicFramePr>
              <a:graphicFrameLocks noChangeAspect="1"/>
            </wp:cNvGraphicFramePr>
            <a:graphic>
              <a:graphicData uri="http://schemas.openxmlformats.org/drawingml/2006/picture">
                <pic:pic>
                  <pic:nvPicPr>
                    <pic:cNvPr id="72" name="image15.jpeg"/>
                    <pic:cNvPicPr/>
                  </pic:nvPicPr>
                  <pic:blipFill>
                    <a:blip r:embed="rId31" cstate="print"/>
                    <a:stretch>
                      <a:fillRect/>
                    </a:stretch>
                  </pic:blipFill>
                  <pic:spPr>
                    <a:xfrm>
                      <a:off x="0" y="0"/>
                      <a:ext cx="999951" cy="1347787"/>
                    </a:xfrm>
                    <a:prstGeom prst="rect">
                      <a:avLst/>
                    </a:prstGeom>
                  </pic:spPr>
                </pic:pic>
              </a:graphicData>
            </a:graphic>
          </wp:anchor>
        </w:drawing>
      </w:r>
    </w:p>
    <w:p>
      <w:pPr>
        <w:spacing w:after="0"/>
        <w:rPr>
          <w:sz w:val="15"/>
        </w:rPr>
        <w:sectPr>
          <w:pgSz w:w="10920" w:h="13080"/>
          <w:pgMar w:header="0" w:footer="1025" w:top="420" w:bottom="1220" w:left="0" w:right="0"/>
        </w:sectPr>
      </w:pPr>
    </w:p>
    <w:p>
      <w:pPr>
        <w:pStyle w:val="BodyText"/>
        <w:rPr>
          <w:b/>
          <w:sz w:val="20"/>
        </w:rPr>
      </w:pPr>
    </w:p>
    <w:p>
      <w:pPr>
        <w:pStyle w:val="BodyText"/>
        <w:rPr>
          <w:b/>
          <w:sz w:val="20"/>
        </w:rPr>
      </w:pPr>
    </w:p>
    <w:p>
      <w:pPr>
        <w:pStyle w:val="BodyText"/>
        <w:rPr>
          <w:b/>
          <w:sz w:val="23"/>
        </w:rPr>
      </w:pPr>
    </w:p>
    <w:p>
      <w:pPr>
        <w:pStyle w:val="BodyText"/>
        <w:spacing w:line="247" w:lineRule="auto" w:before="73"/>
        <w:ind w:left="1270" w:right="1267"/>
        <w:jc w:val="both"/>
      </w:pPr>
      <w:r>
        <w:rPr>
          <w:color w:val="231F20"/>
        </w:rPr>
        <w:t>El ángulo de inserción foliar (Figura 1) se midió por medio de un transportador de madera de 40</w:t>
      </w:r>
      <w:r>
        <w:rPr>
          <w:color w:val="231F20"/>
          <w:spacing w:val="-34"/>
        </w:rPr>
        <w:t> </w:t>
      </w:r>
      <w:r>
        <w:rPr>
          <w:color w:val="231F20"/>
        </w:rPr>
        <w:t>cm de</w:t>
      </w:r>
      <w:r>
        <w:rPr>
          <w:color w:val="231F20"/>
          <w:spacing w:val="-5"/>
        </w:rPr>
        <w:t> </w:t>
      </w:r>
      <w:r>
        <w:rPr>
          <w:color w:val="231F20"/>
        </w:rPr>
        <w:t>longitud</w:t>
      </w:r>
      <w:r>
        <w:rPr>
          <w:color w:val="231F20"/>
          <w:spacing w:val="-5"/>
        </w:rPr>
        <w:t> </w:t>
      </w:r>
      <w:r>
        <w:rPr>
          <w:color w:val="231F20"/>
        </w:rPr>
        <w:t>colocando</w:t>
      </w:r>
      <w:r>
        <w:rPr>
          <w:color w:val="231F20"/>
          <w:spacing w:val="-5"/>
        </w:rPr>
        <w:t> </w:t>
      </w:r>
      <w:r>
        <w:rPr>
          <w:color w:val="231F20"/>
        </w:rPr>
        <w:t>el</w:t>
      </w:r>
      <w:r>
        <w:rPr>
          <w:color w:val="231F20"/>
          <w:spacing w:val="-5"/>
        </w:rPr>
        <w:t> </w:t>
      </w:r>
      <w:r>
        <w:rPr>
          <w:color w:val="231F20"/>
        </w:rPr>
        <w:t>vértice</w:t>
      </w:r>
      <w:r>
        <w:rPr>
          <w:color w:val="231F20"/>
          <w:spacing w:val="-5"/>
        </w:rPr>
        <w:t> </w:t>
      </w:r>
      <w:r>
        <w:rPr>
          <w:color w:val="231F20"/>
        </w:rPr>
        <w:t>de</w:t>
      </w:r>
      <w:r>
        <w:rPr>
          <w:color w:val="231F20"/>
          <w:spacing w:val="-5"/>
        </w:rPr>
        <w:t> </w:t>
      </w:r>
      <w:r>
        <w:rPr>
          <w:color w:val="231F20"/>
        </w:rPr>
        <w:t>este</w:t>
      </w:r>
      <w:r>
        <w:rPr>
          <w:color w:val="231F20"/>
          <w:spacing w:val="-5"/>
        </w:rPr>
        <w:t> </w:t>
      </w:r>
      <w:r>
        <w:rPr>
          <w:color w:val="231F20"/>
        </w:rPr>
        <w:t>instrumento</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punto</w:t>
      </w:r>
      <w:r>
        <w:rPr>
          <w:color w:val="231F20"/>
          <w:spacing w:val="-5"/>
        </w:rPr>
        <w:t> </w:t>
      </w:r>
      <w:r>
        <w:rPr>
          <w:color w:val="231F20"/>
        </w:rPr>
        <w:t>de</w:t>
      </w:r>
      <w:r>
        <w:rPr>
          <w:color w:val="231F20"/>
          <w:spacing w:val="-5"/>
        </w:rPr>
        <w:t> </w:t>
      </w:r>
      <w:r>
        <w:rPr>
          <w:color w:val="231F20"/>
        </w:rPr>
        <w:t>inserción</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hoja</w:t>
      </w:r>
      <w:r>
        <w:rPr>
          <w:color w:val="231F20"/>
          <w:spacing w:val="-5"/>
        </w:rPr>
        <w:t> </w:t>
      </w:r>
      <w:r>
        <w:rPr>
          <w:color w:val="231F20"/>
        </w:rPr>
        <w:t>y</w:t>
      </w:r>
      <w:r>
        <w:rPr>
          <w:color w:val="231F20"/>
          <w:spacing w:val="-5"/>
        </w:rPr>
        <w:t> </w:t>
      </w:r>
      <w:r>
        <w:rPr>
          <w:color w:val="231F20"/>
        </w:rPr>
        <w:t>tomando</w:t>
      </w:r>
      <w:r>
        <w:rPr>
          <w:color w:val="231F20"/>
          <w:spacing w:val="-5"/>
        </w:rPr>
        <w:t> </w:t>
      </w:r>
      <w:r>
        <w:rPr>
          <w:color w:val="231F20"/>
        </w:rPr>
        <w:t>la lectura del ángulo que forma con la nervadura central de la hoja (SNICS, 2009).</w:t>
      </w:r>
    </w:p>
    <w:p>
      <w:pPr>
        <w:pStyle w:val="BodyText"/>
        <w:spacing w:before="10"/>
      </w:pPr>
    </w:p>
    <w:p>
      <w:pPr>
        <w:pStyle w:val="BodyText"/>
        <w:spacing w:line="247" w:lineRule="auto"/>
        <w:ind w:left="1270" w:right="1268"/>
        <w:jc w:val="both"/>
      </w:pPr>
      <w:r>
        <w:rPr>
          <w:color w:val="231F20"/>
        </w:rPr>
        <w:t>Fisiológicas: área foliar (AF) y biomasa total por planta (materia seca, MS) a 30 y 60 dds. A las variables</w:t>
      </w:r>
      <w:r>
        <w:rPr>
          <w:color w:val="231F20"/>
          <w:spacing w:val="-4"/>
        </w:rPr>
        <w:t> </w:t>
      </w:r>
      <w:r>
        <w:rPr>
          <w:color w:val="231F20"/>
        </w:rPr>
        <w:t>en</w:t>
      </w:r>
      <w:r>
        <w:rPr>
          <w:color w:val="231F20"/>
          <w:spacing w:val="-4"/>
        </w:rPr>
        <w:t> </w:t>
      </w:r>
      <w:r>
        <w:rPr>
          <w:color w:val="231F20"/>
        </w:rPr>
        <w:t>estudio,</w:t>
      </w:r>
      <w:r>
        <w:rPr>
          <w:color w:val="231F20"/>
          <w:spacing w:val="-4"/>
        </w:rPr>
        <w:t> </w:t>
      </w:r>
      <w:r>
        <w:rPr>
          <w:color w:val="231F20"/>
        </w:rPr>
        <w:t>se</w:t>
      </w:r>
      <w:r>
        <w:rPr>
          <w:color w:val="231F20"/>
          <w:spacing w:val="-4"/>
        </w:rPr>
        <w:t> </w:t>
      </w:r>
      <w:r>
        <w:rPr>
          <w:color w:val="231F20"/>
        </w:rPr>
        <w:t>aplicó</w:t>
      </w:r>
      <w:r>
        <w:rPr>
          <w:color w:val="231F20"/>
          <w:spacing w:val="-4"/>
        </w:rPr>
        <w:t> </w:t>
      </w:r>
      <w:r>
        <w:rPr>
          <w:color w:val="231F20"/>
        </w:rPr>
        <w:t>un</w:t>
      </w:r>
      <w:r>
        <w:rPr>
          <w:color w:val="231F20"/>
          <w:spacing w:val="-4"/>
        </w:rPr>
        <w:t> </w:t>
      </w:r>
      <w:r>
        <w:rPr>
          <w:color w:val="231F20"/>
        </w:rPr>
        <w:t>análisis</w:t>
      </w:r>
      <w:r>
        <w:rPr>
          <w:color w:val="231F20"/>
          <w:spacing w:val="-4"/>
        </w:rPr>
        <w:t> </w:t>
      </w:r>
      <w:r>
        <w:rPr>
          <w:color w:val="231F20"/>
        </w:rPr>
        <w:t>de</w:t>
      </w:r>
      <w:r>
        <w:rPr>
          <w:color w:val="231F20"/>
          <w:spacing w:val="-4"/>
        </w:rPr>
        <w:t> </w:t>
      </w:r>
      <w:r>
        <w:rPr>
          <w:color w:val="231F20"/>
        </w:rPr>
        <w:t>varianza</w:t>
      </w:r>
      <w:r>
        <w:rPr>
          <w:color w:val="231F20"/>
          <w:spacing w:val="-4"/>
        </w:rPr>
        <w:t> (ANDEVA) </w:t>
      </w:r>
      <w:r>
        <w:rPr>
          <w:color w:val="231F20"/>
        </w:rPr>
        <w:t>mediante</w:t>
      </w:r>
      <w:r>
        <w:rPr>
          <w:color w:val="231F20"/>
          <w:spacing w:val="-4"/>
        </w:rPr>
        <w:t> </w:t>
      </w:r>
      <w:r>
        <w:rPr>
          <w:color w:val="231F20"/>
        </w:rPr>
        <w:t>el</w:t>
      </w:r>
      <w:r>
        <w:rPr>
          <w:color w:val="231F20"/>
          <w:spacing w:val="-4"/>
        </w:rPr>
        <w:t> </w:t>
      </w:r>
      <w:r>
        <w:rPr>
          <w:color w:val="231F20"/>
        </w:rPr>
        <w:t>programa</w:t>
      </w:r>
      <w:r>
        <w:rPr>
          <w:color w:val="231F20"/>
          <w:spacing w:val="-4"/>
        </w:rPr>
        <w:t> </w:t>
      </w:r>
      <w:r>
        <w:rPr>
          <w:color w:val="231F20"/>
        </w:rPr>
        <w:t>SAS</w:t>
      </w:r>
      <w:r>
        <w:rPr>
          <w:color w:val="231F20"/>
          <w:spacing w:val="-4"/>
        </w:rPr>
        <w:t> </w:t>
      </w:r>
      <w:r>
        <w:rPr>
          <w:color w:val="231F20"/>
        </w:rPr>
        <w:t>y</w:t>
      </w:r>
      <w:r>
        <w:rPr>
          <w:color w:val="231F20"/>
          <w:spacing w:val="-4"/>
        </w:rPr>
        <w:t> </w:t>
      </w:r>
      <w:r>
        <w:rPr>
          <w:color w:val="231F20"/>
        </w:rPr>
        <w:t>a</w:t>
      </w:r>
      <w:r>
        <w:rPr>
          <w:color w:val="231F20"/>
          <w:spacing w:val="-4"/>
        </w:rPr>
        <w:t> </w:t>
      </w:r>
      <w:r>
        <w:rPr>
          <w:color w:val="231F20"/>
        </w:rPr>
        <w:t>las que resultaron con diferencias estadísticamente significativas, la prueba de comparación de medias de Tukey</w:t>
      </w:r>
      <w:r>
        <w:rPr>
          <w:color w:val="231F20"/>
          <w:spacing w:val="-12"/>
        </w:rPr>
        <w:t> </w:t>
      </w:r>
      <w:r>
        <w:rPr>
          <w:color w:val="231F20"/>
        </w:rPr>
        <w:t>(α=0.05).</w:t>
      </w:r>
    </w:p>
    <w:p>
      <w:pPr>
        <w:pStyle w:val="BodyText"/>
        <w:spacing w:before="9"/>
        <w:rPr>
          <w:sz w:val="22"/>
        </w:rPr>
      </w:pPr>
    </w:p>
    <w:p>
      <w:pPr>
        <w:pStyle w:val="Heading3"/>
      </w:pPr>
      <w:r>
        <w:rPr>
          <w:color w:val="010202"/>
        </w:rPr>
        <w:t>Análisis y discusión de resultados</w:t>
      </w:r>
    </w:p>
    <w:p>
      <w:pPr>
        <w:pStyle w:val="BodyText"/>
        <w:spacing w:before="10"/>
        <w:rPr>
          <w:b/>
        </w:rPr>
      </w:pPr>
    </w:p>
    <w:p>
      <w:pPr>
        <w:pStyle w:val="BodyText"/>
        <w:ind w:left="1270"/>
        <w:jc w:val="both"/>
      </w:pPr>
      <w:r>
        <w:rPr>
          <w:color w:val="231F20"/>
        </w:rPr>
        <w:t>Para las variables evaluadas, el ANDEVA mostró cambios altamente significativos entre genotipos.</w:t>
      </w:r>
    </w:p>
    <w:p>
      <w:pPr>
        <w:pStyle w:val="BodyText"/>
        <w:spacing w:before="5"/>
        <w:rPr>
          <w:sz w:val="22"/>
        </w:rPr>
      </w:pPr>
    </w:p>
    <w:p>
      <w:pPr>
        <w:pStyle w:val="Heading5"/>
      </w:pPr>
      <w:r>
        <w:rPr>
          <w:color w:val="231F20"/>
        </w:rPr>
        <w:t>Altura de la planta</w:t>
      </w:r>
    </w:p>
    <w:p>
      <w:pPr>
        <w:pStyle w:val="BodyText"/>
        <w:spacing w:line="247" w:lineRule="auto" w:before="8"/>
        <w:ind w:left="1270" w:right="1267"/>
        <w:jc w:val="both"/>
      </w:pPr>
      <w:r>
        <w:rPr>
          <w:color w:val="231F20"/>
        </w:rPr>
        <w:t>En</w:t>
      </w:r>
      <w:r>
        <w:rPr>
          <w:color w:val="231F20"/>
          <w:spacing w:val="-8"/>
        </w:rPr>
        <w:t> </w:t>
      </w:r>
      <w:r>
        <w:rPr>
          <w:color w:val="231F20"/>
        </w:rPr>
        <w:t>la</w:t>
      </w:r>
      <w:r>
        <w:rPr>
          <w:color w:val="231F20"/>
          <w:spacing w:val="-8"/>
        </w:rPr>
        <w:t> </w:t>
      </w:r>
      <w:r>
        <w:rPr>
          <w:color w:val="231F20"/>
        </w:rPr>
        <w:t>figura</w:t>
      </w:r>
      <w:r>
        <w:rPr>
          <w:color w:val="231F20"/>
          <w:spacing w:val="-8"/>
        </w:rPr>
        <w:t> </w:t>
      </w:r>
      <w:r>
        <w:rPr>
          <w:color w:val="231F20"/>
        </w:rPr>
        <w:t>2</w:t>
      </w:r>
      <w:r>
        <w:rPr>
          <w:color w:val="231F20"/>
          <w:spacing w:val="-8"/>
        </w:rPr>
        <w:t> </w:t>
      </w:r>
      <w:r>
        <w:rPr>
          <w:color w:val="231F20"/>
        </w:rPr>
        <w:t>se</w:t>
      </w:r>
      <w:r>
        <w:rPr>
          <w:color w:val="231F20"/>
          <w:spacing w:val="-8"/>
        </w:rPr>
        <w:t> </w:t>
      </w:r>
      <w:r>
        <w:rPr>
          <w:color w:val="231F20"/>
        </w:rPr>
        <w:t>observa</w:t>
      </w:r>
      <w:r>
        <w:rPr>
          <w:color w:val="231F20"/>
          <w:spacing w:val="-8"/>
        </w:rPr>
        <w:t> </w:t>
      </w:r>
      <w:r>
        <w:rPr>
          <w:color w:val="231F20"/>
        </w:rPr>
        <w:t>que</w:t>
      </w:r>
      <w:r>
        <w:rPr>
          <w:color w:val="231F20"/>
          <w:spacing w:val="-8"/>
        </w:rPr>
        <w:t> </w:t>
      </w:r>
      <w:r>
        <w:rPr>
          <w:color w:val="231F20"/>
        </w:rPr>
        <w:t>la</w:t>
      </w:r>
      <w:r>
        <w:rPr>
          <w:color w:val="231F20"/>
          <w:spacing w:val="-8"/>
        </w:rPr>
        <w:t> </w:t>
      </w:r>
      <w:r>
        <w:rPr>
          <w:color w:val="231F20"/>
        </w:rPr>
        <w:t>altura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planta</w:t>
      </w:r>
      <w:r>
        <w:rPr>
          <w:color w:val="231F20"/>
          <w:spacing w:val="-8"/>
        </w:rPr>
        <w:t> </w:t>
      </w:r>
      <w:r>
        <w:rPr>
          <w:color w:val="231F20"/>
        </w:rPr>
        <w:t>osciló</w:t>
      </w:r>
      <w:r>
        <w:rPr>
          <w:color w:val="231F20"/>
          <w:spacing w:val="-8"/>
        </w:rPr>
        <w:t> </w:t>
      </w:r>
      <w:r>
        <w:rPr>
          <w:color w:val="231F20"/>
        </w:rPr>
        <w:t>entre</w:t>
      </w:r>
      <w:r>
        <w:rPr>
          <w:color w:val="231F20"/>
          <w:spacing w:val="-8"/>
        </w:rPr>
        <w:t> </w:t>
      </w:r>
      <w:r>
        <w:rPr>
          <w:color w:val="231F20"/>
        </w:rPr>
        <w:t>1.76</w:t>
      </w:r>
      <w:r>
        <w:rPr>
          <w:color w:val="231F20"/>
          <w:spacing w:val="-8"/>
        </w:rPr>
        <w:t> </w:t>
      </w:r>
      <w:r>
        <w:rPr>
          <w:color w:val="231F20"/>
        </w:rPr>
        <w:t>y</w:t>
      </w:r>
      <w:r>
        <w:rPr>
          <w:color w:val="231F20"/>
          <w:spacing w:val="-8"/>
        </w:rPr>
        <w:t> </w:t>
      </w:r>
      <w:r>
        <w:rPr>
          <w:color w:val="231F20"/>
        </w:rPr>
        <w:t>2.43</w:t>
      </w:r>
      <w:r>
        <w:rPr>
          <w:color w:val="231F20"/>
          <w:spacing w:val="-8"/>
        </w:rPr>
        <w:t> </w:t>
      </w:r>
      <w:r>
        <w:rPr>
          <w:color w:val="231F20"/>
        </w:rPr>
        <w:t>m</w:t>
      </w:r>
      <w:r>
        <w:rPr>
          <w:color w:val="231F20"/>
          <w:spacing w:val="-8"/>
        </w:rPr>
        <w:t> </w:t>
      </w:r>
      <w:r>
        <w:rPr>
          <w:color w:val="231F20"/>
        </w:rPr>
        <w:t>correspondiendo</w:t>
      </w:r>
      <w:r>
        <w:rPr>
          <w:color w:val="231F20"/>
          <w:spacing w:val="-8"/>
        </w:rPr>
        <w:t> </w:t>
      </w:r>
      <w:r>
        <w:rPr>
          <w:color w:val="231F20"/>
        </w:rPr>
        <w:t>a</w:t>
      </w:r>
      <w:r>
        <w:rPr>
          <w:color w:val="231F20"/>
          <w:spacing w:val="-8"/>
        </w:rPr>
        <w:t> </w:t>
      </w:r>
      <w:r>
        <w:rPr>
          <w:color w:val="231F20"/>
        </w:rPr>
        <w:t>H-53 y H-57, respectivamente. La altura del criollo azul resultó estadísticamente igual a H-57, lo cual coincide con Reyes (1990) que menciona que algunos genotipos criollos pueden alcanzar una altura de hasta 8 m y que este desarrollo puede notarse desde la etapa vegetativa.</w:t>
      </w:r>
    </w:p>
    <w:p>
      <w:pPr>
        <w:pStyle w:val="BodyText"/>
        <w:spacing w:before="4"/>
      </w:pPr>
    </w:p>
    <w:p>
      <w:pPr>
        <w:spacing w:line="249" w:lineRule="auto" w:before="0"/>
        <w:ind w:left="2810" w:right="2808" w:firstLine="0"/>
        <w:jc w:val="center"/>
        <w:rPr>
          <w:b/>
          <w:sz w:val="18"/>
        </w:rPr>
      </w:pPr>
      <w:r>
        <w:rPr>
          <w:b/>
          <w:color w:val="010202"/>
          <w:sz w:val="18"/>
        </w:rPr>
        <w:t>Figura 2. Altura de planta a los 60 dds de cinco genotipos de maíz, valores promedio de cuatro repeticiones. Montecillo, Méx.</w:t>
      </w:r>
    </w:p>
    <w:p>
      <w:pPr>
        <w:pStyle w:val="BodyText"/>
        <w:spacing w:before="1"/>
        <w:rPr>
          <w:b/>
          <w:sz w:val="18"/>
        </w:rPr>
      </w:pPr>
      <w:r>
        <w:rPr/>
        <w:drawing>
          <wp:anchor distT="0" distB="0" distL="0" distR="0" allowOverlap="1" layoutInCell="1" locked="0" behindDoc="0" simplePos="0" relativeHeight="2752">
            <wp:simplePos x="0" y="0"/>
            <wp:positionH relativeFrom="page">
              <wp:posOffset>966482</wp:posOffset>
            </wp:positionH>
            <wp:positionV relativeFrom="paragraph">
              <wp:posOffset>156904</wp:posOffset>
            </wp:positionV>
            <wp:extent cx="4960952" cy="2469642"/>
            <wp:effectExtent l="0" t="0" r="0" b="0"/>
            <wp:wrapTopAndBottom/>
            <wp:docPr id="73" name="image16.png" descr=""/>
            <wp:cNvGraphicFramePr>
              <a:graphicFrameLocks noChangeAspect="1"/>
            </wp:cNvGraphicFramePr>
            <a:graphic>
              <a:graphicData uri="http://schemas.openxmlformats.org/drawingml/2006/picture">
                <pic:pic>
                  <pic:nvPicPr>
                    <pic:cNvPr id="74" name="image16.png"/>
                    <pic:cNvPicPr/>
                  </pic:nvPicPr>
                  <pic:blipFill>
                    <a:blip r:embed="rId32" cstate="print"/>
                    <a:stretch>
                      <a:fillRect/>
                    </a:stretch>
                  </pic:blipFill>
                  <pic:spPr>
                    <a:xfrm>
                      <a:off x="0" y="0"/>
                      <a:ext cx="4960952" cy="2469642"/>
                    </a:xfrm>
                    <a:prstGeom prst="rect">
                      <a:avLst/>
                    </a:prstGeom>
                  </pic:spPr>
                </pic:pic>
              </a:graphicData>
            </a:graphic>
          </wp:anchor>
        </w:drawing>
      </w:r>
    </w:p>
    <w:p>
      <w:pPr>
        <w:pStyle w:val="BodyText"/>
        <w:spacing w:before="7"/>
        <w:rPr>
          <w:b/>
          <w:sz w:val="26"/>
        </w:rPr>
      </w:pPr>
    </w:p>
    <w:p>
      <w:pPr>
        <w:pStyle w:val="BodyText"/>
        <w:ind w:left="1270"/>
        <w:jc w:val="both"/>
      </w:pPr>
      <w:r>
        <w:rPr>
          <w:color w:val="231F20"/>
        </w:rPr>
        <w:t>Letras iguales sobre las barras, indican tratamientos estadísticamente iguales Tukey (α=0.05).</w:t>
      </w:r>
    </w:p>
    <w:p>
      <w:pPr>
        <w:spacing w:after="0"/>
        <w:jc w:val="both"/>
        <w:sectPr>
          <w:pgSz w:w="10920" w:h="13080"/>
          <w:pgMar w:header="0" w:footer="1025" w:top="420" w:bottom="1220" w:left="0" w:right="0"/>
        </w:sectPr>
      </w:pPr>
    </w:p>
    <w:p>
      <w:pPr>
        <w:pStyle w:val="BodyText"/>
        <w:rPr>
          <w:sz w:val="20"/>
        </w:rPr>
      </w:pPr>
    </w:p>
    <w:p>
      <w:pPr>
        <w:pStyle w:val="BodyText"/>
        <w:rPr>
          <w:sz w:val="20"/>
        </w:rPr>
      </w:pPr>
    </w:p>
    <w:p>
      <w:pPr>
        <w:pStyle w:val="BodyText"/>
        <w:rPr>
          <w:sz w:val="23"/>
        </w:rPr>
      </w:pPr>
    </w:p>
    <w:p>
      <w:pPr>
        <w:pStyle w:val="Heading5"/>
        <w:spacing w:before="73"/>
      </w:pPr>
      <w:r>
        <w:rPr>
          <w:color w:val="231F20"/>
        </w:rPr>
        <w:t>Ángulo foliar</w:t>
      </w:r>
    </w:p>
    <w:p>
      <w:pPr>
        <w:pStyle w:val="BodyText"/>
        <w:spacing w:line="247" w:lineRule="auto" w:before="8"/>
        <w:ind w:left="1270" w:right="1267"/>
        <w:jc w:val="both"/>
      </w:pPr>
      <w:r>
        <w:rPr>
          <w:color w:val="231F20"/>
        </w:rPr>
        <w:t>El ángulo de inserción de las hojas en el tallo, mostró un intervalo 34.6 a 71.4º de inclinación res- pecto al tallo (Figura 3). El maíz criollo mostró el mayor ángulo de inclinación que según el Ser- vicio Nacional de Inspección y Certificación de semillas (SNICS, 2009) corresponde a la categoría semihorizontal; mientras que los cuatro híbridos se ubican en la categoría de hojas semierectas lo cual es indicador de que han sido sometidas a mejoramiento genético, ya que es conocido que la inclinación de la hoja es de primordial importancia para la intercepción de luz en el cultivo de maíz (Mock</w:t>
      </w:r>
      <w:r>
        <w:rPr>
          <w:color w:val="231F20"/>
          <w:spacing w:val="-4"/>
        </w:rPr>
        <w:t> </w:t>
      </w:r>
      <w:r>
        <w:rPr>
          <w:color w:val="231F20"/>
        </w:rPr>
        <w:t>y</w:t>
      </w:r>
      <w:r>
        <w:rPr>
          <w:color w:val="231F20"/>
          <w:spacing w:val="-4"/>
        </w:rPr>
        <w:t> </w:t>
      </w:r>
      <w:r>
        <w:rPr>
          <w:color w:val="231F20"/>
        </w:rPr>
        <w:t>Pearce,</w:t>
      </w:r>
      <w:r>
        <w:rPr>
          <w:color w:val="231F20"/>
          <w:spacing w:val="-5"/>
        </w:rPr>
        <w:t> </w:t>
      </w:r>
      <w:r>
        <w:rPr>
          <w:color w:val="231F20"/>
        </w:rPr>
        <w:t>1975).</w:t>
      </w:r>
      <w:r>
        <w:rPr>
          <w:color w:val="231F20"/>
          <w:spacing w:val="-4"/>
        </w:rPr>
        <w:t> </w:t>
      </w:r>
      <w:r>
        <w:rPr>
          <w:color w:val="231F20"/>
        </w:rPr>
        <w:t>Loomis</w:t>
      </w:r>
      <w:r>
        <w:rPr>
          <w:color w:val="231F20"/>
          <w:spacing w:val="-4"/>
        </w:rPr>
        <w:t> </w:t>
      </w:r>
      <w:r>
        <w:rPr>
          <w:color w:val="231F20"/>
        </w:rPr>
        <w:t>y</w:t>
      </w:r>
      <w:r>
        <w:rPr>
          <w:color w:val="231F20"/>
          <w:spacing w:val="-8"/>
        </w:rPr>
        <w:t> </w:t>
      </w:r>
      <w:r>
        <w:rPr>
          <w:color w:val="231F20"/>
        </w:rPr>
        <w:t>Williams</w:t>
      </w:r>
      <w:r>
        <w:rPr>
          <w:color w:val="231F20"/>
          <w:spacing w:val="-5"/>
        </w:rPr>
        <w:t> </w:t>
      </w:r>
      <w:r>
        <w:rPr>
          <w:color w:val="231F20"/>
        </w:rPr>
        <w:t>(1969)</w:t>
      </w:r>
      <w:r>
        <w:rPr>
          <w:color w:val="231F20"/>
          <w:spacing w:val="-4"/>
        </w:rPr>
        <w:t> </w:t>
      </w:r>
      <w:r>
        <w:rPr>
          <w:color w:val="231F20"/>
        </w:rPr>
        <w:t>demostraron</w:t>
      </w:r>
      <w:r>
        <w:rPr>
          <w:color w:val="231F20"/>
          <w:spacing w:val="-5"/>
        </w:rPr>
        <w:t> </w:t>
      </w:r>
      <w:r>
        <w:rPr>
          <w:color w:val="231F20"/>
        </w:rPr>
        <w:t>que</w:t>
      </w:r>
      <w:r>
        <w:rPr>
          <w:color w:val="231F20"/>
          <w:spacing w:val="-4"/>
        </w:rPr>
        <w:t> </w:t>
      </w:r>
      <w:r>
        <w:rPr>
          <w:color w:val="231F20"/>
        </w:rPr>
        <w:t>el</w:t>
      </w:r>
      <w:r>
        <w:rPr>
          <w:color w:val="231F20"/>
          <w:spacing w:val="-4"/>
        </w:rPr>
        <w:t> </w:t>
      </w:r>
      <w:r>
        <w:rPr>
          <w:color w:val="231F20"/>
        </w:rPr>
        <w:t>maíz</w:t>
      </w:r>
      <w:r>
        <w:rPr>
          <w:color w:val="231F20"/>
          <w:spacing w:val="-5"/>
        </w:rPr>
        <w:t> </w:t>
      </w:r>
      <w:r>
        <w:rPr>
          <w:color w:val="231F20"/>
        </w:rPr>
        <w:t>con</w:t>
      </w:r>
      <w:r>
        <w:rPr>
          <w:color w:val="231F20"/>
          <w:spacing w:val="-4"/>
        </w:rPr>
        <w:t> </w:t>
      </w:r>
      <w:r>
        <w:rPr>
          <w:color w:val="231F20"/>
        </w:rPr>
        <w:t>hojas</w:t>
      </w:r>
      <w:r>
        <w:rPr>
          <w:color w:val="231F20"/>
          <w:spacing w:val="-4"/>
        </w:rPr>
        <w:t> </w:t>
      </w:r>
      <w:r>
        <w:rPr>
          <w:color w:val="231F20"/>
        </w:rPr>
        <w:t>verticalmente insertadas posee ventajas que se manifiestan en la tasa de crecimiento del cultivo, también para el rendimiento de grano, con la premisa de que, el ángulo de inclinación sea cercano a 10º, y con un índice de área foliar cercano a tres (Pendleton </w:t>
      </w:r>
      <w:r>
        <w:rPr>
          <w:i/>
          <w:color w:val="231F20"/>
        </w:rPr>
        <w:t>et al.</w:t>
      </w:r>
      <w:r>
        <w:rPr>
          <w:color w:val="231F20"/>
        </w:rPr>
        <w:t>,</w:t>
      </w:r>
      <w:r>
        <w:rPr>
          <w:color w:val="231F20"/>
          <w:spacing w:val="-5"/>
        </w:rPr>
        <w:t> </w:t>
      </w:r>
      <w:r>
        <w:rPr>
          <w:color w:val="231F20"/>
        </w:rPr>
        <w:t>1968).</w:t>
      </w:r>
    </w:p>
    <w:p>
      <w:pPr>
        <w:pStyle w:val="BodyText"/>
        <w:spacing w:before="5"/>
      </w:pPr>
    </w:p>
    <w:p>
      <w:pPr>
        <w:spacing w:line="249" w:lineRule="auto" w:before="0"/>
        <w:ind w:left="3239" w:right="2319" w:hanging="677"/>
        <w:jc w:val="left"/>
        <w:rPr>
          <w:b/>
          <w:sz w:val="18"/>
        </w:rPr>
      </w:pPr>
      <w:r>
        <w:rPr>
          <w:b/>
          <w:color w:val="010202"/>
          <w:sz w:val="18"/>
        </w:rPr>
        <w:t>Figura 3. Ángulo de inserción foliar a los 60 dds de cinco genotipos de maíz, valores promedio de cuatro repeticiones. Montecillo, Méx.</w:t>
      </w:r>
    </w:p>
    <w:p>
      <w:pPr>
        <w:pStyle w:val="BodyText"/>
        <w:spacing w:before="1"/>
        <w:rPr>
          <w:b/>
          <w:sz w:val="18"/>
        </w:rPr>
      </w:pPr>
      <w:r>
        <w:rPr/>
        <w:drawing>
          <wp:anchor distT="0" distB="0" distL="0" distR="0" allowOverlap="1" layoutInCell="1" locked="0" behindDoc="0" simplePos="0" relativeHeight="2776">
            <wp:simplePos x="0" y="0"/>
            <wp:positionH relativeFrom="page">
              <wp:posOffset>935838</wp:posOffset>
            </wp:positionH>
            <wp:positionV relativeFrom="paragraph">
              <wp:posOffset>156904</wp:posOffset>
            </wp:positionV>
            <wp:extent cx="5035156" cy="2352294"/>
            <wp:effectExtent l="0" t="0" r="0" b="0"/>
            <wp:wrapTopAndBottom/>
            <wp:docPr id="75" name="image17.png" descr=""/>
            <wp:cNvGraphicFramePr>
              <a:graphicFrameLocks noChangeAspect="1"/>
            </wp:cNvGraphicFramePr>
            <a:graphic>
              <a:graphicData uri="http://schemas.openxmlformats.org/drawingml/2006/picture">
                <pic:pic>
                  <pic:nvPicPr>
                    <pic:cNvPr id="76" name="image17.png"/>
                    <pic:cNvPicPr/>
                  </pic:nvPicPr>
                  <pic:blipFill>
                    <a:blip r:embed="rId33" cstate="print"/>
                    <a:stretch>
                      <a:fillRect/>
                    </a:stretch>
                  </pic:blipFill>
                  <pic:spPr>
                    <a:xfrm>
                      <a:off x="0" y="0"/>
                      <a:ext cx="5035156" cy="2352294"/>
                    </a:xfrm>
                    <a:prstGeom prst="rect">
                      <a:avLst/>
                    </a:prstGeom>
                  </pic:spPr>
                </pic:pic>
              </a:graphicData>
            </a:graphic>
          </wp:anchor>
        </w:drawing>
      </w:r>
    </w:p>
    <w:p>
      <w:pPr>
        <w:pStyle w:val="BodyText"/>
        <w:spacing w:before="7"/>
        <w:rPr>
          <w:b/>
          <w:sz w:val="25"/>
        </w:rPr>
      </w:pPr>
    </w:p>
    <w:p>
      <w:pPr>
        <w:pStyle w:val="BodyText"/>
        <w:ind w:left="1270"/>
        <w:jc w:val="both"/>
      </w:pPr>
      <w:r>
        <w:rPr>
          <w:color w:val="231F20"/>
        </w:rPr>
        <w:t>Letras iguales sobre las barras, indican tratamientos estadísticamente iguales Tukey (α=0.05).</w:t>
      </w:r>
    </w:p>
    <w:p>
      <w:pPr>
        <w:pStyle w:val="BodyText"/>
        <w:spacing w:before="5"/>
        <w:rPr>
          <w:sz w:val="22"/>
        </w:rPr>
      </w:pPr>
    </w:p>
    <w:p>
      <w:pPr>
        <w:pStyle w:val="Heading5"/>
      </w:pPr>
      <w:r>
        <w:rPr>
          <w:color w:val="231F20"/>
        </w:rPr>
        <w:t>Área foliar</w:t>
      </w:r>
    </w:p>
    <w:p>
      <w:pPr>
        <w:pStyle w:val="BodyText"/>
        <w:spacing w:line="247" w:lineRule="auto" w:before="8"/>
        <w:ind w:left="1270" w:right="1268"/>
        <w:jc w:val="both"/>
      </w:pPr>
      <w:r>
        <w:rPr>
          <w:color w:val="231F20"/>
        </w:rPr>
        <w:t>El área foliar evaluada a los 30 y 60 dds, mostró cambios significativos entre genotipos. A los 30 dds,</w:t>
      </w:r>
      <w:r>
        <w:rPr>
          <w:color w:val="231F20"/>
          <w:spacing w:val="-4"/>
        </w:rPr>
        <w:t> </w:t>
      </w:r>
      <w:r>
        <w:rPr>
          <w:color w:val="231F20"/>
        </w:rPr>
        <w:t>los</w:t>
      </w:r>
      <w:r>
        <w:rPr>
          <w:color w:val="231F20"/>
          <w:spacing w:val="-4"/>
        </w:rPr>
        <w:t> </w:t>
      </w:r>
      <w:r>
        <w:rPr>
          <w:color w:val="231F20"/>
        </w:rPr>
        <w:t>de</w:t>
      </w:r>
      <w:r>
        <w:rPr>
          <w:color w:val="231F20"/>
          <w:spacing w:val="-4"/>
        </w:rPr>
        <w:t> </w:t>
      </w:r>
      <w:r>
        <w:rPr>
          <w:color w:val="231F20"/>
        </w:rPr>
        <w:t>mayor</w:t>
      </w:r>
      <w:r>
        <w:rPr>
          <w:color w:val="231F20"/>
          <w:spacing w:val="-16"/>
        </w:rPr>
        <w:t> </w:t>
      </w:r>
      <w:r>
        <w:rPr>
          <w:color w:val="231F20"/>
        </w:rPr>
        <w:t>AF</w:t>
      </w:r>
      <w:r>
        <w:rPr>
          <w:color w:val="231F20"/>
          <w:spacing w:val="-4"/>
        </w:rPr>
        <w:t> </w:t>
      </w:r>
      <w:r>
        <w:rPr>
          <w:color w:val="231F20"/>
        </w:rPr>
        <w:t>fueron</w:t>
      </w:r>
      <w:r>
        <w:rPr>
          <w:color w:val="231F20"/>
          <w:spacing w:val="-4"/>
        </w:rPr>
        <w:t> </w:t>
      </w:r>
      <w:r>
        <w:rPr>
          <w:color w:val="231F20"/>
        </w:rPr>
        <w:t>el</w:t>
      </w:r>
      <w:r>
        <w:rPr>
          <w:color w:val="231F20"/>
          <w:spacing w:val="-4"/>
        </w:rPr>
        <w:t> </w:t>
      </w:r>
      <w:r>
        <w:rPr>
          <w:color w:val="231F20"/>
        </w:rPr>
        <w:t>H-50</w:t>
      </w:r>
      <w:r>
        <w:rPr>
          <w:color w:val="231F20"/>
          <w:spacing w:val="-4"/>
        </w:rPr>
        <w:t> </w:t>
      </w:r>
      <w:r>
        <w:rPr>
          <w:color w:val="231F20"/>
        </w:rPr>
        <w:t>y</w:t>
      </w:r>
      <w:r>
        <w:rPr>
          <w:color w:val="231F20"/>
          <w:spacing w:val="-4"/>
        </w:rPr>
        <w:t> </w:t>
      </w:r>
      <w:r>
        <w:rPr>
          <w:color w:val="231F20"/>
        </w:rPr>
        <w:t>el</w:t>
      </w:r>
      <w:r>
        <w:rPr>
          <w:color w:val="231F20"/>
          <w:spacing w:val="-4"/>
        </w:rPr>
        <w:t> </w:t>
      </w:r>
      <w:r>
        <w:rPr>
          <w:color w:val="231F20"/>
        </w:rPr>
        <w:t>H-48</w:t>
      </w:r>
      <w:r>
        <w:rPr>
          <w:color w:val="231F20"/>
          <w:spacing w:val="-4"/>
        </w:rPr>
        <w:t> </w:t>
      </w:r>
      <w:r>
        <w:rPr>
          <w:color w:val="231F20"/>
        </w:rPr>
        <w:t>(Figura</w:t>
      </w:r>
      <w:r>
        <w:rPr>
          <w:color w:val="231F20"/>
          <w:spacing w:val="-4"/>
        </w:rPr>
        <w:t> </w:t>
      </w:r>
      <w:r>
        <w:rPr>
          <w:color w:val="231F20"/>
        </w:rPr>
        <w:t>4),</w:t>
      </w:r>
      <w:r>
        <w:rPr>
          <w:color w:val="231F20"/>
          <w:spacing w:val="-4"/>
        </w:rPr>
        <w:t> </w:t>
      </w:r>
      <w:r>
        <w:rPr>
          <w:color w:val="231F20"/>
        </w:rPr>
        <w:t>seguidos</w:t>
      </w:r>
      <w:r>
        <w:rPr>
          <w:color w:val="231F20"/>
          <w:spacing w:val="-4"/>
        </w:rPr>
        <w:t> </w:t>
      </w:r>
      <w:r>
        <w:rPr>
          <w:color w:val="231F20"/>
        </w:rPr>
        <w:t>del</w:t>
      </w:r>
      <w:r>
        <w:rPr>
          <w:color w:val="231F20"/>
          <w:spacing w:val="-16"/>
        </w:rPr>
        <w:t> </w:t>
      </w:r>
      <w:r>
        <w:rPr>
          <w:color w:val="231F20"/>
        </w:rPr>
        <w:t>Azul</w:t>
      </w:r>
      <w:r>
        <w:rPr>
          <w:color w:val="231F20"/>
          <w:spacing w:val="-4"/>
        </w:rPr>
        <w:t> </w:t>
      </w:r>
      <w:r>
        <w:rPr>
          <w:color w:val="231F20"/>
        </w:rPr>
        <w:t>y</w:t>
      </w:r>
      <w:r>
        <w:rPr>
          <w:color w:val="231F20"/>
          <w:spacing w:val="-4"/>
        </w:rPr>
        <w:t> </w:t>
      </w:r>
      <w:r>
        <w:rPr>
          <w:color w:val="231F20"/>
        </w:rPr>
        <w:t>en</w:t>
      </w:r>
      <w:r>
        <w:rPr>
          <w:color w:val="231F20"/>
          <w:spacing w:val="-4"/>
        </w:rPr>
        <w:t> </w:t>
      </w:r>
      <w:r>
        <w:rPr>
          <w:color w:val="231F20"/>
        </w:rPr>
        <w:t>otro</w:t>
      </w:r>
      <w:r>
        <w:rPr>
          <w:color w:val="231F20"/>
          <w:spacing w:val="-4"/>
        </w:rPr>
        <w:t> </w:t>
      </w:r>
      <w:r>
        <w:rPr>
          <w:color w:val="231F20"/>
        </w:rPr>
        <w:t>grupo</w:t>
      </w:r>
      <w:r>
        <w:rPr>
          <w:color w:val="231F20"/>
          <w:spacing w:val="-4"/>
        </w:rPr>
        <w:t> </w:t>
      </w:r>
      <w:r>
        <w:rPr>
          <w:color w:val="231F20"/>
        </w:rPr>
        <w:t>el</w:t>
      </w:r>
      <w:r>
        <w:rPr>
          <w:color w:val="231F20"/>
          <w:spacing w:val="-4"/>
        </w:rPr>
        <w:t> </w:t>
      </w:r>
      <w:r>
        <w:rPr>
          <w:color w:val="231F20"/>
        </w:rPr>
        <w:t>H-53 y H-57. Sin embargo, la tendencia cambió cuando este parámetro fue medido a los 60 dds, donde el H-50 y H-48 siguen siendo los genotipos de mayor </w:t>
      </w:r>
      <w:r>
        <w:rPr>
          <w:color w:val="231F20"/>
          <w:spacing w:val="-6"/>
        </w:rPr>
        <w:t>AF. </w:t>
      </w:r>
      <w:r>
        <w:rPr>
          <w:color w:val="231F20"/>
        </w:rPr>
        <w:t>Sin embargo, el H-53 y H-57 (estadística- mente iguales) presentaron un AF superior al criollo Azul, lo que indica que la tasa de crecimiento del AF en Azul fue más lenta durante éste período en relación a H-53 y</w:t>
      </w:r>
      <w:r>
        <w:rPr>
          <w:color w:val="231F20"/>
          <w:spacing w:val="-24"/>
        </w:rPr>
        <w:t> </w:t>
      </w:r>
      <w:r>
        <w:rPr>
          <w:color w:val="231F20"/>
        </w:rPr>
        <w:t>H-57.</w:t>
      </w:r>
    </w:p>
    <w:p>
      <w:pPr>
        <w:spacing w:after="0" w:line="247" w:lineRule="auto"/>
        <w:jc w:val="both"/>
        <w:sectPr>
          <w:pgSz w:w="10920" w:h="13080"/>
          <w:pgMar w:header="0" w:footer="1025" w:top="420" w:bottom="1220" w:left="0" w:right="0"/>
        </w:sectPr>
      </w:pPr>
    </w:p>
    <w:p>
      <w:pPr>
        <w:pStyle w:val="BodyText"/>
        <w:rPr>
          <w:sz w:val="20"/>
        </w:rPr>
      </w:pPr>
    </w:p>
    <w:p>
      <w:pPr>
        <w:pStyle w:val="BodyText"/>
        <w:rPr>
          <w:sz w:val="20"/>
        </w:rPr>
      </w:pPr>
    </w:p>
    <w:p>
      <w:pPr>
        <w:pStyle w:val="BodyText"/>
        <w:rPr>
          <w:sz w:val="23"/>
        </w:rPr>
      </w:pPr>
    </w:p>
    <w:p>
      <w:pPr>
        <w:spacing w:before="77"/>
        <w:ind w:left="1266" w:right="1266" w:firstLine="0"/>
        <w:jc w:val="center"/>
        <w:rPr>
          <w:b/>
          <w:sz w:val="18"/>
        </w:rPr>
      </w:pPr>
      <w:r>
        <w:rPr>
          <w:b/>
          <w:color w:val="010202"/>
          <w:sz w:val="18"/>
        </w:rPr>
        <w:t>Figura 4. Área foliar a los 30 y 60 dds de cinco genotipos de maíz, valores promedio de cuatro repeticiones.</w:t>
      </w:r>
    </w:p>
    <w:p>
      <w:pPr>
        <w:spacing w:before="9"/>
        <w:ind w:left="1489" w:right="1489" w:firstLine="0"/>
        <w:jc w:val="center"/>
        <w:rPr>
          <w:b/>
          <w:sz w:val="18"/>
        </w:rPr>
      </w:pPr>
      <w:r>
        <w:rPr>
          <w:b/>
          <w:color w:val="010202"/>
          <w:sz w:val="18"/>
        </w:rPr>
        <w:t>Las columnas de la izquierda indican el AF 30dds; y las de la derecha el AF 60 dds. Montecillo, Mex.</w:t>
      </w:r>
    </w:p>
    <w:p>
      <w:pPr>
        <w:pStyle w:val="BodyText"/>
        <w:spacing w:before="9"/>
        <w:rPr>
          <w:b/>
          <w:sz w:val="18"/>
        </w:rPr>
      </w:pPr>
      <w:r>
        <w:rPr/>
        <w:drawing>
          <wp:anchor distT="0" distB="0" distL="0" distR="0" allowOverlap="1" layoutInCell="1" locked="0" behindDoc="0" simplePos="0" relativeHeight="2800">
            <wp:simplePos x="0" y="0"/>
            <wp:positionH relativeFrom="page">
              <wp:posOffset>968705</wp:posOffset>
            </wp:positionH>
            <wp:positionV relativeFrom="paragraph">
              <wp:posOffset>161979</wp:posOffset>
            </wp:positionV>
            <wp:extent cx="4993662" cy="2350579"/>
            <wp:effectExtent l="0" t="0" r="0" b="0"/>
            <wp:wrapTopAndBottom/>
            <wp:docPr id="77" name="image18.png" descr=""/>
            <wp:cNvGraphicFramePr>
              <a:graphicFrameLocks noChangeAspect="1"/>
            </wp:cNvGraphicFramePr>
            <a:graphic>
              <a:graphicData uri="http://schemas.openxmlformats.org/drawingml/2006/picture">
                <pic:pic>
                  <pic:nvPicPr>
                    <pic:cNvPr id="78" name="image18.png"/>
                    <pic:cNvPicPr/>
                  </pic:nvPicPr>
                  <pic:blipFill>
                    <a:blip r:embed="rId34" cstate="print"/>
                    <a:stretch>
                      <a:fillRect/>
                    </a:stretch>
                  </pic:blipFill>
                  <pic:spPr>
                    <a:xfrm>
                      <a:off x="0" y="0"/>
                      <a:ext cx="4993662" cy="2350579"/>
                    </a:xfrm>
                    <a:prstGeom prst="rect">
                      <a:avLst/>
                    </a:prstGeom>
                  </pic:spPr>
                </pic:pic>
              </a:graphicData>
            </a:graphic>
          </wp:anchor>
        </w:drawing>
      </w:r>
    </w:p>
    <w:p>
      <w:pPr>
        <w:pStyle w:val="BodyText"/>
        <w:spacing w:before="1"/>
        <w:rPr>
          <w:b/>
          <w:sz w:val="24"/>
        </w:rPr>
      </w:pPr>
    </w:p>
    <w:p>
      <w:pPr>
        <w:pStyle w:val="BodyText"/>
        <w:ind w:left="1270"/>
        <w:jc w:val="both"/>
      </w:pPr>
      <w:r>
        <w:rPr>
          <w:color w:val="231F20"/>
        </w:rPr>
        <w:t>Letras iguales sobre las barras, indican valores estadísticamente iguales Tukey (α=0.05).</w:t>
      </w:r>
    </w:p>
    <w:p>
      <w:pPr>
        <w:pStyle w:val="BodyText"/>
        <w:spacing w:before="5"/>
        <w:rPr>
          <w:sz w:val="22"/>
        </w:rPr>
      </w:pPr>
    </w:p>
    <w:p>
      <w:pPr>
        <w:pStyle w:val="Heading5"/>
      </w:pPr>
      <w:r>
        <w:rPr>
          <w:color w:val="231F20"/>
        </w:rPr>
        <w:t>Materia seca</w:t>
      </w:r>
    </w:p>
    <w:p>
      <w:pPr>
        <w:pStyle w:val="BodyText"/>
        <w:spacing w:line="247" w:lineRule="auto" w:before="8"/>
        <w:ind w:left="1270" w:right="1267"/>
        <w:jc w:val="both"/>
      </w:pPr>
      <w:r>
        <w:rPr>
          <w:color w:val="231F20"/>
        </w:rPr>
        <w:t>En la figura 5 se observa que, a los 30 dds los híbridos H-48 y H-50, presentaron mayor producción de</w:t>
      </w:r>
      <w:r>
        <w:rPr>
          <w:color w:val="231F20"/>
          <w:spacing w:val="-5"/>
        </w:rPr>
        <w:t> </w:t>
      </w:r>
      <w:r>
        <w:rPr>
          <w:color w:val="231F20"/>
        </w:rPr>
        <w:t>MS,</w:t>
      </w:r>
      <w:r>
        <w:rPr>
          <w:color w:val="231F20"/>
          <w:spacing w:val="-5"/>
        </w:rPr>
        <w:t> </w:t>
      </w:r>
      <w:r>
        <w:rPr>
          <w:color w:val="231F20"/>
        </w:rPr>
        <w:t>seguidos</w:t>
      </w:r>
      <w:r>
        <w:rPr>
          <w:color w:val="231F20"/>
          <w:spacing w:val="-5"/>
        </w:rPr>
        <w:t> </w:t>
      </w:r>
      <w:r>
        <w:rPr>
          <w:color w:val="231F20"/>
        </w:rPr>
        <w:t>de</w:t>
      </w:r>
      <w:r>
        <w:rPr>
          <w:color w:val="231F20"/>
          <w:spacing w:val="-5"/>
        </w:rPr>
        <w:t> </w:t>
      </w:r>
      <w:r>
        <w:rPr>
          <w:color w:val="231F20"/>
        </w:rPr>
        <w:t>H-53</w:t>
      </w:r>
      <w:r>
        <w:rPr>
          <w:color w:val="231F20"/>
          <w:spacing w:val="-5"/>
        </w:rPr>
        <w:t> </w:t>
      </w:r>
      <w:r>
        <w:rPr>
          <w:color w:val="231F20"/>
        </w:rPr>
        <w:t>y</w:t>
      </w:r>
      <w:r>
        <w:rPr>
          <w:color w:val="231F20"/>
          <w:spacing w:val="-5"/>
        </w:rPr>
        <w:t> </w:t>
      </w:r>
      <w:r>
        <w:rPr>
          <w:color w:val="231F20"/>
        </w:rPr>
        <w:t>el</w:t>
      </w:r>
      <w:r>
        <w:rPr>
          <w:color w:val="231F20"/>
          <w:spacing w:val="-5"/>
        </w:rPr>
        <w:t> </w:t>
      </w:r>
      <w:r>
        <w:rPr>
          <w:color w:val="231F20"/>
        </w:rPr>
        <w:t>criollo</w:t>
      </w:r>
      <w:r>
        <w:rPr>
          <w:color w:val="231F20"/>
          <w:spacing w:val="-17"/>
        </w:rPr>
        <w:t> </w:t>
      </w:r>
      <w:r>
        <w:rPr>
          <w:color w:val="231F20"/>
        </w:rPr>
        <w:t>Azul.</w:t>
      </w:r>
      <w:r>
        <w:rPr>
          <w:color w:val="231F20"/>
          <w:spacing w:val="-5"/>
        </w:rPr>
        <w:t> </w:t>
      </w:r>
      <w:r>
        <w:rPr>
          <w:color w:val="231F20"/>
        </w:rPr>
        <w:t>El</w:t>
      </w:r>
      <w:r>
        <w:rPr>
          <w:color w:val="231F20"/>
          <w:spacing w:val="-5"/>
        </w:rPr>
        <w:t> </w:t>
      </w:r>
      <w:r>
        <w:rPr>
          <w:color w:val="231F20"/>
        </w:rPr>
        <w:t>H-57</w:t>
      </w:r>
      <w:r>
        <w:rPr>
          <w:color w:val="231F20"/>
          <w:spacing w:val="-5"/>
        </w:rPr>
        <w:t> </w:t>
      </w:r>
      <w:r>
        <w:rPr>
          <w:color w:val="231F20"/>
        </w:rPr>
        <w:t>presentó</w:t>
      </w:r>
      <w:r>
        <w:rPr>
          <w:color w:val="231F20"/>
          <w:spacing w:val="-5"/>
        </w:rPr>
        <w:t> </w:t>
      </w:r>
      <w:r>
        <w:rPr>
          <w:color w:val="231F20"/>
        </w:rPr>
        <w:t>la</w:t>
      </w:r>
      <w:r>
        <w:rPr>
          <w:color w:val="231F20"/>
          <w:spacing w:val="-5"/>
        </w:rPr>
        <w:t> </w:t>
      </w:r>
      <w:r>
        <w:rPr>
          <w:color w:val="231F20"/>
        </w:rPr>
        <w:t>más</w:t>
      </w:r>
      <w:r>
        <w:rPr>
          <w:color w:val="231F20"/>
          <w:spacing w:val="-5"/>
        </w:rPr>
        <w:t> </w:t>
      </w:r>
      <w:r>
        <w:rPr>
          <w:color w:val="231F20"/>
        </w:rPr>
        <w:t>baja</w:t>
      </w:r>
      <w:r>
        <w:rPr>
          <w:color w:val="231F20"/>
          <w:spacing w:val="-5"/>
        </w:rPr>
        <w:t> </w:t>
      </w:r>
      <w:r>
        <w:rPr>
          <w:color w:val="231F20"/>
        </w:rPr>
        <w:t>producción</w:t>
      </w:r>
      <w:r>
        <w:rPr>
          <w:color w:val="231F20"/>
          <w:spacing w:val="-5"/>
        </w:rPr>
        <w:t> </w:t>
      </w:r>
      <w:r>
        <w:rPr>
          <w:color w:val="231F20"/>
        </w:rPr>
        <w:t>de</w:t>
      </w:r>
      <w:r>
        <w:rPr>
          <w:color w:val="231F20"/>
          <w:spacing w:val="-5"/>
        </w:rPr>
        <w:t> </w:t>
      </w:r>
      <w:r>
        <w:rPr>
          <w:color w:val="231F20"/>
        </w:rPr>
        <w:t>MS.</w:t>
      </w:r>
      <w:r>
        <w:rPr>
          <w:color w:val="231F20"/>
          <w:spacing w:val="-17"/>
        </w:rPr>
        <w:t> </w:t>
      </w:r>
      <w:r>
        <w:rPr>
          <w:color w:val="231F20"/>
        </w:rPr>
        <w:t>A</w:t>
      </w:r>
      <w:r>
        <w:rPr>
          <w:color w:val="231F20"/>
          <w:spacing w:val="-17"/>
        </w:rPr>
        <w:t> </w:t>
      </w:r>
      <w:r>
        <w:rPr>
          <w:color w:val="231F20"/>
        </w:rPr>
        <w:t>los</w:t>
      </w:r>
      <w:r>
        <w:rPr>
          <w:color w:val="231F20"/>
          <w:spacing w:val="-5"/>
        </w:rPr>
        <w:t> </w:t>
      </w:r>
      <w:r>
        <w:rPr>
          <w:color w:val="231F20"/>
        </w:rPr>
        <w:t>60 dds, el H-57 y H50 presentaron la mayor cantidad de MS acumulada. Esto indica que los genotipos estudiados,</w:t>
      </w:r>
      <w:r>
        <w:rPr>
          <w:color w:val="231F20"/>
          <w:spacing w:val="-10"/>
        </w:rPr>
        <w:t> </w:t>
      </w:r>
      <w:r>
        <w:rPr>
          <w:color w:val="231F20"/>
        </w:rPr>
        <w:t>presentan</w:t>
      </w:r>
      <w:r>
        <w:rPr>
          <w:color w:val="231F20"/>
          <w:spacing w:val="-10"/>
        </w:rPr>
        <w:t> </w:t>
      </w:r>
      <w:r>
        <w:rPr>
          <w:color w:val="231F20"/>
        </w:rPr>
        <w:t>tasa</w:t>
      </w:r>
      <w:r>
        <w:rPr>
          <w:color w:val="231F20"/>
          <w:spacing w:val="-10"/>
        </w:rPr>
        <w:t> </w:t>
      </w:r>
      <w:r>
        <w:rPr>
          <w:color w:val="231F20"/>
        </w:rPr>
        <w:t>de</w:t>
      </w:r>
      <w:r>
        <w:rPr>
          <w:color w:val="231F20"/>
          <w:spacing w:val="-10"/>
        </w:rPr>
        <w:t> </w:t>
      </w:r>
      <w:r>
        <w:rPr>
          <w:color w:val="231F20"/>
        </w:rPr>
        <w:t>acumulación</w:t>
      </w:r>
      <w:r>
        <w:rPr>
          <w:color w:val="231F20"/>
          <w:spacing w:val="-10"/>
        </w:rPr>
        <w:t> </w:t>
      </w:r>
      <w:r>
        <w:rPr>
          <w:color w:val="231F20"/>
        </w:rPr>
        <w:t>de</w:t>
      </w:r>
      <w:r>
        <w:rPr>
          <w:color w:val="231F20"/>
          <w:spacing w:val="-10"/>
        </w:rPr>
        <w:t> </w:t>
      </w:r>
      <w:r>
        <w:rPr>
          <w:color w:val="231F20"/>
        </w:rPr>
        <w:t>MS</w:t>
      </w:r>
      <w:r>
        <w:rPr>
          <w:color w:val="231F20"/>
          <w:spacing w:val="-10"/>
        </w:rPr>
        <w:t> </w:t>
      </w:r>
      <w:r>
        <w:rPr>
          <w:color w:val="231F20"/>
        </w:rPr>
        <w:t>diferentes</w:t>
      </w:r>
      <w:r>
        <w:rPr>
          <w:color w:val="231F20"/>
          <w:spacing w:val="-10"/>
        </w:rPr>
        <w:t> </w:t>
      </w:r>
      <w:r>
        <w:rPr>
          <w:color w:val="231F20"/>
        </w:rPr>
        <w:t>durante</w:t>
      </w:r>
      <w:r>
        <w:rPr>
          <w:color w:val="231F20"/>
          <w:spacing w:val="-10"/>
        </w:rPr>
        <w:t> </w:t>
      </w:r>
      <w:r>
        <w:rPr>
          <w:color w:val="231F20"/>
        </w:rPr>
        <w:t>éste</w:t>
      </w:r>
      <w:r>
        <w:rPr>
          <w:color w:val="231F20"/>
          <w:spacing w:val="-10"/>
        </w:rPr>
        <w:t> </w:t>
      </w:r>
      <w:r>
        <w:rPr>
          <w:color w:val="231F20"/>
        </w:rPr>
        <w:t>período,</w:t>
      </w:r>
      <w:r>
        <w:rPr>
          <w:color w:val="231F20"/>
          <w:spacing w:val="-10"/>
        </w:rPr>
        <w:t> </w:t>
      </w:r>
      <w:r>
        <w:rPr>
          <w:color w:val="231F20"/>
        </w:rPr>
        <w:t>lo</w:t>
      </w:r>
      <w:r>
        <w:rPr>
          <w:color w:val="231F20"/>
          <w:spacing w:val="-10"/>
        </w:rPr>
        <w:t> </w:t>
      </w:r>
      <w:r>
        <w:rPr>
          <w:color w:val="231F20"/>
        </w:rPr>
        <w:t>que</w:t>
      </w:r>
      <w:r>
        <w:rPr>
          <w:color w:val="231F20"/>
          <w:spacing w:val="-10"/>
        </w:rPr>
        <w:t> </w:t>
      </w:r>
      <w:r>
        <w:rPr>
          <w:color w:val="231F20"/>
        </w:rPr>
        <w:t>podría</w:t>
      </w:r>
      <w:r>
        <w:rPr>
          <w:color w:val="231F20"/>
          <w:spacing w:val="-10"/>
        </w:rPr>
        <w:t> </w:t>
      </w:r>
      <w:r>
        <w:rPr>
          <w:color w:val="231F20"/>
        </w:rPr>
        <w:t>refle- jarse</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producción</w:t>
      </w:r>
      <w:r>
        <w:rPr>
          <w:color w:val="231F20"/>
          <w:spacing w:val="-9"/>
        </w:rPr>
        <w:t> </w:t>
      </w:r>
      <w:r>
        <w:rPr>
          <w:color w:val="231F20"/>
        </w:rPr>
        <w:t>de</w:t>
      </w:r>
      <w:r>
        <w:rPr>
          <w:color w:val="231F20"/>
          <w:spacing w:val="-9"/>
        </w:rPr>
        <w:t> </w:t>
      </w:r>
      <w:r>
        <w:rPr>
          <w:color w:val="231F20"/>
        </w:rPr>
        <w:t>MS</w:t>
      </w:r>
      <w:r>
        <w:rPr>
          <w:color w:val="231F20"/>
          <w:spacing w:val="-9"/>
        </w:rPr>
        <w:t> </w:t>
      </w:r>
      <w:r>
        <w:rPr>
          <w:color w:val="231F20"/>
        </w:rPr>
        <w:t>final.</w:t>
      </w:r>
      <w:r>
        <w:rPr>
          <w:color w:val="231F20"/>
          <w:spacing w:val="-9"/>
        </w:rPr>
        <w:t> </w:t>
      </w:r>
      <w:r>
        <w:rPr>
          <w:color w:val="231F20"/>
        </w:rPr>
        <w:t>El</w:t>
      </w:r>
      <w:r>
        <w:rPr>
          <w:color w:val="231F20"/>
          <w:spacing w:val="-9"/>
        </w:rPr>
        <w:t> </w:t>
      </w:r>
      <w:r>
        <w:rPr>
          <w:color w:val="231F20"/>
        </w:rPr>
        <w:t>conocimiento</w:t>
      </w:r>
      <w:r>
        <w:rPr>
          <w:color w:val="231F20"/>
          <w:spacing w:val="-9"/>
        </w:rPr>
        <w:t> </w:t>
      </w:r>
      <w:r>
        <w:rPr>
          <w:color w:val="231F20"/>
        </w:rPr>
        <w:t>y</w:t>
      </w:r>
      <w:r>
        <w:rPr>
          <w:color w:val="231F20"/>
          <w:spacing w:val="-9"/>
        </w:rPr>
        <w:t> </w:t>
      </w:r>
      <w:r>
        <w:rPr>
          <w:color w:val="231F20"/>
        </w:rPr>
        <w:t>descripción</w:t>
      </w:r>
      <w:r>
        <w:rPr>
          <w:color w:val="231F20"/>
          <w:spacing w:val="-9"/>
        </w:rPr>
        <w:t> </w:t>
      </w:r>
      <w:r>
        <w:rPr>
          <w:color w:val="231F20"/>
        </w:rPr>
        <w:t>de</w:t>
      </w:r>
      <w:r>
        <w:rPr>
          <w:color w:val="231F20"/>
          <w:spacing w:val="-9"/>
        </w:rPr>
        <w:t> </w:t>
      </w:r>
      <w:r>
        <w:rPr>
          <w:color w:val="231F20"/>
        </w:rPr>
        <w:t>este</w:t>
      </w:r>
      <w:r>
        <w:rPr>
          <w:color w:val="231F20"/>
          <w:spacing w:val="-9"/>
        </w:rPr>
        <w:t> </w:t>
      </w:r>
      <w:r>
        <w:rPr>
          <w:color w:val="231F20"/>
        </w:rPr>
        <w:t>comportamiento</w:t>
      </w:r>
      <w:r>
        <w:rPr>
          <w:color w:val="231F20"/>
          <w:spacing w:val="-9"/>
        </w:rPr>
        <w:t> </w:t>
      </w:r>
      <w:r>
        <w:rPr>
          <w:color w:val="231F20"/>
        </w:rPr>
        <w:t>permitiría seleccionar los genotipos que tuvieran mayor área foliar y biomasa acumulada en el periodo vege- tativo que pudieran utilizarse para forraje, debido al comportamiento de la digestibilidad, el valor nutritivo y el contenido de fibra que presentan los tallos y hojas, a diferencia de la mazorca (Reyes, 1990; Núñez </w:t>
      </w:r>
      <w:r>
        <w:rPr>
          <w:i/>
          <w:color w:val="231F20"/>
        </w:rPr>
        <w:t>et al.</w:t>
      </w:r>
      <w:r>
        <w:rPr>
          <w:color w:val="231F20"/>
        </w:rPr>
        <w:t>,</w:t>
      </w:r>
      <w:r>
        <w:rPr>
          <w:color w:val="231F20"/>
          <w:spacing w:val="-1"/>
        </w:rPr>
        <w:t> </w:t>
      </w:r>
      <w:r>
        <w:rPr>
          <w:color w:val="231F20"/>
        </w:rPr>
        <w:t>2004).</w:t>
      </w:r>
    </w:p>
    <w:p>
      <w:pPr>
        <w:spacing w:after="0" w:line="247" w:lineRule="auto"/>
        <w:jc w:val="both"/>
        <w:sectPr>
          <w:pgSz w:w="10920" w:h="13080"/>
          <w:pgMar w:header="0" w:footer="1025" w:top="420" w:bottom="1220" w:left="0" w:right="0"/>
        </w:sectPr>
      </w:pPr>
    </w:p>
    <w:p>
      <w:pPr>
        <w:pStyle w:val="BodyText"/>
        <w:rPr>
          <w:sz w:val="20"/>
        </w:rPr>
      </w:pPr>
    </w:p>
    <w:p>
      <w:pPr>
        <w:pStyle w:val="BodyText"/>
        <w:rPr>
          <w:sz w:val="20"/>
        </w:rPr>
      </w:pPr>
    </w:p>
    <w:p>
      <w:pPr>
        <w:pStyle w:val="BodyText"/>
        <w:rPr>
          <w:sz w:val="23"/>
        </w:rPr>
      </w:pPr>
    </w:p>
    <w:p>
      <w:pPr>
        <w:spacing w:line="249" w:lineRule="auto" w:before="77"/>
        <w:ind w:left="1491" w:right="1489" w:firstLine="0"/>
        <w:jc w:val="center"/>
        <w:rPr>
          <w:b/>
          <w:sz w:val="18"/>
        </w:rPr>
      </w:pPr>
      <w:r>
        <w:rPr>
          <w:b/>
          <w:color w:val="010202"/>
          <w:sz w:val="18"/>
        </w:rPr>
        <w:t>Figura 5. Materia seca (MS) acumulada a los 30 y 60 dds de cinco genotipos de maíz, valores promedio de cuatro repeticiones. Las columnas de la izquierda indican la MS 30dds; y las de la derecha la</w:t>
      </w:r>
    </w:p>
    <w:p>
      <w:pPr>
        <w:spacing w:before="1"/>
        <w:ind w:left="1489" w:right="1489" w:firstLine="0"/>
        <w:jc w:val="center"/>
        <w:rPr>
          <w:b/>
          <w:sz w:val="18"/>
        </w:rPr>
      </w:pPr>
      <w:r>
        <w:rPr>
          <w:b/>
          <w:color w:val="010202"/>
          <w:sz w:val="18"/>
        </w:rPr>
        <w:t>MS 60 dds. Montecillo, Méx.</w:t>
      </w:r>
    </w:p>
    <w:p>
      <w:pPr>
        <w:pStyle w:val="BodyText"/>
        <w:spacing w:before="9"/>
        <w:rPr>
          <w:b/>
          <w:sz w:val="15"/>
        </w:rPr>
      </w:pPr>
      <w:r>
        <w:rPr/>
        <w:drawing>
          <wp:anchor distT="0" distB="0" distL="0" distR="0" allowOverlap="1" layoutInCell="1" locked="0" behindDoc="0" simplePos="0" relativeHeight="2824">
            <wp:simplePos x="0" y="0"/>
            <wp:positionH relativeFrom="page">
              <wp:posOffset>965100</wp:posOffset>
            </wp:positionH>
            <wp:positionV relativeFrom="paragraph">
              <wp:posOffset>140377</wp:posOffset>
            </wp:positionV>
            <wp:extent cx="5003545" cy="2147887"/>
            <wp:effectExtent l="0" t="0" r="0" b="0"/>
            <wp:wrapTopAndBottom/>
            <wp:docPr id="79" name="image19.png" descr=""/>
            <wp:cNvGraphicFramePr>
              <a:graphicFrameLocks noChangeAspect="1"/>
            </wp:cNvGraphicFramePr>
            <a:graphic>
              <a:graphicData uri="http://schemas.openxmlformats.org/drawingml/2006/picture">
                <pic:pic>
                  <pic:nvPicPr>
                    <pic:cNvPr id="80" name="image19.png"/>
                    <pic:cNvPicPr/>
                  </pic:nvPicPr>
                  <pic:blipFill>
                    <a:blip r:embed="rId35" cstate="print"/>
                    <a:stretch>
                      <a:fillRect/>
                    </a:stretch>
                  </pic:blipFill>
                  <pic:spPr>
                    <a:xfrm>
                      <a:off x="0" y="0"/>
                      <a:ext cx="5003545" cy="2147887"/>
                    </a:xfrm>
                    <a:prstGeom prst="rect">
                      <a:avLst/>
                    </a:prstGeom>
                  </pic:spPr>
                </pic:pic>
              </a:graphicData>
            </a:graphic>
          </wp:anchor>
        </w:drawing>
      </w:r>
    </w:p>
    <w:p>
      <w:pPr>
        <w:pStyle w:val="BodyText"/>
        <w:spacing w:before="11"/>
        <w:rPr>
          <w:b/>
          <w:sz w:val="20"/>
        </w:rPr>
      </w:pPr>
    </w:p>
    <w:p>
      <w:pPr>
        <w:pStyle w:val="BodyText"/>
        <w:ind w:left="1270"/>
        <w:jc w:val="both"/>
      </w:pPr>
      <w:r>
        <w:rPr>
          <w:color w:val="231F20"/>
        </w:rPr>
        <w:t>Letras iguales sobre las barras, indican tratamientos estadísticamente iguales (Tukey α= 0.05).</w:t>
      </w:r>
    </w:p>
    <w:p>
      <w:pPr>
        <w:pStyle w:val="BodyText"/>
        <w:spacing w:before="5"/>
        <w:rPr>
          <w:sz w:val="22"/>
        </w:rPr>
      </w:pPr>
    </w:p>
    <w:p>
      <w:pPr>
        <w:pStyle w:val="BodyText"/>
        <w:spacing w:line="247" w:lineRule="auto"/>
        <w:ind w:left="1270" w:right="1267"/>
        <w:jc w:val="both"/>
      </w:pPr>
      <w:r>
        <w:rPr>
          <w:color w:val="231F20"/>
        </w:rPr>
        <w:t>En resumen, los genotipos presentan diferencias significativas en las variables morfológicas y fisio- lógicas</w:t>
      </w:r>
      <w:r>
        <w:rPr>
          <w:color w:val="231F20"/>
          <w:spacing w:val="-5"/>
        </w:rPr>
        <w:t> </w:t>
      </w:r>
      <w:r>
        <w:rPr>
          <w:color w:val="231F20"/>
        </w:rPr>
        <w:t>estudiadas.</w:t>
      </w:r>
      <w:r>
        <w:rPr>
          <w:color w:val="231F20"/>
          <w:spacing w:val="-5"/>
        </w:rPr>
        <w:t> </w:t>
      </w:r>
      <w:r>
        <w:rPr>
          <w:color w:val="231F20"/>
        </w:rPr>
        <w:t>El</w:t>
      </w:r>
      <w:r>
        <w:rPr>
          <w:color w:val="231F20"/>
          <w:spacing w:val="-5"/>
        </w:rPr>
        <w:t> </w:t>
      </w:r>
      <w:r>
        <w:rPr>
          <w:color w:val="231F20"/>
        </w:rPr>
        <w:t>híbrido</w:t>
      </w:r>
      <w:r>
        <w:rPr>
          <w:color w:val="231F20"/>
          <w:spacing w:val="-5"/>
        </w:rPr>
        <w:t> </w:t>
      </w:r>
      <w:r>
        <w:rPr>
          <w:color w:val="231F20"/>
        </w:rPr>
        <w:t>H-57</w:t>
      </w:r>
      <w:r>
        <w:rPr>
          <w:color w:val="231F20"/>
          <w:spacing w:val="-5"/>
        </w:rPr>
        <w:t> </w:t>
      </w:r>
      <w:r>
        <w:rPr>
          <w:color w:val="231F20"/>
        </w:rPr>
        <w:t>fue</w:t>
      </w:r>
      <w:r>
        <w:rPr>
          <w:color w:val="231F20"/>
          <w:spacing w:val="-5"/>
        </w:rPr>
        <w:t> </w:t>
      </w:r>
      <w:r>
        <w:rPr>
          <w:color w:val="231F20"/>
        </w:rPr>
        <w:t>el</w:t>
      </w:r>
      <w:r>
        <w:rPr>
          <w:color w:val="231F20"/>
          <w:spacing w:val="-5"/>
        </w:rPr>
        <w:t> </w:t>
      </w:r>
      <w:r>
        <w:rPr>
          <w:color w:val="231F20"/>
        </w:rPr>
        <w:t>más</w:t>
      </w:r>
      <w:r>
        <w:rPr>
          <w:color w:val="231F20"/>
          <w:spacing w:val="-5"/>
        </w:rPr>
        <w:t> </w:t>
      </w:r>
      <w:r>
        <w:rPr>
          <w:color w:val="231F20"/>
        </w:rPr>
        <w:t>sobresaliente</w:t>
      </w:r>
      <w:r>
        <w:rPr>
          <w:color w:val="231F20"/>
          <w:spacing w:val="-5"/>
        </w:rPr>
        <w:t> </w:t>
      </w:r>
      <w:r>
        <w:rPr>
          <w:color w:val="231F20"/>
        </w:rPr>
        <w:t>para</w:t>
      </w:r>
      <w:r>
        <w:rPr>
          <w:color w:val="231F20"/>
          <w:spacing w:val="-5"/>
        </w:rPr>
        <w:t> </w:t>
      </w:r>
      <w:r>
        <w:rPr>
          <w:color w:val="231F20"/>
        </w:rPr>
        <w:t>altura</w:t>
      </w:r>
      <w:r>
        <w:rPr>
          <w:color w:val="231F20"/>
          <w:spacing w:val="-5"/>
        </w:rPr>
        <w:t> </w:t>
      </w:r>
      <w:r>
        <w:rPr>
          <w:color w:val="231F20"/>
        </w:rPr>
        <w:t>de</w:t>
      </w:r>
      <w:r>
        <w:rPr>
          <w:color w:val="231F20"/>
          <w:spacing w:val="-5"/>
        </w:rPr>
        <w:t> </w:t>
      </w:r>
      <w:r>
        <w:rPr>
          <w:color w:val="231F20"/>
        </w:rPr>
        <w:t>planta,</w:t>
      </w:r>
      <w:r>
        <w:rPr>
          <w:color w:val="231F20"/>
          <w:spacing w:val="-5"/>
        </w:rPr>
        <w:t> </w:t>
      </w:r>
      <w:r>
        <w:rPr>
          <w:color w:val="231F20"/>
        </w:rPr>
        <w:t>área</w:t>
      </w:r>
      <w:r>
        <w:rPr>
          <w:color w:val="231F20"/>
          <w:spacing w:val="-5"/>
        </w:rPr>
        <w:t> </w:t>
      </w:r>
      <w:r>
        <w:rPr>
          <w:color w:val="231F20"/>
        </w:rPr>
        <w:t>foliar</w:t>
      </w:r>
      <w:r>
        <w:rPr>
          <w:color w:val="231F20"/>
          <w:spacing w:val="-5"/>
        </w:rPr>
        <w:t> </w:t>
      </w:r>
      <w:r>
        <w:rPr>
          <w:color w:val="231F20"/>
        </w:rPr>
        <w:t>a</w:t>
      </w:r>
      <w:r>
        <w:rPr>
          <w:color w:val="231F20"/>
          <w:spacing w:val="-5"/>
        </w:rPr>
        <w:t> </w:t>
      </w:r>
      <w:r>
        <w:rPr>
          <w:color w:val="231F20"/>
        </w:rPr>
        <w:t>los</w:t>
      </w:r>
      <w:r>
        <w:rPr>
          <w:color w:val="231F20"/>
          <w:spacing w:val="-5"/>
        </w:rPr>
        <w:t> </w:t>
      </w:r>
      <w:r>
        <w:rPr>
          <w:color w:val="231F20"/>
        </w:rPr>
        <w:t>30 y 60 dds, así como para la acumulación y velocidad de acumulación de materia seca a los 60 dds,  lo que probablemente se relaciona con un ángulo de inserción foliar semierecto. El genotipo H-50 mostró características deseables en cuanto a la velocidad de acumulación de materia seca entre los 30 y 60 dds, así como, para el área foliar a los 30 y 60 dds.</w:t>
      </w:r>
    </w:p>
    <w:p>
      <w:pPr>
        <w:pStyle w:val="BodyText"/>
        <w:spacing w:before="9"/>
        <w:rPr>
          <w:sz w:val="22"/>
        </w:rPr>
      </w:pPr>
    </w:p>
    <w:p>
      <w:pPr>
        <w:pStyle w:val="Heading3"/>
      </w:pPr>
      <w:r>
        <w:rPr>
          <w:color w:val="010202"/>
        </w:rPr>
        <w:t>Conclusiones</w:t>
      </w:r>
    </w:p>
    <w:p>
      <w:pPr>
        <w:pStyle w:val="BodyText"/>
        <w:spacing w:before="10"/>
        <w:rPr>
          <w:b/>
        </w:rPr>
      </w:pPr>
    </w:p>
    <w:p>
      <w:pPr>
        <w:pStyle w:val="BodyText"/>
        <w:ind w:left="1270"/>
        <w:jc w:val="both"/>
      </w:pPr>
      <w:r>
        <w:rPr>
          <w:color w:val="231F20"/>
        </w:rPr>
        <w:t>Con el estudio de parámetros morfológicos y fisiológicos desde la etapa vegetativa del cultivo, es</w:t>
      </w:r>
    </w:p>
    <w:p>
      <w:pPr>
        <w:pStyle w:val="BodyText"/>
        <w:spacing w:before="8"/>
        <w:ind w:left="1270"/>
        <w:jc w:val="both"/>
      </w:pPr>
      <w:r>
        <w:rPr>
          <w:color w:val="231F20"/>
        </w:rPr>
        <w:t>posible caracterizar genotipos de maíz para alta producción de materia seca.</w:t>
      </w:r>
    </w:p>
    <w:p>
      <w:pPr>
        <w:pStyle w:val="BodyText"/>
        <w:spacing w:before="4"/>
        <w:rPr>
          <w:sz w:val="23"/>
        </w:rPr>
      </w:pPr>
    </w:p>
    <w:p>
      <w:pPr>
        <w:pStyle w:val="Heading3"/>
      </w:pPr>
      <w:r>
        <w:rPr>
          <w:color w:val="010202"/>
        </w:rPr>
        <w:t>Lieratura citada</w:t>
      </w:r>
    </w:p>
    <w:p>
      <w:pPr>
        <w:pStyle w:val="BodyText"/>
        <w:spacing w:before="7"/>
        <w:rPr>
          <w:b/>
        </w:rPr>
      </w:pPr>
    </w:p>
    <w:p>
      <w:pPr>
        <w:spacing w:line="249" w:lineRule="auto" w:before="0"/>
        <w:ind w:left="1270" w:right="1268" w:firstLine="0"/>
        <w:jc w:val="both"/>
        <w:rPr>
          <w:sz w:val="19"/>
        </w:rPr>
      </w:pPr>
      <w:r>
        <w:rPr>
          <w:color w:val="231F20"/>
          <w:sz w:val="19"/>
        </w:rPr>
        <w:t>Andrio,</w:t>
      </w:r>
      <w:r>
        <w:rPr>
          <w:color w:val="231F20"/>
          <w:spacing w:val="-3"/>
          <w:sz w:val="19"/>
        </w:rPr>
        <w:t> </w:t>
      </w:r>
      <w:r>
        <w:rPr>
          <w:color w:val="231F20"/>
          <w:sz w:val="19"/>
        </w:rPr>
        <w:t>E.,</w:t>
      </w:r>
      <w:r>
        <w:rPr>
          <w:color w:val="231F20"/>
          <w:spacing w:val="-3"/>
          <w:sz w:val="19"/>
        </w:rPr>
        <w:t> </w:t>
      </w:r>
      <w:r>
        <w:rPr>
          <w:color w:val="231F20"/>
          <w:sz w:val="19"/>
        </w:rPr>
        <w:t>Rodríguez,</w:t>
      </w:r>
      <w:r>
        <w:rPr>
          <w:color w:val="231F20"/>
          <w:spacing w:val="-3"/>
          <w:sz w:val="19"/>
        </w:rPr>
        <w:t> </w:t>
      </w:r>
      <w:r>
        <w:rPr>
          <w:color w:val="231F20"/>
          <w:sz w:val="19"/>
        </w:rPr>
        <w:t>S.,</w:t>
      </w:r>
      <w:r>
        <w:rPr>
          <w:color w:val="231F20"/>
          <w:spacing w:val="-3"/>
          <w:sz w:val="19"/>
        </w:rPr>
        <w:t> </w:t>
      </w:r>
      <w:r>
        <w:rPr>
          <w:color w:val="231F20"/>
          <w:sz w:val="19"/>
        </w:rPr>
        <w:t>Palomo,</w:t>
      </w:r>
      <w:r>
        <w:rPr>
          <w:color w:val="231F20"/>
          <w:spacing w:val="-13"/>
          <w:sz w:val="19"/>
        </w:rPr>
        <w:t> </w:t>
      </w:r>
      <w:r>
        <w:rPr>
          <w:color w:val="231F20"/>
          <w:sz w:val="19"/>
        </w:rPr>
        <w:t>A.,</w:t>
      </w:r>
      <w:r>
        <w:rPr>
          <w:color w:val="231F20"/>
          <w:spacing w:val="-3"/>
          <w:sz w:val="19"/>
        </w:rPr>
        <w:t> </w:t>
      </w:r>
      <w:r>
        <w:rPr>
          <w:color w:val="231F20"/>
          <w:sz w:val="19"/>
        </w:rPr>
        <w:t>Espinosa,</w:t>
      </w:r>
      <w:r>
        <w:rPr>
          <w:color w:val="231F20"/>
          <w:spacing w:val="-13"/>
          <w:sz w:val="19"/>
        </w:rPr>
        <w:t> </w:t>
      </w:r>
      <w:r>
        <w:rPr>
          <w:color w:val="231F20"/>
          <w:sz w:val="19"/>
        </w:rPr>
        <w:t>A.,</w:t>
      </w:r>
      <w:r>
        <w:rPr>
          <w:color w:val="231F20"/>
          <w:spacing w:val="-3"/>
          <w:sz w:val="19"/>
        </w:rPr>
        <w:t> </w:t>
      </w:r>
      <w:r>
        <w:rPr>
          <w:color w:val="231F20"/>
          <w:sz w:val="19"/>
        </w:rPr>
        <w:t>Cervantes,</w:t>
      </w:r>
      <w:r>
        <w:rPr>
          <w:color w:val="231F20"/>
          <w:spacing w:val="-3"/>
          <w:sz w:val="19"/>
        </w:rPr>
        <w:t> </w:t>
      </w:r>
      <w:r>
        <w:rPr>
          <w:color w:val="231F20"/>
          <w:spacing w:val="-6"/>
          <w:sz w:val="19"/>
        </w:rPr>
        <w:t>F.,</w:t>
      </w:r>
      <w:r>
        <w:rPr>
          <w:color w:val="231F20"/>
          <w:spacing w:val="-3"/>
          <w:sz w:val="19"/>
        </w:rPr>
        <w:t> </w:t>
      </w:r>
      <w:r>
        <w:rPr>
          <w:color w:val="231F20"/>
          <w:sz w:val="19"/>
        </w:rPr>
        <w:t>Gutiérrez,</w:t>
      </w:r>
      <w:r>
        <w:rPr>
          <w:color w:val="231F20"/>
          <w:spacing w:val="-3"/>
          <w:sz w:val="19"/>
        </w:rPr>
        <w:t> </w:t>
      </w:r>
      <w:r>
        <w:rPr>
          <w:color w:val="231F20"/>
          <w:sz w:val="19"/>
        </w:rPr>
        <w:t>E.,</w:t>
      </w:r>
      <w:r>
        <w:rPr>
          <w:color w:val="231F20"/>
          <w:spacing w:val="-13"/>
          <w:sz w:val="19"/>
        </w:rPr>
        <w:t> </w:t>
      </w:r>
      <w:r>
        <w:rPr>
          <w:color w:val="231F20"/>
          <w:sz w:val="19"/>
        </w:rPr>
        <w:t>Arámbula,</w:t>
      </w:r>
      <w:r>
        <w:rPr>
          <w:color w:val="231F20"/>
          <w:spacing w:val="-3"/>
          <w:sz w:val="19"/>
        </w:rPr>
        <w:t> </w:t>
      </w:r>
      <w:r>
        <w:rPr>
          <w:color w:val="231F20"/>
          <w:sz w:val="19"/>
        </w:rPr>
        <w:t>G.</w:t>
      </w:r>
      <w:r>
        <w:rPr>
          <w:color w:val="231F20"/>
          <w:spacing w:val="-3"/>
          <w:sz w:val="19"/>
        </w:rPr>
        <w:t> </w:t>
      </w:r>
      <w:r>
        <w:rPr>
          <w:color w:val="231F20"/>
          <w:sz w:val="19"/>
        </w:rPr>
        <w:t>y</w:t>
      </w:r>
      <w:r>
        <w:rPr>
          <w:color w:val="231F20"/>
          <w:spacing w:val="-3"/>
          <w:sz w:val="19"/>
        </w:rPr>
        <w:t> </w:t>
      </w:r>
      <w:r>
        <w:rPr>
          <w:color w:val="231F20"/>
          <w:sz w:val="19"/>
        </w:rPr>
        <w:t>Mendoza,</w:t>
      </w:r>
      <w:r>
        <w:rPr>
          <w:color w:val="231F20"/>
          <w:spacing w:val="-3"/>
          <w:sz w:val="19"/>
        </w:rPr>
        <w:t> </w:t>
      </w:r>
      <w:r>
        <w:rPr>
          <w:color w:val="231F20"/>
          <w:sz w:val="19"/>
        </w:rPr>
        <w:t>M. 2011. Caracterización del potencial agronómico de maíces criollos para el mejoramiento genético. pp. 59-73. En:</w:t>
      </w:r>
      <w:r>
        <w:rPr>
          <w:color w:val="231F20"/>
          <w:spacing w:val="-6"/>
          <w:sz w:val="19"/>
        </w:rPr>
        <w:t> </w:t>
      </w:r>
      <w:r>
        <w:rPr>
          <w:color w:val="231F20"/>
          <w:sz w:val="19"/>
        </w:rPr>
        <w:t>Preciado,</w:t>
      </w:r>
      <w:r>
        <w:rPr>
          <w:color w:val="231F20"/>
          <w:spacing w:val="-5"/>
          <w:sz w:val="19"/>
        </w:rPr>
        <w:t> </w:t>
      </w:r>
      <w:r>
        <w:rPr>
          <w:color w:val="231F20"/>
          <w:sz w:val="19"/>
        </w:rPr>
        <w:t>R.</w:t>
      </w:r>
      <w:r>
        <w:rPr>
          <w:color w:val="231F20"/>
          <w:spacing w:val="-6"/>
          <w:sz w:val="19"/>
        </w:rPr>
        <w:t> </w:t>
      </w:r>
      <w:r>
        <w:rPr>
          <w:color w:val="231F20"/>
          <w:sz w:val="19"/>
        </w:rPr>
        <w:t>y</w:t>
      </w:r>
      <w:r>
        <w:rPr>
          <w:color w:val="231F20"/>
          <w:spacing w:val="-6"/>
          <w:sz w:val="19"/>
        </w:rPr>
        <w:t> </w:t>
      </w:r>
      <w:r>
        <w:rPr>
          <w:color w:val="231F20"/>
          <w:sz w:val="19"/>
        </w:rPr>
        <w:t>Montes,</w:t>
      </w:r>
      <w:r>
        <w:rPr>
          <w:color w:val="231F20"/>
          <w:spacing w:val="-5"/>
          <w:sz w:val="19"/>
        </w:rPr>
        <w:t> </w:t>
      </w:r>
      <w:r>
        <w:rPr>
          <w:color w:val="231F20"/>
          <w:sz w:val="19"/>
        </w:rPr>
        <w:t>S.</w:t>
      </w:r>
      <w:r>
        <w:rPr>
          <w:color w:val="231F20"/>
          <w:spacing w:val="-5"/>
          <w:sz w:val="19"/>
        </w:rPr>
        <w:t> </w:t>
      </w:r>
      <w:r>
        <w:rPr>
          <w:color w:val="231F20"/>
          <w:sz w:val="19"/>
        </w:rPr>
        <w:t>(eds.)</w:t>
      </w:r>
      <w:r>
        <w:rPr>
          <w:color w:val="231F20"/>
          <w:spacing w:val="-6"/>
          <w:sz w:val="19"/>
        </w:rPr>
        <w:t> </w:t>
      </w:r>
      <w:r>
        <w:rPr>
          <w:color w:val="231F20"/>
          <w:sz w:val="19"/>
        </w:rPr>
        <w:t>2011.</w:t>
      </w:r>
      <w:r>
        <w:rPr>
          <w:color w:val="231F20"/>
          <w:spacing w:val="-16"/>
          <w:sz w:val="19"/>
        </w:rPr>
        <w:t> </w:t>
      </w:r>
      <w:r>
        <w:rPr>
          <w:color w:val="231F20"/>
          <w:sz w:val="19"/>
        </w:rPr>
        <w:t>Amplitud,</w:t>
      </w:r>
      <w:r>
        <w:rPr>
          <w:color w:val="231F20"/>
          <w:spacing w:val="-5"/>
          <w:sz w:val="19"/>
        </w:rPr>
        <w:t> </w:t>
      </w:r>
      <w:r>
        <w:rPr>
          <w:color w:val="231F20"/>
          <w:sz w:val="19"/>
        </w:rPr>
        <w:t>mejoramiento,</w:t>
      </w:r>
      <w:r>
        <w:rPr>
          <w:color w:val="231F20"/>
          <w:spacing w:val="-6"/>
          <w:sz w:val="19"/>
        </w:rPr>
        <w:t> </w:t>
      </w:r>
      <w:r>
        <w:rPr>
          <w:color w:val="231F20"/>
          <w:sz w:val="19"/>
        </w:rPr>
        <w:t>usos</w:t>
      </w:r>
      <w:r>
        <w:rPr>
          <w:color w:val="231F20"/>
          <w:spacing w:val="-6"/>
          <w:sz w:val="19"/>
        </w:rPr>
        <w:t> </w:t>
      </w:r>
      <w:r>
        <w:rPr>
          <w:color w:val="231F20"/>
          <w:sz w:val="19"/>
        </w:rPr>
        <w:t>y</w:t>
      </w:r>
      <w:r>
        <w:rPr>
          <w:color w:val="231F20"/>
          <w:spacing w:val="-6"/>
          <w:sz w:val="19"/>
        </w:rPr>
        <w:t> </w:t>
      </w:r>
      <w:r>
        <w:rPr>
          <w:color w:val="231F20"/>
          <w:sz w:val="19"/>
        </w:rPr>
        <w:t>riesgos</w:t>
      </w:r>
      <w:r>
        <w:rPr>
          <w:color w:val="231F20"/>
          <w:spacing w:val="-6"/>
          <w:sz w:val="19"/>
        </w:rPr>
        <w:t> </w:t>
      </w:r>
      <w:r>
        <w:rPr>
          <w:color w:val="231F20"/>
          <w:sz w:val="19"/>
        </w:rPr>
        <w:t>de</w:t>
      </w:r>
      <w:r>
        <w:rPr>
          <w:color w:val="231F20"/>
          <w:spacing w:val="-5"/>
          <w:sz w:val="19"/>
        </w:rPr>
        <w:t> </w:t>
      </w:r>
      <w:r>
        <w:rPr>
          <w:color w:val="231F20"/>
          <w:sz w:val="19"/>
        </w:rPr>
        <w:t>la</w:t>
      </w:r>
      <w:r>
        <w:rPr>
          <w:color w:val="231F20"/>
          <w:spacing w:val="-6"/>
          <w:sz w:val="19"/>
        </w:rPr>
        <w:t> </w:t>
      </w:r>
      <w:r>
        <w:rPr>
          <w:color w:val="231F20"/>
          <w:sz w:val="19"/>
        </w:rPr>
        <w:t>diversidad</w:t>
      </w:r>
      <w:r>
        <w:rPr>
          <w:color w:val="231F20"/>
          <w:spacing w:val="-5"/>
          <w:sz w:val="19"/>
        </w:rPr>
        <w:t> </w:t>
      </w:r>
      <w:r>
        <w:rPr>
          <w:color w:val="231F20"/>
          <w:sz w:val="19"/>
        </w:rPr>
        <w:t>genética</w:t>
      </w:r>
      <w:r>
        <w:rPr>
          <w:color w:val="231F20"/>
          <w:spacing w:val="-5"/>
          <w:sz w:val="19"/>
        </w:rPr>
        <w:t> </w:t>
      </w:r>
      <w:r>
        <w:rPr>
          <w:color w:val="231F20"/>
          <w:sz w:val="19"/>
        </w:rPr>
        <w:t>de maíz en México. Sociedad Mexicana Fitogenética A.C. Chapingo, Edo. de México. pp.</w:t>
      </w:r>
      <w:r>
        <w:rPr>
          <w:color w:val="231F20"/>
          <w:spacing w:val="-12"/>
          <w:sz w:val="19"/>
        </w:rPr>
        <w:t> </w:t>
      </w:r>
      <w:r>
        <w:rPr>
          <w:color w:val="231F20"/>
          <w:sz w:val="19"/>
        </w:rPr>
        <w:t>274.</w:t>
      </w:r>
    </w:p>
    <w:p>
      <w:pPr>
        <w:pStyle w:val="BodyText"/>
        <w:spacing w:before="10"/>
        <w:rPr>
          <w:sz w:val="19"/>
        </w:rPr>
      </w:pPr>
    </w:p>
    <w:p>
      <w:pPr>
        <w:spacing w:line="249" w:lineRule="auto" w:before="0"/>
        <w:ind w:left="1270" w:right="1268" w:firstLine="0"/>
        <w:jc w:val="both"/>
        <w:rPr>
          <w:sz w:val="19"/>
        </w:rPr>
      </w:pPr>
      <w:r>
        <w:rPr>
          <w:color w:val="231F20"/>
          <w:sz w:val="19"/>
        </w:rPr>
        <w:t>Bonamico,</w:t>
      </w:r>
      <w:r>
        <w:rPr>
          <w:color w:val="231F20"/>
          <w:spacing w:val="-11"/>
          <w:sz w:val="19"/>
        </w:rPr>
        <w:t> </w:t>
      </w:r>
      <w:r>
        <w:rPr>
          <w:color w:val="231F20"/>
          <w:sz w:val="19"/>
        </w:rPr>
        <w:t>N.,</w:t>
      </w:r>
      <w:r>
        <w:rPr>
          <w:color w:val="231F20"/>
          <w:spacing w:val="-21"/>
          <w:sz w:val="19"/>
        </w:rPr>
        <w:t> </w:t>
      </w:r>
      <w:r>
        <w:rPr>
          <w:color w:val="231F20"/>
          <w:sz w:val="19"/>
        </w:rPr>
        <w:t>Aiassa,</w:t>
      </w:r>
      <w:r>
        <w:rPr>
          <w:color w:val="231F20"/>
          <w:spacing w:val="-10"/>
          <w:sz w:val="19"/>
        </w:rPr>
        <w:t> </w:t>
      </w:r>
      <w:r>
        <w:rPr>
          <w:color w:val="231F20"/>
          <w:sz w:val="19"/>
        </w:rPr>
        <w:t>M.,</w:t>
      </w:r>
      <w:r>
        <w:rPr>
          <w:color w:val="231F20"/>
          <w:spacing w:val="-10"/>
          <w:sz w:val="19"/>
        </w:rPr>
        <w:t> </w:t>
      </w:r>
      <w:r>
        <w:rPr>
          <w:color w:val="231F20"/>
          <w:sz w:val="19"/>
        </w:rPr>
        <w:t>Ibáñez</w:t>
      </w:r>
      <w:r>
        <w:rPr>
          <w:color w:val="231F20"/>
          <w:spacing w:val="-11"/>
          <w:sz w:val="19"/>
        </w:rPr>
        <w:t> </w:t>
      </w:r>
      <w:r>
        <w:rPr>
          <w:color w:val="231F20"/>
          <w:sz w:val="19"/>
        </w:rPr>
        <w:t>M.,</w:t>
      </w:r>
      <w:r>
        <w:rPr>
          <w:color w:val="231F20"/>
          <w:spacing w:val="-10"/>
          <w:sz w:val="19"/>
        </w:rPr>
        <w:t> </w:t>
      </w:r>
      <w:r>
        <w:rPr>
          <w:color w:val="231F20"/>
          <w:sz w:val="19"/>
        </w:rPr>
        <w:t>Di</w:t>
      </w:r>
      <w:r>
        <w:rPr>
          <w:color w:val="231F20"/>
          <w:spacing w:val="-10"/>
          <w:sz w:val="19"/>
        </w:rPr>
        <w:t> </w:t>
      </w:r>
      <w:r>
        <w:rPr>
          <w:color w:val="231F20"/>
          <w:sz w:val="19"/>
        </w:rPr>
        <w:t>Renzo,</w:t>
      </w:r>
      <w:r>
        <w:rPr>
          <w:color w:val="231F20"/>
          <w:spacing w:val="-11"/>
          <w:sz w:val="19"/>
        </w:rPr>
        <w:t> </w:t>
      </w:r>
      <w:r>
        <w:rPr>
          <w:color w:val="231F20"/>
          <w:sz w:val="19"/>
        </w:rPr>
        <w:t>M.,</w:t>
      </w:r>
      <w:r>
        <w:rPr>
          <w:color w:val="231F20"/>
          <w:spacing w:val="-10"/>
          <w:sz w:val="19"/>
        </w:rPr>
        <w:t> </w:t>
      </w:r>
      <w:r>
        <w:rPr>
          <w:color w:val="231F20"/>
          <w:sz w:val="19"/>
        </w:rPr>
        <w:t>Díaz,</w:t>
      </w:r>
      <w:r>
        <w:rPr>
          <w:color w:val="231F20"/>
          <w:spacing w:val="-11"/>
          <w:sz w:val="19"/>
        </w:rPr>
        <w:t> </w:t>
      </w:r>
      <w:r>
        <w:rPr>
          <w:color w:val="231F20"/>
          <w:sz w:val="19"/>
        </w:rPr>
        <w:t>D.</w:t>
      </w:r>
      <w:r>
        <w:rPr>
          <w:color w:val="231F20"/>
          <w:spacing w:val="-10"/>
          <w:sz w:val="19"/>
        </w:rPr>
        <w:t> </w:t>
      </w:r>
      <w:r>
        <w:rPr>
          <w:color w:val="231F20"/>
          <w:sz w:val="19"/>
        </w:rPr>
        <w:t>y</w:t>
      </w:r>
      <w:r>
        <w:rPr>
          <w:color w:val="231F20"/>
          <w:spacing w:val="-10"/>
          <w:sz w:val="19"/>
        </w:rPr>
        <w:t> </w:t>
      </w:r>
      <w:r>
        <w:rPr>
          <w:color w:val="231F20"/>
          <w:sz w:val="19"/>
        </w:rPr>
        <w:t>Salerno,</w:t>
      </w:r>
      <w:r>
        <w:rPr>
          <w:color w:val="231F20"/>
          <w:spacing w:val="-10"/>
          <w:sz w:val="19"/>
        </w:rPr>
        <w:t> </w:t>
      </w:r>
      <w:r>
        <w:rPr>
          <w:color w:val="231F20"/>
          <w:sz w:val="19"/>
        </w:rPr>
        <w:t>J.</w:t>
      </w:r>
      <w:r>
        <w:rPr>
          <w:color w:val="231F20"/>
          <w:spacing w:val="-10"/>
          <w:sz w:val="19"/>
        </w:rPr>
        <w:t> </w:t>
      </w:r>
      <w:r>
        <w:rPr>
          <w:color w:val="231F20"/>
          <w:sz w:val="19"/>
        </w:rPr>
        <w:t>2004.</w:t>
      </w:r>
      <w:r>
        <w:rPr>
          <w:color w:val="231F20"/>
          <w:spacing w:val="-10"/>
          <w:sz w:val="19"/>
        </w:rPr>
        <w:t> </w:t>
      </w:r>
      <w:r>
        <w:rPr>
          <w:color w:val="231F20"/>
          <w:sz w:val="19"/>
        </w:rPr>
        <w:t>Caracterización</w:t>
      </w:r>
      <w:r>
        <w:rPr>
          <w:color w:val="231F20"/>
          <w:spacing w:val="-11"/>
          <w:sz w:val="19"/>
        </w:rPr>
        <w:t> </w:t>
      </w:r>
      <w:r>
        <w:rPr>
          <w:color w:val="231F20"/>
          <w:sz w:val="19"/>
        </w:rPr>
        <w:t>y</w:t>
      </w:r>
      <w:r>
        <w:rPr>
          <w:color w:val="231F20"/>
          <w:spacing w:val="-10"/>
          <w:sz w:val="19"/>
        </w:rPr>
        <w:t> </w:t>
      </w:r>
      <w:r>
        <w:rPr>
          <w:color w:val="231F20"/>
          <w:sz w:val="19"/>
        </w:rPr>
        <w:t>clasificación de híbridos simples de maíz co marcadores SSR. Revista de Investigaciones Agropecuarias 33(2):</w:t>
      </w:r>
      <w:r>
        <w:rPr>
          <w:color w:val="231F20"/>
          <w:spacing w:val="-12"/>
          <w:sz w:val="19"/>
        </w:rPr>
        <w:t> </w:t>
      </w:r>
      <w:r>
        <w:rPr>
          <w:color w:val="231F20"/>
          <w:sz w:val="19"/>
        </w:rPr>
        <w:t>129-144.</w:t>
      </w:r>
    </w:p>
    <w:p>
      <w:pPr>
        <w:spacing w:after="0" w:line="249" w:lineRule="auto"/>
        <w:jc w:val="both"/>
        <w:rPr>
          <w:sz w:val="19"/>
        </w:rPr>
        <w:sectPr>
          <w:pgSz w:w="10920" w:h="13080"/>
          <w:pgMar w:header="0" w:footer="1025" w:top="420" w:bottom="1220" w:left="0" w:right="0"/>
        </w:sectPr>
      </w:pPr>
    </w:p>
    <w:p>
      <w:pPr>
        <w:pStyle w:val="BodyText"/>
        <w:rPr>
          <w:sz w:val="20"/>
        </w:rPr>
      </w:pPr>
    </w:p>
    <w:p>
      <w:pPr>
        <w:pStyle w:val="BodyText"/>
        <w:rPr>
          <w:sz w:val="20"/>
        </w:rPr>
      </w:pPr>
    </w:p>
    <w:p>
      <w:pPr>
        <w:pStyle w:val="BodyText"/>
        <w:spacing w:before="2"/>
        <w:rPr>
          <w:sz w:val="23"/>
        </w:rPr>
      </w:pPr>
    </w:p>
    <w:p>
      <w:pPr>
        <w:spacing w:line="249" w:lineRule="auto" w:before="76"/>
        <w:ind w:left="1270" w:right="1268" w:firstLine="0"/>
        <w:jc w:val="both"/>
        <w:rPr>
          <w:sz w:val="19"/>
        </w:rPr>
      </w:pPr>
      <w:r>
        <w:rPr>
          <w:color w:val="231F20"/>
          <w:sz w:val="19"/>
        </w:rPr>
        <w:t>Instituto</w:t>
      </w:r>
      <w:r>
        <w:rPr>
          <w:color w:val="231F20"/>
          <w:spacing w:val="-9"/>
          <w:sz w:val="19"/>
        </w:rPr>
        <w:t> </w:t>
      </w:r>
      <w:r>
        <w:rPr>
          <w:color w:val="231F20"/>
          <w:sz w:val="19"/>
        </w:rPr>
        <w:t>Nacional</w:t>
      </w:r>
      <w:r>
        <w:rPr>
          <w:color w:val="231F20"/>
          <w:spacing w:val="-9"/>
          <w:sz w:val="19"/>
        </w:rPr>
        <w:t> </w:t>
      </w:r>
      <w:r>
        <w:rPr>
          <w:color w:val="231F20"/>
          <w:sz w:val="19"/>
        </w:rPr>
        <w:t>de</w:t>
      </w:r>
      <w:r>
        <w:rPr>
          <w:color w:val="231F20"/>
          <w:spacing w:val="-9"/>
          <w:sz w:val="19"/>
        </w:rPr>
        <w:t> </w:t>
      </w:r>
      <w:r>
        <w:rPr>
          <w:color w:val="231F20"/>
          <w:sz w:val="19"/>
        </w:rPr>
        <w:t>Investigaciones</w:t>
      </w:r>
      <w:r>
        <w:rPr>
          <w:color w:val="231F20"/>
          <w:spacing w:val="-9"/>
          <w:sz w:val="19"/>
        </w:rPr>
        <w:t> </w:t>
      </w:r>
      <w:r>
        <w:rPr>
          <w:color w:val="231F20"/>
          <w:sz w:val="19"/>
        </w:rPr>
        <w:t>Forestales,</w:t>
      </w:r>
      <w:r>
        <w:rPr>
          <w:color w:val="231F20"/>
          <w:spacing w:val="-19"/>
          <w:sz w:val="19"/>
        </w:rPr>
        <w:t> </w:t>
      </w:r>
      <w:r>
        <w:rPr>
          <w:color w:val="231F20"/>
          <w:sz w:val="19"/>
        </w:rPr>
        <w:t>Agrícolas</w:t>
      </w:r>
      <w:r>
        <w:rPr>
          <w:color w:val="231F20"/>
          <w:spacing w:val="-9"/>
          <w:sz w:val="19"/>
        </w:rPr>
        <w:t> </w:t>
      </w:r>
      <w:r>
        <w:rPr>
          <w:color w:val="231F20"/>
          <w:sz w:val="19"/>
        </w:rPr>
        <w:t>y</w:t>
      </w:r>
      <w:r>
        <w:rPr>
          <w:color w:val="231F20"/>
          <w:spacing w:val="-9"/>
          <w:sz w:val="19"/>
        </w:rPr>
        <w:t> </w:t>
      </w:r>
      <w:r>
        <w:rPr>
          <w:color w:val="231F20"/>
          <w:sz w:val="19"/>
        </w:rPr>
        <w:t>Pecuarias.</w:t>
      </w:r>
      <w:r>
        <w:rPr>
          <w:color w:val="231F20"/>
          <w:spacing w:val="-9"/>
          <w:sz w:val="19"/>
        </w:rPr>
        <w:t> </w:t>
      </w:r>
      <w:r>
        <w:rPr>
          <w:color w:val="231F20"/>
          <w:sz w:val="19"/>
        </w:rPr>
        <w:t>2011.</w:t>
      </w:r>
      <w:r>
        <w:rPr>
          <w:color w:val="231F20"/>
          <w:spacing w:val="-9"/>
          <w:sz w:val="19"/>
        </w:rPr>
        <w:t> </w:t>
      </w:r>
      <w:r>
        <w:rPr>
          <w:color w:val="231F20"/>
          <w:sz w:val="19"/>
        </w:rPr>
        <w:t>Día</w:t>
      </w:r>
      <w:r>
        <w:rPr>
          <w:color w:val="231F20"/>
          <w:spacing w:val="-9"/>
          <w:sz w:val="19"/>
        </w:rPr>
        <w:t> </w:t>
      </w:r>
      <w:r>
        <w:rPr>
          <w:color w:val="231F20"/>
          <w:sz w:val="19"/>
        </w:rPr>
        <w:t>de</w:t>
      </w:r>
      <w:r>
        <w:rPr>
          <w:color w:val="231F20"/>
          <w:spacing w:val="-9"/>
          <w:sz w:val="19"/>
        </w:rPr>
        <w:t> </w:t>
      </w:r>
      <w:r>
        <w:rPr>
          <w:color w:val="231F20"/>
          <w:sz w:val="19"/>
        </w:rPr>
        <w:t>Campo</w:t>
      </w:r>
      <w:r>
        <w:rPr>
          <w:color w:val="231F20"/>
          <w:spacing w:val="-9"/>
          <w:sz w:val="19"/>
        </w:rPr>
        <w:t> </w:t>
      </w:r>
      <w:r>
        <w:rPr>
          <w:color w:val="231F20"/>
          <w:spacing w:val="-4"/>
          <w:sz w:val="19"/>
        </w:rPr>
        <w:t>CEVAMEX</w:t>
      </w:r>
      <w:r>
        <w:rPr>
          <w:color w:val="231F20"/>
          <w:spacing w:val="-9"/>
          <w:sz w:val="19"/>
        </w:rPr>
        <w:t> </w:t>
      </w:r>
      <w:r>
        <w:rPr>
          <w:color w:val="231F20"/>
          <w:sz w:val="19"/>
        </w:rPr>
        <w:t>2011. Campo</w:t>
      </w:r>
      <w:r>
        <w:rPr>
          <w:color w:val="231F20"/>
          <w:spacing w:val="-9"/>
          <w:sz w:val="19"/>
        </w:rPr>
        <w:t> </w:t>
      </w:r>
      <w:r>
        <w:rPr>
          <w:color w:val="231F20"/>
          <w:sz w:val="19"/>
        </w:rPr>
        <w:t>Experimental</w:t>
      </w:r>
      <w:r>
        <w:rPr>
          <w:color w:val="231F20"/>
          <w:spacing w:val="-13"/>
          <w:sz w:val="19"/>
        </w:rPr>
        <w:t> </w:t>
      </w:r>
      <w:r>
        <w:rPr>
          <w:color w:val="231F20"/>
          <w:spacing w:val="-5"/>
          <w:sz w:val="19"/>
        </w:rPr>
        <w:t>Valle</w:t>
      </w:r>
      <w:r>
        <w:rPr>
          <w:color w:val="231F20"/>
          <w:spacing w:val="-9"/>
          <w:sz w:val="19"/>
        </w:rPr>
        <w:t> </w:t>
      </w:r>
      <w:r>
        <w:rPr>
          <w:color w:val="231F20"/>
          <w:sz w:val="19"/>
        </w:rPr>
        <w:t>de</w:t>
      </w:r>
      <w:r>
        <w:rPr>
          <w:color w:val="231F20"/>
          <w:spacing w:val="-9"/>
          <w:sz w:val="19"/>
        </w:rPr>
        <w:t> </w:t>
      </w:r>
      <w:r>
        <w:rPr>
          <w:color w:val="231F20"/>
          <w:sz w:val="19"/>
        </w:rPr>
        <w:t>México.</w:t>
      </w:r>
      <w:r>
        <w:rPr>
          <w:color w:val="231F20"/>
          <w:spacing w:val="-9"/>
          <w:sz w:val="19"/>
        </w:rPr>
        <w:t> </w:t>
      </w:r>
      <w:r>
        <w:rPr>
          <w:color w:val="231F20"/>
          <w:sz w:val="19"/>
        </w:rPr>
        <w:t>Memoria</w:t>
      </w:r>
      <w:r>
        <w:rPr>
          <w:color w:val="231F20"/>
          <w:spacing w:val="-13"/>
          <w:sz w:val="19"/>
        </w:rPr>
        <w:t> </w:t>
      </w:r>
      <w:r>
        <w:rPr>
          <w:color w:val="231F20"/>
          <w:sz w:val="19"/>
        </w:rPr>
        <w:t>Técnica</w:t>
      </w:r>
      <w:r>
        <w:rPr>
          <w:color w:val="231F20"/>
          <w:spacing w:val="-9"/>
          <w:sz w:val="19"/>
        </w:rPr>
        <w:t> </w:t>
      </w:r>
      <w:r>
        <w:rPr>
          <w:color w:val="231F20"/>
          <w:sz w:val="19"/>
        </w:rPr>
        <w:t>#</w:t>
      </w:r>
      <w:r>
        <w:rPr>
          <w:color w:val="231F20"/>
          <w:spacing w:val="-9"/>
          <w:sz w:val="19"/>
        </w:rPr>
        <w:t> </w:t>
      </w:r>
      <w:r>
        <w:rPr>
          <w:color w:val="231F20"/>
          <w:sz w:val="19"/>
        </w:rPr>
        <w:t>12.</w:t>
      </w:r>
      <w:r>
        <w:rPr>
          <w:color w:val="231F20"/>
          <w:spacing w:val="-9"/>
          <w:sz w:val="19"/>
        </w:rPr>
        <w:t> </w:t>
      </w:r>
      <w:r>
        <w:rPr>
          <w:color w:val="231F20"/>
          <w:sz w:val="19"/>
        </w:rPr>
        <w:t>Secretaría</w:t>
      </w:r>
      <w:r>
        <w:rPr>
          <w:color w:val="231F20"/>
          <w:spacing w:val="-9"/>
          <w:sz w:val="19"/>
        </w:rPr>
        <w:t> </w:t>
      </w:r>
      <w:r>
        <w:rPr>
          <w:color w:val="231F20"/>
          <w:sz w:val="19"/>
        </w:rPr>
        <w:t>de</w:t>
      </w:r>
      <w:r>
        <w:rPr>
          <w:color w:val="231F20"/>
          <w:spacing w:val="-20"/>
          <w:sz w:val="19"/>
        </w:rPr>
        <w:t> </w:t>
      </w:r>
      <w:r>
        <w:rPr>
          <w:color w:val="231F20"/>
          <w:sz w:val="19"/>
        </w:rPr>
        <w:t>Agricultura,</w:t>
      </w:r>
      <w:r>
        <w:rPr>
          <w:color w:val="231F20"/>
          <w:spacing w:val="-9"/>
          <w:sz w:val="19"/>
        </w:rPr>
        <w:t> </w:t>
      </w:r>
      <w:r>
        <w:rPr>
          <w:color w:val="231F20"/>
          <w:sz w:val="19"/>
        </w:rPr>
        <w:t>Ganadería,</w:t>
      </w:r>
      <w:r>
        <w:rPr>
          <w:color w:val="231F20"/>
          <w:spacing w:val="-9"/>
          <w:sz w:val="19"/>
        </w:rPr>
        <w:t> </w:t>
      </w:r>
      <w:r>
        <w:rPr>
          <w:color w:val="231F20"/>
          <w:sz w:val="19"/>
        </w:rPr>
        <w:t>Desarrollo Rural, Pesca y Alimentación. pp.</w:t>
      </w:r>
      <w:r>
        <w:rPr>
          <w:color w:val="231F20"/>
          <w:spacing w:val="-11"/>
          <w:sz w:val="19"/>
        </w:rPr>
        <w:t> </w:t>
      </w:r>
      <w:r>
        <w:rPr>
          <w:color w:val="231F20"/>
          <w:sz w:val="19"/>
        </w:rPr>
        <w:t>306.</w:t>
      </w:r>
    </w:p>
    <w:p>
      <w:pPr>
        <w:pStyle w:val="BodyText"/>
        <w:spacing w:before="10"/>
        <w:rPr>
          <w:sz w:val="19"/>
        </w:rPr>
      </w:pPr>
    </w:p>
    <w:p>
      <w:pPr>
        <w:spacing w:line="249" w:lineRule="auto" w:before="0"/>
        <w:ind w:left="1270" w:right="1268" w:firstLine="0"/>
        <w:jc w:val="both"/>
        <w:rPr>
          <w:sz w:val="19"/>
        </w:rPr>
      </w:pPr>
      <w:r>
        <w:rPr>
          <w:color w:val="231F20"/>
          <w:sz w:val="19"/>
        </w:rPr>
        <w:t>Espinosa, A., </w:t>
      </w:r>
      <w:r>
        <w:rPr>
          <w:color w:val="231F20"/>
          <w:spacing w:val="-3"/>
          <w:sz w:val="19"/>
        </w:rPr>
        <w:t>Tadeo, </w:t>
      </w:r>
      <w:r>
        <w:rPr>
          <w:color w:val="231F20"/>
          <w:sz w:val="19"/>
        </w:rPr>
        <w:t>M., Lothrop, J., Azpiroz, S., Martínez, R., Pérez, J., Tut, C., Bonilla, J., María, A. y Sali- nas, </w:t>
      </w:r>
      <w:r>
        <w:rPr>
          <w:color w:val="231F20"/>
          <w:spacing w:val="-13"/>
          <w:sz w:val="19"/>
        </w:rPr>
        <w:t>Y. </w:t>
      </w:r>
      <w:r>
        <w:rPr>
          <w:color w:val="231F20"/>
          <w:sz w:val="19"/>
        </w:rPr>
        <w:t>2003a. H-48, nuevo híbrido de maíz temporal para los </w:t>
      </w:r>
      <w:r>
        <w:rPr>
          <w:color w:val="231F20"/>
          <w:spacing w:val="-4"/>
          <w:sz w:val="19"/>
        </w:rPr>
        <w:t>Valles </w:t>
      </w:r>
      <w:r>
        <w:rPr>
          <w:color w:val="231F20"/>
          <w:sz w:val="19"/>
        </w:rPr>
        <w:t>Altos del Centro de México. Agricultura Técnica en México 29(01): 85-87.</w:t>
      </w:r>
    </w:p>
    <w:p>
      <w:pPr>
        <w:pStyle w:val="BodyText"/>
        <w:spacing w:before="10"/>
        <w:rPr>
          <w:sz w:val="19"/>
        </w:rPr>
      </w:pPr>
    </w:p>
    <w:p>
      <w:pPr>
        <w:spacing w:line="249" w:lineRule="auto" w:before="0"/>
        <w:ind w:left="1270" w:right="1268" w:firstLine="0"/>
        <w:jc w:val="both"/>
        <w:rPr>
          <w:sz w:val="19"/>
        </w:rPr>
      </w:pPr>
      <w:r>
        <w:rPr>
          <w:color w:val="231F20"/>
          <w:sz w:val="19"/>
        </w:rPr>
        <w:t>Espinosa, A., Tadeo, M., Lothrop, J., Azpiroz, S., Tut, C. y Salinas, Y. 2003b. H-50, nuevo híbrido de maíz temporal para los Valles Altos del Centro de México. Agricultura Técnica en México 29(01): 89-92.</w:t>
      </w:r>
    </w:p>
    <w:p>
      <w:pPr>
        <w:pStyle w:val="BodyText"/>
        <w:spacing w:before="10"/>
        <w:rPr>
          <w:sz w:val="19"/>
        </w:rPr>
      </w:pPr>
    </w:p>
    <w:p>
      <w:pPr>
        <w:spacing w:line="249" w:lineRule="auto" w:before="0"/>
        <w:ind w:left="1270" w:right="1268" w:firstLine="0"/>
        <w:jc w:val="both"/>
        <w:rPr>
          <w:sz w:val="19"/>
        </w:rPr>
      </w:pPr>
      <w:r>
        <w:rPr>
          <w:color w:val="231F20"/>
          <w:sz w:val="19"/>
        </w:rPr>
        <w:t>García,</w:t>
      </w:r>
      <w:r>
        <w:rPr>
          <w:color w:val="231F20"/>
          <w:spacing w:val="-5"/>
          <w:sz w:val="19"/>
        </w:rPr>
        <w:t> </w:t>
      </w:r>
      <w:r>
        <w:rPr>
          <w:color w:val="231F20"/>
          <w:sz w:val="19"/>
        </w:rPr>
        <w:t>E.</w:t>
      </w:r>
      <w:r>
        <w:rPr>
          <w:color w:val="231F20"/>
          <w:spacing w:val="-5"/>
          <w:sz w:val="19"/>
        </w:rPr>
        <w:t> </w:t>
      </w:r>
      <w:r>
        <w:rPr>
          <w:color w:val="231F20"/>
          <w:sz w:val="19"/>
        </w:rPr>
        <w:t>2004.</w:t>
      </w:r>
      <w:r>
        <w:rPr>
          <w:color w:val="231F20"/>
          <w:spacing w:val="-5"/>
          <w:sz w:val="19"/>
        </w:rPr>
        <w:t> </w:t>
      </w:r>
      <w:r>
        <w:rPr>
          <w:color w:val="231F20"/>
          <w:sz w:val="19"/>
        </w:rPr>
        <w:t>Modificación</w:t>
      </w:r>
      <w:r>
        <w:rPr>
          <w:color w:val="231F20"/>
          <w:spacing w:val="-5"/>
          <w:sz w:val="19"/>
        </w:rPr>
        <w:t> </w:t>
      </w:r>
      <w:r>
        <w:rPr>
          <w:color w:val="231F20"/>
          <w:sz w:val="19"/>
        </w:rPr>
        <w:t>al</w:t>
      </w:r>
      <w:r>
        <w:rPr>
          <w:color w:val="231F20"/>
          <w:spacing w:val="-5"/>
          <w:sz w:val="19"/>
        </w:rPr>
        <w:t> </w:t>
      </w:r>
      <w:r>
        <w:rPr>
          <w:color w:val="231F20"/>
          <w:sz w:val="19"/>
        </w:rPr>
        <w:t>sistema</w:t>
      </w:r>
      <w:r>
        <w:rPr>
          <w:color w:val="231F20"/>
          <w:spacing w:val="-5"/>
          <w:sz w:val="19"/>
        </w:rPr>
        <w:t> </w:t>
      </w:r>
      <w:r>
        <w:rPr>
          <w:color w:val="231F20"/>
          <w:sz w:val="19"/>
        </w:rPr>
        <w:t>de</w:t>
      </w:r>
      <w:r>
        <w:rPr>
          <w:color w:val="231F20"/>
          <w:spacing w:val="-5"/>
          <w:sz w:val="19"/>
        </w:rPr>
        <w:t> </w:t>
      </w:r>
      <w:r>
        <w:rPr>
          <w:color w:val="231F20"/>
          <w:sz w:val="19"/>
        </w:rPr>
        <w:t>clasificación</w:t>
      </w:r>
      <w:r>
        <w:rPr>
          <w:color w:val="231F20"/>
          <w:spacing w:val="-5"/>
          <w:sz w:val="19"/>
        </w:rPr>
        <w:t> </w:t>
      </w:r>
      <w:r>
        <w:rPr>
          <w:color w:val="231F20"/>
          <w:sz w:val="19"/>
        </w:rPr>
        <w:t>climática</w:t>
      </w:r>
      <w:r>
        <w:rPr>
          <w:color w:val="231F20"/>
          <w:spacing w:val="-6"/>
          <w:sz w:val="19"/>
        </w:rPr>
        <w:t> </w:t>
      </w:r>
      <w:r>
        <w:rPr>
          <w:color w:val="231F20"/>
          <w:sz w:val="19"/>
        </w:rPr>
        <w:t>de</w:t>
      </w:r>
      <w:r>
        <w:rPr>
          <w:color w:val="231F20"/>
          <w:spacing w:val="-5"/>
          <w:sz w:val="19"/>
        </w:rPr>
        <w:t> </w:t>
      </w:r>
      <w:r>
        <w:rPr>
          <w:color w:val="231F20"/>
          <w:sz w:val="19"/>
        </w:rPr>
        <w:t>Köppen.</w:t>
      </w:r>
      <w:r>
        <w:rPr>
          <w:color w:val="231F20"/>
          <w:spacing w:val="-5"/>
          <w:sz w:val="19"/>
        </w:rPr>
        <w:t> </w:t>
      </w:r>
      <w:r>
        <w:rPr>
          <w:color w:val="231F20"/>
          <w:sz w:val="19"/>
        </w:rPr>
        <w:t>4ª</w:t>
      </w:r>
      <w:r>
        <w:rPr>
          <w:color w:val="231F20"/>
          <w:spacing w:val="-5"/>
          <w:sz w:val="19"/>
        </w:rPr>
        <w:t> </w:t>
      </w:r>
      <w:r>
        <w:rPr>
          <w:color w:val="231F20"/>
          <w:sz w:val="19"/>
        </w:rPr>
        <w:t>edición.</w:t>
      </w:r>
      <w:r>
        <w:rPr>
          <w:color w:val="231F20"/>
          <w:spacing w:val="-5"/>
          <w:sz w:val="19"/>
        </w:rPr>
        <w:t> </w:t>
      </w:r>
      <w:r>
        <w:rPr>
          <w:color w:val="231F20"/>
          <w:sz w:val="19"/>
        </w:rPr>
        <w:t>Instituto</w:t>
      </w:r>
      <w:r>
        <w:rPr>
          <w:color w:val="231F20"/>
          <w:spacing w:val="-5"/>
          <w:sz w:val="19"/>
        </w:rPr>
        <w:t> </w:t>
      </w:r>
      <w:r>
        <w:rPr>
          <w:color w:val="231F20"/>
          <w:sz w:val="19"/>
        </w:rPr>
        <w:t>de</w:t>
      </w:r>
      <w:r>
        <w:rPr>
          <w:color w:val="231F20"/>
          <w:spacing w:val="-5"/>
          <w:sz w:val="19"/>
        </w:rPr>
        <w:t> </w:t>
      </w:r>
      <w:r>
        <w:rPr>
          <w:color w:val="231F20"/>
          <w:sz w:val="19"/>
        </w:rPr>
        <w:t>Geogra- fía, Universidad Nacional Autónoma de México. 217</w:t>
      </w:r>
      <w:r>
        <w:rPr>
          <w:color w:val="231F20"/>
          <w:spacing w:val="-11"/>
          <w:sz w:val="19"/>
        </w:rPr>
        <w:t> </w:t>
      </w:r>
      <w:r>
        <w:rPr>
          <w:color w:val="231F20"/>
          <w:sz w:val="19"/>
        </w:rPr>
        <w:t>p.</w:t>
      </w:r>
    </w:p>
    <w:p>
      <w:pPr>
        <w:pStyle w:val="BodyText"/>
        <w:spacing w:before="10"/>
        <w:rPr>
          <w:sz w:val="19"/>
        </w:rPr>
      </w:pPr>
    </w:p>
    <w:p>
      <w:pPr>
        <w:spacing w:line="249" w:lineRule="auto" w:before="0"/>
        <w:ind w:left="1270" w:right="1268" w:firstLine="0"/>
        <w:jc w:val="both"/>
        <w:rPr>
          <w:sz w:val="19"/>
        </w:rPr>
      </w:pPr>
      <w:r>
        <w:rPr>
          <w:color w:val="231F20"/>
          <w:sz w:val="19"/>
        </w:rPr>
        <w:t>Kato, T., Mapes, C., Mera, L., Serratos, J., Bye, R. 2009. Origen y diversificación del maíz: una revisión analítica. Universidad Nacional Autónoma de México, Comisión Nacional para el Conocimiento y Uso de la Biodiversidad. 116pp.</w:t>
      </w:r>
    </w:p>
    <w:p>
      <w:pPr>
        <w:pStyle w:val="BodyText"/>
        <w:spacing w:before="10"/>
        <w:rPr>
          <w:sz w:val="19"/>
        </w:rPr>
      </w:pPr>
    </w:p>
    <w:p>
      <w:pPr>
        <w:spacing w:line="249" w:lineRule="auto" w:before="0"/>
        <w:ind w:left="1270" w:right="1268" w:firstLine="0"/>
        <w:jc w:val="both"/>
        <w:rPr>
          <w:sz w:val="19"/>
        </w:rPr>
      </w:pPr>
      <w:r>
        <w:rPr>
          <w:color w:val="231F20"/>
          <w:sz w:val="19"/>
        </w:rPr>
        <w:t>Loomis, R. y Williams, </w:t>
      </w:r>
      <w:r>
        <w:rPr>
          <w:color w:val="231F20"/>
          <w:spacing w:val="-9"/>
          <w:sz w:val="19"/>
        </w:rPr>
        <w:t>W. </w:t>
      </w:r>
      <w:r>
        <w:rPr>
          <w:color w:val="231F20"/>
          <w:sz w:val="19"/>
        </w:rPr>
        <w:t>1969. Productivity and the morphology of crop stands: patterns with leaves. En: Eastin, J., Haskins, </w:t>
      </w:r>
      <w:r>
        <w:rPr>
          <w:color w:val="231F20"/>
          <w:spacing w:val="-6"/>
          <w:sz w:val="19"/>
        </w:rPr>
        <w:t>F., </w:t>
      </w:r>
      <w:r>
        <w:rPr>
          <w:color w:val="231F20"/>
          <w:sz w:val="19"/>
        </w:rPr>
        <w:t>Sullivan, C. y </w:t>
      </w:r>
      <w:r>
        <w:rPr>
          <w:color w:val="231F20"/>
          <w:spacing w:val="-7"/>
          <w:sz w:val="19"/>
        </w:rPr>
        <w:t>Van </w:t>
      </w:r>
      <w:r>
        <w:rPr>
          <w:color w:val="231F20"/>
          <w:sz w:val="19"/>
        </w:rPr>
        <w:t>Bavel, C. Eds. Physiological aspects of crop yield. American</w:t>
      </w:r>
      <w:r>
        <w:rPr>
          <w:color w:val="231F20"/>
          <w:spacing w:val="-32"/>
          <w:sz w:val="19"/>
        </w:rPr>
        <w:t> </w:t>
      </w:r>
      <w:r>
        <w:rPr>
          <w:color w:val="231F20"/>
          <w:sz w:val="19"/>
        </w:rPr>
        <w:t>Society of Agronomy.</w:t>
      </w:r>
      <w:r>
        <w:rPr>
          <w:color w:val="231F20"/>
          <w:spacing w:val="-36"/>
          <w:sz w:val="19"/>
        </w:rPr>
        <w:t> </w:t>
      </w:r>
      <w:r>
        <w:rPr>
          <w:color w:val="231F20"/>
          <w:sz w:val="19"/>
        </w:rPr>
        <w:t>Wisonsin.</w:t>
      </w:r>
    </w:p>
    <w:p>
      <w:pPr>
        <w:pStyle w:val="BodyText"/>
        <w:spacing w:before="10"/>
        <w:rPr>
          <w:sz w:val="19"/>
        </w:rPr>
      </w:pPr>
    </w:p>
    <w:p>
      <w:pPr>
        <w:spacing w:before="0"/>
        <w:ind w:left="1270" w:right="0" w:firstLine="0"/>
        <w:jc w:val="both"/>
        <w:rPr>
          <w:sz w:val="19"/>
        </w:rPr>
      </w:pPr>
      <w:r>
        <w:rPr>
          <w:color w:val="231F20"/>
          <w:sz w:val="19"/>
        </w:rPr>
        <w:t>Mock, J. y Pearce, R. 1975. An ideotype of maize. Euphytica 24 (1975): 613-623.</w:t>
      </w:r>
    </w:p>
    <w:p>
      <w:pPr>
        <w:pStyle w:val="BodyText"/>
        <w:spacing w:before="7"/>
        <w:rPr>
          <w:sz w:val="20"/>
        </w:rPr>
      </w:pPr>
    </w:p>
    <w:p>
      <w:pPr>
        <w:spacing w:line="249" w:lineRule="auto" w:before="0"/>
        <w:ind w:left="1270" w:right="1268" w:firstLine="0"/>
        <w:jc w:val="both"/>
        <w:rPr>
          <w:sz w:val="19"/>
        </w:rPr>
      </w:pPr>
      <w:r>
        <w:rPr>
          <w:color w:val="231F20"/>
          <w:sz w:val="19"/>
        </w:rPr>
        <w:t>Núñez,</w:t>
      </w:r>
      <w:r>
        <w:rPr>
          <w:color w:val="231F20"/>
          <w:spacing w:val="-5"/>
          <w:sz w:val="19"/>
        </w:rPr>
        <w:t> </w:t>
      </w:r>
      <w:r>
        <w:rPr>
          <w:color w:val="231F20"/>
          <w:sz w:val="19"/>
        </w:rPr>
        <w:t>H.,</w:t>
      </w:r>
      <w:r>
        <w:rPr>
          <w:color w:val="231F20"/>
          <w:spacing w:val="-5"/>
          <w:sz w:val="19"/>
        </w:rPr>
        <w:t> </w:t>
      </w:r>
      <w:r>
        <w:rPr>
          <w:color w:val="231F20"/>
          <w:sz w:val="19"/>
        </w:rPr>
        <w:t>Contreras,</w:t>
      </w:r>
      <w:r>
        <w:rPr>
          <w:color w:val="231F20"/>
          <w:spacing w:val="-6"/>
          <w:sz w:val="19"/>
        </w:rPr>
        <w:t> </w:t>
      </w:r>
      <w:r>
        <w:rPr>
          <w:color w:val="231F20"/>
          <w:sz w:val="19"/>
        </w:rPr>
        <w:t>G.</w:t>
      </w:r>
      <w:r>
        <w:rPr>
          <w:color w:val="231F20"/>
          <w:spacing w:val="-5"/>
          <w:sz w:val="19"/>
        </w:rPr>
        <w:t> </w:t>
      </w:r>
      <w:r>
        <w:rPr>
          <w:color w:val="231F20"/>
          <w:sz w:val="19"/>
        </w:rPr>
        <w:t>y</w:t>
      </w:r>
      <w:r>
        <w:rPr>
          <w:color w:val="231F20"/>
          <w:spacing w:val="-5"/>
          <w:sz w:val="19"/>
        </w:rPr>
        <w:t> </w:t>
      </w:r>
      <w:r>
        <w:rPr>
          <w:color w:val="231F20"/>
          <w:sz w:val="19"/>
        </w:rPr>
        <w:t>Faz,</w:t>
      </w:r>
      <w:r>
        <w:rPr>
          <w:color w:val="231F20"/>
          <w:spacing w:val="-5"/>
          <w:sz w:val="19"/>
        </w:rPr>
        <w:t> </w:t>
      </w:r>
      <w:r>
        <w:rPr>
          <w:color w:val="231F20"/>
          <w:sz w:val="19"/>
        </w:rPr>
        <w:t>R.</w:t>
      </w:r>
      <w:r>
        <w:rPr>
          <w:color w:val="231F20"/>
          <w:spacing w:val="-5"/>
          <w:sz w:val="19"/>
        </w:rPr>
        <w:t> </w:t>
      </w:r>
      <w:r>
        <w:rPr>
          <w:color w:val="231F20"/>
          <w:sz w:val="19"/>
        </w:rPr>
        <w:t>2004.</w:t>
      </w:r>
      <w:r>
        <w:rPr>
          <w:color w:val="231F20"/>
          <w:spacing w:val="-5"/>
          <w:sz w:val="19"/>
        </w:rPr>
        <w:t> </w:t>
      </w:r>
      <w:r>
        <w:rPr>
          <w:color w:val="231F20"/>
          <w:sz w:val="19"/>
        </w:rPr>
        <w:t>Producción,</w:t>
      </w:r>
      <w:r>
        <w:rPr>
          <w:color w:val="231F20"/>
          <w:spacing w:val="-6"/>
          <w:sz w:val="19"/>
        </w:rPr>
        <w:t> </w:t>
      </w:r>
      <w:r>
        <w:rPr>
          <w:color w:val="231F20"/>
          <w:sz w:val="19"/>
        </w:rPr>
        <w:t>composición</w:t>
      </w:r>
      <w:r>
        <w:rPr>
          <w:color w:val="231F20"/>
          <w:spacing w:val="-6"/>
          <w:sz w:val="19"/>
        </w:rPr>
        <w:t> </w:t>
      </w:r>
      <w:r>
        <w:rPr>
          <w:color w:val="231F20"/>
          <w:sz w:val="19"/>
        </w:rPr>
        <w:t>química</w:t>
      </w:r>
      <w:r>
        <w:rPr>
          <w:color w:val="231F20"/>
          <w:spacing w:val="-6"/>
          <w:sz w:val="19"/>
        </w:rPr>
        <w:t> </w:t>
      </w:r>
      <w:r>
        <w:rPr>
          <w:color w:val="231F20"/>
          <w:sz w:val="19"/>
        </w:rPr>
        <w:t>y</w:t>
      </w:r>
      <w:r>
        <w:rPr>
          <w:color w:val="231F20"/>
          <w:spacing w:val="-5"/>
          <w:sz w:val="19"/>
        </w:rPr>
        <w:t> </w:t>
      </w:r>
      <w:r>
        <w:rPr>
          <w:color w:val="231F20"/>
          <w:sz w:val="19"/>
        </w:rPr>
        <w:t>digestibilidad</w:t>
      </w:r>
      <w:r>
        <w:rPr>
          <w:color w:val="231F20"/>
          <w:spacing w:val="-6"/>
          <w:sz w:val="19"/>
        </w:rPr>
        <w:t> </w:t>
      </w:r>
      <w:r>
        <w:rPr>
          <w:color w:val="231F20"/>
          <w:sz w:val="19"/>
        </w:rPr>
        <w:t>in</w:t>
      </w:r>
      <w:r>
        <w:rPr>
          <w:color w:val="231F20"/>
          <w:spacing w:val="-5"/>
          <w:sz w:val="19"/>
        </w:rPr>
        <w:t> </w:t>
      </w:r>
      <w:r>
        <w:rPr>
          <w:color w:val="231F20"/>
          <w:sz w:val="19"/>
        </w:rPr>
        <w:t>vitro</w:t>
      </w:r>
      <w:r>
        <w:rPr>
          <w:color w:val="231F20"/>
          <w:spacing w:val="-6"/>
          <w:sz w:val="19"/>
        </w:rPr>
        <w:t> </w:t>
      </w:r>
      <w:r>
        <w:rPr>
          <w:color w:val="231F20"/>
          <w:sz w:val="19"/>
        </w:rPr>
        <w:t>de</w:t>
      </w:r>
      <w:r>
        <w:rPr>
          <w:color w:val="231F20"/>
          <w:spacing w:val="-5"/>
          <w:sz w:val="19"/>
        </w:rPr>
        <w:t> </w:t>
      </w:r>
      <w:r>
        <w:rPr>
          <w:color w:val="231F20"/>
          <w:sz w:val="19"/>
        </w:rPr>
        <w:t>híbridos de maíz de origen tropical y templado en la región árida del norte de México. </w:t>
      </w:r>
      <w:r>
        <w:rPr>
          <w:color w:val="231F20"/>
          <w:spacing w:val="-3"/>
          <w:sz w:val="19"/>
        </w:rPr>
        <w:t>Avances </w:t>
      </w:r>
      <w:r>
        <w:rPr>
          <w:color w:val="231F20"/>
          <w:sz w:val="19"/>
        </w:rPr>
        <w:t>en Investigación Agro- pecuaria 8: 1-9.</w:t>
      </w:r>
    </w:p>
    <w:p>
      <w:pPr>
        <w:pStyle w:val="BodyText"/>
        <w:spacing w:before="10"/>
        <w:rPr>
          <w:sz w:val="19"/>
        </w:rPr>
      </w:pPr>
    </w:p>
    <w:p>
      <w:pPr>
        <w:spacing w:before="0"/>
        <w:ind w:left="1270" w:right="0" w:firstLine="0"/>
        <w:jc w:val="both"/>
        <w:rPr>
          <w:sz w:val="19"/>
        </w:rPr>
      </w:pPr>
      <w:r>
        <w:rPr>
          <w:color w:val="231F20"/>
          <w:sz w:val="19"/>
        </w:rPr>
        <w:t>Pendleton, J., Smith, G., Winter, R., Johnston, T. 1968. Field investigations of the relationships of leaf angle in</w:t>
      </w:r>
    </w:p>
    <w:p>
      <w:pPr>
        <w:spacing w:line="501" w:lineRule="auto" w:before="9"/>
        <w:ind w:left="1270" w:right="2319" w:firstLine="0"/>
        <w:jc w:val="left"/>
        <w:rPr>
          <w:sz w:val="19"/>
        </w:rPr>
      </w:pPr>
      <w:r>
        <w:rPr>
          <w:color w:val="231F20"/>
          <w:sz w:val="19"/>
        </w:rPr>
        <w:t>corn (</w:t>
      </w:r>
      <w:r>
        <w:rPr>
          <w:i/>
          <w:color w:val="231F20"/>
          <w:sz w:val="19"/>
        </w:rPr>
        <w:t>Zea mays </w:t>
      </w:r>
      <w:r>
        <w:rPr>
          <w:color w:val="231F20"/>
          <w:sz w:val="19"/>
        </w:rPr>
        <w:t>L.) to grain yield and apparent photosynthesis. Agronomy Journal 60: 422-424. Reyes, C. 1990. El maíz y su cultivo. AGT-EDITOR S.A. México. 460 pp.</w:t>
      </w:r>
    </w:p>
    <w:p>
      <w:pPr>
        <w:spacing w:line="249" w:lineRule="auto" w:before="8"/>
        <w:ind w:left="1270" w:right="1268" w:firstLine="0"/>
        <w:jc w:val="both"/>
        <w:rPr>
          <w:sz w:val="19"/>
        </w:rPr>
      </w:pPr>
      <w:r>
        <w:rPr>
          <w:color w:val="231F20"/>
          <w:sz w:val="19"/>
        </w:rPr>
        <w:t>Smith,</w:t>
      </w:r>
      <w:r>
        <w:rPr>
          <w:color w:val="231F20"/>
          <w:spacing w:val="-6"/>
          <w:sz w:val="19"/>
        </w:rPr>
        <w:t> </w:t>
      </w:r>
      <w:r>
        <w:rPr>
          <w:color w:val="231F20"/>
          <w:sz w:val="19"/>
        </w:rPr>
        <w:t>I.</w:t>
      </w:r>
      <w:r>
        <w:rPr>
          <w:color w:val="231F20"/>
          <w:spacing w:val="-6"/>
          <w:sz w:val="19"/>
        </w:rPr>
        <w:t> </w:t>
      </w:r>
      <w:r>
        <w:rPr>
          <w:color w:val="231F20"/>
          <w:sz w:val="19"/>
        </w:rPr>
        <w:t>y</w:t>
      </w:r>
      <w:r>
        <w:rPr>
          <w:color w:val="231F20"/>
          <w:spacing w:val="-6"/>
          <w:sz w:val="19"/>
        </w:rPr>
        <w:t> </w:t>
      </w:r>
      <w:r>
        <w:rPr>
          <w:color w:val="231F20"/>
          <w:sz w:val="19"/>
        </w:rPr>
        <w:t>Smith,</w:t>
      </w:r>
      <w:r>
        <w:rPr>
          <w:color w:val="231F20"/>
          <w:spacing w:val="-6"/>
          <w:sz w:val="19"/>
        </w:rPr>
        <w:t> </w:t>
      </w:r>
      <w:r>
        <w:rPr>
          <w:color w:val="231F20"/>
          <w:sz w:val="19"/>
        </w:rPr>
        <w:t>O.</w:t>
      </w:r>
      <w:r>
        <w:rPr>
          <w:color w:val="231F20"/>
          <w:spacing w:val="-6"/>
          <w:sz w:val="19"/>
        </w:rPr>
        <w:t> </w:t>
      </w:r>
      <w:r>
        <w:rPr>
          <w:color w:val="231F20"/>
          <w:sz w:val="19"/>
        </w:rPr>
        <w:t>1989.</w:t>
      </w:r>
      <w:r>
        <w:rPr>
          <w:color w:val="231F20"/>
          <w:spacing w:val="-9"/>
          <w:sz w:val="19"/>
        </w:rPr>
        <w:t> </w:t>
      </w:r>
      <w:r>
        <w:rPr>
          <w:color w:val="231F20"/>
          <w:sz w:val="19"/>
        </w:rPr>
        <w:t>The</w:t>
      </w:r>
      <w:r>
        <w:rPr>
          <w:color w:val="231F20"/>
          <w:spacing w:val="-6"/>
          <w:sz w:val="19"/>
        </w:rPr>
        <w:t> </w:t>
      </w:r>
      <w:r>
        <w:rPr>
          <w:color w:val="231F20"/>
          <w:sz w:val="19"/>
        </w:rPr>
        <w:t>description</w:t>
      </w:r>
      <w:r>
        <w:rPr>
          <w:color w:val="231F20"/>
          <w:spacing w:val="-6"/>
          <w:sz w:val="19"/>
        </w:rPr>
        <w:t> </w:t>
      </w:r>
      <w:r>
        <w:rPr>
          <w:color w:val="231F20"/>
          <w:sz w:val="19"/>
        </w:rPr>
        <w:t>and</w:t>
      </w:r>
      <w:r>
        <w:rPr>
          <w:color w:val="231F20"/>
          <w:spacing w:val="-6"/>
          <w:sz w:val="19"/>
        </w:rPr>
        <w:t> </w:t>
      </w:r>
      <w:r>
        <w:rPr>
          <w:color w:val="231F20"/>
          <w:sz w:val="19"/>
        </w:rPr>
        <w:t>assessment</w:t>
      </w:r>
      <w:r>
        <w:rPr>
          <w:color w:val="231F20"/>
          <w:spacing w:val="-6"/>
          <w:sz w:val="19"/>
        </w:rPr>
        <w:t> </w:t>
      </w:r>
      <w:r>
        <w:rPr>
          <w:color w:val="231F20"/>
          <w:sz w:val="19"/>
        </w:rPr>
        <w:t>of</w:t>
      </w:r>
      <w:r>
        <w:rPr>
          <w:color w:val="231F20"/>
          <w:spacing w:val="-6"/>
          <w:sz w:val="19"/>
        </w:rPr>
        <w:t> </w:t>
      </w:r>
      <w:r>
        <w:rPr>
          <w:color w:val="231F20"/>
          <w:sz w:val="19"/>
        </w:rPr>
        <w:t>distances</w:t>
      </w:r>
      <w:r>
        <w:rPr>
          <w:color w:val="231F20"/>
          <w:spacing w:val="-6"/>
          <w:sz w:val="19"/>
        </w:rPr>
        <w:t> </w:t>
      </w:r>
      <w:r>
        <w:rPr>
          <w:color w:val="231F20"/>
          <w:sz w:val="19"/>
        </w:rPr>
        <w:t>between</w:t>
      </w:r>
      <w:r>
        <w:rPr>
          <w:color w:val="231F20"/>
          <w:spacing w:val="-6"/>
          <w:sz w:val="19"/>
        </w:rPr>
        <w:t> </w:t>
      </w:r>
      <w:r>
        <w:rPr>
          <w:color w:val="231F20"/>
          <w:sz w:val="19"/>
        </w:rPr>
        <w:t>inbred</w:t>
      </w:r>
      <w:r>
        <w:rPr>
          <w:color w:val="231F20"/>
          <w:spacing w:val="-6"/>
          <w:sz w:val="19"/>
        </w:rPr>
        <w:t> </w:t>
      </w:r>
      <w:r>
        <w:rPr>
          <w:color w:val="231F20"/>
          <w:sz w:val="19"/>
        </w:rPr>
        <w:t>lines</w:t>
      </w:r>
      <w:r>
        <w:rPr>
          <w:color w:val="231F20"/>
          <w:spacing w:val="-6"/>
          <w:sz w:val="19"/>
        </w:rPr>
        <w:t> </w:t>
      </w:r>
      <w:r>
        <w:rPr>
          <w:color w:val="231F20"/>
          <w:sz w:val="19"/>
        </w:rPr>
        <w:t>of</w:t>
      </w:r>
      <w:r>
        <w:rPr>
          <w:color w:val="231F20"/>
          <w:spacing w:val="-6"/>
          <w:sz w:val="19"/>
        </w:rPr>
        <w:t> </w:t>
      </w:r>
      <w:r>
        <w:rPr>
          <w:color w:val="231F20"/>
          <w:sz w:val="19"/>
        </w:rPr>
        <w:t>maize:</w:t>
      </w:r>
      <w:r>
        <w:rPr>
          <w:color w:val="231F20"/>
          <w:spacing w:val="-9"/>
          <w:sz w:val="19"/>
        </w:rPr>
        <w:t> </w:t>
      </w:r>
      <w:r>
        <w:rPr>
          <w:color w:val="231F20"/>
          <w:sz w:val="19"/>
        </w:rPr>
        <w:t>The</w:t>
      </w:r>
      <w:r>
        <w:rPr>
          <w:color w:val="231F20"/>
          <w:spacing w:val="-6"/>
          <w:sz w:val="19"/>
        </w:rPr>
        <w:t> </w:t>
      </w:r>
      <w:r>
        <w:rPr>
          <w:color w:val="231F20"/>
          <w:sz w:val="19"/>
        </w:rPr>
        <w:t>use of morphological traits as descriptors. Maydica 34: 141-150.</w:t>
      </w:r>
    </w:p>
    <w:p>
      <w:pPr>
        <w:pStyle w:val="BodyText"/>
        <w:spacing w:before="10"/>
        <w:rPr>
          <w:sz w:val="19"/>
        </w:rPr>
      </w:pPr>
    </w:p>
    <w:p>
      <w:pPr>
        <w:spacing w:before="0"/>
        <w:ind w:left="1270" w:right="0" w:firstLine="0"/>
        <w:jc w:val="both"/>
        <w:rPr>
          <w:sz w:val="19"/>
        </w:rPr>
      </w:pPr>
      <w:r>
        <w:rPr>
          <w:color w:val="231F20"/>
          <w:sz w:val="19"/>
        </w:rPr>
        <w:t>Servicio Nacional de Inspección y Certificación de Semillas (SNICS). 2009. Manual gráfico para la descripción</w:t>
      </w:r>
    </w:p>
    <w:p>
      <w:pPr>
        <w:spacing w:before="9"/>
        <w:ind w:left="1270" w:right="0" w:firstLine="0"/>
        <w:jc w:val="both"/>
        <w:rPr>
          <w:sz w:val="19"/>
        </w:rPr>
      </w:pPr>
      <w:r>
        <w:rPr>
          <w:color w:val="231F20"/>
          <w:sz w:val="19"/>
        </w:rPr>
        <w:t>varietal del maíz (</w:t>
      </w:r>
      <w:r>
        <w:rPr>
          <w:i/>
          <w:color w:val="231F20"/>
          <w:sz w:val="19"/>
        </w:rPr>
        <w:t>Zea mays </w:t>
      </w:r>
      <w:r>
        <w:rPr>
          <w:color w:val="231F20"/>
          <w:sz w:val="19"/>
        </w:rPr>
        <w:t>L.). SNICS-CP.</w:t>
      </w:r>
    </w:p>
    <w:p>
      <w:pPr>
        <w:pStyle w:val="BodyText"/>
        <w:spacing w:before="7"/>
        <w:rPr>
          <w:sz w:val="20"/>
        </w:rPr>
      </w:pPr>
    </w:p>
    <w:p>
      <w:pPr>
        <w:spacing w:line="273" w:lineRule="auto" w:before="0"/>
        <w:ind w:left="1270" w:right="1268" w:firstLine="0"/>
        <w:jc w:val="both"/>
        <w:rPr>
          <w:sz w:val="19"/>
        </w:rPr>
      </w:pPr>
      <w:r>
        <w:rPr>
          <w:color w:val="231F20"/>
          <w:spacing w:val="-3"/>
          <w:sz w:val="19"/>
        </w:rPr>
        <w:t>Tadeo,</w:t>
      </w:r>
      <w:r>
        <w:rPr>
          <w:color w:val="231F20"/>
          <w:spacing w:val="-4"/>
          <w:sz w:val="19"/>
        </w:rPr>
        <w:t> </w:t>
      </w:r>
      <w:r>
        <w:rPr>
          <w:color w:val="231F20"/>
          <w:sz w:val="19"/>
        </w:rPr>
        <w:t>M.</w:t>
      </w:r>
      <w:r>
        <w:rPr>
          <w:color w:val="231F20"/>
          <w:spacing w:val="-4"/>
          <w:sz w:val="19"/>
        </w:rPr>
        <w:t> </w:t>
      </w:r>
      <w:r>
        <w:rPr>
          <w:color w:val="231F20"/>
          <w:sz w:val="19"/>
        </w:rPr>
        <w:t>y</w:t>
      </w:r>
      <w:r>
        <w:rPr>
          <w:color w:val="231F20"/>
          <w:spacing w:val="-4"/>
          <w:sz w:val="19"/>
        </w:rPr>
        <w:t> </w:t>
      </w:r>
      <w:r>
        <w:rPr>
          <w:color w:val="231F20"/>
          <w:sz w:val="19"/>
        </w:rPr>
        <w:t>Espinosa,</w:t>
      </w:r>
      <w:r>
        <w:rPr>
          <w:color w:val="231F20"/>
          <w:spacing w:val="-15"/>
          <w:sz w:val="19"/>
        </w:rPr>
        <w:t> </w:t>
      </w:r>
      <w:r>
        <w:rPr>
          <w:color w:val="231F20"/>
          <w:sz w:val="19"/>
        </w:rPr>
        <w:t>A.</w:t>
      </w:r>
      <w:r>
        <w:rPr>
          <w:color w:val="231F20"/>
          <w:spacing w:val="-4"/>
          <w:sz w:val="19"/>
        </w:rPr>
        <w:t> </w:t>
      </w:r>
      <w:r>
        <w:rPr>
          <w:color w:val="231F20"/>
          <w:sz w:val="19"/>
        </w:rPr>
        <w:t>2004.</w:t>
      </w:r>
      <w:r>
        <w:rPr>
          <w:color w:val="231F20"/>
          <w:spacing w:val="-4"/>
          <w:sz w:val="19"/>
        </w:rPr>
        <w:t> </w:t>
      </w:r>
      <w:r>
        <w:rPr>
          <w:color w:val="231F20"/>
          <w:sz w:val="19"/>
        </w:rPr>
        <w:t>Producción</w:t>
      </w:r>
      <w:r>
        <w:rPr>
          <w:color w:val="231F20"/>
          <w:spacing w:val="-4"/>
          <w:sz w:val="19"/>
        </w:rPr>
        <w:t> </w:t>
      </w:r>
      <w:r>
        <w:rPr>
          <w:color w:val="231F20"/>
          <w:sz w:val="19"/>
        </w:rPr>
        <w:t>y</w:t>
      </w:r>
      <w:r>
        <w:rPr>
          <w:color w:val="231F20"/>
          <w:spacing w:val="-8"/>
          <w:sz w:val="19"/>
        </w:rPr>
        <w:t> </w:t>
      </w:r>
      <w:r>
        <w:rPr>
          <w:color w:val="231F20"/>
          <w:sz w:val="19"/>
        </w:rPr>
        <w:t>Tecnología</w:t>
      </w:r>
      <w:r>
        <w:rPr>
          <w:color w:val="231F20"/>
          <w:spacing w:val="-4"/>
          <w:sz w:val="19"/>
        </w:rPr>
        <w:t> </w:t>
      </w:r>
      <w:r>
        <w:rPr>
          <w:color w:val="231F20"/>
          <w:sz w:val="19"/>
        </w:rPr>
        <w:t>de</w:t>
      </w:r>
      <w:r>
        <w:rPr>
          <w:color w:val="231F20"/>
          <w:spacing w:val="-4"/>
          <w:sz w:val="19"/>
        </w:rPr>
        <w:t> </w:t>
      </w:r>
      <w:r>
        <w:rPr>
          <w:color w:val="231F20"/>
          <w:sz w:val="19"/>
        </w:rPr>
        <w:t>semillas.</w:t>
      </w:r>
      <w:r>
        <w:rPr>
          <w:color w:val="231F20"/>
          <w:spacing w:val="-4"/>
          <w:sz w:val="19"/>
        </w:rPr>
        <w:t> </w:t>
      </w:r>
      <w:r>
        <w:rPr>
          <w:color w:val="231F20"/>
          <w:sz w:val="19"/>
        </w:rPr>
        <w:t>Universidad</w:t>
      </w:r>
      <w:r>
        <w:rPr>
          <w:color w:val="231F20"/>
          <w:spacing w:val="-4"/>
          <w:sz w:val="19"/>
        </w:rPr>
        <w:t> </w:t>
      </w:r>
      <w:r>
        <w:rPr>
          <w:color w:val="231F20"/>
          <w:sz w:val="19"/>
        </w:rPr>
        <w:t>Nacional</w:t>
      </w:r>
      <w:r>
        <w:rPr>
          <w:color w:val="231F20"/>
          <w:spacing w:val="-15"/>
          <w:sz w:val="19"/>
        </w:rPr>
        <w:t> </w:t>
      </w:r>
      <w:r>
        <w:rPr>
          <w:color w:val="231F20"/>
          <w:sz w:val="19"/>
        </w:rPr>
        <w:t>Autónoma</w:t>
      </w:r>
      <w:r>
        <w:rPr>
          <w:color w:val="231F20"/>
          <w:spacing w:val="-4"/>
          <w:sz w:val="19"/>
        </w:rPr>
        <w:t> </w:t>
      </w:r>
      <w:r>
        <w:rPr>
          <w:color w:val="231F20"/>
          <w:sz w:val="19"/>
        </w:rPr>
        <w:t>de</w:t>
      </w:r>
      <w:r>
        <w:rPr>
          <w:color w:val="231F20"/>
          <w:spacing w:val="-4"/>
          <w:sz w:val="19"/>
        </w:rPr>
        <w:t> </w:t>
      </w:r>
      <w:r>
        <w:rPr>
          <w:color w:val="231F20"/>
          <w:sz w:val="19"/>
        </w:rPr>
        <w:t>Mé- xico. Facultad de Estudios Superiores Cuautitlán. División de Ciencias Agropecuarias. 106</w:t>
      </w:r>
      <w:r>
        <w:rPr>
          <w:color w:val="231F20"/>
          <w:spacing w:val="-12"/>
          <w:sz w:val="19"/>
        </w:rPr>
        <w:t> </w:t>
      </w:r>
      <w:r>
        <w:rPr>
          <w:color w:val="231F20"/>
          <w:sz w:val="19"/>
        </w:rPr>
        <w:t>pp.</w:t>
      </w:r>
    </w:p>
    <w:p>
      <w:pPr>
        <w:spacing w:after="0" w:line="273" w:lineRule="auto"/>
        <w:jc w:val="both"/>
        <w:rPr>
          <w:sz w:val="19"/>
        </w:rPr>
        <w:sectPr>
          <w:pgSz w:w="10920" w:h="13080"/>
          <w:pgMar w:header="0" w:footer="1025" w:top="420" w:bottom="1220" w:left="0" w:right="0"/>
        </w:sectPr>
      </w:pPr>
    </w:p>
    <w:p>
      <w:pPr>
        <w:pStyle w:val="BodyText"/>
        <w:rPr>
          <w:sz w:val="20"/>
        </w:rPr>
      </w:pPr>
    </w:p>
    <w:p>
      <w:pPr>
        <w:pStyle w:val="BodyText"/>
        <w:rPr>
          <w:sz w:val="20"/>
        </w:rPr>
      </w:pPr>
    </w:p>
    <w:p>
      <w:pPr>
        <w:pStyle w:val="BodyText"/>
        <w:spacing w:before="6"/>
        <w:rPr>
          <w:sz w:val="23"/>
        </w:rPr>
      </w:pPr>
    </w:p>
    <w:p>
      <w:pPr>
        <w:spacing w:line="247" w:lineRule="auto" w:before="69"/>
        <w:ind w:left="2639" w:right="2637" w:firstLine="0"/>
        <w:jc w:val="center"/>
        <w:rPr>
          <w:rFonts w:ascii="Trebuchet MS" w:hAnsi="Trebuchet MS"/>
          <w:i/>
          <w:sz w:val="14"/>
        </w:rPr>
      </w:pPr>
      <w:r>
        <w:rPr>
          <w:rFonts w:ascii="Trebuchet MS" w:hAnsi="Trebuchet MS"/>
          <w:i/>
          <w:color w:val="010202"/>
          <w:spacing w:val="-3"/>
          <w:sz w:val="24"/>
        </w:rPr>
        <w:t>José Cruz Salazar </w:t>
      </w:r>
      <w:r>
        <w:rPr>
          <w:rFonts w:ascii="Trebuchet MS" w:hAnsi="Trebuchet MS"/>
          <w:i/>
          <w:color w:val="010202"/>
          <w:spacing w:val="-6"/>
          <w:sz w:val="24"/>
        </w:rPr>
        <w:t>Torres</w:t>
      </w:r>
      <w:r>
        <w:rPr>
          <w:rFonts w:ascii="Trebuchet MS" w:hAnsi="Trebuchet MS"/>
          <w:i/>
          <w:color w:val="010202"/>
          <w:spacing w:val="-6"/>
          <w:position w:val="8"/>
          <w:sz w:val="14"/>
        </w:rPr>
        <w:t>1</w:t>
      </w:r>
      <w:r>
        <w:rPr>
          <w:rFonts w:ascii="Trebuchet MS" w:hAnsi="Trebuchet MS"/>
          <w:i/>
          <w:color w:val="010202"/>
          <w:spacing w:val="-6"/>
          <w:sz w:val="24"/>
        </w:rPr>
        <w:t>; </w:t>
      </w:r>
      <w:r>
        <w:rPr>
          <w:rFonts w:ascii="Trebuchet MS" w:hAnsi="Trebuchet MS"/>
          <w:i/>
          <w:color w:val="010202"/>
          <w:spacing w:val="-3"/>
          <w:sz w:val="24"/>
        </w:rPr>
        <w:t>Elizabeth Martínez </w:t>
      </w:r>
      <w:r>
        <w:rPr>
          <w:rFonts w:ascii="Trebuchet MS" w:hAnsi="Trebuchet MS"/>
          <w:i/>
          <w:color w:val="010202"/>
          <w:spacing w:val="-6"/>
          <w:sz w:val="24"/>
        </w:rPr>
        <w:t>Trejo</w:t>
      </w:r>
      <w:r>
        <w:rPr>
          <w:rFonts w:ascii="Trebuchet MS" w:hAnsi="Trebuchet MS"/>
          <w:i/>
          <w:color w:val="010202"/>
          <w:spacing w:val="-6"/>
          <w:position w:val="8"/>
          <w:sz w:val="14"/>
        </w:rPr>
        <w:t>2</w:t>
      </w:r>
      <w:r>
        <w:rPr>
          <w:rFonts w:ascii="Trebuchet MS" w:hAnsi="Trebuchet MS"/>
          <w:i/>
          <w:color w:val="010202"/>
          <w:spacing w:val="-6"/>
          <w:sz w:val="24"/>
        </w:rPr>
        <w:t>; </w:t>
      </w:r>
      <w:r>
        <w:rPr>
          <w:rFonts w:ascii="Trebuchet MS" w:hAnsi="Trebuchet MS"/>
          <w:i/>
          <w:color w:val="010202"/>
          <w:spacing w:val="-3"/>
          <w:sz w:val="24"/>
        </w:rPr>
        <w:t>Rogelio Álvarez Hernández</w:t>
      </w:r>
      <w:r>
        <w:rPr>
          <w:rFonts w:ascii="Trebuchet MS" w:hAnsi="Trebuchet MS"/>
          <w:i/>
          <w:color w:val="010202"/>
          <w:spacing w:val="-3"/>
          <w:position w:val="8"/>
          <w:sz w:val="14"/>
        </w:rPr>
        <w:t>3  </w:t>
      </w:r>
      <w:r>
        <w:rPr>
          <w:rFonts w:ascii="Trebuchet MS" w:hAnsi="Trebuchet MS"/>
          <w:i/>
          <w:color w:val="010202"/>
          <w:sz w:val="24"/>
        </w:rPr>
        <w:t>y </w:t>
      </w:r>
      <w:r>
        <w:rPr>
          <w:rFonts w:ascii="Trebuchet MS" w:hAnsi="Trebuchet MS"/>
          <w:i/>
          <w:color w:val="010202"/>
          <w:spacing w:val="-3"/>
          <w:sz w:val="24"/>
        </w:rPr>
        <w:t>Alonso Méndez López</w:t>
      </w:r>
      <w:r>
        <w:rPr>
          <w:rFonts w:ascii="Trebuchet MS" w:hAnsi="Trebuchet MS"/>
          <w:i/>
          <w:color w:val="010202"/>
          <w:spacing w:val="-3"/>
          <w:position w:val="8"/>
          <w:sz w:val="14"/>
        </w:rPr>
        <w:t>4</w:t>
      </w: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rPr>
          <w:rFonts w:ascii="Trebuchet MS"/>
          <w:i/>
          <w:sz w:val="24"/>
        </w:rPr>
      </w:pPr>
    </w:p>
    <w:p>
      <w:pPr>
        <w:spacing w:line="247" w:lineRule="auto" w:before="213"/>
        <w:ind w:left="2413" w:right="2421" w:firstLine="0"/>
        <w:jc w:val="center"/>
        <w:rPr>
          <w:rFonts w:ascii="Trebuchet MS" w:hAnsi="Trebuchet MS"/>
          <w:b/>
          <w:sz w:val="36"/>
        </w:rPr>
      </w:pPr>
      <w:r>
        <w:rPr>
          <w:rFonts w:ascii="Trebuchet MS" w:hAnsi="Trebuchet MS"/>
          <w:b/>
          <w:color w:val="010202"/>
          <w:spacing w:val="-11"/>
          <w:sz w:val="36"/>
        </w:rPr>
        <w:t>SUSCEPTIBILIDAD </w:t>
      </w:r>
      <w:r>
        <w:rPr>
          <w:rFonts w:ascii="Trebuchet MS" w:hAnsi="Trebuchet MS"/>
          <w:b/>
          <w:color w:val="010202"/>
          <w:spacing w:val="-6"/>
          <w:sz w:val="36"/>
        </w:rPr>
        <w:t>DE </w:t>
      </w:r>
      <w:r>
        <w:rPr>
          <w:rFonts w:ascii="Trebuchet MS" w:hAnsi="Trebuchet MS"/>
          <w:b/>
          <w:color w:val="010202"/>
          <w:spacing w:val="-10"/>
          <w:sz w:val="36"/>
        </w:rPr>
        <w:t>MAÍCES </w:t>
      </w:r>
      <w:r>
        <w:rPr>
          <w:rFonts w:ascii="Trebuchet MS" w:hAnsi="Trebuchet MS"/>
          <w:b/>
          <w:color w:val="010202"/>
          <w:spacing w:val="-11"/>
          <w:sz w:val="36"/>
        </w:rPr>
        <w:t>HÍBRIDOS </w:t>
      </w:r>
      <w:r>
        <w:rPr>
          <w:rFonts w:ascii="Trebuchet MS" w:hAnsi="Trebuchet MS"/>
          <w:b/>
          <w:color w:val="010202"/>
          <w:sz w:val="36"/>
        </w:rPr>
        <w:t>Y </w:t>
      </w:r>
      <w:r>
        <w:rPr>
          <w:rFonts w:ascii="Trebuchet MS" w:hAnsi="Trebuchet MS"/>
          <w:b/>
          <w:color w:val="010202"/>
          <w:spacing w:val="-10"/>
          <w:sz w:val="36"/>
        </w:rPr>
        <w:t>CRIOLLOS </w:t>
      </w:r>
      <w:r>
        <w:rPr>
          <w:rFonts w:ascii="Trebuchet MS" w:hAnsi="Trebuchet MS"/>
          <w:b/>
          <w:color w:val="010202"/>
          <w:spacing w:val="-6"/>
          <w:sz w:val="36"/>
        </w:rPr>
        <w:t>AL </w:t>
      </w:r>
      <w:r>
        <w:rPr>
          <w:rFonts w:ascii="Trebuchet MS" w:hAnsi="Trebuchet MS"/>
          <w:b/>
          <w:color w:val="010202"/>
          <w:spacing w:val="-11"/>
          <w:sz w:val="36"/>
        </w:rPr>
        <w:t>HUITLACOCHE</w:t>
      </w:r>
    </w:p>
    <w:p>
      <w:pPr>
        <w:spacing w:line="247" w:lineRule="auto" w:before="1"/>
        <w:ind w:left="1737" w:right="1746" w:firstLine="0"/>
        <w:jc w:val="center"/>
        <w:rPr>
          <w:rFonts w:ascii="Trebuchet MS" w:hAnsi="Trebuchet MS"/>
          <w:b/>
          <w:sz w:val="36"/>
        </w:rPr>
      </w:pPr>
      <w:r>
        <w:rPr>
          <w:rFonts w:ascii="Trebuchet MS" w:hAnsi="Trebuchet MS"/>
          <w:b/>
          <w:color w:val="010202"/>
          <w:spacing w:val="-10"/>
          <w:sz w:val="36"/>
        </w:rPr>
        <w:t>(</w:t>
      </w:r>
      <w:r>
        <w:rPr>
          <w:rFonts w:ascii="Trebuchet MS" w:hAnsi="Trebuchet MS"/>
          <w:b/>
          <w:i/>
          <w:color w:val="010202"/>
          <w:spacing w:val="-10"/>
          <w:sz w:val="36"/>
        </w:rPr>
        <w:t>Ustilago maydis </w:t>
      </w:r>
      <w:r>
        <w:rPr>
          <w:rFonts w:ascii="Trebuchet MS" w:hAnsi="Trebuchet MS"/>
          <w:b/>
          <w:color w:val="010202"/>
          <w:spacing w:val="-10"/>
          <w:sz w:val="36"/>
        </w:rPr>
        <w:t>(D.C.) Cda.), </w:t>
      </w:r>
      <w:r>
        <w:rPr>
          <w:rFonts w:ascii="Trebuchet MS" w:hAnsi="Trebuchet MS"/>
          <w:b/>
          <w:color w:val="010202"/>
          <w:sz w:val="36"/>
        </w:rPr>
        <w:t>Y</w:t>
      </w:r>
      <w:r>
        <w:rPr>
          <w:rFonts w:ascii="Trebuchet MS" w:hAnsi="Trebuchet MS"/>
          <w:b/>
          <w:color w:val="010202"/>
          <w:spacing w:val="-63"/>
          <w:sz w:val="36"/>
        </w:rPr>
        <w:t> </w:t>
      </w:r>
      <w:r>
        <w:rPr>
          <w:rFonts w:ascii="Trebuchet MS" w:hAnsi="Trebuchet MS"/>
          <w:b/>
          <w:color w:val="010202"/>
          <w:spacing w:val="-14"/>
          <w:sz w:val="36"/>
        </w:rPr>
        <w:t>RENTABILIDAD </w:t>
      </w:r>
      <w:r>
        <w:rPr>
          <w:rFonts w:ascii="Trebuchet MS" w:hAnsi="Trebuchet MS"/>
          <w:b/>
          <w:color w:val="010202"/>
          <w:spacing w:val="-6"/>
          <w:sz w:val="36"/>
        </w:rPr>
        <w:t>DE LA </w:t>
      </w:r>
      <w:r>
        <w:rPr>
          <w:rFonts w:ascii="Trebuchet MS" w:hAnsi="Trebuchet MS"/>
          <w:b/>
          <w:color w:val="010202"/>
          <w:spacing w:val="-10"/>
          <w:sz w:val="36"/>
        </w:rPr>
        <w:t>PRODUCCIÓN, </w:t>
      </w:r>
      <w:r>
        <w:rPr>
          <w:rFonts w:ascii="Trebuchet MS" w:hAnsi="Trebuchet MS"/>
          <w:b/>
          <w:color w:val="010202"/>
          <w:spacing w:val="-6"/>
          <w:sz w:val="36"/>
        </w:rPr>
        <w:t>EN </w:t>
      </w:r>
      <w:r>
        <w:rPr>
          <w:rFonts w:ascii="Trebuchet MS" w:hAnsi="Trebuchet MS"/>
          <w:b/>
          <w:color w:val="010202"/>
          <w:spacing w:val="-10"/>
          <w:sz w:val="36"/>
        </w:rPr>
        <w:t>CHAPINGO, </w:t>
      </w:r>
      <w:r>
        <w:rPr>
          <w:rFonts w:ascii="Trebuchet MS" w:hAnsi="Trebuchet MS"/>
          <w:b/>
          <w:color w:val="010202"/>
          <w:spacing w:val="-11"/>
          <w:sz w:val="36"/>
        </w:rPr>
        <w:t>MÉXICO</w:t>
      </w:r>
    </w:p>
    <w:p>
      <w:pPr>
        <w:pStyle w:val="BodyText"/>
        <w:rPr>
          <w:rFonts w:ascii="Trebuchet MS"/>
          <w:b/>
          <w:sz w:val="36"/>
        </w:rPr>
      </w:pPr>
    </w:p>
    <w:p>
      <w:pPr>
        <w:pStyle w:val="BodyText"/>
        <w:rPr>
          <w:rFonts w:ascii="Trebuchet MS"/>
          <w:b/>
          <w:sz w:val="36"/>
        </w:rPr>
      </w:pPr>
    </w:p>
    <w:p>
      <w:pPr>
        <w:pStyle w:val="BodyText"/>
        <w:spacing w:before="2"/>
        <w:rPr>
          <w:rFonts w:ascii="Trebuchet MS"/>
          <w:b/>
          <w:sz w:val="28"/>
        </w:rPr>
      </w:pPr>
    </w:p>
    <w:p>
      <w:pPr>
        <w:spacing w:before="0"/>
        <w:ind w:left="1270" w:right="0" w:firstLine="0"/>
        <w:jc w:val="both"/>
        <w:rPr>
          <w:b/>
          <w:sz w:val="24"/>
        </w:rPr>
      </w:pPr>
      <w:r>
        <w:rPr>
          <w:b/>
          <w:color w:val="010202"/>
          <w:sz w:val="24"/>
        </w:rPr>
        <w:t>Introducción</w:t>
      </w:r>
    </w:p>
    <w:p>
      <w:pPr>
        <w:pStyle w:val="BodyText"/>
        <w:spacing w:before="10"/>
        <w:rPr>
          <w:b/>
        </w:rPr>
      </w:pPr>
    </w:p>
    <w:p>
      <w:pPr>
        <w:pStyle w:val="BodyText"/>
        <w:spacing w:line="247" w:lineRule="auto"/>
        <w:ind w:left="1270" w:right="1268"/>
        <w:jc w:val="both"/>
      </w:pPr>
      <w:r>
        <w:rPr>
          <w:color w:val="231F20"/>
        </w:rPr>
        <w:t>El huitlacoche [</w:t>
      </w:r>
      <w:r>
        <w:rPr>
          <w:i/>
          <w:color w:val="231F20"/>
        </w:rPr>
        <w:t>Ustilago maydis </w:t>
      </w:r>
      <w:r>
        <w:rPr>
          <w:color w:val="231F20"/>
        </w:rPr>
        <w:t>(D.C.) Corda], conocido también como carbón común del maíz,   es un hongo comestible que se desarrolla como una enfermedad en este cultivo (Villanueva </w:t>
      </w:r>
      <w:r>
        <w:rPr>
          <w:i/>
          <w:color w:val="231F20"/>
        </w:rPr>
        <w:t>et al.</w:t>
      </w:r>
      <w:r>
        <w:rPr>
          <w:color w:val="231F20"/>
        </w:rPr>
        <w:t>, 2007); debido al incremento de su popularidad como alimento ha sido considerado como un cultivo alternativo </w:t>
      </w:r>
      <w:r>
        <w:rPr>
          <w:color w:val="231F20"/>
          <w:spacing w:val="-3"/>
        </w:rPr>
        <w:t>(Vanegas </w:t>
      </w:r>
      <w:r>
        <w:rPr>
          <w:i/>
          <w:color w:val="231F20"/>
        </w:rPr>
        <w:t>et al.</w:t>
      </w:r>
      <w:r>
        <w:rPr>
          <w:color w:val="231F20"/>
        </w:rPr>
        <w:t>, 1995). En México, el precio por kilogramo de huitlacoche varía en</w:t>
      </w:r>
      <w:r>
        <w:rPr>
          <w:color w:val="231F20"/>
          <w:spacing w:val="-13"/>
        </w:rPr>
        <w:t> </w:t>
      </w:r>
      <w:r>
        <w:rPr>
          <w:color w:val="231F20"/>
        </w:rPr>
        <w:t>torno a $15, en la época de producción natural de julio y agosto; y entre 60 y 120 pesos, fuera de dichos meses; aunque de manera extraordinaria ha llegado a valer hasta $ 380.00 el kilogramo en el mes</w:t>
      </w:r>
      <w:r>
        <w:rPr>
          <w:color w:val="231F20"/>
          <w:spacing w:val="-33"/>
        </w:rPr>
        <w:t> </w:t>
      </w:r>
      <w:r>
        <w:rPr>
          <w:color w:val="231F20"/>
        </w:rPr>
        <w:t>de abril (Villanueva,</w:t>
      </w:r>
      <w:r>
        <w:rPr>
          <w:color w:val="231F20"/>
          <w:spacing w:val="-13"/>
        </w:rPr>
        <w:t> </w:t>
      </w:r>
      <w:r>
        <w:rPr>
          <w:color w:val="231F20"/>
        </w:rPr>
        <w:t>1997).</w:t>
      </w:r>
    </w:p>
    <w:p>
      <w:pPr>
        <w:pStyle w:val="BodyText"/>
        <w:spacing w:before="10"/>
      </w:pPr>
    </w:p>
    <w:p>
      <w:pPr>
        <w:pStyle w:val="BodyText"/>
        <w:spacing w:line="249" w:lineRule="auto"/>
        <w:ind w:left="1270" w:right="1267"/>
        <w:jc w:val="both"/>
      </w:pPr>
      <w:r>
        <w:rPr>
          <w:color w:val="231F20"/>
        </w:rPr>
        <w:t>Diferentes estudios han permitido la producción exitosa del huitlacoche, y se ha encontrado que la técnica de inoculación por inyección produce excelentes rendimientos y buena calidad del hongo </w:t>
      </w:r>
      <w:r>
        <w:rPr>
          <w:color w:val="231F20"/>
          <w:spacing w:val="-4"/>
        </w:rPr>
        <w:t>(Valdez</w:t>
      </w:r>
      <w:r>
        <w:rPr>
          <w:color w:val="231F20"/>
          <w:spacing w:val="-6"/>
        </w:rPr>
        <w:t> </w:t>
      </w:r>
      <w:r>
        <w:rPr>
          <w:i/>
          <w:color w:val="231F20"/>
        </w:rPr>
        <w:t>et</w:t>
      </w:r>
      <w:r>
        <w:rPr>
          <w:i/>
          <w:color w:val="231F20"/>
          <w:spacing w:val="-6"/>
        </w:rPr>
        <w:t> </w:t>
      </w:r>
      <w:r>
        <w:rPr>
          <w:i/>
          <w:color w:val="231F20"/>
        </w:rPr>
        <w:t>al.</w:t>
      </w:r>
      <w:r>
        <w:rPr>
          <w:color w:val="231F20"/>
        </w:rPr>
        <w:t>,</w:t>
      </w:r>
      <w:r>
        <w:rPr>
          <w:color w:val="231F20"/>
          <w:spacing w:val="-5"/>
        </w:rPr>
        <w:t> </w:t>
      </w:r>
      <w:r>
        <w:rPr>
          <w:color w:val="231F20"/>
        </w:rPr>
        <w:t>2009).</w:t>
      </w:r>
      <w:r>
        <w:rPr>
          <w:color w:val="231F20"/>
          <w:spacing w:val="-5"/>
        </w:rPr>
        <w:t> </w:t>
      </w:r>
      <w:r>
        <w:rPr>
          <w:color w:val="231F20"/>
        </w:rPr>
        <w:t>Estos</w:t>
      </w:r>
      <w:r>
        <w:rPr>
          <w:color w:val="231F20"/>
          <w:spacing w:val="-5"/>
        </w:rPr>
        <w:t> </w:t>
      </w:r>
      <w:r>
        <w:rPr>
          <w:color w:val="231F20"/>
        </w:rPr>
        <w:t>mismos</w:t>
      </w:r>
      <w:r>
        <w:rPr>
          <w:color w:val="231F20"/>
          <w:spacing w:val="-5"/>
        </w:rPr>
        <w:t> </w:t>
      </w:r>
      <w:r>
        <w:rPr>
          <w:color w:val="231F20"/>
        </w:rPr>
        <w:t>autores</w:t>
      </w:r>
      <w:r>
        <w:rPr>
          <w:color w:val="231F20"/>
          <w:spacing w:val="-5"/>
        </w:rPr>
        <w:t> </w:t>
      </w:r>
      <w:r>
        <w:rPr>
          <w:color w:val="231F20"/>
        </w:rPr>
        <w:t>probaron</w:t>
      </w:r>
      <w:r>
        <w:rPr>
          <w:color w:val="231F20"/>
          <w:spacing w:val="-5"/>
        </w:rPr>
        <w:t> </w:t>
      </w:r>
      <w:r>
        <w:rPr>
          <w:color w:val="231F20"/>
        </w:rPr>
        <w:t>producir</w:t>
      </w:r>
      <w:r>
        <w:rPr>
          <w:color w:val="231F20"/>
          <w:spacing w:val="-5"/>
        </w:rPr>
        <w:t> </w:t>
      </w:r>
      <w:r>
        <w:rPr>
          <w:color w:val="231F20"/>
        </w:rPr>
        <w:t>huitlacoche</w:t>
      </w:r>
      <w:r>
        <w:rPr>
          <w:color w:val="231F20"/>
          <w:spacing w:val="-6"/>
        </w:rPr>
        <w:t> </w:t>
      </w:r>
      <w:r>
        <w:rPr>
          <w:color w:val="231F20"/>
        </w:rPr>
        <w:t>utilizando</w:t>
      </w:r>
      <w:r>
        <w:rPr>
          <w:color w:val="231F20"/>
          <w:spacing w:val="-6"/>
        </w:rPr>
        <w:t> </w:t>
      </w:r>
      <w:r>
        <w:rPr>
          <w:color w:val="231F20"/>
        </w:rPr>
        <w:t>maíces</w:t>
      </w:r>
      <w:r>
        <w:rPr>
          <w:color w:val="231F20"/>
          <w:spacing w:val="-6"/>
        </w:rPr>
        <w:t> </w:t>
      </w:r>
      <w:r>
        <w:rPr>
          <w:color w:val="231F20"/>
        </w:rPr>
        <w:t>criollos y</w:t>
      </w:r>
      <w:r>
        <w:rPr>
          <w:color w:val="231F20"/>
          <w:spacing w:val="-8"/>
        </w:rPr>
        <w:t> </w:t>
      </w:r>
      <w:r>
        <w:rPr>
          <w:color w:val="231F20"/>
        </w:rPr>
        <w:t>obtuvieron</w:t>
      </w:r>
      <w:r>
        <w:rPr>
          <w:color w:val="231F20"/>
          <w:spacing w:val="-9"/>
        </w:rPr>
        <w:t> </w:t>
      </w:r>
      <w:r>
        <w:rPr>
          <w:color w:val="231F20"/>
        </w:rPr>
        <w:t>rendimientos</w:t>
      </w:r>
      <w:r>
        <w:rPr>
          <w:color w:val="231F20"/>
          <w:spacing w:val="-9"/>
        </w:rPr>
        <w:t> </w:t>
      </w:r>
      <w:r>
        <w:rPr>
          <w:color w:val="231F20"/>
        </w:rPr>
        <w:t>de</w:t>
      </w:r>
      <w:r>
        <w:rPr>
          <w:color w:val="231F20"/>
          <w:spacing w:val="-8"/>
        </w:rPr>
        <w:t> </w:t>
      </w:r>
      <w:r>
        <w:rPr>
          <w:color w:val="231F20"/>
        </w:rPr>
        <w:t>hasta</w:t>
      </w:r>
      <w:r>
        <w:rPr>
          <w:color w:val="231F20"/>
          <w:spacing w:val="-9"/>
        </w:rPr>
        <w:t> </w:t>
      </w:r>
      <w:r>
        <w:rPr>
          <w:color w:val="231F20"/>
        </w:rPr>
        <w:t>15</w:t>
      </w:r>
      <w:r>
        <w:rPr>
          <w:color w:val="231F20"/>
          <w:spacing w:val="-8"/>
        </w:rPr>
        <w:t> </w:t>
      </w:r>
      <w:r>
        <w:rPr>
          <w:color w:val="231F20"/>
        </w:rPr>
        <w:t>t•ha</w:t>
      </w:r>
      <w:r>
        <w:rPr>
          <w:color w:val="231F20"/>
          <w:position w:val="7"/>
          <w:sz w:val="12"/>
        </w:rPr>
        <w:t>-1</w:t>
      </w:r>
      <w:r>
        <w:rPr>
          <w:color w:val="231F20"/>
          <w:spacing w:val="14"/>
          <w:position w:val="7"/>
          <w:sz w:val="12"/>
        </w:rPr>
        <w:t> </w:t>
      </w:r>
      <w:r>
        <w:rPr>
          <w:color w:val="231F20"/>
        </w:rPr>
        <w:t>con</w:t>
      </w:r>
      <w:r>
        <w:rPr>
          <w:color w:val="231F20"/>
          <w:spacing w:val="-9"/>
        </w:rPr>
        <w:t> </w:t>
      </w:r>
      <w:r>
        <w:rPr>
          <w:color w:val="231F20"/>
        </w:rPr>
        <w:t>esta</w:t>
      </w:r>
      <w:r>
        <w:rPr>
          <w:color w:val="231F20"/>
          <w:spacing w:val="-9"/>
        </w:rPr>
        <w:t> </w:t>
      </w:r>
      <w:r>
        <w:rPr>
          <w:color w:val="231F20"/>
        </w:rPr>
        <w:t>técnica</w:t>
      </w:r>
      <w:r>
        <w:rPr>
          <w:color w:val="231F20"/>
          <w:spacing w:val="-9"/>
        </w:rPr>
        <w:t> </w:t>
      </w:r>
      <w:r>
        <w:rPr>
          <w:color w:val="231F20"/>
        </w:rPr>
        <w:t>de</w:t>
      </w:r>
      <w:r>
        <w:rPr>
          <w:color w:val="231F20"/>
          <w:spacing w:val="-8"/>
        </w:rPr>
        <w:t> </w:t>
      </w:r>
      <w:r>
        <w:rPr>
          <w:color w:val="231F20"/>
        </w:rPr>
        <w:t>inoculación.</w:t>
      </w:r>
      <w:r>
        <w:rPr>
          <w:color w:val="231F20"/>
          <w:spacing w:val="-9"/>
        </w:rPr>
        <w:t> </w:t>
      </w:r>
      <w:r>
        <w:rPr>
          <w:color w:val="231F20"/>
        </w:rPr>
        <w:t>En</w:t>
      </w:r>
      <w:r>
        <w:rPr>
          <w:color w:val="231F20"/>
          <w:spacing w:val="-8"/>
        </w:rPr>
        <w:t> </w:t>
      </w:r>
      <w:r>
        <w:rPr>
          <w:color w:val="231F20"/>
        </w:rPr>
        <w:t>el</w:t>
      </w:r>
      <w:r>
        <w:rPr>
          <w:color w:val="231F20"/>
          <w:spacing w:val="-8"/>
        </w:rPr>
        <w:t> </w:t>
      </w:r>
      <w:r>
        <w:rPr>
          <w:color w:val="231F20"/>
        </w:rPr>
        <w:t>caso</w:t>
      </w:r>
      <w:r>
        <w:rPr>
          <w:color w:val="231F20"/>
          <w:spacing w:val="-9"/>
        </w:rPr>
        <w:t> </w:t>
      </w:r>
      <w:r>
        <w:rPr>
          <w:color w:val="231F20"/>
        </w:rPr>
        <w:t>de</w:t>
      </w:r>
      <w:r>
        <w:rPr>
          <w:color w:val="231F20"/>
          <w:spacing w:val="-8"/>
        </w:rPr>
        <w:t> </w:t>
      </w:r>
      <w:r>
        <w:rPr>
          <w:color w:val="231F20"/>
        </w:rPr>
        <w:t>los</w:t>
      </w:r>
      <w:r>
        <w:rPr>
          <w:color w:val="231F20"/>
          <w:spacing w:val="-9"/>
        </w:rPr>
        <w:t> </w:t>
      </w:r>
      <w:r>
        <w:rPr>
          <w:color w:val="231F20"/>
        </w:rPr>
        <w:t>maíces híbridos se ha realizado mucha investigación e inclusive se ha probado producir bajo condiciones controladas, en donde el rendimiento rebasa las 7 t•ha</w:t>
      </w:r>
      <w:r>
        <w:rPr>
          <w:color w:val="231F20"/>
          <w:position w:val="7"/>
          <w:sz w:val="12"/>
        </w:rPr>
        <w:t>-1  </w:t>
      </w:r>
      <w:r>
        <w:rPr>
          <w:color w:val="231F20"/>
        </w:rPr>
        <w:t>(Madrigal </w:t>
      </w:r>
      <w:r>
        <w:rPr>
          <w:i/>
          <w:color w:val="231F20"/>
        </w:rPr>
        <w:t>et al.</w:t>
      </w:r>
      <w:r>
        <w:rPr>
          <w:color w:val="231F20"/>
        </w:rPr>
        <w:t>,</w:t>
      </w:r>
      <w:r>
        <w:rPr>
          <w:color w:val="231F20"/>
          <w:spacing w:val="-7"/>
        </w:rPr>
        <w:t> </w:t>
      </w:r>
      <w:r>
        <w:rPr>
          <w:color w:val="231F20"/>
        </w:rPr>
        <w:t>2010).</w:t>
      </w:r>
    </w:p>
    <w:p>
      <w:pPr>
        <w:pStyle w:val="BodyText"/>
        <w:rPr>
          <w:sz w:val="20"/>
        </w:rPr>
      </w:pPr>
    </w:p>
    <w:p>
      <w:pPr>
        <w:pStyle w:val="BodyText"/>
        <w:spacing w:before="4"/>
        <w:rPr>
          <w:sz w:val="22"/>
        </w:rPr>
      </w:pPr>
    </w:p>
    <w:p>
      <w:pPr>
        <w:spacing w:line="247" w:lineRule="auto" w:before="0"/>
        <w:ind w:left="1590" w:right="1279" w:firstLine="0"/>
        <w:jc w:val="left"/>
        <w:rPr>
          <w:rFonts w:ascii="Trebuchet MS" w:hAnsi="Trebuchet MS"/>
          <w:sz w:val="16"/>
        </w:rPr>
      </w:pPr>
      <w:r>
        <w:rPr>
          <w:rFonts w:ascii="Trebuchet MS" w:hAnsi="Trebuchet MS"/>
          <w:color w:val="231F20"/>
          <w:position w:val="5"/>
          <w:sz w:val="9"/>
        </w:rPr>
        <w:t>1</w:t>
      </w:r>
      <w:r>
        <w:rPr>
          <w:rFonts w:ascii="Trebuchet MS" w:hAnsi="Trebuchet MS"/>
          <w:color w:val="231F20"/>
          <w:sz w:val="16"/>
        </w:rPr>
        <w:t>Departamento de Preparatoria Agrícola, Universidad Autónoma Chapingo. Correo-e: jocusamx@yahoo.com; </w:t>
      </w:r>
      <w:r>
        <w:rPr>
          <w:rFonts w:ascii="Trebuchet MS" w:hAnsi="Trebuchet MS"/>
          <w:color w:val="231F20"/>
          <w:position w:val="5"/>
          <w:sz w:val="9"/>
        </w:rPr>
        <w:t>2</w:t>
      </w:r>
      <w:r>
        <w:rPr>
          <w:rFonts w:ascii="Trebuchet MS" w:hAnsi="Trebuchet MS"/>
          <w:color w:val="231F20"/>
          <w:sz w:val="16"/>
        </w:rPr>
        <w:t>Egresada</w:t>
      </w:r>
      <w:r>
        <w:rPr>
          <w:rFonts w:ascii="Trebuchet MS" w:hAnsi="Trebuchet MS"/>
          <w:color w:val="231F20"/>
          <w:spacing w:val="-12"/>
          <w:sz w:val="16"/>
        </w:rPr>
        <w:t> </w:t>
      </w:r>
      <w:r>
        <w:rPr>
          <w:rFonts w:ascii="Trebuchet MS" w:hAnsi="Trebuchet MS"/>
          <w:color w:val="231F20"/>
          <w:sz w:val="16"/>
        </w:rPr>
        <w:t>del</w:t>
      </w:r>
      <w:r>
        <w:rPr>
          <w:rFonts w:ascii="Trebuchet MS" w:hAnsi="Trebuchet MS"/>
          <w:color w:val="231F20"/>
          <w:spacing w:val="-12"/>
          <w:sz w:val="16"/>
        </w:rPr>
        <w:t> </w:t>
      </w:r>
      <w:r>
        <w:rPr>
          <w:rFonts w:ascii="Trebuchet MS" w:hAnsi="Trebuchet MS"/>
          <w:color w:val="231F20"/>
          <w:sz w:val="16"/>
        </w:rPr>
        <w:t>Departamento</w:t>
      </w:r>
      <w:r>
        <w:rPr>
          <w:rFonts w:ascii="Trebuchet MS" w:hAnsi="Trebuchet MS"/>
          <w:color w:val="231F20"/>
          <w:spacing w:val="-12"/>
          <w:sz w:val="16"/>
        </w:rPr>
        <w:t> </w:t>
      </w:r>
      <w:r>
        <w:rPr>
          <w:rFonts w:ascii="Trebuchet MS" w:hAnsi="Trebuchet MS"/>
          <w:color w:val="231F20"/>
          <w:sz w:val="16"/>
        </w:rPr>
        <w:t>de</w:t>
      </w:r>
      <w:r>
        <w:rPr>
          <w:rFonts w:ascii="Trebuchet MS" w:hAnsi="Trebuchet MS"/>
          <w:color w:val="231F20"/>
          <w:spacing w:val="-19"/>
          <w:sz w:val="16"/>
        </w:rPr>
        <w:t> </w:t>
      </w:r>
      <w:r>
        <w:rPr>
          <w:rFonts w:ascii="Trebuchet MS" w:hAnsi="Trebuchet MS"/>
          <w:color w:val="231F20"/>
          <w:sz w:val="16"/>
        </w:rPr>
        <w:t>Agroecología.</w:t>
      </w:r>
      <w:r>
        <w:rPr>
          <w:rFonts w:ascii="Trebuchet MS" w:hAnsi="Trebuchet MS"/>
          <w:color w:val="231F20"/>
          <w:spacing w:val="-12"/>
          <w:sz w:val="16"/>
        </w:rPr>
        <w:t> </w:t>
      </w:r>
      <w:r>
        <w:rPr>
          <w:rFonts w:ascii="Trebuchet MS" w:hAnsi="Trebuchet MS"/>
          <w:color w:val="231F20"/>
          <w:sz w:val="16"/>
        </w:rPr>
        <w:t>Universidad</w:t>
      </w:r>
      <w:r>
        <w:rPr>
          <w:rFonts w:ascii="Trebuchet MS" w:hAnsi="Trebuchet MS"/>
          <w:color w:val="231F20"/>
          <w:spacing w:val="-18"/>
          <w:sz w:val="16"/>
        </w:rPr>
        <w:t> </w:t>
      </w:r>
      <w:r>
        <w:rPr>
          <w:rFonts w:ascii="Trebuchet MS" w:hAnsi="Trebuchet MS"/>
          <w:color w:val="231F20"/>
          <w:sz w:val="16"/>
        </w:rPr>
        <w:t>Autónoma</w:t>
      </w:r>
      <w:r>
        <w:rPr>
          <w:rFonts w:ascii="Trebuchet MS" w:hAnsi="Trebuchet MS"/>
          <w:color w:val="231F20"/>
          <w:spacing w:val="-12"/>
          <w:sz w:val="16"/>
        </w:rPr>
        <w:t> </w:t>
      </w:r>
      <w:r>
        <w:rPr>
          <w:rFonts w:ascii="Trebuchet MS" w:hAnsi="Trebuchet MS"/>
          <w:color w:val="231F20"/>
          <w:sz w:val="16"/>
        </w:rPr>
        <w:t>Chapingo.</w:t>
      </w:r>
      <w:r>
        <w:rPr>
          <w:rFonts w:ascii="Trebuchet MS" w:hAnsi="Trebuchet MS"/>
          <w:color w:val="231F20"/>
          <w:spacing w:val="-12"/>
          <w:sz w:val="16"/>
        </w:rPr>
        <w:t> </w:t>
      </w:r>
      <w:r>
        <w:rPr>
          <w:rFonts w:ascii="Trebuchet MS" w:hAnsi="Trebuchet MS"/>
          <w:color w:val="231F20"/>
          <w:sz w:val="16"/>
        </w:rPr>
        <w:t>Correo-e:</w:t>
      </w:r>
      <w:r>
        <w:rPr>
          <w:rFonts w:ascii="Trebuchet MS" w:hAnsi="Trebuchet MS"/>
          <w:color w:val="231F20"/>
          <w:spacing w:val="-12"/>
          <w:sz w:val="16"/>
        </w:rPr>
        <w:t> </w:t>
      </w:r>
      <w:r>
        <w:rPr>
          <w:rFonts w:ascii="Trebuchet MS" w:hAnsi="Trebuchet MS"/>
          <w:color w:val="231F20"/>
          <w:sz w:val="16"/>
        </w:rPr>
        <w:t>malti15@gmail.com; </w:t>
      </w:r>
      <w:r>
        <w:rPr>
          <w:rFonts w:ascii="Trebuchet MS" w:hAnsi="Trebuchet MS"/>
          <w:color w:val="231F20"/>
          <w:position w:val="5"/>
          <w:sz w:val="9"/>
        </w:rPr>
        <w:t>3</w:t>
      </w:r>
      <w:r>
        <w:rPr>
          <w:rFonts w:ascii="Trebuchet MS" w:hAnsi="Trebuchet MS"/>
          <w:color w:val="231F20"/>
          <w:sz w:val="16"/>
        </w:rPr>
        <w:t>Departamento</w:t>
      </w:r>
      <w:r>
        <w:rPr>
          <w:rFonts w:ascii="Trebuchet MS" w:hAnsi="Trebuchet MS"/>
          <w:color w:val="231F20"/>
          <w:spacing w:val="-12"/>
          <w:sz w:val="16"/>
        </w:rPr>
        <w:t> </w:t>
      </w:r>
      <w:r>
        <w:rPr>
          <w:rFonts w:ascii="Trebuchet MS" w:hAnsi="Trebuchet MS"/>
          <w:color w:val="231F20"/>
          <w:sz w:val="16"/>
        </w:rPr>
        <w:t>de</w:t>
      </w:r>
      <w:r>
        <w:rPr>
          <w:rFonts w:ascii="Trebuchet MS" w:hAnsi="Trebuchet MS"/>
          <w:color w:val="231F20"/>
          <w:spacing w:val="-12"/>
          <w:sz w:val="16"/>
        </w:rPr>
        <w:t> </w:t>
      </w:r>
      <w:r>
        <w:rPr>
          <w:rFonts w:ascii="Trebuchet MS" w:hAnsi="Trebuchet MS"/>
          <w:color w:val="231F20"/>
          <w:sz w:val="16"/>
        </w:rPr>
        <w:t>Preparatoria</w:t>
      </w:r>
      <w:r>
        <w:rPr>
          <w:rFonts w:ascii="Trebuchet MS" w:hAnsi="Trebuchet MS"/>
          <w:color w:val="231F20"/>
          <w:spacing w:val="-20"/>
          <w:sz w:val="16"/>
        </w:rPr>
        <w:t> </w:t>
      </w:r>
      <w:r>
        <w:rPr>
          <w:rFonts w:ascii="Trebuchet MS" w:hAnsi="Trebuchet MS"/>
          <w:color w:val="231F20"/>
          <w:sz w:val="16"/>
        </w:rPr>
        <w:t>Agrícola,</w:t>
      </w:r>
      <w:r>
        <w:rPr>
          <w:rFonts w:ascii="Trebuchet MS" w:hAnsi="Trebuchet MS"/>
          <w:color w:val="231F20"/>
          <w:spacing w:val="-13"/>
          <w:sz w:val="16"/>
        </w:rPr>
        <w:t> </w:t>
      </w:r>
      <w:r>
        <w:rPr>
          <w:rFonts w:ascii="Trebuchet MS" w:hAnsi="Trebuchet MS"/>
          <w:color w:val="231F20"/>
          <w:sz w:val="16"/>
        </w:rPr>
        <w:t>Universidad</w:t>
      </w:r>
      <w:r>
        <w:rPr>
          <w:rFonts w:ascii="Trebuchet MS" w:hAnsi="Trebuchet MS"/>
          <w:color w:val="231F20"/>
          <w:spacing w:val="-18"/>
          <w:sz w:val="16"/>
        </w:rPr>
        <w:t> </w:t>
      </w:r>
      <w:r>
        <w:rPr>
          <w:rFonts w:ascii="Trebuchet MS" w:hAnsi="Trebuchet MS"/>
          <w:color w:val="231F20"/>
          <w:sz w:val="16"/>
        </w:rPr>
        <w:t>Autónoma</w:t>
      </w:r>
      <w:r>
        <w:rPr>
          <w:rFonts w:ascii="Trebuchet MS" w:hAnsi="Trebuchet MS"/>
          <w:color w:val="231F20"/>
          <w:spacing w:val="-13"/>
          <w:sz w:val="16"/>
        </w:rPr>
        <w:t> </w:t>
      </w:r>
      <w:r>
        <w:rPr>
          <w:rFonts w:ascii="Trebuchet MS" w:hAnsi="Trebuchet MS"/>
          <w:color w:val="231F20"/>
          <w:sz w:val="16"/>
        </w:rPr>
        <w:t>Chapingo.</w:t>
      </w:r>
      <w:r>
        <w:rPr>
          <w:rFonts w:ascii="Trebuchet MS" w:hAnsi="Trebuchet MS"/>
          <w:color w:val="231F20"/>
          <w:spacing w:val="-12"/>
          <w:sz w:val="16"/>
        </w:rPr>
        <w:t> </w:t>
      </w:r>
      <w:r>
        <w:rPr>
          <w:rFonts w:ascii="Trebuchet MS" w:hAnsi="Trebuchet MS"/>
          <w:color w:val="231F20"/>
          <w:sz w:val="16"/>
        </w:rPr>
        <w:t>Correo-e:</w:t>
      </w:r>
      <w:r>
        <w:rPr>
          <w:rFonts w:ascii="Trebuchet MS" w:hAnsi="Trebuchet MS"/>
          <w:color w:val="231F20"/>
          <w:spacing w:val="-12"/>
          <w:sz w:val="16"/>
        </w:rPr>
        <w:t> </w:t>
      </w:r>
      <w:r>
        <w:rPr>
          <w:rFonts w:ascii="Trebuchet MS" w:hAnsi="Trebuchet MS"/>
          <w:color w:val="231F20"/>
          <w:sz w:val="16"/>
        </w:rPr>
        <w:t>roger_owl_uach@yahoo. com.mx;</w:t>
      </w:r>
      <w:r>
        <w:rPr>
          <w:rFonts w:ascii="Trebuchet MS" w:hAnsi="Trebuchet MS"/>
          <w:color w:val="231F20"/>
          <w:spacing w:val="-9"/>
          <w:sz w:val="16"/>
        </w:rPr>
        <w:t> </w:t>
      </w:r>
      <w:r>
        <w:rPr>
          <w:rFonts w:ascii="Trebuchet MS" w:hAnsi="Trebuchet MS"/>
          <w:color w:val="231F20"/>
          <w:position w:val="5"/>
          <w:sz w:val="9"/>
        </w:rPr>
        <w:t>4</w:t>
      </w:r>
      <w:r>
        <w:rPr>
          <w:rFonts w:ascii="Trebuchet MS" w:hAnsi="Trebuchet MS"/>
          <w:color w:val="231F20"/>
          <w:sz w:val="16"/>
        </w:rPr>
        <w:t>Subdirección</w:t>
      </w:r>
      <w:r>
        <w:rPr>
          <w:rFonts w:ascii="Trebuchet MS" w:hAnsi="Trebuchet MS"/>
          <w:color w:val="231F20"/>
          <w:spacing w:val="-9"/>
          <w:sz w:val="16"/>
        </w:rPr>
        <w:t> </w:t>
      </w:r>
      <w:r>
        <w:rPr>
          <w:rFonts w:ascii="Trebuchet MS" w:hAnsi="Trebuchet MS"/>
          <w:color w:val="231F20"/>
          <w:sz w:val="16"/>
        </w:rPr>
        <w:t>de</w:t>
      </w:r>
      <w:r>
        <w:rPr>
          <w:rFonts w:ascii="Trebuchet MS" w:hAnsi="Trebuchet MS"/>
          <w:color w:val="231F20"/>
          <w:spacing w:val="-9"/>
          <w:sz w:val="16"/>
        </w:rPr>
        <w:t> </w:t>
      </w:r>
      <w:r>
        <w:rPr>
          <w:rFonts w:ascii="Trebuchet MS" w:hAnsi="Trebuchet MS"/>
          <w:color w:val="231F20"/>
          <w:sz w:val="16"/>
        </w:rPr>
        <w:t>Difusión</w:t>
      </w:r>
      <w:r>
        <w:rPr>
          <w:rFonts w:ascii="Trebuchet MS" w:hAnsi="Trebuchet MS"/>
          <w:color w:val="231F20"/>
          <w:spacing w:val="-9"/>
          <w:sz w:val="16"/>
        </w:rPr>
        <w:t> </w:t>
      </w:r>
      <w:r>
        <w:rPr>
          <w:rFonts w:ascii="Trebuchet MS" w:hAnsi="Trebuchet MS"/>
          <w:color w:val="231F20"/>
          <w:sz w:val="16"/>
        </w:rPr>
        <w:t>Cultural.</w:t>
      </w:r>
      <w:r>
        <w:rPr>
          <w:rFonts w:ascii="Trebuchet MS" w:hAnsi="Trebuchet MS"/>
          <w:color w:val="231F20"/>
          <w:spacing w:val="-9"/>
          <w:sz w:val="16"/>
        </w:rPr>
        <w:t> </w:t>
      </w:r>
      <w:r>
        <w:rPr>
          <w:rFonts w:ascii="Trebuchet MS" w:hAnsi="Trebuchet MS"/>
          <w:color w:val="231F20"/>
          <w:sz w:val="16"/>
        </w:rPr>
        <w:t>Universidad</w:t>
      </w:r>
      <w:r>
        <w:rPr>
          <w:rFonts w:ascii="Trebuchet MS" w:hAnsi="Trebuchet MS"/>
          <w:color w:val="231F20"/>
          <w:spacing w:val="-16"/>
          <w:sz w:val="16"/>
        </w:rPr>
        <w:t> </w:t>
      </w:r>
      <w:r>
        <w:rPr>
          <w:rFonts w:ascii="Trebuchet MS" w:hAnsi="Trebuchet MS"/>
          <w:color w:val="231F20"/>
          <w:sz w:val="16"/>
        </w:rPr>
        <w:t>Autónoma</w:t>
      </w:r>
      <w:r>
        <w:rPr>
          <w:rFonts w:ascii="Trebuchet MS" w:hAnsi="Trebuchet MS"/>
          <w:color w:val="231F20"/>
          <w:spacing w:val="-10"/>
          <w:sz w:val="16"/>
        </w:rPr>
        <w:t> </w:t>
      </w:r>
      <w:r>
        <w:rPr>
          <w:rFonts w:ascii="Trebuchet MS" w:hAnsi="Trebuchet MS"/>
          <w:color w:val="231F20"/>
          <w:sz w:val="16"/>
        </w:rPr>
        <w:t>de</w:t>
      </w:r>
      <w:r>
        <w:rPr>
          <w:rFonts w:ascii="Trebuchet MS" w:hAnsi="Trebuchet MS"/>
          <w:color w:val="231F20"/>
          <w:spacing w:val="-9"/>
          <w:sz w:val="16"/>
        </w:rPr>
        <w:t> </w:t>
      </w:r>
      <w:r>
        <w:rPr>
          <w:rFonts w:ascii="Trebuchet MS" w:hAnsi="Trebuchet MS"/>
          <w:color w:val="231F20"/>
          <w:sz w:val="16"/>
        </w:rPr>
        <w:t>Chapingo.</w:t>
      </w:r>
      <w:r>
        <w:rPr>
          <w:rFonts w:ascii="Trebuchet MS" w:hAnsi="Trebuchet MS"/>
          <w:color w:val="231F20"/>
          <w:spacing w:val="-9"/>
          <w:sz w:val="16"/>
        </w:rPr>
        <w:t> </w:t>
      </w:r>
      <w:r>
        <w:rPr>
          <w:rFonts w:ascii="Trebuchet MS" w:hAnsi="Trebuchet MS"/>
          <w:color w:val="231F20"/>
          <w:sz w:val="16"/>
        </w:rPr>
        <w:t>Correo-e:</w:t>
      </w:r>
      <w:r>
        <w:rPr>
          <w:rFonts w:ascii="Trebuchet MS" w:hAnsi="Trebuchet MS"/>
          <w:color w:val="231F20"/>
          <w:spacing w:val="-9"/>
          <w:sz w:val="16"/>
        </w:rPr>
        <w:t> </w:t>
      </w:r>
      <w:r>
        <w:rPr>
          <w:rFonts w:ascii="Trebuchet MS" w:hAnsi="Trebuchet MS"/>
          <w:color w:val="231F20"/>
          <w:sz w:val="16"/>
        </w:rPr>
        <w:t>subexser@correo. chapingo.mx.</w:t>
      </w:r>
    </w:p>
    <w:p>
      <w:pPr>
        <w:spacing w:after="0" w:line="247" w:lineRule="auto"/>
        <w:jc w:val="left"/>
        <w:rPr>
          <w:rFonts w:ascii="Trebuchet MS" w:hAnsi="Trebuchet MS"/>
          <w:sz w:val="16"/>
        </w:rPr>
        <w:sectPr>
          <w:pgSz w:w="10920" w:h="13080"/>
          <w:pgMar w:header="0" w:footer="1025" w:top="420" w:bottom="1220" w:left="0" w:right="0"/>
        </w:sectPr>
      </w:pPr>
    </w:p>
    <w:p>
      <w:pPr>
        <w:pStyle w:val="BodyText"/>
        <w:rPr>
          <w:rFonts w:ascii="Trebuchet MS"/>
          <w:sz w:val="20"/>
        </w:rPr>
      </w:pPr>
    </w:p>
    <w:p>
      <w:pPr>
        <w:pStyle w:val="BodyText"/>
        <w:rPr>
          <w:rFonts w:ascii="Trebuchet MS"/>
          <w:sz w:val="20"/>
        </w:rPr>
      </w:pPr>
    </w:p>
    <w:p>
      <w:pPr>
        <w:pStyle w:val="BodyText"/>
        <w:spacing w:before="4"/>
        <w:rPr>
          <w:rFonts w:ascii="Trebuchet MS"/>
          <w:sz w:val="22"/>
        </w:rPr>
      </w:pPr>
    </w:p>
    <w:p>
      <w:pPr>
        <w:pStyle w:val="BodyText"/>
        <w:spacing w:line="247" w:lineRule="auto" w:before="73"/>
        <w:ind w:left="1270" w:right="1268"/>
        <w:jc w:val="both"/>
      </w:pPr>
      <w:r>
        <w:rPr>
          <w:color w:val="231F20"/>
        </w:rPr>
        <w:t>La evaluación de genotipos de maíz para fines de producción de huitlacoche, permiten conocer el nivel de susceptibilidad genética (Pan </w:t>
      </w:r>
      <w:r>
        <w:rPr>
          <w:i/>
          <w:color w:val="231F20"/>
        </w:rPr>
        <w:t>et al.</w:t>
      </w:r>
      <w:r>
        <w:rPr>
          <w:color w:val="231F20"/>
        </w:rPr>
        <w:t>, 2008). Las variedades de maíz difieren en su suscepti- bilidad</w:t>
      </w:r>
      <w:r>
        <w:rPr>
          <w:color w:val="231F20"/>
          <w:spacing w:val="-5"/>
        </w:rPr>
        <w:t> </w:t>
      </w:r>
      <w:r>
        <w:rPr>
          <w:color w:val="231F20"/>
        </w:rPr>
        <w:t>a</w:t>
      </w:r>
      <w:r>
        <w:rPr>
          <w:color w:val="231F20"/>
          <w:spacing w:val="-5"/>
        </w:rPr>
        <w:t> </w:t>
      </w:r>
      <w:r>
        <w:rPr>
          <w:color w:val="231F20"/>
        </w:rPr>
        <w:t>este</w:t>
      </w:r>
      <w:r>
        <w:rPr>
          <w:color w:val="231F20"/>
          <w:spacing w:val="-5"/>
        </w:rPr>
        <w:t> </w:t>
      </w:r>
      <w:r>
        <w:rPr>
          <w:color w:val="231F20"/>
        </w:rPr>
        <w:t>hongo,</w:t>
      </w:r>
      <w:r>
        <w:rPr>
          <w:color w:val="231F20"/>
          <w:spacing w:val="-5"/>
        </w:rPr>
        <w:t> </w:t>
      </w:r>
      <w:r>
        <w:rPr>
          <w:color w:val="231F20"/>
        </w:rPr>
        <w:t>siendo</w:t>
      </w:r>
      <w:r>
        <w:rPr>
          <w:color w:val="231F20"/>
          <w:spacing w:val="-5"/>
        </w:rPr>
        <w:t> </w:t>
      </w:r>
      <w:r>
        <w:rPr>
          <w:color w:val="231F20"/>
        </w:rPr>
        <w:t>los</w:t>
      </w:r>
      <w:r>
        <w:rPr>
          <w:color w:val="231F20"/>
          <w:spacing w:val="-5"/>
        </w:rPr>
        <w:t> </w:t>
      </w:r>
      <w:r>
        <w:rPr>
          <w:color w:val="231F20"/>
        </w:rPr>
        <w:t>maíces</w:t>
      </w:r>
      <w:r>
        <w:rPr>
          <w:color w:val="231F20"/>
          <w:spacing w:val="-5"/>
        </w:rPr>
        <w:t> </w:t>
      </w:r>
      <w:r>
        <w:rPr>
          <w:color w:val="231F20"/>
        </w:rPr>
        <w:t>dulces</w:t>
      </w:r>
      <w:r>
        <w:rPr>
          <w:color w:val="231F20"/>
          <w:spacing w:val="-5"/>
        </w:rPr>
        <w:t> </w:t>
      </w:r>
      <w:r>
        <w:rPr>
          <w:color w:val="231F20"/>
        </w:rPr>
        <w:t>los</w:t>
      </w:r>
      <w:r>
        <w:rPr>
          <w:color w:val="231F20"/>
          <w:spacing w:val="-5"/>
        </w:rPr>
        <w:t> </w:t>
      </w:r>
      <w:r>
        <w:rPr>
          <w:color w:val="231F20"/>
        </w:rPr>
        <w:t>más</w:t>
      </w:r>
      <w:r>
        <w:rPr>
          <w:color w:val="231F20"/>
          <w:spacing w:val="-5"/>
        </w:rPr>
        <w:t> </w:t>
      </w:r>
      <w:r>
        <w:rPr>
          <w:color w:val="231F20"/>
        </w:rPr>
        <w:t>sensibles</w:t>
      </w:r>
      <w:r>
        <w:rPr>
          <w:color w:val="231F20"/>
          <w:spacing w:val="-5"/>
        </w:rPr>
        <w:t> </w:t>
      </w:r>
      <w:r>
        <w:rPr>
          <w:color w:val="231F20"/>
        </w:rPr>
        <w:t>(Christensen,</w:t>
      </w:r>
      <w:r>
        <w:rPr>
          <w:color w:val="231F20"/>
          <w:spacing w:val="-5"/>
        </w:rPr>
        <w:t> </w:t>
      </w:r>
      <w:r>
        <w:rPr>
          <w:color w:val="231F20"/>
        </w:rPr>
        <w:t>1963;</w:t>
      </w:r>
      <w:r>
        <w:rPr>
          <w:color w:val="231F20"/>
          <w:spacing w:val="-8"/>
        </w:rPr>
        <w:t> </w:t>
      </w:r>
      <w:r>
        <w:rPr>
          <w:color w:val="231F20"/>
          <w:spacing w:val="-3"/>
        </w:rPr>
        <w:t>Valverde,</w:t>
      </w:r>
      <w:r>
        <w:rPr>
          <w:color w:val="231F20"/>
          <w:spacing w:val="-5"/>
        </w:rPr>
        <w:t> </w:t>
      </w:r>
      <w:r>
        <w:rPr>
          <w:color w:val="231F20"/>
        </w:rPr>
        <w:t>1992; </w:t>
      </w:r>
      <w:r>
        <w:rPr>
          <w:color w:val="231F20"/>
          <w:spacing w:val="-4"/>
        </w:rPr>
        <w:t>Vanegas </w:t>
      </w:r>
      <w:r>
        <w:rPr>
          <w:i/>
          <w:color w:val="231F20"/>
        </w:rPr>
        <w:t>et al.</w:t>
      </w:r>
      <w:r>
        <w:rPr>
          <w:color w:val="231F20"/>
        </w:rPr>
        <w:t>, 1995), por tal razón el objetivo del presente trabajo fue evaluar la susceptibilidad   de 12 variedades de maíces criollos y cinco híbridos al huitlacoche (Ustilago maydis) y valorar su rentabilidad.</w:t>
      </w:r>
    </w:p>
    <w:p>
      <w:pPr>
        <w:pStyle w:val="BodyText"/>
        <w:spacing w:before="9"/>
        <w:rPr>
          <w:sz w:val="22"/>
        </w:rPr>
      </w:pPr>
    </w:p>
    <w:p>
      <w:pPr>
        <w:pStyle w:val="Heading3"/>
      </w:pPr>
      <w:r>
        <w:rPr>
          <w:color w:val="010202"/>
        </w:rPr>
        <w:t>Materiales y métodos</w:t>
      </w:r>
    </w:p>
    <w:p>
      <w:pPr>
        <w:pStyle w:val="BodyText"/>
        <w:spacing w:before="10"/>
        <w:rPr>
          <w:b/>
        </w:rPr>
      </w:pPr>
    </w:p>
    <w:p>
      <w:pPr>
        <w:pStyle w:val="BodyText"/>
        <w:spacing w:line="247" w:lineRule="auto"/>
        <w:ind w:left="1270" w:right="1268"/>
        <w:jc w:val="both"/>
      </w:pPr>
      <w:r>
        <w:rPr>
          <w:color w:val="231F20"/>
        </w:rPr>
        <w:t>El</w:t>
      </w:r>
      <w:r>
        <w:rPr>
          <w:color w:val="231F20"/>
          <w:spacing w:val="-7"/>
        </w:rPr>
        <w:t> </w:t>
      </w:r>
      <w:r>
        <w:rPr>
          <w:color w:val="231F20"/>
        </w:rPr>
        <w:t>estudio</w:t>
      </w:r>
      <w:r>
        <w:rPr>
          <w:color w:val="231F20"/>
          <w:spacing w:val="-7"/>
        </w:rPr>
        <w:t> </w:t>
      </w:r>
      <w:r>
        <w:rPr>
          <w:color w:val="231F20"/>
        </w:rPr>
        <w:t>se</w:t>
      </w:r>
      <w:r>
        <w:rPr>
          <w:color w:val="231F20"/>
          <w:spacing w:val="-7"/>
        </w:rPr>
        <w:t> </w:t>
      </w:r>
      <w:r>
        <w:rPr>
          <w:color w:val="231F20"/>
        </w:rPr>
        <w:t>realizó</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Campo</w:t>
      </w:r>
      <w:r>
        <w:rPr>
          <w:color w:val="231F20"/>
          <w:spacing w:val="-18"/>
        </w:rPr>
        <w:t> </w:t>
      </w:r>
      <w:r>
        <w:rPr>
          <w:color w:val="231F20"/>
        </w:rPr>
        <w:t>Agrícola</w:t>
      </w:r>
      <w:r>
        <w:rPr>
          <w:color w:val="231F20"/>
          <w:spacing w:val="-7"/>
        </w:rPr>
        <w:t> </w:t>
      </w:r>
      <w:r>
        <w:rPr>
          <w:color w:val="231F20"/>
        </w:rPr>
        <w:t>Experimental</w:t>
      </w:r>
      <w:r>
        <w:rPr>
          <w:color w:val="231F20"/>
          <w:spacing w:val="-7"/>
        </w:rPr>
        <w:t> </w:t>
      </w:r>
      <w:r>
        <w:rPr>
          <w:color w:val="231F20"/>
        </w:rPr>
        <w:t>“San</w:t>
      </w:r>
      <w:r>
        <w:rPr>
          <w:color w:val="231F20"/>
          <w:spacing w:val="-7"/>
        </w:rPr>
        <w:t> </w:t>
      </w:r>
      <w:r>
        <w:rPr>
          <w:color w:val="231F20"/>
        </w:rPr>
        <w:t>Ignacio”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Universidad</w:t>
      </w:r>
      <w:r>
        <w:rPr>
          <w:color w:val="231F20"/>
          <w:spacing w:val="-18"/>
        </w:rPr>
        <w:t> </w:t>
      </w:r>
      <w:r>
        <w:rPr>
          <w:color w:val="231F20"/>
        </w:rPr>
        <w:t>Autónoma Chapingo (19º 29’N y 98º 53’O); a una altitud de 2240 msnm, con temperatura y precipitación me- dias anuales de 15.2 ºC y 636.5 mm, respectivamente (García, 1988).</w:t>
      </w:r>
    </w:p>
    <w:p>
      <w:pPr>
        <w:pStyle w:val="BodyText"/>
        <w:spacing w:before="10"/>
      </w:pPr>
    </w:p>
    <w:p>
      <w:pPr>
        <w:pStyle w:val="BodyText"/>
        <w:spacing w:line="247" w:lineRule="auto"/>
        <w:ind w:left="1270" w:right="1268"/>
        <w:jc w:val="both"/>
      </w:pPr>
      <w:r>
        <w:rPr>
          <w:color w:val="231F20"/>
        </w:rPr>
        <w:t>La siembra se realizó el 30 de marzo de 2011. Las unidades experimentales consistieron de dos sur- cos</w:t>
      </w:r>
      <w:r>
        <w:rPr>
          <w:color w:val="231F20"/>
          <w:spacing w:val="-7"/>
        </w:rPr>
        <w:t> </w:t>
      </w:r>
      <w:r>
        <w:rPr>
          <w:color w:val="231F20"/>
        </w:rPr>
        <w:t>de</w:t>
      </w:r>
      <w:r>
        <w:rPr>
          <w:color w:val="231F20"/>
          <w:spacing w:val="-7"/>
        </w:rPr>
        <w:t> </w:t>
      </w:r>
      <w:r>
        <w:rPr>
          <w:color w:val="231F20"/>
        </w:rPr>
        <w:t>5.0</w:t>
      </w:r>
      <w:r>
        <w:rPr>
          <w:color w:val="231F20"/>
          <w:spacing w:val="-7"/>
        </w:rPr>
        <w:t> </w:t>
      </w:r>
      <w:r>
        <w:rPr>
          <w:color w:val="231F20"/>
        </w:rPr>
        <w:t>m</w:t>
      </w:r>
      <w:r>
        <w:rPr>
          <w:color w:val="231F20"/>
          <w:spacing w:val="-7"/>
        </w:rPr>
        <w:t> </w:t>
      </w:r>
      <w:r>
        <w:rPr>
          <w:color w:val="231F20"/>
        </w:rPr>
        <w:t>de</w:t>
      </w:r>
      <w:r>
        <w:rPr>
          <w:color w:val="231F20"/>
          <w:spacing w:val="-7"/>
        </w:rPr>
        <w:t> </w:t>
      </w:r>
      <w:r>
        <w:rPr>
          <w:color w:val="231F20"/>
        </w:rPr>
        <w:t>longitud,</w:t>
      </w:r>
      <w:r>
        <w:rPr>
          <w:color w:val="231F20"/>
          <w:spacing w:val="-7"/>
        </w:rPr>
        <w:t> </w:t>
      </w:r>
      <w:r>
        <w:rPr>
          <w:color w:val="231F20"/>
        </w:rPr>
        <w:t>por</w:t>
      </w:r>
      <w:r>
        <w:rPr>
          <w:color w:val="231F20"/>
          <w:spacing w:val="-7"/>
        </w:rPr>
        <w:t> </w:t>
      </w:r>
      <w:r>
        <w:rPr>
          <w:color w:val="231F20"/>
        </w:rPr>
        <w:t>0.80</w:t>
      </w:r>
      <w:r>
        <w:rPr>
          <w:color w:val="231F20"/>
          <w:spacing w:val="-7"/>
        </w:rPr>
        <w:t> </w:t>
      </w:r>
      <w:r>
        <w:rPr>
          <w:color w:val="231F20"/>
        </w:rPr>
        <w:t>m</w:t>
      </w:r>
      <w:r>
        <w:rPr>
          <w:color w:val="231F20"/>
          <w:spacing w:val="-7"/>
        </w:rPr>
        <w:t> </w:t>
      </w:r>
      <w:r>
        <w:rPr>
          <w:color w:val="231F20"/>
        </w:rPr>
        <w:t>de</w:t>
      </w:r>
      <w:r>
        <w:rPr>
          <w:color w:val="231F20"/>
          <w:spacing w:val="-7"/>
        </w:rPr>
        <w:t> </w:t>
      </w:r>
      <w:r>
        <w:rPr>
          <w:color w:val="231F20"/>
        </w:rPr>
        <w:t>ancho,</w:t>
      </w:r>
      <w:r>
        <w:rPr>
          <w:color w:val="231F20"/>
          <w:spacing w:val="-7"/>
        </w:rPr>
        <w:t> </w:t>
      </w:r>
      <w:r>
        <w:rPr>
          <w:color w:val="231F20"/>
        </w:rPr>
        <w:t>dejando</w:t>
      </w:r>
      <w:r>
        <w:rPr>
          <w:color w:val="231F20"/>
          <w:spacing w:val="-7"/>
        </w:rPr>
        <w:t> </w:t>
      </w:r>
      <w:r>
        <w:rPr>
          <w:color w:val="231F20"/>
        </w:rPr>
        <w:t>0.20</w:t>
      </w:r>
      <w:r>
        <w:rPr>
          <w:color w:val="231F20"/>
          <w:spacing w:val="-7"/>
        </w:rPr>
        <w:t> </w:t>
      </w:r>
      <w:r>
        <w:rPr>
          <w:color w:val="231F20"/>
        </w:rPr>
        <w:t>m</w:t>
      </w:r>
      <w:r>
        <w:rPr>
          <w:color w:val="231F20"/>
          <w:spacing w:val="-7"/>
        </w:rPr>
        <w:t> </w:t>
      </w:r>
      <w:r>
        <w:rPr>
          <w:color w:val="231F20"/>
        </w:rPr>
        <w:t>entre</w:t>
      </w:r>
      <w:r>
        <w:rPr>
          <w:color w:val="231F20"/>
          <w:spacing w:val="-7"/>
        </w:rPr>
        <w:t> </w:t>
      </w:r>
      <w:r>
        <w:rPr>
          <w:color w:val="231F20"/>
        </w:rPr>
        <w:t>plantas.</w:t>
      </w:r>
      <w:r>
        <w:rPr>
          <w:color w:val="231F20"/>
          <w:spacing w:val="-7"/>
        </w:rPr>
        <w:t> </w:t>
      </w:r>
      <w:r>
        <w:rPr>
          <w:color w:val="231F20"/>
        </w:rPr>
        <w:t>El</w:t>
      </w:r>
      <w:r>
        <w:rPr>
          <w:color w:val="231F20"/>
          <w:spacing w:val="-7"/>
        </w:rPr>
        <w:t> </w:t>
      </w:r>
      <w:r>
        <w:rPr>
          <w:color w:val="231F20"/>
        </w:rPr>
        <w:t>arreglo</w:t>
      </w:r>
      <w:r>
        <w:rPr>
          <w:color w:val="231F20"/>
          <w:spacing w:val="-7"/>
        </w:rPr>
        <w:t> </w:t>
      </w:r>
      <w:r>
        <w:rPr>
          <w:color w:val="231F20"/>
        </w:rPr>
        <w:t>experimental fue en bloques completos al azar con cuatro repeticiones y 17 tratamientos. Se utilizó la fórmula general de fertilización 250-130-80, aplicando la mitad del nitrógeno y todo el fosforo y potasio en la siembra y el resto del nitrógeno se aplicó 65 días después, el cual se suplió con 320 kg de</w:t>
      </w:r>
      <w:r>
        <w:rPr>
          <w:color w:val="231F20"/>
          <w:spacing w:val="-21"/>
        </w:rPr>
        <w:t> </w:t>
      </w:r>
      <w:r>
        <w:rPr>
          <w:color w:val="231F20"/>
        </w:rPr>
        <w:t>lombri- composta.</w:t>
      </w:r>
    </w:p>
    <w:p>
      <w:pPr>
        <w:pStyle w:val="BodyText"/>
        <w:spacing w:before="10"/>
      </w:pPr>
    </w:p>
    <w:p>
      <w:pPr>
        <w:pStyle w:val="BodyText"/>
        <w:spacing w:line="247" w:lineRule="auto"/>
        <w:ind w:left="1270" w:right="1268"/>
        <w:jc w:val="both"/>
      </w:pPr>
      <w:r>
        <w:rPr>
          <w:color w:val="231F20"/>
        </w:rPr>
        <w:t>Los 12 maíces criollos evaluados se ubicaron en las razas abajo indicadas con base en las</w:t>
      </w:r>
      <w:r>
        <w:rPr>
          <w:color w:val="231F20"/>
          <w:spacing w:val="-27"/>
        </w:rPr>
        <w:t> </w:t>
      </w:r>
      <w:r>
        <w:rPr>
          <w:color w:val="231F20"/>
        </w:rPr>
        <w:t>siguientes características: Color de Grano (CG), Altura de planta (AP) y Días a Floración Femenina (DFF); seleccionando solo aquellos de altitudes similares al sito de estudio. Éstos fueron B2: Chalqueño, Blanco cremoso (BC), 2.25 m y 103; B3: Ancho, BC, 2 m y 113; B4: Chalqueño, BC, 2.7 m y 119; B5: Cacahuacintle, BC, 1.6 m y 88; B6: Ancho, BC, 2.2 m y 110; B7: Chalqueño-bolita, BC, 3 m   y 120; N8: Elotes chalqueños, Azul, 2.8 m y 117; N9: Elotes cónicos, Azul Oscuro (AO), 1.7 m y 87;</w:t>
      </w:r>
      <w:r>
        <w:rPr>
          <w:color w:val="231F20"/>
          <w:spacing w:val="-3"/>
        </w:rPr>
        <w:t> </w:t>
      </w:r>
      <w:r>
        <w:rPr>
          <w:color w:val="231F20"/>
        </w:rPr>
        <w:t>N10:</w:t>
      </w:r>
      <w:r>
        <w:rPr>
          <w:color w:val="231F20"/>
          <w:spacing w:val="-3"/>
        </w:rPr>
        <w:t> </w:t>
      </w:r>
      <w:r>
        <w:rPr>
          <w:color w:val="231F20"/>
        </w:rPr>
        <w:t>Elotes</w:t>
      </w:r>
      <w:r>
        <w:rPr>
          <w:color w:val="231F20"/>
          <w:spacing w:val="-3"/>
        </w:rPr>
        <w:t> </w:t>
      </w:r>
      <w:r>
        <w:rPr>
          <w:color w:val="231F20"/>
        </w:rPr>
        <w:t>chalqueños,</w:t>
      </w:r>
      <w:r>
        <w:rPr>
          <w:color w:val="231F20"/>
          <w:spacing w:val="-15"/>
        </w:rPr>
        <w:t> </w:t>
      </w:r>
      <w:r>
        <w:rPr>
          <w:color w:val="231F20"/>
        </w:rPr>
        <w:t>AO,</w:t>
      </w:r>
      <w:r>
        <w:rPr>
          <w:color w:val="231F20"/>
          <w:spacing w:val="-3"/>
        </w:rPr>
        <w:t> </w:t>
      </w:r>
      <w:r>
        <w:rPr>
          <w:color w:val="231F20"/>
        </w:rPr>
        <w:t>1.7</w:t>
      </w:r>
      <w:r>
        <w:rPr>
          <w:color w:val="231F20"/>
          <w:spacing w:val="-3"/>
        </w:rPr>
        <w:t> </w:t>
      </w:r>
      <w:r>
        <w:rPr>
          <w:color w:val="231F20"/>
        </w:rPr>
        <w:t>m</w:t>
      </w:r>
      <w:r>
        <w:rPr>
          <w:color w:val="231F20"/>
          <w:spacing w:val="-3"/>
        </w:rPr>
        <w:t> </w:t>
      </w:r>
      <w:r>
        <w:rPr>
          <w:color w:val="231F20"/>
        </w:rPr>
        <w:t>y</w:t>
      </w:r>
      <w:r>
        <w:rPr>
          <w:color w:val="231F20"/>
          <w:spacing w:val="-3"/>
        </w:rPr>
        <w:t> </w:t>
      </w:r>
      <w:r>
        <w:rPr>
          <w:color w:val="231F20"/>
        </w:rPr>
        <w:t>87;</w:t>
      </w:r>
      <w:r>
        <w:rPr>
          <w:color w:val="231F20"/>
          <w:spacing w:val="-3"/>
        </w:rPr>
        <w:t> </w:t>
      </w:r>
      <w:r>
        <w:rPr>
          <w:color w:val="231F20"/>
        </w:rPr>
        <w:t>N11:</w:t>
      </w:r>
      <w:r>
        <w:rPr>
          <w:color w:val="231F20"/>
          <w:spacing w:val="-3"/>
        </w:rPr>
        <w:t> </w:t>
      </w:r>
      <w:r>
        <w:rPr>
          <w:color w:val="231F20"/>
        </w:rPr>
        <w:t>Elotes</w:t>
      </w:r>
      <w:r>
        <w:rPr>
          <w:color w:val="231F20"/>
          <w:spacing w:val="-3"/>
        </w:rPr>
        <w:t> </w:t>
      </w:r>
      <w:r>
        <w:rPr>
          <w:color w:val="231F20"/>
        </w:rPr>
        <w:t>chalqueños,</w:t>
      </w:r>
      <w:r>
        <w:rPr>
          <w:color w:val="231F20"/>
          <w:spacing w:val="-15"/>
        </w:rPr>
        <w:t> </w:t>
      </w:r>
      <w:r>
        <w:rPr>
          <w:color w:val="231F20"/>
        </w:rPr>
        <w:t>AO,</w:t>
      </w:r>
      <w:r>
        <w:rPr>
          <w:color w:val="231F20"/>
          <w:spacing w:val="-3"/>
        </w:rPr>
        <w:t> </w:t>
      </w:r>
      <w:r>
        <w:rPr>
          <w:color w:val="231F20"/>
        </w:rPr>
        <w:t>2.1</w:t>
      </w:r>
      <w:r>
        <w:rPr>
          <w:color w:val="231F20"/>
          <w:spacing w:val="-3"/>
        </w:rPr>
        <w:t> </w:t>
      </w:r>
      <w:r>
        <w:rPr>
          <w:color w:val="231F20"/>
        </w:rPr>
        <w:t>m</w:t>
      </w:r>
      <w:r>
        <w:rPr>
          <w:color w:val="231F20"/>
          <w:spacing w:val="-3"/>
        </w:rPr>
        <w:t> </w:t>
      </w:r>
      <w:r>
        <w:rPr>
          <w:color w:val="231F20"/>
        </w:rPr>
        <w:t>y</w:t>
      </w:r>
      <w:r>
        <w:rPr>
          <w:color w:val="231F20"/>
          <w:spacing w:val="-3"/>
        </w:rPr>
        <w:t> </w:t>
      </w:r>
      <w:r>
        <w:rPr>
          <w:color w:val="231F20"/>
        </w:rPr>
        <w:t>113;</w:t>
      </w:r>
      <w:r>
        <w:rPr>
          <w:color w:val="231F20"/>
          <w:spacing w:val="-3"/>
        </w:rPr>
        <w:t> </w:t>
      </w:r>
      <w:r>
        <w:rPr>
          <w:color w:val="231F20"/>
        </w:rPr>
        <w:t>R12:</w:t>
      </w:r>
      <w:r>
        <w:rPr>
          <w:color w:val="231F20"/>
          <w:spacing w:val="-3"/>
        </w:rPr>
        <w:t> </w:t>
      </w:r>
      <w:r>
        <w:rPr>
          <w:color w:val="231F20"/>
        </w:rPr>
        <w:t>Elotes chalqueño-bolita, Rojo Oscuro (RO), 2.7 m y 122; R13: Elotes cónicos, RO, 1.7 m y 84. Los cinco maíces híbridos (Oso, Cobra, Tigre, A7573 y 30T26) fueron los recomendados por las empresas semilleras para la</w:t>
      </w:r>
      <w:r>
        <w:rPr>
          <w:color w:val="231F20"/>
          <w:spacing w:val="-9"/>
        </w:rPr>
        <w:t> </w:t>
      </w:r>
      <w:r>
        <w:rPr>
          <w:color w:val="231F20"/>
        </w:rPr>
        <w:t>zona.</w:t>
      </w:r>
    </w:p>
    <w:p>
      <w:pPr>
        <w:pStyle w:val="BodyText"/>
        <w:spacing w:before="10"/>
      </w:pPr>
    </w:p>
    <w:p>
      <w:pPr>
        <w:pStyle w:val="BodyText"/>
        <w:spacing w:line="249" w:lineRule="auto"/>
        <w:ind w:left="1270" w:right="1267"/>
        <w:jc w:val="both"/>
      </w:pPr>
      <w:r>
        <w:rPr>
          <w:color w:val="231F20"/>
        </w:rPr>
        <w:t>Para</w:t>
      </w:r>
      <w:r>
        <w:rPr>
          <w:color w:val="231F20"/>
          <w:spacing w:val="-2"/>
        </w:rPr>
        <w:t> </w:t>
      </w:r>
      <w:r>
        <w:rPr>
          <w:color w:val="231F20"/>
        </w:rPr>
        <w:t>la</w:t>
      </w:r>
      <w:r>
        <w:rPr>
          <w:color w:val="231F20"/>
          <w:spacing w:val="-2"/>
        </w:rPr>
        <w:t> </w:t>
      </w:r>
      <w:r>
        <w:rPr>
          <w:color w:val="231F20"/>
        </w:rPr>
        <w:t>inoculación</w:t>
      </w:r>
      <w:r>
        <w:rPr>
          <w:color w:val="231F20"/>
          <w:spacing w:val="-3"/>
        </w:rPr>
        <w:t> </w:t>
      </w:r>
      <w:r>
        <w:rPr>
          <w:color w:val="231F20"/>
        </w:rPr>
        <w:t>se</w:t>
      </w:r>
      <w:r>
        <w:rPr>
          <w:color w:val="231F20"/>
          <w:spacing w:val="-2"/>
        </w:rPr>
        <w:t> </w:t>
      </w:r>
      <w:r>
        <w:rPr>
          <w:color w:val="231F20"/>
        </w:rPr>
        <w:t>utilizó</w:t>
      </w:r>
      <w:r>
        <w:rPr>
          <w:color w:val="231F20"/>
          <w:spacing w:val="-3"/>
        </w:rPr>
        <w:t> </w:t>
      </w:r>
      <w:r>
        <w:rPr>
          <w:color w:val="231F20"/>
        </w:rPr>
        <w:t>la</w:t>
      </w:r>
      <w:r>
        <w:rPr>
          <w:color w:val="231F20"/>
          <w:spacing w:val="-2"/>
        </w:rPr>
        <w:t> </w:t>
      </w:r>
      <w:r>
        <w:rPr>
          <w:color w:val="231F20"/>
        </w:rPr>
        <w:t>cepa</w:t>
      </w:r>
      <w:r>
        <w:rPr>
          <w:color w:val="231F20"/>
          <w:spacing w:val="-2"/>
        </w:rPr>
        <w:t> </w:t>
      </w:r>
      <w:r>
        <w:rPr>
          <w:color w:val="231F20"/>
        </w:rPr>
        <w:t>IM409,</w:t>
      </w:r>
      <w:r>
        <w:rPr>
          <w:color w:val="231F20"/>
          <w:spacing w:val="-2"/>
        </w:rPr>
        <w:t> </w:t>
      </w:r>
      <w:r>
        <w:rPr>
          <w:color w:val="231F20"/>
        </w:rPr>
        <w:t>la</w:t>
      </w:r>
      <w:r>
        <w:rPr>
          <w:color w:val="231F20"/>
          <w:spacing w:val="-2"/>
        </w:rPr>
        <w:t> </w:t>
      </w:r>
      <w:r>
        <w:rPr>
          <w:color w:val="231F20"/>
        </w:rPr>
        <w:t>cual</w:t>
      </w:r>
      <w:r>
        <w:rPr>
          <w:color w:val="231F20"/>
          <w:spacing w:val="-3"/>
        </w:rPr>
        <w:t> </w:t>
      </w:r>
      <w:r>
        <w:rPr>
          <w:color w:val="231F20"/>
        </w:rPr>
        <w:t>fue</w:t>
      </w:r>
      <w:r>
        <w:rPr>
          <w:color w:val="231F20"/>
          <w:spacing w:val="-2"/>
        </w:rPr>
        <w:t> </w:t>
      </w:r>
      <w:r>
        <w:rPr>
          <w:color w:val="231F20"/>
        </w:rPr>
        <w:t>aislada</w:t>
      </w:r>
      <w:r>
        <w:rPr>
          <w:color w:val="231F20"/>
          <w:spacing w:val="-2"/>
        </w:rPr>
        <w:t> </w:t>
      </w:r>
      <w:r>
        <w:rPr>
          <w:color w:val="231F20"/>
        </w:rPr>
        <w:t>e</w:t>
      </w:r>
      <w:r>
        <w:rPr>
          <w:color w:val="231F20"/>
          <w:spacing w:val="-2"/>
        </w:rPr>
        <w:t> </w:t>
      </w:r>
      <w:r>
        <w:rPr>
          <w:color w:val="231F20"/>
        </w:rPr>
        <w:t>incrementada</w:t>
      </w:r>
      <w:r>
        <w:rPr>
          <w:color w:val="231F20"/>
          <w:spacing w:val="-3"/>
        </w:rPr>
        <w:t> </w:t>
      </w:r>
      <w:r>
        <w:rPr>
          <w:color w:val="231F20"/>
        </w:rPr>
        <w:t>en</w:t>
      </w:r>
      <w:r>
        <w:rPr>
          <w:color w:val="231F20"/>
          <w:spacing w:val="-2"/>
        </w:rPr>
        <w:t> </w:t>
      </w:r>
      <w:r>
        <w:rPr>
          <w:color w:val="231F20"/>
        </w:rPr>
        <w:t>cajas</w:t>
      </w:r>
      <w:r>
        <w:rPr>
          <w:color w:val="231F20"/>
          <w:spacing w:val="-2"/>
        </w:rPr>
        <w:t> </w:t>
      </w:r>
      <w:r>
        <w:rPr>
          <w:color w:val="231F20"/>
        </w:rPr>
        <w:t>de</w:t>
      </w:r>
      <w:r>
        <w:rPr>
          <w:color w:val="231F20"/>
          <w:spacing w:val="-2"/>
        </w:rPr>
        <w:t> </w:t>
      </w:r>
      <w:r>
        <w:rPr>
          <w:color w:val="231F20"/>
        </w:rPr>
        <w:t>Petri</w:t>
      </w:r>
      <w:r>
        <w:rPr>
          <w:color w:val="231F20"/>
          <w:spacing w:val="-2"/>
        </w:rPr>
        <w:t> </w:t>
      </w:r>
      <w:r>
        <w:rPr>
          <w:color w:val="231F20"/>
        </w:rPr>
        <w:t>con medio de cultivo PDA (Papa Dextrosa Agar); misma que se llevó a cabo cuando los estigmas de los jilotes alcanzaron de 3 a 5 cm de longitud fuera de las brácteas, el inoculo se aplicó con una jeringa </w:t>
      </w:r>
      <w:r>
        <w:rPr>
          <w:color w:val="231F20"/>
          <w:spacing w:val="-8"/>
        </w:rPr>
        <w:t>Vet </w:t>
      </w:r>
      <w:r>
        <w:rPr>
          <w:color w:val="231F20"/>
        </w:rPr>
        <w:t>Matic</w:t>
      </w:r>
      <w:r>
        <w:rPr>
          <w:color w:val="231F20"/>
          <w:position w:val="7"/>
          <w:sz w:val="12"/>
        </w:rPr>
        <w:t>®</w:t>
      </w:r>
      <w:r>
        <w:rPr>
          <w:color w:val="231F20"/>
        </w:rPr>
        <w:t>, inyectando 1.5 ml de la suspensión en dos puntos equidistantes del jilote, para un total de 3.0 ml por jilote, a una concentración de 1x106 basidiosporas•ml</w:t>
      </w:r>
      <w:r>
        <w:rPr>
          <w:color w:val="231F20"/>
          <w:position w:val="7"/>
          <w:sz w:val="12"/>
        </w:rPr>
        <w:t>-1  </w:t>
      </w:r>
      <w:r>
        <w:rPr>
          <w:color w:val="231F20"/>
        </w:rPr>
        <w:t>de</w:t>
      </w:r>
      <w:r>
        <w:rPr>
          <w:color w:val="231F20"/>
          <w:spacing w:val="-7"/>
        </w:rPr>
        <w:t> </w:t>
      </w:r>
      <w:r>
        <w:rPr>
          <w:color w:val="231F20"/>
        </w:rPr>
        <w:t>agua.</w:t>
      </w:r>
    </w:p>
    <w:p>
      <w:pPr>
        <w:pStyle w:val="BodyText"/>
        <w:spacing w:before="7"/>
      </w:pPr>
    </w:p>
    <w:p>
      <w:pPr>
        <w:pStyle w:val="BodyText"/>
        <w:spacing w:line="247" w:lineRule="auto" w:before="1"/>
        <w:ind w:left="1270" w:right="1268"/>
        <w:jc w:val="both"/>
      </w:pPr>
      <w:r>
        <w:rPr>
          <w:color w:val="231F20"/>
        </w:rPr>
        <w:t>Los</w:t>
      </w:r>
      <w:r>
        <w:rPr>
          <w:color w:val="231F20"/>
          <w:spacing w:val="-8"/>
        </w:rPr>
        <w:t> </w:t>
      </w:r>
      <w:r>
        <w:rPr>
          <w:color w:val="231F20"/>
        </w:rPr>
        <w:t>datos</w:t>
      </w:r>
      <w:r>
        <w:rPr>
          <w:color w:val="231F20"/>
          <w:spacing w:val="-8"/>
        </w:rPr>
        <w:t> </w:t>
      </w:r>
      <w:r>
        <w:rPr>
          <w:color w:val="231F20"/>
        </w:rPr>
        <w:t>se</w:t>
      </w:r>
      <w:r>
        <w:rPr>
          <w:color w:val="231F20"/>
          <w:spacing w:val="-8"/>
        </w:rPr>
        <w:t> </w:t>
      </w:r>
      <w:r>
        <w:rPr>
          <w:color w:val="231F20"/>
        </w:rPr>
        <w:t>empezaron</w:t>
      </w:r>
      <w:r>
        <w:rPr>
          <w:color w:val="231F20"/>
          <w:spacing w:val="-9"/>
        </w:rPr>
        <w:t> </w:t>
      </w:r>
      <w:r>
        <w:rPr>
          <w:color w:val="231F20"/>
        </w:rPr>
        <w:t>a</w:t>
      </w:r>
      <w:r>
        <w:rPr>
          <w:color w:val="231F20"/>
          <w:spacing w:val="-8"/>
        </w:rPr>
        <w:t> </w:t>
      </w:r>
      <w:r>
        <w:rPr>
          <w:color w:val="231F20"/>
        </w:rPr>
        <w:t>registrar</w:t>
      </w:r>
      <w:r>
        <w:rPr>
          <w:color w:val="231F20"/>
          <w:spacing w:val="-9"/>
        </w:rPr>
        <w:t> </w:t>
      </w:r>
      <w:r>
        <w:rPr>
          <w:color w:val="231F20"/>
        </w:rPr>
        <w:t>24</w:t>
      </w:r>
      <w:r>
        <w:rPr>
          <w:color w:val="231F20"/>
          <w:spacing w:val="-8"/>
        </w:rPr>
        <w:t> </w:t>
      </w:r>
      <w:r>
        <w:rPr>
          <w:color w:val="231F20"/>
        </w:rPr>
        <w:t>días</w:t>
      </w:r>
      <w:r>
        <w:rPr>
          <w:color w:val="231F20"/>
          <w:spacing w:val="-8"/>
        </w:rPr>
        <w:t> </w:t>
      </w:r>
      <w:r>
        <w:rPr>
          <w:color w:val="231F20"/>
        </w:rPr>
        <w:t>después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inoculación,</w:t>
      </w:r>
      <w:r>
        <w:rPr>
          <w:color w:val="231F20"/>
          <w:spacing w:val="-9"/>
        </w:rPr>
        <w:t> </w:t>
      </w:r>
      <w:r>
        <w:rPr>
          <w:color w:val="231F20"/>
        </w:rPr>
        <w:t>cuando</w:t>
      </w:r>
      <w:r>
        <w:rPr>
          <w:color w:val="231F20"/>
          <w:spacing w:val="-8"/>
        </w:rPr>
        <w:t> </w:t>
      </w:r>
      <w:r>
        <w:rPr>
          <w:color w:val="231F20"/>
        </w:rPr>
        <w:t>las</w:t>
      </w:r>
      <w:r>
        <w:rPr>
          <w:color w:val="231F20"/>
          <w:spacing w:val="-8"/>
        </w:rPr>
        <w:t> </w:t>
      </w:r>
      <w:r>
        <w:rPr>
          <w:color w:val="231F20"/>
        </w:rPr>
        <w:t>agallas</w:t>
      </w:r>
      <w:r>
        <w:rPr>
          <w:color w:val="231F20"/>
          <w:spacing w:val="-9"/>
        </w:rPr>
        <w:t> </w:t>
      </w:r>
      <w:r>
        <w:rPr>
          <w:color w:val="231F20"/>
        </w:rPr>
        <w:t>del</w:t>
      </w:r>
      <w:r>
        <w:rPr>
          <w:color w:val="231F20"/>
          <w:spacing w:val="-8"/>
        </w:rPr>
        <w:t> </w:t>
      </w:r>
      <w:r>
        <w:rPr>
          <w:color w:val="231F20"/>
        </w:rPr>
        <w:t>hongo</w:t>
      </w:r>
      <w:r>
        <w:rPr>
          <w:color w:val="231F20"/>
          <w:spacing w:val="-8"/>
        </w:rPr>
        <w:t> </w:t>
      </w:r>
      <w:r>
        <w:rPr>
          <w:color w:val="231F20"/>
        </w:rPr>
        <w:t>se han desarrollado completamente (abultamiento y crecimiento deforme de la mazorca); las variables estudiadas fueron las siguientes: a) Índice se severidad (IS). Es la proporción de los elotes cubierta con las agallas formadas por el hongo, para ello se definieron cinco grados de severidad (Cuadro</w:t>
      </w:r>
      <w:r>
        <w:rPr>
          <w:color w:val="231F20"/>
          <w:spacing w:val="-27"/>
        </w:rPr>
        <w:t> </w:t>
      </w:r>
      <w:r>
        <w:rPr>
          <w:color w:val="231F20"/>
        </w:rPr>
        <w:t>1).</w:t>
      </w:r>
    </w:p>
    <w:p>
      <w:pPr>
        <w:spacing w:after="0" w:line="247" w:lineRule="auto"/>
        <w:jc w:val="both"/>
        <w:sectPr>
          <w:pgSz w:w="10920" w:h="13080"/>
          <w:pgMar w:header="0" w:footer="1025" w:top="420" w:bottom="1220" w:left="0" w:right="0"/>
        </w:sectPr>
      </w:pPr>
    </w:p>
    <w:p>
      <w:pPr>
        <w:pStyle w:val="BodyText"/>
        <w:rPr>
          <w:sz w:val="20"/>
        </w:rPr>
      </w:pPr>
    </w:p>
    <w:p>
      <w:pPr>
        <w:pStyle w:val="BodyText"/>
        <w:rPr>
          <w:sz w:val="20"/>
        </w:rPr>
      </w:pPr>
    </w:p>
    <w:p>
      <w:pPr>
        <w:pStyle w:val="BodyText"/>
        <w:rPr>
          <w:sz w:val="23"/>
        </w:rPr>
      </w:pPr>
    </w:p>
    <w:p>
      <w:pPr>
        <w:pStyle w:val="BodyText"/>
        <w:spacing w:line="249" w:lineRule="auto" w:before="73"/>
        <w:ind w:left="1270" w:right="1267"/>
        <w:jc w:val="both"/>
      </w:pPr>
      <w:r>
        <w:rPr>
          <w:color w:val="231F20"/>
        </w:rPr>
        <w:t>El IS se calculó con una función de probabilidad, en donde las proporciones obtenidas permitieron conocer la esperanza y la varianza, para aplicar la prueba de t-Student. b) Porcentaje de Incidencia (PI). Es el cociente del número de jilotes infectados con algún grado se severidad dividido entre el número de jilotes inoculados multiplicado por 100; c) Gramos por mazorca infectada (GMI). Es el peso</w:t>
      </w:r>
      <w:r>
        <w:rPr>
          <w:color w:val="231F20"/>
          <w:spacing w:val="-4"/>
        </w:rPr>
        <w:t> </w:t>
      </w:r>
      <w:r>
        <w:rPr>
          <w:color w:val="231F20"/>
        </w:rPr>
        <w:t>total</w:t>
      </w:r>
      <w:r>
        <w:rPr>
          <w:color w:val="231F20"/>
          <w:spacing w:val="-5"/>
        </w:rPr>
        <w:t> </w:t>
      </w:r>
      <w:r>
        <w:rPr>
          <w:color w:val="231F20"/>
        </w:rPr>
        <w:t>en</w:t>
      </w:r>
      <w:r>
        <w:rPr>
          <w:color w:val="231F20"/>
          <w:spacing w:val="-5"/>
        </w:rPr>
        <w:t> </w:t>
      </w:r>
      <w:r>
        <w:rPr>
          <w:color w:val="231F20"/>
        </w:rPr>
        <w:t>g</w:t>
      </w:r>
      <w:r>
        <w:rPr>
          <w:color w:val="231F20"/>
          <w:spacing w:val="-4"/>
        </w:rPr>
        <w:t> </w:t>
      </w:r>
      <w:r>
        <w:rPr>
          <w:color w:val="231F20"/>
        </w:rPr>
        <w:t>del</w:t>
      </w:r>
      <w:r>
        <w:rPr>
          <w:color w:val="231F20"/>
          <w:spacing w:val="-5"/>
        </w:rPr>
        <w:t> </w:t>
      </w:r>
      <w:r>
        <w:rPr>
          <w:color w:val="231F20"/>
        </w:rPr>
        <w:t>huitlacoche</w:t>
      </w:r>
      <w:r>
        <w:rPr>
          <w:color w:val="231F20"/>
          <w:spacing w:val="-5"/>
        </w:rPr>
        <w:t> </w:t>
      </w:r>
      <w:r>
        <w:rPr>
          <w:color w:val="231F20"/>
        </w:rPr>
        <w:t>desgranado</w:t>
      </w:r>
      <w:r>
        <w:rPr>
          <w:color w:val="231F20"/>
          <w:spacing w:val="-5"/>
        </w:rPr>
        <w:t> </w:t>
      </w:r>
      <w:r>
        <w:rPr>
          <w:color w:val="231F20"/>
        </w:rPr>
        <w:t>de</w:t>
      </w:r>
      <w:r>
        <w:rPr>
          <w:color w:val="231F20"/>
          <w:spacing w:val="-5"/>
        </w:rPr>
        <w:t> </w:t>
      </w:r>
      <w:r>
        <w:rPr>
          <w:color w:val="231F20"/>
        </w:rPr>
        <w:t>todos</w:t>
      </w:r>
      <w:r>
        <w:rPr>
          <w:color w:val="231F20"/>
          <w:spacing w:val="-5"/>
        </w:rPr>
        <w:t> </w:t>
      </w:r>
      <w:r>
        <w:rPr>
          <w:color w:val="231F20"/>
        </w:rPr>
        <w:t>los</w:t>
      </w:r>
      <w:r>
        <w:rPr>
          <w:color w:val="231F20"/>
          <w:spacing w:val="-5"/>
        </w:rPr>
        <w:t> </w:t>
      </w:r>
      <w:r>
        <w:rPr>
          <w:color w:val="231F20"/>
        </w:rPr>
        <w:t>elotes</w:t>
      </w:r>
      <w:r>
        <w:rPr>
          <w:color w:val="231F20"/>
          <w:spacing w:val="-5"/>
        </w:rPr>
        <w:t> </w:t>
      </w:r>
      <w:r>
        <w:rPr>
          <w:color w:val="231F20"/>
        </w:rPr>
        <w:t>infectados</w:t>
      </w:r>
      <w:r>
        <w:rPr>
          <w:color w:val="231F20"/>
          <w:spacing w:val="-5"/>
        </w:rPr>
        <w:t> </w:t>
      </w:r>
      <w:r>
        <w:rPr>
          <w:color w:val="231F20"/>
        </w:rPr>
        <w:t>dividido</w:t>
      </w:r>
      <w:r>
        <w:rPr>
          <w:color w:val="231F20"/>
          <w:spacing w:val="-5"/>
        </w:rPr>
        <w:t> </w:t>
      </w:r>
      <w:r>
        <w:rPr>
          <w:color w:val="231F20"/>
        </w:rPr>
        <w:t>entre</w:t>
      </w:r>
      <w:r>
        <w:rPr>
          <w:color w:val="231F20"/>
          <w:spacing w:val="-5"/>
        </w:rPr>
        <w:t> </w:t>
      </w:r>
      <w:r>
        <w:rPr>
          <w:color w:val="231F20"/>
        </w:rPr>
        <w:t>el</w:t>
      </w:r>
      <w:r>
        <w:rPr>
          <w:color w:val="231F20"/>
          <w:spacing w:val="-5"/>
        </w:rPr>
        <w:t> </w:t>
      </w:r>
      <w:r>
        <w:rPr>
          <w:color w:val="231F20"/>
        </w:rPr>
        <w:t>número</w:t>
      </w:r>
      <w:r>
        <w:rPr>
          <w:color w:val="231F20"/>
          <w:spacing w:val="-5"/>
        </w:rPr>
        <w:t> </w:t>
      </w:r>
      <w:r>
        <w:rPr>
          <w:color w:val="231F20"/>
        </w:rPr>
        <w:t>de elotes</w:t>
      </w:r>
      <w:r>
        <w:rPr>
          <w:color w:val="231F20"/>
          <w:spacing w:val="-3"/>
        </w:rPr>
        <w:t> </w:t>
      </w:r>
      <w:r>
        <w:rPr>
          <w:color w:val="231F20"/>
        </w:rPr>
        <w:t>infectados</w:t>
      </w:r>
      <w:r>
        <w:rPr>
          <w:color w:val="231F20"/>
          <w:spacing w:val="-3"/>
        </w:rPr>
        <w:t> </w:t>
      </w:r>
      <w:r>
        <w:rPr>
          <w:color w:val="231F20"/>
        </w:rPr>
        <w:t>por</w:t>
      </w:r>
      <w:r>
        <w:rPr>
          <w:color w:val="231F20"/>
          <w:spacing w:val="-2"/>
        </w:rPr>
        <w:t> </w:t>
      </w:r>
      <w:r>
        <w:rPr>
          <w:color w:val="231F20"/>
        </w:rPr>
        <w:t>el</w:t>
      </w:r>
      <w:r>
        <w:rPr>
          <w:color w:val="231F20"/>
          <w:spacing w:val="-3"/>
        </w:rPr>
        <w:t> </w:t>
      </w:r>
      <w:r>
        <w:rPr>
          <w:color w:val="231F20"/>
        </w:rPr>
        <w:t>hongo;</w:t>
      </w:r>
      <w:r>
        <w:rPr>
          <w:color w:val="231F20"/>
          <w:spacing w:val="-2"/>
        </w:rPr>
        <w:t> </w:t>
      </w:r>
      <w:r>
        <w:rPr>
          <w:color w:val="231F20"/>
        </w:rPr>
        <w:t>d)</w:t>
      </w:r>
      <w:r>
        <w:rPr>
          <w:color w:val="231F20"/>
          <w:spacing w:val="-2"/>
        </w:rPr>
        <w:t> </w:t>
      </w:r>
      <w:r>
        <w:rPr>
          <w:color w:val="231F20"/>
        </w:rPr>
        <w:t>Rendimiento</w:t>
      </w:r>
      <w:r>
        <w:rPr>
          <w:color w:val="231F20"/>
          <w:spacing w:val="-3"/>
        </w:rPr>
        <w:t> </w:t>
      </w:r>
      <w:r>
        <w:rPr>
          <w:color w:val="231F20"/>
        </w:rPr>
        <w:t>por</w:t>
      </w:r>
      <w:r>
        <w:rPr>
          <w:color w:val="231F20"/>
          <w:spacing w:val="-2"/>
        </w:rPr>
        <w:t> </w:t>
      </w:r>
      <w:r>
        <w:rPr>
          <w:color w:val="231F20"/>
        </w:rPr>
        <w:t>hectárea.</w:t>
      </w:r>
      <w:r>
        <w:rPr>
          <w:color w:val="231F20"/>
          <w:spacing w:val="-3"/>
        </w:rPr>
        <w:t> </w:t>
      </w:r>
      <w:r>
        <w:rPr>
          <w:color w:val="231F20"/>
        </w:rPr>
        <w:t>Se</w:t>
      </w:r>
      <w:r>
        <w:rPr>
          <w:color w:val="231F20"/>
          <w:spacing w:val="-2"/>
        </w:rPr>
        <w:t> </w:t>
      </w:r>
      <w:r>
        <w:rPr>
          <w:color w:val="231F20"/>
        </w:rPr>
        <w:t>obtuvo</w:t>
      </w:r>
      <w:r>
        <w:rPr>
          <w:color w:val="231F20"/>
          <w:spacing w:val="-3"/>
        </w:rPr>
        <w:t> </w:t>
      </w:r>
      <w:r>
        <w:rPr>
          <w:color w:val="231F20"/>
        </w:rPr>
        <w:t>al</w:t>
      </w:r>
      <w:r>
        <w:rPr>
          <w:color w:val="231F20"/>
          <w:spacing w:val="-3"/>
        </w:rPr>
        <w:t> </w:t>
      </w:r>
      <w:r>
        <w:rPr>
          <w:color w:val="231F20"/>
        </w:rPr>
        <w:t>multiplicar</w:t>
      </w:r>
      <w:r>
        <w:rPr>
          <w:color w:val="231F20"/>
          <w:spacing w:val="-3"/>
        </w:rPr>
        <w:t> </w:t>
      </w:r>
      <w:r>
        <w:rPr>
          <w:color w:val="231F20"/>
        </w:rPr>
        <w:t>la</w:t>
      </w:r>
      <w:r>
        <w:rPr>
          <w:color w:val="231F20"/>
          <w:spacing w:val="-3"/>
        </w:rPr>
        <w:t> </w:t>
      </w:r>
      <w:r>
        <w:rPr>
          <w:color w:val="231F20"/>
        </w:rPr>
        <w:t>densidad</w:t>
      </w:r>
      <w:r>
        <w:rPr>
          <w:color w:val="231F20"/>
          <w:spacing w:val="-3"/>
        </w:rPr>
        <w:t> </w:t>
      </w:r>
      <w:r>
        <w:rPr>
          <w:color w:val="231F20"/>
        </w:rPr>
        <w:t>de población de maíz (62,500 plantas•ha</w:t>
      </w:r>
      <w:r>
        <w:rPr>
          <w:color w:val="231F20"/>
          <w:position w:val="7"/>
          <w:sz w:val="12"/>
        </w:rPr>
        <w:t>-1</w:t>
      </w:r>
      <w:r>
        <w:rPr>
          <w:color w:val="231F20"/>
        </w:rPr>
        <w:t>) por los GMI, el PI y el número de jilotes por</w:t>
      </w:r>
      <w:r>
        <w:rPr>
          <w:color w:val="231F20"/>
          <w:spacing w:val="-5"/>
        </w:rPr>
        <w:t> </w:t>
      </w:r>
      <w:r>
        <w:rPr>
          <w:color w:val="231F20"/>
        </w:rPr>
        <w:t>planta.</w:t>
      </w:r>
    </w:p>
    <w:p>
      <w:pPr>
        <w:pStyle w:val="BodyText"/>
        <w:spacing w:before="1"/>
      </w:pPr>
    </w:p>
    <w:p>
      <w:pPr>
        <w:spacing w:before="0"/>
        <w:ind w:left="1316" w:right="0" w:firstLine="0"/>
        <w:jc w:val="both"/>
        <w:rPr>
          <w:b/>
          <w:sz w:val="18"/>
        </w:rPr>
      </w:pPr>
      <w:r>
        <w:rPr>
          <w:b/>
          <w:color w:val="010202"/>
          <w:sz w:val="18"/>
        </w:rPr>
        <w:t>Cuadro 1. Grados de severidad con base en la proporción de la mazorca cubierta con agallas del huitlacoche</w:t>
      </w:r>
    </w:p>
    <w:p>
      <w:pPr>
        <w:pStyle w:val="BodyText"/>
        <w:spacing w:before="3"/>
        <w:rPr>
          <w:b/>
          <w:sz w:val="25"/>
        </w:rPr>
      </w:pPr>
    </w:p>
    <w:tbl>
      <w:tblPr>
        <w:tblW w:w="0" w:type="auto"/>
        <w:jc w:val="left"/>
        <w:tblInd w:w="1270"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top w:w="0" w:type="dxa"/>
          <w:left w:w="0" w:type="dxa"/>
          <w:bottom w:w="0" w:type="dxa"/>
          <w:right w:w="0" w:type="dxa"/>
        </w:tblCellMar>
        <w:tblLook w:val="01E0"/>
      </w:tblPr>
      <w:tblGrid>
        <w:gridCol w:w="4180"/>
        <w:gridCol w:w="4180"/>
      </w:tblGrid>
      <w:tr>
        <w:trPr>
          <w:trHeight w:val="282" w:hRule="exact"/>
        </w:trPr>
        <w:tc>
          <w:tcPr>
            <w:tcW w:w="4180" w:type="dxa"/>
          </w:tcPr>
          <w:p>
            <w:pPr>
              <w:pStyle w:val="TableParagraph"/>
              <w:spacing w:before="24"/>
              <w:ind w:left="782" w:right="782"/>
              <w:jc w:val="center"/>
              <w:rPr>
                <w:b/>
                <w:sz w:val="18"/>
              </w:rPr>
            </w:pPr>
            <w:r>
              <w:rPr>
                <w:b/>
                <w:color w:val="231F20"/>
                <w:sz w:val="18"/>
              </w:rPr>
              <w:t>Grados de severidad</w:t>
            </w:r>
          </w:p>
        </w:tc>
        <w:tc>
          <w:tcPr>
            <w:tcW w:w="4180" w:type="dxa"/>
          </w:tcPr>
          <w:p>
            <w:pPr>
              <w:pStyle w:val="TableParagraph"/>
              <w:spacing w:before="24"/>
              <w:ind w:left="782" w:right="782"/>
              <w:jc w:val="center"/>
              <w:rPr>
                <w:b/>
                <w:sz w:val="18"/>
              </w:rPr>
            </w:pPr>
            <w:r>
              <w:rPr>
                <w:b/>
                <w:color w:val="231F20"/>
                <w:sz w:val="18"/>
              </w:rPr>
              <w:t>Proporción de mazorca infectada</w:t>
            </w:r>
          </w:p>
        </w:tc>
      </w:tr>
      <w:tr>
        <w:trPr>
          <w:trHeight w:val="285" w:hRule="exact"/>
        </w:trPr>
        <w:tc>
          <w:tcPr>
            <w:tcW w:w="4180" w:type="dxa"/>
          </w:tcPr>
          <w:p>
            <w:pPr>
              <w:pStyle w:val="TableParagraph"/>
              <w:ind w:left="782" w:right="782"/>
              <w:jc w:val="center"/>
              <w:rPr>
                <w:sz w:val="18"/>
              </w:rPr>
            </w:pPr>
            <w:r>
              <w:rPr>
                <w:color w:val="231F20"/>
                <w:sz w:val="18"/>
              </w:rPr>
              <w:t>Severidad 1 (G1)</w:t>
            </w:r>
          </w:p>
        </w:tc>
        <w:tc>
          <w:tcPr>
            <w:tcW w:w="4180" w:type="dxa"/>
          </w:tcPr>
          <w:p>
            <w:pPr>
              <w:pStyle w:val="TableParagraph"/>
              <w:ind w:left="782" w:right="782"/>
              <w:jc w:val="center"/>
              <w:rPr>
                <w:sz w:val="18"/>
              </w:rPr>
            </w:pPr>
            <w:r>
              <w:rPr>
                <w:color w:val="231F20"/>
                <w:sz w:val="18"/>
              </w:rPr>
              <w:t>1-10%</w:t>
            </w:r>
          </w:p>
        </w:tc>
      </w:tr>
      <w:tr>
        <w:trPr>
          <w:trHeight w:val="285" w:hRule="exact"/>
        </w:trPr>
        <w:tc>
          <w:tcPr>
            <w:tcW w:w="4180" w:type="dxa"/>
          </w:tcPr>
          <w:p>
            <w:pPr>
              <w:pStyle w:val="TableParagraph"/>
              <w:ind w:left="782" w:right="782"/>
              <w:jc w:val="center"/>
              <w:rPr>
                <w:sz w:val="18"/>
              </w:rPr>
            </w:pPr>
            <w:r>
              <w:rPr>
                <w:color w:val="231F20"/>
                <w:sz w:val="18"/>
              </w:rPr>
              <w:t>Severidad 2 (G2)</w:t>
            </w:r>
          </w:p>
        </w:tc>
        <w:tc>
          <w:tcPr>
            <w:tcW w:w="4180" w:type="dxa"/>
          </w:tcPr>
          <w:p>
            <w:pPr>
              <w:pStyle w:val="TableParagraph"/>
              <w:ind w:left="782" w:right="782"/>
              <w:jc w:val="center"/>
              <w:rPr>
                <w:sz w:val="18"/>
              </w:rPr>
            </w:pPr>
            <w:r>
              <w:rPr>
                <w:color w:val="231F20"/>
                <w:sz w:val="18"/>
              </w:rPr>
              <w:t>&gt;10-25%</w:t>
            </w:r>
          </w:p>
        </w:tc>
      </w:tr>
      <w:tr>
        <w:trPr>
          <w:trHeight w:val="285" w:hRule="exact"/>
        </w:trPr>
        <w:tc>
          <w:tcPr>
            <w:tcW w:w="4180" w:type="dxa"/>
          </w:tcPr>
          <w:p>
            <w:pPr>
              <w:pStyle w:val="TableParagraph"/>
              <w:ind w:left="782" w:right="782"/>
              <w:jc w:val="center"/>
              <w:rPr>
                <w:sz w:val="18"/>
              </w:rPr>
            </w:pPr>
            <w:r>
              <w:rPr>
                <w:color w:val="231F20"/>
                <w:sz w:val="18"/>
              </w:rPr>
              <w:t>Severidad 3 (G3)</w:t>
            </w:r>
          </w:p>
        </w:tc>
        <w:tc>
          <w:tcPr>
            <w:tcW w:w="4180" w:type="dxa"/>
          </w:tcPr>
          <w:p>
            <w:pPr>
              <w:pStyle w:val="TableParagraph"/>
              <w:ind w:left="782" w:right="782"/>
              <w:jc w:val="center"/>
              <w:rPr>
                <w:sz w:val="18"/>
              </w:rPr>
            </w:pPr>
            <w:r>
              <w:rPr>
                <w:color w:val="231F20"/>
                <w:sz w:val="18"/>
              </w:rPr>
              <w:t>&gt;25-75%</w:t>
            </w:r>
          </w:p>
        </w:tc>
      </w:tr>
      <w:tr>
        <w:trPr>
          <w:trHeight w:val="285" w:hRule="exact"/>
        </w:trPr>
        <w:tc>
          <w:tcPr>
            <w:tcW w:w="4180" w:type="dxa"/>
          </w:tcPr>
          <w:p>
            <w:pPr>
              <w:pStyle w:val="TableParagraph"/>
              <w:ind w:left="782" w:right="782"/>
              <w:jc w:val="center"/>
              <w:rPr>
                <w:sz w:val="18"/>
              </w:rPr>
            </w:pPr>
            <w:r>
              <w:rPr>
                <w:color w:val="231F20"/>
                <w:sz w:val="18"/>
              </w:rPr>
              <w:t>Severidad 4 (G4)</w:t>
            </w:r>
          </w:p>
        </w:tc>
        <w:tc>
          <w:tcPr>
            <w:tcW w:w="4180" w:type="dxa"/>
          </w:tcPr>
          <w:p>
            <w:pPr>
              <w:pStyle w:val="TableParagraph"/>
              <w:ind w:left="782" w:right="782"/>
              <w:jc w:val="center"/>
              <w:rPr>
                <w:sz w:val="18"/>
              </w:rPr>
            </w:pPr>
            <w:r>
              <w:rPr>
                <w:color w:val="231F20"/>
                <w:sz w:val="18"/>
              </w:rPr>
              <w:t>&gt;75-90%</w:t>
            </w:r>
          </w:p>
        </w:tc>
      </w:tr>
      <w:tr>
        <w:trPr>
          <w:trHeight w:val="285" w:hRule="exact"/>
        </w:trPr>
        <w:tc>
          <w:tcPr>
            <w:tcW w:w="4180" w:type="dxa"/>
          </w:tcPr>
          <w:p>
            <w:pPr>
              <w:pStyle w:val="TableParagraph"/>
              <w:ind w:left="782" w:right="782"/>
              <w:jc w:val="center"/>
              <w:rPr>
                <w:sz w:val="18"/>
              </w:rPr>
            </w:pPr>
            <w:r>
              <w:rPr>
                <w:color w:val="231F20"/>
                <w:sz w:val="18"/>
              </w:rPr>
              <w:t>Severidad 5 (G5)</w:t>
            </w:r>
          </w:p>
        </w:tc>
        <w:tc>
          <w:tcPr>
            <w:tcW w:w="4180" w:type="dxa"/>
          </w:tcPr>
          <w:p>
            <w:pPr>
              <w:pStyle w:val="TableParagraph"/>
              <w:ind w:left="782" w:right="782"/>
              <w:jc w:val="center"/>
              <w:rPr>
                <w:sz w:val="18"/>
              </w:rPr>
            </w:pPr>
            <w:r>
              <w:rPr>
                <w:color w:val="231F20"/>
                <w:sz w:val="18"/>
              </w:rPr>
              <w:t>&gt;90-100%</w:t>
            </w:r>
          </w:p>
        </w:tc>
      </w:tr>
    </w:tbl>
    <w:p>
      <w:pPr>
        <w:pStyle w:val="BodyText"/>
        <w:spacing w:before="1"/>
        <w:rPr>
          <w:b/>
          <w:sz w:val="13"/>
        </w:rPr>
      </w:pPr>
    </w:p>
    <w:p>
      <w:pPr>
        <w:pStyle w:val="BodyText"/>
        <w:spacing w:line="247" w:lineRule="auto" w:before="73"/>
        <w:ind w:left="1270" w:right="1268"/>
        <w:jc w:val="both"/>
      </w:pPr>
      <w:r>
        <w:rPr>
          <w:color w:val="231F20"/>
        </w:rPr>
        <w:t>Durante</w:t>
      </w:r>
      <w:r>
        <w:rPr>
          <w:color w:val="231F20"/>
          <w:spacing w:val="-3"/>
        </w:rPr>
        <w:t> </w:t>
      </w:r>
      <w:r>
        <w:rPr>
          <w:color w:val="231F20"/>
        </w:rPr>
        <w:t>el</w:t>
      </w:r>
      <w:r>
        <w:rPr>
          <w:color w:val="231F20"/>
          <w:spacing w:val="-3"/>
        </w:rPr>
        <w:t> </w:t>
      </w:r>
      <w:r>
        <w:rPr>
          <w:color w:val="231F20"/>
        </w:rPr>
        <w:t>periodo</w:t>
      </w:r>
      <w:r>
        <w:rPr>
          <w:color w:val="231F20"/>
          <w:spacing w:val="-3"/>
        </w:rPr>
        <w:t> </w:t>
      </w:r>
      <w:r>
        <w:rPr>
          <w:color w:val="231F20"/>
        </w:rPr>
        <w:t>de</w:t>
      </w:r>
      <w:r>
        <w:rPr>
          <w:color w:val="231F20"/>
          <w:spacing w:val="-3"/>
        </w:rPr>
        <w:t> </w:t>
      </w:r>
      <w:r>
        <w:rPr>
          <w:color w:val="231F20"/>
        </w:rPr>
        <w:t>inoculación</w:t>
      </w:r>
      <w:r>
        <w:rPr>
          <w:color w:val="231F20"/>
          <w:spacing w:val="-3"/>
        </w:rPr>
        <w:t> </w:t>
      </w:r>
      <w:r>
        <w:rPr>
          <w:color w:val="231F20"/>
        </w:rPr>
        <w:t>se</w:t>
      </w:r>
      <w:r>
        <w:rPr>
          <w:color w:val="231F20"/>
          <w:spacing w:val="-3"/>
        </w:rPr>
        <w:t> </w:t>
      </w:r>
      <w:r>
        <w:rPr>
          <w:color w:val="231F20"/>
        </w:rPr>
        <w:t>registro</w:t>
      </w:r>
      <w:r>
        <w:rPr>
          <w:color w:val="231F20"/>
          <w:spacing w:val="-3"/>
        </w:rPr>
        <w:t> </w:t>
      </w:r>
      <w:r>
        <w:rPr>
          <w:color w:val="231F20"/>
        </w:rPr>
        <w:t>la</w:t>
      </w:r>
      <w:r>
        <w:rPr>
          <w:color w:val="231F20"/>
          <w:spacing w:val="-3"/>
        </w:rPr>
        <w:t> </w:t>
      </w:r>
      <w:r>
        <w:rPr>
          <w:color w:val="231F20"/>
        </w:rPr>
        <w:t>temperatura</w:t>
      </w:r>
      <w:r>
        <w:rPr>
          <w:color w:val="231F20"/>
          <w:spacing w:val="-3"/>
        </w:rPr>
        <w:t> </w:t>
      </w:r>
      <w:r>
        <w:rPr>
          <w:color w:val="231F20"/>
        </w:rPr>
        <w:t>media</w:t>
      </w:r>
      <w:r>
        <w:rPr>
          <w:color w:val="231F20"/>
          <w:spacing w:val="-3"/>
        </w:rPr>
        <w:t> </w:t>
      </w:r>
      <w:r>
        <w:rPr>
          <w:color w:val="231F20"/>
        </w:rPr>
        <w:t>y</w:t>
      </w:r>
      <w:r>
        <w:rPr>
          <w:color w:val="231F20"/>
          <w:spacing w:val="-3"/>
        </w:rPr>
        <w:t> </w:t>
      </w:r>
      <w:r>
        <w:rPr>
          <w:color w:val="231F20"/>
        </w:rPr>
        <w:t>la</w:t>
      </w:r>
      <w:r>
        <w:rPr>
          <w:color w:val="231F20"/>
          <w:spacing w:val="-3"/>
        </w:rPr>
        <w:t> </w:t>
      </w:r>
      <w:r>
        <w:rPr>
          <w:color w:val="231F20"/>
        </w:rPr>
        <w:t>humedad</w:t>
      </w:r>
      <w:r>
        <w:rPr>
          <w:color w:val="231F20"/>
          <w:spacing w:val="-3"/>
        </w:rPr>
        <w:t> </w:t>
      </w:r>
      <w:r>
        <w:rPr>
          <w:color w:val="231F20"/>
        </w:rPr>
        <w:t>relativa</w:t>
      </w:r>
      <w:r>
        <w:rPr>
          <w:color w:val="231F20"/>
          <w:spacing w:val="-3"/>
        </w:rPr>
        <w:t> </w:t>
      </w:r>
      <w:r>
        <w:rPr>
          <w:color w:val="231F20"/>
        </w:rPr>
        <w:t>diarias,</w:t>
      </w:r>
      <w:r>
        <w:rPr>
          <w:color w:val="231F20"/>
          <w:spacing w:val="-3"/>
        </w:rPr>
        <w:t> </w:t>
      </w:r>
      <w:r>
        <w:rPr>
          <w:color w:val="231F20"/>
        </w:rPr>
        <w:t>las cuales se correlacionaron con los gramos por mazorca infectada. Para el análisis estadístico de los datos</w:t>
      </w:r>
      <w:r>
        <w:rPr>
          <w:color w:val="231F20"/>
          <w:spacing w:val="-6"/>
        </w:rPr>
        <w:t> </w:t>
      </w:r>
      <w:r>
        <w:rPr>
          <w:color w:val="231F20"/>
        </w:rPr>
        <w:t>se</w:t>
      </w:r>
      <w:r>
        <w:rPr>
          <w:color w:val="231F20"/>
          <w:spacing w:val="-6"/>
        </w:rPr>
        <w:t> </w:t>
      </w:r>
      <w:r>
        <w:rPr>
          <w:color w:val="231F20"/>
        </w:rPr>
        <w:t>utilizó</w:t>
      </w:r>
      <w:r>
        <w:rPr>
          <w:color w:val="231F20"/>
          <w:spacing w:val="-6"/>
        </w:rPr>
        <w:t> </w:t>
      </w:r>
      <w:r>
        <w:rPr>
          <w:color w:val="231F20"/>
        </w:rPr>
        <w:t>el</w:t>
      </w:r>
      <w:r>
        <w:rPr>
          <w:color w:val="231F20"/>
          <w:spacing w:val="-6"/>
        </w:rPr>
        <w:t> </w:t>
      </w:r>
      <w:r>
        <w:rPr>
          <w:color w:val="231F20"/>
        </w:rPr>
        <w:t>paquete</w:t>
      </w:r>
      <w:r>
        <w:rPr>
          <w:color w:val="231F20"/>
          <w:spacing w:val="-6"/>
        </w:rPr>
        <w:t> </w:t>
      </w:r>
      <w:r>
        <w:rPr>
          <w:color w:val="231F20"/>
        </w:rPr>
        <w:t>estadístico</w:t>
      </w:r>
      <w:r>
        <w:rPr>
          <w:color w:val="231F20"/>
          <w:spacing w:val="-6"/>
        </w:rPr>
        <w:t> </w:t>
      </w:r>
      <w:r>
        <w:rPr>
          <w:color w:val="231F20"/>
        </w:rPr>
        <w:t>SAS</w:t>
      </w:r>
      <w:r>
        <w:rPr>
          <w:color w:val="231F20"/>
          <w:spacing w:val="-5"/>
        </w:rPr>
        <w:t> </w:t>
      </w:r>
      <w:r>
        <w:rPr>
          <w:color w:val="231F20"/>
        </w:rPr>
        <w:t>(Statistical</w:t>
      </w:r>
      <w:r>
        <w:rPr>
          <w:color w:val="231F20"/>
          <w:spacing w:val="-17"/>
        </w:rPr>
        <w:t> </w:t>
      </w:r>
      <w:r>
        <w:rPr>
          <w:color w:val="231F20"/>
        </w:rPr>
        <w:t>Analysys</w:t>
      </w:r>
      <w:r>
        <w:rPr>
          <w:color w:val="231F20"/>
          <w:spacing w:val="-5"/>
        </w:rPr>
        <w:t> </w:t>
      </w:r>
      <w:r>
        <w:rPr>
          <w:color w:val="231F20"/>
        </w:rPr>
        <w:t>System)</w:t>
      </w:r>
      <w:r>
        <w:rPr>
          <w:color w:val="231F20"/>
          <w:spacing w:val="-6"/>
        </w:rPr>
        <w:t> </w:t>
      </w:r>
      <w:r>
        <w:rPr>
          <w:color w:val="231F20"/>
        </w:rPr>
        <w:t>versión</w:t>
      </w:r>
      <w:r>
        <w:rPr>
          <w:color w:val="231F20"/>
          <w:spacing w:val="-6"/>
        </w:rPr>
        <w:t> </w:t>
      </w:r>
      <w:r>
        <w:rPr>
          <w:color w:val="231F20"/>
        </w:rPr>
        <w:t>9.0.,</w:t>
      </w:r>
      <w:r>
        <w:rPr>
          <w:color w:val="231F20"/>
          <w:spacing w:val="-6"/>
        </w:rPr>
        <w:t> </w:t>
      </w:r>
      <w:r>
        <w:rPr>
          <w:color w:val="231F20"/>
        </w:rPr>
        <w:t>para</w:t>
      </w:r>
      <w:r>
        <w:rPr>
          <w:color w:val="231F20"/>
          <w:spacing w:val="-6"/>
        </w:rPr>
        <w:t> </w:t>
      </w:r>
      <w:r>
        <w:rPr>
          <w:color w:val="231F20"/>
        </w:rPr>
        <w:t>estandari- zar</w:t>
      </w:r>
      <w:r>
        <w:rPr>
          <w:color w:val="231F20"/>
          <w:spacing w:val="-8"/>
        </w:rPr>
        <w:t> </w:t>
      </w:r>
      <w:r>
        <w:rPr>
          <w:color w:val="231F20"/>
        </w:rPr>
        <w:t>los</w:t>
      </w:r>
      <w:r>
        <w:rPr>
          <w:color w:val="231F20"/>
          <w:spacing w:val="-8"/>
        </w:rPr>
        <w:t> </w:t>
      </w:r>
      <w:r>
        <w:rPr>
          <w:color w:val="231F20"/>
        </w:rPr>
        <w:t>datos</w:t>
      </w:r>
      <w:r>
        <w:rPr>
          <w:color w:val="231F20"/>
          <w:spacing w:val="-8"/>
        </w:rPr>
        <w:t> </w:t>
      </w:r>
      <w:r>
        <w:rPr>
          <w:color w:val="231F20"/>
        </w:rPr>
        <w:t>se</w:t>
      </w:r>
      <w:r>
        <w:rPr>
          <w:color w:val="231F20"/>
          <w:spacing w:val="-8"/>
        </w:rPr>
        <w:t> </w:t>
      </w:r>
      <w:r>
        <w:rPr>
          <w:color w:val="231F20"/>
        </w:rPr>
        <w:t>aplicó</w:t>
      </w:r>
      <w:r>
        <w:rPr>
          <w:color w:val="231F20"/>
          <w:spacing w:val="-8"/>
        </w:rPr>
        <w:t> </w:t>
      </w:r>
      <w:r>
        <w:rPr>
          <w:color w:val="231F20"/>
        </w:rPr>
        <w:t>el</w:t>
      </w:r>
      <w:r>
        <w:rPr>
          <w:color w:val="231F20"/>
          <w:spacing w:val="-8"/>
        </w:rPr>
        <w:t> </w:t>
      </w:r>
      <w:r>
        <w:rPr>
          <w:color w:val="231F20"/>
        </w:rPr>
        <w:t>modelo</w:t>
      </w:r>
      <w:r>
        <w:rPr>
          <w:color w:val="231F20"/>
          <w:spacing w:val="-12"/>
        </w:rPr>
        <w:t> </w:t>
      </w:r>
      <w:r>
        <w:rPr>
          <w:color w:val="231F20"/>
        </w:rPr>
        <w:t>Winsorized,</w:t>
      </w:r>
      <w:r>
        <w:rPr>
          <w:color w:val="231F20"/>
          <w:spacing w:val="-8"/>
        </w:rPr>
        <w:t> </w:t>
      </w:r>
      <w:r>
        <w:rPr>
          <w:color w:val="231F20"/>
        </w:rPr>
        <w:t>el</w:t>
      </w:r>
      <w:r>
        <w:rPr>
          <w:color w:val="231F20"/>
          <w:spacing w:val="-8"/>
        </w:rPr>
        <w:t> </w:t>
      </w:r>
      <w:r>
        <w:rPr>
          <w:color w:val="231F20"/>
        </w:rPr>
        <w:t>cual</w:t>
      </w:r>
      <w:r>
        <w:rPr>
          <w:color w:val="231F20"/>
          <w:spacing w:val="-8"/>
        </w:rPr>
        <w:t> </w:t>
      </w:r>
      <w:r>
        <w:rPr>
          <w:color w:val="231F20"/>
        </w:rPr>
        <w:t>se</w:t>
      </w:r>
      <w:r>
        <w:rPr>
          <w:color w:val="231F20"/>
          <w:spacing w:val="-8"/>
        </w:rPr>
        <w:t> </w:t>
      </w:r>
      <w:r>
        <w:rPr>
          <w:color w:val="231F20"/>
        </w:rPr>
        <w:t>basa</w:t>
      </w:r>
      <w:r>
        <w:rPr>
          <w:color w:val="231F20"/>
          <w:spacing w:val="-8"/>
        </w:rPr>
        <w:t> </w:t>
      </w:r>
      <w:r>
        <w:rPr>
          <w:color w:val="231F20"/>
        </w:rPr>
        <w:t>en</w:t>
      </w:r>
      <w:r>
        <w:rPr>
          <w:color w:val="231F20"/>
          <w:spacing w:val="-8"/>
        </w:rPr>
        <w:t> </w:t>
      </w:r>
      <w:r>
        <w:rPr>
          <w:color w:val="231F20"/>
        </w:rPr>
        <w:t>medias</w:t>
      </w:r>
      <w:r>
        <w:rPr>
          <w:color w:val="231F20"/>
          <w:spacing w:val="-8"/>
        </w:rPr>
        <w:t> </w:t>
      </w:r>
      <w:r>
        <w:rPr>
          <w:color w:val="231F20"/>
        </w:rPr>
        <w:t>reducidas</w:t>
      </w:r>
      <w:r>
        <w:rPr>
          <w:color w:val="231F20"/>
          <w:spacing w:val="-8"/>
        </w:rPr>
        <w:t> </w:t>
      </w:r>
      <w:r>
        <w:rPr>
          <w:color w:val="231F20"/>
        </w:rPr>
        <w:t>y</w:t>
      </w:r>
      <w:r>
        <w:rPr>
          <w:color w:val="231F20"/>
          <w:spacing w:val="-8"/>
        </w:rPr>
        <w:t> </w:t>
      </w:r>
      <w:r>
        <w:rPr>
          <w:color w:val="231F20"/>
        </w:rPr>
        <w:t>varianzas</w:t>
      </w:r>
      <w:r>
        <w:rPr>
          <w:color w:val="231F20"/>
          <w:spacing w:val="-8"/>
        </w:rPr>
        <w:t> </w:t>
      </w:r>
      <w:r>
        <w:rPr>
          <w:color w:val="231F20"/>
        </w:rPr>
        <w:t>ajustas. Posteriormente</w:t>
      </w:r>
      <w:r>
        <w:rPr>
          <w:color w:val="231F20"/>
          <w:spacing w:val="-9"/>
        </w:rPr>
        <w:t> </w:t>
      </w:r>
      <w:r>
        <w:rPr>
          <w:color w:val="231F20"/>
        </w:rPr>
        <w:t>se</w:t>
      </w:r>
      <w:r>
        <w:rPr>
          <w:color w:val="231F20"/>
          <w:spacing w:val="-9"/>
        </w:rPr>
        <w:t> </w:t>
      </w:r>
      <w:r>
        <w:rPr>
          <w:color w:val="231F20"/>
        </w:rPr>
        <w:t>utilizó</w:t>
      </w:r>
      <w:r>
        <w:rPr>
          <w:color w:val="231F20"/>
          <w:spacing w:val="-9"/>
        </w:rPr>
        <w:t> </w:t>
      </w:r>
      <w:r>
        <w:rPr>
          <w:color w:val="231F20"/>
        </w:rPr>
        <w:t>la</w:t>
      </w:r>
      <w:r>
        <w:rPr>
          <w:color w:val="231F20"/>
          <w:spacing w:val="-9"/>
        </w:rPr>
        <w:t> </w:t>
      </w:r>
      <w:r>
        <w:rPr>
          <w:color w:val="231F20"/>
        </w:rPr>
        <w:t>prueba</w:t>
      </w:r>
      <w:r>
        <w:rPr>
          <w:color w:val="231F20"/>
          <w:spacing w:val="-9"/>
        </w:rPr>
        <w:t> </w:t>
      </w:r>
      <w:r>
        <w:rPr>
          <w:color w:val="231F20"/>
        </w:rPr>
        <w:t>de</w:t>
      </w:r>
      <w:r>
        <w:rPr>
          <w:color w:val="231F20"/>
          <w:spacing w:val="-9"/>
        </w:rPr>
        <w:t> </w:t>
      </w:r>
      <w:r>
        <w:rPr>
          <w:color w:val="231F20"/>
        </w:rPr>
        <w:t>t-Student</w:t>
      </w:r>
      <w:r>
        <w:rPr>
          <w:color w:val="231F20"/>
          <w:spacing w:val="-9"/>
        </w:rPr>
        <w:t> </w:t>
      </w:r>
      <w:r>
        <w:rPr>
          <w:color w:val="231F20"/>
        </w:rPr>
        <w:t>para</w:t>
      </w:r>
      <w:r>
        <w:rPr>
          <w:color w:val="231F20"/>
          <w:spacing w:val="-9"/>
        </w:rPr>
        <w:t> </w:t>
      </w:r>
      <w:r>
        <w:rPr>
          <w:color w:val="231F20"/>
        </w:rPr>
        <w:t>hacer</w:t>
      </w:r>
      <w:r>
        <w:rPr>
          <w:color w:val="231F20"/>
          <w:spacing w:val="-9"/>
        </w:rPr>
        <w:t> </w:t>
      </w:r>
      <w:r>
        <w:rPr>
          <w:color w:val="231F20"/>
        </w:rPr>
        <w:t>la</w:t>
      </w:r>
      <w:r>
        <w:rPr>
          <w:color w:val="231F20"/>
          <w:spacing w:val="-9"/>
        </w:rPr>
        <w:t> </w:t>
      </w:r>
      <w:r>
        <w:rPr>
          <w:color w:val="231F20"/>
        </w:rPr>
        <w:t>comparación</w:t>
      </w:r>
      <w:r>
        <w:rPr>
          <w:color w:val="231F20"/>
          <w:spacing w:val="-9"/>
        </w:rPr>
        <w:t> </w:t>
      </w:r>
      <w:r>
        <w:rPr>
          <w:color w:val="231F20"/>
        </w:rPr>
        <w:t>de</w:t>
      </w:r>
      <w:r>
        <w:rPr>
          <w:color w:val="231F20"/>
          <w:spacing w:val="-9"/>
        </w:rPr>
        <w:t> </w:t>
      </w:r>
      <w:r>
        <w:rPr>
          <w:color w:val="231F20"/>
        </w:rPr>
        <w:t>medias</w:t>
      </w:r>
      <w:r>
        <w:rPr>
          <w:color w:val="231F20"/>
          <w:spacing w:val="-9"/>
        </w:rPr>
        <w:t> </w:t>
      </w:r>
      <w:r>
        <w:rPr>
          <w:color w:val="231F20"/>
        </w:rPr>
        <w:t>con</w:t>
      </w:r>
      <w:r>
        <w:rPr>
          <w:color w:val="231F20"/>
          <w:spacing w:val="-9"/>
        </w:rPr>
        <w:t> </w:t>
      </w:r>
      <w:r>
        <w:rPr>
          <w:color w:val="231F20"/>
        </w:rPr>
        <w:t>un</w:t>
      </w:r>
      <w:r>
        <w:rPr>
          <w:color w:val="231F20"/>
          <w:spacing w:val="-9"/>
        </w:rPr>
        <w:t> </w:t>
      </w:r>
      <w:r>
        <w:rPr>
          <w:color w:val="231F20"/>
        </w:rPr>
        <w:t>α=</w:t>
      </w:r>
      <w:r>
        <w:rPr>
          <w:color w:val="231F20"/>
          <w:spacing w:val="-9"/>
        </w:rPr>
        <w:t> </w:t>
      </w:r>
      <w:r>
        <w:rPr>
          <w:color w:val="231F20"/>
        </w:rPr>
        <w:t>0.05.</w:t>
      </w:r>
    </w:p>
    <w:p>
      <w:pPr>
        <w:pStyle w:val="BodyText"/>
        <w:rPr>
          <w:sz w:val="20"/>
        </w:rPr>
      </w:pPr>
    </w:p>
    <w:p>
      <w:pPr>
        <w:pStyle w:val="BodyText"/>
        <w:spacing w:before="11"/>
        <w:rPr>
          <w:sz w:val="15"/>
        </w:rPr>
      </w:pPr>
    </w:p>
    <w:p>
      <w:pPr>
        <w:spacing w:after="0"/>
        <w:rPr>
          <w:sz w:val="15"/>
        </w:rPr>
        <w:sectPr>
          <w:pgSz w:w="10920" w:h="13080"/>
          <w:pgMar w:header="0" w:footer="1025" w:top="420" w:bottom="1220" w:left="0" w:right="0"/>
        </w:sectPr>
      </w:pPr>
    </w:p>
    <w:p>
      <w:pPr>
        <w:pStyle w:val="BodyText"/>
        <w:rPr>
          <w:sz w:val="20"/>
        </w:rPr>
      </w:pPr>
    </w:p>
    <w:p>
      <w:pPr>
        <w:pStyle w:val="BodyText"/>
        <w:rPr>
          <w:sz w:val="20"/>
        </w:rPr>
      </w:pPr>
    </w:p>
    <w:p>
      <w:pPr>
        <w:pStyle w:val="BodyText"/>
        <w:spacing w:before="177"/>
        <w:ind w:left="1252" w:right="1466"/>
        <w:jc w:val="center"/>
      </w:pPr>
      <w:r>
        <w:rPr>
          <w:color w:val="231F20"/>
        </w:rPr>
        <w:t>De donde;</w:t>
      </w:r>
    </w:p>
    <w:p>
      <w:pPr>
        <w:pStyle w:val="BodyText"/>
        <w:spacing w:before="8"/>
        <w:ind w:left="1270" w:right="-19"/>
      </w:pPr>
      <w:r>
        <w:rPr>
          <w:color w:val="231F20"/>
        </w:rPr>
        <w:t>El subíndice “p” es ajustada</w:t>
      </w:r>
    </w:p>
    <w:p>
      <w:pPr>
        <w:tabs>
          <w:tab w:pos="1365" w:val="left" w:leader="none"/>
          <w:tab w:pos="1814" w:val="left" w:leader="none"/>
          <w:tab w:pos="2123" w:val="left" w:leader="none"/>
          <w:tab w:pos="2671" w:val="left" w:leader="none"/>
        </w:tabs>
        <w:spacing w:line="174" w:lineRule="exact" w:before="69"/>
        <w:ind w:left="613" w:right="0" w:firstLine="0"/>
        <w:jc w:val="left"/>
        <w:rPr>
          <w:i/>
          <w:sz w:val="18"/>
        </w:rPr>
      </w:pPr>
      <w:r>
        <w:rPr/>
        <w:br w:type="column"/>
      </w:r>
      <w:r>
        <w:rPr>
          <w:color w:val="010202"/>
          <w:spacing w:val="6"/>
          <w:sz w:val="18"/>
        </w:rPr>
        <w:t>(</w:t>
      </w:r>
      <w:r>
        <w:rPr>
          <w:i/>
          <w:color w:val="010202"/>
          <w:spacing w:val="6"/>
          <w:sz w:val="18"/>
        </w:rPr>
        <w:t>g</w:t>
      </w:r>
      <w:r>
        <w:rPr>
          <w:i/>
          <w:color w:val="010202"/>
          <w:spacing w:val="-5"/>
          <w:sz w:val="18"/>
        </w:rPr>
        <w:t> </w:t>
      </w:r>
      <w:r>
        <w:rPr>
          <w:rFonts w:ascii="Symbol" w:hAnsi="Symbol"/>
          <w:color w:val="010202"/>
          <w:spacing w:val="3"/>
          <w:sz w:val="18"/>
        </w:rPr>
        <w:t></w:t>
      </w:r>
      <w:r>
        <w:rPr>
          <w:color w:val="010202"/>
          <w:spacing w:val="3"/>
          <w:sz w:val="18"/>
        </w:rPr>
        <w:t>1)</w:t>
      </w:r>
      <w:r>
        <w:rPr>
          <w:i/>
          <w:color w:val="010202"/>
          <w:spacing w:val="3"/>
          <w:sz w:val="18"/>
        </w:rPr>
        <w:t>x</w:t>
        <w:tab/>
      </w:r>
      <w:r>
        <w:rPr>
          <w:rFonts w:ascii="Symbol" w:hAnsi="Symbol"/>
          <w:color w:val="010202"/>
          <w:sz w:val="18"/>
        </w:rPr>
        <w:t></w:t>
      </w:r>
      <w:r>
        <w:rPr>
          <w:color w:val="010202"/>
          <w:spacing w:val="-5"/>
          <w:sz w:val="18"/>
        </w:rPr>
        <w:t> </w:t>
      </w:r>
      <w:r>
        <w:rPr>
          <w:i/>
          <w:color w:val="010202"/>
          <w:sz w:val="18"/>
        </w:rPr>
        <w:t>x</w:t>
        <w:tab/>
      </w:r>
      <w:r>
        <w:rPr>
          <w:rFonts w:ascii="Symbol" w:hAnsi="Symbol"/>
          <w:color w:val="010202"/>
          <w:sz w:val="18"/>
        </w:rPr>
        <w:t></w:t>
      </w:r>
      <w:r>
        <w:rPr>
          <w:color w:val="010202"/>
          <w:sz w:val="18"/>
        </w:rPr>
        <w:tab/>
      </w:r>
      <w:r>
        <w:rPr>
          <w:rFonts w:ascii="Symbol" w:hAnsi="Symbol"/>
          <w:color w:val="010202"/>
          <w:sz w:val="18"/>
        </w:rPr>
        <w:t></w:t>
      </w:r>
      <w:r>
        <w:rPr>
          <w:color w:val="010202"/>
          <w:spacing w:val="-5"/>
          <w:sz w:val="18"/>
        </w:rPr>
        <w:t> </w:t>
      </w:r>
      <w:r>
        <w:rPr>
          <w:i/>
          <w:color w:val="010202"/>
          <w:sz w:val="18"/>
        </w:rPr>
        <w:t>x</w:t>
        <w:tab/>
      </w:r>
      <w:r>
        <w:rPr>
          <w:rFonts w:ascii="Symbol" w:hAnsi="Symbol"/>
          <w:color w:val="010202"/>
          <w:sz w:val="18"/>
        </w:rPr>
        <w:t></w:t>
      </w:r>
      <w:r>
        <w:rPr>
          <w:color w:val="010202"/>
          <w:sz w:val="18"/>
        </w:rPr>
        <w:t> </w:t>
      </w:r>
      <w:r>
        <w:rPr>
          <w:color w:val="010202"/>
          <w:spacing w:val="6"/>
          <w:sz w:val="18"/>
        </w:rPr>
        <w:t>(</w:t>
      </w:r>
      <w:r>
        <w:rPr>
          <w:i/>
          <w:color w:val="010202"/>
          <w:spacing w:val="6"/>
          <w:sz w:val="18"/>
        </w:rPr>
        <w:t>g</w:t>
      </w:r>
      <w:r>
        <w:rPr>
          <w:i/>
          <w:color w:val="010202"/>
          <w:spacing w:val="-24"/>
          <w:sz w:val="18"/>
        </w:rPr>
        <w:t> </w:t>
      </w:r>
      <w:r>
        <w:rPr>
          <w:rFonts w:ascii="Symbol" w:hAnsi="Symbol"/>
          <w:color w:val="010202"/>
          <w:spacing w:val="3"/>
          <w:sz w:val="18"/>
        </w:rPr>
        <w:t></w:t>
      </w:r>
      <w:r>
        <w:rPr>
          <w:color w:val="010202"/>
          <w:spacing w:val="3"/>
          <w:sz w:val="18"/>
        </w:rPr>
        <w:t>1)</w:t>
      </w:r>
      <w:r>
        <w:rPr>
          <w:i/>
          <w:color w:val="010202"/>
          <w:spacing w:val="3"/>
          <w:sz w:val="18"/>
        </w:rPr>
        <w:t>x</w:t>
      </w:r>
    </w:p>
    <w:p>
      <w:pPr>
        <w:tabs>
          <w:tab w:pos="1157" w:val="left" w:leader="none"/>
          <w:tab w:pos="1586" w:val="left" w:leader="none"/>
          <w:tab w:pos="2339" w:val="left" w:leader="none"/>
          <w:tab w:pos="3339" w:val="left" w:leader="none"/>
        </w:tabs>
        <w:spacing w:line="152" w:lineRule="exact" w:before="0"/>
        <w:ind w:left="6" w:right="0" w:firstLine="0"/>
        <w:jc w:val="left"/>
        <w:rPr>
          <w:i/>
          <w:sz w:val="10"/>
        </w:rPr>
      </w:pPr>
      <w:r>
        <w:rPr/>
        <w:pict>
          <v:line style="position:absolute;mso-position-horizontal-relative:page;mso-position-vertical-relative:paragraph;z-index:-209968" from="213.607452pt,5.001980pt" to="360.789752pt,5.001980pt" stroked="true" strokeweight=".454227pt" strokecolor="#010202">
            <w10:wrap type="none"/>
          </v:line>
        </w:pict>
      </w:r>
      <w:r>
        <w:rPr/>
        <w:pict>
          <v:shape style="position:absolute;margin-left:279.751495pt;margin-top:-5.300476pt;width:8.950pt;height:9.2pt;mso-position-horizontal-relative:page;mso-position-vertical-relative:paragraph;z-index:-209920" type="#_x0000_t202" filled="false" stroked="false">
            <v:textbox inset="0,0,0,0">
              <w:txbxContent>
                <w:p>
                  <w:pPr>
                    <w:spacing w:line="151" w:lineRule="exact" w:before="0"/>
                    <w:ind w:left="0" w:right="0" w:firstLine="0"/>
                    <w:jc w:val="left"/>
                    <w:rPr>
                      <w:rFonts w:ascii="Arial" w:hAnsi="Arial"/>
                      <w:sz w:val="18"/>
                    </w:rPr>
                  </w:pPr>
                  <w:r>
                    <w:rPr>
                      <w:rFonts w:ascii="Arial" w:hAnsi="Arial"/>
                      <w:color w:val="010202"/>
                      <w:w w:val="98"/>
                      <w:sz w:val="18"/>
                    </w:rPr>
                    <w:t></w:t>
                  </w:r>
                </w:p>
              </w:txbxContent>
            </v:textbox>
            <w10:wrap type="none"/>
          </v:shape>
        </w:pict>
      </w:r>
      <w:r>
        <w:rPr>
          <w:i/>
          <w:color w:val="010202"/>
          <w:position w:val="-8"/>
          <w:sz w:val="18"/>
        </w:rPr>
        <w:t>W</w:t>
      </w:r>
      <w:r>
        <w:rPr>
          <w:i/>
          <w:color w:val="010202"/>
          <w:spacing w:val="-19"/>
          <w:position w:val="-8"/>
          <w:sz w:val="18"/>
        </w:rPr>
        <w:t> </w:t>
      </w:r>
      <w:r>
        <w:rPr>
          <w:color w:val="010202"/>
          <w:position w:val="-8"/>
          <w:sz w:val="18"/>
        </w:rPr>
        <w:t>(</w:t>
      </w:r>
      <w:r>
        <w:rPr>
          <w:color w:val="010202"/>
          <w:spacing w:val="-20"/>
          <w:position w:val="-8"/>
          <w:sz w:val="18"/>
        </w:rPr>
        <w:t> </w:t>
      </w:r>
      <w:r>
        <w:rPr>
          <w:i/>
          <w:color w:val="010202"/>
          <w:spacing w:val="2"/>
          <w:position w:val="-8"/>
          <w:sz w:val="18"/>
        </w:rPr>
        <w:t>p</w:t>
      </w:r>
      <w:r>
        <w:rPr>
          <w:color w:val="010202"/>
          <w:spacing w:val="2"/>
          <w:position w:val="-8"/>
          <w:sz w:val="18"/>
        </w:rPr>
        <w:t>)</w:t>
      </w:r>
      <w:r>
        <w:rPr>
          <w:color w:val="010202"/>
          <w:spacing w:val="-6"/>
          <w:position w:val="-8"/>
          <w:sz w:val="18"/>
        </w:rPr>
        <w:t> </w:t>
      </w:r>
      <w:r>
        <w:rPr>
          <w:rFonts w:ascii="Symbol" w:hAnsi="Symbol"/>
          <w:color w:val="010202"/>
          <w:position w:val="-8"/>
          <w:sz w:val="18"/>
        </w:rPr>
        <w:t></w:t>
      </w:r>
      <w:r>
        <w:rPr>
          <w:color w:val="010202"/>
          <w:position w:val="-8"/>
          <w:sz w:val="18"/>
        </w:rPr>
        <w:tab/>
      </w:r>
      <w:r>
        <w:rPr>
          <w:i/>
          <w:color w:val="010202"/>
          <w:sz w:val="10"/>
        </w:rPr>
        <w:t>g</w:t>
      </w:r>
      <w:r>
        <w:rPr>
          <w:i/>
          <w:color w:val="010202"/>
          <w:spacing w:val="-13"/>
          <w:sz w:val="10"/>
        </w:rPr>
        <w:t> </w:t>
      </w:r>
      <w:r>
        <w:rPr>
          <w:rFonts w:ascii="Symbol" w:hAnsi="Symbol"/>
          <w:color w:val="010202"/>
          <w:sz w:val="10"/>
        </w:rPr>
        <w:t></w:t>
      </w:r>
      <w:r>
        <w:rPr>
          <w:color w:val="010202"/>
          <w:sz w:val="10"/>
        </w:rPr>
        <w:t>1</w:t>
        <w:tab/>
      </w:r>
      <w:r>
        <w:rPr>
          <w:i/>
          <w:color w:val="010202"/>
          <w:sz w:val="10"/>
        </w:rPr>
        <w:t>g</w:t>
      </w:r>
      <w:r>
        <w:rPr>
          <w:i/>
          <w:color w:val="010202"/>
          <w:spacing w:val="-13"/>
          <w:sz w:val="10"/>
        </w:rPr>
        <w:t> </w:t>
      </w:r>
      <w:r>
        <w:rPr>
          <w:rFonts w:ascii="Symbol" w:hAnsi="Symbol"/>
          <w:color w:val="010202"/>
          <w:spacing w:val="3"/>
          <w:sz w:val="10"/>
        </w:rPr>
        <w:t></w:t>
      </w:r>
      <w:r>
        <w:rPr>
          <w:color w:val="010202"/>
          <w:spacing w:val="3"/>
          <w:sz w:val="10"/>
        </w:rPr>
        <w:t>2</w:t>
        <w:tab/>
      </w:r>
      <w:r>
        <w:rPr>
          <w:i/>
          <w:color w:val="010202"/>
          <w:spacing w:val="3"/>
          <w:sz w:val="10"/>
        </w:rPr>
        <w:t>n</w:t>
      </w:r>
      <w:r>
        <w:rPr>
          <w:rFonts w:ascii="Symbol" w:hAnsi="Symbol"/>
          <w:color w:val="010202"/>
          <w:spacing w:val="3"/>
          <w:sz w:val="10"/>
        </w:rPr>
        <w:t></w:t>
      </w:r>
      <w:r>
        <w:rPr>
          <w:color w:val="010202"/>
          <w:spacing w:val="-15"/>
          <w:sz w:val="10"/>
        </w:rPr>
        <w:t> </w:t>
      </w:r>
      <w:r>
        <w:rPr>
          <w:i/>
          <w:color w:val="010202"/>
          <w:sz w:val="10"/>
        </w:rPr>
        <w:t>g</w:t>
      </w:r>
      <w:r>
        <w:rPr>
          <w:i/>
          <w:color w:val="010202"/>
          <w:spacing w:val="-13"/>
          <w:sz w:val="10"/>
        </w:rPr>
        <w:t> </w:t>
      </w:r>
      <w:r>
        <w:rPr>
          <w:rFonts w:ascii="Symbol" w:hAnsi="Symbol"/>
          <w:color w:val="010202"/>
          <w:spacing w:val="-3"/>
          <w:sz w:val="10"/>
        </w:rPr>
        <w:t></w:t>
      </w:r>
      <w:r>
        <w:rPr>
          <w:color w:val="010202"/>
          <w:spacing w:val="-3"/>
          <w:sz w:val="10"/>
        </w:rPr>
        <w:t>1</w:t>
        <w:tab/>
      </w:r>
      <w:r>
        <w:rPr>
          <w:i/>
          <w:color w:val="010202"/>
          <w:spacing w:val="3"/>
          <w:sz w:val="10"/>
        </w:rPr>
        <w:t>n</w:t>
      </w:r>
      <w:r>
        <w:rPr>
          <w:rFonts w:ascii="Symbol" w:hAnsi="Symbol"/>
          <w:color w:val="010202"/>
          <w:spacing w:val="3"/>
          <w:sz w:val="10"/>
        </w:rPr>
        <w:t></w:t>
      </w:r>
      <w:r>
        <w:rPr>
          <w:color w:val="010202"/>
          <w:spacing w:val="-11"/>
          <w:sz w:val="10"/>
        </w:rPr>
        <w:t> </w:t>
      </w:r>
      <w:r>
        <w:rPr>
          <w:i/>
          <w:color w:val="010202"/>
          <w:sz w:val="10"/>
        </w:rPr>
        <w:t>g  </w:t>
      </w:r>
      <w:r>
        <w:rPr>
          <w:i/>
          <w:color w:val="010202"/>
          <w:spacing w:val="-2"/>
          <w:sz w:val="10"/>
        </w:rPr>
        <w:t> </w:t>
      </w:r>
    </w:p>
    <w:p>
      <w:pPr>
        <w:spacing w:line="176" w:lineRule="exact" w:before="0"/>
        <w:ind w:left="2034" w:right="0" w:firstLine="0"/>
        <w:jc w:val="left"/>
        <w:rPr>
          <w:i/>
          <w:sz w:val="18"/>
        </w:rPr>
      </w:pPr>
      <w:r>
        <w:rPr>
          <w:i/>
          <w:color w:val="010202"/>
          <w:w w:val="98"/>
          <w:sz w:val="18"/>
        </w:rPr>
        <w:t>n</w:t>
      </w:r>
    </w:p>
    <w:p>
      <w:pPr>
        <w:spacing w:after="0" w:line="176" w:lineRule="exact"/>
        <w:jc w:val="left"/>
        <w:rPr>
          <w:sz w:val="18"/>
        </w:rPr>
        <w:sectPr>
          <w:type w:val="continuous"/>
          <w:pgSz w:w="10920" w:h="13080"/>
          <w:pgMar w:top="0" w:bottom="0" w:left="0" w:right="0"/>
          <w:cols w:num="2" w:equalWidth="0">
            <w:col w:w="3627" w:space="40"/>
            <w:col w:w="7253"/>
          </w:cols>
        </w:sectPr>
      </w:pPr>
    </w:p>
    <w:p>
      <w:pPr>
        <w:pStyle w:val="BodyText"/>
        <w:spacing w:before="8"/>
        <w:ind w:left="1270" w:right="5337"/>
      </w:pPr>
      <w:r>
        <w:rPr>
          <w:color w:val="231F20"/>
        </w:rPr>
        <w:t>n: indica el número de observaciones</w:t>
      </w:r>
    </w:p>
    <w:p>
      <w:pPr>
        <w:pStyle w:val="BodyText"/>
        <w:spacing w:line="247" w:lineRule="auto" w:before="8"/>
        <w:ind w:left="1270" w:right="1258"/>
      </w:pPr>
      <w:r>
        <w:rPr>
          <w:color w:val="231F20"/>
        </w:rPr>
        <w:t>X(1):</w:t>
      </w:r>
      <w:r>
        <w:rPr>
          <w:color w:val="231F20"/>
          <w:spacing w:val="-9"/>
        </w:rPr>
        <w:t> </w:t>
      </w:r>
      <w:r>
        <w:rPr>
          <w:color w:val="231F20"/>
        </w:rPr>
        <w:t>indica</w:t>
      </w:r>
      <w:r>
        <w:rPr>
          <w:color w:val="231F20"/>
          <w:spacing w:val="-10"/>
        </w:rPr>
        <w:t> </w:t>
      </w:r>
      <w:r>
        <w:rPr>
          <w:color w:val="231F20"/>
        </w:rPr>
        <w:t>el</w:t>
      </w:r>
      <w:r>
        <w:rPr>
          <w:color w:val="231F20"/>
          <w:spacing w:val="-10"/>
        </w:rPr>
        <w:t> </w:t>
      </w:r>
      <w:r>
        <w:rPr>
          <w:color w:val="231F20"/>
        </w:rPr>
        <w:t>i-ésimo</w:t>
      </w:r>
      <w:r>
        <w:rPr>
          <w:color w:val="231F20"/>
          <w:spacing w:val="-10"/>
        </w:rPr>
        <w:t> </w:t>
      </w:r>
      <w:r>
        <w:rPr>
          <w:color w:val="231F20"/>
        </w:rPr>
        <w:t>orden</w:t>
      </w:r>
      <w:r>
        <w:rPr>
          <w:color w:val="231F20"/>
          <w:spacing w:val="-9"/>
        </w:rPr>
        <w:t> </w:t>
      </w:r>
      <w:r>
        <w:rPr>
          <w:color w:val="231F20"/>
        </w:rPr>
        <w:t>estadístico</w:t>
      </w:r>
      <w:r>
        <w:rPr>
          <w:color w:val="231F20"/>
          <w:spacing w:val="-10"/>
        </w:rPr>
        <w:t> </w:t>
      </w:r>
      <w:r>
        <w:rPr>
          <w:color w:val="231F20"/>
        </w:rPr>
        <w:t>cuando</w:t>
      </w:r>
      <w:r>
        <w:rPr>
          <w:color w:val="231F20"/>
          <w:spacing w:val="-10"/>
        </w:rPr>
        <w:t> </w:t>
      </w:r>
      <w:r>
        <w:rPr>
          <w:color w:val="231F20"/>
        </w:rPr>
        <w:t>las</w:t>
      </w:r>
      <w:r>
        <w:rPr>
          <w:color w:val="231F20"/>
          <w:spacing w:val="-9"/>
        </w:rPr>
        <w:t> </w:t>
      </w:r>
      <w:r>
        <w:rPr>
          <w:color w:val="231F20"/>
        </w:rPr>
        <w:t>observaciones</w:t>
      </w:r>
      <w:r>
        <w:rPr>
          <w:color w:val="231F20"/>
          <w:spacing w:val="-10"/>
        </w:rPr>
        <w:t> </w:t>
      </w:r>
      <w:r>
        <w:rPr>
          <w:color w:val="231F20"/>
        </w:rPr>
        <w:t>son</w:t>
      </w:r>
      <w:r>
        <w:rPr>
          <w:color w:val="231F20"/>
          <w:spacing w:val="-9"/>
        </w:rPr>
        <w:t> </w:t>
      </w:r>
      <w:r>
        <w:rPr>
          <w:color w:val="231F20"/>
        </w:rPr>
        <w:t>arregladas</w:t>
      </w:r>
      <w:r>
        <w:rPr>
          <w:color w:val="231F20"/>
          <w:spacing w:val="-10"/>
        </w:rPr>
        <w:t> </w:t>
      </w:r>
      <w:r>
        <w:rPr>
          <w:color w:val="231F20"/>
        </w:rPr>
        <w:t>en</w:t>
      </w:r>
      <w:r>
        <w:rPr>
          <w:color w:val="231F20"/>
          <w:spacing w:val="-10"/>
        </w:rPr>
        <w:t> </w:t>
      </w:r>
      <w:r>
        <w:rPr>
          <w:color w:val="231F20"/>
        </w:rPr>
        <w:t>orden</w:t>
      </w:r>
      <w:r>
        <w:rPr>
          <w:color w:val="231F20"/>
          <w:spacing w:val="-9"/>
        </w:rPr>
        <w:t> </w:t>
      </w:r>
      <w:r>
        <w:rPr>
          <w:color w:val="231F20"/>
        </w:rPr>
        <w:t>ascenden- te: X(1) ≤ X(2) ≤…≤ X(n) correspondientes ordenados de forma ascendente.</w:t>
      </w:r>
    </w:p>
    <w:p>
      <w:pPr>
        <w:pStyle w:val="BodyText"/>
        <w:spacing w:before="1"/>
        <w:ind w:left="1270" w:right="5337"/>
      </w:pPr>
      <w:r>
        <w:rPr>
          <w:color w:val="231F20"/>
        </w:rPr>
        <w:t>g = casos de cada extremo</w:t>
      </w:r>
    </w:p>
    <w:p>
      <w:pPr>
        <w:pStyle w:val="BodyText"/>
        <w:spacing w:before="10"/>
        <w:rPr>
          <w:sz w:val="18"/>
        </w:rPr>
      </w:pPr>
    </w:p>
    <w:p>
      <w:pPr>
        <w:spacing w:line="256" w:lineRule="exact" w:before="66"/>
        <w:ind w:left="2025" w:right="1279" w:firstLine="0"/>
        <w:jc w:val="left"/>
        <w:rPr>
          <w:sz w:val="21"/>
        </w:rPr>
      </w:pPr>
      <w:r>
        <w:rPr/>
        <w:pict>
          <v:line style="position:absolute;mso-position-horizontal-relative:page;mso-position-vertical-relative:paragraph;z-index:-209944" from="119.629066pt,15.729608pt" to="138.050898pt,15.729608pt" stroked="true" strokeweight=".440771pt" strokecolor="#010202">
            <w10:wrap type="none"/>
          </v:line>
        </w:pict>
      </w:r>
      <w:r>
        <w:rPr>
          <w:i/>
          <w:color w:val="010202"/>
          <w:position w:val="-6"/>
          <w:sz w:val="18"/>
        </w:rPr>
        <w:t>g </w:t>
      </w:r>
      <w:r>
        <w:rPr>
          <w:rFonts w:ascii="Symbol" w:hAnsi="Symbol"/>
          <w:color w:val="010202"/>
          <w:position w:val="-6"/>
          <w:sz w:val="18"/>
        </w:rPr>
        <w:t></w:t>
      </w:r>
      <w:r>
        <w:rPr>
          <w:color w:val="010202"/>
          <w:position w:val="-6"/>
          <w:sz w:val="18"/>
        </w:rPr>
        <w:t> </w:t>
      </w:r>
      <w:r>
        <w:rPr>
          <w:rFonts w:ascii="Symbol" w:hAnsi="Symbol"/>
          <w:color w:val="010202"/>
          <w:position w:val="3"/>
          <w:sz w:val="18"/>
        </w:rPr>
        <w:t></w:t>
      </w:r>
      <w:r>
        <w:rPr>
          <w:color w:val="010202"/>
          <w:position w:val="3"/>
          <w:sz w:val="18"/>
        </w:rPr>
        <w:t> </w:t>
      </w:r>
      <w:r>
        <w:rPr>
          <w:i/>
          <w:color w:val="010202"/>
          <w:position w:val="4"/>
          <w:sz w:val="18"/>
        </w:rPr>
        <w:t>p </w:t>
      </w:r>
      <w:r>
        <w:rPr>
          <w:rFonts w:ascii="Symbol" w:hAnsi="Symbol"/>
          <w:color w:val="010202"/>
          <w:position w:val="4"/>
          <w:sz w:val="18"/>
        </w:rPr>
        <w:t></w:t>
      </w:r>
      <w:r>
        <w:rPr>
          <w:color w:val="010202"/>
          <w:position w:val="4"/>
          <w:sz w:val="18"/>
        </w:rPr>
        <w:t> </w:t>
      </w:r>
      <w:r>
        <w:rPr>
          <w:i/>
          <w:color w:val="010202"/>
          <w:position w:val="4"/>
          <w:sz w:val="18"/>
        </w:rPr>
        <w:t>n </w:t>
      </w:r>
      <w:r>
        <w:rPr>
          <w:rFonts w:ascii="Symbol" w:hAnsi="Symbol"/>
          <w:color w:val="010202"/>
          <w:position w:val="3"/>
          <w:sz w:val="18"/>
        </w:rPr>
        <w:t></w:t>
      </w:r>
      <w:r>
        <w:rPr>
          <w:color w:val="010202"/>
          <w:position w:val="3"/>
          <w:sz w:val="18"/>
        </w:rPr>
        <w:t> </w:t>
      </w:r>
      <w:r>
        <w:rPr>
          <w:color w:val="231F20"/>
          <w:sz w:val="21"/>
        </w:rPr>
        <w:t>corresponde a la parte entera del porcentaje de n.</w:t>
      </w:r>
    </w:p>
    <w:p>
      <w:pPr>
        <w:spacing w:line="236" w:lineRule="exact" w:before="0"/>
        <w:ind w:left="2312" w:right="5337" w:firstLine="0"/>
        <w:jc w:val="left"/>
        <w:rPr>
          <w:rFonts w:ascii="Symbol" w:hAnsi="Symbol"/>
          <w:sz w:val="18"/>
        </w:rPr>
      </w:pPr>
      <w:r>
        <w:rPr>
          <w:rFonts w:ascii="Symbol" w:hAnsi="Symbol"/>
          <w:color w:val="010202"/>
          <w:spacing w:val="-35"/>
          <w:position w:val="7"/>
          <w:sz w:val="18"/>
        </w:rPr>
        <w:t></w:t>
      </w:r>
      <w:r>
        <w:rPr>
          <w:rFonts w:ascii="Symbol" w:hAnsi="Symbol"/>
          <w:color w:val="010202"/>
          <w:spacing w:val="-35"/>
          <w:position w:val="-1"/>
          <w:sz w:val="18"/>
        </w:rPr>
        <w:t></w:t>
      </w:r>
      <w:r>
        <w:rPr>
          <w:color w:val="010202"/>
          <w:spacing w:val="-35"/>
          <w:position w:val="-1"/>
          <w:sz w:val="18"/>
        </w:rPr>
        <w:t>     </w:t>
      </w:r>
      <w:r>
        <w:rPr>
          <w:color w:val="010202"/>
          <w:sz w:val="18"/>
        </w:rPr>
        <w:t>100 </w:t>
      </w:r>
      <w:r>
        <w:rPr>
          <w:rFonts w:ascii="Symbol" w:hAnsi="Symbol"/>
          <w:color w:val="010202"/>
          <w:spacing w:val="-35"/>
          <w:position w:val="7"/>
          <w:sz w:val="18"/>
        </w:rPr>
        <w:t></w:t>
      </w:r>
      <w:r>
        <w:rPr>
          <w:rFonts w:ascii="Symbol" w:hAnsi="Symbol"/>
          <w:color w:val="010202"/>
          <w:spacing w:val="-35"/>
          <w:position w:val="-1"/>
          <w:sz w:val="18"/>
        </w:rPr>
        <w:t></w:t>
      </w:r>
    </w:p>
    <w:p>
      <w:pPr>
        <w:pStyle w:val="BodyText"/>
        <w:spacing w:before="1"/>
        <w:rPr>
          <w:rFonts w:ascii="Symbol" w:hAnsi="Symbol"/>
          <w:sz w:val="17"/>
        </w:rPr>
      </w:pPr>
    </w:p>
    <w:p>
      <w:pPr>
        <w:pStyle w:val="BodyText"/>
        <w:spacing w:line="247" w:lineRule="auto" w:before="73"/>
        <w:ind w:left="1270" w:right="1267"/>
        <w:jc w:val="both"/>
      </w:pPr>
      <w:r>
        <w:rPr>
          <w:color w:val="231F20"/>
        </w:rPr>
        <w:t>Para conocer la rentabilidad de los tratamientos evaluados, se realizó un análisis económico, mismo que permitió comparar los costos totales en relación con los ingresos netos y totales, siguiendo la metodología usada por Galindo (2005).</w:t>
      </w:r>
    </w:p>
    <w:p>
      <w:pPr>
        <w:spacing w:after="0" w:line="247" w:lineRule="auto"/>
        <w:jc w:val="both"/>
        <w:sectPr>
          <w:type w:val="continuous"/>
          <w:pgSz w:w="10920" w:h="13080"/>
          <w:pgMar w:top="0" w:bottom="0" w:left="0" w:right="0"/>
        </w:sectPr>
      </w:pPr>
    </w:p>
    <w:p>
      <w:pPr>
        <w:pStyle w:val="BodyText"/>
        <w:rPr>
          <w:sz w:val="20"/>
        </w:rPr>
      </w:pPr>
    </w:p>
    <w:p>
      <w:pPr>
        <w:pStyle w:val="BodyText"/>
        <w:rPr>
          <w:sz w:val="20"/>
        </w:rPr>
      </w:pPr>
    </w:p>
    <w:p>
      <w:pPr>
        <w:pStyle w:val="BodyText"/>
        <w:spacing w:before="4"/>
        <w:rPr>
          <w:sz w:val="22"/>
        </w:rPr>
      </w:pPr>
    </w:p>
    <w:p>
      <w:pPr>
        <w:pStyle w:val="Heading3"/>
        <w:spacing w:before="69"/>
      </w:pPr>
      <w:r>
        <w:rPr>
          <w:color w:val="010202"/>
        </w:rPr>
        <w:t>Análisis y discusión de resultados</w:t>
      </w:r>
    </w:p>
    <w:p>
      <w:pPr>
        <w:pStyle w:val="BodyText"/>
        <w:spacing w:before="10"/>
        <w:rPr>
          <w:b/>
        </w:rPr>
      </w:pPr>
    </w:p>
    <w:p>
      <w:pPr>
        <w:pStyle w:val="BodyText"/>
        <w:spacing w:line="247" w:lineRule="auto"/>
        <w:ind w:left="1270" w:right="1267"/>
        <w:jc w:val="both"/>
      </w:pPr>
      <w:r>
        <w:rPr>
          <w:color w:val="231F20"/>
        </w:rPr>
        <w:t>Susceptibilidad</w:t>
      </w:r>
      <w:r>
        <w:rPr>
          <w:color w:val="231F20"/>
          <w:spacing w:val="-9"/>
        </w:rPr>
        <w:t> </w:t>
      </w:r>
      <w:r>
        <w:rPr>
          <w:color w:val="231F20"/>
        </w:rPr>
        <w:t>del</w:t>
      </w:r>
      <w:r>
        <w:rPr>
          <w:color w:val="231F20"/>
          <w:spacing w:val="-9"/>
        </w:rPr>
        <w:t> </w:t>
      </w:r>
      <w:r>
        <w:rPr>
          <w:color w:val="231F20"/>
        </w:rPr>
        <w:t>maíz</w:t>
      </w:r>
      <w:r>
        <w:rPr>
          <w:color w:val="231F20"/>
          <w:spacing w:val="-9"/>
        </w:rPr>
        <w:t> </w:t>
      </w:r>
      <w:r>
        <w:rPr>
          <w:color w:val="231F20"/>
        </w:rPr>
        <w:t>al</w:t>
      </w:r>
      <w:r>
        <w:rPr>
          <w:color w:val="231F20"/>
          <w:spacing w:val="-9"/>
        </w:rPr>
        <w:t> </w:t>
      </w:r>
      <w:r>
        <w:rPr>
          <w:color w:val="231F20"/>
        </w:rPr>
        <w:t>huitlacoche:</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Figura</w:t>
      </w:r>
      <w:r>
        <w:rPr>
          <w:color w:val="231F20"/>
          <w:spacing w:val="-9"/>
        </w:rPr>
        <w:t> </w:t>
      </w:r>
      <w:r>
        <w:rPr>
          <w:color w:val="231F20"/>
        </w:rPr>
        <w:t>1A</w:t>
      </w:r>
      <w:r>
        <w:rPr>
          <w:color w:val="231F20"/>
          <w:spacing w:val="-20"/>
        </w:rPr>
        <w:t> </w:t>
      </w:r>
      <w:r>
        <w:rPr>
          <w:color w:val="231F20"/>
        </w:rPr>
        <w:t>se</w:t>
      </w:r>
      <w:r>
        <w:rPr>
          <w:color w:val="231F20"/>
          <w:spacing w:val="-9"/>
        </w:rPr>
        <w:t> </w:t>
      </w:r>
      <w:r>
        <w:rPr>
          <w:color w:val="231F20"/>
        </w:rPr>
        <w:t>observa</w:t>
      </w:r>
      <w:r>
        <w:rPr>
          <w:color w:val="231F20"/>
          <w:spacing w:val="-9"/>
        </w:rPr>
        <w:t> </w:t>
      </w:r>
      <w:r>
        <w:rPr>
          <w:color w:val="231F20"/>
        </w:rPr>
        <w:t>el</w:t>
      </w:r>
      <w:r>
        <w:rPr>
          <w:color w:val="231F20"/>
          <w:spacing w:val="-9"/>
        </w:rPr>
        <w:t> </w:t>
      </w:r>
      <w:r>
        <w:rPr>
          <w:color w:val="231F20"/>
        </w:rPr>
        <w:t>Índice</w:t>
      </w:r>
      <w:r>
        <w:rPr>
          <w:color w:val="231F20"/>
          <w:spacing w:val="-9"/>
        </w:rPr>
        <w:t> </w:t>
      </w:r>
      <w:r>
        <w:rPr>
          <w:color w:val="231F20"/>
        </w:rPr>
        <w:t>se</w:t>
      </w:r>
      <w:r>
        <w:rPr>
          <w:color w:val="231F20"/>
          <w:spacing w:val="-9"/>
        </w:rPr>
        <w:t> </w:t>
      </w:r>
      <w:r>
        <w:rPr>
          <w:color w:val="231F20"/>
        </w:rPr>
        <w:t>severidad</w:t>
      </w:r>
      <w:r>
        <w:rPr>
          <w:color w:val="231F20"/>
          <w:spacing w:val="-9"/>
        </w:rPr>
        <w:t> </w:t>
      </w:r>
      <w:r>
        <w:rPr>
          <w:color w:val="231F20"/>
        </w:rPr>
        <w:t>(IS)</w:t>
      </w:r>
      <w:r>
        <w:rPr>
          <w:color w:val="231F20"/>
          <w:spacing w:val="-9"/>
        </w:rPr>
        <w:t> </w:t>
      </w:r>
      <w:r>
        <w:rPr>
          <w:color w:val="231F20"/>
        </w:rPr>
        <w:t>y</w:t>
      </w:r>
      <w:r>
        <w:rPr>
          <w:color w:val="231F20"/>
          <w:spacing w:val="-9"/>
        </w:rPr>
        <w:t> </w:t>
      </w:r>
      <w:r>
        <w:rPr>
          <w:color w:val="231F20"/>
        </w:rPr>
        <w:t>en</w:t>
      </w:r>
      <w:r>
        <w:rPr>
          <w:color w:val="231F20"/>
          <w:spacing w:val="-9"/>
        </w:rPr>
        <w:t> </w:t>
      </w:r>
      <w:r>
        <w:rPr>
          <w:color w:val="231F20"/>
        </w:rPr>
        <w:t>la 1B</w:t>
      </w:r>
      <w:r>
        <w:rPr>
          <w:color w:val="231F20"/>
          <w:spacing w:val="-7"/>
        </w:rPr>
        <w:t> </w:t>
      </w:r>
      <w:r>
        <w:rPr>
          <w:color w:val="231F20"/>
        </w:rPr>
        <w:t>el</w:t>
      </w:r>
      <w:r>
        <w:rPr>
          <w:color w:val="231F20"/>
          <w:spacing w:val="-7"/>
        </w:rPr>
        <w:t> </w:t>
      </w:r>
      <w:r>
        <w:rPr>
          <w:color w:val="231F20"/>
        </w:rPr>
        <w:t>Porcentaje</w:t>
      </w:r>
      <w:r>
        <w:rPr>
          <w:color w:val="231F20"/>
          <w:spacing w:val="-7"/>
        </w:rPr>
        <w:t> </w:t>
      </w:r>
      <w:r>
        <w:rPr>
          <w:color w:val="231F20"/>
        </w:rPr>
        <w:t>de</w:t>
      </w:r>
      <w:r>
        <w:rPr>
          <w:color w:val="231F20"/>
          <w:spacing w:val="-7"/>
        </w:rPr>
        <w:t> </w:t>
      </w:r>
      <w:r>
        <w:rPr>
          <w:color w:val="231F20"/>
        </w:rPr>
        <w:t>Incidencia</w:t>
      </w:r>
      <w:r>
        <w:rPr>
          <w:color w:val="231F20"/>
          <w:spacing w:val="-7"/>
        </w:rPr>
        <w:t> </w:t>
      </w:r>
      <w:r>
        <w:rPr>
          <w:color w:val="231F20"/>
        </w:rPr>
        <w:t>(PI)</w:t>
      </w:r>
      <w:r>
        <w:rPr>
          <w:color w:val="231F20"/>
          <w:spacing w:val="-7"/>
        </w:rPr>
        <w:t> </w:t>
      </w:r>
      <w:r>
        <w:rPr>
          <w:color w:val="231F20"/>
        </w:rPr>
        <w:t>obtenidos</w:t>
      </w:r>
      <w:r>
        <w:rPr>
          <w:color w:val="231F20"/>
          <w:spacing w:val="-7"/>
        </w:rPr>
        <w:t> </w:t>
      </w:r>
      <w:r>
        <w:rPr>
          <w:color w:val="231F20"/>
        </w:rPr>
        <w:t>en</w:t>
      </w:r>
      <w:r>
        <w:rPr>
          <w:color w:val="231F20"/>
          <w:spacing w:val="-7"/>
        </w:rPr>
        <w:t> </w:t>
      </w:r>
      <w:r>
        <w:rPr>
          <w:color w:val="231F20"/>
        </w:rPr>
        <w:t>las</w:t>
      </w:r>
      <w:r>
        <w:rPr>
          <w:color w:val="231F20"/>
          <w:spacing w:val="-7"/>
        </w:rPr>
        <w:t> </w:t>
      </w:r>
      <w:r>
        <w:rPr>
          <w:color w:val="231F20"/>
        </w:rPr>
        <w:t>17</w:t>
      </w:r>
      <w:r>
        <w:rPr>
          <w:color w:val="231F20"/>
          <w:spacing w:val="-7"/>
        </w:rPr>
        <w:t> </w:t>
      </w:r>
      <w:r>
        <w:rPr>
          <w:color w:val="231F20"/>
        </w:rPr>
        <w:t>variedades</w:t>
      </w:r>
      <w:r>
        <w:rPr>
          <w:color w:val="231F20"/>
          <w:spacing w:val="-7"/>
        </w:rPr>
        <w:t> </w:t>
      </w:r>
      <w:r>
        <w:rPr>
          <w:color w:val="231F20"/>
        </w:rPr>
        <w:t>de</w:t>
      </w:r>
      <w:r>
        <w:rPr>
          <w:color w:val="231F20"/>
          <w:spacing w:val="-7"/>
        </w:rPr>
        <w:t> </w:t>
      </w:r>
      <w:r>
        <w:rPr>
          <w:color w:val="231F20"/>
        </w:rPr>
        <w:t>maíces</w:t>
      </w:r>
      <w:r>
        <w:rPr>
          <w:color w:val="231F20"/>
          <w:spacing w:val="-7"/>
        </w:rPr>
        <w:t> </w:t>
      </w:r>
      <w:r>
        <w:rPr>
          <w:color w:val="231F20"/>
        </w:rPr>
        <w:t>estudiadas</w:t>
      </w:r>
      <w:r>
        <w:rPr>
          <w:color w:val="231F20"/>
          <w:spacing w:val="-7"/>
        </w:rPr>
        <w:t> </w:t>
      </w:r>
      <w:r>
        <w:rPr>
          <w:color w:val="231F20"/>
        </w:rPr>
        <w:t>e</w:t>
      </w:r>
      <w:r>
        <w:rPr>
          <w:color w:val="231F20"/>
          <w:spacing w:val="-7"/>
        </w:rPr>
        <w:t> </w:t>
      </w:r>
      <w:r>
        <w:rPr>
          <w:color w:val="231F20"/>
        </w:rPr>
        <w:t>inoculadas con la cepa IM409. Los maíces mejorados presentaron el IS más alto, siendo el híbrido Oso el de mayor</w:t>
      </w:r>
      <w:r>
        <w:rPr>
          <w:color w:val="231F20"/>
          <w:spacing w:val="-12"/>
        </w:rPr>
        <w:t> </w:t>
      </w:r>
      <w:r>
        <w:rPr>
          <w:color w:val="231F20"/>
        </w:rPr>
        <w:t>valor</w:t>
      </w:r>
      <w:r>
        <w:rPr>
          <w:color w:val="231F20"/>
          <w:spacing w:val="-12"/>
        </w:rPr>
        <w:t> </w:t>
      </w:r>
      <w:r>
        <w:rPr>
          <w:color w:val="231F20"/>
        </w:rPr>
        <w:t>(3.08);</w:t>
      </w:r>
      <w:r>
        <w:rPr>
          <w:color w:val="231F20"/>
          <w:spacing w:val="-12"/>
        </w:rPr>
        <w:t> </w:t>
      </w:r>
      <w:r>
        <w:rPr>
          <w:color w:val="231F20"/>
        </w:rPr>
        <w:t>le</w:t>
      </w:r>
      <w:r>
        <w:rPr>
          <w:color w:val="231F20"/>
          <w:spacing w:val="-12"/>
        </w:rPr>
        <w:t> </w:t>
      </w:r>
      <w:r>
        <w:rPr>
          <w:color w:val="231F20"/>
        </w:rPr>
        <w:t>siguen</w:t>
      </w:r>
      <w:r>
        <w:rPr>
          <w:color w:val="231F20"/>
          <w:spacing w:val="-12"/>
        </w:rPr>
        <w:t> </w:t>
      </w:r>
      <w:r>
        <w:rPr>
          <w:color w:val="231F20"/>
        </w:rPr>
        <w:t>el</w:t>
      </w:r>
      <w:r>
        <w:rPr>
          <w:color w:val="231F20"/>
          <w:spacing w:val="-23"/>
        </w:rPr>
        <w:t> </w:t>
      </w:r>
      <w:r>
        <w:rPr>
          <w:color w:val="231F20"/>
        </w:rPr>
        <w:t>A7573</w:t>
      </w:r>
      <w:r>
        <w:rPr>
          <w:color w:val="231F20"/>
          <w:spacing w:val="-11"/>
        </w:rPr>
        <w:t> </w:t>
      </w:r>
      <w:r>
        <w:rPr>
          <w:color w:val="231F20"/>
        </w:rPr>
        <w:t>(2.77),</w:t>
      </w:r>
      <w:r>
        <w:rPr>
          <w:color w:val="231F20"/>
          <w:spacing w:val="-12"/>
        </w:rPr>
        <w:t> </w:t>
      </w:r>
      <w:r>
        <w:rPr>
          <w:color w:val="231F20"/>
        </w:rPr>
        <w:t>30T26</w:t>
      </w:r>
      <w:r>
        <w:rPr>
          <w:color w:val="231F20"/>
          <w:spacing w:val="-12"/>
        </w:rPr>
        <w:t> </w:t>
      </w:r>
      <w:r>
        <w:rPr>
          <w:color w:val="231F20"/>
        </w:rPr>
        <w:t>(2.69)</w:t>
      </w:r>
      <w:r>
        <w:rPr>
          <w:color w:val="231F20"/>
          <w:spacing w:val="-12"/>
        </w:rPr>
        <w:t> </w:t>
      </w:r>
      <w:r>
        <w:rPr>
          <w:color w:val="231F20"/>
        </w:rPr>
        <w:t>y</w:t>
      </w:r>
      <w:r>
        <w:rPr>
          <w:color w:val="231F20"/>
          <w:spacing w:val="-15"/>
        </w:rPr>
        <w:t> </w:t>
      </w:r>
      <w:r>
        <w:rPr>
          <w:color w:val="231F20"/>
        </w:rPr>
        <w:t>Tigre</w:t>
      </w:r>
      <w:r>
        <w:rPr>
          <w:color w:val="231F20"/>
          <w:spacing w:val="-12"/>
        </w:rPr>
        <w:t> </w:t>
      </w:r>
      <w:r>
        <w:rPr>
          <w:color w:val="231F20"/>
        </w:rPr>
        <w:t>(2.37);</w:t>
      </w:r>
      <w:r>
        <w:rPr>
          <w:color w:val="231F20"/>
          <w:spacing w:val="-12"/>
        </w:rPr>
        <w:t> </w:t>
      </w:r>
      <w:r>
        <w:rPr>
          <w:color w:val="231F20"/>
        </w:rPr>
        <w:t>los</w:t>
      </w:r>
      <w:r>
        <w:rPr>
          <w:color w:val="231F20"/>
          <w:spacing w:val="-12"/>
        </w:rPr>
        <w:t> </w:t>
      </w:r>
      <w:r>
        <w:rPr>
          <w:color w:val="231F20"/>
        </w:rPr>
        <w:t>criollos</w:t>
      </w:r>
      <w:r>
        <w:rPr>
          <w:color w:val="231F20"/>
          <w:spacing w:val="-12"/>
        </w:rPr>
        <w:t> </w:t>
      </w:r>
      <w:r>
        <w:rPr>
          <w:color w:val="231F20"/>
        </w:rPr>
        <w:t>que</w:t>
      </w:r>
      <w:r>
        <w:rPr>
          <w:color w:val="231F20"/>
          <w:spacing w:val="-12"/>
        </w:rPr>
        <w:t> </w:t>
      </w:r>
      <w:r>
        <w:rPr>
          <w:color w:val="231F20"/>
        </w:rPr>
        <w:t>mejor</w:t>
      </w:r>
      <w:r>
        <w:rPr>
          <w:color w:val="231F20"/>
          <w:spacing w:val="-12"/>
        </w:rPr>
        <w:t> </w:t>
      </w:r>
      <w:r>
        <w:rPr>
          <w:color w:val="231F20"/>
        </w:rPr>
        <w:t>res- pondieron</w:t>
      </w:r>
      <w:r>
        <w:rPr>
          <w:color w:val="231F20"/>
          <w:spacing w:val="-3"/>
        </w:rPr>
        <w:t> </w:t>
      </w:r>
      <w:r>
        <w:rPr>
          <w:color w:val="231F20"/>
        </w:rPr>
        <w:t>a</w:t>
      </w:r>
      <w:r>
        <w:rPr>
          <w:color w:val="231F20"/>
          <w:spacing w:val="-3"/>
        </w:rPr>
        <w:t> </w:t>
      </w:r>
      <w:r>
        <w:rPr>
          <w:color w:val="231F20"/>
        </w:rPr>
        <w:t>la</w:t>
      </w:r>
      <w:r>
        <w:rPr>
          <w:color w:val="231F20"/>
          <w:spacing w:val="-3"/>
        </w:rPr>
        <w:t> </w:t>
      </w:r>
      <w:r>
        <w:rPr>
          <w:color w:val="231F20"/>
        </w:rPr>
        <w:t>inoculación</w:t>
      </w:r>
      <w:r>
        <w:rPr>
          <w:color w:val="231F20"/>
          <w:spacing w:val="-3"/>
        </w:rPr>
        <w:t> </w:t>
      </w:r>
      <w:r>
        <w:rPr>
          <w:color w:val="231F20"/>
        </w:rPr>
        <w:t>fueron</w:t>
      </w:r>
      <w:r>
        <w:rPr>
          <w:color w:val="231F20"/>
          <w:spacing w:val="-3"/>
        </w:rPr>
        <w:t> </w:t>
      </w:r>
      <w:r>
        <w:rPr>
          <w:color w:val="231F20"/>
        </w:rPr>
        <w:t>el</w:t>
      </w:r>
      <w:r>
        <w:rPr>
          <w:color w:val="231F20"/>
          <w:spacing w:val="-3"/>
        </w:rPr>
        <w:t> </w:t>
      </w:r>
      <w:r>
        <w:rPr>
          <w:color w:val="231F20"/>
        </w:rPr>
        <w:t>R12</w:t>
      </w:r>
      <w:r>
        <w:rPr>
          <w:color w:val="231F20"/>
          <w:spacing w:val="-3"/>
        </w:rPr>
        <w:t> </w:t>
      </w:r>
      <w:r>
        <w:rPr>
          <w:color w:val="231F20"/>
        </w:rPr>
        <w:t>(rojo</w:t>
      </w:r>
      <w:r>
        <w:rPr>
          <w:color w:val="231F20"/>
          <w:spacing w:val="-3"/>
        </w:rPr>
        <w:t> </w:t>
      </w:r>
      <w:r>
        <w:rPr>
          <w:color w:val="231F20"/>
        </w:rPr>
        <w:t>oscuro),</w:t>
      </w:r>
      <w:r>
        <w:rPr>
          <w:color w:val="231F20"/>
          <w:spacing w:val="-3"/>
        </w:rPr>
        <w:t> </w:t>
      </w:r>
      <w:r>
        <w:rPr>
          <w:color w:val="231F20"/>
        </w:rPr>
        <w:t>N9</w:t>
      </w:r>
      <w:r>
        <w:rPr>
          <w:color w:val="231F20"/>
          <w:spacing w:val="-3"/>
        </w:rPr>
        <w:t> </w:t>
      </w:r>
      <w:r>
        <w:rPr>
          <w:color w:val="231F20"/>
        </w:rPr>
        <w:t>(azul</w:t>
      </w:r>
      <w:r>
        <w:rPr>
          <w:color w:val="231F20"/>
          <w:spacing w:val="-3"/>
        </w:rPr>
        <w:t> </w:t>
      </w:r>
      <w:r>
        <w:rPr>
          <w:color w:val="231F20"/>
        </w:rPr>
        <w:t>oscuro)</w:t>
      </w:r>
      <w:r>
        <w:rPr>
          <w:color w:val="231F20"/>
          <w:spacing w:val="-3"/>
        </w:rPr>
        <w:t> </w:t>
      </w:r>
      <w:r>
        <w:rPr>
          <w:color w:val="231F20"/>
        </w:rPr>
        <w:t>y</w:t>
      </w:r>
      <w:r>
        <w:rPr>
          <w:color w:val="231F20"/>
          <w:spacing w:val="-3"/>
        </w:rPr>
        <w:t> </w:t>
      </w:r>
      <w:r>
        <w:rPr>
          <w:color w:val="231F20"/>
        </w:rPr>
        <w:t>B7</w:t>
      </w:r>
      <w:r>
        <w:rPr>
          <w:color w:val="231F20"/>
          <w:spacing w:val="-3"/>
        </w:rPr>
        <w:t> </w:t>
      </w:r>
      <w:r>
        <w:rPr>
          <w:color w:val="231F20"/>
        </w:rPr>
        <w:t>(blanco),</w:t>
      </w:r>
      <w:r>
        <w:rPr>
          <w:color w:val="231F20"/>
          <w:spacing w:val="-3"/>
        </w:rPr>
        <w:t> </w:t>
      </w:r>
      <w:r>
        <w:rPr>
          <w:color w:val="231F20"/>
        </w:rPr>
        <w:t>mismos</w:t>
      </w:r>
      <w:r>
        <w:rPr>
          <w:color w:val="231F20"/>
          <w:spacing w:val="-3"/>
        </w:rPr>
        <w:t> </w:t>
      </w:r>
      <w:r>
        <w:rPr>
          <w:color w:val="231F20"/>
        </w:rPr>
        <w:t>que no</w:t>
      </w:r>
      <w:r>
        <w:rPr>
          <w:color w:val="231F20"/>
          <w:spacing w:val="-12"/>
        </w:rPr>
        <w:t> </w:t>
      </w:r>
      <w:r>
        <w:rPr>
          <w:color w:val="231F20"/>
        </w:rPr>
        <w:t>presentaron</w:t>
      </w:r>
      <w:r>
        <w:rPr>
          <w:color w:val="231F20"/>
          <w:spacing w:val="-12"/>
        </w:rPr>
        <w:t> </w:t>
      </w:r>
      <w:r>
        <w:rPr>
          <w:color w:val="231F20"/>
        </w:rPr>
        <w:t>diferencia</w:t>
      </w:r>
      <w:r>
        <w:rPr>
          <w:color w:val="231F20"/>
          <w:spacing w:val="-12"/>
        </w:rPr>
        <w:t> </w:t>
      </w:r>
      <w:r>
        <w:rPr>
          <w:color w:val="231F20"/>
        </w:rPr>
        <w:t>significativa</w:t>
      </w:r>
      <w:r>
        <w:rPr>
          <w:color w:val="231F20"/>
          <w:spacing w:val="-12"/>
        </w:rPr>
        <w:t> </w:t>
      </w:r>
      <w:r>
        <w:rPr>
          <w:color w:val="231F20"/>
        </w:rPr>
        <w:t>con</w:t>
      </w:r>
      <w:r>
        <w:rPr>
          <w:color w:val="231F20"/>
          <w:spacing w:val="-12"/>
        </w:rPr>
        <w:t> </w:t>
      </w:r>
      <w:r>
        <w:rPr>
          <w:color w:val="231F20"/>
        </w:rPr>
        <w:t>respecto</w:t>
      </w:r>
      <w:r>
        <w:rPr>
          <w:color w:val="231F20"/>
          <w:spacing w:val="-12"/>
        </w:rPr>
        <w:t> </w:t>
      </w:r>
      <w:r>
        <w:rPr>
          <w:color w:val="231F20"/>
        </w:rPr>
        <w:t>al</w:t>
      </w:r>
      <w:r>
        <w:rPr>
          <w:color w:val="231F20"/>
          <w:spacing w:val="-12"/>
        </w:rPr>
        <w:t> </w:t>
      </w:r>
      <w:r>
        <w:rPr>
          <w:color w:val="231F20"/>
        </w:rPr>
        <w:t>híbrido</w:t>
      </w:r>
      <w:r>
        <w:rPr>
          <w:color w:val="231F20"/>
          <w:spacing w:val="-12"/>
        </w:rPr>
        <w:t> </w:t>
      </w:r>
      <w:r>
        <w:rPr>
          <w:color w:val="231F20"/>
        </w:rPr>
        <w:t>Cobra</w:t>
      </w:r>
      <w:r>
        <w:rPr>
          <w:color w:val="231F20"/>
          <w:spacing w:val="-12"/>
        </w:rPr>
        <w:t> </w:t>
      </w:r>
      <w:r>
        <w:rPr>
          <w:color w:val="231F20"/>
        </w:rPr>
        <w:t>(blanco)</w:t>
      </w:r>
      <w:r>
        <w:rPr>
          <w:color w:val="231F20"/>
          <w:spacing w:val="-12"/>
        </w:rPr>
        <w:t> </w:t>
      </w:r>
      <w:r>
        <w:rPr>
          <w:color w:val="231F20"/>
        </w:rPr>
        <w:t>cuyo</w:t>
      </w:r>
      <w:r>
        <w:rPr>
          <w:color w:val="231F20"/>
          <w:spacing w:val="-12"/>
        </w:rPr>
        <w:t> </w:t>
      </w:r>
      <w:r>
        <w:rPr>
          <w:color w:val="231F20"/>
        </w:rPr>
        <w:t>IS</w:t>
      </w:r>
      <w:r>
        <w:rPr>
          <w:color w:val="231F20"/>
          <w:spacing w:val="-12"/>
        </w:rPr>
        <w:t> </w:t>
      </w:r>
      <w:r>
        <w:rPr>
          <w:color w:val="231F20"/>
        </w:rPr>
        <w:t>fue</w:t>
      </w:r>
      <w:r>
        <w:rPr>
          <w:color w:val="231F20"/>
          <w:spacing w:val="-12"/>
        </w:rPr>
        <w:t> </w:t>
      </w:r>
      <w:r>
        <w:rPr>
          <w:color w:val="231F20"/>
        </w:rPr>
        <w:t>de</w:t>
      </w:r>
      <w:r>
        <w:rPr>
          <w:color w:val="231F20"/>
          <w:spacing w:val="-12"/>
        </w:rPr>
        <w:t> </w:t>
      </w:r>
      <w:r>
        <w:rPr>
          <w:color w:val="231F20"/>
        </w:rPr>
        <w:t>2.16.</w:t>
      </w:r>
      <w:r>
        <w:rPr>
          <w:color w:val="231F20"/>
          <w:spacing w:val="-12"/>
        </w:rPr>
        <w:t> </w:t>
      </w:r>
      <w:r>
        <w:rPr>
          <w:color w:val="231F20"/>
        </w:rPr>
        <w:t>En este sentido, Calderón (2010) reporta que el valor del IS generado por cada cepa de huitlacoche no está</w:t>
      </w:r>
      <w:r>
        <w:rPr>
          <w:color w:val="231F20"/>
          <w:spacing w:val="-7"/>
        </w:rPr>
        <w:t> </w:t>
      </w:r>
      <w:r>
        <w:rPr>
          <w:color w:val="231F20"/>
        </w:rPr>
        <w:t>totalmente</w:t>
      </w:r>
      <w:r>
        <w:rPr>
          <w:color w:val="231F20"/>
          <w:spacing w:val="-7"/>
        </w:rPr>
        <w:t> </w:t>
      </w:r>
      <w:r>
        <w:rPr>
          <w:color w:val="231F20"/>
        </w:rPr>
        <w:t>relacionado</w:t>
      </w:r>
      <w:r>
        <w:rPr>
          <w:color w:val="231F20"/>
          <w:spacing w:val="-7"/>
        </w:rPr>
        <w:t> </w:t>
      </w:r>
      <w:r>
        <w:rPr>
          <w:color w:val="231F20"/>
        </w:rPr>
        <w:t>con</w:t>
      </w:r>
      <w:r>
        <w:rPr>
          <w:color w:val="231F20"/>
          <w:spacing w:val="-7"/>
        </w:rPr>
        <w:t> </w:t>
      </w:r>
      <w:r>
        <w:rPr>
          <w:color w:val="231F20"/>
        </w:rPr>
        <w:t>la</w:t>
      </w:r>
      <w:r>
        <w:rPr>
          <w:color w:val="231F20"/>
          <w:spacing w:val="-7"/>
        </w:rPr>
        <w:t> </w:t>
      </w:r>
      <w:r>
        <w:rPr>
          <w:color w:val="231F20"/>
        </w:rPr>
        <w:t>variedad</w:t>
      </w:r>
      <w:r>
        <w:rPr>
          <w:color w:val="231F20"/>
          <w:spacing w:val="-7"/>
        </w:rPr>
        <w:t> </w:t>
      </w:r>
      <w:r>
        <w:rPr>
          <w:color w:val="231F20"/>
        </w:rPr>
        <w:t>ni</w:t>
      </w:r>
      <w:r>
        <w:rPr>
          <w:color w:val="231F20"/>
          <w:spacing w:val="-7"/>
        </w:rPr>
        <w:t> </w:t>
      </w:r>
      <w:r>
        <w:rPr>
          <w:color w:val="231F20"/>
        </w:rPr>
        <w:t>el</w:t>
      </w:r>
      <w:r>
        <w:rPr>
          <w:color w:val="231F20"/>
          <w:spacing w:val="-7"/>
        </w:rPr>
        <w:t> </w:t>
      </w:r>
      <w:r>
        <w:rPr>
          <w:color w:val="231F20"/>
        </w:rPr>
        <w:t>color</w:t>
      </w:r>
      <w:r>
        <w:rPr>
          <w:color w:val="231F20"/>
          <w:spacing w:val="-7"/>
        </w:rPr>
        <w:t> </w:t>
      </w:r>
      <w:r>
        <w:rPr>
          <w:color w:val="231F20"/>
        </w:rPr>
        <w:t>del</w:t>
      </w:r>
      <w:r>
        <w:rPr>
          <w:color w:val="231F20"/>
          <w:spacing w:val="-7"/>
        </w:rPr>
        <w:t> </w:t>
      </w:r>
      <w:r>
        <w:rPr>
          <w:color w:val="231F20"/>
        </w:rPr>
        <w:t>maíz,</w:t>
      </w:r>
      <w:r>
        <w:rPr>
          <w:color w:val="231F20"/>
          <w:spacing w:val="-7"/>
        </w:rPr>
        <w:t> </w:t>
      </w:r>
      <w:r>
        <w:rPr>
          <w:color w:val="231F20"/>
        </w:rPr>
        <w:t>lo</w:t>
      </w:r>
      <w:r>
        <w:rPr>
          <w:color w:val="231F20"/>
          <w:spacing w:val="-7"/>
        </w:rPr>
        <w:t> </w:t>
      </w:r>
      <w:r>
        <w:rPr>
          <w:color w:val="231F20"/>
        </w:rPr>
        <w:t>que</w:t>
      </w:r>
      <w:r>
        <w:rPr>
          <w:color w:val="231F20"/>
          <w:spacing w:val="-7"/>
        </w:rPr>
        <w:t> </w:t>
      </w:r>
      <w:r>
        <w:rPr>
          <w:color w:val="231F20"/>
        </w:rPr>
        <w:t>indica</w:t>
      </w:r>
      <w:r>
        <w:rPr>
          <w:color w:val="231F20"/>
          <w:spacing w:val="-7"/>
        </w:rPr>
        <w:t> </w:t>
      </w:r>
      <w:r>
        <w:rPr>
          <w:color w:val="231F20"/>
        </w:rPr>
        <w:t>que</w:t>
      </w:r>
      <w:r>
        <w:rPr>
          <w:color w:val="231F20"/>
          <w:spacing w:val="-7"/>
        </w:rPr>
        <w:t> </w:t>
      </w:r>
      <w:r>
        <w:rPr>
          <w:color w:val="231F20"/>
        </w:rPr>
        <w:t>aun</w:t>
      </w:r>
      <w:r>
        <w:rPr>
          <w:color w:val="231F20"/>
          <w:spacing w:val="-7"/>
        </w:rPr>
        <w:t> </w:t>
      </w:r>
      <w:r>
        <w:rPr>
          <w:color w:val="231F20"/>
        </w:rPr>
        <w:t>cuando</w:t>
      </w:r>
      <w:r>
        <w:rPr>
          <w:color w:val="231F20"/>
          <w:spacing w:val="-7"/>
        </w:rPr>
        <w:t> </w:t>
      </w:r>
      <w:r>
        <w:rPr>
          <w:color w:val="231F20"/>
        </w:rPr>
        <w:t>las</w:t>
      </w:r>
      <w:r>
        <w:rPr>
          <w:color w:val="231F20"/>
          <w:spacing w:val="-7"/>
        </w:rPr>
        <w:t> </w:t>
      </w:r>
      <w:r>
        <w:rPr>
          <w:color w:val="231F20"/>
        </w:rPr>
        <w:t>va- riedades</w:t>
      </w:r>
      <w:r>
        <w:rPr>
          <w:color w:val="231F20"/>
          <w:spacing w:val="-3"/>
        </w:rPr>
        <w:t> </w:t>
      </w:r>
      <w:r>
        <w:rPr>
          <w:color w:val="231F20"/>
        </w:rPr>
        <w:t>de</w:t>
      </w:r>
      <w:r>
        <w:rPr>
          <w:color w:val="231F20"/>
          <w:spacing w:val="-3"/>
        </w:rPr>
        <w:t> </w:t>
      </w:r>
      <w:r>
        <w:rPr>
          <w:color w:val="231F20"/>
        </w:rPr>
        <w:t>maíz</w:t>
      </w:r>
      <w:r>
        <w:rPr>
          <w:color w:val="231F20"/>
          <w:spacing w:val="-3"/>
        </w:rPr>
        <w:t> </w:t>
      </w:r>
      <w:r>
        <w:rPr>
          <w:color w:val="231F20"/>
        </w:rPr>
        <w:t>blanco</w:t>
      </w:r>
      <w:r>
        <w:rPr>
          <w:color w:val="231F20"/>
          <w:spacing w:val="-3"/>
        </w:rPr>
        <w:t> </w:t>
      </w:r>
      <w:r>
        <w:rPr>
          <w:color w:val="231F20"/>
        </w:rPr>
        <w:t>son</w:t>
      </w:r>
      <w:r>
        <w:rPr>
          <w:color w:val="231F20"/>
          <w:spacing w:val="-3"/>
        </w:rPr>
        <w:t> </w:t>
      </w:r>
      <w:r>
        <w:rPr>
          <w:color w:val="231F20"/>
        </w:rPr>
        <w:t>las</w:t>
      </w:r>
      <w:r>
        <w:rPr>
          <w:color w:val="231F20"/>
          <w:spacing w:val="-3"/>
        </w:rPr>
        <w:t> </w:t>
      </w:r>
      <w:r>
        <w:rPr>
          <w:color w:val="231F20"/>
        </w:rPr>
        <w:t>más</w:t>
      </w:r>
      <w:r>
        <w:rPr>
          <w:color w:val="231F20"/>
          <w:spacing w:val="-3"/>
        </w:rPr>
        <w:t> </w:t>
      </w:r>
      <w:r>
        <w:rPr>
          <w:color w:val="231F20"/>
        </w:rPr>
        <w:t>susceptibles,</w:t>
      </w:r>
      <w:r>
        <w:rPr>
          <w:color w:val="231F20"/>
          <w:spacing w:val="-2"/>
        </w:rPr>
        <w:t> </w:t>
      </w:r>
      <w:r>
        <w:rPr>
          <w:color w:val="231F20"/>
        </w:rPr>
        <w:t>esto</w:t>
      </w:r>
      <w:r>
        <w:rPr>
          <w:color w:val="231F20"/>
          <w:spacing w:val="-3"/>
        </w:rPr>
        <w:t> </w:t>
      </w:r>
      <w:r>
        <w:rPr>
          <w:color w:val="231F20"/>
        </w:rPr>
        <w:t>más</w:t>
      </w:r>
      <w:r>
        <w:rPr>
          <w:color w:val="231F20"/>
          <w:spacing w:val="-3"/>
        </w:rPr>
        <w:t> </w:t>
      </w:r>
      <w:r>
        <w:rPr>
          <w:color w:val="231F20"/>
        </w:rPr>
        <w:t>bien</w:t>
      </w:r>
      <w:r>
        <w:rPr>
          <w:color w:val="231F20"/>
          <w:spacing w:val="-3"/>
        </w:rPr>
        <w:t> </w:t>
      </w:r>
      <w:r>
        <w:rPr>
          <w:color w:val="231F20"/>
        </w:rPr>
        <w:t>depende</w:t>
      </w:r>
      <w:r>
        <w:rPr>
          <w:color w:val="231F20"/>
          <w:spacing w:val="-3"/>
        </w:rPr>
        <w:t> </w:t>
      </w:r>
      <w:r>
        <w:rPr>
          <w:color w:val="231F20"/>
        </w:rPr>
        <w:t>de</w:t>
      </w:r>
      <w:r>
        <w:rPr>
          <w:color w:val="231F20"/>
          <w:spacing w:val="-3"/>
        </w:rPr>
        <w:t> </w:t>
      </w:r>
      <w:r>
        <w:rPr>
          <w:color w:val="231F20"/>
        </w:rPr>
        <w:t>la</w:t>
      </w:r>
      <w:r>
        <w:rPr>
          <w:color w:val="231F20"/>
          <w:spacing w:val="-3"/>
        </w:rPr>
        <w:t> </w:t>
      </w:r>
      <w:r>
        <w:rPr>
          <w:color w:val="231F20"/>
        </w:rPr>
        <w:t>virulencia</w:t>
      </w:r>
      <w:r>
        <w:rPr>
          <w:color w:val="231F20"/>
          <w:spacing w:val="-3"/>
        </w:rPr>
        <w:t> </w:t>
      </w:r>
      <w:r>
        <w:rPr>
          <w:color w:val="231F20"/>
        </w:rPr>
        <w:t>de</w:t>
      </w:r>
      <w:r>
        <w:rPr>
          <w:color w:val="231F20"/>
          <w:spacing w:val="-3"/>
        </w:rPr>
        <w:t> </w:t>
      </w:r>
      <w:r>
        <w:rPr>
          <w:color w:val="231F20"/>
        </w:rPr>
        <w:t>la</w:t>
      </w:r>
      <w:r>
        <w:rPr>
          <w:color w:val="231F20"/>
          <w:spacing w:val="-3"/>
        </w:rPr>
        <w:t> </w:t>
      </w:r>
      <w:r>
        <w:rPr>
          <w:color w:val="231F20"/>
        </w:rPr>
        <w:t>cepa. En</w:t>
      </w:r>
      <w:r>
        <w:rPr>
          <w:color w:val="231F20"/>
          <w:spacing w:val="-6"/>
        </w:rPr>
        <w:t> </w:t>
      </w:r>
      <w:r>
        <w:rPr>
          <w:color w:val="231F20"/>
        </w:rPr>
        <w:t>cuanto</w:t>
      </w:r>
      <w:r>
        <w:rPr>
          <w:color w:val="231F20"/>
          <w:spacing w:val="-7"/>
        </w:rPr>
        <w:t> </w:t>
      </w:r>
      <w:r>
        <w:rPr>
          <w:color w:val="231F20"/>
        </w:rPr>
        <w:t>a</w:t>
      </w:r>
      <w:r>
        <w:rPr>
          <w:color w:val="231F20"/>
          <w:spacing w:val="-6"/>
        </w:rPr>
        <w:t> </w:t>
      </w:r>
      <w:r>
        <w:rPr>
          <w:color w:val="231F20"/>
        </w:rPr>
        <w:t>la</w:t>
      </w:r>
      <w:r>
        <w:rPr>
          <w:color w:val="231F20"/>
          <w:spacing w:val="-6"/>
        </w:rPr>
        <w:t> </w:t>
      </w:r>
      <w:r>
        <w:rPr>
          <w:color w:val="231F20"/>
        </w:rPr>
        <w:t>variable</w:t>
      </w:r>
      <w:r>
        <w:rPr>
          <w:color w:val="231F20"/>
          <w:spacing w:val="-6"/>
        </w:rPr>
        <w:t> </w:t>
      </w:r>
      <w:r>
        <w:rPr>
          <w:color w:val="231F20"/>
        </w:rPr>
        <w:t>PI,</w:t>
      </w:r>
      <w:r>
        <w:rPr>
          <w:color w:val="231F20"/>
          <w:spacing w:val="-6"/>
        </w:rPr>
        <w:t> </w:t>
      </w:r>
      <w:r>
        <w:rPr>
          <w:color w:val="231F20"/>
        </w:rPr>
        <w:t>se</w:t>
      </w:r>
      <w:r>
        <w:rPr>
          <w:color w:val="231F20"/>
          <w:spacing w:val="-6"/>
        </w:rPr>
        <w:t> </w:t>
      </w:r>
      <w:r>
        <w:rPr>
          <w:color w:val="231F20"/>
        </w:rPr>
        <w:t>observa</w:t>
      </w:r>
      <w:r>
        <w:rPr>
          <w:color w:val="231F20"/>
          <w:spacing w:val="-6"/>
        </w:rPr>
        <w:t> </w:t>
      </w:r>
      <w:r>
        <w:rPr>
          <w:color w:val="231F20"/>
        </w:rPr>
        <w:t>que</w:t>
      </w:r>
      <w:r>
        <w:rPr>
          <w:color w:val="231F20"/>
          <w:spacing w:val="-6"/>
        </w:rPr>
        <w:t> </w:t>
      </w:r>
      <w:r>
        <w:rPr>
          <w:color w:val="231F20"/>
        </w:rPr>
        <w:t>la</w:t>
      </w:r>
      <w:r>
        <w:rPr>
          <w:color w:val="231F20"/>
          <w:spacing w:val="-6"/>
        </w:rPr>
        <w:t> </w:t>
      </w:r>
      <w:r>
        <w:rPr>
          <w:color w:val="231F20"/>
        </w:rPr>
        <w:t>cepa</w:t>
      </w:r>
      <w:r>
        <w:rPr>
          <w:color w:val="231F20"/>
          <w:spacing w:val="-7"/>
        </w:rPr>
        <w:t> </w:t>
      </w:r>
      <w:r>
        <w:rPr>
          <w:color w:val="231F20"/>
        </w:rPr>
        <w:t>utilizada</w:t>
      </w:r>
      <w:r>
        <w:rPr>
          <w:color w:val="231F20"/>
          <w:spacing w:val="-6"/>
        </w:rPr>
        <w:t> </w:t>
      </w:r>
      <w:r>
        <w:rPr>
          <w:color w:val="231F20"/>
        </w:rPr>
        <w:t>tuvo</w:t>
      </w:r>
      <w:r>
        <w:rPr>
          <w:color w:val="231F20"/>
          <w:spacing w:val="-6"/>
        </w:rPr>
        <w:t> </w:t>
      </w:r>
      <w:r>
        <w:rPr>
          <w:color w:val="231F20"/>
        </w:rPr>
        <w:t>un</w:t>
      </w:r>
      <w:r>
        <w:rPr>
          <w:color w:val="231F20"/>
          <w:spacing w:val="-6"/>
        </w:rPr>
        <w:t> </w:t>
      </w:r>
      <w:r>
        <w:rPr>
          <w:color w:val="231F20"/>
        </w:rPr>
        <w:t>alto</w:t>
      </w:r>
      <w:r>
        <w:rPr>
          <w:color w:val="231F20"/>
          <w:spacing w:val="-7"/>
        </w:rPr>
        <w:t> </w:t>
      </w:r>
      <w:r>
        <w:rPr>
          <w:color w:val="231F20"/>
        </w:rPr>
        <w:t>potencial</w:t>
      </w:r>
      <w:r>
        <w:rPr>
          <w:color w:val="231F20"/>
          <w:spacing w:val="-6"/>
        </w:rPr>
        <w:t> </w:t>
      </w:r>
      <w:r>
        <w:rPr>
          <w:color w:val="231F20"/>
        </w:rPr>
        <w:t>infectivo,</w:t>
      </w:r>
      <w:r>
        <w:rPr>
          <w:color w:val="231F20"/>
          <w:spacing w:val="-7"/>
        </w:rPr>
        <w:t> </w:t>
      </w:r>
      <w:r>
        <w:rPr>
          <w:color w:val="231F20"/>
        </w:rPr>
        <w:t>dado</w:t>
      </w:r>
      <w:r>
        <w:rPr>
          <w:color w:val="231F20"/>
          <w:spacing w:val="-6"/>
        </w:rPr>
        <w:t> </w:t>
      </w:r>
      <w:r>
        <w:rPr>
          <w:color w:val="231F20"/>
        </w:rPr>
        <w:t>que todas</w:t>
      </w:r>
      <w:r>
        <w:rPr>
          <w:color w:val="231F20"/>
          <w:spacing w:val="-4"/>
        </w:rPr>
        <w:t> </w:t>
      </w:r>
      <w:r>
        <w:rPr>
          <w:color w:val="231F20"/>
        </w:rPr>
        <w:t>las</w:t>
      </w:r>
      <w:r>
        <w:rPr>
          <w:color w:val="231F20"/>
          <w:spacing w:val="-4"/>
        </w:rPr>
        <w:t> </w:t>
      </w:r>
      <w:r>
        <w:rPr>
          <w:color w:val="231F20"/>
        </w:rPr>
        <w:t>variedades</w:t>
      </w:r>
      <w:r>
        <w:rPr>
          <w:color w:val="231F20"/>
          <w:spacing w:val="-3"/>
        </w:rPr>
        <w:t> </w:t>
      </w:r>
      <w:r>
        <w:rPr>
          <w:color w:val="231F20"/>
        </w:rPr>
        <w:t>estudiadas</w:t>
      </w:r>
      <w:r>
        <w:rPr>
          <w:color w:val="231F20"/>
          <w:spacing w:val="-4"/>
        </w:rPr>
        <w:t> </w:t>
      </w:r>
      <w:r>
        <w:rPr>
          <w:color w:val="231F20"/>
        </w:rPr>
        <w:t>presentaron</w:t>
      </w:r>
      <w:r>
        <w:rPr>
          <w:color w:val="231F20"/>
          <w:spacing w:val="-3"/>
        </w:rPr>
        <w:t> </w:t>
      </w:r>
      <w:r>
        <w:rPr>
          <w:color w:val="231F20"/>
        </w:rPr>
        <w:t>algún</w:t>
      </w:r>
      <w:r>
        <w:rPr>
          <w:color w:val="231F20"/>
          <w:spacing w:val="-4"/>
        </w:rPr>
        <w:t> </w:t>
      </w:r>
      <w:r>
        <w:rPr>
          <w:color w:val="231F20"/>
        </w:rPr>
        <w:t>grado</w:t>
      </w:r>
      <w:r>
        <w:rPr>
          <w:color w:val="231F20"/>
          <w:spacing w:val="-3"/>
        </w:rPr>
        <w:t> </w:t>
      </w:r>
      <w:r>
        <w:rPr>
          <w:color w:val="231F20"/>
        </w:rPr>
        <w:t>de</w:t>
      </w:r>
      <w:r>
        <w:rPr>
          <w:color w:val="231F20"/>
          <w:spacing w:val="-3"/>
        </w:rPr>
        <w:t> </w:t>
      </w:r>
      <w:r>
        <w:rPr>
          <w:color w:val="231F20"/>
        </w:rPr>
        <w:t>infección.</w:t>
      </w:r>
      <w:r>
        <w:rPr>
          <w:color w:val="231F20"/>
          <w:spacing w:val="-4"/>
        </w:rPr>
        <w:t> </w:t>
      </w:r>
      <w:r>
        <w:rPr>
          <w:color w:val="231F20"/>
        </w:rPr>
        <w:t>Los</w:t>
      </w:r>
      <w:r>
        <w:rPr>
          <w:color w:val="231F20"/>
          <w:spacing w:val="-4"/>
        </w:rPr>
        <w:t> </w:t>
      </w:r>
      <w:r>
        <w:rPr>
          <w:color w:val="231F20"/>
        </w:rPr>
        <w:t>valores</w:t>
      </w:r>
      <w:r>
        <w:rPr>
          <w:color w:val="231F20"/>
          <w:spacing w:val="-3"/>
        </w:rPr>
        <w:t> </w:t>
      </w:r>
      <w:r>
        <w:rPr>
          <w:color w:val="231F20"/>
        </w:rPr>
        <w:t>de</w:t>
      </w:r>
      <w:r>
        <w:rPr>
          <w:color w:val="231F20"/>
          <w:spacing w:val="-3"/>
        </w:rPr>
        <w:t> </w:t>
      </w:r>
      <w:r>
        <w:rPr>
          <w:color w:val="231F20"/>
        </w:rPr>
        <w:t>PI</w:t>
      </w:r>
      <w:r>
        <w:rPr>
          <w:color w:val="231F20"/>
          <w:spacing w:val="-3"/>
        </w:rPr>
        <w:t> </w:t>
      </w:r>
      <w:r>
        <w:rPr>
          <w:color w:val="231F20"/>
        </w:rPr>
        <w:t>más</w:t>
      </w:r>
      <w:r>
        <w:rPr>
          <w:color w:val="231F20"/>
          <w:spacing w:val="-4"/>
        </w:rPr>
        <w:t> </w:t>
      </w:r>
      <w:r>
        <w:rPr>
          <w:color w:val="231F20"/>
        </w:rPr>
        <w:t>altos</w:t>
      </w:r>
      <w:r>
        <w:rPr>
          <w:color w:val="231F20"/>
          <w:spacing w:val="-4"/>
        </w:rPr>
        <w:t> </w:t>
      </w:r>
      <w:r>
        <w:rPr>
          <w:color w:val="231F20"/>
        </w:rPr>
        <w:t>se obtuvieron con los híbridos Cobra (85.83%), Oso (84.50%), A7573 (78.52%) y en los criollos R12 (85.00%), B7 (83.37%) y B3 (73.05%), el resto de los criollos presentaron un PI menor a 70%. En este sentido, </w:t>
      </w:r>
      <w:r>
        <w:rPr>
          <w:color w:val="231F20"/>
          <w:spacing w:val="-4"/>
        </w:rPr>
        <w:t>Valdez, </w:t>
      </w:r>
      <w:r>
        <w:rPr>
          <w:i/>
          <w:color w:val="231F20"/>
        </w:rPr>
        <w:t>et al. </w:t>
      </w:r>
      <w:r>
        <w:rPr>
          <w:color w:val="231F20"/>
        </w:rPr>
        <w:t>(2009) evaluaron la producción de huitlacoche en 15 variedades criollas, y reportaron valores de PI que variaron de 30.9 a 92.00%, datos que coinciden con los encontrados en el presente</w:t>
      </w:r>
      <w:r>
        <w:rPr>
          <w:color w:val="231F20"/>
          <w:spacing w:val="-1"/>
        </w:rPr>
        <w:t> </w:t>
      </w:r>
      <w:r>
        <w:rPr>
          <w:color w:val="231F20"/>
        </w:rPr>
        <w:t>trabajo.</w:t>
      </w:r>
    </w:p>
    <w:p>
      <w:pPr>
        <w:pStyle w:val="BodyText"/>
        <w:spacing w:before="5"/>
      </w:pPr>
    </w:p>
    <w:p>
      <w:pPr>
        <w:spacing w:line="249" w:lineRule="auto" w:before="0"/>
        <w:ind w:left="1268" w:right="1266" w:firstLine="0"/>
        <w:jc w:val="center"/>
        <w:rPr>
          <w:b/>
          <w:sz w:val="18"/>
        </w:rPr>
      </w:pPr>
      <w:r>
        <w:rPr>
          <w:b/>
          <w:color w:val="010202"/>
          <w:sz w:val="18"/>
        </w:rPr>
        <w:t>Figura 1. (A) IS: Índice de Severidad (Porcentaje promedio del elote cubierto por agallas de </w:t>
      </w:r>
      <w:r>
        <w:rPr>
          <w:b/>
          <w:i/>
          <w:color w:val="010202"/>
          <w:sz w:val="18"/>
        </w:rPr>
        <w:t>U. maydis</w:t>
      </w:r>
      <w:r>
        <w:rPr>
          <w:b/>
          <w:color w:val="010202"/>
          <w:sz w:val="18"/>
        </w:rPr>
        <w:t>) ± error estándar; y (B) PI: Porcentaje de Incidencia de </w:t>
      </w:r>
      <w:r>
        <w:rPr>
          <w:b/>
          <w:i/>
          <w:color w:val="010202"/>
          <w:sz w:val="18"/>
        </w:rPr>
        <w:t>U. maydis </w:t>
      </w:r>
      <w:r>
        <w:rPr>
          <w:b/>
          <w:color w:val="010202"/>
          <w:sz w:val="18"/>
        </w:rPr>
        <w:t>en las 17 variedades de maíz</w:t>
      </w:r>
    </w:p>
    <w:p>
      <w:pPr>
        <w:spacing w:before="35"/>
        <w:ind w:left="1489" w:right="1489" w:firstLine="0"/>
        <w:jc w:val="center"/>
        <w:rPr>
          <w:b/>
          <w:sz w:val="18"/>
        </w:rPr>
      </w:pPr>
      <w:r>
        <w:rPr>
          <w:b/>
          <w:color w:val="010202"/>
          <w:sz w:val="18"/>
        </w:rPr>
        <w:t>inoculadas artificialmente. Letras diferentes indican diferencia estadística</w:t>
      </w:r>
    </w:p>
    <w:p>
      <w:pPr>
        <w:pStyle w:val="BodyText"/>
        <w:spacing w:before="9"/>
        <w:rPr>
          <w:b/>
          <w:sz w:val="18"/>
        </w:rPr>
      </w:pPr>
      <w:r>
        <w:rPr/>
        <w:drawing>
          <wp:anchor distT="0" distB="0" distL="0" distR="0" allowOverlap="1" layoutInCell="1" locked="0" behindDoc="0" simplePos="0" relativeHeight="2920">
            <wp:simplePos x="0" y="0"/>
            <wp:positionH relativeFrom="page">
              <wp:posOffset>950747</wp:posOffset>
            </wp:positionH>
            <wp:positionV relativeFrom="paragraph">
              <wp:posOffset>161958</wp:posOffset>
            </wp:positionV>
            <wp:extent cx="5018551" cy="1931670"/>
            <wp:effectExtent l="0" t="0" r="0" b="0"/>
            <wp:wrapTopAndBottom/>
            <wp:docPr id="81" name="image20.png" descr=""/>
            <wp:cNvGraphicFramePr>
              <a:graphicFrameLocks noChangeAspect="1"/>
            </wp:cNvGraphicFramePr>
            <a:graphic>
              <a:graphicData uri="http://schemas.openxmlformats.org/drawingml/2006/picture">
                <pic:pic>
                  <pic:nvPicPr>
                    <pic:cNvPr id="82" name="image20.png"/>
                    <pic:cNvPicPr/>
                  </pic:nvPicPr>
                  <pic:blipFill>
                    <a:blip r:embed="rId36" cstate="print"/>
                    <a:stretch>
                      <a:fillRect/>
                    </a:stretch>
                  </pic:blipFill>
                  <pic:spPr>
                    <a:xfrm>
                      <a:off x="0" y="0"/>
                      <a:ext cx="5018551" cy="1931670"/>
                    </a:xfrm>
                    <a:prstGeom prst="rect">
                      <a:avLst/>
                    </a:prstGeom>
                  </pic:spPr>
                </pic:pic>
              </a:graphicData>
            </a:graphic>
          </wp:anchor>
        </w:drawing>
      </w:r>
    </w:p>
    <w:p>
      <w:pPr>
        <w:pStyle w:val="BodyText"/>
        <w:spacing w:before="7"/>
        <w:rPr>
          <w:b/>
          <w:sz w:val="24"/>
        </w:rPr>
      </w:pPr>
    </w:p>
    <w:p>
      <w:pPr>
        <w:pStyle w:val="BodyText"/>
        <w:spacing w:line="247" w:lineRule="auto"/>
        <w:ind w:left="1270" w:right="1268"/>
        <w:jc w:val="both"/>
      </w:pPr>
      <w:r>
        <w:rPr>
          <w:color w:val="231F20"/>
        </w:rPr>
        <w:t>En cuanto a la producción de huitlacoche por mazorca infectada (Figura 2A) se obtuvieron diferen- cias estadísticas significativas entre las variedades estudiadas; los híbridos que presentaron mayor peso por mazorca infectada fueron el Oso (133.4 g), A7573 (127.20 g), 30T26 (105.09 g) y Cobra (101.31</w:t>
      </w:r>
      <w:r>
        <w:rPr>
          <w:color w:val="231F20"/>
          <w:spacing w:val="-9"/>
        </w:rPr>
        <w:t> </w:t>
      </w:r>
      <w:r>
        <w:rPr>
          <w:color w:val="231F20"/>
        </w:rPr>
        <w:t>g),</w:t>
      </w:r>
      <w:r>
        <w:rPr>
          <w:color w:val="231F20"/>
          <w:spacing w:val="-9"/>
        </w:rPr>
        <w:t> </w:t>
      </w:r>
      <w:r>
        <w:rPr>
          <w:color w:val="231F20"/>
        </w:rPr>
        <w:t>en</w:t>
      </w:r>
      <w:r>
        <w:rPr>
          <w:color w:val="231F20"/>
          <w:spacing w:val="-9"/>
        </w:rPr>
        <w:t> </w:t>
      </w:r>
      <w:r>
        <w:rPr>
          <w:color w:val="231F20"/>
        </w:rPr>
        <w:t>tanto</w:t>
      </w:r>
      <w:r>
        <w:rPr>
          <w:color w:val="231F20"/>
          <w:spacing w:val="-9"/>
        </w:rPr>
        <w:t> </w:t>
      </w:r>
      <w:r>
        <w:rPr>
          <w:color w:val="231F20"/>
        </w:rPr>
        <w:t>que</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criollos,</w:t>
      </w:r>
      <w:r>
        <w:rPr>
          <w:color w:val="231F20"/>
          <w:spacing w:val="-9"/>
        </w:rPr>
        <w:t> </w:t>
      </w:r>
      <w:r>
        <w:rPr>
          <w:color w:val="231F20"/>
        </w:rPr>
        <w:t>los</w:t>
      </w:r>
      <w:r>
        <w:rPr>
          <w:color w:val="231F20"/>
          <w:spacing w:val="-9"/>
        </w:rPr>
        <w:t> </w:t>
      </w:r>
      <w:r>
        <w:rPr>
          <w:color w:val="231F20"/>
        </w:rPr>
        <w:t>mejores</w:t>
      </w:r>
      <w:r>
        <w:rPr>
          <w:color w:val="231F20"/>
          <w:spacing w:val="-9"/>
        </w:rPr>
        <w:t> </w:t>
      </w:r>
      <w:r>
        <w:rPr>
          <w:color w:val="231F20"/>
        </w:rPr>
        <w:t>fueron</w:t>
      </w:r>
      <w:r>
        <w:rPr>
          <w:color w:val="231F20"/>
          <w:spacing w:val="-9"/>
        </w:rPr>
        <w:t> </w:t>
      </w:r>
      <w:r>
        <w:rPr>
          <w:color w:val="231F20"/>
        </w:rPr>
        <w:t>el</w:t>
      </w:r>
      <w:r>
        <w:rPr>
          <w:color w:val="231F20"/>
          <w:spacing w:val="-9"/>
        </w:rPr>
        <w:t> </w:t>
      </w:r>
      <w:r>
        <w:rPr>
          <w:color w:val="231F20"/>
        </w:rPr>
        <w:t>B6,</w:t>
      </w:r>
      <w:r>
        <w:rPr>
          <w:color w:val="231F20"/>
          <w:spacing w:val="-9"/>
        </w:rPr>
        <w:t> </w:t>
      </w:r>
      <w:r>
        <w:rPr>
          <w:color w:val="231F20"/>
        </w:rPr>
        <w:t>B3,</w:t>
      </w:r>
      <w:r>
        <w:rPr>
          <w:color w:val="231F20"/>
          <w:spacing w:val="-9"/>
        </w:rPr>
        <w:t> </w:t>
      </w:r>
      <w:r>
        <w:rPr>
          <w:color w:val="231F20"/>
        </w:rPr>
        <w:t>R13</w:t>
      </w:r>
      <w:r>
        <w:rPr>
          <w:color w:val="231F20"/>
          <w:spacing w:val="-9"/>
        </w:rPr>
        <w:t> </w:t>
      </w:r>
      <w:r>
        <w:rPr>
          <w:color w:val="231F20"/>
        </w:rPr>
        <w:t>y</w:t>
      </w:r>
      <w:r>
        <w:rPr>
          <w:color w:val="231F20"/>
          <w:spacing w:val="-9"/>
        </w:rPr>
        <w:t> </w:t>
      </w:r>
      <w:r>
        <w:rPr>
          <w:color w:val="231F20"/>
        </w:rPr>
        <w:t>N9</w:t>
      </w:r>
      <w:r>
        <w:rPr>
          <w:color w:val="231F20"/>
          <w:spacing w:val="-9"/>
        </w:rPr>
        <w:t> </w:t>
      </w:r>
      <w:r>
        <w:rPr>
          <w:color w:val="231F20"/>
        </w:rPr>
        <w:t>(101.13,</w:t>
      </w:r>
      <w:r>
        <w:rPr>
          <w:color w:val="231F20"/>
          <w:spacing w:val="-9"/>
        </w:rPr>
        <w:t> </w:t>
      </w:r>
      <w:r>
        <w:rPr>
          <w:color w:val="231F20"/>
        </w:rPr>
        <w:t>94.46,</w:t>
      </w:r>
      <w:r>
        <w:rPr>
          <w:color w:val="231F20"/>
          <w:spacing w:val="-9"/>
        </w:rPr>
        <w:t> </w:t>
      </w:r>
      <w:r>
        <w:rPr>
          <w:color w:val="231F20"/>
        </w:rPr>
        <w:t>89.82</w:t>
      </w:r>
    </w:p>
    <w:p>
      <w:pPr>
        <w:pStyle w:val="BodyText"/>
        <w:spacing w:before="1"/>
        <w:ind w:left="1270"/>
        <w:jc w:val="both"/>
      </w:pPr>
      <w:r>
        <w:rPr>
          <w:color w:val="231F20"/>
        </w:rPr>
        <w:t>86.84 g, respectivamente). Respecto a la variable rendimiento (Figura 2B) se encontraron diferencias</w:t>
      </w:r>
    </w:p>
    <w:p>
      <w:pPr>
        <w:spacing w:after="0"/>
        <w:jc w:val="both"/>
        <w:sectPr>
          <w:pgSz w:w="10920" w:h="13080"/>
          <w:pgMar w:header="0" w:footer="1025" w:top="420" w:bottom="1220" w:left="0" w:right="0"/>
        </w:sectPr>
      </w:pPr>
    </w:p>
    <w:p>
      <w:pPr>
        <w:pStyle w:val="BodyText"/>
        <w:rPr>
          <w:sz w:val="20"/>
        </w:rPr>
      </w:pPr>
    </w:p>
    <w:p>
      <w:pPr>
        <w:pStyle w:val="BodyText"/>
        <w:rPr>
          <w:sz w:val="20"/>
        </w:rPr>
      </w:pPr>
    </w:p>
    <w:p>
      <w:pPr>
        <w:pStyle w:val="BodyText"/>
        <w:rPr>
          <w:sz w:val="23"/>
        </w:rPr>
      </w:pPr>
    </w:p>
    <w:p>
      <w:pPr>
        <w:pStyle w:val="BodyText"/>
        <w:spacing w:line="247" w:lineRule="auto" w:before="73"/>
        <w:ind w:left="1270" w:right="1267"/>
        <w:jc w:val="both"/>
      </w:pPr>
      <w:r>
        <w:rPr>
          <w:color w:val="231F20"/>
        </w:rPr>
        <w:t>estadísticas</w:t>
      </w:r>
      <w:r>
        <w:rPr>
          <w:color w:val="231F20"/>
          <w:spacing w:val="-4"/>
        </w:rPr>
        <w:t> </w:t>
      </w:r>
      <w:r>
        <w:rPr>
          <w:color w:val="231F20"/>
        </w:rPr>
        <w:t>significativas</w:t>
      </w:r>
      <w:r>
        <w:rPr>
          <w:color w:val="231F20"/>
          <w:spacing w:val="-4"/>
        </w:rPr>
        <w:t> </w:t>
      </w:r>
      <w:r>
        <w:rPr>
          <w:color w:val="231F20"/>
        </w:rPr>
        <w:t>entre</w:t>
      </w:r>
      <w:r>
        <w:rPr>
          <w:color w:val="231F20"/>
          <w:spacing w:val="-4"/>
        </w:rPr>
        <w:t> </w:t>
      </w:r>
      <w:r>
        <w:rPr>
          <w:color w:val="231F20"/>
        </w:rPr>
        <w:t>los</w:t>
      </w:r>
      <w:r>
        <w:rPr>
          <w:color w:val="231F20"/>
          <w:spacing w:val="-4"/>
        </w:rPr>
        <w:t> </w:t>
      </w:r>
      <w:r>
        <w:rPr>
          <w:color w:val="231F20"/>
        </w:rPr>
        <w:t>maíces</w:t>
      </w:r>
      <w:r>
        <w:rPr>
          <w:color w:val="231F20"/>
          <w:spacing w:val="-4"/>
        </w:rPr>
        <w:t> </w:t>
      </w:r>
      <w:r>
        <w:rPr>
          <w:color w:val="231F20"/>
        </w:rPr>
        <w:t>híbridos</w:t>
      </w:r>
      <w:r>
        <w:rPr>
          <w:color w:val="231F20"/>
          <w:spacing w:val="-4"/>
        </w:rPr>
        <w:t> </w:t>
      </w:r>
      <w:r>
        <w:rPr>
          <w:color w:val="231F20"/>
        </w:rPr>
        <w:t>y</w:t>
      </w:r>
      <w:r>
        <w:rPr>
          <w:color w:val="231F20"/>
          <w:spacing w:val="-4"/>
        </w:rPr>
        <w:t> </w:t>
      </w:r>
      <w:r>
        <w:rPr>
          <w:color w:val="231F20"/>
        </w:rPr>
        <w:t>las</w:t>
      </w:r>
      <w:r>
        <w:rPr>
          <w:color w:val="231F20"/>
          <w:spacing w:val="-4"/>
        </w:rPr>
        <w:t> </w:t>
      </w:r>
      <w:r>
        <w:rPr>
          <w:color w:val="231F20"/>
        </w:rPr>
        <w:t>variedades</w:t>
      </w:r>
      <w:r>
        <w:rPr>
          <w:color w:val="231F20"/>
          <w:spacing w:val="-4"/>
        </w:rPr>
        <w:t> </w:t>
      </w:r>
      <w:r>
        <w:rPr>
          <w:color w:val="231F20"/>
        </w:rPr>
        <w:t>criollas.</w:t>
      </w:r>
      <w:r>
        <w:rPr>
          <w:color w:val="231F20"/>
          <w:spacing w:val="-4"/>
        </w:rPr>
        <w:t> </w:t>
      </w:r>
      <w:r>
        <w:rPr>
          <w:color w:val="231F20"/>
        </w:rPr>
        <w:t>Dentro</w:t>
      </w:r>
      <w:r>
        <w:rPr>
          <w:color w:val="231F20"/>
          <w:spacing w:val="-4"/>
        </w:rPr>
        <w:t> </w:t>
      </w:r>
      <w:r>
        <w:rPr>
          <w:color w:val="231F20"/>
        </w:rPr>
        <w:t>del</w:t>
      </w:r>
      <w:r>
        <w:rPr>
          <w:color w:val="231F20"/>
          <w:spacing w:val="-4"/>
        </w:rPr>
        <w:t> </w:t>
      </w:r>
      <w:r>
        <w:rPr>
          <w:color w:val="231F20"/>
        </w:rPr>
        <w:t>grupo</w:t>
      </w:r>
      <w:r>
        <w:rPr>
          <w:color w:val="231F20"/>
          <w:spacing w:val="-4"/>
        </w:rPr>
        <w:t> </w:t>
      </w:r>
      <w:r>
        <w:rPr>
          <w:color w:val="231F20"/>
        </w:rPr>
        <w:t>de</w:t>
      </w:r>
      <w:r>
        <w:rPr>
          <w:color w:val="231F20"/>
          <w:spacing w:val="-4"/>
        </w:rPr>
        <w:t> </w:t>
      </w:r>
      <w:r>
        <w:rPr>
          <w:color w:val="231F20"/>
        </w:rPr>
        <w:t>los híbridos, el Oso resultó ser el que obtuvo el mayor rendimiento de huitlacoche desgranado (14.102 t•ha-1) seguido del Cobra y A7573 (11.946 y 11.841 t•ha-1, respectivamente); mientras que de los materiales</w:t>
      </w:r>
      <w:r>
        <w:rPr>
          <w:color w:val="231F20"/>
          <w:spacing w:val="-4"/>
        </w:rPr>
        <w:t> </w:t>
      </w:r>
      <w:r>
        <w:rPr>
          <w:color w:val="231F20"/>
        </w:rPr>
        <w:t>criollos</w:t>
      </w:r>
      <w:r>
        <w:rPr>
          <w:color w:val="231F20"/>
          <w:spacing w:val="-4"/>
        </w:rPr>
        <w:t> </w:t>
      </w:r>
      <w:r>
        <w:rPr>
          <w:color w:val="231F20"/>
        </w:rPr>
        <w:t>los</w:t>
      </w:r>
      <w:r>
        <w:rPr>
          <w:color w:val="231F20"/>
          <w:spacing w:val="-4"/>
        </w:rPr>
        <w:t> </w:t>
      </w:r>
      <w:r>
        <w:rPr>
          <w:color w:val="231F20"/>
        </w:rPr>
        <w:t>más</w:t>
      </w:r>
      <w:r>
        <w:rPr>
          <w:color w:val="231F20"/>
          <w:spacing w:val="-4"/>
        </w:rPr>
        <w:t> </w:t>
      </w:r>
      <w:r>
        <w:rPr>
          <w:color w:val="231F20"/>
        </w:rPr>
        <w:t>productivos</w:t>
      </w:r>
      <w:r>
        <w:rPr>
          <w:color w:val="231F20"/>
          <w:spacing w:val="-4"/>
        </w:rPr>
        <w:t> </w:t>
      </w:r>
      <w:r>
        <w:rPr>
          <w:color w:val="231F20"/>
        </w:rPr>
        <w:t>fueron</w:t>
      </w:r>
      <w:r>
        <w:rPr>
          <w:color w:val="231F20"/>
          <w:spacing w:val="-4"/>
        </w:rPr>
        <w:t> </w:t>
      </w:r>
      <w:r>
        <w:rPr>
          <w:color w:val="231F20"/>
        </w:rPr>
        <w:t>los</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raza</w:t>
      </w:r>
      <w:r>
        <w:rPr>
          <w:color w:val="231F20"/>
          <w:spacing w:val="-16"/>
        </w:rPr>
        <w:t> </w:t>
      </w:r>
      <w:r>
        <w:rPr>
          <w:color w:val="231F20"/>
        </w:rPr>
        <w:t>Ancho</w:t>
      </w:r>
      <w:r>
        <w:rPr>
          <w:color w:val="231F20"/>
          <w:spacing w:val="-4"/>
        </w:rPr>
        <w:t> </w:t>
      </w:r>
      <w:r>
        <w:rPr>
          <w:color w:val="231F20"/>
        </w:rPr>
        <w:t>(B6</w:t>
      </w:r>
      <w:r>
        <w:rPr>
          <w:color w:val="231F20"/>
          <w:spacing w:val="-4"/>
        </w:rPr>
        <w:t> </w:t>
      </w:r>
      <w:r>
        <w:rPr>
          <w:color w:val="231F20"/>
        </w:rPr>
        <w:t>y</w:t>
      </w:r>
      <w:r>
        <w:rPr>
          <w:color w:val="231F20"/>
          <w:spacing w:val="-4"/>
        </w:rPr>
        <w:t> </w:t>
      </w:r>
      <w:r>
        <w:rPr>
          <w:color w:val="231F20"/>
        </w:rPr>
        <w:t>B3),</w:t>
      </w:r>
      <w:r>
        <w:rPr>
          <w:color w:val="231F20"/>
          <w:spacing w:val="-4"/>
        </w:rPr>
        <w:t> </w:t>
      </w:r>
      <w:r>
        <w:rPr>
          <w:color w:val="231F20"/>
        </w:rPr>
        <w:t>con</w:t>
      </w:r>
      <w:r>
        <w:rPr>
          <w:color w:val="231F20"/>
          <w:spacing w:val="-4"/>
        </w:rPr>
        <w:t> </w:t>
      </w:r>
      <w:r>
        <w:rPr>
          <w:color w:val="231F20"/>
        </w:rPr>
        <w:t>rendimientos</w:t>
      </w:r>
      <w:r>
        <w:rPr>
          <w:color w:val="231F20"/>
          <w:spacing w:val="-4"/>
        </w:rPr>
        <w:t> </w:t>
      </w:r>
      <w:r>
        <w:rPr>
          <w:color w:val="231F20"/>
        </w:rPr>
        <w:t>que superaron</w:t>
      </w:r>
      <w:r>
        <w:rPr>
          <w:color w:val="231F20"/>
          <w:spacing w:val="-3"/>
        </w:rPr>
        <w:t> </w:t>
      </w:r>
      <w:r>
        <w:rPr>
          <w:color w:val="231F20"/>
        </w:rPr>
        <w:t>las</w:t>
      </w:r>
      <w:r>
        <w:rPr>
          <w:color w:val="231F20"/>
          <w:spacing w:val="-3"/>
        </w:rPr>
        <w:t> </w:t>
      </w:r>
      <w:r>
        <w:rPr>
          <w:color w:val="231F20"/>
        </w:rPr>
        <w:t>6.000</w:t>
      </w:r>
      <w:r>
        <w:rPr>
          <w:color w:val="231F20"/>
          <w:spacing w:val="-3"/>
        </w:rPr>
        <w:t> </w:t>
      </w:r>
      <w:r>
        <w:rPr>
          <w:color w:val="231F20"/>
        </w:rPr>
        <w:t>t•ha-1,</w:t>
      </w:r>
      <w:r>
        <w:rPr>
          <w:color w:val="231F20"/>
          <w:spacing w:val="-3"/>
        </w:rPr>
        <w:t> </w:t>
      </w:r>
      <w:r>
        <w:rPr>
          <w:color w:val="231F20"/>
        </w:rPr>
        <w:t>siendo</w:t>
      </w:r>
      <w:r>
        <w:rPr>
          <w:color w:val="231F20"/>
          <w:spacing w:val="-3"/>
        </w:rPr>
        <w:t> </w:t>
      </w:r>
      <w:r>
        <w:rPr>
          <w:color w:val="231F20"/>
        </w:rPr>
        <w:t>el</w:t>
      </w:r>
      <w:r>
        <w:rPr>
          <w:color w:val="231F20"/>
          <w:spacing w:val="-3"/>
        </w:rPr>
        <w:t> </w:t>
      </w:r>
      <w:r>
        <w:rPr>
          <w:color w:val="231F20"/>
        </w:rPr>
        <w:t>criollo</w:t>
      </w:r>
      <w:r>
        <w:rPr>
          <w:color w:val="231F20"/>
          <w:spacing w:val="-3"/>
        </w:rPr>
        <w:t> </w:t>
      </w:r>
      <w:r>
        <w:rPr>
          <w:color w:val="231F20"/>
        </w:rPr>
        <w:t>B5</w:t>
      </w:r>
      <w:r>
        <w:rPr>
          <w:color w:val="231F20"/>
          <w:spacing w:val="-3"/>
        </w:rPr>
        <w:t> </w:t>
      </w:r>
      <w:r>
        <w:rPr>
          <w:color w:val="231F20"/>
        </w:rPr>
        <w:t>de</w:t>
      </w:r>
      <w:r>
        <w:rPr>
          <w:color w:val="231F20"/>
          <w:spacing w:val="-3"/>
        </w:rPr>
        <w:t> </w:t>
      </w:r>
      <w:r>
        <w:rPr>
          <w:color w:val="231F20"/>
        </w:rPr>
        <w:t>la</w:t>
      </w:r>
      <w:r>
        <w:rPr>
          <w:color w:val="231F20"/>
          <w:spacing w:val="-3"/>
        </w:rPr>
        <w:t> </w:t>
      </w:r>
      <w:r>
        <w:rPr>
          <w:color w:val="231F20"/>
        </w:rPr>
        <w:t>raza</w:t>
      </w:r>
      <w:r>
        <w:rPr>
          <w:color w:val="231F20"/>
          <w:spacing w:val="-3"/>
        </w:rPr>
        <w:t> </w:t>
      </w:r>
      <w:r>
        <w:rPr>
          <w:color w:val="231F20"/>
        </w:rPr>
        <w:t>Cacahuacintle</w:t>
      </w:r>
      <w:r>
        <w:rPr>
          <w:color w:val="231F20"/>
          <w:spacing w:val="-3"/>
        </w:rPr>
        <w:t> </w:t>
      </w:r>
      <w:r>
        <w:rPr>
          <w:color w:val="231F20"/>
        </w:rPr>
        <w:t>el</w:t>
      </w:r>
      <w:r>
        <w:rPr>
          <w:color w:val="231F20"/>
          <w:spacing w:val="-3"/>
        </w:rPr>
        <w:t> </w:t>
      </w:r>
      <w:r>
        <w:rPr>
          <w:color w:val="231F20"/>
        </w:rPr>
        <w:t>menos</w:t>
      </w:r>
      <w:r>
        <w:rPr>
          <w:color w:val="231F20"/>
          <w:spacing w:val="-3"/>
        </w:rPr>
        <w:t> </w:t>
      </w:r>
      <w:r>
        <w:rPr>
          <w:color w:val="231F20"/>
        </w:rPr>
        <w:t>productivo</w:t>
      </w:r>
      <w:r>
        <w:rPr>
          <w:color w:val="231F20"/>
          <w:spacing w:val="-3"/>
        </w:rPr>
        <w:t> </w:t>
      </w:r>
      <w:r>
        <w:rPr>
          <w:color w:val="231F20"/>
        </w:rPr>
        <w:t>(2.247 t•ha-1). Al respecto, Martínez et al. (2000) reportan que en ensayos experimentales y comerciales a cielo abierto, los mejores rendimientos se obtienen cuando se inocula la mazorca en etapa de jilote, alcanzándose hasta 12 t•ha-1 de hongo fresco, condiciones que se ajustan a las del presente trabajo, cuyos rendimientos son superados por el híbrido Oso, el cual se evaluó en este trabajo.</w:t>
      </w:r>
    </w:p>
    <w:p>
      <w:pPr>
        <w:pStyle w:val="BodyText"/>
        <w:spacing w:before="4"/>
      </w:pPr>
    </w:p>
    <w:p>
      <w:pPr>
        <w:spacing w:line="249" w:lineRule="auto" w:before="1"/>
        <w:ind w:left="1508" w:right="1176" w:hanging="219"/>
        <w:jc w:val="left"/>
        <w:rPr>
          <w:b/>
          <w:sz w:val="18"/>
        </w:rPr>
      </w:pPr>
      <w:r>
        <w:rPr>
          <w:b/>
          <w:color w:val="010202"/>
          <w:sz w:val="18"/>
        </w:rPr>
        <w:t>Figura 2. (A) GMI: Gramos por Mazorca Infectada y (B) Rendimiento de huitlacoche en t•ha de las 17 varie- dades de maíz inoculadas artificialmente con U. maydis. Letras diferentes indican diferencia estadística</w:t>
      </w:r>
    </w:p>
    <w:p>
      <w:pPr>
        <w:pStyle w:val="BodyText"/>
        <w:spacing w:before="1"/>
        <w:rPr>
          <w:b/>
          <w:sz w:val="18"/>
        </w:rPr>
      </w:pPr>
      <w:r>
        <w:rPr/>
        <w:drawing>
          <wp:anchor distT="0" distB="0" distL="0" distR="0" allowOverlap="1" layoutInCell="1" locked="0" behindDoc="0" simplePos="0" relativeHeight="2944">
            <wp:simplePos x="0" y="0"/>
            <wp:positionH relativeFrom="page">
              <wp:posOffset>1043399</wp:posOffset>
            </wp:positionH>
            <wp:positionV relativeFrom="paragraph">
              <wp:posOffset>156904</wp:posOffset>
            </wp:positionV>
            <wp:extent cx="4821343" cy="1673542"/>
            <wp:effectExtent l="0" t="0" r="0" b="0"/>
            <wp:wrapTopAndBottom/>
            <wp:docPr id="83" name="image21.png" descr=""/>
            <wp:cNvGraphicFramePr>
              <a:graphicFrameLocks noChangeAspect="1"/>
            </wp:cNvGraphicFramePr>
            <a:graphic>
              <a:graphicData uri="http://schemas.openxmlformats.org/drawingml/2006/picture">
                <pic:pic>
                  <pic:nvPicPr>
                    <pic:cNvPr id="84" name="image21.png"/>
                    <pic:cNvPicPr/>
                  </pic:nvPicPr>
                  <pic:blipFill>
                    <a:blip r:embed="rId37" cstate="print"/>
                    <a:stretch>
                      <a:fillRect/>
                    </a:stretch>
                  </pic:blipFill>
                  <pic:spPr>
                    <a:xfrm>
                      <a:off x="0" y="0"/>
                      <a:ext cx="4821343" cy="1673542"/>
                    </a:xfrm>
                    <a:prstGeom prst="rect">
                      <a:avLst/>
                    </a:prstGeom>
                  </pic:spPr>
                </pic:pic>
              </a:graphicData>
            </a:graphic>
          </wp:anchor>
        </w:drawing>
      </w:r>
    </w:p>
    <w:p>
      <w:pPr>
        <w:pStyle w:val="BodyText"/>
        <w:spacing w:before="5"/>
        <w:rPr>
          <w:b/>
        </w:rPr>
      </w:pPr>
    </w:p>
    <w:p>
      <w:pPr>
        <w:pStyle w:val="BodyText"/>
        <w:spacing w:line="247" w:lineRule="auto"/>
        <w:ind w:left="1270" w:right="1267"/>
        <w:jc w:val="both"/>
      </w:pPr>
      <w:r>
        <w:rPr>
          <w:color w:val="231F20"/>
        </w:rPr>
        <w:t>En</w:t>
      </w:r>
      <w:r>
        <w:rPr>
          <w:color w:val="231F20"/>
          <w:spacing w:val="-4"/>
        </w:rPr>
        <w:t> </w:t>
      </w:r>
      <w:r>
        <w:rPr>
          <w:color w:val="231F20"/>
        </w:rPr>
        <w:t>relación</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temperatura</w:t>
      </w:r>
      <w:r>
        <w:rPr>
          <w:color w:val="231F20"/>
          <w:spacing w:val="-4"/>
        </w:rPr>
        <w:t> </w:t>
      </w:r>
      <w:r>
        <w:rPr>
          <w:color w:val="231F20"/>
        </w:rPr>
        <w:t>(T)</w:t>
      </w:r>
      <w:r>
        <w:rPr>
          <w:color w:val="231F20"/>
          <w:spacing w:val="-4"/>
        </w:rPr>
        <w:t> </w:t>
      </w:r>
      <w:r>
        <w:rPr>
          <w:color w:val="231F20"/>
        </w:rPr>
        <w:t>y</w:t>
      </w:r>
      <w:r>
        <w:rPr>
          <w:color w:val="231F20"/>
          <w:spacing w:val="-4"/>
        </w:rPr>
        <w:t> </w:t>
      </w:r>
      <w:r>
        <w:rPr>
          <w:color w:val="231F20"/>
        </w:rPr>
        <w:t>humedad</w:t>
      </w:r>
      <w:r>
        <w:rPr>
          <w:color w:val="231F20"/>
          <w:spacing w:val="-4"/>
        </w:rPr>
        <w:t> </w:t>
      </w:r>
      <w:r>
        <w:rPr>
          <w:color w:val="231F20"/>
        </w:rPr>
        <w:t>relativa</w:t>
      </w:r>
      <w:r>
        <w:rPr>
          <w:color w:val="231F20"/>
          <w:spacing w:val="-4"/>
        </w:rPr>
        <w:t> </w:t>
      </w:r>
      <w:r>
        <w:rPr>
          <w:color w:val="231F20"/>
        </w:rPr>
        <w:t>(Hr)</w:t>
      </w:r>
      <w:r>
        <w:rPr>
          <w:color w:val="231F20"/>
          <w:spacing w:val="-4"/>
        </w:rPr>
        <w:t> </w:t>
      </w:r>
      <w:r>
        <w:rPr>
          <w:color w:val="231F20"/>
        </w:rPr>
        <w:t>diarias</w:t>
      </w:r>
      <w:r>
        <w:rPr>
          <w:color w:val="231F20"/>
          <w:spacing w:val="-4"/>
        </w:rPr>
        <w:t> </w:t>
      </w:r>
      <w:r>
        <w:rPr>
          <w:color w:val="231F20"/>
        </w:rPr>
        <w:t>registradas</w:t>
      </w:r>
      <w:r>
        <w:rPr>
          <w:color w:val="231F20"/>
          <w:spacing w:val="-4"/>
        </w:rPr>
        <w:t> </w:t>
      </w:r>
      <w:r>
        <w:rPr>
          <w:color w:val="231F20"/>
        </w:rPr>
        <w:t>tanto</w:t>
      </w:r>
      <w:r>
        <w:rPr>
          <w:color w:val="231F20"/>
          <w:spacing w:val="-4"/>
        </w:rPr>
        <w:t> </w:t>
      </w:r>
      <w:r>
        <w:rPr>
          <w:color w:val="231F20"/>
        </w:rPr>
        <w:t>del</w:t>
      </w:r>
      <w:r>
        <w:rPr>
          <w:color w:val="231F20"/>
          <w:spacing w:val="-4"/>
        </w:rPr>
        <w:t> </w:t>
      </w:r>
      <w:r>
        <w:rPr>
          <w:color w:val="231F20"/>
        </w:rPr>
        <w:t>día</w:t>
      </w:r>
      <w:r>
        <w:rPr>
          <w:color w:val="231F20"/>
          <w:spacing w:val="-4"/>
        </w:rPr>
        <w:t> </w:t>
      </w:r>
      <w:r>
        <w:rPr>
          <w:color w:val="231F20"/>
        </w:rPr>
        <w:t>de</w:t>
      </w:r>
      <w:r>
        <w:rPr>
          <w:color w:val="231F20"/>
          <w:spacing w:val="-4"/>
        </w:rPr>
        <w:t> </w:t>
      </w:r>
      <w:r>
        <w:rPr>
          <w:color w:val="231F20"/>
        </w:rPr>
        <w:t>inocula- ción (DI) como durante todo el periodo del desarrollo del hongo (PIn), se encontró que afectaron de manera diferente la producción de huitlacoche en las variedades estudiadas, a excepción de los</w:t>
      </w:r>
      <w:r>
        <w:rPr>
          <w:color w:val="231F20"/>
          <w:spacing w:val="-18"/>
        </w:rPr>
        <w:t> </w:t>
      </w:r>
      <w:r>
        <w:rPr>
          <w:color w:val="231F20"/>
        </w:rPr>
        <w:t>maí- ces B3, B4, N11, R12, 30T26 y Cobra, cuya producción no dependió del comportamiento de estos factores ambientales, como lo demuestra el análisis de correlación lineal (Cuadro 2). Así mismo, el aumento en la temperatura del día de la inoculación (TDI) estimuló el desarrollo del huitlacoche en las</w:t>
      </w:r>
      <w:r>
        <w:rPr>
          <w:color w:val="231F20"/>
          <w:spacing w:val="-2"/>
        </w:rPr>
        <w:t> </w:t>
      </w:r>
      <w:r>
        <w:rPr>
          <w:color w:val="231F20"/>
        </w:rPr>
        <w:t>variedades</w:t>
      </w:r>
      <w:r>
        <w:rPr>
          <w:color w:val="231F20"/>
          <w:spacing w:val="-2"/>
        </w:rPr>
        <w:t> </w:t>
      </w:r>
      <w:r>
        <w:rPr>
          <w:color w:val="231F20"/>
        </w:rPr>
        <w:t>B5,</w:t>
      </w:r>
      <w:r>
        <w:rPr>
          <w:color w:val="231F20"/>
          <w:spacing w:val="-2"/>
        </w:rPr>
        <w:t> </w:t>
      </w:r>
      <w:r>
        <w:rPr>
          <w:color w:val="231F20"/>
        </w:rPr>
        <w:t>N8,</w:t>
      </w:r>
      <w:r>
        <w:rPr>
          <w:color w:val="231F20"/>
          <w:spacing w:val="-2"/>
        </w:rPr>
        <w:t> </w:t>
      </w:r>
      <w:r>
        <w:rPr>
          <w:color w:val="231F20"/>
        </w:rPr>
        <w:t>N9,</w:t>
      </w:r>
      <w:r>
        <w:rPr>
          <w:color w:val="231F20"/>
          <w:spacing w:val="-2"/>
        </w:rPr>
        <w:t> </w:t>
      </w:r>
      <w:r>
        <w:rPr>
          <w:color w:val="231F20"/>
        </w:rPr>
        <w:t>R13,</w:t>
      </w:r>
      <w:r>
        <w:rPr>
          <w:color w:val="231F20"/>
          <w:spacing w:val="-2"/>
        </w:rPr>
        <w:t> </w:t>
      </w:r>
      <w:r>
        <w:rPr>
          <w:color w:val="231F20"/>
        </w:rPr>
        <w:t>Oso</w:t>
      </w:r>
      <w:r>
        <w:rPr>
          <w:color w:val="231F20"/>
          <w:spacing w:val="-2"/>
        </w:rPr>
        <w:t> </w:t>
      </w:r>
      <w:r>
        <w:rPr>
          <w:color w:val="231F20"/>
        </w:rPr>
        <w:t>y</w:t>
      </w:r>
      <w:r>
        <w:rPr>
          <w:color w:val="231F20"/>
          <w:spacing w:val="-14"/>
        </w:rPr>
        <w:t> </w:t>
      </w:r>
      <w:r>
        <w:rPr>
          <w:color w:val="231F20"/>
        </w:rPr>
        <w:t>A7573,</w:t>
      </w:r>
      <w:r>
        <w:rPr>
          <w:color w:val="231F20"/>
          <w:spacing w:val="-2"/>
        </w:rPr>
        <w:t> </w:t>
      </w:r>
      <w:r>
        <w:rPr>
          <w:color w:val="231F20"/>
        </w:rPr>
        <w:t>pero</w:t>
      </w:r>
      <w:r>
        <w:rPr>
          <w:color w:val="231F20"/>
          <w:spacing w:val="-2"/>
        </w:rPr>
        <w:t> </w:t>
      </w:r>
      <w:r>
        <w:rPr>
          <w:color w:val="231F20"/>
        </w:rPr>
        <w:t>afectó</w:t>
      </w:r>
      <w:r>
        <w:rPr>
          <w:color w:val="231F20"/>
          <w:spacing w:val="-2"/>
        </w:rPr>
        <w:t> </w:t>
      </w:r>
      <w:r>
        <w:rPr>
          <w:color w:val="231F20"/>
        </w:rPr>
        <w:t>de</w:t>
      </w:r>
      <w:r>
        <w:rPr>
          <w:color w:val="231F20"/>
          <w:spacing w:val="-2"/>
        </w:rPr>
        <w:t> </w:t>
      </w:r>
      <w:r>
        <w:rPr>
          <w:color w:val="231F20"/>
        </w:rPr>
        <w:t>manera</w:t>
      </w:r>
      <w:r>
        <w:rPr>
          <w:color w:val="231F20"/>
          <w:spacing w:val="-2"/>
        </w:rPr>
        <w:t> </w:t>
      </w:r>
      <w:r>
        <w:rPr>
          <w:color w:val="231F20"/>
        </w:rPr>
        <w:t>negativa</w:t>
      </w:r>
      <w:r>
        <w:rPr>
          <w:color w:val="231F20"/>
          <w:spacing w:val="-2"/>
        </w:rPr>
        <w:t> </w:t>
      </w:r>
      <w:r>
        <w:rPr>
          <w:color w:val="231F20"/>
        </w:rPr>
        <w:t>el</w:t>
      </w:r>
      <w:r>
        <w:rPr>
          <w:color w:val="231F20"/>
          <w:spacing w:val="-2"/>
        </w:rPr>
        <w:t> </w:t>
      </w:r>
      <w:r>
        <w:rPr>
          <w:color w:val="231F20"/>
        </w:rPr>
        <w:t>rendimiento</w:t>
      </w:r>
      <w:r>
        <w:rPr>
          <w:color w:val="231F20"/>
          <w:spacing w:val="-2"/>
        </w:rPr>
        <w:t> </w:t>
      </w:r>
      <w:r>
        <w:rPr>
          <w:color w:val="231F20"/>
        </w:rPr>
        <w:t>en</w:t>
      </w:r>
      <w:r>
        <w:rPr>
          <w:color w:val="231F20"/>
          <w:spacing w:val="-2"/>
        </w:rPr>
        <w:t> </w:t>
      </w:r>
      <w:r>
        <w:rPr>
          <w:color w:val="231F20"/>
        </w:rPr>
        <w:t>las variedades</w:t>
      </w:r>
      <w:r>
        <w:rPr>
          <w:color w:val="231F20"/>
          <w:spacing w:val="-10"/>
        </w:rPr>
        <w:t> </w:t>
      </w:r>
      <w:r>
        <w:rPr>
          <w:color w:val="231F20"/>
        </w:rPr>
        <w:t>B6</w:t>
      </w:r>
      <w:r>
        <w:rPr>
          <w:color w:val="231F20"/>
          <w:spacing w:val="-10"/>
        </w:rPr>
        <w:t> </w:t>
      </w:r>
      <w:r>
        <w:rPr>
          <w:color w:val="231F20"/>
        </w:rPr>
        <w:t>y</w:t>
      </w:r>
      <w:r>
        <w:rPr>
          <w:color w:val="231F20"/>
          <w:spacing w:val="-10"/>
        </w:rPr>
        <w:t> </w:t>
      </w:r>
      <w:r>
        <w:rPr>
          <w:color w:val="231F20"/>
        </w:rPr>
        <w:t>B7.</w:t>
      </w:r>
      <w:r>
        <w:rPr>
          <w:color w:val="231F20"/>
          <w:spacing w:val="-10"/>
        </w:rPr>
        <w:t> </w:t>
      </w:r>
      <w:r>
        <w:rPr>
          <w:color w:val="231F20"/>
        </w:rPr>
        <w:t>El</w:t>
      </w:r>
      <w:r>
        <w:rPr>
          <w:color w:val="231F20"/>
          <w:spacing w:val="-10"/>
        </w:rPr>
        <w:t> </w:t>
      </w:r>
      <w:r>
        <w:rPr>
          <w:color w:val="231F20"/>
        </w:rPr>
        <w:t>híbrido</w:t>
      </w:r>
      <w:r>
        <w:rPr>
          <w:color w:val="231F20"/>
          <w:spacing w:val="-14"/>
        </w:rPr>
        <w:t> </w:t>
      </w:r>
      <w:r>
        <w:rPr>
          <w:color w:val="231F20"/>
        </w:rPr>
        <w:t>Tigre</w:t>
      </w:r>
      <w:r>
        <w:rPr>
          <w:color w:val="231F20"/>
          <w:spacing w:val="-10"/>
        </w:rPr>
        <w:t> </w:t>
      </w:r>
      <w:r>
        <w:rPr>
          <w:color w:val="231F20"/>
        </w:rPr>
        <w:t>mejoró</w:t>
      </w:r>
      <w:r>
        <w:rPr>
          <w:color w:val="231F20"/>
          <w:spacing w:val="-10"/>
        </w:rPr>
        <w:t> </w:t>
      </w:r>
      <w:r>
        <w:rPr>
          <w:color w:val="231F20"/>
        </w:rPr>
        <w:t>su</w:t>
      </w:r>
      <w:r>
        <w:rPr>
          <w:color w:val="231F20"/>
          <w:spacing w:val="-10"/>
        </w:rPr>
        <w:t> </w:t>
      </w:r>
      <w:r>
        <w:rPr>
          <w:color w:val="231F20"/>
        </w:rPr>
        <w:t>rendimiento</w:t>
      </w:r>
      <w:r>
        <w:rPr>
          <w:color w:val="231F20"/>
          <w:spacing w:val="-10"/>
        </w:rPr>
        <w:t> </w:t>
      </w:r>
      <w:r>
        <w:rPr>
          <w:color w:val="231F20"/>
        </w:rPr>
        <w:t>cuando</w:t>
      </w:r>
      <w:r>
        <w:rPr>
          <w:color w:val="231F20"/>
          <w:spacing w:val="-10"/>
        </w:rPr>
        <w:t> </w:t>
      </w:r>
      <w:r>
        <w:rPr>
          <w:color w:val="231F20"/>
        </w:rPr>
        <w:t>aumentó</w:t>
      </w:r>
      <w:r>
        <w:rPr>
          <w:color w:val="231F20"/>
          <w:spacing w:val="-10"/>
        </w:rPr>
        <w:t> </w:t>
      </w:r>
      <w:r>
        <w:rPr>
          <w:color w:val="231F20"/>
        </w:rPr>
        <w:t>la</w:t>
      </w:r>
      <w:r>
        <w:rPr>
          <w:color w:val="231F20"/>
          <w:spacing w:val="-10"/>
        </w:rPr>
        <w:t> </w:t>
      </w:r>
      <w:r>
        <w:rPr>
          <w:color w:val="231F20"/>
        </w:rPr>
        <w:t>humedad</w:t>
      </w:r>
      <w:r>
        <w:rPr>
          <w:color w:val="231F20"/>
          <w:spacing w:val="-10"/>
        </w:rPr>
        <w:t> </w:t>
      </w:r>
      <w:r>
        <w:rPr>
          <w:color w:val="231F20"/>
        </w:rPr>
        <w:t>relativa</w:t>
      </w:r>
      <w:r>
        <w:rPr>
          <w:color w:val="231F20"/>
          <w:spacing w:val="-10"/>
        </w:rPr>
        <w:t> </w:t>
      </w:r>
      <w:r>
        <w:rPr>
          <w:color w:val="231F20"/>
        </w:rPr>
        <w:t>del día de la inoculación (HrDI), en cambio las variedades B5, B7, N8, N9 y R13 respondieron mejor a humedades relativas bajas.</w:t>
      </w:r>
    </w:p>
    <w:p>
      <w:pPr>
        <w:pStyle w:val="BodyText"/>
        <w:spacing w:before="9"/>
      </w:pPr>
    </w:p>
    <w:p>
      <w:pPr>
        <w:pStyle w:val="BodyText"/>
        <w:spacing w:line="247" w:lineRule="auto" w:before="1"/>
        <w:ind w:left="1270" w:right="1268"/>
        <w:jc w:val="both"/>
      </w:pPr>
      <w:r>
        <w:rPr>
          <w:color w:val="231F20"/>
        </w:rPr>
        <w:t>Durante</w:t>
      </w:r>
      <w:r>
        <w:rPr>
          <w:color w:val="231F20"/>
          <w:spacing w:val="-5"/>
        </w:rPr>
        <w:t> </w:t>
      </w:r>
      <w:r>
        <w:rPr>
          <w:color w:val="231F20"/>
        </w:rPr>
        <w:t>el</w:t>
      </w:r>
      <w:r>
        <w:rPr>
          <w:color w:val="231F20"/>
          <w:spacing w:val="-5"/>
        </w:rPr>
        <w:t> </w:t>
      </w:r>
      <w:r>
        <w:rPr>
          <w:color w:val="231F20"/>
        </w:rPr>
        <w:t>período</w:t>
      </w:r>
      <w:r>
        <w:rPr>
          <w:color w:val="231F20"/>
          <w:spacing w:val="-5"/>
        </w:rPr>
        <w:t> </w:t>
      </w:r>
      <w:r>
        <w:rPr>
          <w:color w:val="231F20"/>
        </w:rPr>
        <w:t>de</w:t>
      </w:r>
      <w:r>
        <w:rPr>
          <w:color w:val="231F20"/>
          <w:spacing w:val="-5"/>
        </w:rPr>
        <w:t> </w:t>
      </w:r>
      <w:r>
        <w:rPr>
          <w:color w:val="231F20"/>
        </w:rPr>
        <w:t>inoculación</w:t>
      </w:r>
      <w:r>
        <w:rPr>
          <w:color w:val="231F20"/>
          <w:spacing w:val="-5"/>
        </w:rPr>
        <w:t> </w:t>
      </w:r>
      <w:r>
        <w:rPr>
          <w:color w:val="231F20"/>
        </w:rPr>
        <w:t>las</w:t>
      </w:r>
      <w:r>
        <w:rPr>
          <w:color w:val="231F20"/>
          <w:spacing w:val="-5"/>
        </w:rPr>
        <w:t> </w:t>
      </w:r>
      <w:r>
        <w:rPr>
          <w:color w:val="231F20"/>
        </w:rPr>
        <w:t>temperaturas</w:t>
      </w:r>
      <w:r>
        <w:rPr>
          <w:color w:val="231F20"/>
          <w:spacing w:val="-5"/>
        </w:rPr>
        <w:t> </w:t>
      </w:r>
      <w:r>
        <w:rPr>
          <w:color w:val="231F20"/>
        </w:rPr>
        <w:t>bajas</w:t>
      </w:r>
      <w:r>
        <w:rPr>
          <w:color w:val="231F20"/>
          <w:spacing w:val="-5"/>
        </w:rPr>
        <w:t> </w:t>
      </w:r>
      <w:r>
        <w:rPr>
          <w:color w:val="231F20"/>
        </w:rPr>
        <w:t>y</w:t>
      </w:r>
      <w:r>
        <w:rPr>
          <w:color w:val="231F20"/>
          <w:spacing w:val="-5"/>
        </w:rPr>
        <w:t> </w:t>
      </w:r>
      <w:r>
        <w:rPr>
          <w:color w:val="231F20"/>
        </w:rPr>
        <w:t>humedades</w:t>
      </w:r>
      <w:r>
        <w:rPr>
          <w:color w:val="231F20"/>
          <w:spacing w:val="-5"/>
        </w:rPr>
        <w:t> </w:t>
      </w:r>
      <w:r>
        <w:rPr>
          <w:color w:val="231F20"/>
        </w:rPr>
        <w:t>relativas</w:t>
      </w:r>
      <w:r>
        <w:rPr>
          <w:color w:val="231F20"/>
          <w:spacing w:val="-5"/>
        </w:rPr>
        <w:t> </w:t>
      </w:r>
      <w:r>
        <w:rPr>
          <w:color w:val="231F20"/>
        </w:rPr>
        <w:t>altas</w:t>
      </w:r>
      <w:r>
        <w:rPr>
          <w:color w:val="231F20"/>
          <w:spacing w:val="-5"/>
        </w:rPr>
        <w:t> </w:t>
      </w:r>
      <w:r>
        <w:rPr>
          <w:color w:val="231F20"/>
        </w:rPr>
        <w:t>favorecieron</w:t>
      </w:r>
      <w:r>
        <w:rPr>
          <w:color w:val="231F20"/>
          <w:spacing w:val="-5"/>
        </w:rPr>
        <w:t> </w:t>
      </w:r>
      <w:r>
        <w:rPr>
          <w:color w:val="231F20"/>
        </w:rPr>
        <w:t>el desarrollo</w:t>
      </w:r>
      <w:r>
        <w:rPr>
          <w:color w:val="231F20"/>
          <w:spacing w:val="-3"/>
        </w:rPr>
        <w:t> </w:t>
      </w:r>
      <w:r>
        <w:rPr>
          <w:color w:val="231F20"/>
        </w:rPr>
        <w:t>del</w:t>
      </w:r>
      <w:r>
        <w:rPr>
          <w:color w:val="231F20"/>
          <w:spacing w:val="-3"/>
        </w:rPr>
        <w:t> </w:t>
      </w:r>
      <w:r>
        <w:rPr>
          <w:color w:val="231F20"/>
        </w:rPr>
        <w:t>huitlacoche</w:t>
      </w:r>
      <w:r>
        <w:rPr>
          <w:color w:val="231F20"/>
          <w:spacing w:val="-3"/>
        </w:rPr>
        <w:t> </w:t>
      </w:r>
      <w:r>
        <w:rPr>
          <w:color w:val="231F20"/>
        </w:rPr>
        <w:t>en</w:t>
      </w:r>
      <w:r>
        <w:rPr>
          <w:color w:val="231F20"/>
          <w:spacing w:val="-2"/>
        </w:rPr>
        <w:t> </w:t>
      </w:r>
      <w:r>
        <w:rPr>
          <w:color w:val="231F20"/>
        </w:rPr>
        <w:t>las</w:t>
      </w:r>
      <w:r>
        <w:rPr>
          <w:color w:val="231F20"/>
          <w:spacing w:val="-2"/>
        </w:rPr>
        <w:t> </w:t>
      </w:r>
      <w:r>
        <w:rPr>
          <w:color w:val="231F20"/>
        </w:rPr>
        <w:t>variedades</w:t>
      </w:r>
      <w:r>
        <w:rPr>
          <w:color w:val="231F20"/>
          <w:spacing w:val="-3"/>
        </w:rPr>
        <w:t> </w:t>
      </w:r>
      <w:r>
        <w:rPr>
          <w:color w:val="231F20"/>
        </w:rPr>
        <w:t>N8,</w:t>
      </w:r>
      <w:r>
        <w:rPr>
          <w:color w:val="231F20"/>
          <w:spacing w:val="-2"/>
        </w:rPr>
        <w:t> </w:t>
      </w:r>
      <w:r>
        <w:rPr>
          <w:color w:val="231F20"/>
        </w:rPr>
        <w:t>N10</w:t>
      </w:r>
      <w:r>
        <w:rPr>
          <w:color w:val="231F20"/>
          <w:spacing w:val="-2"/>
        </w:rPr>
        <w:t> </w:t>
      </w:r>
      <w:r>
        <w:rPr>
          <w:color w:val="231F20"/>
        </w:rPr>
        <w:t>y</w:t>
      </w:r>
      <w:r>
        <w:rPr>
          <w:color w:val="231F20"/>
          <w:spacing w:val="-14"/>
        </w:rPr>
        <w:t> </w:t>
      </w:r>
      <w:r>
        <w:rPr>
          <w:color w:val="231F20"/>
        </w:rPr>
        <w:t>A7573;</w:t>
      </w:r>
      <w:r>
        <w:rPr>
          <w:color w:val="231F20"/>
          <w:spacing w:val="-2"/>
        </w:rPr>
        <w:t> </w:t>
      </w:r>
      <w:r>
        <w:rPr>
          <w:color w:val="231F20"/>
        </w:rPr>
        <w:t>mientras</w:t>
      </w:r>
      <w:r>
        <w:rPr>
          <w:color w:val="231F20"/>
          <w:spacing w:val="-3"/>
        </w:rPr>
        <w:t> </w:t>
      </w:r>
      <w:r>
        <w:rPr>
          <w:color w:val="231F20"/>
        </w:rPr>
        <w:t>que</w:t>
      </w:r>
      <w:r>
        <w:rPr>
          <w:color w:val="231F20"/>
          <w:spacing w:val="-2"/>
        </w:rPr>
        <w:t> </w:t>
      </w:r>
      <w:r>
        <w:rPr>
          <w:color w:val="231F20"/>
        </w:rPr>
        <w:t>las</w:t>
      </w:r>
      <w:r>
        <w:rPr>
          <w:color w:val="231F20"/>
          <w:spacing w:val="-2"/>
        </w:rPr>
        <w:t> </w:t>
      </w:r>
      <w:r>
        <w:rPr>
          <w:color w:val="231F20"/>
        </w:rPr>
        <w:t>temperaturas</w:t>
      </w:r>
      <w:r>
        <w:rPr>
          <w:color w:val="231F20"/>
          <w:spacing w:val="-3"/>
        </w:rPr>
        <w:t> </w:t>
      </w:r>
      <w:r>
        <w:rPr>
          <w:color w:val="231F20"/>
        </w:rPr>
        <w:t>altas</w:t>
      </w:r>
      <w:r>
        <w:rPr>
          <w:color w:val="231F20"/>
          <w:spacing w:val="-3"/>
        </w:rPr>
        <w:t> </w:t>
      </w:r>
      <w:r>
        <w:rPr>
          <w:color w:val="231F20"/>
        </w:rPr>
        <w:t>y humedades</w:t>
      </w:r>
      <w:r>
        <w:rPr>
          <w:color w:val="231F20"/>
          <w:spacing w:val="-11"/>
        </w:rPr>
        <w:t> </w:t>
      </w:r>
      <w:r>
        <w:rPr>
          <w:color w:val="231F20"/>
        </w:rPr>
        <w:t>relativas</w:t>
      </w:r>
      <w:r>
        <w:rPr>
          <w:color w:val="231F20"/>
          <w:spacing w:val="-11"/>
        </w:rPr>
        <w:t> </w:t>
      </w:r>
      <w:r>
        <w:rPr>
          <w:color w:val="231F20"/>
        </w:rPr>
        <w:t>bajas</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mismo</w:t>
      </w:r>
      <w:r>
        <w:rPr>
          <w:color w:val="231F20"/>
          <w:spacing w:val="-11"/>
        </w:rPr>
        <w:t> </w:t>
      </w:r>
      <w:r>
        <w:rPr>
          <w:color w:val="231F20"/>
        </w:rPr>
        <w:t>periodo</w:t>
      </w:r>
      <w:r>
        <w:rPr>
          <w:color w:val="231F20"/>
          <w:spacing w:val="-11"/>
        </w:rPr>
        <w:t> </w:t>
      </w:r>
      <w:r>
        <w:rPr>
          <w:color w:val="231F20"/>
        </w:rPr>
        <w:t>afectaron</w:t>
      </w:r>
      <w:r>
        <w:rPr>
          <w:color w:val="231F20"/>
          <w:spacing w:val="-11"/>
        </w:rPr>
        <w:t> </w:t>
      </w:r>
      <w:r>
        <w:rPr>
          <w:color w:val="231F20"/>
        </w:rPr>
        <w:t>de</w:t>
      </w:r>
      <w:r>
        <w:rPr>
          <w:color w:val="231F20"/>
          <w:spacing w:val="-11"/>
        </w:rPr>
        <w:t> </w:t>
      </w:r>
      <w:r>
        <w:rPr>
          <w:color w:val="231F20"/>
        </w:rPr>
        <w:t>manera</w:t>
      </w:r>
      <w:r>
        <w:rPr>
          <w:color w:val="231F20"/>
          <w:spacing w:val="-11"/>
        </w:rPr>
        <w:t> </w:t>
      </w:r>
      <w:r>
        <w:rPr>
          <w:color w:val="231F20"/>
        </w:rPr>
        <w:t>positiva</w:t>
      </w:r>
      <w:r>
        <w:rPr>
          <w:color w:val="231F20"/>
          <w:spacing w:val="-11"/>
        </w:rPr>
        <w:t> </w:t>
      </w:r>
      <w:r>
        <w:rPr>
          <w:color w:val="231F20"/>
        </w:rPr>
        <w:t>la</w:t>
      </w:r>
      <w:r>
        <w:rPr>
          <w:color w:val="231F20"/>
          <w:spacing w:val="-11"/>
        </w:rPr>
        <w:t> </w:t>
      </w:r>
      <w:r>
        <w:rPr>
          <w:color w:val="231F20"/>
        </w:rPr>
        <w:t>producción</w:t>
      </w:r>
      <w:r>
        <w:rPr>
          <w:color w:val="231F20"/>
          <w:spacing w:val="-11"/>
        </w:rPr>
        <w:t> </w:t>
      </w:r>
      <w:r>
        <w:rPr>
          <w:color w:val="231F20"/>
        </w:rPr>
        <w:t>del</w:t>
      </w:r>
      <w:r>
        <w:rPr>
          <w:color w:val="231F20"/>
          <w:spacing w:val="-11"/>
        </w:rPr>
        <w:t> </w:t>
      </w:r>
      <w:r>
        <w:rPr>
          <w:color w:val="231F20"/>
        </w:rPr>
        <w:t>hongo en los maíces B5, R13 y Oso. La producción de huitlacoche con el material N9 tuvo una relación directa</w:t>
      </w:r>
      <w:r>
        <w:rPr>
          <w:color w:val="231F20"/>
          <w:spacing w:val="-7"/>
        </w:rPr>
        <w:t> </w:t>
      </w:r>
      <w:r>
        <w:rPr>
          <w:color w:val="231F20"/>
        </w:rPr>
        <w:t>con</w:t>
      </w:r>
      <w:r>
        <w:rPr>
          <w:color w:val="231F20"/>
          <w:spacing w:val="-7"/>
        </w:rPr>
        <w:t> </w:t>
      </w:r>
      <w:r>
        <w:rPr>
          <w:color w:val="231F20"/>
        </w:rPr>
        <w:t>el</w:t>
      </w:r>
      <w:r>
        <w:rPr>
          <w:color w:val="231F20"/>
          <w:spacing w:val="-7"/>
        </w:rPr>
        <w:t> </w:t>
      </w:r>
      <w:r>
        <w:rPr>
          <w:color w:val="231F20"/>
        </w:rPr>
        <w:t>aumento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temperatura</w:t>
      </w:r>
      <w:r>
        <w:rPr>
          <w:color w:val="231F20"/>
          <w:spacing w:val="-7"/>
        </w:rPr>
        <w:t> </w:t>
      </w:r>
      <w:r>
        <w:rPr>
          <w:color w:val="231F20"/>
        </w:rPr>
        <w:t>del</w:t>
      </w:r>
      <w:r>
        <w:rPr>
          <w:color w:val="231F20"/>
          <w:spacing w:val="-7"/>
        </w:rPr>
        <w:t> </w:t>
      </w:r>
      <w:r>
        <w:rPr>
          <w:color w:val="231F20"/>
        </w:rPr>
        <w:t>periodo</w:t>
      </w:r>
      <w:r>
        <w:rPr>
          <w:color w:val="231F20"/>
          <w:spacing w:val="-7"/>
        </w:rPr>
        <w:t> </w:t>
      </w:r>
      <w:r>
        <w:rPr>
          <w:color w:val="231F20"/>
        </w:rPr>
        <w:t>de</w:t>
      </w:r>
      <w:r>
        <w:rPr>
          <w:color w:val="231F20"/>
          <w:spacing w:val="-7"/>
        </w:rPr>
        <w:t> </w:t>
      </w:r>
      <w:r>
        <w:rPr>
          <w:color w:val="231F20"/>
        </w:rPr>
        <w:t>inoculación</w:t>
      </w:r>
      <w:r>
        <w:rPr>
          <w:color w:val="231F20"/>
          <w:spacing w:val="-7"/>
        </w:rPr>
        <w:t> </w:t>
      </w:r>
      <w:r>
        <w:rPr>
          <w:color w:val="231F20"/>
        </w:rPr>
        <w:t>(TPIn),</w:t>
      </w:r>
      <w:r>
        <w:rPr>
          <w:color w:val="231F20"/>
          <w:spacing w:val="-7"/>
        </w:rPr>
        <w:t> </w:t>
      </w:r>
      <w:r>
        <w:rPr>
          <w:color w:val="231F20"/>
        </w:rPr>
        <w:t>lo</w:t>
      </w:r>
      <w:r>
        <w:rPr>
          <w:color w:val="231F20"/>
          <w:spacing w:val="-7"/>
        </w:rPr>
        <w:t> </w:t>
      </w:r>
      <w:r>
        <w:rPr>
          <w:color w:val="231F20"/>
        </w:rPr>
        <w:t>mismo</w:t>
      </w:r>
      <w:r>
        <w:rPr>
          <w:color w:val="231F20"/>
          <w:spacing w:val="-7"/>
        </w:rPr>
        <w:t> </w:t>
      </w:r>
      <w:r>
        <w:rPr>
          <w:color w:val="231F20"/>
        </w:rPr>
        <w:t>sucedió</w:t>
      </w:r>
      <w:r>
        <w:rPr>
          <w:color w:val="231F20"/>
          <w:spacing w:val="-6"/>
        </w:rPr>
        <w:t> </w:t>
      </w:r>
      <w:r>
        <w:rPr>
          <w:color w:val="231F20"/>
        </w:rPr>
        <w:t>con</w:t>
      </w:r>
      <w:r>
        <w:rPr>
          <w:color w:val="231F20"/>
          <w:spacing w:val="-7"/>
        </w:rPr>
        <w:t> </w:t>
      </w:r>
      <w:r>
        <w:rPr>
          <w:color w:val="231F20"/>
        </w:rPr>
        <w:t>la humedad relativa del mismo periodo (HrPIn) en las variedades B2 y B7.</w:t>
      </w:r>
    </w:p>
    <w:p>
      <w:pPr>
        <w:spacing w:after="0" w:line="247" w:lineRule="auto"/>
        <w:jc w:val="both"/>
        <w:sectPr>
          <w:pgSz w:w="10920" w:h="13080"/>
          <w:pgMar w:header="0" w:footer="1025" w:top="420" w:bottom="1220" w:left="0" w:right="0"/>
        </w:sectPr>
      </w:pPr>
    </w:p>
    <w:p>
      <w:pPr>
        <w:pStyle w:val="BodyText"/>
        <w:rPr>
          <w:sz w:val="20"/>
        </w:rPr>
      </w:pPr>
    </w:p>
    <w:p>
      <w:pPr>
        <w:pStyle w:val="BodyText"/>
        <w:rPr>
          <w:sz w:val="20"/>
        </w:rPr>
      </w:pPr>
    </w:p>
    <w:p>
      <w:pPr>
        <w:pStyle w:val="BodyText"/>
        <w:rPr>
          <w:sz w:val="23"/>
        </w:rPr>
      </w:pPr>
    </w:p>
    <w:p>
      <w:pPr>
        <w:spacing w:before="77"/>
        <w:ind w:left="1489" w:right="1489" w:firstLine="0"/>
        <w:jc w:val="center"/>
        <w:rPr>
          <w:b/>
          <w:sz w:val="18"/>
        </w:rPr>
      </w:pPr>
      <w:r>
        <w:rPr>
          <w:b/>
          <w:color w:val="010202"/>
          <w:sz w:val="18"/>
        </w:rPr>
        <w:t>Cuadro 2.  Coeficientes de Correlación Lineal Simple, para cada variedad de maíz en las que se evaluó</w:t>
      </w:r>
    </w:p>
    <w:p>
      <w:pPr>
        <w:spacing w:before="9"/>
        <w:ind w:left="1489" w:right="1489" w:firstLine="0"/>
        <w:jc w:val="center"/>
        <w:rPr>
          <w:b/>
          <w:sz w:val="18"/>
        </w:rPr>
      </w:pPr>
      <w:r>
        <w:rPr>
          <w:b/>
          <w:color w:val="010202"/>
          <w:sz w:val="18"/>
        </w:rPr>
        <w:t>la infección como rendimiento de huitlacoche con relación a la temperatura y humedad relativa</w:t>
      </w:r>
    </w:p>
    <w:p>
      <w:pPr>
        <w:pStyle w:val="BodyText"/>
        <w:spacing w:before="4"/>
        <w:rPr>
          <w:b/>
          <w:sz w:val="22"/>
        </w:rPr>
      </w:pPr>
    </w:p>
    <w:tbl>
      <w:tblPr>
        <w:tblW w:w="0" w:type="auto"/>
        <w:jc w:val="left"/>
        <w:tblInd w:w="1270"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top w:w="0" w:type="dxa"/>
          <w:left w:w="0" w:type="dxa"/>
          <w:bottom w:w="0" w:type="dxa"/>
          <w:right w:w="0" w:type="dxa"/>
        </w:tblCellMar>
        <w:tblLook w:val="01E0"/>
      </w:tblPr>
      <w:tblGrid>
        <w:gridCol w:w="1672"/>
        <w:gridCol w:w="687"/>
        <w:gridCol w:w="984"/>
        <w:gridCol w:w="672"/>
        <w:gridCol w:w="999"/>
        <w:gridCol w:w="672"/>
        <w:gridCol w:w="999"/>
        <w:gridCol w:w="672"/>
        <w:gridCol w:w="999"/>
      </w:tblGrid>
      <w:tr>
        <w:trPr>
          <w:trHeight w:val="282" w:hRule="exact"/>
        </w:trPr>
        <w:tc>
          <w:tcPr>
            <w:tcW w:w="1672" w:type="dxa"/>
          </w:tcPr>
          <w:p>
            <w:pPr>
              <w:pStyle w:val="TableParagraph"/>
              <w:spacing w:before="24"/>
              <w:rPr>
                <w:b/>
                <w:sz w:val="18"/>
              </w:rPr>
            </w:pPr>
            <w:r>
              <w:rPr>
                <w:b/>
                <w:color w:val="231F20"/>
                <w:sz w:val="18"/>
              </w:rPr>
              <w:t>Trat</w:t>
            </w:r>
          </w:p>
        </w:tc>
        <w:tc>
          <w:tcPr>
            <w:tcW w:w="1672" w:type="dxa"/>
            <w:gridSpan w:val="2"/>
          </w:tcPr>
          <w:p>
            <w:pPr>
              <w:pStyle w:val="TableParagraph"/>
              <w:spacing w:before="24"/>
              <w:ind w:left="69"/>
              <w:rPr>
                <w:b/>
                <w:sz w:val="18"/>
              </w:rPr>
            </w:pPr>
            <w:r>
              <w:rPr>
                <w:b/>
                <w:color w:val="231F20"/>
                <w:sz w:val="18"/>
              </w:rPr>
              <w:t>TDI (ºC)</w:t>
            </w:r>
          </w:p>
        </w:tc>
        <w:tc>
          <w:tcPr>
            <w:tcW w:w="1672" w:type="dxa"/>
            <w:gridSpan w:val="2"/>
          </w:tcPr>
          <w:p>
            <w:pPr>
              <w:pStyle w:val="TableParagraph"/>
              <w:spacing w:before="24"/>
              <w:ind w:left="69"/>
              <w:rPr>
                <w:b/>
                <w:sz w:val="18"/>
              </w:rPr>
            </w:pPr>
            <w:r>
              <w:rPr>
                <w:b/>
                <w:color w:val="231F20"/>
                <w:sz w:val="18"/>
              </w:rPr>
              <w:t>HrDI(%)</w:t>
            </w:r>
          </w:p>
        </w:tc>
        <w:tc>
          <w:tcPr>
            <w:tcW w:w="1672" w:type="dxa"/>
            <w:gridSpan w:val="2"/>
          </w:tcPr>
          <w:p>
            <w:pPr>
              <w:pStyle w:val="TableParagraph"/>
              <w:spacing w:before="24"/>
              <w:ind w:left="69"/>
              <w:rPr>
                <w:b/>
                <w:sz w:val="18"/>
              </w:rPr>
            </w:pPr>
            <w:r>
              <w:rPr>
                <w:b/>
                <w:color w:val="231F20"/>
                <w:sz w:val="18"/>
              </w:rPr>
              <w:t>TPI(ºC)</w:t>
            </w:r>
          </w:p>
        </w:tc>
        <w:tc>
          <w:tcPr>
            <w:tcW w:w="1672" w:type="dxa"/>
            <w:gridSpan w:val="2"/>
          </w:tcPr>
          <w:p>
            <w:pPr>
              <w:pStyle w:val="TableParagraph"/>
              <w:spacing w:before="24"/>
              <w:ind w:left="69"/>
              <w:rPr>
                <w:b/>
                <w:sz w:val="18"/>
              </w:rPr>
            </w:pPr>
            <w:r>
              <w:rPr>
                <w:b/>
                <w:color w:val="231F20"/>
                <w:sz w:val="18"/>
              </w:rPr>
              <w:t>HrPI(%)</w:t>
            </w:r>
          </w:p>
        </w:tc>
      </w:tr>
      <w:tr>
        <w:trPr>
          <w:trHeight w:val="285" w:hRule="exact"/>
        </w:trPr>
        <w:tc>
          <w:tcPr>
            <w:tcW w:w="1672" w:type="dxa"/>
          </w:tcPr>
          <w:p>
            <w:pPr>
              <w:pStyle w:val="TableParagraph"/>
              <w:ind w:left="69"/>
              <w:rPr>
                <w:sz w:val="18"/>
              </w:rPr>
            </w:pPr>
            <w:r>
              <w:rPr>
                <w:color w:val="231F20"/>
                <w:sz w:val="18"/>
              </w:rPr>
              <w:t>B2</w:t>
            </w:r>
          </w:p>
        </w:tc>
        <w:tc>
          <w:tcPr>
            <w:tcW w:w="687" w:type="dxa"/>
            <w:tcBorders>
              <w:right w:val="nil"/>
            </w:tcBorders>
          </w:tcPr>
          <w:p>
            <w:pPr>
              <w:pStyle w:val="TableParagraph"/>
              <w:ind w:left="47" w:right="184"/>
              <w:jc w:val="center"/>
              <w:rPr>
                <w:sz w:val="18"/>
              </w:rPr>
            </w:pPr>
            <w:r>
              <w:rPr>
                <w:color w:val="231F20"/>
                <w:sz w:val="18"/>
              </w:rPr>
              <w:t>0.114</w:t>
            </w:r>
          </w:p>
        </w:tc>
        <w:tc>
          <w:tcPr>
            <w:tcW w:w="984" w:type="dxa"/>
            <w:tcBorders>
              <w:left w:val="nil"/>
            </w:tcBorders>
          </w:tcPr>
          <w:p>
            <w:pPr>
              <w:pStyle w:val="TableParagraph"/>
              <w:ind w:left="112"/>
              <w:rPr>
                <w:sz w:val="18"/>
              </w:rPr>
            </w:pPr>
            <w:r>
              <w:rPr>
                <w:color w:val="231F20"/>
                <w:sz w:val="18"/>
              </w:rPr>
              <w:t>ns</w:t>
            </w:r>
          </w:p>
        </w:tc>
        <w:tc>
          <w:tcPr>
            <w:tcW w:w="672" w:type="dxa"/>
            <w:tcBorders>
              <w:right w:val="nil"/>
            </w:tcBorders>
          </w:tcPr>
          <w:p>
            <w:pPr>
              <w:pStyle w:val="TableParagraph"/>
              <w:ind w:left="51" w:right="106"/>
              <w:jc w:val="center"/>
              <w:rPr>
                <w:sz w:val="18"/>
              </w:rPr>
            </w:pPr>
            <w:r>
              <w:rPr>
                <w:color w:val="231F20"/>
                <w:sz w:val="18"/>
              </w:rPr>
              <w:t>-0.133</w:t>
            </w:r>
          </w:p>
        </w:tc>
        <w:tc>
          <w:tcPr>
            <w:tcW w:w="999" w:type="dxa"/>
            <w:tcBorders>
              <w:left w:val="nil"/>
            </w:tcBorders>
          </w:tcPr>
          <w:p>
            <w:pPr>
              <w:pStyle w:val="TableParagraph"/>
              <w:ind w:left="127"/>
              <w:rPr>
                <w:sz w:val="18"/>
              </w:rPr>
            </w:pPr>
            <w:r>
              <w:rPr>
                <w:color w:val="231F20"/>
                <w:sz w:val="18"/>
              </w:rPr>
              <w:t>ns</w:t>
            </w:r>
          </w:p>
        </w:tc>
        <w:tc>
          <w:tcPr>
            <w:tcW w:w="672" w:type="dxa"/>
            <w:tcBorders>
              <w:right w:val="nil"/>
            </w:tcBorders>
          </w:tcPr>
          <w:p>
            <w:pPr>
              <w:pStyle w:val="TableParagraph"/>
              <w:ind w:left="51" w:right="106"/>
              <w:jc w:val="center"/>
              <w:rPr>
                <w:sz w:val="18"/>
              </w:rPr>
            </w:pPr>
            <w:r>
              <w:rPr>
                <w:color w:val="231F20"/>
                <w:sz w:val="18"/>
              </w:rPr>
              <w:t>-0.262</w:t>
            </w:r>
          </w:p>
        </w:tc>
        <w:tc>
          <w:tcPr>
            <w:tcW w:w="999" w:type="dxa"/>
            <w:tcBorders>
              <w:left w:val="nil"/>
            </w:tcBorders>
          </w:tcPr>
          <w:p>
            <w:pPr>
              <w:pStyle w:val="TableParagraph"/>
              <w:ind w:left="127"/>
              <w:rPr>
                <w:sz w:val="18"/>
              </w:rPr>
            </w:pPr>
            <w:r>
              <w:rPr>
                <w:color w:val="231F20"/>
                <w:sz w:val="18"/>
              </w:rPr>
              <w:t>ns</w:t>
            </w:r>
          </w:p>
        </w:tc>
        <w:tc>
          <w:tcPr>
            <w:tcW w:w="1672" w:type="dxa"/>
            <w:gridSpan w:val="2"/>
          </w:tcPr>
          <w:p>
            <w:pPr>
              <w:pStyle w:val="TableParagraph"/>
              <w:tabs>
                <w:tab w:pos="789" w:val="left" w:leader="none"/>
              </w:tabs>
              <w:ind w:left="69"/>
              <w:rPr>
                <w:sz w:val="18"/>
              </w:rPr>
            </w:pPr>
            <w:r>
              <w:rPr>
                <w:color w:val="231F20"/>
                <w:sz w:val="18"/>
              </w:rPr>
              <w:t>0.294</w:t>
              <w:tab/>
              <w:t>*</w:t>
            </w:r>
          </w:p>
        </w:tc>
      </w:tr>
      <w:tr>
        <w:trPr>
          <w:trHeight w:val="285" w:hRule="exact"/>
        </w:trPr>
        <w:tc>
          <w:tcPr>
            <w:tcW w:w="1672" w:type="dxa"/>
          </w:tcPr>
          <w:p>
            <w:pPr>
              <w:pStyle w:val="TableParagraph"/>
              <w:ind w:left="69"/>
              <w:rPr>
                <w:sz w:val="18"/>
              </w:rPr>
            </w:pPr>
            <w:r>
              <w:rPr>
                <w:color w:val="231F20"/>
                <w:sz w:val="18"/>
              </w:rPr>
              <w:t>B3</w:t>
            </w:r>
          </w:p>
        </w:tc>
        <w:tc>
          <w:tcPr>
            <w:tcW w:w="1672" w:type="dxa"/>
            <w:gridSpan w:val="2"/>
          </w:tcPr>
          <w:p>
            <w:pPr>
              <w:pStyle w:val="TableParagraph"/>
              <w:tabs>
                <w:tab w:pos="789" w:val="left" w:leader="none"/>
              </w:tabs>
              <w:ind w:left="69"/>
              <w:rPr>
                <w:sz w:val="18"/>
              </w:rPr>
            </w:pPr>
            <w:r>
              <w:rPr>
                <w:color w:val="231F20"/>
                <w:sz w:val="18"/>
              </w:rPr>
              <w:t>0.058</w:t>
              <w:tab/>
              <w:t>ns</w:t>
            </w:r>
          </w:p>
        </w:tc>
        <w:tc>
          <w:tcPr>
            <w:tcW w:w="1672" w:type="dxa"/>
            <w:gridSpan w:val="2"/>
          </w:tcPr>
          <w:p>
            <w:pPr>
              <w:pStyle w:val="TableParagraph"/>
              <w:tabs>
                <w:tab w:pos="789" w:val="left" w:leader="none"/>
              </w:tabs>
              <w:ind w:left="69"/>
              <w:rPr>
                <w:sz w:val="18"/>
              </w:rPr>
            </w:pPr>
            <w:r>
              <w:rPr>
                <w:color w:val="231F20"/>
                <w:sz w:val="18"/>
              </w:rPr>
              <w:t>0.139</w:t>
              <w:tab/>
              <w:t>ns</w:t>
            </w:r>
          </w:p>
        </w:tc>
        <w:tc>
          <w:tcPr>
            <w:tcW w:w="672" w:type="dxa"/>
            <w:tcBorders>
              <w:right w:val="nil"/>
            </w:tcBorders>
          </w:tcPr>
          <w:p>
            <w:pPr>
              <w:pStyle w:val="TableParagraph"/>
              <w:ind w:left="51" w:right="106"/>
              <w:jc w:val="center"/>
              <w:rPr>
                <w:sz w:val="18"/>
              </w:rPr>
            </w:pPr>
            <w:r>
              <w:rPr>
                <w:color w:val="231F20"/>
                <w:sz w:val="18"/>
              </w:rPr>
              <w:t>-0.195</w:t>
            </w:r>
          </w:p>
        </w:tc>
        <w:tc>
          <w:tcPr>
            <w:tcW w:w="999" w:type="dxa"/>
            <w:tcBorders>
              <w:left w:val="nil"/>
            </w:tcBorders>
          </w:tcPr>
          <w:p>
            <w:pPr>
              <w:pStyle w:val="TableParagraph"/>
              <w:ind w:left="127"/>
              <w:rPr>
                <w:sz w:val="18"/>
              </w:rPr>
            </w:pPr>
            <w:r>
              <w:rPr>
                <w:color w:val="231F20"/>
                <w:sz w:val="18"/>
              </w:rPr>
              <w:t>ns</w:t>
            </w:r>
          </w:p>
        </w:tc>
        <w:tc>
          <w:tcPr>
            <w:tcW w:w="1672" w:type="dxa"/>
            <w:gridSpan w:val="2"/>
          </w:tcPr>
          <w:p>
            <w:pPr>
              <w:pStyle w:val="TableParagraph"/>
              <w:tabs>
                <w:tab w:pos="789" w:val="left" w:leader="none"/>
              </w:tabs>
              <w:ind w:left="69"/>
              <w:rPr>
                <w:sz w:val="18"/>
              </w:rPr>
            </w:pPr>
            <w:r>
              <w:rPr>
                <w:color w:val="231F20"/>
                <w:sz w:val="18"/>
              </w:rPr>
              <w:t>0.186</w:t>
              <w:tab/>
              <w:t>ns</w:t>
            </w:r>
          </w:p>
        </w:tc>
      </w:tr>
      <w:tr>
        <w:trPr>
          <w:trHeight w:val="285" w:hRule="exact"/>
        </w:trPr>
        <w:tc>
          <w:tcPr>
            <w:tcW w:w="1672" w:type="dxa"/>
          </w:tcPr>
          <w:p>
            <w:pPr>
              <w:pStyle w:val="TableParagraph"/>
              <w:ind w:left="69"/>
              <w:rPr>
                <w:sz w:val="18"/>
              </w:rPr>
            </w:pPr>
            <w:r>
              <w:rPr>
                <w:color w:val="231F20"/>
                <w:sz w:val="18"/>
              </w:rPr>
              <w:t>B4</w:t>
            </w:r>
          </w:p>
        </w:tc>
        <w:tc>
          <w:tcPr>
            <w:tcW w:w="1672" w:type="dxa"/>
            <w:gridSpan w:val="2"/>
          </w:tcPr>
          <w:p>
            <w:pPr>
              <w:pStyle w:val="TableParagraph"/>
              <w:tabs>
                <w:tab w:pos="789" w:val="left" w:leader="none"/>
              </w:tabs>
              <w:ind w:left="69"/>
              <w:rPr>
                <w:sz w:val="18"/>
              </w:rPr>
            </w:pPr>
            <w:r>
              <w:rPr>
                <w:color w:val="231F20"/>
                <w:sz w:val="18"/>
              </w:rPr>
              <w:t>0.018</w:t>
              <w:tab/>
              <w:t>ns</w:t>
            </w:r>
          </w:p>
        </w:tc>
        <w:tc>
          <w:tcPr>
            <w:tcW w:w="672" w:type="dxa"/>
            <w:tcBorders>
              <w:right w:val="nil"/>
            </w:tcBorders>
          </w:tcPr>
          <w:p>
            <w:pPr>
              <w:pStyle w:val="TableParagraph"/>
              <w:ind w:left="51" w:right="106"/>
              <w:jc w:val="center"/>
              <w:rPr>
                <w:sz w:val="18"/>
              </w:rPr>
            </w:pPr>
            <w:r>
              <w:rPr>
                <w:color w:val="231F20"/>
                <w:sz w:val="18"/>
              </w:rPr>
              <w:t>-0.003</w:t>
            </w:r>
          </w:p>
        </w:tc>
        <w:tc>
          <w:tcPr>
            <w:tcW w:w="999" w:type="dxa"/>
            <w:tcBorders>
              <w:left w:val="nil"/>
            </w:tcBorders>
          </w:tcPr>
          <w:p>
            <w:pPr>
              <w:pStyle w:val="TableParagraph"/>
              <w:ind w:left="127"/>
              <w:rPr>
                <w:sz w:val="18"/>
              </w:rPr>
            </w:pPr>
            <w:r>
              <w:rPr>
                <w:color w:val="231F20"/>
                <w:sz w:val="18"/>
              </w:rPr>
              <w:t>ns</w:t>
            </w:r>
          </w:p>
        </w:tc>
        <w:tc>
          <w:tcPr>
            <w:tcW w:w="672" w:type="dxa"/>
            <w:tcBorders>
              <w:right w:val="nil"/>
            </w:tcBorders>
          </w:tcPr>
          <w:p>
            <w:pPr>
              <w:pStyle w:val="TableParagraph"/>
              <w:ind w:left="51" w:right="106"/>
              <w:jc w:val="center"/>
              <w:rPr>
                <w:sz w:val="18"/>
              </w:rPr>
            </w:pPr>
            <w:r>
              <w:rPr>
                <w:color w:val="231F20"/>
                <w:sz w:val="18"/>
              </w:rPr>
              <w:t>-0.142</w:t>
            </w:r>
          </w:p>
        </w:tc>
        <w:tc>
          <w:tcPr>
            <w:tcW w:w="999" w:type="dxa"/>
            <w:tcBorders>
              <w:left w:val="nil"/>
            </w:tcBorders>
          </w:tcPr>
          <w:p>
            <w:pPr>
              <w:pStyle w:val="TableParagraph"/>
              <w:ind w:left="127"/>
              <w:rPr>
                <w:sz w:val="18"/>
              </w:rPr>
            </w:pPr>
            <w:r>
              <w:rPr>
                <w:color w:val="231F20"/>
                <w:sz w:val="18"/>
              </w:rPr>
              <w:t>ns</w:t>
            </w:r>
          </w:p>
        </w:tc>
        <w:tc>
          <w:tcPr>
            <w:tcW w:w="1672" w:type="dxa"/>
            <w:gridSpan w:val="2"/>
          </w:tcPr>
          <w:p>
            <w:pPr>
              <w:pStyle w:val="TableParagraph"/>
              <w:tabs>
                <w:tab w:pos="789" w:val="left" w:leader="none"/>
              </w:tabs>
              <w:ind w:left="69"/>
              <w:rPr>
                <w:sz w:val="18"/>
              </w:rPr>
            </w:pPr>
            <w:r>
              <w:rPr>
                <w:color w:val="231F20"/>
                <w:sz w:val="18"/>
              </w:rPr>
              <w:t>0.133</w:t>
              <w:tab/>
              <w:t>ns</w:t>
            </w:r>
          </w:p>
        </w:tc>
      </w:tr>
      <w:tr>
        <w:trPr>
          <w:trHeight w:val="285" w:hRule="exact"/>
        </w:trPr>
        <w:tc>
          <w:tcPr>
            <w:tcW w:w="1672" w:type="dxa"/>
          </w:tcPr>
          <w:p>
            <w:pPr>
              <w:pStyle w:val="TableParagraph"/>
              <w:ind w:left="69"/>
              <w:rPr>
                <w:sz w:val="18"/>
              </w:rPr>
            </w:pPr>
            <w:r>
              <w:rPr>
                <w:color w:val="231F20"/>
                <w:sz w:val="18"/>
              </w:rPr>
              <w:t>B5</w:t>
            </w:r>
          </w:p>
        </w:tc>
        <w:tc>
          <w:tcPr>
            <w:tcW w:w="1672" w:type="dxa"/>
            <w:gridSpan w:val="2"/>
          </w:tcPr>
          <w:p>
            <w:pPr>
              <w:pStyle w:val="TableParagraph"/>
              <w:tabs>
                <w:tab w:pos="789" w:val="left" w:leader="none"/>
              </w:tabs>
              <w:ind w:left="69"/>
              <w:rPr>
                <w:sz w:val="18"/>
              </w:rPr>
            </w:pPr>
            <w:r>
              <w:rPr>
                <w:color w:val="231F20"/>
                <w:sz w:val="18"/>
              </w:rPr>
              <w:t>0.444</w:t>
              <w:tab/>
              <w:t>**</w:t>
            </w:r>
          </w:p>
        </w:tc>
        <w:tc>
          <w:tcPr>
            <w:tcW w:w="672" w:type="dxa"/>
            <w:tcBorders>
              <w:right w:val="nil"/>
            </w:tcBorders>
          </w:tcPr>
          <w:p>
            <w:pPr>
              <w:pStyle w:val="TableParagraph"/>
              <w:ind w:left="51" w:right="106"/>
              <w:jc w:val="center"/>
              <w:rPr>
                <w:sz w:val="18"/>
              </w:rPr>
            </w:pPr>
            <w:r>
              <w:rPr>
                <w:color w:val="231F20"/>
                <w:sz w:val="18"/>
              </w:rPr>
              <w:t>-0.467</w:t>
            </w:r>
          </w:p>
        </w:tc>
        <w:tc>
          <w:tcPr>
            <w:tcW w:w="999" w:type="dxa"/>
            <w:tcBorders>
              <w:left w:val="nil"/>
            </w:tcBorders>
          </w:tcPr>
          <w:p>
            <w:pPr>
              <w:pStyle w:val="TableParagraph"/>
              <w:ind w:left="127"/>
              <w:rPr>
                <w:sz w:val="18"/>
              </w:rPr>
            </w:pPr>
            <w:r>
              <w:rPr>
                <w:color w:val="231F20"/>
                <w:sz w:val="18"/>
              </w:rPr>
              <w:t>**</w:t>
            </w:r>
          </w:p>
        </w:tc>
        <w:tc>
          <w:tcPr>
            <w:tcW w:w="1672" w:type="dxa"/>
            <w:gridSpan w:val="2"/>
          </w:tcPr>
          <w:p>
            <w:pPr>
              <w:pStyle w:val="TableParagraph"/>
              <w:tabs>
                <w:tab w:pos="789" w:val="left" w:leader="none"/>
              </w:tabs>
              <w:ind w:left="69"/>
              <w:rPr>
                <w:sz w:val="18"/>
              </w:rPr>
            </w:pPr>
            <w:r>
              <w:rPr>
                <w:color w:val="231F20"/>
                <w:sz w:val="18"/>
              </w:rPr>
              <w:t>0.484</w:t>
              <w:tab/>
              <w:t>**</w:t>
            </w:r>
          </w:p>
        </w:tc>
        <w:tc>
          <w:tcPr>
            <w:tcW w:w="672" w:type="dxa"/>
            <w:tcBorders>
              <w:right w:val="nil"/>
            </w:tcBorders>
          </w:tcPr>
          <w:p>
            <w:pPr>
              <w:pStyle w:val="TableParagraph"/>
              <w:ind w:left="69"/>
              <w:rPr>
                <w:sz w:val="18"/>
              </w:rPr>
            </w:pPr>
            <w:r>
              <w:rPr>
                <w:color w:val="231F20"/>
                <w:sz w:val="18"/>
              </w:rPr>
              <w:t>-0.313</w:t>
            </w:r>
          </w:p>
        </w:tc>
        <w:tc>
          <w:tcPr>
            <w:tcW w:w="999" w:type="dxa"/>
            <w:tcBorders>
              <w:left w:val="nil"/>
            </w:tcBorders>
          </w:tcPr>
          <w:p>
            <w:pPr>
              <w:pStyle w:val="TableParagraph"/>
              <w:ind w:left="127"/>
              <w:rPr>
                <w:sz w:val="18"/>
              </w:rPr>
            </w:pPr>
            <w:r>
              <w:rPr>
                <w:color w:val="231F20"/>
                <w:sz w:val="18"/>
              </w:rPr>
              <w:t>*</w:t>
            </w:r>
          </w:p>
        </w:tc>
      </w:tr>
      <w:tr>
        <w:trPr>
          <w:trHeight w:val="285" w:hRule="exact"/>
        </w:trPr>
        <w:tc>
          <w:tcPr>
            <w:tcW w:w="1672" w:type="dxa"/>
          </w:tcPr>
          <w:p>
            <w:pPr>
              <w:pStyle w:val="TableParagraph"/>
              <w:ind w:left="69"/>
              <w:rPr>
                <w:sz w:val="18"/>
              </w:rPr>
            </w:pPr>
            <w:r>
              <w:rPr>
                <w:color w:val="231F20"/>
                <w:sz w:val="18"/>
              </w:rPr>
              <w:t>B6</w:t>
            </w:r>
          </w:p>
        </w:tc>
        <w:tc>
          <w:tcPr>
            <w:tcW w:w="687" w:type="dxa"/>
            <w:tcBorders>
              <w:right w:val="nil"/>
            </w:tcBorders>
          </w:tcPr>
          <w:p>
            <w:pPr>
              <w:pStyle w:val="TableParagraph"/>
              <w:ind w:left="21" w:right="91"/>
              <w:jc w:val="center"/>
              <w:rPr>
                <w:sz w:val="18"/>
              </w:rPr>
            </w:pPr>
            <w:r>
              <w:rPr>
                <w:color w:val="231F20"/>
                <w:sz w:val="18"/>
              </w:rPr>
              <w:t>-0.259</w:t>
            </w:r>
          </w:p>
        </w:tc>
        <w:tc>
          <w:tcPr>
            <w:tcW w:w="984" w:type="dxa"/>
            <w:tcBorders>
              <w:left w:val="nil"/>
            </w:tcBorders>
          </w:tcPr>
          <w:p>
            <w:pPr>
              <w:pStyle w:val="TableParagraph"/>
              <w:ind w:left="112"/>
              <w:rPr>
                <w:sz w:val="18"/>
              </w:rPr>
            </w:pPr>
            <w:r>
              <w:rPr>
                <w:color w:val="231F20"/>
                <w:sz w:val="18"/>
              </w:rPr>
              <w:t>*</w:t>
            </w:r>
          </w:p>
        </w:tc>
        <w:tc>
          <w:tcPr>
            <w:tcW w:w="1672" w:type="dxa"/>
            <w:gridSpan w:val="2"/>
          </w:tcPr>
          <w:p>
            <w:pPr>
              <w:pStyle w:val="TableParagraph"/>
              <w:tabs>
                <w:tab w:pos="789" w:val="left" w:leader="none"/>
              </w:tabs>
              <w:ind w:left="69"/>
              <w:rPr>
                <w:sz w:val="18"/>
              </w:rPr>
            </w:pPr>
            <w:r>
              <w:rPr>
                <w:color w:val="231F20"/>
                <w:sz w:val="18"/>
              </w:rPr>
              <w:t>0.192</w:t>
              <w:tab/>
              <w:t>ns</w:t>
            </w:r>
          </w:p>
        </w:tc>
        <w:tc>
          <w:tcPr>
            <w:tcW w:w="672" w:type="dxa"/>
            <w:tcBorders>
              <w:right w:val="nil"/>
            </w:tcBorders>
          </w:tcPr>
          <w:p>
            <w:pPr>
              <w:pStyle w:val="TableParagraph"/>
              <w:ind w:left="51" w:right="106"/>
              <w:jc w:val="center"/>
              <w:rPr>
                <w:sz w:val="18"/>
              </w:rPr>
            </w:pPr>
            <w:r>
              <w:rPr>
                <w:color w:val="231F20"/>
                <w:sz w:val="18"/>
              </w:rPr>
              <w:t>-0.124</w:t>
            </w:r>
          </w:p>
        </w:tc>
        <w:tc>
          <w:tcPr>
            <w:tcW w:w="999" w:type="dxa"/>
            <w:tcBorders>
              <w:left w:val="nil"/>
            </w:tcBorders>
          </w:tcPr>
          <w:p>
            <w:pPr>
              <w:pStyle w:val="TableParagraph"/>
              <w:ind w:left="127"/>
              <w:rPr>
                <w:sz w:val="18"/>
              </w:rPr>
            </w:pPr>
            <w:r>
              <w:rPr>
                <w:color w:val="231F20"/>
                <w:sz w:val="18"/>
              </w:rPr>
              <w:t>ns</w:t>
            </w:r>
          </w:p>
        </w:tc>
        <w:tc>
          <w:tcPr>
            <w:tcW w:w="1672" w:type="dxa"/>
            <w:gridSpan w:val="2"/>
          </w:tcPr>
          <w:p>
            <w:pPr>
              <w:pStyle w:val="TableParagraph"/>
              <w:tabs>
                <w:tab w:pos="789" w:val="left" w:leader="none"/>
              </w:tabs>
              <w:ind w:left="69"/>
              <w:rPr>
                <w:sz w:val="18"/>
              </w:rPr>
            </w:pPr>
            <w:r>
              <w:rPr>
                <w:color w:val="231F20"/>
                <w:sz w:val="18"/>
              </w:rPr>
              <w:t>0.092</w:t>
              <w:tab/>
              <w:t>ns</w:t>
            </w:r>
          </w:p>
        </w:tc>
      </w:tr>
      <w:tr>
        <w:trPr>
          <w:trHeight w:val="285" w:hRule="exact"/>
        </w:trPr>
        <w:tc>
          <w:tcPr>
            <w:tcW w:w="1672" w:type="dxa"/>
          </w:tcPr>
          <w:p>
            <w:pPr>
              <w:pStyle w:val="TableParagraph"/>
              <w:ind w:left="69"/>
              <w:rPr>
                <w:sz w:val="18"/>
              </w:rPr>
            </w:pPr>
            <w:r>
              <w:rPr>
                <w:color w:val="231F20"/>
                <w:sz w:val="18"/>
              </w:rPr>
              <w:t>B7</w:t>
            </w:r>
          </w:p>
        </w:tc>
        <w:tc>
          <w:tcPr>
            <w:tcW w:w="687" w:type="dxa"/>
            <w:tcBorders>
              <w:right w:val="nil"/>
            </w:tcBorders>
          </w:tcPr>
          <w:p>
            <w:pPr>
              <w:pStyle w:val="TableParagraph"/>
              <w:ind w:left="21" w:right="91"/>
              <w:jc w:val="center"/>
              <w:rPr>
                <w:sz w:val="18"/>
              </w:rPr>
            </w:pPr>
            <w:r>
              <w:rPr>
                <w:color w:val="231F20"/>
                <w:sz w:val="18"/>
              </w:rPr>
              <w:t>-0.448</w:t>
            </w:r>
          </w:p>
        </w:tc>
        <w:tc>
          <w:tcPr>
            <w:tcW w:w="984" w:type="dxa"/>
            <w:tcBorders>
              <w:left w:val="nil"/>
            </w:tcBorders>
          </w:tcPr>
          <w:p>
            <w:pPr>
              <w:pStyle w:val="TableParagraph"/>
              <w:ind w:left="112"/>
              <w:rPr>
                <w:sz w:val="18"/>
              </w:rPr>
            </w:pPr>
            <w:r>
              <w:rPr>
                <w:color w:val="231F20"/>
                <w:sz w:val="18"/>
              </w:rPr>
              <w:t>*</w:t>
            </w:r>
          </w:p>
        </w:tc>
        <w:tc>
          <w:tcPr>
            <w:tcW w:w="672" w:type="dxa"/>
            <w:tcBorders>
              <w:right w:val="nil"/>
            </w:tcBorders>
          </w:tcPr>
          <w:p>
            <w:pPr>
              <w:pStyle w:val="TableParagraph"/>
              <w:ind w:left="51" w:right="106"/>
              <w:jc w:val="center"/>
              <w:rPr>
                <w:sz w:val="18"/>
              </w:rPr>
            </w:pPr>
            <w:r>
              <w:rPr>
                <w:color w:val="231F20"/>
                <w:sz w:val="18"/>
              </w:rPr>
              <w:t>-0.448</w:t>
            </w:r>
          </w:p>
        </w:tc>
        <w:tc>
          <w:tcPr>
            <w:tcW w:w="999" w:type="dxa"/>
            <w:tcBorders>
              <w:left w:val="nil"/>
            </w:tcBorders>
          </w:tcPr>
          <w:p>
            <w:pPr>
              <w:pStyle w:val="TableParagraph"/>
              <w:ind w:left="127"/>
              <w:rPr>
                <w:sz w:val="18"/>
              </w:rPr>
            </w:pPr>
            <w:r>
              <w:rPr>
                <w:color w:val="231F20"/>
                <w:sz w:val="18"/>
              </w:rPr>
              <w:t>*</w:t>
            </w:r>
          </w:p>
        </w:tc>
        <w:tc>
          <w:tcPr>
            <w:tcW w:w="672" w:type="dxa"/>
            <w:tcBorders>
              <w:right w:val="nil"/>
            </w:tcBorders>
          </w:tcPr>
          <w:p>
            <w:pPr>
              <w:pStyle w:val="TableParagraph"/>
              <w:ind w:left="51" w:right="106"/>
              <w:jc w:val="center"/>
              <w:rPr>
                <w:sz w:val="18"/>
              </w:rPr>
            </w:pPr>
            <w:r>
              <w:rPr>
                <w:color w:val="231F20"/>
                <w:sz w:val="18"/>
              </w:rPr>
              <w:t>-0.321</w:t>
            </w:r>
          </w:p>
        </w:tc>
        <w:tc>
          <w:tcPr>
            <w:tcW w:w="999" w:type="dxa"/>
            <w:tcBorders>
              <w:left w:val="nil"/>
            </w:tcBorders>
          </w:tcPr>
          <w:p>
            <w:pPr>
              <w:pStyle w:val="TableParagraph"/>
              <w:ind w:left="127"/>
              <w:rPr>
                <w:sz w:val="18"/>
              </w:rPr>
            </w:pPr>
            <w:r>
              <w:rPr>
                <w:color w:val="231F20"/>
                <w:sz w:val="18"/>
              </w:rPr>
              <w:t>ns</w:t>
            </w:r>
          </w:p>
        </w:tc>
        <w:tc>
          <w:tcPr>
            <w:tcW w:w="1672" w:type="dxa"/>
            <w:gridSpan w:val="2"/>
          </w:tcPr>
          <w:p>
            <w:pPr>
              <w:pStyle w:val="TableParagraph"/>
              <w:tabs>
                <w:tab w:pos="789" w:val="left" w:leader="none"/>
              </w:tabs>
              <w:ind w:left="69"/>
              <w:rPr>
                <w:sz w:val="18"/>
              </w:rPr>
            </w:pPr>
            <w:r>
              <w:rPr>
                <w:color w:val="231F20"/>
                <w:sz w:val="18"/>
              </w:rPr>
              <w:t>0.387</w:t>
              <w:tab/>
              <w:t>*</w:t>
            </w:r>
          </w:p>
        </w:tc>
      </w:tr>
      <w:tr>
        <w:trPr>
          <w:trHeight w:val="285" w:hRule="exact"/>
        </w:trPr>
        <w:tc>
          <w:tcPr>
            <w:tcW w:w="1672" w:type="dxa"/>
          </w:tcPr>
          <w:p>
            <w:pPr>
              <w:pStyle w:val="TableParagraph"/>
              <w:ind w:left="69"/>
              <w:rPr>
                <w:sz w:val="18"/>
              </w:rPr>
            </w:pPr>
            <w:r>
              <w:rPr>
                <w:color w:val="231F20"/>
                <w:sz w:val="18"/>
              </w:rPr>
              <w:t>N8</w:t>
            </w:r>
          </w:p>
        </w:tc>
        <w:tc>
          <w:tcPr>
            <w:tcW w:w="1672" w:type="dxa"/>
            <w:gridSpan w:val="2"/>
          </w:tcPr>
          <w:p>
            <w:pPr>
              <w:pStyle w:val="TableParagraph"/>
              <w:tabs>
                <w:tab w:pos="789" w:val="left" w:leader="none"/>
              </w:tabs>
              <w:ind w:left="69"/>
              <w:rPr>
                <w:sz w:val="18"/>
              </w:rPr>
            </w:pPr>
            <w:r>
              <w:rPr>
                <w:color w:val="231F20"/>
                <w:sz w:val="18"/>
              </w:rPr>
              <w:t>0.383</w:t>
              <w:tab/>
              <w:t>**</w:t>
            </w:r>
          </w:p>
        </w:tc>
        <w:tc>
          <w:tcPr>
            <w:tcW w:w="672" w:type="dxa"/>
            <w:tcBorders>
              <w:right w:val="nil"/>
            </w:tcBorders>
          </w:tcPr>
          <w:p>
            <w:pPr>
              <w:pStyle w:val="TableParagraph"/>
              <w:ind w:left="51" w:right="106"/>
              <w:jc w:val="center"/>
              <w:rPr>
                <w:sz w:val="18"/>
              </w:rPr>
            </w:pPr>
            <w:r>
              <w:rPr>
                <w:color w:val="231F20"/>
                <w:sz w:val="18"/>
              </w:rPr>
              <w:t>-0.329</w:t>
            </w:r>
          </w:p>
        </w:tc>
        <w:tc>
          <w:tcPr>
            <w:tcW w:w="999" w:type="dxa"/>
            <w:tcBorders>
              <w:left w:val="nil"/>
            </w:tcBorders>
          </w:tcPr>
          <w:p>
            <w:pPr>
              <w:pStyle w:val="TableParagraph"/>
              <w:ind w:left="127"/>
              <w:rPr>
                <w:sz w:val="18"/>
              </w:rPr>
            </w:pPr>
            <w:r>
              <w:rPr>
                <w:color w:val="231F20"/>
                <w:sz w:val="18"/>
              </w:rPr>
              <w:t>*</w:t>
            </w:r>
          </w:p>
        </w:tc>
        <w:tc>
          <w:tcPr>
            <w:tcW w:w="672" w:type="dxa"/>
            <w:tcBorders>
              <w:right w:val="nil"/>
            </w:tcBorders>
          </w:tcPr>
          <w:p>
            <w:pPr>
              <w:pStyle w:val="TableParagraph"/>
              <w:ind w:left="51" w:right="106"/>
              <w:jc w:val="center"/>
              <w:rPr>
                <w:sz w:val="18"/>
              </w:rPr>
            </w:pPr>
            <w:r>
              <w:rPr>
                <w:color w:val="231F20"/>
                <w:sz w:val="18"/>
              </w:rPr>
              <w:t>-0.370</w:t>
            </w:r>
          </w:p>
        </w:tc>
        <w:tc>
          <w:tcPr>
            <w:tcW w:w="999" w:type="dxa"/>
            <w:tcBorders>
              <w:left w:val="nil"/>
            </w:tcBorders>
          </w:tcPr>
          <w:p>
            <w:pPr>
              <w:pStyle w:val="TableParagraph"/>
              <w:ind w:left="127"/>
              <w:rPr>
                <w:sz w:val="18"/>
              </w:rPr>
            </w:pPr>
            <w:r>
              <w:rPr>
                <w:color w:val="231F20"/>
                <w:sz w:val="18"/>
              </w:rPr>
              <w:t>**</w:t>
            </w:r>
          </w:p>
        </w:tc>
        <w:tc>
          <w:tcPr>
            <w:tcW w:w="1672" w:type="dxa"/>
            <w:gridSpan w:val="2"/>
          </w:tcPr>
          <w:p>
            <w:pPr>
              <w:pStyle w:val="TableParagraph"/>
              <w:tabs>
                <w:tab w:pos="789" w:val="left" w:leader="none"/>
              </w:tabs>
              <w:ind w:left="69"/>
              <w:rPr>
                <w:sz w:val="18"/>
              </w:rPr>
            </w:pPr>
            <w:r>
              <w:rPr>
                <w:color w:val="231F20"/>
                <w:sz w:val="18"/>
              </w:rPr>
              <w:t>0.428</w:t>
              <w:tab/>
              <w:t>**</w:t>
            </w:r>
          </w:p>
        </w:tc>
      </w:tr>
      <w:tr>
        <w:trPr>
          <w:trHeight w:val="285" w:hRule="exact"/>
        </w:trPr>
        <w:tc>
          <w:tcPr>
            <w:tcW w:w="1672" w:type="dxa"/>
          </w:tcPr>
          <w:p>
            <w:pPr>
              <w:pStyle w:val="TableParagraph"/>
              <w:ind w:left="69"/>
              <w:rPr>
                <w:sz w:val="18"/>
              </w:rPr>
            </w:pPr>
            <w:r>
              <w:rPr>
                <w:color w:val="231F20"/>
                <w:sz w:val="18"/>
              </w:rPr>
              <w:t>N9</w:t>
            </w:r>
          </w:p>
        </w:tc>
        <w:tc>
          <w:tcPr>
            <w:tcW w:w="1672" w:type="dxa"/>
            <w:gridSpan w:val="2"/>
          </w:tcPr>
          <w:p>
            <w:pPr>
              <w:pStyle w:val="TableParagraph"/>
              <w:tabs>
                <w:tab w:pos="789" w:val="left" w:leader="none"/>
              </w:tabs>
              <w:ind w:left="69"/>
              <w:rPr>
                <w:sz w:val="18"/>
              </w:rPr>
            </w:pPr>
            <w:r>
              <w:rPr>
                <w:color w:val="231F20"/>
                <w:sz w:val="18"/>
              </w:rPr>
              <w:t>0.575</w:t>
              <w:tab/>
              <w:t>**</w:t>
            </w:r>
          </w:p>
        </w:tc>
        <w:tc>
          <w:tcPr>
            <w:tcW w:w="672" w:type="dxa"/>
            <w:tcBorders>
              <w:right w:val="nil"/>
            </w:tcBorders>
          </w:tcPr>
          <w:p>
            <w:pPr>
              <w:pStyle w:val="TableParagraph"/>
              <w:ind w:left="51" w:right="106"/>
              <w:jc w:val="center"/>
              <w:rPr>
                <w:sz w:val="18"/>
              </w:rPr>
            </w:pPr>
            <w:r>
              <w:rPr>
                <w:color w:val="231F20"/>
                <w:sz w:val="18"/>
              </w:rPr>
              <w:t>-0.602</w:t>
            </w:r>
          </w:p>
        </w:tc>
        <w:tc>
          <w:tcPr>
            <w:tcW w:w="999" w:type="dxa"/>
            <w:tcBorders>
              <w:left w:val="nil"/>
            </w:tcBorders>
          </w:tcPr>
          <w:p>
            <w:pPr>
              <w:pStyle w:val="TableParagraph"/>
              <w:ind w:left="127"/>
              <w:rPr>
                <w:sz w:val="18"/>
              </w:rPr>
            </w:pPr>
            <w:r>
              <w:rPr>
                <w:color w:val="231F20"/>
                <w:sz w:val="18"/>
              </w:rPr>
              <w:t>**</w:t>
            </w:r>
          </w:p>
        </w:tc>
        <w:tc>
          <w:tcPr>
            <w:tcW w:w="1672" w:type="dxa"/>
            <w:gridSpan w:val="2"/>
          </w:tcPr>
          <w:p>
            <w:pPr>
              <w:pStyle w:val="TableParagraph"/>
              <w:tabs>
                <w:tab w:pos="789" w:val="left" w:leader="none"/>
              </w:tabs>
              <w:ind w:left="69"/>
              <w:rPr>
                <w:sz w:val="18"/>
              </w:rPr>
            </w:pPr>
            <w:r>
              <w:rPr>
                <w:color w:val="231F20"/>
                <w:sz w:val="18"/>
              </w:rPr>
              <w:t>0.282</w:t>
              <w:tab/>
              <w:t>*</w:t>
            </w:r>
          </w:p>
        </w:tc>
        <w:tc>
          <w:tcPr>
            <w:tcW w:w="672" w:type="dxa"/>
            <w:tcBorders>
              <w:right w:val="nil"/>
            </w:tcBorders>
          </w:tcPr>
          <w:p>
            <w:pPr>
              <w:pStyle w:val="TableParagraph"/>
              <w:ind w:left="69"/>
              <w:rPr>
                <w:sz w:val="18"/>
              </w:rPr>
            </w:pPr>
            <w:r>
              <w:rPr>
                <w:color w:val="231F20"/>
                <w:sz w:val="18"/>
              </w:rPr>
              <w:t>-0.033</w:t>
            </w:r>
          </w:p>
        </w:tc>
        <w:tc>
          <w:tcPr>
            <w:tcW w:w="999" w:type="dxa"/>
            <w:tcBorders>
              <w:left w:val="nil"/>
            </w:tcBorders>
          </w:tcPr>
          <w:p>
            <w:pPr>
              <w:pStyle w:val="TableParagraph"/>
              <w:ind w:left="127"/>
              <w:rPr>
                <w:sz w:val="18"/>
              </w:rPr>
            </w:pPr>
            <w:r>
              <w:rPr>
                <w:color w:val="231F20"/>
                <w:sz w:val="18"/>
              </w:rPr>
              <w:t>ns</w:t>
            </w:r>
          </w:p>
        </w:tc>
      </w:tr>
      <w:tr>
        <w:trPr>
          <w:trHeight w:val="285" w:hRule="exact"/>
        </w:trPr>
        <w:tc>
          <w:tcPr>
            <w:tcW w:w="1672" w:type="dxa"/>
          </w:tcPr>
          <w:p>
            <w:pPr>
              <w:pStyle w:val="TableParagraph"/>
              <w:ind w:left="69"/>
              <w:rPr>
                <w:sz w:val="18"/>
              </w:rPr>
            </w:pPr>
            <w:r>
              <w:rPr>
                <w:color w:val="231F20"/>
                <w:sz w:val="18"/>
              </w:rPr>
              <w:t>N10</w:t>
            </w:r>
          </w:p>
        </w:tc>
        <w:tc>
          <w:tcPr>
            <w:tcW w:w="687" w:type="dxa"/>
            <w:tcBorders>
              <w:right w:val="nil"/>
            </w:tcBorders>
          </w:tcPr>
          <w:p>
            <w:pPr>
              <w:pStyle w:val="TableParagraph"/>
              <w:ind w:left="47" w:right="87"/>
              <w:jc w:val="center"/>
              <w:rPr>
                <w:sz w:val="18"/>
              </w:rPr>
            </w:pPr>
            <w:r>
              <w:rPr>
                <w:color w:val="231F20"/>
                <w:sz w:val="18"/>
              </w:rPr>
              <w:t>0.0210</w:t>
            </w:r>
          </w:p>
        </w:tc>
        <w:tc>
          <w:tcPr>
            <w:tcW w:w="984" w:type="dxa"/>
            <w:tcBorders>
              <w:left w:val="nil"/>
            </w:tcBorders>
          </w:tcPr>
          <w:p>
            <w:pPr>
              <w:pStyle w:val="TableParagraph"/>
              <w:ind w:left="112"/>
              <w:rPr>
                <w:sz w:val="18"/>
              </w:rPr>
            </w:pPr>
            <w:r>
              <w:rPr>
                <w:color w:val="231F20"/>
                <w:sz w:val="18"/>
              </w:rPr>
              <w:t>ns</w:t>
            </w:r>
          </w:p>
        </w:tc>
        <w:tc>
          <w:tcPr>
            <w:tcW w:w="1672" w:type="dxa"/>
            <w:gridSpan w:val="2"/>
          </w:tcPr>
          <w:p>
            <w:pPr>
              <w:pStyle w:val="TableParagraph"/>
              <w:tabs>
                <w:tab w:pos="789" w:val="left" w:leader="none"/>
              </w:tabs>
              <w:ind w:left="69"/>
              <w:rPr>
                <w:sz w:val="18"/>
              </w:rPr>
            </w:pPr>
            <w:r>
              <w:rPr>
                <w:color w:val="231F20"/>
                <w:sz w:val="18"/>
              </w:rPr>
              <w:t>0.178</w:t>
              <w:tab/>
              <w:t>ns</w:t>
            </w:r>
          </w:p>
        </w:tc>
        <w:tc>
          <w:tcPr>
            <w:tcW w:w="672" w:type="dxa"/>
            <w:tcBorders>
              <w:right w:val="nil"/>
            </w:tcBorders>
          </w:tcPr>
          <w:p>
            <w:pPr>
              <w:pStyle w:val="TableParagraph"/>
              <w:ind w:left="51" w:right="106"/>
              <w:jc w:val="center"/>
              <w:rPr>
                <w:sz w:val="18"/>
              </w:rPr>
            </w:pPr>
            <w:r>
              <w:rPr>
                <w:color w:val="231F20"/>
                <w:sz w:val="18"/>
              </w:rPr>
              <w:t>-0.336</w:t>
            </w:r>
          </w:p>
        </w:tc>
        <w:tc>
          <w:tcPr>
            <w:tcW w:w="999" w:type="dxa"/>
            <w:tcBorders>
              <w:left w:val="nil"/>
            </w:tcBorders>
          </w:tcPr>
          <w:p>
            <w:pPr>
              <w:pStyle w:val="TableParagraph"/>
              <w:ind w:left="127"/>
              <w:rPr>
                <w:sz w:val="18"/>
              </w:rPr>
            </w:pPr>
            <w:r>
              <w:rPr>
                <w:color w:val="231F20"/>
                <w:sz w:val="18"/>
              </w:rPr>
              <w:t>**</w:t>
            </w:r>
          </w:p>
        </w:tc>
        <w:tc>
          <w:tcPr>
            <w:tcW w:w="1672" w:type="dxa"/>
            <w:gridSpan w:val="2"/>
          </w:tcPr>
          <w:p>
            <w:pPr>
              <w:pStyle w:val="TableParagraph"/>
              <w:tabs>
                <w:tab w:pos="789" w:val="left" w:leader="none"/>
              </w:tabs>
              <w:ind w:left="69"/>
              <w:rPr>
                <w:sz w:val="18"/>
              </w:rPr>
            </w:pPr>
            <w:r>
              <w:rPr>
                <w:color w:val="231F20"/>
                <w:sz w:val="18"/>
              </w:rPr>
              <w:t>0.342</w:t>
              <w:tab/>
              <w:t>**</w:t>
            </w:r>
          </w:p>
        </w:tc>
      </w:tr>
      <w:tr>
        <w:trPr>
          <w:trHeight w:val="285" w:hRule="exact"/>
        </w:trPr>
        <w:tc>
          <w:tcPr>
            <w:tcW w:w="1672" w:type="dxa"/>
          </w:tcPr>
          <w:p>
            <w:pPr>
              <w:pStyle w:val="TableParagraph"/>
              <w:ind w:left="69"/>
              <w:rPr>
                <w:sz w:val="18"/>
              </w:rPr>
            </w:pPr>
            <w:r>
              <w:rPr>
                <w:color w:val="231F20"/>
                <w:sz w:val="18"/>
              </w:rPr>
              <w:t>N11</w:t>
            </w:r>
          </w:p>
        </w:tc>
        <w:tc>
          <w:tcPr>
            <w:tcW w:w="1672" w:type="dxa"/>
            <w:gridSpan w:val="2"/>
          </w:tcPr>
          <w:p>
            <w:pPr>
              <w:pStyle w:val="TableParagraph"/>
              <w:tabs>
                <w:tab w:pos="789" w:val="left" w:leader="none"/>
              </w:tabs>
              <w:ind w:left="69"/>
              <w:rPr>
                <w:sz w:val="18"/>
              </w:rPr>
            </w:pPr>
            <w:r>
              <w:rPr>
                <w:color w:val="231F20"/>
                <w:sz w:val="18"/>
              </w:rPr>
              <w:t>0.123</w:t>
              <w:tab/>
              <w:t>ns</w:t>
            </w:r>
          </w:p>
        </w:tc>
        <w:tc>
          <w:tcPr>
            <w:tcW w:w="1672" w:type="dxa"/>
            <w:gridSpan w:val="2"/>
          </w:tcPr>
          <w:p>
            <w:pPr>
              <w:pStyle w:val="TableParagraph"/>
              <w:tabs>
                <w:tab w:pos="789" w:val="left" w:leader="none"/>
              </w:tabs>
              <w:ind w:left="69"/>
              <w:rPr>
                <w:sz w:val="18"/>
              </w:rPr>
            </w:pPr>
            <w:r>
              <w:rPr>
                <w:color w:val="231F20"/>
                <w:sz w:val="18"/>
              </w:rPr>
              <w:t>0.153</w:t>
              <w:tab/>
              <w:t>ns</w:t>
            </w:r>
          </w:p>
        </w:tc>
        <w:tc>
          <w:tcPr>
            <w:tcW w:w="1672" w:type="dxa"/>
            <w:gridSpan w:val="2"/>
          </w:tcPr>
          <w:p>
            <w:pPr>
              <w:pStyle w:val="TableParagraph"/>
              <w:tabs>
                <w:tab w:pos="789" w:val="left" w:leader="none"/>
              </w:tabs>
              <w:ind w:left="69"/>
              <w:rPr>
                <w:sz w:val="18"/>
              </w:rPr>
            </w:pPr>
            <w:r>
              <w:rPr>
                <w:color w:val="231F20"/>
                <w:sz w:val="18"/>
              </w:rPr>
              <w:t>0.136</w:t>
              <w:tab/>
              <w:t>ns</w:t>
            </w:r>
          </w:p>
        </w:tc>
        <w:tc>
          <w:tcPr>
            <w:tcW w:w="672" w:type="dxa"/>
            <w:tcBorders>
              <w:right w:val="nil"/>
            </w:tcBorders>
          </w:tcPr>
          <w:p>
            <w:pPr>
              <w:pStyle w:val="TableParagraph"/>
              <w:ind w:left="69"/>
              <w:rPr>
                <w:sz w:val="18"/>
              </w:rPr>
            </w:pPr>
            <w:r>
              <w:rPr>
                <w:color w:val="231F20"/>
                <w:sz w:val="18"/>
              </w:rPr>
              <w:t>-0.068</w:t>
            </w:r>
          </w:p>
        </w:tc>
        <w:tc>
          <w:tcPr>
            <w:tcW w:w="999" w:type="dxa"/>
            <w:tcBorders>
              <w:left w:val="nil"/>
            </w:tcBorders>
          </w:tcPr>
          <w:p>
            <w:pPr>
              <w:pStyle w:val="TableParagraph"/>
              <w:ind w:left="127"/>
              <w:rPr>
                <w:sz w:val="18"/>
              </w:rPr>
            </w:pPr>
            <w:r>
              <w:rPr>
                <w:color w:val="231F20"/>
                <w:sz w:val="18"/>
              </w:rPr>
              <w:t>ns</w:t>
            </w:r>
          </w:p>
        </w:tc>
      </w:tr>
      <w:tr>
        <w:trPr>
          <w:trHeight w:val="285" w:hRule="exact"/>
        </w:trPr>
        <w:tc>
          <w:tcPr>
            <w:tcW w:w="1672" w:type="dxa"/>
          </w:tcPr>
          <w:p>
            <w:pPr>
              <w:pStyle w:val="TableParagraph"/>
              <w:ind w:left="69"/>
              <w:rPr>
                <w:sz w:val="18"/>
              </w:rPr>
            </w:pPr>
            <w:r>
              <w:rPr>
                <w:color w:val="231F20"/>
                <w:sz w:val="18"/>
              </w:rPr>
              <w:t>R12</w:t>
            </w:r>
          </w:p>
        </w:tc>
        <w:tc>
          <w:tcPr>
            <w:tcW w:w="1672" w:type="dxa"/>
            <w:gridSpan w:val="2"/>
          </w:tcPr>
          <w:p>
            <w:pPr>
              <w:pStyle w:val="TableParagraph"/>
              <w:tabs>
                <w:tab w:pos="789" w:val="left" w:leader="none"/>
              </w:tabs>
              <w:ind w:left="69"/>
              <w:rPr>
                <w:sz w:val="18"/>
              </w:rPr>
            </w:pPr>
            <w:r>
              <w:rPr>
                <w:color w:val="231F20"/>
                <w:sz w:val="18"/>
              </w:rPr>
              <w:t>0.108</w:t>
              <w:tab/>
              <w:t>ns</w:t>
            </w:r>
          </w:p>
        </w:tc>
        <w:tc>
          <w:tcPr>
            <w:tcW w:w="1672" w:type="dxa"/>
            <w:gridSpan w:val="2"/>
          </w:tcPr>
          <w:p>
            <w:pPr>
              <w:pStyle w:val="TableParagraph"/>
              <w:tabs>
                <w:tab w:pos="789" w:val="left" w:leader="none"/>
              </w:tabs>
              <w:ind w:left="69"/>
              <w:rPr>
                <w:sz w:val="18"/>
              </w:rPr>
            </w:pPr>
            <w:r>
              <w:rPr>
                <w:color w:val="231F20"/>
                <w:sz w:val="18"/>
              </w:rPr>
              <w:t>0.174</w:t>
              <w:tab/>
              <w:t>ns</w:t>
            </w:r>
          </w:p>
        </w:tc>
        <w:tc>
          <w:tcPr>
            <w:tcW w:w="672" w:type="dxa"/>
            <w:tcBorders>
              <w:right w:val="nil"/>
            </w:tcBorders>
          </w:tcPr>
          <w:p>
            <w:pPr>
              <w:pStyle w:val="TableParagraph"/>
              <w:ind w:left="51" w:right="106"/>
              <w:jc w:val="center"/>
              <w:rPr>
                <w:sz w:val="18"/>
              </w:rPr>
            </w:pPr>
            <w:r>
              <w:rPr>
                <w:color w:val="231F20"/>
                <w:sz w:val="18"/>
              </w:rPr>
              <w:t>-0.199</w:t>
            </w:r>
          </w:p>
        </w:tc>
        <w:tc>
          <w:tcPr>
            <w:tcW w:w="999" w:type="dxa"/>
            <w:tcBorders>
              <w:left w:val="nil"/>
            </w:tcBorders>
          </w:tcPr>
          <w:p>
            <w:pPr>
              <w:pStyle w:val="TableParagraph"/>
              <w:ind w:left="127"/>
              <w:rPr>
                <w:sz w:val="18"/>
              </w:rPr>
            </w:pPr>
            <w:r>
              <w:rPr>
                <w:color w:val="231F20"/>
                <w:sz w:val="18"/>
              </w:rPr>
              <w:t>ns</w:t>
            </w:r>
          </w:p>
        </w:tc>
        <w:tc>
          <w:tcPr>
            <w:tcW w:w="1672" w:type="dxa"/>
            <w:gridSpan w:val="2"/>
          </w:tcPr>
          <w:p>
            <w:pPr>
              <w:pStyle w:val="TableParagraph"/>
              <w:tabs>
                <w:tab w:pos="789" w:val="left" w:leader="none"/>
              </w:tabs>
              <w:ind w:left="69"/>
              <w:rPr>
                <w:sz w:val="18"/>
              </w:rPr>
            </w:pPr>
            <w:r>
              <w:rPr>
                <w:color w:val="231F20"/>
                <w:sz w:val="18"/>
              </w:rPr>
              <w:t>0.151</w:t>
              <w:tab/>
              <w:t>ns</w:t>
            </w:r>
          </w:p>
        </w:tc>
      </w:tr>
      <w:tr>
        <w:trPr>
          <w:trHeight w:val="285" w:hRule="exact"/>
        </w:trPr>
        <w:tc>
          <w:tcPr>
            <w:tcW w:w="1672" w:type="dxa"/>
          </w:tcPr>
          <w:p>
            <w:pPr>
              <w:pStyle w:val="TableParagraph"/>
              <w:ind w:left="69"/>
              <w:rPr>
                <w:sz w:val="18"/>
              </w:rPr>
            </w:pPr>
            <w:r>
              <w:rPr>
                <w:color w:val="231F20"/>
                <w:sz w:val="18"/>
              </w:rPr>
              <w:t>R13</w:t>
            </w:r>
          </w:p>
        </w:tc>
        <w:tc>
          <w:tcPr>
            <w:tcW w:w="1672" w:type="dxa"/>
            <w:gridSpan w:val="2"/>
          </w:tcPr>
          <w:p>
            <w:pPr>
              <w:pStyle w:val="TableParagraph"/>
              <w:tabs>
                <w:tab w:pos="789" w:val="left" w:leader="none"/>
              </w:tabs>
              <w:ind w:left="69"/>
              <w:rPr>
                <w:sz w:val="18"/>
              </w:rPr>
            </w:pPr>
            <w:r>
              <w:rPr>
                <w:color w:val="231F20"/>
                <w:sz w:val="18"/>
              </w:rPr>
              <w:t>0.514</w:t>
              <w:tab/>
              <w:t>**</w:t>
            </w:r>
          </w:p>
        </w:tc>
        <w:tc>
          <w:tcPr>
            <w:tcW w:w="672" w:type="dxa"/>
            <w:tcBorders>
              <w:right w:val="nil"/>
            </w:tcBorders>
          </w:tcPr>
          <w:p>
            <w:pPr>
              <w:pStyle w:val="TableParagraph"/>
              <w:ind w:left="51" w:right="106"/>
              <w:jc w:val="center"/>
              <w:rPr>
                <w:sz w:val="18"/>
              </w:rPr>
            </w:pPr>
            <w:r>
              <w:rPr>
                <w:color w:val="231F20"/>
                <w:sz w:val="18"/>
              </w:rPr>
              <w:t>-0.544</w:t>
            </w:r>
          </w:p>
        </w:tc>
        <w:tc>
          <w:tcPr>
            <w:tcW w:w="999" w:type="dxa"/>
            <w:tcBorders>
              <w:left w:val="nil"/>
            </w:tcBorders>
          </w:tcPr>
          <w:p>
            <w:pPr>
              <w:pStyle w:val="TableParagraph"/>
              <w:ind w:left="127"/>
              <w:rPr>
                <w:sz w:val="18"/>
              </w:rPr>
            </w:pPr>
            <w:r>
              <w:rPr>
                <w:color w:val="231F20"/>
                <w:sz w:val="18"/>
              </w:rPr>
              <w:t>**</w:t>
            </w:r>
          </w:p>
        </w:tc>
        <w:tc>
          <w:tcPr>
            <w:tcW w:w="672" w:type="dxa"/>
            <w:tcBorders>
              <w:right w:val="nil"/>
            </w:tcBorders>
          </w:tcPr>
          <w:p>
            <w:pPr>
              <w:pStyle w:val="TableParagraph"/>
              <w:ind w:left="51" w:right="166"/>
              <w:jc w:val="center"/>
              <w:rPr>
                <w:sz w:val="18"/>
              </w:rPr>
            </w:pPr>
            <w:r>
              <w:rPr>
                <w:color w:val="231F20"/>
                <w:sz w:val="18"/>
              </w:rPr>
              <w:t>0.624</w:t>
            </w:r>
          </w:p>
        </w:tc>
        <w:tc>
          <w:tcPr>
            <w:tcW w:w="999" w:type="dxa"/>
            <w:tcBorders>
              <w:left w:val="nil"/>
            </w:tcBorders>
          </w:tcPr>
          <w:p>
            <w:pPr>
              <w:pStyle w:val="TableParagraph"/>
              <w:ind w:left="127"/>
              <w:rPr>
                <w:sz w:val="18"/>
              </w:rPr>
            </w:pPr>
            <w:r>
              <w:rPr>
                <w:color w:val="231F20"/>
                <w:sz w:val="18"/>
              </w:rPr>
              <w:t>**</w:t>
            </w:r>
          </w:p>
        </w:tc>
        <w:tc>
          <w:tcPr>
            <w:tcW w:w="672" w:type="dxa"/>
            <w:tcBorders>
              <w:right w:val="nil"/>
            </w:tcBorders>
          </w:tcPr>
          <w:p>
            <w:pPr>
              <w:pStyle w:val="TableParagraph"/>
              <w:ind w:left="69"/>
              <w:rPr>
                <w:sz w:val="18"/>
              </w:rPr>
            </w:pPr>
            <w:r>
              <w:rPr>
                <w:color w:val="231F20"/>
                <w:sz w:val="18"/>
              </w:rPr>
              <w:t>-0.601</w:t>
            </w:r>
          </w:p>
        </w:tc>
        <w:tc>
          <w:tcPr>
            <w:tcW w:w="999" w:type="dxa"/>
            <w:tcBorders>
              <w:left w:val="nil"/>
            </w:tcBorders>
          </w:tcPr>
          <w:p>
            <w:pPr>
              <w:pStyle w:val="TableParagraph"/>
              <w:ind w:left="127"/>
              <w:rPr>
                <w:sz w:val="18"/>
              </w:rPr>
            </w:pPr>
            <w:r>
              <w:rPr>
                <w:color w:val="231F20"/>
                <w:sz w:val="18"/>
              </w:rPr>
              <w:t>**</w:t>
            </w:r>
          </w:p>
        </w:tc>
      </w:tr>
      <w:tr>
        <w:trPr>
          <w:trHeight w:val="285" w:hRule="exact"/>
        </w:trPr>
        <w:tc>
          <w:tcPr>
            <w:tcW w:w="1672" w:type="dxa"/>
          </w:tcPr>
          <w:p>
            <w:pPr>
              <w:pStyle w:val="TableParagraph"/>
              <w:ind w:left="69"/>
              <w:rPr>
                <w:sz w:val="18"/>
              </w:rPr>
            </w:pPr>
            <w:r>
              <w:rPr>
                <w:color w:val="231F20"/>
                <w:sz w:val="18"/>
              </w:rPr>
              <w:t>30T26</w:t>
            </w:r>
          </w:p>
        </w:tc>
        <w:tc>
          <w:tcPr>
            <w:tcW w:w="687" w:type="dxa"/>
            <w:tcBorders>
              <w:right w:val="nil"/>
            </w:tcBorders>
          </w:tcPr>
          <w:p>
            <w:pPr>
              <w:pStyle w:val="TableParagraph"/>
              <w:ind w:left="47" w:right="184"/>
              <w:jc w:val="center"/>
              <w:rPr>
                <w:sz w:val="18"/>
              </w:rPr>
            </w:pPr>
            <w:r>
              <w:rPr>
                <w:color w:val="231F20"/>
                <w:sz w:val="18"/>
              </w:rPr>
              <w:t>0.112</w:t>
            </w:r>
          </w:p>
        </w:tc>
        <w:tc>
          <w:tcPr>
            <w:tcW w:w="984" w:type="dxa"/>
            <w:tcBorders>
              <w:left w:val="nil"/>
            </w:tcBorders>
          </w:tcPr>
          <w:p>
            <w:pPr>
              <w:pStyle w:val="TableParagraph"/>
              <w:ind w:left="112"/>
              <w:rPr>
                <w:sz w:val="18"/>
              </w:rPr>
            </w:pPr>
            <w:r>
              <w:rPr>
                <w:color w:val="231F20"/>
                <w:sz w:val="18"/>
              </w:rPr>
              <w:t>ns</w:t>
            </w:r>
          </w:p>
        </w:tc>
        <w:tc>
          <w:tcPr>
            <w:tcW w:w="1672" w:type="dxa"/>
            <w:gridSpan w:val="2"/>
          </w:tcPr>
          <w:p>
            <w:pPr>
              <w:pStyle w:val="TableParagraph"/>
              <w:tabs>
                <w:tab w:pos="789" w:val="left" w:leader="none"/>
              </w:tabs>
              <w:ind w:left="69"/>
              <w:rPr>
                <w:sz w:val="18"/>
              </w:rPr>
            </w:pPr>
            <w:r>
              <w:rPr>
                <w:color w:val="231F20"/>
                <w:sz w:val="18"/>
              </w:rPr>
              <w:t>0.149</w:t>
              <w:tab/>
              <w:t>ns</w:t>
            </w:r>
          </w:p>
        </w:tc>
        <w:tc>
          <w:tcPr>
            <w:tcW w:w="672" w:type="dxa"/>
            <w:tcBorders>
              <w:right w:val="nil"/>
            </w:tcBorders>
          </w:tcPr>
          <w:p>
            <w:pPr>
              <w:pStyle w:val="TableParagraph"/>
              <w:ind w:left="51" w:right="106"/>
              <w:jc w:val="center"/>
              <w:rPr>
                <w:sz w:val="18"/>
              </w:rPr>
            </w:pPr>
            <w:r>
              <w:rPr>
                <w:color w:val="231F20"/>
                <w:sz w:val="18"/>
              </w:rPr>
              <w:t>-0.085</w:t>
            </w:r>
          </w:p>
        </w:tc>
        <w:tc>
          <w:tcPr>
            <w:tcW w:w="999" w:type="dxa"/>
            <w:tcBorders>
              <w:left w:val="nil"/>
            </w:tcBorders>
          </w:tcPr>
          <w:p>
            <w:pPr>
              <w:pStyle w:val="TableParagraph"/>
              <w:ind w:left="127"/>
              <w:rPr>
                <w:sz w:val="18"/>
              </w:rPr>
            </w:pPr>
            <w:r>
              <w:rPr>
                <w:color w:val="231F20"/>
                <w:sz w:val="18"/>
              </w:rPr>
              <w:t>ns</w:t>
            </w:r>
          </w:p>
        </w:tc>
        <w:tc>
          <w:tcPr>
            <w:tcW w:w="1672" w:type="dxa"/>
            <w:gridSpan w:val="2"/>
          </w:tcPr>
          <w:p>
            <w:pPr>
              <w:pStyle w:val="TableParagraph"/>
              <w:tabs>
                <w:tab w:pos="789" w:val="left" w:leader="none"/>
              </w:tabs>
              <w:ind w:left="69"/>
              <w:rPr>
                <w:sz w:val="18"/>
              </w:rPr>
            </w:pPr>
            <w:r>
              <w:rPr>
                <w:color w:val="231F20"/>
                <w:sz w:val="18"/>
              </w:rPr>
              <w:t>0.104</w:t>
              <w:tab/>
              <w:t>ns</w:t>
            </w:r>
          </w:p>
        </w:tc>
      </w:tr>
      <w:tr>
        <w:trPr>
          <w:trHeight w:val="285" w:hRule="exact"/>
        </w:trPr>
        <w:tc>
          <w:tcPr>
            <w:tcW w:w="1672" w:type="dxa"/>
          </w:tcPr>
          <w:p>
            <w:pPr>
              <w:pStyle w:val="TableParagraph"/>
              <w:ind w:left="69"/>
              <w:rPr>
                <w:sz w:val="18"/>
              </w:rPr>
            </w:pPr>
            <w:r>
              <w:rPr>
                <w:color w:val="231F20"/>
                <w:sz w:val="18"/>
              </w:rPr>
              <w:t>Oso</w:t>
            </w:r>
          </w:p>
        </w:tc>
        <w:tc>
          <w:tcPr>
            <w:tcW w:w="1672" w:type="dxa"/>
            <w:gridSpan w:val="2"/>
          </w:tcPr>
          <w:p>
            <w:pPr>
              <w:pStyle w:val="TableParagraph"/>
              <w:tabs>
                <w:tab w:pos="789" w:val="left" w:leader="none"/>
              </w:tabs>
              <w:ind w:left="69"/>
              <w:rPr>
                <w:sz w:val="18"/>
              </w:rPr>
            </w:pPr>
            <w:r>
              <w:rPr>
                <w:color w:val="231F20"/>
                <w:sz w:val="18"/>
              </w:rPr>
              <w:t>0.273</w:t>
              <w:tab/>
              <w:t>**</w:t>
            </w:r>
          </w:p>
        </w:tc>
        <w:tc>
          <w:tcPr>
            <w:tcW w:w="1672" w:type="dxa"/>
            <w:gridSpan w:val="2"/>
          </w:tcPr>
          <w:p>
            <w:pPr>
              <w:pStyle w:val="TableParagraph"/>
              <w:tabs>
                <w:tab w:pos="789" w:val="left" w:leader="none"/>
              </w:tabs>
              <w:ind w:left="69"/>
              <w:rPr>
                <w:sz w:val="18"/>
              </w:rPr>
            </w:pPr>
            <w:r>
              <w:rPr>
                <w:color w:val="231F20"/>
                <w:sz w:val="18"/>
              </w:rPr>
              <w:t>0.101</w:t>
              <w:tab/>
              <w:t>ns</w:t>
            </w:r>
          </w:p>
        </w:tc>
        <w:tc>
          <w:tcPr>
            <w:tcW w:w="1672" w:type="dxa"/>
            <w:gridSpan w:val="2"/>
          </w:tcPr>
          <w:p>
            <w:pPr>
              <w:pStyle w:val="TableParagraph"/>
              <w:tabs>
                <w:tab w:pos="789" w:val="left" w:leader="none"/>
              </w:tabs>
              <w:ind w:left="69"/>
              <w:rPr>
                <w:sz w:val="18"/>
              </w:rPr>
            </w:pPr>
            <w:r>
              <w:rPr>
                <w:color w:val="231F20"/>
                <w:sz w:val="18"/>
              </w:rPr>
              <w:t>0.176</w:t>
              <w:tab/>
              <w:t>**</w:t>
            </w:r>
          </w:p>
        </w:tc>
        <w:tc>
          <w:tcPr>
            <w:tcW w:w="672" w:type="dxa"/>
            <w:tcBorders>
              <w:right w:val="nil"/>
            </w:tcBorders>
          </w:tcPr>
          <w:p>
            <w:pPr>
              <w:pStyle w:val="TableParagraph"/>
              <w:ind w:left="69"/>
              <w:rPr>
                <w:sz w:val="18"/>
              </w:rPr>
            </w:pPr>
            <w:r>
              <w:rPr>
                <w:color w:val="231F20"/>
                <w:sz w:val="18"/>
              </w:rPr>
              <w:t>-0.183</w:t>
            </w:r>
          </w:p>
        </w:tc>
        <w:tc>
          <w:tcPr>
            <w:tcW w:w="999" w:type="dxa"/>
            <w:tcBorders>
              <w:left w:val="nil"/>
            </w:tcBorders>
          </w:tcPr>
          <w:p>
            <w:pPr>
              <w:pStyle w:val="TableParagraph"/>
              <w:ind w:left="127"/>
              <w:rPr>
                <w:sz w:val="18"/>
              </w:rPr>
            </w:pPr>
            <w:r>
              <w:rPr>
                <w:color w:val="231F20"/>
                <w:sz w:val="18"/>
              </w:rPr>
              <w:t>*</w:t>
            </w:r>
          </w:p>
        </w:tc>
      </w:tr>
      <w:tr>
        <w:trPr>
          <w:trHeight w:val="285" w:hRule="exact"/>
        </w:trPr>
        <w:tc>
          <w:tcPr>
            <w:tcW w:w="1672" w:type="dxa"/>
          </w:tcPr>
          <w:p>
            <w:pPr>
              <w:pStyle w:val="TableParagraph"/>
              <w:ind w:left="69"/>
              <w:rPr>
                <w:sz w:val="18"/>
              </w:rPr>
            </w:pPr>
            <w:r>
              <w:rPr>
                <w:color w:val="231F20"/>
                <w:sz w:val="18"/>
              </w:rPr>
              <w:t>Cobra</w:t>
            </w:r>
          </w:p>
        </w:tc>
        <w:tc>
          <w:tcPr>
            <w:tcW w:w="1672" w:type="dxa"/>
            <w:gridSpan w:val="2"/>
          </w:tcPr>
          <w:p>
            <w:pPr>
              <w:pStyle w:val="TableParagraph"/>
              <w:tabs>
                <w:tab w:pos="789" w:val="left" w:leader="none"/>
              </w:tabs>
              <w:ind w:left="69"/>
              <w:rPr>
                <w:sz w:val="18"/>
              </w:rPr>
            </w:pPr>
            <w:r>
              <w:rPr>
                <w:color w:val="231F20"/>
                <w:sz w:val="18"/>
              </w:rPr>
              <w:t>0.072</w:t>
              <w:tab/>
              <w:t>ns</w:t>
            </w:r>
          </w:p>
        </w:tc>
        <w:tc>
          <w:tcPr>
            <w:tcW w:w="1672" w:type="dxa"/>
            <w:gridSpan w:val="2"/>
          </w:tcPr>
          <w:p>
            <w:pPr>
              <w:pStyle w:val="TableParagraph"/>
              <w:tabs>
                <w:tab w:pos="789" w:val="left" w:leader="none"/>
              </w:tabs>
              <w:ind w:left="69"/>
              <w:rPr>
                <w:sz w:val="18"/>
              </w:rPr>
            </w:pPr>
            <w:r>
              <w:rPr>
                <w:color w:val="231F20"/>
                <w:sz w:val="18"/>
              </w:rPr>
              <w:t>0.109</w:t>
              <w:tab/>
              <w:t>ns</w:t>
            </w:r>
          </w:p>
        </w:tc>
        <w:tc>
          <w:tcPr>
            <w:tcW w:w="672" w:type="dxa"/>
            <w:tcBorders>
              <w:right w:val="nil"/>
            </w:tcBorders>
          </w:tcPr>
          <w:p>
            <w:pPr>
              <w:pStyle w:val="TableParagraph"/>
              <w:ind w:left="51" w:right="106"/>
              <w:jc w:val="center"/>
              <w:rPr>
                <w:sz w:val="18"/>
              </w:rPr>
            </w:pPr>
            <w:r>
              <w:rPr>
                <w:color w:val="231F20"/>
                <w:sz w:val="18"/>
              </w:rPr>
              <w:t>-0.062</w:t>
            </w:r>
          </w:p>
        </w:tc>
        <w:tc>
          <w:tcPr>
            <w:tcW w:w="999" w:type="dxa"/>
            <w:tcBorders>
              <w:left w:val="nil"/>
            </w:tcBorders>
          </w:tcPr>
          <w:p>
            <w:pPr>
              <w:pStyle w:val="TableParagraph"/>
              <w:ind w:left="127"/>
              <w:rPr>
                <w:sz w:val="18"/>
              </w:rPr>
            </w:pPr>
            <w:r>
              <w:rPr>
                <w:color w:val="231F20"/>
                <w:sz w:val="18"/>
              </w:rPr>
              <w:t>ns</w:t>
            </w:r>
          </w:p>
        </w:tc>
        <w:tc>
          <w:tcPr>
            <w:tcW w:w="1672" w:type="dxa"/>
            <w:gridSpan w:val="2"/>
          </w:tcPr>
          <w:p>
            <w:pPr>
              <w:pStyle w:val="TableParagraph"/>
              <w:tabs>
                <w:tab w:pos="789" w:val="left" w:leader="none"/>
              </w:tabs>
              <w:ind w:left="69"/>
              <w:rPr>
                <w:sz w:val="18"/>
              </w:rPr>
            </w:pPr>
            <w:r>
              <w:rPr>
                <w:color w:val="231F20"/>
                <w:sz w:val="18"/>
              </w:rPr>
              <w:t>0.072</w:t>
              <w:tab/>
              <w:t>ns</w:t>
            </w:r>
          </w:p>
        </w:tc>
      </w:tr>
      <w:tr>
        <w:trPr>
          <w:trHeight w:val="285" w:hRule="exact"/>
        </w:trPr>
        <w:tc>
          <w:tcPr>
            <w:tcW w:w="1672" w:type="dxa"/>
          </w:tcPr>
          <w:p>
            <w:pPr>
              <w:pStyle w:val="TableParagraph"/>
              <w:ind w:left="69"/>
              <w:rPr>
                <w:sz w:val="18"/>
              </w:rPr>
            </w:pPr>
            <w:r>
              <w:rPr>
                <w:color w:val="231F20"/>
                <w:sz w:val="18"/>
              </w:rPr>
              <w:t>A7573</w:t>
            </w:r>
          </w:p>
        </w:tc>
        <w:tc>
          <w:tcPr>
            <w:tcW w:w="1672" w:type="dxa"/>
            <w:gridSpan w:val="2"/>
          </w:tcPr>
          <w:p>
            <w:pPr>
              <w:pStyle w:val="TableParagraph"/>
              <w:tabs>
                <w:tab w:pos="789" w:val="left" w:leader="none"/>
              </w:tabs>
              <w:ind w:left="69"/>
              <w:rPr>
                <w:sz w:val="18"/>
              </w:rPr>
            </w:pPr>
            <w:r>
              <w:rPr>
                <w:color w:val="231F20"/>
                <w:sz w:val="18"/>
              </w:rPr>
              <w:t>0.212</w:t>
              <w:tab/>
              <w:t>**</w:t>
            </w:r>
          </w:p>
        </w:tc>
        <w:tc>
          <w:tcPr>
            <w:tcW w:w="1672" w:type="dxa"/>
            <w:gridSpan w:val="2"/>
          </w:tcPr>
          <w:p>
            <w:pPr>
              <w:pStyle w:val="TableParagraph"/>
              <w:tabs>
                <w:tab w:pos="789" w:val="left" w:leader="none"/>
              </w:tabs>
              <w:ind w:left="69"/>
              <w:rPr>
                <w:sz w:val="18"/>
              </w:rPr>
            </w:pPr>
            <w:r>
              <w:rPr>
                <w:color w:val="231F20"/>
                <w:sz w:val="18"/>
              </w:rPr>
              <w:t>0.094</w:t>
              <w:tab/>
              <w:t>ns</w:t>
            </w:r>
          </w:p>
        </w:tc>
        <w:tc>
          <w:tcPr>
            <w:tcW w:w="672" w:type="dxa"/>
            <w:tcBorders>
              <w:right w:val="nil"/>
            </w:tcBorders>
          </w:tcPr>
          <w:p>
            <w:pPr>
              <w:pStyle w:val="TableParagraph"/>
              <w:ind w:left="51" w:right="106"/>
              <w:jc w:val="center"/>
              <w:rPr>
                <w:sz w:val="18"/>
              </w:rPr>
            </w:pPr>
            <w:r>
              <w:rPr>
                <w:color w:val="231F20"/>
                <w:sz w:val="18"/>
              </w:rPr>
              <w:t>-0.166</w:t>
            </w:r>
          </w:p>
        </w:tc>
        <w:tc>
          <w:tcPr>
            <w:tcW w:w="999" w:type="dxa"/>
            <w:tcBorders>
              <w:left w:val="nil"/>
            </w:tcBorders>
          </w:tcPr>
          <w:p>
            <w:pPr>
              <w:pStyle w:val="TableParagraph"/>
              <w:ind w:left="127"/>
              <w:rPr>
                <w:sz w:val="18"/>
              </w:rPr>
            </w:pPr>
            <w:r>
              <w:rPr>
                <w:color w:val="231F20"/>
                <w:sz w:val="18"/>
              </w:rPr>
              <w:t>*</w:t>
            </w:r>
          </w:p>
        </w:tc>
        <w:tc>
          <w:tcPr>
            <w:tcW w:w="672" w:type="dxa"/>
            <w:tcBorders>
              <w:right w:val="nil"/>
            </w:tcBorders>
          </w:tcPr>
          <w:p>
            <w:pPr>
              <w:pStyle w:val="TableParagraph"/>
              <w:ind w:left="69"/>
              <w:rPr>
                <w:sz w:val="18"/>
              </w:rPr>
            </w:pPr>
            <w:r>
              <w:rPr>
                <w:color w:val="231F20"/>
                <w:sz w:val="18"/>
              </w:rPr>
              <w:t>0.211</w:t>
            </w:r>
          </w:p>
        </w:tc>
        <w:tc>
          <w:tcPr>
            <w:tcW w:w="999" w:type="dxa"/>
            <w:tcBorders>
              <w:left w:val="nil"/>
            </w:tcBorders>
          </w:tcPr>
          <w:p>
            <w:pPr>
              <w:pStyle w:val="TableParagraph"/>
              <w:ind w:left="127"/>
              <w:rPr>
                <w:sz w:val="18"/>
              </w:rPr>
            </w:pPr>
            <w:r>
              <w:rPr>
                <w:color w:val="231F20"/>
                <w:sz w:val="18"/>
              </w:rPr>
              <w:t>**</w:t>
            </w:r>
          </w:p>
        </w:tc>
      </w:tr>
      <w:tr>
        <w:trPr>
          <w:trHeight w:val="285" w:hRule="exact"/>
        </w:trPr>
        <w:tc>
          <w:tcPr>
            <w:tcW w:w="1672" w:type="dxa"/>
          </w:tcPr>
          <w:p>
            <w:pPr>
              <w:pStyle w:val="TableParagraph"/>
              <w:ind w:left="69"/>
              <w:rPr>
                <w:sz w:val="18"/>
              </w:rPr>
            </w:pPr>
            <w:r>
              <w:rPr>
                <w:color w:val="231F20"/>
                <w:sz w:val="18"/>
              </w:rPr>
              <w:t>Tigre</w:t>
            </w:r>
          </w:p>
        </w:tc>
        <w:tc>
          <w:tcPr>
            <w:tcW w:w="1672" w:type="dxa"/>
            <w:gridSpan w:val="2"/>
          </w:tcPr>
          <w:p>
            <w:pPr>
              <w:pStyle w:val="TableParagraph"/>
              <w:tabs>
                <w:tab w:pos="789" w:val="left" w:leader="none"/>
              </w:tabs>
              <w:ind w:left="69"/>
              <w:rPr>
                <w:sz w:val="18"/>
              </w:rPr>
            </w:pPr>
            <w:r>
              <w:rPr>
                <w:color w:val="231F20"/>
                <w:sz w:val="18"/>
              </w:rPr>
              <w:t>0.092</w:t>
              <w:tab/>
              <w:t>ns</w:t>
            </w:r>
          </w:p>
        </w:tc>
        <w:tc>
          <w:tcPr>
            <w:tcW w:w="1672" w:type="dxa"/>
            <w:gridSpan w:val="2"/>
          </w:tcPr>
          <w:p>
            <w:pPr>
              <w:pStyle w:val="TableParagraph"/>
              <w:tabs>
                <w:tab w:pos="789" w:val="left" w:leader="none"/>
              </w:tabs>
              <w:ind w:left="69"/>
              <w:rPr>
                <w:sz w:val="18"/>
              </w:rPr>
            </w:pPr>
            <w:r>
              <w:rPr>
                <w:color w:val="231F20"/>
                <w:sz w:val="18"/>
              </w:rPr>
              <w:t>0.206</w:t>
              <w:tab/>
              <w:t>**</w:t>
            </w:r>
          </w:p>
        </w:tc>
        <w:tc>
          <w:tcPr>
            <w:tcW w:w="672" w:type="dxa"/>
            <w:tcBorders>
              <w:right w:val="nil"/>
            </w:tcBorders>
          </w:tcPr>
          <w:p>
            <w:pPr>
              <w:pStyle w:val="TableParagraph"/>
              <w:ind w:left="51" w:right="106"/>
              <w:jc w:val="center"/>
              <w:rPr>
                <w:sz w:val="18"/>
              </w:rPr>
            </w:pPr>
            <w:r>
              <w:rPr>
                <w:color w:val="231F20"/>
                <w:sz w:val="18"/>
              </w:rPr>
              <w:t>-0.099</w:t>
            </w:r>
          </w:p>
        </w:tc>
        <w:tc>
          <w:tcPr>
            <w:tcW w:w="999" w:type="dxa"/>
            <w:tcBorders>
              <w:left w:val="nil"/>
            </w:tcBorders>
          </w:tcPr>
          <w:p>
            <w:pPr>
              <w:pStyle w:val="TableParagraph"/>
              <w:ind w:left="127"/>
              <w:rPr>
                <w:sz w:val="18"/>
              </w:rPr>
            </w:pPr>
            <w:r>
              <w:rPr>
                <w:color w:val="231F20"/>
                <w:sz w:val="18"/>
              </w:rPr>
              <w:t>ns</w:t>
            </w:r>
          </w:p>
        </w:tc>
        <w:tc>
          <w:tcPr>
            <w:tcW w:w="1672" w:type="dxa"/>
            <w:gridSpan w:val="2"/>
          </w:tcPr>
          <w:p>
            <w:pPr>
              <w:pStyle w:val="TableParagraph"/>
              <w:tabs>
                <w:tab w:pos="789" w:val="left" w:leader="none"/>
              </w:tabs>
              <w:ind w:left="69"/>
              <w:rPr>
                <w:sz w:val="18"/>
              </w:rPr>
            </w:pPr>
            <w:r>
              <w:rPr>
                <w:color w:val="231F20"/>
                <w:sz w:val="18"/>
              </w:rPr>
              <w:t>0.106</w:t>
              <w:tab/>
              <w:t>ns</w:t>
            </w:r>
          </w:p>
        </w:tc>
      </w:tr>
    </w:tbl>
    <w:p>
      <w:pPr>
        <w:pStyle w:val="BodyText"/>
        <w:spacing w:before="10"/>
        <w:rPr>
          <w:b/>
          <w:sz w:val="15"/>
        </w:rPr>
      </w:pPr>
    </w:p>
    <w:p>
      <w:pPr>
        <w:spacing w:line="307" w:lineRule="auto" w:before="79"/>
        <w:ind w:left="1270" w:right="4311" w:firstLine="0"/>
        <w:jc w:val="left"/>
        <w:rPr>
          <w:b/>
          <w:i/>
          <w:sz w:val="17"/>
        </w:rPr>
      </w:pPr>
      <w:r>
        <w:rPr>
          <w:b/>
          <w:i/>
          <w:color w:val="231F20"/>
          <w:sz w:val="17"/>
        </w:rPr>
        <w:t>T°CDI: se refiere a la temperatura del día en que se inoculo dicha variedad. </w:t>
      </w:r>
      <w:r>
        <w:rPr>
          <w:b/>
          <w:i/>
          <w:color w:val="231F20"/>
          <w:sz w:val="17"/>
        </w:rPr>
        <w:t>Hr%DI: es la humedad relativa del día que se inoculó.</w:t>
      </w:r>
    </w:p>
    <w:p>
      <w:pPr>
        <w:spacing w:before="2"/>
        <w:ind w:left="1270" w:right="0" w:firstLine="0"/>
        <w:jc w:val="both"/>
        <w:rPr>
          <w:b/>
          <w:i/>
          <w:sz w:val="17"/>
        </w:rPr>
      </w:pPr>
      <w:r>
        <w:rPr>
          <w:b/>
          <w:i/>
          <w:color w:val="231F20"/>
          <w:sz w:val="17"/>
        </w:rPr>
        <w:t>T°CPI: es la temperatura promedio del periodo de inoculación a cosecha (24 días).</w:t>
      </w:r>
    </w:p>
    <w:p>
      <w:pPr>
        <w:spacing w:line="307" w:lineRule="auto" w:before="54"/>
        <w:ind w:left="1270" w:right="1268" w:firstLine="0"/>
        <w:jc w:val="both"/>
        <w:rPr>
          <w:b/>
          <w:i/>
          <w:sz w:val="17"/>
        </w:rPr>
      </w:pPr>
      <w:r>
        <w:rPr>
          <w:b/>
          <w:i/>
          <w:color w:val="231F20"/>
          <w:sz w:val="17"/>
        </w:rPr>
        <w:t>Hr%PI:</w:t>
      </w:r>
      <w:r>
        <w:rPr>
          <w:b/>
          <w:i/>
          <w:color w:val="231F20"/>
          <w:spacing w:val="-7"/>
          <w:sz w:val="17"/>
        </w:rPr>
        <w:t> </w:t>
      </w:r>
      <w:r>
        <w:rPr>
          <w:b/>
          <w:i/>
          <w:color w:val="231F20"/>
          <w:sz w:val="17"/>
        </w:rPr>
        <w:t>es</w:t>
      </w:r>
      <w:r>
        <w:rPr>
          <w:b/>
          <w:i/>
          <w:color w:val="231F20"/>
          <w:spacing w:val="-7"/>
          <w:sz w:val="17"/>
        </w:rPr>
        <w:t> </w:t>
      </w:r>
      <w:r>
        <w:rPr>
          <w:b/>
          <w:i/>
          <w:color w:val="231F20"/>
          <w:sz w:val="17"/>
        </w:rPr>
        <w:t>la</w:t>
      </w:r>
      <w:r>
        <w:rPr>
          <w:b/>
          <w:i/>
          <w:color w:val="231F20"/>
          <w:spacing w:val="-7"/>
          <w:sz w:val="17"/>
        </w:rPr>
        <w:t> </w:t>
      </w:r>
      <w:r>
        <w:rPr>
          <w:b/>
          <w:i/>
          <w:color w:val="231F20"/>
          <w:sz w:val="17"/>
        </w:rPr>
        <w:t>humedad</w:t>
      </w:r>
      <w:r>
        <w:rPr>
          <w:b/>
          <w:i/>
          <w:color w:val="231F20"/>
          <w:spacing w:val="-7"/>
          <w:sz w:val="17"/>
        </w:rPr>
        <w:t> </w:t>
      </w:r>
      <w:r>
        <w:rPr>
          <w:b/>
          <w:i/>
          <w:color w:val="231F20"/>
          <w:sz w:val="17"/>
        </w:rPr>
        <w:t>relativa</w:t>
      </w:r>
      <w:r>
        <w:rPr>
          <w:b/>
          <w:i/>
          <w:color w:val="231F20"/>
          <w:spacing w:val="-7"/>
          <w:sz w:val="17"/>
        </w:rPr>
        <w:t> </w:t>
      </w:r>
      <w:r>
        <w:rPr>
          <w:b/>
          <w:i/>
          <w:color w:val="231F20"/>
          <w:sz w:val="17"/>
        </w:rPr>
        <w:t>promedio</w:t>
      </w:r>
      <w:r>
        <w:rPr>
          <w:b/>
          <w:i/>
          <w:color w:val="231F20"/>
          <w:spacing w:val="-7"/>
          <w:sz w:val="17"/>
        </w:rPr>
        <w:t> </w:t>
      </w:r>
      <w:r>
        <w:rPr>
          <w:b/>
          <w:i/>
          <w:color w:val="231F20"/>
          <w:sz w:val="17"/>
        </w:rPr>
        <w:t>del</w:t>
      </w:r>
      <w:r>
        <w:rPr>
          <w:b/>
          <w:i/>
          <w:color w:val="231F20"/>
          <w:spacing w:val="-7"/>
          <w:sz w:val="17"/>
        </w:rPr>
        <w:t> </w:t>
      </w:r>
      <w:r>
        <w:rPr>
          <w:b/>
          <w:i/>
          <w:color w:val="231F20"/>
          <w:sz w:val="17"/>
        </w:rPr>
        <w:t>periodo</w:t>
      </w:r>
      <w:r>
        <w:rPr>
          <w:b/>
          <w:i/>
          <w:color w:val="231F20"/>
          <w:spacing w:val="-7"/>
          <w:sz w:val="17"/>
        </w:rPr>
        <w:t> </w:t>
      </w:r>
      <w:r>
        <w:rPr>
          <w:b/>
          <w:i/>
          <w:color w:val="231F20"/>
          <w:sz w:val="17"/>
        </w:rPr>
        <w:t>de</w:t>
      </w:r>
      <w:r>
        <w:rPr>
          <w:b/>
          <w:i/>
          <w:color w:val="231F20"/>
          <w:spacing w:val="-7"/>
          <w:sz w:val="17"/>
        </w:rPr>
        <w:t> </w:t>
      </w:r>
      <w:r>
        <w:rPr>
          <w:b/>
          <w:i/>
          <w:color w:val="231F20"/>
          <w:sz w:val="17"/>
        </w:rPr>
        <w:t>inoculación</w:t>
      </w:r>
      <w:r>
        <w:rPr>
          <w:b/>
          <w:i/>
          <w:color w:val="231F20"/>
          <w:spacing w:val="-7"/>
          <w:sz w:val="17"/>
        </w:rPr>
        <w:t> </w:t>
      </w:r>
      <w:r>
        <w:rPr>
          <w:b/>
          <w:i/>
          <w:color w:val="231F20"/>
          <w:sz w:val="17"/>
        </w:rPr>
        <w:t>que</w:t>
      </w:r>
      <w:r>
        <w:rPr>
          <w:b/>
          <w:i/>
          <w:color w:val="231F20"/>
          <w:spacing w:val="-7"/>
          <w:sz w:val="17"/>
        </w:rPr>
        <w:t> </w:t>
      </w:r>
      <w:r>
        <w:rPr>
          <w:b/>
          <w:i/>
          <w:color w:val="231F20"/>
          <w:sz w:val="17"/>
        </w:rPr>
        <w:t>corresponde</w:t>
      </w:r>
      <w:r>
        <w:rPr>
          <w:b/>
          <w:i/>
          <w:color w:val="231F20"/>
          <w:spacing w:val="-7"/>
          <w:sz w:val="17"/>
        </w:rPr>
        <w:t> </w:t>
      </w:r>
      <w:r>
        <w:rPr>
          <w:b/>
          <w:i/>
          <w:color w:val="231F20"/>
          <w:sz w:val="17"/>
        </w:rPr>
        <w:t>a</w:t>
      </w:r>
      <w:r>
        <w:rPr>
          <w:b/>
          <w:i/>
          <w:color w:val="231F20"/>
          <w:spacing w:val="-7"/>
          <w:sz w:val="17"/>
        </w:rPr>
        <w:t> </w:t>
      </w:r>
      <w:r>
        <w:rPr>
          <w:b/>
          <w:i/>
          <w:color w:val="231F20"/>
          <w:sz w:val="17"/>
        </w:rPr>
        <w:t>24</w:t>
      </w:r>
      <w:r>
        <w:rPr>
          <w:b/>
          <w:i/>
          <w:color w:val="231F20"/>
          <w:spacing w:val="-7"/>
          <w:sz w:val="17"/>
        </w:rPr>
        <w:t> </w:t>
      </w:r>
      <w:r>
        <w:rPr>
          <w:b/>
          <w:i/>
          <w:color w:val="231F20"/>
          <w:sz w:val="17"/>
        </w:rPr>
        <w:t>días.</w:t>
      </w:r>
      <w:r>
        <w:rPr>
          <w:b/>
          <w:i/>
          <w:color w:val="231F20"/>
          <w:spacing w:val="-7"/>
          <w:sz w:val="17"/>
        </w:rPr>
        <w:t> </w:t>
      </w:r>
      <w:r>
        <w:rPr>
          <w:b/>
          <w:i/>
          <w:color w:val="231F20"/>
          <w:sz w:val="17"/>
        </w:rPr>
        <w:t>*:</w:t>
      </w:r>
      <w:r>
        <w:rPr>
          <w:b/>
          <w:i/>
          <w:color w:val="231F20"/>
          <w:spacing w:val="-7"/>
          <w:sz w:val="17"/>
        </w:rPr>
        <w:t> </w:t>
      </w:r>
      <w:r>
        <w:rPr>
          <w:b/>
          <w:i/>
          <w:color w:val="231F20"/>
          <w:sz w:val="17"/>
        </w:rPr>
        <w:t>Correlación</w:t>
      </w:r>
      <w:r>
        <w:rPr>
          <w:b/>
          <w:i/>
          <w:color w:val="231F20"/>
          <w:spacing w:val="-7"/>
          <w:sz w:val="17"/>
        </w:rPr>
        <w:t> </w:t>
      </w:r>
      <w:r>
        <w:rPr>
          <w:b/>
          <w:i/>
          <w:color w:val="231F20"/>
          <w:sz w:val="17"/>
        </w:rPr>
        <w:t>significa- </w:t>
      </w:r>
      <w:r>
        <w:rPr>
          <w:b/>
          <w:i/>
          <w:color w:val="231F20"/>
          <w:sz w:val="17"/>
        </w:rPr>
        <w:t>tiva;</w:t>
      </w:r>
      <w:r>
        <w:rPr>
          <w:b/>
          <w:i/>
          <w:color w:val="231F20"/>
          <w:spacing w:val="-10"/>
          <w:sz w:val="17"/>
        </w:rPr>
        <w:t> </w:t>
      </w:r>
      <w:r>
        <w:rPr>
          <w:b/>
          <w:i/>
          <w:color w:val="231F20"/>
          <w:sz w:val="17"/>
        </w:rPr>
        <w:t>**:</w:t>
      </w:r>
      <w:r>
        <w:rPr>
          <w:b/>
          <w:i/>
          <w:color w:val="231F20"/>
          <w:spacing w:val="-10"/>
          <w:sz w:val="17"/>
        </w:rPr>
        <w:t> </w:t>
      </w:r>
      <w:r>
        <w:rPr>
          <w:b/>
          <w:i/>
          <w:color w:val="231F20"/>
          <w:sz w:val="17"/>
        </w:rPr>
        <w:t>correlación</w:t>
      </w:r>
      <w:r>
        <w:rPr>
          <w:b/>
          <w:i/>
          <w:color w:val="231F20"/>
          <w:spacing w:val="-10"/>
          <w:sz w:val="17"/>
        </w:rPr>
        <w:t> </w:t>
      </w:r>
      <w:r>
        <w:rPr>
          <w:b/>
          <w:i/>
          <w:color w:val="231F20"/>
          <w:sz w:val="17"/>
        </w:rPr>
        <w:t>altamente</w:t>
      </w:r>
      <w:r>
        <w:rPr>
          <w:b/>
          <w:i/>
          <w:color w:val="231F20"/>
          <w:spacing w:val="-10"/>
          <w:sz w:val="17"/>
        </w:rPr>
        <w:t> </w:t>
      </w:r>
      <w:r>
        <w:rPr>
          <w:b/>
          <w:i/>
          <w:color w:val="231F20"/>
          <w:sz w:val="17"/>
        </w:rPr>
        <w:t>significativa</w:t>
      </w:r>
      <w:r>
        <w:rPr>
          <w:b/>
          <w:i/>
          <w:color w:val="231F20"/>
          <w:spacing w:val="-10"/>
          <w:sz w:val="17"/>
        </w:rPr>
        <w:t> </w:t>
      </w:r>
      <w:r>
        <w:rPr>
          <w:b/>
          <w:i/>
          <w:color w:val="231F20"/>
          <w:sz w:val="17"/>
        </w:rPr>
        <w:t>y</w:t>
      </w:r>
      <w:r>
        <w:rPr>
          <w:b/>
          <w:i/>
          <w:color w:val="231F20"/>
          <w:spacing w:val="-10"/>
          <w:sz w:val="17"/>
        </w:rPr>
        <w:t> </w:t>
      </w:r>
      <w:r>
        <w:rPr>
          <w:b/>
          <w:i/>
          <w:color w:val="231F20"/>
          <w:sz w:val="17"/>
        </w:rPr>
        <w:t>ns:</w:t>
      </w:r>
      <w:r>
        <w:rPr>
          <w:b/>
          <w:i/>
          <w:color w:val="231F20"/>
          <w:spacing w:val="-10"/>
          <w:sz w:val="17"/>
        </w:rPr>
        <w:t> </w:t>
      </w:r>
      <w:r>
        <w:rPr>
          <w:b/>
          <w:i/>
          <w:color w:val="231F20"/>
          <w:sz w:val="17"/>
        </w:rPr>
        <w:t>no</w:t>
      </w:r>
      <w:r>
        <w:rPr>
          <w:b/>
          <w:i/>
          <w:color w:val="231F20"/>
          <w:spacing w:val="-10"/>
          <w:sz w:val="17"/>
        </w:rPr>
        <w:t> </w:t>
      </w:r>
      <w:r>
        <w:rPr>
          <w:b/>
          <w:i/>
          <w:color w:val="231F20"/>
          <w:sz w:val="17"/>
        </w:rPr>
        <w:t>correlación.</w:t>
      </w:r>
    </w:p>
    <w:p>
      <w:pPr>
        <w:pStyle w:val="BodyText"/>
        <w:spacing w:before="7"/>
        <w:rPr>
          <w:b/>
          <w:i/>
          <w:sz w:val="18"/>
        </w:rPr>
      </w:pPr>
    </w:p>
    <w:p>
      <w:pPr>
        <w:pStyle w:val="BodyText"/>
        <w:spacing w:line="247" w:lineRule="auto"/>
        <w:ind w:left="1270" w:right="1267"/>
        <w:jc w:val="both"/>
      </w:pPr>
      <w:r>
        <w:rPr>
          <w:color w:val="231F20"/>
        </w:rPr>
        <w:t>Lo</w:t>
      </w:r>
      <w:r>
        <w:rPr>
          <w:color w:val="231F20"/>
          <w:spacing w:val="-9"/>
        </w:rPr>
        <w:t> </w:t>
      </w:r>
      <w:r>
        <w:rPr>
          <w:color w:val="231F20"/>
        </w:rPr>
        <w:t>anterior</w:t>
      </w:r>
      <w:r>
        <w:rPr>
          <w:color w:val="231F20"/>
          <w:spacing w:val="-10"/>
        </w:rPr>
        <w:t> </w:t>
      </w:r>
      <w:r>
        <w:rPr>
          <w:color w:val="231F20"/>
        </w:rPr>
        <w:t>muestra</w:t>
      </w:r>
      <w:r>
        <w:rPr>
          <w:color w:val="231F20"/>
          <w:spacing w:val="-10"/>
        </w:rPr>
        <w:t> </w:t>
      </w:r>
      <w:r>
        <w:rPr>
          <w:color w:val="231F20"/>
        </w:rPr>
        <w:t>un</w:t>
      </w:r>
      <w:r>
        <w:rPr>
          <w:color w:val="231F20"/>
          <w:spacing w:val="-9"/>
        </w:rPr>
        <w:t> </w:t>
      </w:r>
      <w:r>
        <w:rPr>
          <w:color w:val="231F20"/>
        </w:rPr>
        <w:t>comportamiento</w:t>
      </w:r>
      <w:r>
        <w:rPr>
          <w:color w:val="231F20"/>
          <w:spacing w:val="-10"/>
        </w:rPr>
        <w:t> </w:t>
      </w:r>
      <w:r>
        <w:rPr>
          <w:color w:val="231F20"/>
        </w:rPr>
        <w:t>similar</w:t>
      </w:r>
      <w:r>
        <w:rPr>
          <w:color w:val="231F20"/>
          <w:spacing w:val="-9"/>
        </w:rPr>
        <w:t> </w:t>
      </w:r>
      <w:r>
        <w:rPr>
          <w:color w:val="231F20"/>
        </w:rPr>
        <w:t>al</w:t>
      </w:r>
      <w:r>
        <w:rPr>
          <w:color w:val="231F20"/>
          <w:spacing w:val="-9"/>
        </w:rPr>
        <w:t> </w:t>
      </w:r>
      <w:r>
        <w:rPr>
          <w:color w:val="231F20"/>
        </w:rPr>
        <w:t>reportado</w:t>
      </w:r>
      <w:r>
        <w:rPr>
          <w:color w:val="231F20"/>
          <w:spacing w:val="-9"/>
        </w:rPr>
        <w:t> </w:t>
      </w:r>
      <w:r>
        <w:rPr>
          <w:color w:val="231F20"/>
        </w:rPr>
        <w:t>por</w:t>
      </w:r>
      <w:r>
        <w:rPr>
          <w:color w:val="231F20"/>
          <w:spacing w:val="-9"/>
        </w:rPr>
        <w:t> </w:t>
      </w:r>
      <w:r>
        <w:rPr>
          <w:color w:val="231F20"/>
        </w:rPr>
        <w:t>Martínez</w:t>
      </w:r>
      <w:r>
        <w:rPr>
          <w:color w:val="231F20"/>
          <w:spacing w:val="-9"/>
        </w:rPr>
        <w:t> </w:t>
      </w:r>
      <w:r>
        <w:rPr>
          <w:color w:val="231F20"/>
        </w:rPr>
        <w:t>et</w:t>
      </w:r>
      <w:r>
        <w:rPr>
          <w:color w:val="231F20"/>
          <w:spacing w:val="-9"/>
        </w:rPr>
        <w:t> </w:t>
      </w:r>
      <w:r>
        <w:rPr>
          <w:color w:val="231F20"/>
        </w:rPr>
        <w:t>al.,</w:t>
      </w:r>
      <w:r>
        <w:rPr>
          <w:color w:val="231F20"/>
          <w:spacing w:val="-10"/>
        </w:rPr>
        <w:t> </w:t>
      </w:r>
      <w:r>
        <w:rPr>
          <w:color w:val="231F20"/>
        </w:rPr>
        <w:t>(2005)</w:t>
      </w:r>
      <w:r>
        <w:rPr>
          <w:color w:val="231F20"/>
          <w:spacing w:val="-9"/>
        </w:rPr>
        <w:t> </w:t>
      </w:r>
      <w:r>
        <w:rPr>
          <w:color w:val="231F20"/>
        </w:rPr>
        <w:t>quienes</w:t>
      </w:r>
      <w:r>
        <w:rPr>
          <w:color w:val="231F20"/>
          <w:spacing w:val="-9"/>
        </w:rPr>
        <w:t> </w:t>
      </w:r>
      <w:r>
        <w:rPr>
          <w:color w:val="231F20"/>
        </w:rPr>
        <w:t>men- cionan que como consecuencia de la alta interacción genotipo-ambiente, las variedades de maíz y</w:t>
      </w:r>
      <w:r>
        <w:rPr>
          <w:color w:val="231F20"/>
          <w:spacing w:val="-18"/>
        </w:rPr>
        <w:t> </w:t>
      </w:r>
      <w:r>
        <w:rPr>
          <w:color w:val="231F20"/>
        </w:rPr>
        <w:t>la cepa</w:t>
      </w:r>
      <w:r>
        <w:rPr>
          <w:color w:val="231F20"/>
          <w:spacing w:val="-12"/>
        </w:rPr>
        <w:t> </w:t>
      </w:r>
      <w:r>
        <w:rPr>
          <w:color w:val="231F20"/>
        </w:rPr>
        <w:t>huitlacoche</w:t>
      </w:r>
      <w:r>
        <w:rPr>
          <w:color w:val="231F20"/>
          <w:spacing w:val="-12"/>
        </w:rPr>
        <w:t> </w:t>
      </w:r>
      <w:r>
        <w:rPr>
          <w:color w:val="231F20"/>
        </w:rPr>
        <w:t>utilizada</w:t>
      </w:r>
      <w:r>
        <w:rPr>
          <w:color w:val="231F20"/>
          <w:spacing w:val="-12"/>
        </w:rPr>
        <w:t> </w:t>
      </w:r>
      <w:r>
        <w:rPr>
          <w:color w:val="231F20"/>
        </w:rPr>
        <w:t>tienen</w:t>
      </w:r>
      <w:r>
        <w:rPr>
          <w:color w:val="231F20"/>
          <w:spacing w:val="-12"/>
        </w:rPr>
        <w:t> </w:t>
      </w:r>
      <w:r>
        <w:rPr>
          <w:color w:val="231F20"/>
        </w:rPr>
        <w:t>comportamientos</w:t>
      </w:r>
      <w:r>
        <w:rPr>
          <w:color w:val="231F20"/>
          <w:spacing w:val="-13"/>
        </w:rPr>
        <w:t> </w:t>
      </w:r>
      <w:r>
        <w:rPr>
          <w:color w:val="231F20"/>
        </w:rPr>
        <w:t>diferentes</w:t>
      </w:r>
      <w:r>
        <w:rPr>
          <w:color w:val="231F20"/>
          <w:spacing w:val="-12"/>
        </w:rPr>
        <w:t> </w:t>
      </w:r>
      <w:r>
        <w:rPr>
          <w:color w:val="231F20"/>
        </w:rPr>
        <w:t>de</w:t>
      </w:r>
      <w:r>
        <w:rPr>
          <w:color w:val="231F20"/>
          <w:spacing w:val="-12"/>
        </w:rPr>
        <w:t> </w:t>
      </w:r>
      <w:r>
        <w:rPr>
          <w:color w:val="231F20"/>
        </w:rPr>
        <w:t>un</w:t>
      </w:r>
      <w:r>
        <w:rPr>
          <w:color w:val="231F20"/>
          <w:spacing w:val="-12"/>
        </w:rPr>
        <w:t> </w:t>
      </w:r>
      <w:r>
        <w:rPr>
          <w:color w:val="231F20"/>
        </w:rPr>
        <w:t>ambiente</w:t>
      </w:r>
      <w:r>
        <w:rPr>
          <w:color w:val="231F20"/>
          <w:spacing w:val="-12"/>
        </w:rPr>
        <w:t> </w:t>
      </w:r>
      <w:r>
        <w:rPr>
          <w:color w:val="231F20"/>
        </w:rPr>
        <w:t>a</w:t>
      </w:r>
      <w:r>
        <w:rPr>
          <w:color w:val="231F20"/>
          <w:spacing w:val="-12"/>
        </w:rPr>
        <w:t> </w:t>
      </w:r>
      <w:r>
        <w:rPr>
          <w:color w:val="231F20"/>
        </w:rPr>
        <w:t>otro,</w:t>
      </w:r>
      <w:r>
        <w:rPr>
          <w:color w:val="231F20"/>
          <w:spacing w:val="-12"/>
        </w:rPr>
        <w:t> </w:t>
      </w:r>
      <w:r>
        <w:rPr>
          <w:color w:val="231F20"/>
        </w:rPr>
        <w:t>como</w:t>
      </w:r>
      <w:r>
        <w:rPr>
          <w:color w:val="231F20"/>
          <w:spacing w:val="-12"/>
        </w:rPr>
        <w:t> </w:t>
      </w:r>
      <w:r>
        <w:rPr>
          <w:color w:val="231F20"/>
        </w:rPr>
        <w:t>se</w:t>
      </w:r>
      <w:r>
        <w:rPr>
          <w:color w:val="231F20"/>
          <w:spacing w:val="-12"/>
        </w:rPr>
        <w:t> </w:t>
      </w:r>
      <w:r>
        <w:rPr>
          <w:color w:val="231F20"/>
        </w:rPr>
        <w:t>observa en la figura 3, en la cual se observan claramente tres condiciones ambientales contrastantes, de las cuales</w:t>
      </w:r>
      <w:r>
        <w:rPr>
          <w:color w:val="231F20"/>
          <w:spacing w:val="-3"/>
        </w:rPr>
        <w:t> </w:t>
      </w:r>
      <w:r>
        <w:rPr>
          <w:color w:val="231F20"/>
        </w:rPr>
        <w:t>la</w:t>
      </w:r>
      <w:r>
        <w:rPr>
          <w:color w:val="231F20"/>
          <w:spacing w:val="-3"/>
        </w:rPr>
        <w:t> </w:t>
      </w:r>
      <w:r>
        <w:rPr>
          <w:color w:val="231F20"/>
        </w:rPr>
        <w:t>intermedia</w:t>
      </w:r>
      <w:r>
        <w:rPr>
          <w:color w:val="231F20"/>
          <w:spacing w:val="-3"/>
        </w:rPr>
        <w:t> </w:t>
      </w:r>
      <w:r>
        <w:rPr>
          <w:color w:val="231F20"/>
        </w:rPr>
        <w:t>fue</w:t>
      </w:r>
      <w:r>
        <w:rPr>
          <w:color w:val="231F20"/>
          <w:spacing w:val="-3"/>
        </w:rPr>
        <w:t> </w:t>
      </w:r>
      <w:r>
        <w:rPr>
          <w:color w:val="231F20"/>
        </w:rPr>
        <w:t>donde</w:t>
      </w:r>
      <w:r>
        <w:rPr>
          <w:color w:val="231F20"/>
          <w:spacing w:val="-3"/>
        </w:rPr>
        <w:t> </w:t>
      </w:r>
      <w:r>
        <w:rPr>
          <w:color w:val="231F20"/>
        </w:rPr>
        <w:t>la</w:t>
      </w:r>
      <w:r>
        <w:rPr>
          <w:color w:val="231F20"/>
          <w:spacing w:val="-3"/>
        </w:rPr>
        <w:t> </w:t>
      </w:r>
      <w:r>
        <w:rPr>
          <w:color w:val="231F20"/>
        </w:rPr>
        <w:t>mayoría</w:t>
      </w:r>
      <w:r>
        <w:rPr>
          <w:color w:val="231F20"/>
          <w:spacing w:val="-3"/>
        </w:rPr>
        <w:t> </w:t>
      </w:r>
      <w:r>
        <w:rPr>
          <w:color w:val="231F20"/>
        </w:rPr>
        <w:t>de</w:t>
      </w:r>
      <w:r>
        <w:rPr>
          <w:color w:val="231F20"/>
          <w:spacing w:val="-3"/>
        </w:rPr>
        <w:t> </w:t>
      </w:r>
      <w:r>
        <w:rPr>
          <w:color w:val="231F20"/>
        </w:rPr>
        <w:t>las</w:t>
      </w:r>
      <w:r>
        <w:rPr>
          <w:color w:val="231F20"/>
          <w:spacing w:val="-3"/>
        </w:rPr>
        <w:t> </w:t>
      </w:r>
      <w:r>
        <w:rPr>
          <w:color w:val="231F20"/>
        </w:rPr>
        <w:t>variedades</w:t>
      </w:r>
      <w:r>
        <w:rPr>
          <w:color w:val="231F20"/>
          <w:spacing w:val="-3"/>
        </w:rPr>
        <w:t> </w:t>
      </w:r>
      <w:r>
        <w:rPr>
          <w:color w:val="231F20"/>
        </w:rPr>
        <w:t>estudiadas</w:t>
      </w:r>
      <w:r>
        <w:rPr>
          <w:color w:val="231F20"/>
          <w:spacing w:val="-3"/>
        </w:rPr>
        <w:t> </w:t>
      </w:r>
      <w:r>
        <w:rPr>
          <w:color w:val="231F20"/>
        </w:rPr>
        <w:t>mostraron</w:t>
      </w:r>
      <w:r>
        <w:rPr>
          <w:color w:val="231F20"/>
          <w:spacing w:val="-3"/>
        </w:rPr>
        <w:t> </w:t>
      </w:r>
      <w:r>
        <w:rPr>
          <w:color w:val="231F20"/>
        </w:rPr>
        <w:t>la</w:t>
      </w:r>
      <w:r>
        <w:rPr>
          <w:color w:val="231F20"/>
          <w:spacing w:val="-3"/>
        </w:rPr>
        <w:t> </w:t>
      </w:r>
      <w:r>
        <w:rPr>
          <w:color w:val="231F20"/>
        </w:rPr>
        <w:t>mejor</w:t>
      </w:r>
      <w:r>
        <w:rPr>
          <w:color w:val="231F20"/>
          <w:spacing w:val="-3"/>
        </w:rPr>
        <w:t> </w:t>
      </w:r>
      <w:r>
        <w:rPr>
          <w:color w:val="231F20"/>
        </w:rPr>
        <w:t>respuesta a la inoculación y desarrollo del</w:t>
      </w:r>
      <w:r>
        <w:rPr>
          <w:color w:val="231F20"/>
          <w:spacing w:val="-1"/>
        </w:rPr>
        <w:t> </w:t>
      </w:r>
      <w:r>
        <w:rPr>
          <w:color w:val="231F20"/>
        </w:rPr>
        <w:t>hongo.</w:t>
      </w:r>
    </w:p>
    <w:p>
      <w:pPr>
        <w:spacing w:after="0" w:line="247" w:lineRule="auto"/>
        <w:jc w:val="both"/>
        <w:sectPr>
          <w:pgSz w:w="10920" w:h="13080"/>
          <w:pgMar w:header="0" w:footer="1025" w:top="420" w:bottom="1220" w:left="0" w:right="0"/>
        </w:sectPr>
      </w:pPr>
    </w:p>
    <w:p>
      <w:pPr>
        <w:pStyle w:val="BodyText"/>
        <w:rPr>
          <w:sz w:val="20"/>
        </w:rPr>
      </w:pPr>
    </w:p>
    <w:p>
      <w:pPr>
        <w:pStyle w:val="BodyText"/>
        <w:rPr>
          <w:sz w:val="20"/>
        </w:rPr>
      </w:pPr>
    </w:p>
    <w:p>
      <w:pPr>
        <w:pStyle w:val="BodyText"/>
        <w:rPr>
          <w:sz w:val="23"/>
        </w:rPr>
      </w:pPr>
    </w:p>
    <w:p>
      <w:pPr>
        <w:spacing w:line="290" w:lineRule="auto" w:before="77"/>
        <w:ind w:left="3487" w:right="2134" w:hanging="1331"/>
        <w:jc w:val="left"/>
        <w:rPr>
          <w:b/>
          <w:sz w:val="18"/>
        </w:rPr>
      </w:pPr>
      <w:r>
        <w:rPr>
          <w:b/>
          <w:color w:val="010202"/>
          <w:sz w:val="18"/>
        </w:rPr>
        <w:t>Figura 1. Relación temperatura-humedad relativa durante los periodos de inoculación ( ) y cosecha ( ) de las variedades de maíz evaluadas</w:t>
      </w:r>
    </w:p>
    <w:p>
      <w:pPr>
        <w:pStyle w:val="BodyText"/>
        <w:spacing w:before="1"/>
        <w:rPr>
          <w:b/>
          <w:sz w:val="15"/>
        </w:rPr>
      </w:pPr>
      <w:r>
        <w:rPr/>
        <w:drawing>
          <wp:anchor distT="0" distB="0" distL="0" distR="0" allowOverlap="1" layoutInCell="1" locked="0" behindDoc="0" simplePos="0" relativeHeight="2968">
            <wp:simplePos x="0" y="0"/>
            <wp:positionH relativeFrom="page">
              <wp:posOffset>795365</wp:posOffset>
            </wp:positionH>
            <wp:positionV relativeFrom="paragraph">
              <wp:posOffset>135372</wp:posOffset>
            </wp:positionV>
            <wp:extent cx="5307542" cy="2604325"/>
            <wp:effectExtent l="0" t="0" r="0" b="0"/>
            <wp:wrapTopAndBottom/>
            <wp:docPr id="85" name="image22.png" descr=""/>
            <wp:cNvGraphicFramePr>
              <a:graphicFrameLocks noChangeAspect="1"/>
            </wp:cNvGraphicFramePr>
            <a:graphic>
              <a:graphicData uri="http://schemas.openxmlformats.org/drawingml/2006/picture">
                <pic:pic>
                  <pic:nvPicPr>
                    <pic:cNvPr id="86" name="image22.png"/>
                    <pic:cNvPicPr/>
                  </pic:nvPicPr>
                  <pic:blipFill>
                    <a:blip r:embed="rId38" cstate="print"/>
                    <a:stretch>
                      <a:fillRect/>
                    </a:stretch>
                  </pic:blipFill>
                  <pic:spPr>
                    <a:xfrm>
                      <a:off x="0" y="0"/>
                      <a:ext cx="5307542" cy="2604325"/>
                    </a:xfrm>
                    <a:prstGeom prst="rect">
                      <a:avLst/>
                    </a:prstGeom>
                  </pic:spPr>
                </pic:pic>
              </a:graphicData>
            </a:graphic>
          </wp:anchor>
        </w:drawing>
      </w:r>
    </w:p>
    <w:p>
      <w:pPr>
        <w:pStyle w:val="BodyText"/>
        <w:spacing w:before="3"/>
        <w:rPr>
          <w:b/>
          <w:sz w:val="26"/>
        </w:rPr>
      </w:pPr>
    </w:p>
    <w:p>
      <w:pPr>
        <w:pStyle w:val="BodyText"/>
        <w:spacing w:line="247" w:lineRule="auto"/>
        <w:ind w:left="1270" w:right="1267"/>
        <w:jc w:val="both"/>
      </w:pPr>
      <w:r>
        <w:rPr>
          <w:color w:val="231F20"/>
        </w:rPr>
        <w:t>Para el análisis de rentabilidad se calcularon los costos de producción y el valor de la cosecha del huitlacoche de cada tratamiento, considerando dos precios del producto, $10.00/kg para la época   de mayor producción y $30.00/kg para la producción fuera de ésta. En el caso de la primera, los resultados revelaron que la variedad con la cual se obtuvieron la mejor ganancia por peso invertido fue el híbrido Oso con $4.43, siendo muy superior a los demás materiales; para los híbridos Cobra  y A7573 fue de $3.45 y $3.42, respectivamente; con los maíces 30T26, Tigre y B6 se obtuvo una utilidad</w:t>
      </w:r>
      <w:r>
        <w:rPr>
          <w:color w:val="231F20"/>
          <w:spacing w:val="-7"/>
        </w:rPr>
        <w:t> </w:t>
      </w:r>
      <w:r>
        <w:rPr>
          <w:color w:val="231F20"/>
        </w:rPr>
        <w:t>mayor</w:t>
      </w:r>
      <w:r>
        <w:rPr>
          <w:color w:val="231F20"/>
          <w:spacing w:val="-7"/>
        </w:rPr>
        <w:t> </w:t>
      </w:r>
      <w:r>
        <w:rPr>
          <w:color w:val="231F20"/>
        </w:rPr>
        <w:t>a</w:t>
      </w:r>
      <w:r>
        <w:rPr>
          <w:color w:val="231F20"/>
          <w:spacing w:val="-6"/>
        </w:rPr>
        <w:t> </w:t>
      </w:r>
      <w:r>
        <w:rPr>
          <w:color w:val="231F20"/>
        </w:rPr>
        <w:t>los</w:t>
      </w:r>
      <w:r>
        <w:rPr>
          <w:color w:val="231F20"/>
          <w:spacing w:val="-6"/>
        </w:rPr>
        <w:t> </w:t>
      </w:r>
      <w:r>
        <w:rPr>
          <w:color w:val="231F20"/>
        </w:rPr>
        <w:t>$2.00;</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maíces</w:t>
      </w:r>
      <w:r>
        <w:rPr>
          <w:color w:val="231F20"/>
          <w:spacing w:val="-7"/>
        </w:rPr>
        <w:t> </w:t>
      </w:r>
      <w:r>
        <w:rPr>
          <w:color w:val="231F20"/>
        </w:rPr>
        <w:t>criollos,</w:t>
      </w:r>
      <w:r>
        <w:rPr>
          <w:color w:val="231F20"/>
          <w:spacing w:val="-7"/>
        </w:rPr>
        <w:t> </w:t>
      </w:r>
      <w:r>
        <w:rPr>
          <w:color w:val="231F20"/>
        </w:rPr>
        <w:t>los</w:t>
      </w:r>
      <w:r>
        <w:rPr>
          <w:color w:val="231F20"/>
          <w:spacing w:val="-6"/>
        </w:rPr>
        <w:t> </w:t>
      </w:r>
      <w:r>
        <w:rPr>
          <w:color w:val="231F20"/>
        </w:rPr>
        <w:t>más</w:t>
      </w:r>
      <w:r>
        <w:rPr>
          <w:color w:val="231F20"/>
          <w:spacing w:val="-6"/>
        </w:rPr>
        <w:t> </w:t>
      </w:r>
      <w:r>
        <w:rPr>
          <w:color w:val="231F20"/>
        </w:rPr>
        <w:t>rentables</w:t>
      </w:r>
      <w:r>
        <w:rPr>
          <w:color w:val="231F20"/>
          <w:spacing w:val="-6"/>
        </w:rPr>
        <w:t> </w:t>
      </w:r>
      <w:r>
        <w:rPr>
          <w:color w:val="231F20"/>
        </w:rPr>
        <w:t>fueron</w:t>
      </w:r>
      <w:r>
        <w:rPr>
          <w:color w:val="231F20"/>
          <w:spacing w:val="-6"/>
        </w:rPr>
        <w:t> </w:t>
      </w:r>
      <w:r>
        <w:rPr>
          <w:color w:val="231F20"/>
        </w:rPr>
        <w:t>el</w:t>
      </w:r>
      <w:r>
        <w:rPr>
          <w:color w:val="231F20"/>
          <w:spacing w:val="-7"/>
        </w:rPr>
        <w:t> </w:t>
      </w:r>
      <w:r>
        <w:rPr>
          <w:color w:val="231F20"/>
        </w:rPr>
        <w:t>B6,</w:t>
      </w:r>
      <w:r>
        <w:rPr>
          <w:color w:val="231F20"/>
          <w:spacing w:val="-6"/>
        </w:rPr>
        <w:t> </w:t>
      </w:r>
      <w:r>
        <w:rPr>
          <w:color w:val="231F20"/>
        </w:rPr>
        <w:t>B3,</w:t>
      </w:r>
      <w:r>
        <w:rPr>
          <w:color w:val="231F20"/>
          <w:spacing w:val="-6"/>
        </w:rPr>
        <w:t> </w:t>
      </w:r>
      <w:r>
        <w:rPr>
          <w:color w:val="231F20"/>
        </w:rPr>
        <w:t>B7,</w:t>
      </w:r>
      <w:r>
        <w:rPr>
          <w:color w:val="231F20"/>
          <w:spacing w:val="-6"/>
        </w:rPr>
        <w:t> </w:t>
      </w:r>
      <w:r>
        <w:rPr>
          <w:color w:val="231F20"/>
        </w:rPr>
        <w:t>R12</w:t>
      </w:r>
      <w:r>
        <w:rPr>
          <w:color w:val="231F20"/>
          <w:spacing w:val="-6"/>
        </w:rPr>
        <w:t> </w:t>
      </w:r>
      <w:r>
        <w:rPr>
          <w:color w:val="231F20"/>
        </w:rPr>
        <w:t>y</w:t>
      </w:r>
      <w:r>
        <w:rPr>
          <w:color w:val="231F20"/>
          <w:spacing w:val="-6"/>
        </w:rPr>
        <w:t> </w:t>
      </w:r>
      <w:r>
        <w:rPr>
          <w:color w:val="231F20"/>
        </w:rPr>
        <w:t>R13 ($2.25,</w:t>
      </w:r>
      <w:r>
        <w:rPr>
          <w:color w:val="231F20"/>
          <w:spacing w:val="-6"/>
        </w:rPr>
        <w:t> </w:t>
      </w:r>
      <w:r>
        <w:rPr>
          <w:color w:val="231F20"/>
        </w:rPr>
        <w:t>$1.78,</w:t>
      </w:r>
      <w:r>
        <w:rPr>
          <w:color w:val="231F20"/>
          <w:spacing w:val="-6"/>
        </w:rPr>
        <w:t> </w:t>
      </w:r>
      <w:r>
        <w:rPr>
          <w:color w:val="231F20"/>
        </w:rPr>
        <w:t>$1.38,</w:t>
      </w:r>
      <w:r>
        <w:rPr>
          <w:color w:val="231F20"/>
          <w:spacing w:val="-6"/>
        </w:rPr>
        <w:t> </w:t>
      </w:r>
      <w:r>
        <w:rPr>
          <w:color w:val="231F20"/>
        </w:rPr>
        <w:t>$1.13</w:t>
      </w:r>
      <w:r>
        <w:rPr>
          <w:color w:val="231F20"/>
          <w:spacing w:val="-6"/>
        </w:rPr>
        <w:t> </w:t>
      </w:r>
      <w:r>
        <w:rPr>
          <w:color w:val="231F20"/>
        </w:rPr>
        <w:t>y</w:t>
      </w:r>
      <w:r>
        <w:rPr>
          <w:color w:val="231F20"/>
          <w:spacing w:val="-6"/>
        </w:rPr>
        <w:t> </w:t>
      </w:r>
      <w:r>
        <w:rPr>
          <w:color w:val="231F20"/>
        </w:rPr>
        <w:t>$1.08,</w:t>
      </w:r>
      <w:r>
        <w:rPr>
          <w:color w:val="231F20"/>
          <w:spacing w:val="-6"/>
        </w:rPr>
        <w:t> </w:t>
      </w:r>
      <w:r>
        <w:rPr>
          <w:color w:val="231F20"/>
        </w:rPr>
        <w:t>respectivamente),</w:t>
      </w:r>
      <w:r>
        <w:rPr>
          <w:color w:val="231F20"/>
          <w:spacing w:val="-6"/>
        </w:rPr>
        <w:t> </w:t>
      </w:r>
      <w:r>
        <w:rPr>
          <w:color w:val="231F20"/>
        </w:rPr>
        <w:t>el</w:t>
      </w:r>
      <w:r>
        <w:rPr>
          <w:color w:val="231F20"/>
          <w:spacing w:val="-6"/>
        </w:rPr>
        <w:t> </w:t>
      </w:r>
      <w:r>
        <w:rPr>
          <w:color w:val="231F20"/>
        </w:rPr>
        <w:t>resto</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materiales</w:t>
      </w:r>
      <w:r>
        <w:rPr>
          <w:color w:val="231F20"/>
          <w:spacing w:val="-6"/>
        </w:rPr>
        <w:t> </w:t>
      </w:r>
      <w:r>
        <w:rPr>
          <w:color w:val="231F20"/>
        </w:rPr>
        <w:t>generaron</w:t>
      </w:r>
      <w:r>
        <w:rPr>
          <w:color w:val="231F20"/>
          <w:spacing w:val="-6"/>
        </w:rPr>
        <w:t> </w:t>
      </w:r>
      <w:r>
        <w:rPr>
          <w:color w:val="231F20"/>
        </w:rPr>
        <w:t>ganancias menores a la</w:t>
      </w:r>
      <w:r>
        <w:rPr>
          <w:color w:val="231F20"/>
          <w:spacing w:val="-1"/>
        </w:rPr>
        <w:t> </w:t>
      </w:r>
      <w:r>
        <w:rPr>
          <w:color w:val="231F20"/>
        </w:rPr>
        <w:t>unidad.</w:t>
      </w:r>
    </w:p>
    <w:p>
      <w:pPr>
        <w:pStyle w:val="BodyText"/>
        <w:spacing w:before="10"/>
      </w:pPr>
    </w:p>
    <w:p>
      <w:pPr>
        <w:pStyle w:val="BodyText"/>
        <w:spacing w:line="247" w:lineRule="auto"/>
        <w:ind w:left="1270" w:right="1267"/>
        <w:jc w:val="both"/>
      </w:pPr>
      <w:r>
        <w:rPr>
          <w:color w:val="231F20"/>
        </w:rPr>
        <w:t>Un</w:t>
      </w:r>
      <w:r>
        <w:rPr>
          <w:color w:val="231F20"/>
          <w:spacing w:val="-5"/>
        </w:rPr>
        <w:t> </w:t>
      </w:r>
      <w:r>
        <w:rPr>
          <w:color w:val="231F20"/>
        </w:rPr>
        <w:t>comportamiento</w:t>
      </w:r>
      <w:r>
        <w:rPr>
          <w:color w:val="231F20"/>
          <w:spacing w:val="-6"/>
        </w:rPr>
        <w:t> </w:t>
      </w:r>
      <w:r>
        <w:rPr>
          <w:color w:val="231F20"/>
        </w:rPr>
        <w:t>similar</w:t>
      </w:r>
      <w:r>
        <w:rPr>
          <w:color w:val="231F20"/>
          <w:spacing w:val="-6"/>
        </w:rPr>
        <w:t> </w:t>
      </w:r>
      <w:r>
        <w:rPr>
          <w:color w:val="231F20"/>
        </w:rPr>
        <w:t>se</w:t>
      </w:r>
      <w:r>
        <w:rPr>
          <w:color w:val="231F20"/>
          <w:spacing w:val="-6"/>
        </w:rPr>
        <w:t> </w:t>
      </w:r>
      <w:r>
        <w:rPr>
          <w:color w:val="231F20"/>
        </w:rPr>
        <w:t>presentó</w:t>
      </w:r>
      <w:r>
        <w:rPr>
          <w:color w:val="231F20"/>
          <w:spacing w:val="-6"/>
        </w:rPr>
        <w:t> </w:t>
      </w:r>
      <w:r>
        <w:rPr>
          <w:color w:val="231F20"/>
        </w:rPr>
        <w:t>con</w:t>
      </w:r>
      <w:r>
        <w:rPr>
          <w:color w:val="231F20"/>
          <w:spacing w:val="-6"/>
        </w:rPr>
        <w:t> </w:t>
      </w:r>
      <w:r>
        <w:rPr>
          <w:color w:val="231F20"/>
        </w:rPr>
        <w:t>la</w:t>
      </w:r>
      <w:r>
        <w:rPr>
          <w:color w:val="231F20"/>
          <w:spacing w:val="-6"/>
        </w:rPr>
        <w:t> </w:t>
      </w:r>
      <w:r>
        <w:rPr>
          <w:color w:val="231F20"/>
        </w:rPr>
        <w:t>producción</w:t>
      </w:r>
      <w:r>
        <w:rPr>
          <w:color w:val="231F20"/>
          <w:spacing w:val="-6"/>
        </w:rPr>
        <w:t> </w:t>
      </w:r>
      <w:r>
        <w:rPr>
          <w:color w:val="231F20"/>
        </w:rPr>
        <w:t>fuera</w:t>
      </w:r>
      <w:r>
        <w:rPr>
          <w:color w:val="231F20"/>
          <w:spacing w:val="-6"/>
        </w:rPr>
        <w:t> </w:t>
      </w:r>
      <w:r>
        <w:rPr>
          <w:color w:val="231F20"/>
        </w:rPr>
        <w:t>de</w:t>
      </w:r>
      <w:r>
        <w:rPr>
          <w:color w:val="231F20"/>
          <w:spacing w:val="-6"/>
        </w:rPr>
        <w:t> </w:t>
      </w:r>
      <w:r>
        <w:rPr>
          <w:color w:val="231F20"/>
        </w:rPr>
        <w:t>temporada</w:t>
      </w:r>
      <w:r>
        <w:rPr>
          <w:color w:val="231F20"/>
          <w:spacing w:val="-6"/>
        </w:rPr>
        <w:t> </w:t>
      </w:r>
      <w:r>
        <w:rPr>
          <w:color w:val="231F20"/>
        </w:rPr>
        <w:t>para</w:t>
      </w:r>
      <w:r>
        <w:rPr>
          <w:color w:val="231F20"/>
          <w:spacing w:val="-6"/>
        </w:rPr>
        <w:t> </w:t>
      </w:r>
      <w:r>
        <w:rPr>
          <w:color w:val="231F20"/>
        </w:rPr>
        <w:t>todos</w:t>
      </w:r>
      <w:r>
        <w:rPr>
          <w:color w:val="231F20"/>
          <w:spacing w:val="-6"/>
        </w:rPr>
        <w:t> </w:t>
      </w:r>
      <w:r>
        <w:rPr>
          <w:color w:val="231F20"/>
        </w:rPr>
        <w:t>los</w:t>
      </w:r>
      <w:r>
        <w:rPr>
          <w:color w:val="231F20"/>
          <w:spacing w:val="-5"/>
        </w:rPr>
        <w:t> </w:t>
      </w:r>
      <w:r>
        <w:rPr>
          <w:color w:val="231F20"/>
        </w:rPr>
        <w:t>maíces, sólo</w:t>
      </w:r>
      <w:r>
        <w:rPr>
          <w:color w:val="231F20"/>
          <w:spacing w:val="-7"/>
        </w:rPr>
        <w:t> </w:t>
      </w:r>
      <w:r>
        <w:rPr>
          <w:color w:val="231F20"/>
        </w:rPr>
        <w:t>que</w:t>
      </w:r>
      <w:r>
        <w:rPr>
          <w:color w:val="231F20"/>
          <w:spacing w:val="-7"/>
        </w:rPr>
        <w:t> </w:t>
      </w:r>
      <w:r>
        <w:rPr>
          <w:color w:val="231F20"/>
        </w:rPr>
        <w:t>en</w:t>
      </w:r>
      <w:r>
        <w:rPr>
          <w:color w:val="231F20"/>
          <w:spacing w:val="-7"/>
        </w:rPr>
        <w:t> </w:t>
      </w:r>
      <w:r>
        <w:rPr>
          <w:color w:val="231F20"/>
        </w:rPr>
        <w:t>este</w:t>
      </w:r>
      <w:r>
        <w:rPr>
          <w:color w:val="231F20"/>
          <w:spacing w:val="-7"/>
        </w:rPr>
        <w:t> </w:t>
      </w:r>
      <w:r>
        <w:rPr>
          <w:color w:val="231F20"/>
        </w:rPr>
        <w:t>caso</w:t>
      </w:r>
      <w:r>
        <w:rPr>
          <w:color w:val="231F20"/>
          <w:spacing w:val="-7"/>
        </w:rPr>
        <w:t> </w:t>
      </w:r>
      <w:r>
        <w:rPr>
          <w:color w:val="231F20"/>
        </w:rPr>
        <w:t>la</w:t>
      </w:r>
      <w:r>
        <w:rPr>
          <w:color w:val="231F20"/>
          <w:spacing w:val="-7"/>
        </w:rPr>
        <w:t> </w:t>
      </w:r>
      <w:r>
        <w:rPr>
          <w:color w:val="231F20"/>
        </w:rPr>
        <w:t>rentabilidad</w:t>
      </w:r>
      <w:r>
        <w:rPr>
          <w:color w:val="231F20"/>
          <w:spacing w:val="-7"/>
        </w:rPr>
        <w:t> </w:t>
      </w:r>
      <w:r>
        <w:rPr>
          <w:color w:val="231F20"/>
        </w:rPr>
        <w:t>por</w:t>
      </w:r>
      <w:r>
        <w:rPr>
          <w:color w:val="231F20"/>
          <w:spacing w:val="-7"/>
        </w:rPr>
        <w:t> </w:t>
      </w:r>
      <w:r>
        <w:rPr>
          <w:color w:val="231F20"/>
        </w:rPr>
        <w:t>peso</w:t>
      </w:r>
      <w:r>
        <w:rPr>
          <w:color w:val="231F20"/>
          <w:spacing w:val="-7"/>
        </w:rPr>
        <w:t> </w:t>
      </w:r>
      <w:r>
        <w:rPr>
          <w:color w:val="231F20"/>
        </w:rPr>
        <w:t>invertido</w:t>
      </w:r>
      <w:r>
        <w:rPr>
          <w:color w:val="231F20"/>
          <w:spacing w:val="-8"/>
        </w:rPr>
        <w:t> </w:t>
      </w:r>
      <w:r>
        <w:rPr>
          <w:color w:val="231F20"/>
        </w:rPr>
        <w:t>superó</w:t>
      </w:r>
      <w:r>
        <w:rPr>
          <w:color w:val="231F20"/>
          <w:spacing w:val="-7"/>
        </w:rPr>
        <w:t> </w:t>
      </w:r>
      <w:r>
        <w:rPr>
          <w:color w:val="231F20"/>
        </w:rPr>
        <w:t>ampliamente</w:t>
      </w:r>
      <w:r>
        <w:rPr>
          <w:color w:val="231F20"/>
          <w:spacing w:val="-8"/>
        </w:rPr>
        <w:t> </w:t>
      </w:r>
      <w:r>
        <w:rPr>
          <w:color w:val="231F20"/>
        </w:rPr>
        <w:t>a</w:t>
      </w:r>
      <w:r>
        <w:rPr>
          <w:color w:val="231F20"/>
          <w:spacing w:val="-7"/>
        </w:rPr>
        <w:t> </w:t>
      </w:r>
      <w:r>
        <w:rPr>
          <w:color w:val="231F20"/>
        </w:rPr>
        <w:t>la</w:t>
      </w:r>
      <w:r>
        <w:rPr>
          <w:color w:val="231F20"/>
          <w:spacing w:val="-7"/>
        </w:rPr>
        <w:t> </w:t>
      </w:r>
      <w:r>
        <w:rPr>
          <w:color w:val="231F20"/>
        </w:rPr>
        <w:t>obtenida</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época de producción de huitlacoche; misma que osciló desde $1.71 hasta $15.29 en el caso de los maíces B5 y el híbrido Oso, respectivamente; dicho aporte económico no podría obtenerse con ninguno de los maíces que se probaron en este experimento, si éstos se destinaran a la producción de</w:t>
      </w:r>
      <w:r>
        <w:rPr>
          <w:color w:val="231F20"/>
          <w:spacing w:val="-9"/>
        </w:rPr>
        <w:t> </w:t>
      </w:r>
      <w:r>
        <w:rPr>
          <w:color w:val="231F20"/>
        </w:rPr>
        <w:t>grano.</w:t>
      </w:r>
    </w:p>
    <w:p>
      <w:pPr>
        <w:pStyle w:val="BodyText"/>
        <w:spacing w:before="10"/>
      </w:pPr>
    </w:p>
    <w:p>
      <w:pPr>
        <w:pStyle w:val="BodyText"/>
        <w:spacing w:line="247" w:lineRule="auto"/>
        <w:ind w:left="1270" w:right="1268"/>
        <w:jc w:val="both"/>
      </w:pPr>
      <w:r>
        <w:rPr>
          <w:color w:val="231F20"/>
        </w:rPr>
        <w:t>Al</w:t>
      </w:r>
      <w:r>
        <w:rPr>
          <w:color w:val="231F20"/>
          <w:spacing w:val="-12"/>
        </w:rPr>
        <w:t> </w:t>
      </w:r>
      <w:r>
        <w:rPr>
          <w:color w:val="231F20"/>
        </w:rPr>
        <w:t>respecto,</w:t>
      </w:r>
      <w:r>
        <w:rPr>
          <w:color w:val="231F20"/>
          <w:spacing w:val="-15"/>
        </w:rPr>
        <w:t> </w:t>
      </w:r>
      <w:r>
        <w:rPr>
          <w:color w:val="231F20"/>
        </w:rPr>
        <w:t>Villanueva</w:t>
      </w:r>
      <w:r>
        <w:rPr>
          <w:color w:val="231F20"/>
          <w:spacing w:val="-12"/>
        </w:rPr>
        <w:t> </w:t>
      </w:r>
      <w:r>
        <w:rPr>
          <w:color w:val="231F20"/>
        </w:rPr>
        <w:t>et</w:t>
      </w:r>
      <w:r>
        <w:rPr>
          <w:color w:val="231F20"/>
          <w:spacing w:val="-12"/>
        </w:rPr>
        <w:t> </w:t>
      </w:r>
      <w:r>
        <w:rPr>
          <w:color w:val="231F20"/>
        </w:rPr>
        <w:t>al.,</w:t>
      </w:r>
      <w:r>
        <w:rPr>
          <w:color w:val="231F20"/>
          <w:spacing w:val="-12"/>
        </w:rPr>
        <w:t> </w:t>
      </w:r>
      <w:r>
        <w:rPr>
          <w:color w:val="231F20"/>
        </w:rPr>
        <w:t>(2007)</w:t>
      </w:r>
      <w:r>
        <w:rPr>
          <w:color w:val="231F20"/>
          <w:spacing w:val="-12"/>
        </w:rPr>
        <w:t> </w:t>
      </w:r>
      <w:r>
        <w:rPr>
          <w:color w:val="231F20"/>
        </w:rPr>
        <w:t>compararon</w:t>
      </w:r>
      <w:r>
        <w:rPr>
          <w:color w:val="231F20"/>
          <w:spacing w:val="-12"/>
        </w:rPr>
        <w:t> </w:t>
      </w:r>
      <w:r>
        <w:rPr>
          <w:color w:val="231F20"/>
        </w:rPr>
        <w:t>la</w:t>
      </w:r>
      <w:r>
        <w:rPr>
          <w:color w:val="231F20"/>
          <w:spacing w:val="-12"/>
        </w:rPr>
        <w:t> </w:t>
      </w:r>
      <w:r>
        <w:rPr>
          <w:color w:val="231F20"/>
        </w:rPr>
        <w:t>relación</w:t>
      </w:r>
      <w:r>
        <w:rPr>
          <w:color w:val="231F20"/>
          <w:spacing w:val="-12"/>
        </w:rPr>
        <w:t> </w:t>
      </w:r>
      <w:r>
        <w:rPr>
          <w:color w:val="231F20"/>
        </w:rPr>
        <w:t>Beneficio/Costo</w:t>
      </w:r>
      <w:r>
        <w:rPr>
          <w:color w:val="231F20"/>
          <w:spacing w:val="-12"/>
        </w:rPr>
        <w:t> </w:t>
      </w:r>
      <w:r>
        <w:rPr>
          <w:color w:val="231F20"/>
        </w:rPr>
        <w:t>(B/C)</w:t>
      </w:r>
      <w:r>
        <w:rPr>
          <w:color w:val="231F20"/>
          <w:spacing w:val="-12"/>
        </w:rPr>
        <w:t> </w:t>
      </w:r>
      <w:r>
        <w:rPr>
          <w:color w:val="231F20"/>
        </w:rPr>
        <w:t>de</w:t>
      </w:r>
      <w:r>
        <w:rPr>
          <w:color w:val="231F20"/>
          <w:spacing w:val="-12"/>
        </w:rPr>
        <w:t> </w:t>
      </w:r>
      <w:r>
        <w:rPr>
          <w:color w:val="231F20"/>
        </w:rPr>
        <w:t>producir</w:t>
      </w:r>
      <w:r>
        <w:rPr>
          <w:color w:val="231F20"/>
          <w:spacing w:val="-12"/>
        </w:rPr>
        <w:t> </w:t>
      </w:r>
      <w:r>
        <w:rPr>
          <w:color w:val="231F20"/>
        </w:rPr>
        <w:t>maíz para grano vs huitlacoche, incluida en ambos sistemas la venta de forraje verde, y obtuvieron que la producción</w:t>
      </w:r>
      <w:r>
        <w:rPr>
          <w:color w:val="231F20"/>
          <w:spacing w:val="-10"/>
        </w:rPr>
        <w:t> </w:t>
      </w:r>
      <w:r>
        <w:rPr>
          <w:color w:val="231F20"/>
        </w:rPr>
        <w:t>de</w:t>
      </w:r>
      <w:r>
        <w:rPr>
          <w:color w:val="231F20"/>
          <w:spacing w:val="-10"/>
        </w:rPr>
        <w:t> </w:t>
      </w:r>
      <w:r>
        <w:rPr>
          <w:color w:val="231F20"/>
        </w:rPr>
        <w:t>maíz</w:t>
      </w:r>
      <w:r>
        <w:rPr>
          <w:color w:val="231F20"/>
          <w:spacing w:val="-10"/>
        </w:rPr>
        <w:t> </w:t>
      </w:r>
      <w:r>
        <w:rPr>
          <w:color w:val="231F20"/>
        </w:rPr>
        <w:t>para</w:t>
      </w:r>
      <w:r>
        <w:rPr>
          <w:color w:val="231F20"/>
          <w:spacing w:val="-10"/>
        </w:rPr>
        <w:t> </w:t>
      </w:r>
      <w:r>
        <w:rPr>
          <w:color w:val="231F20"/>
        </w:rPr>
        <w:t>grano</w:t>
      </w:r>
      <w:r>
        <w:rPr>
          <w:color w:val="231F20"/>
          <w:spacing w:val="-10"/>
        </w:rPr>
        <w:t> </w:t>
      </w:r>
      <w:r>
        <w:rPr>
          <w:color w:val="231F20"/>
        </w:rPr>
        <w:t>tuvo</w:t>
      </w:r>
      <w:r>
        <w:rPr>
          <w:color w:val="231F20"/>
          <w:spacing w:val="-10"/>
        </w:rPr>
        <w:t> </w:t>
      </w:r>
      <w:r>
        <w:rPr>
          <w:color w:val="231F20"/>
        </w:rPr>
        <w:t>un</w:t>
      </w:r>
      <w:r>
        <w:rPr>
          <w:color w:val="231F20"/>
          <w:spacing w:val="-10"/>
        </w:rPr>
        <w:t> </w:t>
      </w:r>
      <w:r>
        <w:rPr>
          <w:color w:val="231F20"/>
        </w:rPr>
        <w:t>B/C</w:t>
      </w:r>
      <w:r>
        <w:rPr>
          <w:color w:val="231F20"/>
          <w:spacing w:val="-10"/>
        </w:rPr>
        <w:t> </w:t>
      </w:r>
      <w:r>
        <w:rPr>
          <w:color w:val="231F20"/>
        </w:rPr>
        <w:t>de</w:t>
      </w:r>
      <w:r>
        <w:rPr>
          <w:color w:val="231F20"/>
          <w:spacing w:val="-10"/>
        </w:rPr>
        <w:t> </w:t>
      </w:r>
      <w:r>
        <w:rPr>
          <w:color w:val="231F20"/>
        </w:rPr>
        <w:t>$1.09,</w:t>
      </w:r>
      <w:r>
        <w:rPr>
          <w:color w:val="231F20"/>
          <w:spacing w:val="-10"/>
        </w:rPr>
        <w:t> </w:t>
      </w:r>
      <w:r>
        <w:rPr>
          <w:color w:val="231F20"/>
        </w:rPr>
        <w:t>mientras</w:t>
      </w:r>
      <w:r>
        <w:rPr>
          <w:color w:val="231F20"/>
          <w:spacing w:val="-10"/>
        </w:rPr>
        <w:t> </w:t>
      </w:r>
      <w:r>
        <w:rPr>
          <w:color w:val="231F20"/>
        </w:rPr>
        <w:t>que</w:t>
      </w:r>
      <w:r>
        <w:rPr>
          <w:color w:val="231F20"/>
          <w:spacing w:val="-10"/>
        </w:rPr>
        <w:t> </w:t>
      </w:r>
      <w:r>
        <w:rPr>
          <w:color w:val="231F20"/>
        </w:rPr>
        <w:t>para</w:t>
      </w:r>
      <w:r>
        <w:rPr>
          <w:color w:val="231F20"/>
          <w:spacing w:val="-10"/>
        </w:rPr>
        <w:t> </w:t>
      </w:r>
      <w:r>
        <w:rPr>
          <w:color w:val="231F20"/>
        </w:rPr>
        <w:t>la</w:t>
      </w:r>
      <w:r>
        <w:rPr>
          <w:color w:val="231F20"/>
          <w:spacing w:val="-10"/>
        </w:rPr>
        <w:t> </w:t>
      </w:r>
      <w:r>
        <w:rPr>
          <w:color w:val="231F20"/>
        </w:rPr>
        <w:t>producción</w:t>
      </w:r>
      <w:r>
        <w:rPr>
          <w:color w:val="231F20"/>
          <w:spacing w:val="-10"/>
        </w:rPr>
        <w:t> </w:t>
      </w:r>
      <w:r>
        <w:rPr>
          <w:color w:val="231F20"/>
        </w:rPr>
        <w:t>de</w:t>
      </w:r>
      <w:r>
        <w:rPr>
          <w:color w:val="231F20"/>
          <w:spacing w:val="-10"/>
        </w:rPr>
        <w:t> </w:t>
      </w:r>
      <w:r>
        <w:rPr>
          <w:color w:val="231F20"/>
        </w:rPr>
        <w:t>huitlacoche fue de $0.96 en temporada y $4.07 fuera de ella.</w:t>
      </w:r>
    </w:p>
    <w:p>
      <w:pPr>
        <w:spacing w:after="0" w:line="247" w:lineRule="auto"/>
        <w:jc w:val="both"/>
        <w:sectPr>
          <w:pgSz w:w="10920" w:h="13080"/>
          <w:pgMar w:header="0" w:footer="1025" w:top="420" w:bottom="1220" w:left="0" w:right="0"/>
        </w:sectPr>
      </w:pPr>
    </w:p>
    <w:p>
      <w:pPr>
        <w:pStyle w:val="BodyText"/>
        <w:rPr>
          <w:sz w:val="20"/>
        </w:rPr>
      </w:pPr>
    </w:p>
    <w:p>
      <w:pPr>
        <w:pStyle w:val="BodyText"/>
        <w:rPr>
          <w:sz w:val="20"/>
        </w:rPr>
      </w:pPr>
    </w:p>
    <w:p>
      <w:pPr>
        <w:pStyle w:val="BodyText"/>
        <w:spacing w:before="4"/>
        <w:rPr>
          <w:sz w:val="22"/>
        </w:rPr>
      </w:pPr>
    </w:p>
    <w:p>
      <w:pPr>
        <w:pStyle w:val="Heading3"/>
        <w:spacing w:before="69"/>
      </w:pPr>
      <w:r>
        <w:rPr>
          <w:color w:val="010202"/>
        </w:rPr>
        <w:t>Conclusiones</w:t>
      </w:r>
    </w:p>
    <w:p>
      <w:pPr>
        <w:pStyle w:val="BodyText"/>
        <w:spacing w:before="10"/>
        <w:rPr>
          <w:b/>
        </w:rPr>
      </w:pPr>
    </w:p>
    <w:p>
      <w:pPr>
        <w:pStyle w:val="BodyText"/>
        <w:spacing w:line="247" w:lineRule="auto"/>
        <w:ind w:left="1270" w:right="1268"/>
        <w:jc w:val="both"/>
      </w:pPr>
      <w:r>
        <w:rPr>
          <w:color w:val="231F20"/>
        </w:rPr>
        <w:t>El</w:t>
      </w:r>
      <w:r>
        <w:rPr>
          <w:color w:val="231F20"/>
          <w:spacing w:val="-5"/>
        </w:rPr>
        <w:t> </w:t>
      </w:r>
      <w:r>
        <w:rPr>
          <w:color w:val="231F20"/>
        </w:rPr>
        <w:t>híbrido</w:t>
      </w:r>
      <w:r>
        <w:rPr>
          <w:color w:val="231F20"/>
          <w:spacing w:val="-5"/>
        </w:rPr>
        <w:t> </w:t>
      </w:r>
      <w:r>
        <w:rPr>
          <w:color w:val="231F20"/>
        </w:rPr>
        <w:t>Oso</w:t>
      </w:r>
      <w:r>
        <w:rPr>
          <w:color w:val="231F20"/>
          <w:spacing w:val="-5"/>
        </w:rPr>
        <w:t> </w:t>
      </w:r>
      <w:r>
        <w:rPr>
          <w:color w:val="231F20"/>
        </w:rPr>
        <w:t>fue</w:t>
      </w:r>
      <w:r>
        <w:rPr>
          <w:color w:val="231F20"/>
          <w:spacing w:val="-5"/>
        </w:rPr>
        <w:t> </w:t>
      </w:r>
      <w:r>
        <w:rPr>
          <w:color w:val="231F20"/>
        </w:rPr>
        <w:t>el</w:t>
      </w:r>
      <w:r>
        <w:rPr>
          <w:color w:val="231F20"/>
          <w:spacing w:val="-5"/>
        </w:rPr>
        <w:t> </w:t>
      </w:r>
      <w:r>
        <w:rPr>
          <w:color w:val="231F20"/>
        </w:rPr>
        <w:t>más</w:t>
      </w:r>
      <w:r>
        <w:rPr>
          <w:color w:val="231F20"/>
          <w:spacing w:val="-5"/>
        </w:rPr>
        <w:t> </w:t>
      </w:r>
      <w:r>
        <w:rPr>
          <w:color w:val="231F20"/>
        </w:rPr>
        <w:t>susceptible</w:t>
      </w:r>
      <w:r>
        <w:rPr>
          <w:color w:val="231F20"/>
          <w:spacing w:val="-5"/>
        </w:rPr>
        <w:t> </w:t>
      </w:r>
      <w:r>
        <w:rPr>
          <w:color w:val="231F20"/>
        </w:rPr>
        <w:t>con</w:t>
      </w:r>
      <w:r>
        <w:rPr>
          <w:color w:val="231F20"/>
          <w:spacing w:val="-5"/>
        </w:rPr>
        <w:t> </w:t>
      </w:r>
      <w:r>
        <w:rPr>
          <w:color w:val="231F20"/>
        </w:rPr>
        <w:t>3.08</w:t>
      </w:r>
      <w:r>
        <w:rPr>
          <w:color w:val="231F20"/>
          <w:spacing w:val="-5"/>
        </w:rPr>
        <w:t> </w:t>
      </w:r>
      <w:r>
        <w:rPr>
          <w:color w:val="231F20"/>
        </w:rPr>
        <w:t>de</w:t>
      </w:r>
      <w:r>
        <w:rPr>
          <w:color w:val="231F20"/>
          <w:spacing w:val="-5"/>
        </w:rPr>
        <w:t> </w:t>
      </w:r>
      <w:r>
        <w:rPr>
          <w:color w:val="231F20"/>
        </w:rPr>
        <w:t>IS,</w:t>
      </w:r>
      <w:r>
        <w:rPr>
          <w:color w:val="231F20"/>
          <w:spacing w:val="-5"/>
        </w:rPr>
        <w:t> </w:t>
      </w:r>
      <w:r>
        <w:rPr>
          <w:color w:val="231F20"/>
        </w:rPr>
        <w:t>133.39</w:t>
      </w:r>
      <w:r>
        <w:rPr>
          <w:color w:val="231F20"/>
          <w:spacing w:val="-5"/>
        </w:rPr>
        <w:t> </w:t>
      </w:r>
      <w:r>
        <w:rPr>
          <w:color w:val="231F20"/>
        </w:rPr>
        <w:t>GMI</w:t>
      </w:r>
      <w:r>
        <w:rPr>
          <w:color w:val="231F20"/>
          <w:spacing w:val="-5"/>
        </w:rPr>
        <w:t> </w:t>
      </w:r>
      <w:r>
        <w:rPr>
          <w:color w:val="231F20"/>
        </w:rPr>
        <w:t>y</w:t>
      </w:r>
      <w:r>
        <w:rPr>
          <w:color w:val="231F20"/>
          <w:spacing w:val="-5"/>
        </w:rPr>
        <w:t> </w:t>
      </w:r>
      <w:r>
        <w:rPr>
          <w:color w:val="231F20"/>
        </w:rPr>
        <w:t>14.402</w:t>
      </w:r>
      <w:r>
        <w:rPr>
          <w:color w:val="231F20"/>
          <w:spacing w:val="-5"/>
        </w:rPr>
        <w:t> </w:t>
      </w:r>
      <w:r>
        <w:rPr>
          <w:color w:val="231F20"/>
        </w:rPr>
        <w:t>t.ha-1;</w:t>
      </w:r>
      <w:r>
        <w:rPr>
          <w:color w:val="231F20"/>
          <w:spacing w:val="-5"/>
        </w:rPr>
        <w:t> </w:t>
      </w:r>
      <w:r>
        <w:rPr>
          <w:color w:val="231F20"/>
        </w:rPr>
        <w:t>el</w:t>
      </w:r>
      <w:r>
        <w:rPr>
          <w:color w:val="231F20"/>
          <w:spacing w:val="-5"/>
        </w:rPr>
        <w:t> </w:t>
      </w:r>
      <w:r>
        <w:rPr>
          <w:color w:val="231F20"/>
        </w:rPr>
        <w:t>Cobra</w:t>
      </w:r>
      <w:r>
        <w:rPr>
          <w:color w:val="231F20"/>
          <w:spacing w:val="-5"/>
        </w:rPr>
        <w:t> </w:t>
      </w:r>
      <w:r>
        <w:rPr>
          <w:color w:val="231F20"/>
        </w:rPr>
        <w:t>presentó el mayor PI con 85.83%. De los materiales criollos el que presentó mayor susceptibilidad fue el B6 con un PI de 66.72%, un IS de 1.23 y 8.522 t•ha-1 de huitlacoche.</w:t>
      </w:r>
    </w:p>
    <w:p>
      <w:pPr>
        <w:pStyle w:val="BodyText"/>
        <w:spacing w:before="10"/>
      </w:pPr>
    </w:p>
    <w:p>
      <w:pPr>
        <w:pStyle w:val="BodyText"/>
        <w:spacing w:line="247" w:lineRule="auto"/>
        <w:ind w:left="1270" w:right="1268"/>
        <w:jc w:val="both"/>
      </w:pPr>
      <w:r>
        <w:rPr>
          <w:color w:val="231F20"/>
        </w:rPr>
        <w:t>Los maíces criollos que presentaron mayor susceptibilidad a U. maydis fueron el B6 y B3 de la</w:t>
      </w:r>
      <w:r>
        <w:rPr>
          <w:color w:val="231F20"/>
          <w:spacing w:val="-33"/>
        </w:rPr>
        <w:t> </w:t>
      </w:r>
      <w:r>
        <w:rPr>
          <w:color w:val="231F20"/>
        </w:rPr>
        <w:t>raza Ancho y el B5 de la raza Cacahuacintle fue el más resistente.</w:t>
      </w:r>
    </w:p>
    <w:p>
      <w:pPr>
        <w:pStyle w:val="BodyText"/>
        <w:spacing w:before="10"/>
      </w:pPr>
    </w:p>
    <w:p>
      <w:pPr>
        <w:pStyle w:val="BodyText"/>
        <w:spacing w:line="247" w:lineRule="auto"/>
        <w:ind w:left="1270" w:right="1268"/>
        <w:jc w:val="both"/>
      </w:pPr>
      <w:r>
        <w:rPr>
          <w:color w:val="231F20"/>
        </w:rPr>
        <w:t>La TDI y la HrPIn fueron los factores que más influyeron en la producción de huitlacoche en la mayoría de las variedades estudiadas, lo que indica que para cada variedad existe una relación de temperatura y humedad óptimas para el desarrollo de U. maydis.</w:t>
      </w:r>
    </w:p>
    <w:p>
      <w:pPr>
        <w:pStyle w:val="BodyText"/>
        <w:spacing w:before="10"/>
      </w:pPr>
    </w:p>
    <w:p>
      <w:pPr>
        <w:pStyle w:val="BodyText"/>
        <w:spacing w:line="247" w:lineRule="auto"/>
        <w:ind w:left="1270" w:right="1269"/>
        <w:jc w:val="both"/>
      </w:pPr>
      <w:r>
        <w:rPr>
          <w:color w:val="231F20"/>
        </w:rPr>
        <w:t>Los maíces más rentable tanto dentro como fuera de la temporada de producción de huitlacoche fueron el híbrido Oso con $4.43 y $15.29, respectivamente y el criollo B6 con $2.25 y $ 8.75, res- pectivamente;</w:t>
      </w:r>
      <w:r>
        <w:rPr>
          <w:color w:val="231F20"/>
          <w:spacing w:val="-7"/>
        </w:rPr>
        <w:t> </w:t>
      </w:r>
      <w:r>
        <w:rPr>
          <w:color w:val="231F20"/>
        </w:rPr>
        <w:t>y</w:t>
      </w:r>
      <w:r>
        <w:rPr>
          <w:color w:val="231F20"/>
          <w:spacing w:val="-6"/>
        </w:rPr>
        <w:t> </w:t>
      </w:r>
      <w:r>
        <w:rPr>
          <w:color w:val="231F20"/>
        </w:rPr>
        <w:t>dado</w:t>
      </w:r>
      <w:r>
        <w:rPr>
          <w:color w:val="231F20"/>
          <w:spacing w:val="-6"/>
        </w:rPr>
        <w:t> </w:t>
      </w:r>
      <w:r>
        <w:rPr>
          <w:color w:val="231F20"/>
        </w:rPr>
        <w:t>que</w:t>
      </w:r>
      <w:r>
        <w:rPr>
          <w:color w:val="231F20"/>
          <w:spacing w:val="-6"/>
        </w:rPr>
        <w:t> </w:t>
      </w:r>
      <w:r>
        <w:rPr>
          <w:color w:val="231F20"/>
        </w:rPr>
        <w:t>con</w:t>
      </w:r>
      <w:r>
        <w:rPr>
          <w:color w:val="231F20"/>
          <w:spacing w:val="-6"/>
        </w:rPr>
        <w:t> </w:t>
      </w:r>
      <w:r>
        <w:rPr>
          <w:color w:val="231F20"/>
        </w:rPr>
        <w:t>el</w:t>
      </w:r>
      <w:r>
        <w:rPr>
          <w:color w:val="231F20"/>
          <w:spacing w:val="-6"/>
        </w:rPr>
        <w:t> </w:t>
      </w:r>
      <w:r>
        <w:rPr>
          <w:color w:val="231F20"/>
        </w:rPr>
        <w:t>R13</w:t>
      </w:r>
      <w:r>
        <w:rPr>
          <w:color w:val="231F20"/>
          <w:spacing w:val="-6"/>
        </w:rPr>
        <w:t> </w:t>
      </w:r>
      <w:r>
        <w:rPr>
          <w:color w:val="231F20"/>
        </w:rPr>
        <w:t>se</w:t>
      </w:r>
      <w:r>
        <w:rPr>
          <w:color w:val="231F20"/>
          <w:spacing w:val="-6"/>
        </w:rPr>
        <w:t> </w:t>
      </w:r>
      <w:r>
        <w:rPr>
          <w:color w:val="231F20"/>
        </w:rPr>
        <w:t>pueden</w:t>
      </w:r>
      <w:r>
        <w:rPr>
          <w:color w:val="231F20"/>
          <w:spacing w:val="-6"/>
        </w:rPr>
        <w:t> </w:t>
      </w:r>
      <w:r>
        <w:rPr>
          <w:color w:val="231F20"/>
        </w:rPr>
        <w:t>obtener</w:t>
      </w:r>
      <w:r>
        <w:rPr>
          <w:color w:val="231F20"/>
          <w:spacing w:val="-6"/>
        </w:rPr>
        <w:t> </w:t>
      </w:r>
      <w:r>
        <w:rPr>
          <w:color w:val="231F20"/>
        </w:rPr>
        <w:t>dos</w:t>
      </w:r>
      <w:r>
        <w:rPr>
          <w:color w:val="231F20"/>
          <w:spacing w:val="-6"/>
        </w:rPr>
        <w:t> </w:t>
      </w:r>
      <w:r>
        <w:rPr>
          <w:color w:val="231F20"/>
        </w:rPr>
        <w:t>cosechas</w:t>
      </w:r>
      <w:r>
        <w:rPr>
          <w:color w:val="231F20"/>
          <w:spacing w:val="-6"/>
        </w:rPr>
        <w:t> </w:t>
      </w:r>
      <w:r>
        <w:rPr>
          <w:color w:val="231F20"/>
        </w:rPr>
        <w:t>al</w:t>
      </w:r>
      <w:r>
        <w:rPr>
          <w:color w:val="231F20"/>
          <w:spacing w:val="-6"/>
        </w:rPr>
        <w:t> </w:t>
      </w:r>
      <w:r>
        <w:rPr>
          <w:color w:val="231F20"/>
        </w:rPr>
        <w:t>año,</w:t>
      </w:r>
      <w:r>
        <w:rPr>
          <w:color w:val="231F20"/>
          <w:spacing w:val="-6"/>
        </w:rPr>
        <w:t> </w:t>
      </w:r>
      <w:r>
        <w:rPr>
          <w:color w:val="231F20"/>
        </w:rPr>
        <w:t>esto</w:t>
      </w:r>
      <w:r>
        <w:rPr>
          <w:color w:val="231F20"/>
          <w:spacing w:val="-6"/>
        </w:rPr>
        <w:t> </w:t>
      </w:r>
      <w:r>
        <w:rPr>
          <w:color w:val="231F20"/>
        </w:rPr>
        <w:t>lo</w:t>
      </w:r>
      <w:r>
        <w:rPr>
          <w:color w:val="231F20"/>
          <w:spacing w:val="-6"/>
        </w:rPr>
        <w:t> </w:t>
      </w:r>
      <w:r>
        <w:rPr>
          <w:color w:val="231F20"/>
        </w:rPr>
        <w:t>convierte</w:t>
      </w:r>
      <w:r>
        <w:rPr>
          <w:color w:val="231F20"/>
          <w:spacing w:val="-7"/>
        </w:rPr>
        <w:t> </w:t>
      </w:r>
      <w:r>
        <w:rPr>
          <w:color w:val="231F20"/>
        </w:rPr>
        <w:t>en</w:t>
      </w:r>
      <w:r>
        <w:rPr>
          <w:color w:val="231F20"/>
          <w:spacing w:val="-6"/>
        </w:rPr>
        <w:t> </w:t>
      </w:r>
      <w:r>
        <w:rPr>
          <w:color w:val="231F20"/>
        </w:rPr>
        <w:t>una mejor opción</w:t>
      </w:r>
      <w:r>
        <w:rPr>
          <w:color w:val="231F20"/>
          <w:spacing w:val="-1"/>
        </w:rPr>
        <w:t> </w:t>
      </w:r>
      <w:r>
        <w:rPr>
          <w:color w:val="231F20"/>
        </w:rPr>
        <w:t>económica.</w:t>
      </w:r>
    </w:p>
    <w:p>
      <w:pPr>
        <w:pStyle w:val="BodyText"/>
        <w:spacing w:before="9"/>
        <w:rPr>
          <w:sz w:val="22"/>
        </w:rPr>
      </w:pPr>
    </w:p>
    <w:p>
      <w:pPr>
        <w:pStyle w:val="Heading3"/>
      </w:pPr>
      <w:r>
        <w:rPr>
          <w:color w:val="010202"/>
        </w:rPr>
        <w:t>Literatura citada</w:t>
      </w:r>
    </w:p>
    <w:p>
      <w:pPr>
        <w:pStyle w:val="BodyText"/>
        <w:spacing w:before="7"/>
        <w:rPr>
          <w:b/>
        </w:rPr>
      </w:pPr>
    </w:p>
    <w:p>
      <w:pPr>
        <w:spacing w:line="249" w:lineRule="auto" w:before="0"/>
        <w:ind w:left="1270" w:right="1268" w:firstLine="0"/>
        <w:jc w:val="both"/>
        <w:rPr>
          <w:sz w:val="19"/>
        </w:rPr>
      </w:pPr>
      <w:r>
        <w:rPr>
          <w:color w:val="231F20"/>
          <w:sz w:val="19"/>
        </w:rPr>
        <w:t>Calderón, </w:t>
      </w:r>
      <w:r>
        <w:rPr>
          <w:color w:val="231F20"/>
          <w:spacing w:val="-8"/>
          <w:sz w:val="19"/>
        </w:rPr>
        <w:t>F. </w:t>
      </w:r>
      <w:r>
        <w:rPr>
          <w:color w:val="231F20"/>
          <w:sz w:val="19"/>
        </w:rPr>
        <w:t>M. L. 2010. Caracterización clásica y molecular del huitlacoche [Ustilago maydis D.C. (Corda)], hongo</w:t>
      </w:r>
      <w:r>
        <w:rPr>
          <w:color w:val="231F20"/>
          <w:spacing w:val="-4"/>
          <w:sz w:val="19"/>
        </w:rPr>
        <w:t> </w:t>
      </w:r>
      <w:r>
        <w:rPr>
          <w:color w:val="231F20"/>
          <w:sz w:val="19"/>
        </w:rPr>
        <w:t>de</w:t>
      </w:r>
      <w:r>
        <w:rPr>
          <w:color w:val="231F20"/>
          <w:spacing w:val="-4"/>
          <w:sz w:val="19"/>
        </w:rPr>
        <w:t> </w:t>
      </w:r>
      <w:r>
        <w:rPr>
          <w:color w:val="231F20"/>
          <w:sz w:val="19"/>
        </w:rPr>
        <w:t>importancia</w:t>
      </w:r>
      <w:r>
        <w:rPr>
          <w:color w:val="231F20"/>
          <w:spacing w:val="-4"/>
          <w:sz w:val="19"/>
        </w:rPr>
        <w:t> </w:t>
      </w:r>
      <w:r>
        <w:rPr>
          <w:color w:val="231F20"/>
          <w:sz w:val="19"/>
        </w:rPr>
        <w:t>social</w:t>
      </w:r>
      <w:r>
        <w:rPr>
          <w:color w:val="231F20"/>
          <w:spacing w:val="-4"/>
          <w:sz w:val="19"/>
        </w:rPr>
        <w:t> </w:t>
      </w:r>
      <w:r>
        <w:rPr>
          <w:color w:val="231F20"/>
          <w:sz w:val="19"/>
        </w:rPr>
        <w:t>y</w:t>
      </w:r>
      <w:r>
        <w:rPr>
          <w:color w:val="231F20"/>
          <w:spacing w:val="-4"/>
          <w:sz w:val="19"/>
        </w:rPr>
        <w:t> </w:t>
      </w:r>
      <w:r>
        <w:rPr>
          <w:color w:val="231F20"/>
          <w:sz w:val="19"/>
        </w:rPr>
        <w:t>económica</w:t>
      </w:r>
      <w:r>
        <w:rPr>
          <w:color w:val="231F20"/>
          <w:spacing w:val="-4"/>
          <w:sz w:val="19"/>
        </w:rPr>
        <w:t> </w:t>
      </w:r>
      <w:r>
        <w:rPr>
          <w:color w:val="231F20"/>
          <w:sz w:val="19"/>
        </w:rPr>
        <w:t>en</w:t>
      </w:r>
      <w:r>
        <w:rPr>
          <w:color w:val="231F20"/>
          <w:spacing w:val="-4"/>
          <w:sz w:val="19"/>
        </w:rPr>
        <w:t> </w:t>
      </w:r>
      <w:r>
        <w:rPr>
          <w:color w:val="231F20"/>
          <w:sz w:val="19"/>
        </w:rPr>
        <w:t>la</w:t>
      </w:r>
      <w:r>
        <w:rPr>
          <w:color w:val="231F20"/>
          <w:spacing w:val="-4"/>
          <w:sz w:val="19"/>
        </w:rPr>
        <w:t> </w:t>
      </w:r>
      <w:r>
        <w:rPr>
          <w:color w:val="231F20"/>
          <w:sz w:val="19"/>
        </w:rPr>
        <w:t>región</w:t>
      </w:r>
      <w:r>
        <w:rPr>
          <w:color w:val="231F20"/>
          <w:spacing w:val="-4"/>
          <w:sz w:val="19"/>
        </w:rPr>
        <w:t> </w:t>
      </w:r>
      <w:r>
        <w:rPr>
          <w:color w:val="231F20"/>
          <w:sz w:val="19"/>
        </w:rPr>
        <w:t>central</w:t>
      </w:r>
      <w:r>
        <w:rPr>
          <w:color w:val="231F20"/>
          <w:spacing w:val="-4"/>
          <w:sz w:val="19"/>
        </w:rPr>
        <w:t> </w:t>
      </w:r>
      <w:r>
        <w:rPr>
          <w:color w:val="231F20"/>
          <w:sz w:val="19"/>
        </w:rPr>
        <w:t>de</w:t>
      </w:r>
      <w:r>
        <w:rPr>
          <w:color w:val="231F20"/>
          <w:spacing w:val="-4"/>
          <w:sz w:val="19"/>
        </w:rPr>
        <w:t> </w:t>
      </w:r>
      <w:r>
        <w:rPr>
          <w:color w:val="231F20"/>
          <w:sz w:val="19"/>
        </w:rPr>
        <w:t>México.</w:t>
      </w:r>
      <w:r>
        <w:rPr>
          <w:color w:val="231F20"/>
          <w:spacing w:val="-8"/>
          <w:sz w:val="19"/>
        </w:rPr>
        <w:t> </w:t>
      </w:r>
      <w:r>
        <w:rPr>
          <w:color w:val="231F20"/>
          <w:spacing w:val="-3"/>
          <w:sz w:val="19"/>
        </w:rPr>
        <w:t>Tesis</w:t>
      </w:r>
      <w:r>
        <w:rPr>
          <w:color w:val="231F20"/>
          <w:spacing w:val="-4"/>
          <w:sz w:val="19"/>
        </w:rPr>
        <w:t> </w:t>
      </w:r>
      <w:r>
        <w:rPr>
          <w:color w:val="231F20"/>
          <w:sz w:val="19"/>
        </w:rPr>
        <w:t>de</w:t>
      </w:r>
      <w:r>
        <w:rPr>
          <w:color w:val="231F20"/>
          <w:spacing w:val="-4"/>
          <w:sz w:val="19"/>
        </w:rPr>
        <w:t> </w:t>
      </w:r>
      <w:r>
        <w:rPr>
          <w:color w:val="231F20"/>
          <w:sz w:val="19"/>
        </w:rPr>
        <w:t>Doctorado.</w:t>
      </w:r>
      <w:r>
        <w:rPr>
          <w:color w:val="231F20"/>
          <w:spacing w:val="-4"/>
          <w:sz w:val="19"/>
        </w:rPr>
        <w:t> </w:t>
      </w:r>
      <w:r>
        <w:rPr>
          <w:color w:val="231F20"/>
          <w:sz w:val="19"/>
        </w:rPr>
        <w:t>Colegio</w:t>
      </w:r>
      <w:r>
        <w:rPr>
          <w:color w:val="231F20"/>
          <w:spacing w:val="-4"/>
          <w:sz w:val="19"/>
        </w:rPr>
        <w:t> </w:t>
      </w:r>
      <w:r>
        <w:rPr>
          <w:color w:val="231F20"/>
          <w:sz w:val="19"/>
        </w:rPr>
        <w:t>de</w:t>
      </w:r>
      <w:r>
        <w:rPr>
          <w:color w:val="231F20"/>
          <w:spacing w:val="-4"/>
          <w:sz w:val="19"/>
        </w:rPr>
        <w:t> </w:t>
      </w:r>
      <w:r>
        <w:rPr>
          <w:color w:val="231F20"/>
          <w:sz w:val="19"/>
        </w:rPr>
        <w:t>Post- graduados. Campus Puebla, México. 182 p.</w:t>
      </w:r>
    </w:p>
    <w:p>
      <w:pPr>
        <w:pStyle w:val="BodyText"/>
        <w:spacing w:before="10"/>
        <w:rPr>
          <w:sz w:val="19"/>
        </w:rPr>
      </w:pPr>
    </w:p>
    <w:p>
      <w:pPr>
        <w:spacing w:line="249" w:lineRule="auto" w:before="0"/>
        <w:ind w:left="1270" w:right="1268" w:firstLine="0"/>
        <w:jc w:val="both"/>
        <w:rPr>
          <w:sz w:val="19"/>
        </w:rPr>
      </w:pPr>
      <w:r>
        <w:rPr>
          <w:color w:val="231F20"/>
          <w:sz w:val="19"/>
        </w:rPr>
        <w:t>Christensen, J. J. 1963. Corn smut caused by Ustilago maydis. Monograph No. 2. The American Phytopatho- logical Society. 41 p.</w:t>
      </w:r>
    </w:p>
    <w:p>
      <w:pPr>
        <w:pStyle w:val="BodyText"/>
        <w:spacing w:before="10"/>
        <w:rPr>
          <w:sz w:val="19"/>
        </w:rPr>
      </w:pPr>
    </w:p>
    <w:p>
      <w:pPr>
        <w:spacing w:line="249" w:lineRule="auto" w:before="0"/>
        <w:ind w:left="1270" w:right="1268" w:firstLine="0"/>
        <w:jc w:val="both"/>
        <w:rPr>
          <w:sz w:val="19"/>
        </w:rPr>
      </w:pPr>
      <w:r>
        <w:rPr>
          <w:color w:val="231F20"/>
          <w:sz w:val="19"/>
        </w:rPr>
        <w:t>Galindo, M. J. E. 2005. Susceptibilidad de genotipos de maíz inoculados artificialmente con Ustilago maydis (D.C.) Corda. Tesis de Licenciatura. Centro de Estudios Profesionales del Colegio Superior Agropecuario del Estado de Guerrero (CEP-CSAEGRO). Iguala, Gro. 94 p.</w:t>
      </w:r>
    </w:p>
    <w:p>
      <w:pPr>
        <w:pStyle w:val="BodyText"/>
        <w:spacing w:before="10"/>
        <w:rPr>
          <w:sz w:val="19"/>
        </w:rPr>
      </w:pPr>
    </w:p>
    <w:p>
      <w:pPr>
        <w:spacing w:before="0"/>
        <w:ind w:left="1270" w:right="0" w:firstLine="0"/>
        <w:jc w:val="both"/>
        <w:rPr>
          <w:sz w:val="19"/>
        </w:rPr>
      </w:pPr>
      <w:r>
        <w:rPr>
          <w:color w:val="231F20"/>
          <w:sz w:val="19"/>
        </w:rPr>
        <w:t>García, E. 1998. Modificación al sistema de clasificación climática de Kôepen. Ed. Offset Larios S.A. de C.V.</w:t>
      </w:r>
    </w:p>
    <w:p>
      <w:pPr>
        <w:spacing w:before="9"/>
        <w:ind w:left="1270" w:right="0" w:firstLine="0"/>
        <w:jc w:val="both"/>
        <w:rPr>
          <w:sz w:val="19"/>
        </w:rPr>
      </w:pPr>
      <w:r>
        <w:rPr>
          <w:color w:val="231F20"/>
          <w:sz w:val="19"/>
        </w:rPr>
        <w:t>México. 217 p.</w:t>
      </w:r>
    </w:p>
    <w:p>
      <w:pPr>
        <w:pStyle w:val="BodyText"/>
        <w:spacing w:before="7"/>
        <w:rPr>
          <w:sz w:val="20"/>
        </w:rPr>
      </w:pPr>
    </w:p>
    <w:p>
      <w:pPr>
        <w:spacing w:line="249" w:lineRule="auto" w:before="0"/>
        <w:ind w:left="1270" w:right="1268" w:firstLine="0"/>
        <w:jc w:val="both"/>
        <w:rPr>
          <w:sz w:val="19"/>
        </w:rPr>
      </w:pPr>
      <w:r>
        <w:rPr>
          <w:color w:val="231F20"/>
          <w:sz w:val="19"/>
        </w:rPr>
        <w:t>Madrigal, R. J.; Villanueva, </w:t>
      </w:r>
      <w:r>
        <w:rPr>
          <w:color w:val="231F20"/>
          <w:spacing w:val="-13"/>
          <w:sz w:val="19"/>
        </w:rPr>
        <w:t>V. </w:t>
      </w:r>
      <w:r>
        <w:rPr>
          <w:color w:val="231F20"/>
          <w:sz w:val="19"/>
        </w:rPr>
        <w:t>C.; Sahagún, C. J.; Acosta, R. M.; Martínez, M. L.; Espinosa, S. </w:t>
      </w:r>
      <w:r>
        <w:rPr>
          <w:color w:val="231F20"/>
          <w:spacing w:val="-8"/>
          <w:sz w:val="19"/>
        </w:rPr>
        <w:t>T. </w:t>
      </w:r>
      <w:r>
        <w:rPr>
          <w:color w:val="231F20"/>
          <w:sz w:val="19"/>
        </w:rPr>
        <w:t>2010. Ensa- yos de producción de huitlacoche (Ustilago maydis Cda.) hidropónico en invernadero. Revista Chapingo</w:t>
      </w:r>
      <w:r>
        <w:rPr>
          <w:color w:val="231F20"/>
          <w:spacing w:val="-26"/>
          <w:sz w:val="19"/>
        </w:rPr>
        <w:t> </w:t>
      </w:r>
      <w:r>
        <w:rPr>
          <w:color w:val="231F20"/>
          <w:sz w:val="19"/>
        </w:rPr>
        <w:t>Serie Horticultura 16(3): 177-182.</w:t>
      </w:r>
    </w:p>
    <w:p>
      <w:pPr>
        <w:pStyle w:val="BodyText"/>
        <w:spacing w:before="10"/>
        <w:rPr>
          <w:sz w:val="19"/>
        </w:rPr>
      </w:pPr>
    </w:p>
    <w:p>
      <w:pPr>
        <w:spacing w:line="249" w:lineRule="auto" w:before="0"/>
        <w:ind w:left="1270" w:right="1268" w:firstLine="0"/>
        <w:jc w:val="both"/>
        <w:rPr>
          <w:sz w:val="19"/>
        </w:rPr>
      </w:pPr>
      <w:r>
        <w:rPr>
          <w:color w:val="231F20"/>
          <w:sz w:val="19"/>
        </w:rPr>
        <w:t>Martínez,</w:t>
      </w:r>
      <w:r>
        <w:rPr>
          <w:color w:val="231F20"/>
          <w:spacing w:val="-7"/>
          <w:sz w:val="19"/>
        </w:rPr>
        <w:t> </w:t>
      </w:r>
      <w:r>
        <w:rPr>
          <w:color w:val="231F20"/>
          <w:sz w:val="19"/>
        </w:rPr>
        <w:t>M.</w:t>
      </w:r>
      <w:r>
        <w:rPr>
          <w:color w:val="231F20"/>
          <w:spacing w:val="-7"/>
          <w:sz w:val="19"/>
        </w:rPr>
        <w:t> </w:t>
      </w:r>
      <w:r>
        <w:rPr>
          <w:color w:val="231F20"/>
          <w:sz w:val="19"/>
        </w:rPr>
        <w:t>L.;</w:t>
      </w:r>
      <w:r>
        <w:rPr>
          <w:color w:val="231F20"/>
          <w:spacing w:val="-11"/>
          <w:sz w:val="19"/>
        </w:rPr>
        <w:t> </w:t>
      </w:r>
      <w:r>
        <w:rPr>
          <w:color w:val="231F20"/>
          <w:sz w:val="19"/>
        </w:rPr>
        <w:t>Villanueva,</w:t>
      </w:r>
      <w:r>
        <w:rPr>
          <w:color w:val="231F20"/>
          <w:spacing w:val="-11"/>
          <w:sz w:val="19"/>
        </w:rPr>
        <w:t> </w:t>
      </w:r>
      <w:r>
        <w:rPr>
          <w:color w:val="231F20"/>
          <w:spacing w:val="-13"/>
          <w:sz w:val="19"/>
        </w:rPr>
        <w:t>V.</w:t>
      </w:r>
      <w:r>
        <w:rPr>
          <w:color w:val="231F20"/>
          <w:spacing w:val="-7"/>
          <w:sz w:val="19"/>
        </w:rPr>
        <w:t> </w:t>
      </w:r>
      <w:r>
        <w:rPr>
          <w:color w:val="231F20"/>
          <w:sz w:val="19"/>
        </w:rPr>
        <w:t>C.;</w:t>
      </w:r>
      <w:r>
        <w:rPr>
          <w:color w:val="231F20"/>
          <w:spacing w:val="-7"/>
          <w:sz w:val="19"/>
        </w:rPr>
        <w:t> </w:t>
      </w:r>
      <w:r>
        <w:rPr>
          <w:color w:val="231F20"/>
          <w:sz w:val="19"/>
        </w:rPr>
        <w:t>Sahagún,</w:t>
      </w:r>
      <w:r>
        <w:rPr>
          <w:color w:val="231F20"/>
          <w:spacing w:val="-7"/>
          <w:sz w:val="19"/>
        </w:rPr>
        <w:t> </w:t>
      </w:r>
      <w:r>
        <w:rPr>
          <w:color w:val="231F20"/>
          <w:sz w:val="19"/>
        </w:rPr>
        <w:t>C.</w:t>
      </w:r>
      <w:r>
        <w:rPr>
          <w:color w:val="231F20"/>
          <w:spacing w:val="-7"/>
          <w:sz w:val="19"/>
        </w:rPr>
        <w:t> </w:t>
      </w:r>
      <w:r>
        <w:rPr>
          <w:color w:val="231F20"/>
          <w:sz w:val="19"/>
        </w:rPr>
        <w:t>J.</w:t>
      </w:r>
      <w:r>
        <w:rPr>
          <w:color w:val="231F20"/>
          <w:spacing w:val="-7"/>
          <w:sz w:val="19"/>
        </w:rPr>
        <w:t> </w:t>
      </w:r>
      <w:r>
        <w:rPr>
          <w:color w:val="231F20"/>
          <w:sz w:val="19"/>
        </w:rPr>
        <w:t>2000.</w:t>
      </w:r>
      <w:r>
        <w:rPr>
          <w:color w:val="231F20"/>
          <w:spacing w:val="-7"/>
          <w:sz w:val="19"/>
        </w:rPr>
        <w:t> </w:t>
      </w:r>
      <w:r>
        <w:rPr>
          <w:color w:val="231F20"/>
          <w:sz w:val="19"/>
        </w:rPr>
        <w:t>Susceptibilidad</w:t>
      </w:r>
      <w:r>
        <w:rPr>
          <w:color w:val="231F20"/>
          <w:spacing w:val="-7"/>
          <w:sz w:val="19"/>
        </w:rPr>
        <w:t> </w:t>
      </w:r>
      <w:r>
        <w:rPr>
          <w:color w:val="231F20"/>
          <w:sz w:val="19"/>
        </w:rPr>
        <w:t>y</w:t>
      </w:r>
      <w:r>
        <w:rPr>
          <w:color w:val="231F20"/>
          <w:spacing w:val="-7"/>
          <w:sz w:val="19"/>
        </w:rPr>
        <w:t> </w:t>
      </w:r>
      <w:r>
        <w:rPr>
          <w:color w:val="231F20"/>
          <w:sz w:val="19"/>
        </w:rPr>
        <w:t>resistencia</w:t>
      </w:r>
      <w:r>
        <w:rPr>
          <w:color w:val="231F20"/>
          <w:spacing w:val="-8"/>
          <w:sz w:val="19"/>
        </w:rPr>
        <w:t> </w:t>
      </w:r>
      <w:r>
        <w:rPr>
          <w:color w:val="231F20"/>
          <w:sz w:val="19"/>
        </w:rPr>
        <w:t>del</w:t>
      </w:r>
      <w:r>
        <w:rPr>
          <w:color w:val="231F20"/>
          <w:spacing w:val="-7"/>
          <w:sz w:val="19"/>
        </w:rPr>
        <w:t> </w:t>
      </w:r>
      <w:r>
        <w:rPr>
          <w:color w:val="231F20"/>
          <w:sz w:val="19"/>
        </w:rPr>
        <w:t>maíz</w:t>
      </w:r>
      <w:r>
        <w:rPr>
          <w:color w:val="231F20"/>
          <w:spacing w:val="-7"/>
          <w:sz w:val="19"/>
        </w:rPr>
        <w:t> </w:t>
      </w:r>
      <w:r>
        <w:rPr>
          <w:color w:val="231F20"/>
          <w:sz w:val="19"/>
        </w:rPr>
        <w:t>al</w:t>
      </w:r>
      <w:r>
        <w:rPr>
          <w:color w:val="231F20"/>
          <w:spacing w:val="-7"/>
          <w:sz w:val="19"/>
        </w:rPr>
        <w:t> </w:t>
      </w:r>
      <w:r>
        <w:rPr>
          <w:color w:val="231F20"/>
          <w:sz w:val="19"/>
        </w:rPr>
        <w:t>hongo</w:t>
      </w:r>
      <w:r>
        <w:rPr>
          <w:color w:val="231F20"/>
          <w:spacing w:val="-7"/>
          <w:sz w:val="19"/>
        </w:rPr>
        <w:t> </w:t>
      </w:r>
      <w:r>
        <w:rPr>
          <w:color w:val="231F20"/>
          <w:sz w:val="19"/>
        </w:rPr>
        <w:t>comes- tible huitlacoche (Ustilago maydis Cda.) mejorando su virulencia. Revista Chapingo Serie Horticultura 6(2): 241-255.</w:t>
      </w:r>
    </w:p>
    <w:p>
      <w:pPr>
        <w:pStyle w:val="BodyText"/>
        <w:spacing w:before="10"/>
        <w:rPr>
          <w:sz w:val="19"/>
        </w:rPr>
      </w:pPr>
    </w:p>
    <w:p>
      <w:pPr>
        <w:spacing w:before="0"/>
        <w:ind w:left="1270" w:right="0" w:firstLine="0"/>
        <w:jc w:val="both"/>
        <w:rPr>
          <w:sz w:val="19"/>
        </w:rPr>
      </w:pPr>
      <w:r>
        <w:rPr>
          <w:color w:val="231F20"/>
          <w:sz w:val="19"/>
        </w:rPr>
        <w:t>Martínez, M. L.; Muñoz, O. A.; Mejía, C. J. A.; Molina, G. J. D.; Zavaleta, M. E. Sandoval, I. J. S.; Villanueva,</w:t>
      </w:r>
    </w:p>
    <w:p>
      <w:pPr>
        <w:spacing w:after="0"/>
        <w:jc w:val="both"/>
        <w:rPr>
          <w:sz w:val="19"/>
        </w:rPr>
        <w:sectPr>
          <w:pgSz w:w="10920" w:h="13080"/>
          <w:pgMar w:header="0" w:footer="1025" w:top="420" w:bottom="1220" w:left="0" w:right="0"/>
        </w:sectPr>
      </w:pPr>
    </w:p>
    <w:p>
      <w:pPr>
        <w:pStyle w:val="BodyText"/>
        <w:rPr>
          <w:sz w:val="20"/>
        </w:rPr>
      </w:pPr>
    </w:p>
    <w:p>
      <w:pPr>
        <w:pStyle w:val="BodyText"/>
        <w:rPr>
          <w:sz w:val="20"/>
        </w:rPr>
      </w:pPr>
    </w:p>
    <w:p>
      <w:pPr>
        <w:pStyle w:val="BodyText"/>
        <w:spacing w:before="2"/>
        <w:rPr>
          <w:sz w:val="23"/>
        </w:rPr>
      </w:pPr>
    </w:p>
    <w:p>
      <w:pPr>
        <w:spacing w:before="76"/>
        <w:ind w:left="1270" w:right="0" w:firstLine="0"/>
        <w:jc w:val="both"/>
        <w:rPr>
          <w:sz w:val="19"/>
        </w:rPr>
      </w:pPr>
      <w:r>
        <w:rPr>
          <w:color w:val="231F20"/>
          <w:sz w:val="19"/>
        </w:rPr>
        <w:t>V. C. 2005. Efectos genéticos e interacciones entre familias de maíz y aislados de huitlacoche (Usitlago maydis</w:t>
      </w:r>
    </w:p>
    <w:p>
      <w:pPr>
        <w:spacing w:before="9"/>
        <w:ind w:left="1270" w:right="0" w:firstLine="0"/>
        <w:jc w:val="both"/>
        <w:rPr>
          <w:sz w:val="19"/>
        </w:rPr>
      </w:pPr>
      <w:r>
        <w:rPr>
          <w:color w:val="231F20"/>
          <w:sz w:val="19"/>
        </w:rPr>
        <w:t>D. C. Corda). Revista Chapingo Serie Horticultura 11(1): 121-128.</w:t>
      </w:r>
    </w:p>
    <w:p>
      <w:pPr>
        <w:pStyle w:val="BodyText"/>
        <w:spacing w:before="7"/>
        <w:rPr>
          <w:sz w:val="20"/>
        </w:rPr>
      </w:pPr>
    </w:p>
    <w:p>
      <w:pPr>
        <w:spacing w:line="249" w:lineRule="auto" w:before="0"/>
        <w:ind w:left="1270" w:right="1268" w:firstLine="0"/>
        <w:jc w:val="both"/>
        <w:rPr>
          <w:sz w:val="19"/>
        </w:rPr>
      </w:pPr>
      <w:r>
        <w:rPr>
          <w:color w:val="231F20"/>
          <w:sz w:val="19"/>
        </w:rPr>
        <w:t>Pan, J. J.; Baumgarten, M. A.; May, G. 2008. Effects of host plant environment and Ustilago maydis infection on the fungal endophyte community of maize (Zea mays). New Phytologist 178: 147-156.</w:t>
      </w:r>
    </w:p>
    <w:p>
      <w:pPr>
        <w:pStyle w:val="BodyText"/>
        <w:spacing w:before="10"/>
        <w:rPr>
          <w:sz w:val="19"/>
        </w:rPr>
      </w:pPr>
    </w:p>
    <w:p>
      <w:pPr>
        <w:spacing w:line="249" w:lineRule="auto" w:before="0"/>
        <w:ind w:left="1270" w:right="1268" w:firstLine="0"/>
        <w:jc w:val="both"/>
        <w:rPr>
          <w:sz w:val="19"/>
        </w:rPr>
      </w:pPr>
      <w:r>
        <w:rPr>
          <w:color w:val="231F20"/>
          <w:spacing w:val="-4"/>
          <w:sz w:val="19"/>
        </w:rPr>
        <w:t>Valdez, </w:t>
      </w:r>
      <w:r>
        <w:rPr>
          <w:color w:val="231F20"/>
          <w:sz w:val="19"/>
        </w:rPr>
        <w:t>M. M.;</w:t>
      </w:r>
      <w:r>
        <w:rPr>
          <w:color w:val="231F20"/>
          <w:spacing w:val="-34"/>
          <w:sz w:val="19"/>
        </w:rPr>
        <w:t> </w:t>
      </w:r>
      <w:r>
        <w:rPr>
          <w:color w:val="231F20"/>
          <w:spacing w:val="-3"/>
          <w:sz w:val="19"/>
        </w:rPr>
        <w:t>Valverde, </w:t>
      </w:r>
      <w:r>
        <w:rPr>
          <w:color w:val="231F20"/>
          <w:sz w:val="19"/>
        </w:rPr>
        <w:t>G. M. E.; Paredes, L. O. 2009. Procedimiento tecnológico para la producción masiva de huitlacoche. </w:t>
      </w:r>
      <w:r>
        <w:rPr>
          <w:color w:val="231F20"/>
          <w:spacing w:val="-4"/>
          <w:sz w:val="19"/>
        </w:rPr>
        <w:t>CINVESTAV-Irapuato. </w:t>
      </w:r>
      <w:r>
        <w:rPr>
          <w:color w:val="231F20"/>
          <w:sz w:val="19"/>
        </w:rPr>
        <w:t>Sinnco. pp.</w:t>
      </w:r>
      <w:r>
        <w:rPr>
          <w:color w:val="231F20"/>
          <w:spacing w:val="21"/>
          <w:sz w:val="19"/>
        </w:rPr>
        <w:t> </w:t>
      </w:r>
      <w:r>
        <w:rPr>
          <w:color w:val="231F20"/>
          <w:sz w:val="19"/>
        </w:rPr>
        <w:t>1-16.</w:t>
      </w:r>
    </w:p>
    <w:p>
      <w:pPr>
        <w:pStyle w:val="BodyText"/>
        <w:spacing w:before="10"/>
        <w:rPr>
          <w:sz w:val="19"/>
        </w:rPr>
      </w:pPr>
    </w:p>
    <w:p>
      <w:pPr>
        <w:spacing w:line="249" w:lineRule="auto" w:before="0"/>
        <w:ind w:left="1270" w:right="1268" w:firstLine="0"/>
        <w:jc w:val="both"/>
        <w:rPr>
          <w:sz w:val="19"/>
        </w:rPr>
      </w:pPr>
      <w:r>
        <w:rPr>
          <w:color w:val="231F20"/>
          <w:spacing w:val="-3"/>
          <w:sz w:val="19"/>
        </w:rPr>
        <w:t>Valverde, </w:t>
      </w:r>
      <w:r>
        <w:rPr>
          <w:color w:val="231F20"/>
          <w:sz w:val="19"/>
        </w:rPr>
        <w:t>M. E. 1992. Estudios sobre la infección de Ustilago maydis (Huitlacoche) y sus características ali- mentarias.</w:t>
      </w:r>
      <w:r>
        <w:rPr>
          <w:color w:val="231F20"/>
          <w:spacing w:val="-9"/>
          <w:sz w:val="19"/>
        </w:rPr>
        <w:t> </w:t>
      </w:r>
      <w:r>
        <w:rPr>
          <w:color w:val="231F20"/>
          <w:spacing w:val="-3"/>
          <w:sz w:val="19"/>
        </w:rPr>
        <w:t>Tesis</w:t>
      </w:r>
      <w:r>
        <w:rPr>
          <w:color w:val="231F20"/>
          <w:spacing w:val="-5"/>
          <w:sz w:val="19"/>
        </w:rPr>
        <w:t> </w:t>
      </w:r>
      <w:r>
        <w:rPr>
          <w:color w:val="231F20"/>
          <w:sz w:val="19"/>
        </w:rPr>
        <w:t>de</w:t>
      </w:r>
      <w:r>
        <w:rPr>
          <w:color w:val="231F20"/>
          <w:spacing w:val="-5"/>
          <w:sz w:val="19"/>
        </w:rPr>
        <w:t> </w:t>
      </w:r>
      <w:r>
        <w:rPr>
          <w:color w:val="231F20"/>
          <w:sz w:val="19"/>
        </w:rPr>
        <w:t>Maestría.</w:t>
      </w:r>
      <w:r>
        <w:rPr>
          <w:color w:val="231F20"/>
          <w:spacing w:val="-5"/>
          <w:sz w:val="19"/>
        </w:rPr>
        <w:t> </w:t>
      </w:r>
      <w:r>
        <w:rPr>
          <w:color w:val="231F20"/>
          <w:sz w:val="19"/>
        </w:rPr>
        <w:t>Centro</w:t>
      </w:r>
      <w:r>
        <w:rPr>
          <w:color w:val="231F20"/>
          <w:spacing w:val="-5"/>
          <w:sz w:val="19"/>
        </w:rPr>
        <w:t> </w:t>
      </w:r>
      <w:r>
        <w:rPr>
          <w:color w:val="231F20"/>
          <w:sz w:val="19"/>
        </w:rPr>
        <w:t>de</w:t>
      </w:r>
      <w:r>
        <w:rPr>
          <w:color w:val="231F20"/>
          <w:spacing w:val="-5"/>
          <w:sz w:val="19"/>
        </w:rPr>
        <w:t> </w:t>
      </w:r>
      <w:r>
        <w:rPr>
          <w:color w:val="231F20"/>
          <w:sz w:val="19"/>
        </w:rPr>
        <w:t>Investigación</w:t>
      </w:r>
      <w:r>
        <w:rPr>
          <w:color w:val="231F20"/>
          <w:spacing w:val="-5"/>
          <w:sz w:val="19"/>
        </w:rPr>
        <w:t> </w:t>
      </w:r>
      <w:r>
        <w:rPr>
          <w:color w:val="231F20"/>
          <w:sz w:val="19"/>
        </w:rPr>
        <w:t>y</w:t>
      </w:r>
      <w:r>
        <w:rPr>
          <w:color w:val="231F20"/>
          <w:spacing w:val="-5"/>
          <w:sz w:val="19"/>
        </w:rPr>
        <w:t> </w:t>
      </w:r>
      <w:r>
        <w:rPr>
          <w:color w:val="231F20"/>
          <w:sz w:val="19"/>
        </w:rPr>
        <w:t>de</w:t>
      </w:r>
      <w:r>
        <w:rPr>
          <w:color w:val="231F20"/>
          <w:spacing w:val="-5"/>
          <w:sz w:val="19"/>
        </w:rPr>
        <w:t> </w:t>
      </w:r>
      <w:r>
        <w:rPr>
          <w:color w:val="231F20"/>
          <w:sz w:val="19"/>
        </w:rPr>
        <w:t>Estudios</w:t>
      </w:r>
      <w:r>
        <w:rPr>
          <w:color w:val="231F20"/>
          <w:spacing w:val="-16"/>
          <w:sz w:val="19"/>
        </w:rPr>
        <w:t> </w:t>
      </w:r>
      <w:r>
        <w:rPr>
          <w:color w:val="231F20"/>
          <w:sz w:val="19"/>
        </w:rPr>
        <w:t>Avanzados</w:t>
      </w:r>
      <w:r>
        <w:rPr>
          <w:color w:val="231F20"/>
          <w:spacing w:val="-5"/>
          <w:sz w:val="19"/>
        </w:rPr>
        <w:t> </w:t>
      </w:r>
      <w:r>
        <w:rPr>
          <w:color w:val="231F20"/>
          <w:sz w:val="19"/>
        </w:rPr>
        <w:t>del</w:t>
      </w:r>
      <w:r>
        <w:rPr>
          <w:color w:val="231F20"/>
          <w:spacing w:val="-5"/>
          <w:sz w:val="19"/>
        </w:rPr>
        <w:t> </w:t>
      </w:r>
      <w:r>
        <w:rPr>
          <w:color w:val="231F20"/>
          <w:sz w:val="19"/>
        </w:rPr>
        <w:t>Instituto</w:t>
      </w:r>
      <w:r>
        <w:rPr>
          <w:color w:val="231F20"/>
          <w:spacing w:val="-5"/>
          <w:sz w:val="19"/>
        </w:rPr>
        <w:t> </w:t>
      </w:r>
      <w:r>
        <w:rPr>
          <w:color w:val="231F20"/>
          <w:sz w:val="19"/>
        </w:rPr>
        <w:t>Politécnico</w:t>
      </w:r>
      <w:r>
        <w:rPr>
          <w:color w:val="231F20"/>
          <w:spacing w:val="-5"/>
          <w:sz w:val="19"/>
        </w:rPr>
        <w:t> </w:t>
      </w:r>
      <w:r>
        <w:rPr>
          <w:color w:val="231F20"/>
          <w:sz w:val="19"/>
        </w:rPr>
        <w:t>Nacio- nal. Unidad Irapuato. pp. 10-37.</w:t>
      </w:r>
    </w:p>
    <w:p>
      <w:pPr>
        <w:pStyle w:val="BodyText"/>
        <w:spacing w:before="10"/>
        <w:rPr>
          <w:sz w:val="19"/>
        </w:rPr>
      </w:pPr>
    </w:p>
    <w:p>
      <w:pPr>
        <w:spacing w:line="249" w:lineRule="auto" w:before="0"/>
        <w:ind w:left="1270" w:right="1268" w:firstLine="0"/>
        <w:jc w:val="both"/>
        <w:rPr>
          <w:sz w:val="19"/>
        </w:rPr>
      </w:pPr>
      <w:r>
        <w:rPr>
          <w:color w:val="231F20"/>
          <w:spacing w:val="-3"/>
          <w:sz w:val="19"/>
        </w:rPr>
        <w:t>Vanegas,</w:t>
      </w:r>
      <w:r>
        <w:rPr>
          <w:color w:val="231F20"/>
          <w:spacing w:val="-5"/>
          <w:sz w:val="19"/>
        </w:rPr>
        <w:t> </w:t>
      </w:r>
      <w:r>
        <w:rPr>
          <w:color w:val="231F20"/>
          <w:spacing w:val="-11"/>
          <w:sz w:val="19"/>
        </w:rPr>
        <w:t>P.</w:t>
      </w:r>
      <w:r>
        <w:rPr>
          <w:color w:val="231F20"/>
          <w:spacing w:val="-5"/>
          <w:sz w:val="19"/>
        </w:rPr>
        <w:t> </w:t>
      </w:r>
      <w:r>
        <w:rPr>
          <w:color w:val="231F20"/>
          <w:sz w:val="19"/>
        </w:rPr>
        <w:t>E.;</w:t>
      </w:r>
      <w:r>
        <w:rPr>
          <w:color w:val="231F20"/>
          <w:spacing w:val="-9"/>
          <w:sz w:val="19"/>
        </w:rPr>
        <w:t> </w:t>
      </w:r>
      <w:r>
        <w:rPr>
          <w:color w:val="231F20"/>
          <w:spacing w:val="-3"/>
          <w:sz w:val="19"/>
        </w:rPr>
        <w:t>Valverde,</w:t>
      </w:r>
      <w:r>
        <w:rPr>
          <w:color w:val="231F20"/>
          <w:spacing w:val="-5"/>
          <w:sz w:val="19"/>
        </w:rPr>
        <w:t> </w:t>
      </w:r>
      <w:r>
        <w:rPr>
          <w:color w:val="231F20"/>
          <w:sz w:val="19"/>
        </w:rPr>
        <w:t>M.</w:t>
      </w:r>
      <w:r>
        <w:rPr>
          <w:color w:val="231F20"/>
          <w:spacing w:val="-5"/>
          <w:sz w:val="19"/>
        </w:rPr>
        <w:t> </w:t>
      </w:r>
      <w:r>
        <w:rPr>
          <w:color w:val="231F20"/>
          <w:sz w:val="19"/>
        </w:rPr>
        <w:t>E.;</w:t>
      </w:r>
      <w:r>
        <w:rPr>
          <w:color w:val="231F20"/>
          <w:spacing w:val="-5"/>
          <w:sz w:val="19"/>
        </w:rPr>
        <w:t> </w:t>
      </w:r>
      <w:r>
        <w:rPr>
          <w:color w:val="231F20"/>
          <w:sz w:val="19"/>
        </w:rPr>
        <w:t>Paredes,</w:t>
      </w:r>
      <w:r>
        <w:rPr>
          <w:color w:val="231F20"/>
          <w:spacing w:val="-5"/>
          <w:sz w:val="19"/>
        </w:rPr>
        <w:t> </w:t>
      </w:r>
      <w:r>
        <w:rPr>
          <w:color w:val="231F20"/>
          <w:sz w:val="19"/>
        </w:rPr>
        <w:t>L.</w:t>
      </w:r>
      <w:r>
        <w:rPr>
          <w:color w:val="231F20"/>
          <w:spacing w:val="-5"/>
          <w:sz w:val="19"/>
        </w:rPr>
        <w:t> </w:t>
      </w:r>
      <w:r>
        <w:rPr>
          <w:color w:val="231F20"/>
          <w:sz w:val="19"/>
        </w:rPr>
        <w:t>O.;</w:t>
      </w:r>
      <w:r>
        <w:rPr>
          <w:color w:val="231F20"/>
          <w:spacing w:val="-5"/>
          <w:sz w:val="19"/>
        </w:rPr>
        <w:t> </w:t>
      </w:r>
      <w:r>
        <w:rPr>
          <w:color w:val="231F20"/>
          <w:sz w:val="19"/>
        </w:rPr>
        <w:t>Pataky,</w:t>
      </w:r>
      <w:r>
        <w:rPr>
          <w:color w:val="231F20"/>
          <w:spacing w:val="-5"/>
          <w:sz w:val="19"/>
        </w:rPr>
        <w:t> </w:t>
      </w:r>
      <w:r>
        <w:rPr>
          <w:color w:val="231F20"/>
          <w:sz w:val="19"/>
        </w:rPr>
        <w:t>J.</w:t>
      </w:r>
      <w:r>
        <w:rPr>
          <w:color w:val="231F20"/>
          <w:spacing w:val="-5"/>
          <w:sz w:val="19"/>
        </w:rPr>
        <w:t> </w:t>
      </w:r>
      <w:r>
        <w:rPr>
          <w:color w:val="231F20"/>
          <w:sz w:val="19"/>
        </w:rPr>
        <w:t>K.</w:t>
      </w:r>
      <w:r>
        <w:rPr>
          <w:color w:val="231F20"/>
          <w:spacing w:val="-5"/>
          <w:sz w:val="19"/>
        </w:rPr>
        <w:t> </w:t>
      </w:r>
      <w:r>
        <w:rPr>
          <w:color w:val="231F20"/>
          <w:sz w:val="19"/>
        </w:rPr>
        <w:t>1995.</w:t>
      </w:r>
      <w:r>
        <w:rPr>
          <w:color w:val="231F20"/>
          <w:spacing w:val="-5"/>
          <w:sz w:val="19"/>
        </w:rPr>
        <w:t> </w:t>
      </w:r>
      <w:r>
        <w:rPr>
          <w:color w:val="231F20"/>
          <w:sz w:val="19"/>
        </w:rPr>
        <w:t>Production</w:t>
      </w:r>
      <w:r>
        <w:rPr>
          <w:color w:val="231F20"/>
          <w:spacing w:val="-5"/>
          <w:sz w:val="19"/>
        </w:rPr>
        <w:t> </w:t>
      </w:r>
      <w:r>
        <w:rPr>
          <w:color w:val="231F20"/>
          <w:sz w:val="19"/>
        </w:rPr>
        <w:t>of</w:t>
      </w:r>
      <w:r>
        <w:rPr>
          <w:color w:val="231F20"/>
          <w:spacing w:val="-5"/>
          <w:sz w:val="19"/>
        </w:rPr>
        <w:t> </w:t>
      </w:r>
      <w:r>
        <w:rPr>
          <w:color w:val="231F20"/>
          <w:sz w:val="19"/>
        </w:rPr>
        <w:t>the</w:t>
      </w:r>
      <w:r>
        <w:rPr>
          <w:color w:val="231F20"/>
          <w:spacing w:val="-5"/>
          <w:sz w:val="19"/>
        </w:rPr>
        <w:t> </w:t>
      </w:r>
      <w:r>
        <w:rPr>
          <w:color w:val="231F20"/>
          <w:sz w:val="19"/>
        </w:rPr>
        <w:t>edible</w:t>
      </w:r>
      <w:r>
        <w:rPr>
          <w:color w:val="231F20"/>
          <w:spacing w:val="-5"/>
          <w:sz w:val="19"/>
        </w:rPr>
        <w:t> </w:t>
      </w:r>
      <w:r>
        <w:rPr>
          <w:color w:val="231F20"/>
          <w:sz w:val="19"/>
        </w:rPr>
        <w:t>fungus</w:t>
      </w:r>
      <w:r>
        <w:rPr>
          <w:color w:val="231F20"/>
          <w:spacing w:val="-5"/>
          <w:sz w:val="19"/>
        </w:rPr>
        <w:t> </w:t>
      </w:r>
      <w:r>
        <w:rPr>
          <w:color w:val="231F20"/>
          <w:sz w:val="19"/>
        </w:rPr>
        <w:t>huitlacoche (Ustilago maydis): efecto maize genotype on chemical composition. Journal of Fermentation and Bioenginee- ring 80(1): 104-106.</w:t>
      </w:r>
    </w:p>
    <w:p>
      <w:pPr>
        <w:pStyle w:val="BodyText"/>
        <w:spacing w:before="10"/>
        <w:rPr>
          <w:sz w:val="19"/>
        </w:rPr>
      </w:pPr>
    </w:p>
    <w:p>
      <w:pPr>
        <w:spacing w:before="0"/>
        <w:ind w:left="1270" w:right="0" w:firstLine="0"/>
        <w:jc w:val="both"/>
        <w:rPr>
          <w:sz w:val="19"/>
        </w:rPr>
      </w:pPr>
      <w:r>
        <w:rPr>
          <w:color w:val="231F20"/>
          <w:sz w:val="19"/>
        </w:rPr>
        <w:t>Villanueva, V. C. 1997. Huitlacoche (Ustilago maydis) as a food in México. Micol. Neotrop. Apl. 10: 73-81.</w:t>
      </w:r>
    </w:p>
    <w:p>
      <w:pPr>
        <w:pStyle w:val="BodyText"/>
        <w:spacing w:before="7"/>
        <w:rPr>
          <w:sz w:val="20"/>
        </w:rPr>
      </w:pPr>
    </w:p>
    <w:p>
      <w:pPr>
        <w:spacing w:line="249" w:lineRule="auto" w:before="0"/>
        <w:ind w:left="1270" w:right="1268" w:firstLine="0"/>
        <w:jc w:val="both"/>
        <w:rPr>
          <w:sz w:val="19"/>
        </w:rPr>
      </w:pPr>
      <w:r>
        <w:rPr>
          <w:color w:val="231F20"/>
          <w:sz w:val="19"/>
        </w:rPr>
        <w:t>Villanueva,</w:t>
      </w:r>
      <w:r>
        <w:rPr>
          <w:color w:val="231F20"/>
          <w:spacing w:val="-7"/>
          <w:sz w:val="19"/>
        </w:rPr>
        <w:t> </w:t>
      </w:r>
      <w:r>
        <w:rPr>
          <w:color w:val="231F20"/>
          <w:spacing w:val="-13"/>
          <w:sz w:val="19"/>
        </w:rPr>
        <w:t>V.</w:t>
      </w:r>
      <w:r>
        <w:rPr>
          <w:color w:val="231F20"/>
          <w:spacing w:val="-3"/>
          <w:sz w:val="19"/>
        </w:rPr>
        <w:t> </w:t>
      </w:r>
      <w:r>
        <w:rPr>
          <w:color w:val="231F20"/>
          <w:sz w:val="19"/>
        </w:rPr>
        <w:t>C.;</w:t>
      </w:r>
      <w:r>
        <w:rPr>
          <w:color w:val="231F20"/>
          <w:spacing w:val="-3"/>
          <w:sz w:val="19"/>
        </w:rPr>
        <w:t> </w:t>
      </w:r>
      <w:r>
        <w:rPr>
          <w:color w:val="231F20"/>
          <w:sz w:val="19"/>
        </w:rPr>
        <w:t>Sánchez,</w:t>
      </w:r>
      <w:r>
        <w:rPr>
          <w:color w:val="231F20"/>
          <w:spacing w:val="-3"/>
          <w:sz w:val="19"/>
        </w:rPr>
        <w:t> </w:t>
      </w:r>
      <w:r>
        <w:rPr>
          <w:color w:val="231F20"/>
          <w:sz w:val="19"/>
        </w:rPr>
        <w:t>R.</w:t>
      </w:r>
      <w:r>
        <w:rPr>
          <w:color w:val="231F20"/>
          <w:spacing w:val="-3"/>
          <w:sz w:val="19"/>
        </w:rPr>
        <w:t> </w:t>
      </w:r>
      <w:r>
        <w:rPr>
          <w:color w:val="231F20"/>
          <w:sz w:val="19"/>
        </w:rPr>
        <w:t>E.;</w:t>
      </w:r>
      <w:r>
        <w:rPr>
          <w:color w:val="231F20"/>
          <w:spacing w:val="-7"/>
          <w:sz w:val="19"/>
        </w:rPr>
        <w:t> </w:t>
      </w:r>
      <w:r>
        <w:rPr>
          <w:color w:val="231F20"/>
          <w:sz w:val="19"/>
        </w:rPr>
        <w:t>Villanueva,</w:t>
      </w:r>
      <w:r>
        <w:rPr>
          <w:color w:val="231F20"/>
          <w:spacing w:val="-4"/>
          <w:sz w:val="19"/>
        </w:rPr>
        <w:t> </w:t>
      </w:r>
      <w:r>
        <w:rPr>
          <w:color w:val="231F20"/>
          <w:sz w:val="19"/>
        </w:rPr>
        <w:t>E.</w:t>
      </w:r>
      <w:r>
        <w:rPr>
          <w:color w:val="231F20"/>
          <w:spacing w:val="-3"/>
          <w:sz w:val="19"/>
        </w:rPr>
        <w:t> </w:t>
      </w:r>
      <w:r>
        <w:rPr>
          <w:color w:val="231F20"/>
          <w:sz w:val="19"/>
        </w:rPr>
        <w:t>S.</w:t>
      </w:r>
      <w:r>
        <w:rPr>
          <w:color w:val="231F20"/>
          <w:spacing w:val="-3"/>
          <w:sz w:val="19"/>
        </w:rPr>
        <w:t> </w:t>
      </w:r>
      <w:r>
        <w:rPr>
          <w:color w:val="231F20"/>
          <w:sz w:val="19"/>
        </w:rPr>
        <w:t>2007.</w:t>
      </w:r>
      <w:r>
        <w:rPr>
          <w:color w:val="231F20"/>
          <w:spacing w:val="-3"/>
          <w:sz w:val="19"/>
        </w:rPr>
        <w:t> </w:t>
      </w:r>
      <w:r>
        <w:rPr>
          <w:color w:val="231F20"/>
          <w:sz w:val="19"/>
        </w:rPr>
        <w:t>El</w:t>
      </w:r>
      <w:r>
        <w:rPr>
          <w:color w:val="231F20"/>
          <w:spacing w:val="-3"/>
          <w:sz w:val="19"/>
        </w:rPr>
        <w:t> </w:t>
      </w:r>
      <w:r>
        <w:rPr>
          <w:color w:val="231F20"/>
          <w:sz w:val="19"/>
        </w:rPr>
        <w:t>Huitlacoche</w:t>
      </w:r>
      <w:r>
        <w:rPr>
          <w:color w:val="231F20"/>
          <w:spacing w:val="-4"/>
          <w:sz w:val="19"/>
        </w:rPr>
        <w:t> </w:t>
      </w:r>
      <w:r>
        <w:rPr>
          <w:color w:val="231F20"/>
          <w:sz w:val="19"/>
        </w:rPr>
        <w:t>y</w:t>
      </w:r>
      <w:r>
        <w:rPr>
          <w:color w:val="231F20"/>
          <w:spacing w:val="-3"/>
          <w:sz w:val="19"/>
        </w:rPr>
        <w:t> </w:t>
      </w:r>
      <w:r>
        <w:rPr>
          <w:color w:val="231F20"/>
          <w:sz w:val="19"/>
        </w:rPr>
        <w:t>su</w:t>
      </w:r>
      <w:r>
        <w:rPr>
          <w:color w:val="231F20"/>
          <w:spacing w:val="-3"/>
          <w:sz w:val="19"/>
        </w:rPr>
        <w:t> </w:t>
      </w:r>
      <w:r>
        <w:rPr>
          <w:color w:val="231F20"/>
          <w:sz w:val="19"/>
        </w:rPr>
        <w:t>cultivo.</w:t>
      </w:r>
      <w:r>
        <w:rPr>
          <w:color w:val="231F20"/>
          <w:spacing w:val="-3"/>
          <w:sz w:val="19"/>
        </w:rPr>
        <w:t> </w:t>
      </w:r>
      <w:r>
        <w:rPr>
          <w:color w:val="231F20"/>
          <w:sz w:val="19"/>
        </w:rPr>
        <w:t>Editorial</w:t>
      </w:r>
      <w:r>
        <w:rPr>
          <w:color w:val="231F20"/>
          <w:spacing w:val="-4"/>
          <w:sz w:val="19"/>
        </w:rPr>
        <w:t> </w:t>
      </w:r>
      <w:r>
        <w:rPr>
          <w:color w:val="231F20"/>
          <w:sz w:val="19"/>
        </w:rPr>
        <w:t>Mundi</w:t>
      </w:r>
      <w:r>
        <w:rPr>
          <w:color w:val="231F20"/>
          <w:spacing w:val="-3"/>
          <w:sz w:val="19"/>
        </w:rPr>
        <w:t> </w:t>
      </w:r>
      <w:r>
        <w:rPr>
          <w:color w:val="231F20"/>
          <w:sz w:val="19"/>
        </w:rPr>
        <w:t>Prensa. México, </w:t>
      </w:r>
      <w:r>
        <w:rPr>
          <w:color w:val="231F20"/>
          <w:spacing w:val="-4"/>
          <w:sz w:val="19"/>
        </w:rPr>
        <w:t>D.F. </w:t>
      </w:r>
      <w:r>
        <w:rPr>
          <w:color w:val="231F20"/>
          <w:sz w:val="19"/>
        </w:rPr>
        <w:t>96</w:t>
      </w:r>
      <w:r>
        <w:rPr>
          <w:color w:val="231F20"/>
          <w:spacing w:val="3"/>
          <w:sz w:val="19"/>
        </w:rPr>
        <w:t> </w:t>
      </w:r>
      <w:r>
        <w:rPr>
          <w:color w:val="231F20"/>
          <w:sz w:val="19"/>
        </w:rPr>
        <w:t>p.</w:t>
      </w:r>
    </w:p>
    <w:p>
      <w:pPr>
        <w:spacing w:after="0" w:line="249" w:lineRule="auto"/>
        <w:jc w:val="both"/>
        <w:rPr>
          <w:sz w:val="19"/>
        </w:rPr>
        <w:sectPr>
          <w:pgSz w:w="10920" w:h="13080"/>
          <w:pgMar w:header="0" w:footer="1025" w:top="420" w:bottom="1220" w:left="0" w:right="0"/>
        </w:sectPr>
      </w:pPr>
    </w:p>
    <w:p>
      <w:pPr>
        <w:pStyle w:val="BodyText"/>
        <w:rPr>
          <w:sz w:val="20"/>
        </w:rPr>
      </w:pPr>
    </w:p>
    <w:p>
      <w:pPr>
        <w:pStyle w:val="BodyText"/>
        <w:rPr>
          <w:sz w:val="20"/>
        </w:rPr>
      </w:pPr>
    </w:p>
    <w:p>
      <w:pPr>
        <w:pStyle w:val="BodyText"/>
        <w:spacing w:before="6"/>
        <w:rPr>
          <w:sz w:val="23"/>
        </w:rPr>
      </w:pPr>
    </w:p>
    <w:p>
      <w:pPr>
        <w:spacing w:line="247" w:lineRule="auto" w:before="69"/>
        <w:ind w:left="2023" w:right="2021" w:firstLine="0"/>
        <w:jc w:val="center"/>
        <w:rPr>
          <w:rFonts w:ascii="Trebuchet MS" w:hAnsi="Trebuchet MS"/>
          <w:i/>
          <w:sz w:val="14"/>
        </w:rPr>
      </w:pPr>
      <w:r>
        <w:rPr>
          <w:rFonts w:ascii="Trebuchet MS" w:hAnsi="Trebuchet MS"/>
          <w:i/>
          <w:color w:val="010202"/>
          <w:sz w:val="24"/>
        </w:rPr>
        <w:t>Cid </w:t>
      </w:r>
      <w:r>
        <w:rPr>
          <w:rFonts w:ascii="Trebuchet MS" w:hAnsi="Trebuchet MS"/>
          <w:i/>
          <w:color w:val="010202"/>
          <w:spacing w:val="-3"/>
          <w:sz w:val="24"/>
        </w:rPr>
        <w:t>Aguilar Carpio</w:t>
      </w:r>
      <w:r>
        <w:rPr>
          <w:rFonts w:ascii="Trebuchet MS" w:hAnsi="Trebuchet MS"/>
          <w:i/>
          <w:color w:val="010202"/>
          <w:spacing w:val="-3"/>
          <w:position w:val="8"/>
          <w:sz w:val="14"/>
        </w:rPr>
        <w:t>1</w:t>
      </w:r>
      <w:r>
        <w:rPr>
          <w:rFonts w:ascii="Trebuchet MS" w:hAnsi="Trebuchet MS"/>
          <w:i/>
          <w:color w:val="010202"/>
          <w:spacing w:val="-3"/>
          <w:sz w:val="24"/>
        </w:rPr>
        <w:t>; José Alberto Salvador Escalante Estrada</w:t>
      </w:r>
      <w:r>
        <w:rPr>
          <w:rFonts w:ascii="Trebuchet MS" w:hAnsi="Trebuchet MS"/>
          <w:i/>
          <w:color w:val="010202"/>
          <w:spacing w:val="-3"/>
          <w:position w:val="8"/>
          <w:sz w:val="14"/>
        </w:rPr>
        <w:t>1</w:t>
      </w:r>
      <w:r>
        <w:rPr>
          <w:rFonts w:ascii="Trebuchet MS" w:hAnsi="Trebuchet MS"/>
          <w:i/>
          <w:color w:val="010202"/>
          <w:spacing w:val="-3"/>
          <w:sz w:val="24"/>
        </w:rPr>
        <w:t>; </w:t>
      </w:r>
      <w:r>
        <w:rPr>
          <w:rFonts w:ascii="Trebuchet MS" w:hAnsi="Trebuchet MS"/>
          <w:i/>
          <w:color w:val="010202"/>
          <w:spacing w:val="-3"/>
          <w:sz w:val="24"/>
        </w:rPr>
        <w:t>María </w:t>
      </w:r>
      <w:r>
        <w:rPr>
          <w:rFonts w:ascii="Trebuchet MS" w:hAnsi="Trebuchet MS"/>
          <w:i/>
          <w:color w:val="010202"/>
          <w:spacing w:val="-8"/>
          <w:sz w:val="24"/>
        </w:rPr>
        <w:t>Teresa </w:t>
      </w:r>
      <w:r>
        <w:rPr>
          <w:rFonts w:ascii="Trebuchet MS" w:hAnsi="Trebuchet MS"/>
          <w:i/>
          <w:color w:val="010202"/>
          <w:spacing w:val="-3"/>
          <w:sz w:val="24"/>
        </w:rPr>
        <w:t>Rodríguez González</w:t>
      </w:r>
      <w:r>
        <w:rPr>
          <w:rFonts w:ascii="Trebuchet MS" w:hAnsi="Trebuchet MS"/>
          <w:i/>
          <w:color w:val="010202"/>
          <w:spacing w:val="-3"/>
          <w:position w:val="8"/>
          <w:sz w:val="14"/>
        </w:rPr>
        <w:t>1  </w:t>
      </w:r>
      <w:r>
        <w:rPr>
          <w:rFonts w:ascii="Trebuchet MS" w:hAnsi="Trebuchet MS"/>
          <w:i/>
          <w:color w:val="010202"/>
          <w:sz w:val="24"/>
        </w:rPr>
        <w:t>e </w:t>
      </w:r>
      <w:r>
        <w:rPr>
          <w:rFonts w:ascii="Trebuchet MS" w:hAnsi="Trebuchet MS"/>
          <w:i/>
          <w:color w:val="010202"/>
          <w:spacing w:val="-3"/>
          <w:sz w:val="24"/>
        </w:rPr>
        <w:t>Immer Aguilar Mariscal</w:t>
      </w:r>
      <w:r>
        <w:rPr>
          <w:rFonts w:ascii="Trebuchet MS" w:hAnsi="Trebuchet MS"/>
          <w:i/>
          <w:color w:val="010202"/>
          <w:spacing w:val="-3"/>
          <w:position w:val="8"/>
          <w:sz w:val="14"/>
        </w:rPr>
        <w:t>2</w:t>
      </w: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spacing w:before="7"/>
        <w:rPr>
          <w:rFonts w:ascii="Trebuchet MS"/>
          <w:i/>
          <w:sz w:val="31"/>
        </w:rPr>
      </w:pPr>
    </w:p>
    <w:p>
      <w:pPr>
        <w:spacing w:line="247" w:lineRule="auto" w:before="0"/>
        <w:ind w:left="1747" w:right="1746" w:firstLine="0"/>
        <w:jc w:val="center"/>
        <w:rPr>
          <w:rFonts w:ascii="Trebuchet MS" w:hAnsi="Trebuchet MS"/>
          <w:b/>
          <w:sz w:val="36"/>
        </w:rPr>
      </w:pPr>
      <w:r>
        <w:rPr>
          <w:rFonts w:ascii="Trebuchet MS" w:hAnsi="Trebuchet MS"/>
          <w:b/>
          <w:color w:val="010202"/>
          <w:spacing w:val="-10"/>
          <w:sz w:val="36"/>
        </w:rPr>
        <w:t>BIOMASA, ÍNDICE </w:t>
      </w:r>
      <w:r>
        <w:rPr>
          <w:rFonts w:ascii="Trebuchet MS" w:hAnsi="Trebuchet MS"/>
          <w:b/>
          <w:color w:val="010202"/>
          <w:spacing w:val="-6"/>
          <w:sz w:val="36"/>
        </w:rPr>
        <w:t>DE </w:t>
      </w:r>
      <w:r>
        <w:rPr>
          <w:rFonts w:ascii="Trebuchet MS" w:hAnsi="Trebuchet MS"/>
          <w:b/>
          <w:color w:val="010202"/>
          <w:spacing w:val="-10"/>
          <w:sz w:val="36"/>
        </w:rPr>
        <w:t>COSECHA </w:t>
      </w:r>
      <w:r>
        <w:rPr>
          <w:rFonts w:ascii="Trebuchet MS" w:hAnsi="Trebuchet MS"/>
          <w:b/>
          <w:color w:val="010202"/>
          <w:sz w:val="36"/>
        </w:rPr>
        <w:t>Y </w:t>
      </w:r>
      <w:r>
        <w:rPr>
          <w:rFonts w:ascii="Trebuchet MS" w:hAnsi="Trebuchet MS"/>
          <w:b/>
          <w:color w:val="010202"/>
          <w:spacing w:val="-12"/>
          <w:sz w:val="36"/>
        </w:rPr>
        <w:t>RENDIMIENTO </w:t>
      </w:r>
      <w:r>
        <w:rPr>
          <w:rFonts w:ascii="Trebuchet MS" w:hAnsi="Trebuchet MS"/>
          <w:b/>
          <w:color w:val="010202"/>
          <w:spacing w:val="-6"/>
          <w:sz w:val="36"/>
        </w:rPr>
        <w:t>DE </w:t>
      </w:r>
      <w:r>
        <w:rPr>
          <w:rFonts w:ascii="Trebuchet MS" w:hAnsi="Trebuchet MS"/>
          <w:b/>
          <w:color w:val="010202"/>
          <w:spacing w:val="-9"/>
          <w:sz w:val="36"/>
        </w:rPr>
        <w:t>MAÍZ </w:t>
      </w:r>
      <w:r>
        <w:rPr>
          <w:rFonts w:ascii="Trebuchet MS" w:hAnsi="Trebuchet MS"/>
          <w:b/>
          <w:color w:val="010202"/>
          <w:spacing w:val="-6"/>
          <w:sz w:val="36"/>
        </w:rPr>
        <w:t>EN </w:t>
      </w:r>
      <w:r>
        <w:rPr>
          <w:rFonts w:ascii="Trebuchet MS" w:hAnsi="Trebuchet MS"/>
          <w:b/>
          <w:color w:val="010202"/>
          <w:spacing w:val="-10"/>
          <w:sz w:val="36"/>
        </w:rPr>
        <w:t>FUNCIÓN </w:t>
      </w:r>
      <w:r>
        <w:rPr>
          <w:rFonts w:ascii="Trebuchet MS" w:hAnsi="Trebuchet MS"/>
          <w:b/>
          <w:color w:val="010202"/>
          <w:spacing w:val="-8"/>
          <w:sz w:val="36"/>
        </w:rPr>
        <w:t>DEL</w:t>
      </w:r>
      <w:r>
        <w:rPr>
          <w:rFonts w:ascii="Trebuchet MS" w:hAnsi="Trebuchet MS"/>
          <w:b/>
          <w:color w:val="010202"/>
          <w:spacing w:val="-78"/>
          <w:sz w:val="36"/>
        </w:rPr>
        <w:t> </w:t>
      </w:r>
      <w:r>
        <w:rPr>
          <w:rFonts w:ascii="Trebuchet MS" w:hAnsi="Trebuchet MS"/>
          <w:b/>
          <w:color w:val="010202"/>
          <w:spacing w:val="-11"/>
          <w:sz w:val="36"/>
        </w:rPr>
        <w:t>NITRÓGENO</w:t>
      </w:r>
    </w:p>
    <w:p>
      <w:pPr>
        <w:spacing w:before="1"/>
        <w:ind w:left="1482" w:right="1489" w:firstLine="0"/>
        <w:jc w:val="center"/>
        <w:rPr>
          <w:rFonts w:ascii="Trebuchet MS"/>
          <w:b/>
          <w:sz w:val="36"/>
        </w:rPr>
      </w:pPr>
      <w:r>
        <w:rPr>
          <w:rFonts w:ascii="Trebuchet MS"/>
          <w:b/>
          <w:color w:val="010202"/>
          <w:spacing w:val="-6"/>
          <w:sz w:val="36"/>
        </w:rPr>
        <w:t>EN </w:t>
      </w:r>
      <w:r>
        <w:rPr>
          <w:rFonts w:ascii="Trebuchet MS"/>
          <w:b/>
          <w:color w:val="010202"/>
          <w:spacing w:val="-10"/>
          <w:sz w:val="36"/>
        </w:rPr>
        <w:t>SIEMBRA </w:t>
      </w:r>
      <w:r>
        <w:rPr>
          <w:rFonts w:ascii="Trebuchet MS"/>
          <w:b/>
          <w:color w:val="010202"/>
          <w:spacing w:val="-6"/>
          <w:sz w:val="36"/>
        </w:rPr>
        <w:t>DE</w:t>
      </w:r>
      <w:r>
        <w:rPr>
          <w:rFonts w:ascii="Trebuchet MS"/>
          <w:b/>
          <w:color w:val="010202"/>
          <w:spacing w:val="-69"/>
          <w:sz w:val="36"/>
        </w:rPr>
        <w:t> </w:t>
      </w:r>
      <w:r>
        <w:rPr>
          <w:rFonts w:ascii="Trebuchet MS"/>
          <w:b/>
          <w:color w:val="010202"/>
          <w:spacing w:val="-11"/>
          <w:sz w:val="36"/>
        </w:rPr>
        <w:t>TEMPORAL</w:t>
      </w:r>
    </w:p>
    <w:p>
      <w:pPr>
        <w:pStyle w:val="BodyText"/>
        <w:rPr>
          <w:rFonts w:ascii="Trebuchet MS"/>
          <w:b/>
          <w:sz w:val="36"/>
        </w:rPr>
      </w:pPr>
    </w:p>
    <w:p>
      <w:pPr>
        <w:pStyle w:val="BodyText"/>
        <w:rPr>
          <w:rFonts w:ascii="Trebuchet MS"/>
          <w:b/>
          <w:sz w:val="36"/>
        </w:rPr>
      </w:pPr>
    </w:p>
    <w:p>
      <w:pPr>
        <w:pStyle w:val="BodyText"/>
        <w:spacing w:before="6"/>
        <w:rPr>
          <w:rFonts w:ascii="Trebuchet MS"/>
          <w:b/>
          <w:sz w:val="32"/>
        </w:rPr>
      </w:pPr>
    </w:p>
    <w:p>
      <w:pPr>
        <w:spacing w:before="0"/>
        <w:ind w:left="1270" w:right="0" w:firstLine="0"/>
        <w:jc w:val="both"/>
        <w:rPr>
          <w:b/>
          <w:sz w:val="24"/>
        </w:rPr>
      </w:pPr>
      <w:r>
        <w:rPr>
          <w:b/>
          <w:color w:val="010202"/>
          <w:sz w:val="24"/>
        </w:rPr>
        <w:t>Introducción</w:t>
      </w:r>
    </w:p>
    <w:p>
      <w:pPr>
        <w:pStyle w:val="BodyText"/>
        <w:spacing w:before="10"/>
        <w:rPr>
          <w:b/>
        </w:rPr>
      </w:pPr>
    </w:p>
    <w:p>
      <w:pPr>
        <w:pStyle w:val="BodyText"/>
        <w:spacing w:line="249" w:lineRule="auto"/>
        <w:ind w:left="1270" w:right="1268"/>
        <w:jc w:val="both"/>
      </w:pPr>
      <w:r>
        <w:rPr>
          <w:color w:val="231F20"/>
        </w:rPr>
        <w:t>El maíz es la alimentación básica de los mexicanos, por representar la mitad del volumen total de alimentos que se consumen cada año. En México, el consumo </w:t>
      </w:r>
      <w:r>
        <w:rPr>
          <w:i/>
          <w:color w:val="231F20"/>
        </w:rPr>
        <w:t>per capita </w:t>
      </w:r>
      <w:r>
        <w:rPr>
          <w:color w:val="231F20"/>
        </w:rPr>
        <w:t>es de 330 g d</w:t>
      </w:r>
      <w:r>
        <w:rPr>
          <w:color w:val="231F20"/>
          <w:position w:val="7"/>
          <w:sz w:val="12"/>
        </w:rPr>
        <w:t>-1</w:t>
      </w:r>
      <w:r>
        <w:rPr>
          <w:color w:val="231F20"/>
        </w:rPr>
        <w:t>, con una aportación a la nutrición de 32 a 55 % de proteína (Hartcamp </w:t>
      </w:r>
      <w:r>
        <w:rPr>
          <w:i/>
          <w:color w:val="231F20"/>
        </w:rPr>
        <w:t>et al. </w:t>
      </w:r>
      <w:r>
        <w:rPr>
          <w:color w:val="231F20"/>
        </w:rPr>
        <w:t>2000). En 2011, la producción ascendió</w:t>
      </w:r>
      <w:r>
        <w:rPr>
          <w:color w:val="231F20"/>
          <w:spacing w:val="-3"/>
        </w:rPr>
        <w:t> </w:t>
      </w:r>
      <w:r>
        <w:rPr>
          <w:color w:val="231F20"/>
        </w:rPr>
        <w:t>a</w:t>
      </w:r>
      <w:r>
        <w:rPr>
          <w:color w:val="231F20"/>
          <w:spacing w:val="-3"/>
        </w:rPr>
        <w:t> </w:t>
      </w:r>
      <w:r>
        <w:rPr>
          <w:color w:val="231F20"/>
        </w:rPr>
        <w:t>17</w:t>
      </w:r>
      <w:r>
        <w:rPr>
          <w:color w:val="231F20"/>
          <w:spacing w:val="-2"/>
        </w:rPr>
        <w:t> </w:t>
      </w:r>
      <w:r>
        <w:rPr>
          <w:color w:val="231F20"/>
        </w:rPr>
        <w:t>millones</w:t>
      </w:r>
      <w:r>
        <w:rPr>
          <w:color w:val="231F20"/>
          <w:spacing w:val="-3"/>
        </w:rPr>
        <w:t> </w:t>
      </w:r>
      <w:r>
        <w:rPr>
          <w:color w:val="231F20"/>
        </w:rPr>
        <w:t>de</w:t>
      </w:r>
      <w:r>
        <w:rPr>
          <w:color w:val="231F20"/>
          <w:spacing w:val="-3"/>
        </w:rPr>
        <w:t> </w:t>
      </w:r>
      <w:r>
        <w:rPr>
          <w:color w:val="231F20"/>
        </w:rPr>
        <w:t>toneladas,</w:t>
      </w:r>
      <w:r>
        <w:rPr>
          <w:color w:val="231F20"/>
          <w:spacing w:val="-3"/>
        </w:rPr>
        <w:t> </w:t>
      </w:r>
      <w:r>
        <w:rPr>
          <w:color w:val="231F20"/>
        </w:rPr>
        <w:t>el</w:t>
      </w:r>
      <w:r>
        <w:rPr>
          <w:color w:val="231F20"/>
          <w:spacing w:val="-3"/>
        </w:rPr>
        <w:t> </w:t>
      </w:r>
      <w:r>
        <w:rPr>
          <w:color w:val="231F20"/>
        </w:rPr>
        <w:t>cual</w:t>
      </w:r>
      <w:r>
        <w:rPr>
          <w:color w:val="231F20"/>
          <w:spacing w:val="-3"/>
        </w:rPr>
        <w:t> </w:t>
      </w:r>
      <w:r>
        <w:rPr>
          <w:color w:val="231F20"/>
        </w:rPr>
        <w:t>ocupa</w:t>
      </w:r>
      <w:r>
        <w:rPr>
          <w:color w:val="231F20"/>
          <w:spacing w:val="-3"/>
        </w:rPr>
        <w:t> </w:t>
      </w:r>
      <w:r>
        <w:rPr>
          <w:color w:val="231F20"/>
        </w:rPr>
        <w:t>el</w:t>
      </w:r>
      <w:r>
        <w:rPr>
          <w:color w:val="231F20"/>
          <w:spacing w:val="-3"/>
        </w:rPr>
        <w:t> </w:t>
      </w:r>
      <w:r>
        <w:rPr>
          <w:color w:val="231F20"/>
        </w:rPr>
        <w:t>35</w:t>
      </w:r>
      <w:r>
        <w:rPr>
          <w:color w:val="231F20"/>
          <w:spacing w:val="-2"/>
        </w:rPr>
        <w:t> </w:t>
      </w:r>
      <w:r>
        <w:rPr>
          <w:color w:val="231F20"/>
        </w:rPr>
        <w:t>%</w:t>
      </w:r>
      <w:r>
        <w:rPr>
          <w:color w:val="231F20"/>
          <w:spacing w:val="-2"/>
        </w:rPr>
        <w:t> </w:t>
      </w:r>
      <w:r>
        <w:rPr>
          <w:color w:val="231F20"/>
        </w:rPr>
        <w:t>de</w:t>
      </w:r>
      <w:r>
        <w:rPr>
          <w:color w:val="231F20"/>
          <w:spacing w:val="-2"/>
        </w:rPr>
        <w:t> </w:t>
      </w:r>
      <w:r>
        <w:rPr>
          <w:color w:val="231F20"/>
        </w:rPr>
        <w:t>la</w:t>
      </w:r>
      <w:r>
        <w:rPr>
          <w:color w:val="231F20"/>
          <w:spacing w:val="-3"/>
        </w:rPr>
        <w:t> </w:t>
      </w:r>
      <w:r>
        <w:rPr>
          <w:color w:val="231F20"/>
        </w:rPr>
        <w:t>superficie</w:t>
      </w:r>
      <w:r>
        <w:rPr>
          <w:color w:val="231F20"/>
          <w:spacing w:val="-3"/>
        </w:rPr>
        <w:t> </w:t>
      </w:r>
      <w:r>
        <w:rPr>
          <w:color w:val="231F20"/>
        </w:rPr>
        <w:t>cultivada</w:t>
      </w:r>
      <w:r>
        <w:rPr>
          <w:color w:val="231F20"/>
          <w:spacing w:val="-3"/>
        </w:rPr>
        <w:t> </w:t>
      </w:r>
      <w:r>
        <w:rPr>
          <w:color w:val="231F20"/>
        </w:rPr>
        <w:t>en</w:t>
      </w:r>
      <w:r>
        <w:rPr>
          <w:color w:val="231F20"/>
          <w:spacing w:val="-2"/>
        </w:rPr>
        <w:t> </w:t>
      </w:r>
      <w:r>
        <w:rPr>
          <w:color w:val="231F20"/>
        </w:rPr>
        <w:t>México</w:t>
      </w:r>
      <w:r>
        <w:rPr>
          <w:color w:val="231F20"/>
          <w:spacing w:val="-3"/>
        </w:rPr>
        <w:t> </w:t>
      </w:r>
      <w:r>
        <w:rPr>
          <w:color w:val="231F20"/>
        </w:rPr>
        <w:t>(7.7 millones de ha), en tanto que la demanda fue de 28 millones de toneladas </w:t>
      </w:r>
      <w:r>
        <w:rPr>
          <w:color w:val="231F20"/>
          <w:spacing w:val="-4"/>
        </w:rPr>
        <w:t>(SIAP, </w:t>
      </w:r>
      <w:r>
        <w:rPr>
          <w:color w:val="231F20"/>
        </w:rPr>
        <w:t>2011). Por lo cual, en</w:t>
      </w:r>
      <w:r>
        <w:rPr>
          <w:color w:val="231F20"/>
          <w:spacing w:val="-7"/>
        </w:rPr>
        <w:t> </w:t>
      </w:r>
      <w:r>
        <w:rPr>
          <w:color w:val="231F20"/>
        </w:rPr>
        <w:t>México</w:t>
      </w:r>
      <w:r>
        <w:rPr>
          <w:color w:val="231F20"/>
          <w:spacing w:val="-7"/>
        </w:rPr>
        <w:t> </w:t>
      </w:r>
      <w:r>
        <w:rPr>
          <w:color w:val="231F20"/>
        </w:rPr>
        <w:t>se</w:t>
      </w:r>
      <w:r>
        <w:rPr>
          <w:color w:val="231F20"/>
          <w:spacing w:val="-7"/>
        </w:rPr>
        <w:t> </w:t>
      </w:r>
      <w:r>
        <w:rPr>
          <w:color w:val="231F20"/>
        </w:rPr>
        <w:t>está</w:t>
      </w:r>
      <w:r>
        <w:rPr>
          <w:color w:val="231F20"/>
          <w:spacing w:val="-7"/>
        </w:rPr>
        <w:t> </w:t>
      </w:r>
      <w:r>
        <w:rPr>
          <w:color w:val="231F20"/>
        </w:rPr>
        <w:t>recurriendo</w:t>
      </w:r>
      <w:r>
        <w:rPr>
          <w:color w:val="231F20"/>
          <w:spacing w:val="-7"/>
        </w:rPr>
        <w:t> </w:t>
      </w:r>
      <w:r>
        <w:rPr>
          <w:color w:val="231F20"/>
        </w:rPr>
        <w:t>actualmente</w:t>
      </w:r>
      <w:r>
        <w:rPr>
          <w:color w:val="231F20"/>
          <w:spacing w:val="-8"/>
        </w:rPr>
        <w:t> </w:t>
      </w:r>
      <w:r>
        <w:rPr>
          <w:color w:val="231F20"/>
        </w:rPr>
        <w:t>a</w:t>
      </w:r>
      <w:r>
        <w:rPr>
          <w:color w:val="231F20"/>
          <w:spacing w:val="-7"/>
        </w:rPr>
        <w:t> </w:t>
      </w:r>
      <w:r>
        <w:rPr>
          <w:color w:val="231F20"/>
        </w:rPr>
        <w:t>la</w:t>
      </w:r>
      <w:r>
        <w:rPr>
          <w:color w:val="231F20"/>
          <w:spacing w:val="-7"/>
        </w:rPr>
        <w:t> </w:t>
      </w:r>
      <w:r>
        <w:rPr>
          <w:color w:val="231F20"/>
        </w:rPr>
        <w:t>importación</w:t>
      </w:r>
      <w:r>
        <w:rPr>
          <w:color w:val="231F20"/>
          <w:spacing w:val="-8"/>
        </w:rPr>
        <w:t> </w:t>
      </w:r>
      <w:r>
        <w:rPr>
          <w:color w:val="231F20"/>
        </w:rPr>
        <w:t>de</w:t>
      </w:r>
      <w:r>
        <w:rPr>
          <w:color w:val="231F20"/>
          <w:spacing w:val="-7"/>
        </w:rPr>
        <w:t> </w:t>
      </w:r>
      <w:r>
        <w:rPr>
          <w:color w:val="231F20"/>
        </w:rPr>
        <w:t>maíz,</w:t>
      </w:r>
      <w:r>
        <w:rPr>
          <w:color w:val="231F20"/>
          <w:spacing w:val="-8"/>
        </w:rPr>
        <w:t> </w:t>
      </w:r>
      <w:r>
        <w:rPr>
          <w:color w:val="231F20"/>
        </w:rPr>
        <w:t>ya</w:t>
      </w:r>
      <w:r>
        <w:rPr>
          <w:color w:val="231F20"/>
          <w:spacing w:val="-7"/>
        </w:rPr>
        <w:t> </w:t>
      </w:r>
      <w:r>
        <w:rPr>
          <w:color w:val="231F20"/>
        </w:rPr>
        <w:t>que</w:t>
      </w:r>
      <w:r>
        <w:rPr>
          <w:color w:val="231F20"/>
          <w:spacing w:val="-7"/>
        </w:rPr>
        <w:t> </w:t>
      </w:r>
      <w:r>
        <w:rPr>
          <w:color w:val="231F20"/>
        </w:rPr>
        <w:t>la</w:t>
      </w:r>
      <w:r>
        <w:rPr>
          <w:color w:val="231F20"/>
          <w:spacing w:val="-7"/>
        </w:rPr>
        <w:t> </w:t>
      </w:r>
      <w:r>
        <w:rPr>
          <w:color w:val="231F20"/>
        </w:rPr>
        <w:t>producción</w:t>
      </w:r>
      <w:r>
        <w:rPr>
          <w:color w:val="231F20"/>
          <w:spacing w:val="-7"/>
        </w:rPr>
        <w:t> </w:t>
      </w:r>
      <w:r>
        <w:rPr>
          <w:color w:val="231F20"/>
        </w:rPr>
        <w:t>interna</w:t>
      </w:r>
      <w:r>
        <w:rPr>
          <w:color w:val="231F20"/>
          <w:spacing w:val="-8"/>
        </w:rPr>
        <w:t> </w:t>
      </w:r>
      <w:r>
        <w:rPr>
          <w:color w:val="231F20"/>
        </w:rPr>
        <w:t>no es suficiente para cubrir los requerimientos nacionales. El maíz se cultiva en varios Estados, dentro de</w:t>
      </w:r>
      <w:r>
        <w:rPr>
          <w:color w:val="231F20"/>
          <w:spacing w:val="-6"/>
        </w:rPr>
        <w:t> </w:t>
      </w:r>
      <w:r>
        <w:rPr>
          <w:color w:val="231F20"/>
        </w:rPr>
        <w:t>los</w:t>
      </w:r>
      <w:r>
        <w:rPr>
          <w:color w:val="231F20"/>
          <w:spacing w:val="-6"/>
        </w:rPr>
        <w:t> </w:t>
      </w:r>
      <w:r>
        <w:rPr>
          <w:color w:val="231F20"/>
        </w:rPr>
        <w:t>principales</w:t>
      </w:r>
      <w:r>
        <w:rPr>
          <w:color w:val="231F20"/>
          <w:spacing w:val="-6"/>
        </w:rPr>
        <w:t> </w:t>
      </w:r>
      <w:r>
        <w:rPr>
          <w:color w:val="231F20"/>
        </w:rPr>
        <w:t>están</w:t>
      </w:r>
      <w:r>
        <w:rPr>
          <w:color w:val="231F20"/>
          <w:spacing w:val="-6"/>
        </w:rPr>
        <w:t> </w:t>
      </w:r>
      <w:r>
        <w:rPr>
          <w:color w:val="231F20"/>
        </w:rPr>
        <w:t>Sinaloa,</w:t>
      </w:r>
      <w:r>
        <w:rPr>
          <w:color w:val="231F20"/>
          <w:spacing w:val="-6"/>
        </w:rPr>
        <w:t> </w:t>
      </w:r>
      <w:r>
        <w:rPr>
          <w:color w:val="231F20"/>
        </w:rPr>
        <w:t>Jalisco,</w:t>
      </w:r>
      <w:r>
        <w:rPr>
          <w:color w:val="231F20"/>
          <w:spacing w:val="-6"/>
        </w:rPr>
        <w:t> </w:t>
      </w:r>
      <w:r>
        <w:rPr>
          <w:color w:val="231F20"/>
        </w:rPr>
        <w:t>Michoacán,</w:t>
      </w:r>
      <w:r>
        <w:rPr>
          <w:color w:val="231F20"/>
          <w:spacing w:val="-6"/>
        </w:rPr>
        <w:t> </w:t>
      </w:r>
      <w:r>
        <w:rPr>
          <w:color w:val="231F20"/>
        </w:rPr>
        <w:t>Guerrero,</w:t>
      </w:r>
      <w:r>
        <w:rPr>
          <w:color w:val="231F20"/>
          <w:spacing w:val="-10"/>
        </w:rPr>
        <w:t> </w:t>
      </w:r>
      <w:r>
        <w:rPr>
          <w:color w:val="231F20"/>
          <w:spacing w:val="-3"/>
        </w:rPr>
        <w:t>Veracruz</w:t>
      </w:r>
      <w:r>
        <w:rPr>
          <w:color w:val="231F20"/>
          <w:spacing w:val="-6"/>
        </w:rPr>
        <w:t> </w:t>
      </w:r>
      <w:r>
        <w:rPr>
          <w:color w:val="231F20"/>
        </w:rPr>
        <w:t>entre</w:t>
      </w:r>
      <w:r>
        <w:rPr>
          <w:color w:val="231F20"/>
          <w:spacing w:val="-6"/>
        </w:rPr>
        <w:t> </w:t>
      </w:r>
      <w:r>
        <w:rPr>
          <w:color w:val="231F20"/>
        </w:rPr>
        <w:t>otros.</w:t>
      </w:r>
      <w:r>
        <w:rPr>
          <w:color w:val="231F20"/>
          <w:spacing w:val="-6"/>
        </w:rPr>
        <w:t> </w:t>
      </w:r>
      <w:r>
        <w:rPr>
          <w:color w:val="231F20"/>
        </w:rPr>
        <w:t>Guerrero</w:t>
      </w:r>
      <w:r>
        <w:rPr>
          <w:color w:val="231F20"/>
          <w:spacing w:val="-6"/>
        </w:rPr>
        <w:t> </w:t>
      </w:r>
      <w:r>
        <w:rPr>
          <w:color w:val="231F20"/>
        </w:rPr>
        <w:t>es</w:t>
      </w:r>
      <w:r>
        <w:rPr>
          <w:color w:val="231F20"/>
          <w:spacing w:val="-6"/>
        </w:rPr>
        <w:t> </w:t>
      </w:r>
      <w:r>
        <w:rPr>
          <w:color w:val="231F20"/>
        </w:rPr>
        <w:t>una región cálida y seca, donde el principal problema es el temporal irregular que causa rendimientos promedio</w:t>
      </w:r>
      <w:r>
        <w:rPr>
          <w:color w:val="231F20"/>
          <w:spacing w:val="-9"/>
        </w:rPr>
        <w:t> </w:t>
      </w:r>
      <w:r>
        <w:rPr>
          <w:color w:val="231F20"/>
        </w:rPr>
        <w:t>de</w:t>
      </w:r>
      <w:r>
        <w:rPr>
          <w:color w:val="231F20"/>
          <w:spacing w:val="-9"/>
        </w:rPr>
        <w:t> </w:t>
      </w:r>
      <w:r>
        <w:rPr>
          <w:color w:val="231F20"/>
        </w:rPr>
        <w:t>2.8</w:t>
      </w:r>
      <w:r>
        <w:rPr>
          <w:color w:val="231F20"/>
          <w:spacing w:val="-9"/>
        </w:rPr>
        <w:t> </w:t>
      </w:r>
      <w:r>
        <w:rPr>
          <w:color w:val="231F20"/>
        </w:rPr>
        <w:t>t</w:t>
      </w:r>
      <w:r>
        <w:rPr>
          <w:color w:val="231F20"/>
          <w:spacing w:val="-9"/>
        </w:rPr>
        <w:t> </w:t>
      </w:r>
      <w:r>
        <w:rPr>
          <w:color w:val="231F20"/>
        </w:rPr>
        <w:t>ha</w:t>
      </w:r>
      <w:r>
        <w:rPr>
          <w:color w:val="231F20"/>
          <w:position w:val="7"/>
          <w:sz w:val="12"/>
        </w:rPr>
        <w:t>-1</w:t>
      </w:r>
      <w:r>
        <w:rPr>
          <w:color w:val="231F20"/>
          <w:spacing w:val="14"/>
          <w:position w:val="7"/>
          <w:sz w:val="12"/>
        </w:rPr>
        <w:t> </w:t>
      </w:r>
      <w:r>
        <w:rPr>
          <w:color w:val="231F20"/>
          <w:spacing w:val="-4"/>
        </w:rPr>
        <w:t>(SIAP,</w:t>
      </w:r>
      <w:r>
        <w:rPr>
          <w:color w:val="231F20"/>
          <w:spacing w:val="-9"/>
        </w:rPr>
        <w:t> </w:t>
      </w:r>
      <w:r>
        <w:rPr>
          <w:color w:val="231F20"/>
        </w:rPr>
        <w:t>2011).</w:t>
      </w:r>
      <w:r>
        <w:rPr>
          <w:color w:val="231F20"/>
          <w:spacing w:val="-9"/>
        </w:rPr>
        <w:t> </w:t>
      </w:r>
      <w:r>
        <w:rPr>
          <w:color w:val="231F20"/>
        </w:rPr>
        <w:t>Debido</w:t>
      </w:r>
      <w:r>
        <w:rPr>
          <w:color w:val="231F20"/>
          <w:spacing w:val="-9"/>
        </w:rPr>
        <w:t> </w:t>
      </w:r>
      <w:r>
        <w:rPr>
          <w:color w:val="231F20"/>
        </w:rPr>
        <w:t>a</w:t>
      </w:r>
      <w:r>
        <w:rPr>
          <w:color w:val="231F20"/>
          <w:spacing w:val="-9"/>
        </w:rPr>
        <w:t> </w:t>
      </w:r>
      <w:r>
        <w:rPr>
          <w:color w:val="231F20"/>
        </w:rPr>
        <w:t>esto</w:t>
      </w:r>
      <w:r>
        <w:rPr>
          <w:color w:val="231F20"/>
          <w:spacing w:val="-9"/>
        </w:rPr>
        <w:t> </w:t>
      </w:r>
      <w:r>
        <w:rPr>
          <w:color w:val="231F20"/>
        </w:rPr>
        <w:t>los</w:t>
      </w:r>
      <w:r>
        <w:rPr>
          <w:color w:val="231F20"/>
          <w:spacing w:val="-9"/>
        </w:rPr>
        <w:t> </w:t>
      </w:r>
      <w:r>
        <w:rPr>
          <w:color w:val="231F20"/>
        </w:rPr>
        <w:t>agricultores</w:t>
      </w:r>
      <w:r>
        <w:rPr>
          <w:color w:val="231F20"/>
          <w:spacing w:val="-9"/>
        </w:rPr>
        <w:t> </w:t>
      </w:r>
      <w:r>
        <w:rPr>
          <w:color w:val="231F20"/>
        </w:rPr>
        <w:t>utilizan</w:t>
      </w:r>
      <w:r>
        <w:rPr>
          <w:color w:val="231F20"/>
          <w:spacing w:val="-9"/>
        </w:rPr>
        <w:t> </w:t>
      </w:r>
      <w:r>
        <w:rPr>
          <w:color w:val="231F20"/>
        </w:rPr>
        <w:t>altas</w:t>
      </w:r>
      <w:r>
        <w:rPr>
          <w:color w:val="231F20"/>
          <w:spacing w:val="-9"/>
        </w:rPr>
        <w:t> </w:t>
      </w:r>
      <w:r>
        <w:rPr>
          <w:color w:val="231F20"/>
        </w:rPr>
        <w:t>dosis</w:t>
      </w:r>
      <w:r>
        <w:rPr>
          <w:color w:val="231F20"/>
          <w:spacing w:val="-9"/>
        </w:rPr>
        <w:t> </w:t>
      </w:r>
      <w:r>
        <w:rPr>
          <w:color w:val="231F20"/>
        </w:rPr>
        <w:t>de</w:t>
      </w:r>
      <w:r>
        <w:rPr>
          <w:color w:val="231F20"/>
          <w:spacing w:val="-9"/>
        </w:rPr>
        <w:t> </w:t>
      </w:r>
      <w:r>
        <w:rPr>
          <w:color w:val="231F20"/>
        </w:rPr>
        <w:t>fertilización nitrogenada en el cultivo de maíz para incrementar el rendimiento, aspecto que además de contami- nar</w:t>
      </w:r>
      <w:r>
        <w:rPr>
          <w:color w:val="231F20"/>
          <w:spacing w:val="-8"/>
        </w:rPr>
        <w:t> </w:t>
      </w:r>
      <w:r>
        <w:rPr>
          <w:color w:val="231F20"/>
        </w:rPr>
        <w:t>el</w:t>
      </w:r>
      <w:r>
        <w:rPr>
          <w:color w:val="231F20"/>
          <w:spacing w:val="-8"/>
        </w:rPr>
        <w:t> </w:t>
      </w:r>
      <w:r>
        <w:rPr>
          <w:color w:val="231F20"/>
        </w:rPr>
        <w:t>ambiente,</w:t>
      </w:r>
      <w:r>
        <w:rPr>
          <w:color w:val="231F20"/>
          <w:spacing w:val="-8"/>
        </w:rPr>
        <w:t> </w:t>
      </w:r>
      <w:r>
        <w:rPr>
          <w:color w:val="231F20"/>
        </w:rPr>
        <w:t>representa</w:t>
      </w:r>
      <w:r>
        <w:rPr>
          <w:color w:val="231F20"/>
          <w:spacing w:val="-8"/>
        </w:rPr>
        <w:t> </w:t>
      </w:r>
      <w:r>
        <w:rPr>
          <w:color w:val="231F20"/>
        </w:rPr>
        <w:t>una</w:t>
      </w:r>
      <w:r>
        <w:rPr>
          <w:color w:val="231F20"/>
          <w:spacing w:val="-8"/>
        </w:rPr>
        <w:t> </w:t>
      </w:r>
      <w:r>
        <w:rPr>
          <w:color w:val="231F20"/>
        </w:rPr>
        <w:t>inversión</w:t>
      </w:r>
      <w:r>
        <w:rPr>
          <w:color w:val="231F20"/>
          <w:spacing w:val="-8"/>
        </w:rPr>
        <w:t> </w:t>
      </w:r>
      <w:r>
        <w:rPr>
          <w:color w:val="231F20"/>
        </w:rPr>
        <w:t>de</w:t>
      </w:r>
      <w:r>
        <w:rPr>
          <w:color w:val="231F20"/>
          <w:spacing w:val="-8"/>
        </w:rPr>
        <w:t> </w:t>
      </w:r>
      <w:r>
        <w:rPr>
          <w:color w:val="231F20"/>
        </w:rPr>
        <w:t>alto</w:t>
      </w:r>
      <w:r>
        <w:rPr>
          <w:color w:val="231F20"/>
          <w:spacing w:val="-8"/>
        </w:rPr>
        <w:t> </w:t>
      </w:r>
      <w:r>
        <w:rPr>
          <w:color w:val="231F20"/>
        </w:rPr>
        <w:t>costo</w:t>
      </w:r>
      <w:r>
        <w:rPr>
          <w:color w:val="231F20"/>
          <w:spacing w:val="-8"/>
        </w:rPr>
        <w:t> </w:t>
      </w:r>
      <w:r>
        <w:rPr>
          <w:color w:val="231F20"/>
        </w:rPr>
        <w:t>y</w:t>
      </w:r>
      <w:r>
        <w:rPr>
          <w:color w:val="231F20"/>
          <w:spacing w:val="-8"/>
        </w:rPr>
        <w:t> </w:t>
      </w:r>
      <w:r>
        <w:rPr>
          <w:color w:val="231F20"/>
        </w:rPr>
        <w:t>riesgo</w:t>
      </w:r>
      <w:r>
        <w:rPr>
          <w:color w:val="231F20"/>
          <w:spacing w:val="-8"/>
        </w:rPr>
        <w:t> </w:t>
      </w:r>
      <w:r>
        <w:rPr>
          <w:color w:val="231F20"/>
        </w:rPr>
        <w:t>para</w:t>
      </w:r>
      <w:r>
        <w:rPr>
          <w:color w:val="231F20"/>
          <w:spacing w:val="-8"/>
        </w:rPr>
        <w:t> </w:t>
      </w:r>
      <w:r>
        <w:rPr>
          <w:color w:val="231F20"/>
        </w:rPr>
        <w:t>los</w:t>
      </w:r>
      <w:r>
        <w:rPr>
          <w:color w:val="231F20"/>
          <w:spacing w:val="-8"/>
        </w:rPr>
        <w:t> </w:t>
      </w:r>
      <w:r>
        <w:rPr>
          <w:color w:val="231F20"/>
        </w:rPr>
        <w:t>agricultores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región.</w:t>
      </w:r>
      <w:r>
        <w:rPr>
          <w:color w:val="231F20"/>
          <w:spacing w:val="-8"/>
        </w:rPr>
        <w:t> </w:t>
      </w:r>
      <w:r>
        <w:rPr>
          <w:color w:val="231F20"/>
        </w:rPr>
        <w:t>Por lo tanto debido al alto costo de los fertilizantes y la contaminación ambiental que estos generan, se recurre</w:t>
      </w:r>
      <w:r>
        <w:rPr>
          <w:color w:val="231F20"/>
          <w:spacing w:val="-4"/>
        </w:rPr>
        <w:t> </w:t>
      </w:r>
      <w:r>
        <w:rPr>
          <w:color w:val="231F20"/>
        </w:rPr>
        <w:t>a</w:t>
      </w:r>
      <w:r>
        <w:rPr>
          <w:color w:val="231F20"/>
          <w:spacing w:val="-4"/>
        </w:rPr>
        <w:t> </w:t>
      </w:r>
      <w:r>
        <w:rPr>
          <w:color w:val="231F20"/>
        </w:rPr>
        <w:t>estrategias</w:t>
      </w:r>
      <w:r>
        <w:rPr>
          <w:color w:val="231F20"/>
          <w:spacing w:val="-5"/>
        </w:rPr>
        <w:t> </w:t>
      </w:r>
      <w:r>
        <w:rPr>
          <w:color w:val="231F20"/>
        </w:rPr>
        <w:t>de</w:t>
      </w:r>
      <w:r>
        <w:rPr>
          <w:color w:val="231F20"/>
          <w:spacing w:val="-4"/>
        </w:rPr>
        <w:t> </w:t>
      </w:r>
      <w:r>
        <w:rPr>
          <w:color w:val="231F20"/>
        </w:rPr>
        <w:t>manejo</w:t>
      </w:r>
      <w:r>
        <w:rPr>
          <w:color w:val="231F20"/>
          <w:spacing w:val="-4"/>
        </w:rPr>
        <w:t> </w:t>
      </w:r>
      <w:r>
        <w:rPr>
          <w:color w:val="231F20"/>
        </w:rPr>
        <w:t>del</w:t>
      </w:r>
      <w:r>
        <w:rPr>
          <w:color w:val="231F20"/>
          <w:spacing w:val="-4"/>
        </w:rPr>
        <w:t> </w:t>
      </w:r>
      <w:r>
        <w:rPr>
          <w:color w:val="231F20"/>
        </w:rPr>
        <w:t>cultivo</w:t>
      </w:r>
      <w:r>
        <w:rPr>
          <w:color w:val="231F20"/>
          <w:spacing w:val="-4"/>
        </w:rPr>
        <w:t> </w:t>
      </w:r>
      <w:r>
        <w:rPr>
          <w:color w:val="231F20"/>
        </w:rPr>
        <w:t>que</w:t>
      </w:r>
      <w:r>
        <w:rPr>
          <w:color w:val="231F20"/>
          <w:spacing w:val="-4"/>
        </w:rPr>
        <w:t> </w:t>
      </w:r>
      <w:r>
        <w:rPr>
          <w:color w:val="231F20"/>
        </w:rPr>
        <w:t>pueden</w:t>
      </w:r>
      <w:r>
        <w:rPr>
          <w:color w:val="231F20"/>
          <w:spacing w:val="-4"/>
        </w:rPr>
        <w:t> </w:t>
      </w:r>
      <w:r>
        <w:rPr>
          <w:color w:val="231F20"/>
        </w:rPr>
        <w:t>sustituir</w:t>
      </w:r>
      <w:r>
        <w:rPr>
          <w:color w:val="231F20"/>
          <w:spacing w:val="-4"/>
        </w:rPr>
        <w:t> </w:t>
      </w:r>
      <w:r>
        <w:rPr>
          <w:color w:val="231F20"/>
        </w:rPr>
        <w:t>al</w:t>
      </w:r>
      <w:r>
        <w:rPr>
          <w:color w:val="231F20"/>
          <w:spacing w:val="-4"/>
        </w:rPr>
        <w:t> </w:t>
      </w:r>
      <w:r>
        <w:rPr>
          <w:color w:val="231F20"/>
        </w:rPr>
        <w:t>menos</w:t>
      </w:r>
      <w:r>
        <w:rPr>
          <w:color w:val="231F20"/>
          <w:spacing w:val="-4"/>
        </w:rPr>
        <w:t> </w:t>
      </w:r>
      <w:r>
        <w:rPr>
          <w:color w:val="231F20"/>
        </w:rPr>
        <w:t>en</w:t>
      </w:r>
      <w:r>
        <w:rPr>
          <w:color w:val="231F20"/>
          <w:spacing w:val="-4"/>
        </w:rPr>
        <w:t> </w:t>
      </w:r>
      <w:r>
        <w:rPr>
          <w:color w:val="231F20"/>
        </w:rPr>
        <w:t>parte</w:t>
      </w:r>
      <w:r>
        <w:rPr>
          <w:color w:val="231F20"/>
          <w:spacing w:val="-4"/>
        </w:rPr>
        <w:t> </w:t>
      </w:r>
      <w:r>
        <w:rPr>
          <w:color w:val="231F20"/>
        </w:rPr>
        <w:t>a</w:t>
      </w:r>
      <w:r>
        <w:rPr>
          <w:color w:val="231F20"/>
          <w:spacing w:val="-4"/>
        </w:rPr>
        <w:t> </w:t>
      </w:r>
      <w:r>
        <w:rPr>
          <w:color w:val="231F20"/>
        </w:rPr>
        <w:t>estos</w:t>
      </w:r>
      <w:r>
        <w:rPr>
          <w:color w:val="231F20"/>
          <w:spacing w:val="-4"/>
        </w:rPr>
        <w:t> </w:t>
      </w:r>
      <w:r>
        <w:rPr>
          <w:color w:val="231F20"/>
        </w:rPr>
        <w:t>agroquími- cos y mantener una producción sustentable en el cultivo de</w:t>
      </w:r>
      <w:r>
        <w:rPr>
          <w:color w:val="231F20"/>
          <w:spacing w:val="-14"/>
        </w:rPr>
        <w:t> </w:t>
      </w:r>
      <w:r>
        <w:rPr>
          <w:color w:val="231F20"/>
        </w:rPr>
        <w:t>maíz.</w:t>
      </w:r>
    </w:p>
    <w:p>
      <w:pPr>
        <w:pStyle w:val="BodyText"/>
        <w:rPr>
          <w:sz w:val="20"/>
        </w:rPr>
      </w:pPr>
    </w:p>
    <w:p>
      <w:pPr>
        <w:pStyle w:val="BodyText"/>
        <w:spacing w:before="4"/>
        <w:rPr>
          <w:sz w:val="22"/>
        </w:rPr>
      </w:pPr>
    </w:p>
    <w:p>
      <w:pPr>
        <w:spacing w:line="247" w:lineRule="auto" w:before="0"/>
        <w:ind w:left="1590" w:right="1663" w:firstLine="0"/>
        <w:jc w:val="both"/>
        <w:rPr>
          <w:rFonts w:ascii="Trebuchet MS" w:hAnsi="Trebuchet MS"/>
          <w:sz w:val="16"/>
        </w:rPr>
      </w:pPr>
      <w:r>
        <w:rPr>
          <w:rFonts w:ascii="Trebuchet MS" w:hAnsi="Trebuchet MS"/>
          <w:color w:val="231F20"/>
          <w:position w:val="5"/>
          <w:sz w:val="9"/>
        </w:rPr>
        <w:t>1</w:t>
      </w:r>
      <w:r>
        <w:rPr>
          <w:rFonts w:ascii="Trebuchet MS" w:hAnsi="Trebuchet MS"/>
          <w:color w:val="231F20"/>
          <w:sz w:val="16"/>
        </w:rPr>
        <w:t>Posgrado</w:t>
      </w:r>
      <w:r>
        <w:rPr>
          <w:rFonts w:ascii="Trebuchet MS" w:hAnsi="Trebuchet MS"/>
          <w:color w:val="231F20"/>
          <w:spacing w:val="-9"/>
          <w:sz w:val="16"/>
        </w:rPr>
        <w:t> </w:t>
      </w:r>
      <w:r>
        <w:rPr>
          <w:rFonts w:ascii="Trebuchet MS" w:hAnsi="Trebuchet MS"/>
          <w:color w:val="231F20"/>
          <w:sz w:val="16"/>
        </w:rPr>
        <w:t>en</w:t>
      </w:r>
      <w:r>
        <w:rPr>
          <w:rFonts w:ascii="Trebuchet MS" w:hAnsi="Trebuchet MS"/>
          <w:color w:val="231F20"/>
          <w:spacing w:val="-8"/>
          <w:sz w:val="16"/>
        </w:rPr>
        <w:t> </w:t>
      </w:r>
      <w:r>
        <w:rPr>
          <w:rFonts w:ascii="Trebuchet MS" w:hAnsi="Trebuchet MS"/>
          <w:color w:val="231F20"/>
          <w:sz w:val="16"/>
        </w:rPr>
        <w:t>Botánica.</w:t>
      </w:r>
      <w:r>
        <w:rPr>
          <w:rFonts w:ascii="Trebuchet MS" w:hAnsi="Trebuchet MS"/>
          <w:color w:val="231F20"/>
          <w:spacing w:val="-9"/>
          <w:sz w:val="16"/>
        </w:rPr>
        <w:t> </w:t>
      </w:r>
      <w:r>
        <w:rPr>
          <w:rFonts w:ascii="Trebuchet MS" w:hAnsi="Trebuchet MS"/>
          <w:color w:val="231F20"/>
          <w:sz w:val="16"/>
        </w:rPr>
        <w:t>Colegio</w:t>
      </w:r>
      <w:r>
        <w:rPr>
          <w:rFonts w:ascii="Trebuchet MS" w:hAnsi="Trebuchet MS"/>
          <w:color w:val="231F20"/>
          <w:spacing w:val="-8"/>
          <w:sz w:val="16"/>
        </w:rPr>
        <w:t> </w:t>
      </w:r>
      <w:r>
        <w:rPr>
          <w:rFonts w:ascii="Trebuchet MS" w:hAnsi="Trebuchet MS"/>
          <w:color w:val="231F20"/>
          <w:sz w:val="16"/>
        </w:rPr>
        <w:t>de</w:t>
      </w:r>
      <w:r>
        <w:rPr>
          <w:rFonts w:ascii="Trebuchet MS" w:hAnsi="Trebuchet MS"/>
          <w:color w:val="231F20"/>
          <w:spacing w:val="-8"/>
          <w:sz w:val="16"/>
        </w:rPr>
        <w:t> </w:t>
      </w:r>
      <w:r>
        <w:rPr>
          <w:rFonts w:ascii="Trebuchet MS" w:hAnsi="Trebuchet MS"/>
          <w:color w:val="231F20"/>
          <w:sz w:val="16"/>
        </w:rPr>
        <w:t>Postgraduados-Campus</w:t>
      </w:r>
      <w:r>
        <w:rPr>
          <w:rFonts w:ascii="Trebuchet MS" w:hAnsi="Trebuchet MS"/>
          <w:color w:val="231F20"/>
          <w:spacing w:val="-11"/>
          <w:sz w:val="16"/>
        </w:rPr>
        <w:t> </w:t>
      </w:r>
      <w:r>
        <w:rPr>
          <w:rFonts w:ascii="Trebuchet MS" w:hAnsi="Trebuchet MS"/>
          <w:color w:val="231F20"/>
          <w:sz w:val="16"/>
        </w:rPr>
        <w:t>Montecillo.</w:t>
      </w:r>
      <w:r>
        <w:rPr>
          <w:rFonts w:ascii="Trebuchet MS" w:hAnsi="Trebuchet MS"/>
          <w:color w:val="231F20"/>
          <w:spacing w:val="-7"/>
          <w:sz w:val="16"/>
        </w:rPr>
        <w:t> </w:t>
      </w:r>
      <w:r>
        <w:rPr>
          <w:rFonts w:ascii="Trebuchet MS" w:hAnsi="Trebuchet MS"/>
          <w:color w:val="231F20"/>
          <w:sz w:val="16"/>
        </w:rPr>
        <w:t>Km.</w:t>
      </w:r>
      <w:r>
        <w:rPr>
          <w:rFonts w:ascii="Trebuchet MS" w:hAnsi="Trebuchet MS"/>
          <w:color w:val="231F20"/>
          <w:spacing w:val="-8"/>
          <w:sz w:val="16"/>
        </w:rPr>
        <w:t> </w:t>
      </w:r>
      <w:r>
        <w:rPr>
          <w:rFonts w:ascii="Trebuchet MS" w:hAnsi="Trebuchet MS"/>
          <w:color w:val="231F20"/>
          <w:sz w:val="16"/>
        </w:rPr>
        <w:t>36.5</w:t>
      </w:r>
      <w:r>
        <w:rPr>
          <w:rFonts w:ascii="Trebuchet MS" w:hAnsi="Trebuchet MS"/>
          <w:color w:val="231F20"/>
          <w:spacing w:val="-8"/>
          <w:sz w:val="16"/>
        </w:rPr>
        <w:t> </w:t>
      </w:r>
      <w:r>
        <w:rPr>
          <w:rFonts w:ascii="Trebuchet MS" w:hAnsi="Trebuchet MS"/>
          <w:color w:val="231F20"/>
          <w:spacing w:val="-6"/>
          <w:sz w:val="16"/>
        </w:rPr>
        <w:t>carr.</w:t>
      </w:r>
      <w:r>
        <w:rPr>
          <w:rFonts w:ascii="Trebuchet MS" w:hAnsi="Trebuchet MS"/>
          <w:color w:val="231F20"/>
          <w:spacing w:val="-8"/>
          <w:sz w:val="16"/>
        </w:rPr>
        <w:t> </w:t>
      </w:r>
      <w:r>
        <w:rPr>
          <w:rFonts w:ascii="Trebuchet MS" w:hAnsi="Trebuchet MS"/>
          <w:color w:val="231F20"/>
          <w:spacing w:val="-3"/>
          <w:sz w:val="16"/>
        </w:rPr>
        <w:t>México-Texcoco</w:t>
      </w:r>
      <w:r>
        <w:rPr>
          <w:rFonts w:ascii="Trebuchet MS" w:hAnsi="Trebuchet MS"/>
          <w:color w:val="231F20"/>
          <w:spacing w:val="-7"/>
          <w:sz w:val="16"/>
        </w:rPr>
        <w:t> </w:t>
      </w:r>
      <w:r>
        <w:rPr>
          <w:rFonts w:ascii="Trebuchet MS" w:hAnsi="Trebuchet MS"/>
          <w:color w:val="231F20"/>
          <w:sz w:val="16"/>
        </w:rPr>
        <w:t>56230. Montecillo,</w:t>
      </w:r>
      <w:r>
        <w:rPr>
          <w:rFonts w:ascii="Trebuchet MS" w:hAnsi="Trebuchet MS"/>
          <w:color w:val="231F20"/>
          <w:spacing w:val="-9"/>
          <w:sz w:val="16"/>
        </w:rPr>
        <w:t> </w:t>
      </w:r>
      <w:r>
        <w:rPr>
          <w:rFonts w:ascii="Trebuchet MS" w:hAnsi="Trebuchet MS"/>
          <w:color w:val="231F20"/>
          <w:spacing w:val="-4"/>
          <w:sz w:val="16"/>
        </w:rPr>
        <w:t>Texcoco,</w:t>
      </w:r>
      <w:r>
        <w:rPr>
          <w:rFonts w:ascii="Trebuchet MS" w:hAnsi="Trebuchet MS"/>
          <w:color w:val="231F20"/>
          <w:spacing w:val="-6"/>
          <w:sz w:val="16"/>
        </w:rPr>
        <w:t> </w:t>
      </w:r>
      <w:r>
        <w:rPr>
          <w:rFonts w:ascii="Trebuchet MS" w:hAnsi="Trebuchet MS"/>
          <w:color w:val="231F20"/>
          <w:sz w:val="16"/>
        </w:rPr>
        <w:t>Estado</w:t>
      </w:r>
      <w:r>
        <w:rPr>
          <w:rFonts w:ascii="Trebuchet MS" w:hAnsi="Trebuchet MS"/>
          <w:color w:val="231F20"/>
          <w:spacing w:val="-8"/>
          <w:sz w:val="16"/>
        </w:rPr>
        <w:t> </w:t>
      </w:r>
      <w:r>
        <w:rPr>
          <w:rFonts w:ascii="Trebuchet MS" w:hAnsi="Trebuchet MS"/>
          <w:color w:val="231F20"/>
          <w:sz w:val="16"/>
        </w:rPr>
        <w:t>de</w:t>
      </w:r>
      <w:r>
        <w:rPr>
          <w:rFonts w:ascii="Trebuchet MS" w:hAnsi="Trebuchet MS"/>
          <w:color w:val="231F20"/>
          <w:spacing w:val="-7"/>
          <w:sz w:val="16"/>
        </w:rPr>
        <w:t> </w:t>
      </w:r>
      <w:r>
        <w:rPr>
          <w:rFonts w:ascii="Trebuchet MS" w:hAnsi="Trebuchet MS"/>
          <w:color w:val="231F20"/>
          <w:sz w:val="16"/>
        </w:rPr>
        <w:t>México.</w:t>
      </w:r>
      <w:r>
        <w:rPr>
          <w:rFonts w:ascii="Trebuchet MS" w:hAnsi="Trebuchet MS"/>
          <w:color w:val="231F20"/>
          <w:spacing w:val="-6"/>
          <w:sz w:val="16"/>
        </w:rPr>
        <w:t> </w:t>
      </w:r>
      <w:r>
        <w:rPr>
          <w:rFonts w:ascii="Trebuchet MS" w:hAnsi="Trebuchet MS"/>
          <w:color w:val="231F20"/>
          <w:position w:val="5"/>
          <w:sz w:val="9"/>
        </w:rPr>
        <w:t>2</w:t>
      </w:r>
      <w:r>
        <w:rPr>
          <w:rFonts w:ascii="Trebuchet MS" w:hAnsi="Trebuchet MS"/>
          <w:color w:val="231F20"/>
          <w:sz w:val="16"/>
        </w:rPr>
        <w:t>Facultad</w:t>
      </w:r>
      <w:r>
        <w:rPr>
          <w:rFonts w:ascii="Trebuchet MS" w:hAnsi="Trebuchet MS"/>
          <w:color w:val="231F20"/>
          <w:spacing w:val="-8"/>
          <w:sz w:val="16"/>
        </w:rPr>
        <w:t> </w:t>
      </w:r>
      <w:r>
        <w:rPr>
          <w:rFonts w:ascii="Trebuchet MS" w:hAnsi="Trebuchet MS"/>
          <w:color w:val="231F20"/>
          <w:sz w:val="16"/>
        </w:rPr>
        <w:t>de</w:t>
      </w:r>
      <w:r>
        <w:rPr>
          <w:rFonts w:ascii="Trebuchet MS" w:hAnsi="Trebuchet MS"/>
          <w:color w:val="231F20"/>
          <w:spacing w:val="-7"/>
          <w:sz w:val="16"/>
        </w:rPr>
        <w:t> </w:t>
      </w:r>
      <w:r>
        <w:rPr>
          <w:rFonts w:ascii="Trebuchet MS" w:hAnsi="Trebuchet MS"/>
          <w:color w:val="231F20"/>
          <w:sz w:val="16"/>
        </w:rPr>
        <w:t>Biología.</w:t>
      </w:r>
      <w:r>
        <w:rPr>
          <w:rFonts w:ascii="Trebuchet MS" w:hAnsi="Trebuchet MS"/>
          <w:color w:val="231F20"/>
          <w:spacing w:val="-7"/>
          <w:sz w:val="16"/>
        </w:rPr>
        <w:t> </w:t>
      </w:r>
      <w:r>
        <w:rPr>
          <w:rFonts w:ascii="Trebuchet MS" w:hAnsi="Trebuchet MS"/>
          <w:color w:val="231F20"/>
          <w:sz w:val="16"/>
        </w:rPr>
        <w:t>Universidad</w:t>
      </w:r>
      <w:r>
        <w:rPr>
          <w:rFonts w:ascii="Trebuchet MS" w:hAnsi="Trebuchet MS"/>
          <w:color w:val="231F20"/>
          <w:spacing w:val="-15"/>
          <w:sz w:val="16"/>
        </w:rPr>
        <w:t> </w:t>
      </w:r>
      <w:r>
        <w:rPr>
          <w:rFonts w:ascii="Trebuchet MS" w:hAnsi="Trebuchet MS"/>
          <w:color w:val="231F20"/>
          <w:sz w:val="16"/>
        </w:rPr>
        <w:t>Autónoma</w:t>
      </w:r>
      <w:r>
        <w:rPr>
          <w:rFonts w:ascii="Trebuchet MS" w:hAnsi="Trebuchet MS"/>
          <w:color w:val="231F20"/>
          <w:spacing w:val="-8"/>
          <w:sz w:val="16"/>
        </w:rPr>
        <w:t> </w:t>
      </w:r>
      <w:r>
        <w:rPr>
          <w:rFonts w:ascii="Trebuchet MS" w:hAnsi="Trebuchet MS"/>
          <w:color w:val="231F20"/>
          <w:sz w:val="16"/>
        </w:rPr>
        <w:t>del</w:t>
      </w:r>
      <w:r>
        <w:rPr>
          <w:rFonts w:ascii="Trebuchet MS" w:hAnsi="Trebuchet MS"/>
          <w:color w:val="231F20"/>
          <w:spacing w:val="-7"/>
          <w:sz w:val="16"/>
        </w:rPr>
        <w:t> </w:t>
      </w:r>
      <w:r>
        <w:rPr>
          <w:rFonts w:ascii="Trebuchet MS" w:hAnsi="Trebuchet MS"/>
          <w:color w:val="231F20"/>
          <w:sz w:val="16"/>
        </w:rPr>
        <w:t>Estado</w:t>
      </w:r>
      <w:r>
        <w:rPr>
          <w:rFonts w:ascii="Trebuchet MS" w:hAnsi="Trebuchet MS"/>
          <w:color w:val="231F20"/>
          <w:spacing w:val="-8"/>
          <w:sz w:val="16"/>
        </w:rPr>
        <w:t> </w:t>
      </w:r>
      <w:r>
        <w:rPr>
          <w:rFonts w:ascii="Trebuchet MS" w:hAnsi="Trebuchet MS"/>
          <w:color w:val="231F20"/>
          <w:sz w:val="16"/>
        </w:rPr>
        <w:t>de</w:t>
      </w:r>
      <w:r>
        <w:rPr>
          <w:rFonts w:ascii="Trebuchet MS" w:hAnsi="Trebuchet MS"/>
          <w:color w:val="231F20"/>
          <w:spacing w:val="-7"/>
          <w:sz w:val="16"/>
        </w:rPr>
        <w:t> </w:t>
      </w:r>
      <w:r>
        <w:rPr>
          <w:rFonts w:ascii="Trebuchet MS" w:hAnsi="Trebuchet MS"/>
          <w:color w:val="231F20"/>
          <w:sz w:val="16"/>
        </w:rPr>
        <w:t>Morelos. Cuernavaca,</w:t>
      </w:r>
      <w:r>
        <w:rPr>
          <w:rFonts w:ascii="Trebuchet MS" w:hAnsi="Trebuchet MS"/>
          <w:color w:val="231F20"/>
          <w:spacing w:val="-22"/>
          <w:sz w:val="16"/>
        </w:rPr>
        <w:t> </w:t>
      </w:r>
      <w:r>
        <w:rPr>
          <w:rFonts w:ascii="Trebuchet MS" w:hAnsi="Trebuchet MS"/>
          <w:color w:val="231F20"/>
          <w:spacing w:val="-6"/>
          <w:sz w:val="16"/>
        </w:rPr>
        <w:t>Mor.</w:t>
      </w:r>
      <w:r>
        <w:rPr>
          <w:rFonts w:ascii="Trebuchet MS" w:hAnsi="Trebuchet MS"/>
          <w:color w:val="231F20"/>
          <w:spacing w:val="-22"/>
          <w:sz w:val="16"/>
        </w:rPr>
        <w:t> </w:t>
      </w:r>
      <w:r>
        <w:rPr>
          <w:rFonts w:ascii="Trebuchet MS" w:hAnsi="Trebuchet MS"/>
          <w:color w:val="231F20"/>
          <w:sz w:val="16"/>
        </w:rPr>
        <w:t>Email:</w:t>
      </w:r>
      <w:r>
        <w:rPr>
          <w:rFonts w:ascii="Trebuchet MS" w:hAnsi="Trebuchet MS"/>
          <w:color w:val="231F20"/>
          <w:spacing w:val="-23"/>
          <w:sz w:val="16"/>
        </w:rPr>
        <w:t> </w:t>
      </w:r>
      <w:hyperlink r:id="rId39">
        <w:r>
          <w:rPr>
            <w:rFonts w:ascii="Trebuchet MS" w:hAnsi="Trebuchet MS"/>
            <w:color w:val="231F20"/>
            <w:sz w:val="16"/>
          </w:rPr>
          <w:t>aguilar.cid@colpos.mx.</w:t>
        </w:r>
      </w:hyperlink>
    </w:p>
    <w:p>
      <w:pPr>
        <w:spacing w:after="0" w:line="247" w:lineRule="auto"/>
        <w:jc w:val="both"/>
        <w:rPr>
          <w:rFonts w:ascii="Trebuchet MS" w:hAnsi="Trebuchet MS"/>
          <w:sz w:val="16"/>
        </w:rPr>
        <w:sectPr>
          <w:pgSz w:w="10920" w:h="13080"/>
          <w:pgMar w:header="0" w:footer="1025" w:top="420" w:bottom="1220" w:left="0" w:right="0"/>
        </w:sectPr>
      </w:pPr>
    </w:p>
    <w:p>
      <w:pPr>
        <w:pStyle w:val="BodyText"/>
        <w:rPr>
          <w:rFonts w:ascii="Trebuchet MS"/>
          <w:sz w:val="20"/>
        </w:rPr>
      </w:pPr>
    </w:p>
    <w:p>
      <w:pPr>
        <w:pStyle w:val="BodyText"/>
        <w:rPr>
          <w:rFonts w:ascii="Trebuchet MS"/>
          <w:sz w:val="20"/>
        </w:rPr>
      </w:pPr>
    </w:p>
    <w:p>
      <w:pPr>
        <w:pStyle w:val="BodyText"/>
        <w:spacing w:before="4"/>
        <w:rPr>
          <w:rFonts w:ascii="Trebuchet MS"/>
          <w:sz w:val="22"/>
        </w:rPr>
      </w:pPr>
    </w:p>
    <w:p>
      <w:pPr>
        <w:pStyle w:val="BodyText"/>
        <w:spacing w:line="249" w:lineRule="auto" w:before="73"/>
        <w:ind w:left="1270" w:right="1267"/>
        <w:jc w:val="both"/>
      </w:pPr>
      <w:r>
        <w:rPr>
          <w:color w:val="231F20"/>
        </w:rPr>
        <w:t>Además, el clima tiene impacto significativo en el crecimiento y desarrollo del cultivo de maíz. La mayor temperatura y el menor contenido de agua, generan un ambiente que afecta la disponibilidad de nitrógeno para los cultivos. </w:t>
      </w:r>
      <w:r>
        <w:rPr>
          <w:color w:val="231F20"/>
          <w:spacing w:val="-3"/>
        </w:rPr>
        <w:t>Tanto </w:t>
      </w:r>
      <w:r>
        <w:rPr>
          <w:color w:val="231F20"/>
        </w:rPr>
        <w:t>el agua como el nitrógeno debe estar bien provistos en canti- dad y oportunidad para asegurar un estado fisiológico óptimo al momento de la floración momento alrededor del cual se determina el rendimiento (Andrade </w:t>
      </w:r>
      <w:r>
        <w:rPr>
          <w:i/>
          <w:color w:val="231F20"/>
        </w:rPr>
        <w:t>et al.</w:t>
      </w:r>
      <w:r>
        <w:rPr>
          <w:color w:val="231F20"/>
        </w:rPr>
        <w:t>,1996). En regiones de clima cálido González (2011) encontró que con la aplicación de 60 kg N ha</w:t>
      </w:r>
      <w:r>
        <w:rPr>
          <w:color w:val="231F20"/>
          <w:position w:val="7"/>
          <w:sz w:val="12"/>
        </w:rPr>
        <w:t>-1</w:t>
      </w:r>
      <w:r>
        <w:rPr>
          <w:color w:val="231F20"/>
        </w:rPr>
        <w:t>, obtuvo la más alta producción de biomasa total, así como el rendimiento (5.9 t ha</w:t>
      </w:r>
      <w:r>
        <w:rPr>
          <w:color w:val="231F20"/>
          <w:position w:val="7"/>
          <w:sz w:val="12"/>
        </w:rPr>
        <w:t>-1</w:t>
      </w:r>
      <w:r>
        <w:rPr>
          <w:color w:val="231F20"/>
        </w:rPr>
        <w:t>). En clima templado Irizar (2003) encontró el mayor rendimiento (12 t ha</w:t>
      </w:r>
      <w:r>
        <w:rPr>
          <w:color w:val="231F20"/>
          <w:position w:val="7"/>
          <w:sz w:val="12"/>
        </w:rPr>
        <w:t>-1</w:t>
      </w:r>
      <w:r>
        <w:rPr>
          <w:color w:val="231F20"/>
        </w:rPr>
        <w:t>) con la aplicación de 140 kg N ha-1. Estas evidencias sugieren que mediante</w:t>
      </w:r>
      <w:r>
        <w:rPr>
          <w:color w:val="231F20"/>
          <w:spacing w:val="-10"/>
        </w:rPr>
        <w:t> </w:t>
      </w:r>
      <w:r>
        <w:rPr>
          <w:color w:val="231F20"/>
        </w:rPr>
        <w:t>el</w:t>
      </w:r>
      <w:r>
        <w:rPr>
          <w:color w:val="231F20"/>
          <w:spacing w:val="-9"/>
        </w:rPr>
        <w:t> </w:t>
      </w:r>
      <w:r>
        <w:rPr>
          <w:color w:val="231F20"/>
        </w:rPr>
        <w:t>manejo</w:t>
      </w:r>
      <w:r>
        <w:rPr>
          <w:color w:val="231F20"/>
          <w:spacing w:val="-9"/>
        </w:rPr>
        <w:t> </w:t>
      </w:r>
      <w:r>
        <w:rPr>
          <w:color w:val="231F20"/>
        </w:rPr>
        <w:t>del</w:t>
      </w:r>
      <w:r>
        <w:rPr>
          <w:color w:val="231F20"/>
          <w:spacing w:val="-9"/>
        </w:rPr>
        <w:t> </w:t>
      </w:r>
      <w:r>
        <w:rPr>
          <w:color w:val="231F20"/>
        </w:rPr>
        <w:t>nitrógeno</w:t>
      </w:r>
      <w:r>
        <w:rPr>
          <w:color w:val="231F20"/>
          <w:spacing w:val="-9"/>
        </w:rPr>
        <w:t> </w:t>
      </w:r>
      <w:r>
        <w:rPr>
          <w:color w:val="231F20"/>
        </w:rPr>
        <w:t>se</w:t>
      </w:r>
      <w:r>
        <w:rPr>
          <w:color w:val="231F20"/>
          <w:spacing w:val="-9"/>
        </w:rPr>
        <w:t> </w:t>
      </w:r>
      <w:r>
        <w:rPr>
          <w:color w:val="231F20"/>
        </w:rPr>
        <w:t>puede</w:t>
      </w:r>
      <w:r>
        <w:rPr>
          <w:color w:val="231F20"/>
          <w:spacing w:val="-9"/>
        </w:rPr>
        <w:t> </w:t>
      </w:r>
      <w:r>
        <w:rPr>
          <w:color w:val="231F20"/>
        </w:rPr>
        <w:t>lograr</w:t>
      </w:r>
      <w:r>
        <w:rPr>
          <w:color w:val="231F20"/>
          <w:spacing w:val="-9"/>
        </w:rPr>
        <w:t> </w:t>
      </w:r>
      <w:r>
        <w:rPr>
          <w:color w:val="231F20"/>
        </w:rPr>
        <w:t>un</w:t>
      </w:r>
      <w:r>
        <w:rPr>
          <w:color w:val="231F20"/>
          <w:spacing w:val="-9"/>
        </w:rPr>
        <w:t> </w:t>
      </w:r>
      <w:r>
        <w:rPr>
          <w:color w:val="231F20"/>
        </w:rPr>
        <w:t>uso</w:t>
      </w:r>
      <w:r>
        <w:rPr>
          <w:color w:val="231F20"/>
          <w:spacing w:val="-9"/>
        </w:rPr>
        <w:t> </w:t>
      </w:r>
      <w:r>
        <w:rPr>
          <w:color w:val="231F20"/>
        </w:rPr>
        <w:t>agronómico</w:t>
      </w:r>
      <w:r>
        <w:rPr>
          <w:color w:val="231F20"/>
          <w:spacing w:val="-9"/>
        </w:rPr>
        <w:t> </w:t>
      </w:r>
      <w:r>
        <w:rPr>
          <w:color w:val="231F20"/>
        </w:rPr>
        <w:t>más</w:t>
      </w:r>
      <w:r>
        <w:rPr>
          <w:color w:val="231F20"/>
          <w:spacing w:val="-9"/>
        </w:rPr>
        <w:t> </w:t>
      </w:r>
      <w:r>
        <w:rPr>
          <w:color w:val="231F20"/>
        </w:rPr>
        <w:t>eficiente</w:t>
      </w:r>
      <w:r>
        <w:rPr>
          <w:color w:val="231F20"/>
          <w:spacing w:val="-9"/>
        </w:rPr>
        <w:t> </w:t>
      </w:r>
      <w:r>
        <w:rPr>
          <w:color w:val="231F20"/>
        </w:rPr>
        <w:t>del</w:t>
      </w:r>
      <w:r>
        <w:rPr>
          <w:color w:val="231F20"/>
          <w:spacing w:val="-9"/>
        </w:rPr>
        <w:t> </w:t>
      </w:r>
      <w:r>
        <w:rPr>
          <w:color w:val="231F20"/>
        </w:rPr>
        <w:t>nitrógeno</w:t>
      </w:r>
      <w:r>
        <w:rPr>
          <w:color w:val="231F20"/>
          <w:spacing w:val="-9"/>
        </w:rPr>
        <w:t> </w:t>
      </w:r>
      <w:r>
        <w:rPr>
          <w:color w:val="231F20"/>
        </w:rPr>
        <w:t>dis- ponible</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suelo,</w:t>
      </w:r>
      <w:r>
        <w:rPr>
          <w:color w:val="231F20"/>
          <w:spacing w:val="-11"/>
        </w:rPr>
        <w:t> </w:t>
      </w:r>
      <w:r>
        <w:rPr>
          <w:color w:val="231F20"/>
        </w:rPr>
        <w:t>y</w:t>
      </w:r>
      <w:r>
        <w:rPr>
          <w:color w:val="231F20"/>
          <w:spacing w:val="-11"/>
        </w:rPr>
        <w:t> </w:t>
      </w:r>
      <w:r>
        <w:rPr>
          <w:color w:val="231F20"/>
        </w:rPr>
        <w:t>en</w:t>
      </w:r>
      <w:r>
        <w:rPr>
          <w:color w:val="231F20"/>
          <w:spacing w:val="-11"/>
        </w:rPr>
        <w:t> </w:t>
      </w:r>
      <w:r>
        <w:rPr>
          <w:color w:val="231F20"/>
        </w:rPr>
        <w:t>consecuencia</w:t>
      </w:r>
      <w:r>
        <w:rPr>
          <w:color w:val="231F20"/>
          <w:spacing w:val="-12"/>
        </w:rPr>
        <w:t> </w:t>
      </w:r>
      <w:r>
        <w:rPr>
          <w:color w:val="231F20"/>
        </w:rPr>
        <w:t>tener</w:t>
      </w:r>
      <w:r>
        <w:rPr>
          <w:color w:val="231F20"/>
          <w:spacing w:val="-11"/>
        </w:rPr>
        <w:t> </w:t>
      </w:r>
      <w:r>
        <w:rPr>
          <w:color w:val="231F20"/>
        </w:rPr>
        <w:t>una</w:t>
      </w:r>
      <w:r>
        <w:rPr>
          <w:color w:val="231F20"/>
          <w:spacing w:val="-11"/>
        </w:rPr>
        <w:t> </w:t>
      </w:r>
      <w:r>
        <w:rPr>
          <w:color w:val="231F20"/>
        </w:rPr>
        <w:t>mayor</w:t>
      </w:r>
      <w:r>
        <w:rPr>
          <w:color w:val="231F20"/>
          <w:spacing w:val="-11"/>
        </w:rPr>
        <w:t> </w:t>
      </w:r>
      <w:r>
        <w:rPr>
          <w:color w:val="231F20"/>
        </w:rPr>
        <w:t>producción</w:t>
      </w:r>
      <w:r>
        <w:rPr>
          <w:color w:val="231F20"/>
          <w:spacing w:val="-11"/>
        </w:rPr>
        <w:t> </w:t>
      </w:r>
      <w:r>
        <w:rPr>
          <w:color w:val="231F20"/>
        </w:rPr>
        <w:t>de</w:t>
      </w:r>
      <w:r>
        <w:rPr>
          <w:color w:val="231F20"/>
          <w:spacing w:val="-11"/>
        </w:rPr>
        <w:t> </w:t>
      </w:r>
      <w:r>
        <w:rPr>
          <w:color w:val="231F20"/>
        </w:rPr>
        <w:t>biomasa</w:t>
      </w:r>
      <w:r>
        <w:rPr>
          <w:color w:val="231F20"/>
          <w:spacing w:val="-11"/>
        </w:rPr>
        <w:t> </w:t>
      </w:r>
      <w:r>
        <w:rPr>
          <w:color w:val="231F20"/>
        </w:rPr>
        <w:t>total</w:t>
      </w:r>
      <w:r>
        <w:rPr>
          <w:color w:val="231F20"/>
          <w:spacing w:val="-11"/>
        </w:rPr>
        <w:t> </w:t>
      </w:r>
      <w:r>
        <w:rPr>
          <w:color w:val="231F20"/>
        </w:rPr>
        <w:t>y</w:t>
      </w:r>
      <w:r>
        <w:rPr>
          <w:color w:val="231F20"/>
          <w:spacing w:val="-11"/>
        </w:rPr>
        <w:t> </w:t>
      </w:r>
      <w:r>
        <w:rPr>
          <w:color w:val="231F20"/>
        </w:rPr>
        <w:t>rendimiento</w:t>
      </w:r>
      <w:r>
        <w:rPr>
          <w:color w:val="231F20"/>
          <w:spacing w:val="-11"/>
        </w:rPr>
        <w:t> </w:t>
      </w:r>
      <w:r>
        <w:rPr>
          <w:color w:val="231F20"/>
        </w:rPr>
        <w:t>de grano.</w:t>
      </w:r>
      <w:r>
        <w:rPr>
          <w:color w:val="231F20"/>
          <w:spacing w:val="-6"/>
        </w:rPr>
        <w:t> </w:t>
      </w:r>
      <w:r>
        <w:rPr>
          <w:color w:val="231F20"/>
        </w:rPr>
        <w:t>El</w:t>
      </w:r>
      <w:r>
        <w:rPr>
          <w:color w:val="231F20"/>
          <w:spacing w:val="-7"/>
        </w:rPr>
        <w:t> </w:t>
      </w:r>
      <w:r>
        <w:rPr>
          <w:color w:val="231F20"/>
        </w:rPr>
        <w:t>objetivo</w:t>
      </w:r>
      <w:r>
        <w:rPr>
          <w:color w:val="231F20"/>
          <w:spacing w:val="-7"/>
        </w:rPr>
        <w:t> </w:t>
      </w:r>
      <w:r>
        <w:rPr>
          <w:color w:val="231F20"/>
        </w:rPr>
        <w:t>del</w:t>
      </w:r>
      <w:r>
        <w:rPr>
          <w:color w:val="231F20"/>
          <w:spacing w:val="-6"/>
        </w:rPr>
        <w:t> </w:t>
      </w:r>
      <w:r>
        <w:rPr>
          <w:color w:val="231F20"/>
        </w:rPr>
        <w:t>presente</w:t>
      </w:r>
      <w:r>
        <w:rPr>
          <w:color w:val="231F20"/>
          <w:spacing w:val="-6"/>
        </w:rPr>
        <w:t> </w:t>
      </w:r>
      <w:r>
        <w:rPr>
          <w:color w:val="231F20"/>
        </w:rPr>
        <w:t>estudio</w:t>
      </w:r>
      <w:r>
        <w:rPr>
          <w:color w:val="231F20"/>
          <w:spacing w:val="-7"/>
        </w:rPr>
        <w:t> </w:t>
      </w:r>
      <w:r>
        <w:rPr>
          <w:color w:val="231F20"/>
        </w:rPr>
        <w:t>es</w:t>
      </w:r>
      <w:r>
        <w:rPr>
          <w:color w:val="231F20"/>
          <w:spacing w:val="-7"/>
        </w:rPr>
        <w:t> </w:t>
      </w:r>
      <w:r>
        <w:rPr>
          <w:color w:val="231F20"/>
        </w:rPr>
        <w:t>determinar</w:t>
      </w:r>
      <w:r>
        <w:rPr>
          <w:color w:val="231F20"/>
          <w:spacing w:val="-6"/>
        </w:rPr>
        <w:t> </w:t>
      </w:r>
      <w:r>
        <w:rPr>
          <w:color w:val="231F20"/>
        </w:rPr>
        <w:t>la</w:t>
      </w:r>
      <w:r>
        <w:rPr>
          <w:color w:val="231F20"/>
          <w:spacing w:val="-7"/>
        </w:rPr>
        <w:t> </w:t>
      </w:r>
      <w:r>
        <w:rPr>
          <w:color w:val="231F20"/>
        </w:rPr>
        <w:t>biomasa</w:t>
      </w:r>
      <w:r>
        <w:rPr>
          <w:color w:val="231F20"/>
          <w:spacing w:val="-6"/>
        </w:rPr>
        <w:t> </w:t>
      </w:r>
      <w:r>
        <w:rPr>
          <w:color w:val="231F20"/>
        </w:rPr>
        <w:t>total,</w:t>
      </w:r>
      <w:r>
        <w:rPr>
          <w:color w:val="231F20"/>
          <w:spacing w:val="-7"/>
        </w:rPr>
        <w:t> </w:t>
      </w:r>
      <w:r>
        <w:rPr>
          <w:color w:val="231F20"/>
        </w:rPr>
        <w:t>componentes</w:t>
      </w:r>
      <w:r>
        <w:rPr>
          <w:color w:val="231F20"/>
          <w:spacing w:val="-7"/>
        </w:rPr>
        <w:t> </w:t>
      </w:r>
      <w:r>
        <w:rPr>
          <w:color w:val="231F20"/>
        </w:rPr>
        <w:t>del</w:t>
      </w:r>
      <w:r>
        <w:rPr>
          <w:color w:val="231F20"/>
          <w:spacing w:val="-6"/>
        </w:rPr>
        <w:t> </w:t>
      </w:r>
      <w:r>
        <w:rPr>
          <w:color w:val="231F20"/>
        </w:rPr>
        <w:t>rendimiento, e índice de cosecha en genotipos de maíz criollo y mejorado, en función de la dosis de fertilización nitrogenada en clima cálido durante la siembra de</w:t>
      </w:r>
      <w:r>
        <w:rPr>
          <w:color w:val="231F20"/>
          <w:spacing w:val="-9"/>
        </w:rPr>
        <w:t> </w:t>
      </w:r>
      <w:r>
        <w:rPr>
          <w:color w:val="231F20"/>
        </w:rPr>
        <w:t>temporal.</w:t>
      </w:r>
    </w:p>
    <w:p>
      <w:pPr>
        <w:pStyle w:val="BodyText"/>
        <w:spacing w:before="6"/>
        <w:rPr>
          <w:sz w:val="22"/>
        </w:rPr>
      </w:pPr>
    </w:p>
    <w:p>
      <w:pPr>
        <w:pStyle w:val="Heading3"/>
      </w:pPr>
      <w:r>
        <w:rPr>
          <w:color w:val="010202"/>
        </w:rPr>
        <w:t>Materiales y métodos</w:t>
      </w:r>
    </w:p>
    <w:p>
      <w:pPr>
        <w:pStyle w:val="BodyText"/>
        <w:spacing w:before="10"/>
        <w:rPr>
          <w:b/>
        </w:rPr>
      </w:pPr>
    </w:p>
    <w:p>
      <w:pPr>
        <w:pStyle w:val="BodyText"/>
        <w:spacing w:line="249" w:lineRule="auto"/>
        <w:ind w:left="1270" w:right="1268"/>
        <w:jc w:val="both"/>
      </w:pPr>
      <w:r>
        <w:rPr>
          <w:color w:val="231F20"/>
        </w:rPr>
        <w:t>El</w:t>
      </w:r>
      <w:r>
        <w:rPr>
          <w:color w:val="231F20"/>
          <w:spacing w:val="-4"/>
        </w:rPr>
        <w:t> </w:t>
      </w:r>
      <w:r>
        <w:rPr>
          <w:color w:val="231F20"/>
        </w:rPr>
        <w:t>presente</w:t>
      </w:r>
      <w:r>
        <w:rPr>
          <w:color w:val="231F20"/>
          <w:spacing w:val="-4"/>
        </w:rPr>
        <w:t> </w:t>
      </w:r>
      <w:r>
        <w:rPr>
          <w:color w:val="231F20"/>
        </w:rPr>
        <w:t>estudio</w:t>
      </w:r>
      <w:r>
        <w:rPr>
          <w:color w:val="231F20"/>
          <w:spacing w:val="-4"/>
        </w:rPr>
        <w:t> </w:t>
      </w:r>
      <w:r>
        <w:rPr>
          <w:color w:val="231F20"/>
        </w:rPr>
        <w:t>se</w:t>
      </w:r>
      <w:r>
        <w:rPr>
          <w:color w:val="231F20"/>
          <w:spacing w:val="-4"/>
        </w:rPr>
        <w:t> </w:t>
      </w:r>
      <w:r>
        <w:rPr>
          <w:color w:val="231F20"/>
        </w:rPr>
        <w:t>realizó</w:t>
      </w:r>
      <w:r>
        <w:rPr>
          <w:color w:val="231F20"/>
          <w:spacing w:val="-4"/>
        </w:rPr>
        <w:t> </w:t>
      </w:r>
      <w:r>
        <w:rPr>
          <w:color w:val="231F20"/>
        </w:rPr>
        <w:t>durante</w:t>
      </w:r>
      <w:r>
        <w:rPr>
          <w:color w:val="231F20"/>
          <w:spacing w:val="-4"/>
        </w:rPr>
        <w:t> </w:t>
      </w:r>
      <w:r>
        <w:rPr>
          <w:color w:val="231F20"/>
        </w:rPr>
        <w:t>el</w:t>
      </w:r>
      <w:r>
        <w:rPr>
          <w:color w:val="231F20"/>
          <w:spacing w:val="-4"/>
        </w:rPr>
        <w:t> </w:t>
      </w:r>
      <w:r>
        <w:rPr>
          <w:color w:val="231F20"/>
        </w:rPr>
        <w:t>2011</w:t>
      </w:r>
      <w:r>
        <w:rPr>
          <w:color w:val="231F20"/>
          <w:spacing w:val="-4"/>
        </w:rPr>
        <w:t> </w:t>
      </w:r>
      <w:r>
        <w:rPr>
          <w:color w:val="231F20"/>
        </w:rPr>
        <w:t>en</w:t>
      </w:r>
      <w:r>
        <w:rPr>
          <w:color w:val="231F20"/>
          <w:spacing w:val="-4"/>
        </w:rPr>
        <w:t> </w:t>
      </w:r>
      <w:r>
        <w:rPr>
          <w:color w:val="231F20"/>
        </w:rPr>
        <w:t>Iguala,</w:t>
      </w:r>
      <w:r>
        <w:rPr>
          <w:color w:val="231F20"/>
          <w:spacing w:val="-4"/>
        </w:rPr>
        <w:t> </w:t>
      </w:r>
      <w:r>
        <w:rPr>
          <w:color w:val="231F20"/>
        </w:rPr>
        <w:t>Gro.</w:t>
      </w:r>
      <w:r>
        <w:rPr>
          <w:color w:val="231F20"/>
          <w:spacing w:val="-4"/>
        </w:rPr>
        <w:t> </w:t>
      </w:r>
      <w:r>
        <w:rPr>
          <w:color w:val="231F20"/>
        </w:rPr>
        <w:t>El</w:t>
      </w:r>
      <w:r>
        <w:rPr>
          <w:color w:val="231F20"/>
          <w:spacing w:val="-4"/>
        </w:rPr>
        <w:t> </w:t>
      </w:r>
      <w:r>
        <w:rPr>
          <w:color w:val="231F20"/>
        </w:rPr>
        <w:t>clima</w:t>
      </w:r>
      <w:r>
        <w:rPr>
          <w:color w:val="231F20"/>
          <w:spacing w:val="-4"/>
        </w:rPr>
        <w:t> </w:t>
      </w:r>
      <w:r>
        <w:rPr>
          <w:color w:val="231F20"/>
        </w:rPr>
        <w:t>es</w:t>
      </w:r>
      <w:r>
        <w:rPr>
          <w:color w:val="231F20"/>
          <w:spacing w:val="-16"/>
        </w:rPr>
        <w:t> </w:t>
      </w:r>
      <w:r>
        <w:rPr>
          <w:color w:val="231F20"/>
          <w:spacing w:val="-6"/>
        </w:rPr>
        <w:t>Aw0,</w:t>
      </w:r>
      <w:r>
        <w:rPr>
          <w:color w:val="231F20"/>
          <w:spacing w:val="-4"/>
        </w:rPr>
        <w:t> </w:t>
      </w:r>
      <w:r>
        <w:rPr>
          <w:color w:val="231F20"/>
        </w:rPr>
        <w:t>que</w:t>
      </w:r>
      <w:r>
        <w:rPr>
          <w:color w:val="231F20"/>
          <w:spacing w:val="-4"/>
        </w:rPr>
        <w:t> </w:t>
      </w:r>
      <w:r>
        <w:rPr>
          <w:color w:val="231F20"/>
        </w:rPr>
        <w:t>corresponde</w:t>
      </w:r>
      <w:r>
        <w:rPr>
          <w:color w:val="231F20"/>
          <w:spacing w:val="-5"/>
        </w:rPr>
        <w:t> </w:t>
      </w:r>
      <w:r>
        <w:rPr>
          <w:color w:val="231F20"/>
        </w:rPr>
        <w:t>a</w:t>
      </w:r>
      <w:r>
        <w:rPr>
          <w:color w:val="231F20"/>
          <w:spacing w:val="-4"/>
        </w:rPr>
        <w:t> </w:t>
      </w:r>
      <w:r>
        <w:rPr>
          <w:color w:val="231F20"/>
        </w:rPr>
        <w:t>un clima cálido subhúmedo con lluvias en verano, con un promedio anual de temperatura de 26.4 °C, una</w:t>
      </w:r>
      <w:r>
        <w:rPr>
          <w:color w:val="231F20"/>
          <w:spacing w:val="-6"/>
        </w:rPr>
        <w:t> </w:t>
      </w:r>
      <w:r>
        <w:rPr>
          <w:color w:val="231F20"/>
        </w:rPr>
        <w:t>media</w:t>
      </w:r>
      <w:r>
        <w:rPr>
          <w:color w:val="231F20"/>
          <w:spacing w:val="-6"/>
        </w:rPr>
        <w:t> </w:t>
      </w:r>
      <w:r>
        <w:rPr>
          <w:color w:val="231F20"/>
        </w:rPr>
        <w:t>del</w:t>
      </w:r>
      <w:r>
        <w:rPr>
          <w:color w:val="231F20"/>
          <w:spacing w:val="-6"/>
        </w:rPr>
        <w:t> </w:t>
      </w:r>
      <w:r>
        <w:rPr>
          <w:color w:val="231F20"/>
        </w:rPr>
        <w:t>mes</w:t>
      </w:r>
      <w:r>
        <w:rPr>
          <w:color w:val="231F20"/>
          <w:spacing w:val="-6"/>
        </w:rPr>
        <w:t> </w:t>
      </w:r>
      <w:r>
        <w:rPr>
          <w:color w:val="231F20"/>
        </w:rPr>
        <w:t>más</w:t>
      </w:r>
      <w:r>
        <w:rPr>
          <w:color w:val="231F20"/>
          <w:spacing w:val="-6"/>
        </w:rPr>
        <w:t> </w:t>
      </w:r>
      <w:r>
        <w:rPr>
          <w:color w:val="231F20"/>
        </w:rPr>
        <w:t>frío</w:t>
      </w:r>
      <w:r>
        <w:rPr>
          <w:color w:val="231F20"/>
          <w:spacing w:val="-6"/>
        </w:rPr>
        <w:t> </w:t>
      </w:r>
      <w:r>
        <w:rPr>
          <w:color w:val="231F20"/>
        </w:rPr>
        <w:t>(diciembre)</w:t>
      </w:r>
      <w:r>
        <w:rPr>
          <w:color w:val="231F20"/>
          <w:spacing w:val="-6"/>
        </w:rPr>
        <w:t> </w:t>
      </w:r>
      <w:r>
        <w:rPr>
          <w:color w:val="231F20"/>
        </w:rPr>
        <w:t>de</w:t>
      </w:r>
      <w:r>
        <w:rPr>
          <w:color w:val="231F20"/>
          <w:spacing w:val="-6"/>
        </w:rPr>
        <w:t> </w:t>
      </w:r>
      <w:r>
        <w:rPr>
          <w:color w:val="231F20"/>
        </w:rPr>
        <w:t>23.4</w:t>
      </w:r>
      <w:r>
        <w:rPr>
          <w:color w:val="231F20"/>
          <w:spacing w:val="-6"/>
        </w:rPr>
        <w:t> </w:t>
      </w:r>
      <w:r>
        <w:rPr>
          <w:color w:val="231F20"/>
        </w:rPr>
        <w:t>°C.</w:t>
      </w:r>
      <w:r>
        <w:rPr>
          <w:color w:val="231F20"/>
          <w:spacing w:val="-6"/>
        </w:rPr>
        <w:t> </w:t>
      </w:r>
      <w:r>
        <w:rPr>
          <w:color w:val="231F20"/>
        </w:rPr>
        <w:t>La</w:t>
      </w:r>
      <w:r>
        <w:rPr>
          <w:color w:val="231F20"/>
          <w:spacing w:val="-6"/>
        </w:rPr>
        <w:t> </w:t>
      </w:r>
      <w:r>
        <w:rPr>
          <w:color w:val="231F20"/>
        </w:rPr>
        <w:t>precipitación</w:t>
      </w:r>
      <w:r>
        <w:rPr>
          <w:color w:val="231F20"/>
          <w:spacing w:val="-6"/>
        </w:rPr>
        <w:t> </w:t>
      </w:r>
      <w:r>
        <w:rPr>
          <w:color w:val="231F20"/>
        </w:rPr>
        <w:t>promedio</w:t>
      </w:r>
      <w:r>
        <w:rPr>
          <w:color w:val="231F20"/>
          <w:spacing w:val="-6"/>
        </w:rPr>
        <w:t> </w:t>
      </w:r>
      <w:r>
        <w:rPr>
          <w:color w:val="231F20"/>
        </w:rPr>
        <w:t>anual</w:t>
      </w:r>
      <w:r>
        <w:rPr>
          <w:color w:val="231F20"/>
          <w:spacing w:val="-6"/>
        </w:rPr>
        <w:t> </w:t>
      </w:r>
      <w:r>
        <w:rPr>
          <w:color w:val="231F20"/>
        </w:rPr>
        <w:t>es</w:t>
      </w:r>
      <w:r>
        <w:rPr>
          <w:color w:val="231F20"/>
          <w:spacing w:val="-6"/>
        </w:rPr>
        <w:t> </w:t>
      </w:r>
      <w:r>
        <w:rPr>
          <w:color w:val="231F20"/>
        </w:rPr>
        <w:t>de</w:t>
      </w:r>
      <w:r>
        <w:rPr>
          <w:color w:val="231F20"/>
          <w:spacing w:val="-6"/>
        </w:rPr>
        <w:t> </w:t>
      </w:r>
      <w:r>
        <w:rPr>
          <w:color w:val="231F20"/>
        </w:rPr>
        <w:t>1100</w:t>
      </w:r>
      <w:r>
        <w:rPr>
          <w:color w:val="231F20"/>
          <w:spacing w:val="-6"/>
        </w:rPr>
        <w:t> </w:t>
      </w:r>
      <w:r>
        <w:rPr>
          <w:color w:val="231F20"/>
        </w:rPr>
        <w:t>mm (García, 2005). La altitud es de 635 m. Los tratamientos consistieron en la siembra de: a) Un maíz criollo</w:t>
      </w:r>
      <w:r>
        <w:rPr>
          <w:color w:val="231F20"/>
          <w:spacing w:val="-6"/>
        </w:rPr>
        <w:t> </w:t>
      </w:r>
      <w:r>
        <w:rPr>
          <w:color w:val="231F20"/>
          <w:spacing w:val="-3"/>
        </w:rPr>
        <w:t>(Vandeño)</w:t>
      </w:r>
      <w:r>
        <w:rPr>
          <w:color w:val="231F20"/>
          <w:spacing w:val="-5"/>
        </w:rPr>
        <w:t> </w:t>
      </w:r>
      <w:r>
        <w:rPr>
          <w:color w:val="231F20"/>
        </w:rPr>
        <w:t>de</w:t>
      </w:r>
      <w:r>
        <w:rPr>
          <w:color w:val="231F20"/>
          <w:spacing w:val="-5"/>
        </w:rPr>
        <w:t> </w:t>
      </w:r>
      <w:r>
        <w:rPr>
          <w:color w:val="231F20"/>
        </w:rPr>
        <w:t>una</w:t>
      </w:r>
      <w:r>
        <w:rPr>
          <w:color w:val="231F20"/>
          <w:spacing w:val="-5"/>
        </w:rPr>
        <w:t> </w:t>
      </w:r>
      <w:r>
        <w:rPr>
          <w:color w:val="231F20"/>
        </w:rPr>
        <w:t>altura</w:t>
      </w:r>
      <w:r>
        <w:rPr>
          <w:color w:val="231F20"/>
          <w:spacing w:val="-6"/>
        </w:rPr>
        <w:t> </w:t>
      </w:r>
      <w:r>
        <w:rPr>
          <w:color w:val="231F20"/>
        </w:rPr>
        <w:t>de</w:t>
      </w:r>
      <w:r>
        <w:rPr>
          <w:color w:val="231F20"/>
          <w:spacing w:val="-5"/>
        </w:rPr>
        <w:t> </w:t>
      </w:r>
      <w:r>
        <w:rPr>
          <w:color w:val="231F20"/>
        </w:rPr>
        <w:t>2.5</w:t>
      </w:r>
      <w:r>
        <w:rPr>
          <w:color w:val="231F20"/>
          <w:spacing w:val="-5"/>
        </w:rPr>
        <w:t> </w:t>
      </w:r>
      <w:r>
        <w:rPr>
          <w:color w:val="231F20"/>
        </w:rPr>
        <w:t>a</w:t>
      </w:r>
      <w:r>
        <w:rPr>
          <w:color w:val="231F20"/>
          <w:spacing w:val="-5"/>
        </w:rPr>
        <w:t> </w:t>
      </w:r>
      <w:r>
        <w:rPr>
          <w:color w:val="231F20"/>
        </w:rPr>
        <w:t>3</w:t>
      </w:r>
      <w:r>
        <w:rPr>
          <w:color w:val="231F20"/>
          <w:spacing w:val="-5"/>
        </w:rPr>
        <w:t> </w:t>
      </w:r>
      <w:r>
        <w:rPr>
          <w:color w:val="231F20"/>
        </w:rPr>
        <w:t>m,</w:t>
      </w:r>
      <w:r>
        <w:rPr>
          <w:color w:val="231F20"/>
          <w:spacing w:val="-5"/>
        </w:rPr>
        <w:t> </w:t>
      </w:r>
      <w:r>
        <w:rPr>
          <w:color w:val="231F20"/>
        </w:rPr>
        <w:t>periodo</w:t>
      </w:r>
      <w:r>
        <w:rPr>
          <w:color w:val="231F20"/>
          <w:spacing w:val="-5"/>
        </w:rPr>
        <w:t> </w:t>
      </w:r>
      <w:r>
        <w:rPr>
          <w:color w:val="231F20"/>
        </w:rPr>
        <w:t>de</w:t>
      </w:r>
      <w:r>
        <w:rPr>
          <w:color w:val="231F20"/>
          <w:spacing w:val="-5"/>
        </w:rPr>
        <w:t> </w:t>
      </w:r>
      <w:r>
        <w:rPr>
          <w:color w:val="231F20"/>
        </w:rPr>
        <w:t>floración</w:t>
      </w:r>
      <w:r>
        <w:rPr>
          <w:color w:val="231F20"/>
          <w:spacing w:val="-5"/>
        </w:rPr>
        <w:t> </w:t>
      </w:r>
      <w:r>
        <w:rPr>
          <w:color w:val="231F20"/>
        </w:rPr>
        <w:t>de</w:t>
      </w:r>
      <w:r>
        <w:rPr>
          <w:color w:val="231F20"/>
          <w:spacing w:val="-5"/>
        </w:rPr>
        <w:t> </w:t>
      </w:r>
      <w:r>
        <w:rPr>
          <w:color w:val="231F20"/>
        </w:rPr>
        <w:t>74</w:t>
      </w:r>
      <w:r>
        <w:rPr>
          <w:color w:val="231F20"/>
          <w:spacing w:val="-5"/>
        </w:rPr>
        <w:t> </w:t>
      </w:r>
      <w:r>
        <w:rPr>
          <w:color w:val="231F20"/>
        </w:rPr>
        <w:t>días</w:t>
      </w:r>
      <w:r>
        <w:rPr>
          <w:color w:val="231F20"/>
          <w:spacing w:val="-5"/>
        </w:rPr>
        <w:t> </w:t>
      </w:r>
      <w:r>
        <w:rPr>
          <w:color w:val="231F20"/>
        </w:rPr>
        <w:t>(intermedio</w:t>
      </w:r>
      <w:r>
        <w:rPr>
          <w:color w:val="231F20"/>
          <w:spacing w:val="-6"/>
        </w:rPr>
        <w:t> </w:t>
      </w:r>
      <w:r>
        <w:rPr>
          <w:color w:val="231F20"/>
        </w:rPr>
        <w:t>tardío).</w:t>
      </w:r>
      <w:r>
        <w:rPr>
          <w:color w:val="231F20"/>
          <w:spacing w:val="-5"/>
        </w:rPr>
        <w:t> </w:t>
      </w:r>
      <w:r>
        <w:rPr>
          <w:color w:val="231F20"/>
        </w:rPr>
        <w:t>Las mazorcas</w:t>
      </w:r>
      <w:r>
        <w:rPr>
          <w:color w:val="231F20"/>
          <w:spacing w:val="-7"/>
        </w:rPr>
        <w:t> </w:t>
      </w:r>
      <w:r>
        <w:rPr>
          <w:color w:val="231F20"/>
        </w:rPr>
        <w:t>son</w:t>
      </w:r>
      <w:r>
        <w:rPr>
          <w:color w:val="231F20"/>
          <w:spacing w:val="-7"/>
        </w:rPr>
        <w:t> </w:t>
      </w:r>
      <w:r>
        <w:rPr>
          <w:color w:val="231F20"/>
        </w:rPr>
        <w:t>cortas</w:t>
      </w:r>
      <w:r>
        <w:rPr>
          <w:color w:val="231F20"/>
          <w:spacing w:val="-7"/>
        </w:rPr>
        <w:t> </w:t>
      </w:r>
      <w:r>
        <w:rPr>
          <w:color w:val="231F20"/>
        </w:rPr>
        <w:t>y</w:t>
      </w:r>
      <w:r>
        <w:rPr>
          <w:color w:val="231F20"/>
          <w:spacing w:val="-7"/>
        </w:rPr>
        <w:t> </w:t>
      </w:r>
      <w:r>
        <w:rPr>
          <w:color w:val="231F20"/>
        </w:rPr>
        <w:t>gruesas,</w:t>
      </w:r>
      <w:r>
        <w:rPr>
          <w:color w:val="231F20"/>
          <w:spacing w:val="-7"/>
        </w:rPr>
        <w:t> </w:t>
      </w:r>
      <w:r>
        <w:rPr>
          <w:color w:val="231F20"/>
        </w:rPr>
        <w:t>cilíndricas</w:t>
      </w:r>
      <w:r>
        <w:rPr>
          <w:color w:val="231F20"/>
          <w:spacing w:val="-7"/>
        </w:rPr>
        <w:t> </w:t>
      </w:r>
      <w:r>
        <w:rPr>
          <w:color w:val="231F20"/>
        </w:rPr>
        <w:t>con</w:t>
      </w:r>
      <w:r>
        <w:rPr>
          <w:color w:val="231F20"/>
          <w:spacing w:val="-7"/>
        </w:rPr>
        <w:t> </w:t>
      </w:r>
      <w:r>
        <w:rPr>
          <w:color w:val="231F20"/>
        </w:rPr>
        <w:t>adelgazamiento</w:t>
      </w:r>
      <w:r>
        <w:rPr>
          <w:color w:val="231F20"/>
          <w:spacing w:val="-7"/>
        </w:rPr>
        <w:t> </w:t>
      </w:r>
      <w:r>
        <w:rPr>
          <w:color w:val="231F20"/>
        </w:rPr>
        <w:t>hacia</w:t>
      </w:r>
      <w:r>
        <w:rPr>
          <w:color w:val="231F20"/>
          <w:spacing w:val="-7"/>
        </w:rPr>
        <w:t> </w:t>
      </w:r>
      <w:r>
        <w:rPr>
          <w:color w:val="231F20"/>
        </w:rPr>
        <w:t>el</w:t>
      </w:r>
      <w:r>
        <w:rPr>
          <w:color w:val="231F20"/>
          <w:spacing w:val="-7"/>
        </w:rPr>
        <w:t> </w:t>
      </w:r>
      <w:r>
        <w:rPr>
          <w:color w:val="231F20"/>
        </w:rPr>
        <w:t>ápice;</w:t>
      </w:r>
      <w:r>
        <w:rPr>
          <w:color w:val="231F20"/>
          <w:spacing w:val="-7"/>
        </w:rPr>
        <w:t> </w:t>
      </w:r>
      <w:r>
        <w:rPr>
          <w:color w:val="231F20"/>
        </w:rPr>
        <w:t>el</w:t>
      </w:r>
      <w:r>
        <w:rPr>
          <w:color w:val="231F20"/>
          <w:spacing w:val="-7"/>
        </w:rPr>
        <w:t> </w:t>
      </w:r>
      <w:r>
        <w:rPr>
          <w:color w:val="231F20"/>
        </w:rPr>
        <w:t>número</w:t>
      </w:r>
      <w:r>
        <w:rPr>
          <w:color w:val="231F20"/>
          <w:spacing w:val="-7"/>
        </w:rPr>
        <w:t> </w:t>
      </w:r>
      <w:r>
        <w:rPr>
          <w:color w:val="231F20"/>
        </w:rPr>
        <w:t>de</w:t>
      </w:r>
      <w:r>
        <w:rPr>
          <w:color w:val="231F20"/>
          <w:spacing w:val="-7"/>
        </w:rPr>
        <w:t> </w:t>
      </w:r>
      <w:r>
        <w:rPr>
          <w:color w:val="231F20"/>
        </w:rPr>
        <w:t>hileras</w:t>
      </w:r>
      <w:r>
        <w:rPr>
          <w:color w:val="231F20"/>
          <w:spacing w:val="-7"/>
        </w:rPr>
        <w:t> </w:t>
      </w:r>
      <w:r>
        <w:rPr>
          <w:color w:val="231F20"/>
        </w:rPr>
        <w:t>es de 13; y b) la variedad sintética (VS-535), generado mediante mejoramiento genético</w:t>
      </w:r>
      <w:r>
        <w:rPr>
          <w:color w:val="231F20"/>
          <w:spacing w:val="-11"/>
        </w:rPr>
        <w:t> </w:t>
      </w:r>
      <w:r>
        <w:rPr>
          <w:color w:val="231F20"/>
        </w:rPr>
        <w:t>convencional, se estima una producción de hasta 7 t ha</w:t>
      </w:r>
      <w:r>
        <w:rPr>
          <w:color w:val="231F20"/>
          <w:position w:val="7"/>
          <w:sz w:val="12"/>
        </w:rPr>
        <w:t>-1</w:t>
      </w:r>
      <w:r>
        <w:rPr>
          <w:color w:val="231F20"/>
        </w:rPr>
        <w:t>. Presenta una mazorca grande y uniforme. La altura de   la planta de la planta es de 2.8 a 3 m. La floración es desde los 55 a 60 días (precoz). Los genotipos antes mencionados se sembraron en julio (siembra de temporal) del</w:t>
      </w:r>
      <w:r>
        <w:rPr>
          <w:color w:val="231F20"/>
          <w:spacing w:val="-23"/>
        </w:rPr>
        <w:t> </w:t>
      </w:r>
      <w:r>
        <w:rPr>
          <w:color w:val="231F20"/>
        </w:rPr>
        <w:t>2011.</w:t>
      </w:r>
    </w:p>
    <w:p>
      <w:pPr>
        <w:pStyle w:val="BodyText"/>
        <w:spacing w:before="7"/>
      </w:pPr>
    </w:p>
    <w:p>
      <w:pPr>
        <w:pStyle w:val="BodyText"/>
        <w:spacing w:line="249" w:lineRule="auto"/>
        <w:ind w:left="1270" w:right="1256"/>
        <w:jc w:val="both"/>
      </w:pPr>
      <w:r>
        <w:rPr>
          <w:color w:val="231F20"/>
        </w:rPr>
        <w:t>En este estudio se utilizó la urea (concentración del 46 %) como fuente de nitrógeno, para la aplica- ción de 3 dosis 0, 80, 160 kg N ha</w:t>
      </w:r>
      <w:r>
        <w:rPr>
          <w:color w:val="231F20"/>
          <w:position w:val="7"/>
          <w:sz w:val="12"/>
        </w:rPr>
        <w:t>-1</w:t>
      </w:r>
      <w:r>
        <w:rPr>
          <w:color w:val="231F20"/>
        </w:rPr>
        <w:t>, la aplicación de estas dosis se realizó de forma fraccionada en dos</w:t>
      </w:r>
      <w:r>
        <w:rPr>
          <w:color w:val="231F20"/>
          <w:spacing w:val="-3"/>
        </w:rPr>
        <w:t> </w:t>
      </w:r>
      <w:r>
        <w:rPr>
          <w:color w:val="231F20"/>
        </w:rPr>
        <w:t>partes,</w:t>
      </w:r>
      <w:r>
        <w:rPr>
          <w:color w:val="231F20"/>
          <w:spacing w:val="-3"/>
        </w:rPr>
        <w:t> </w:t>
      </w:r>
      <w:r>
        <w:rPr>
          <w:color w:val="231F20"/>
        </w:rPr>
        <w:t>la</w:t>
      </w:r>
      <w:r>
        <w:rPr>
          <w:color w:val="231F20"/>
          <w:spacing w:val="-3"/>
        </w:rPr>
        <w:t> </w:t>
      </w:r>
      <w:r>
        <w:rPr>
          <w:color w:val="231F20"/>
        </w:rPr>
        <w:t>primera</w:t>
      </w:r>
      <w:r>
        <w:rPr>
          <w:color w:val="231F20"/>
          <w:spacing w:val="-3"/>
        </w:rPr>
        <w:t> </w:t>
      </w:r>
      <w:r>
        <w:rPr>
          <w:color w:val="231F20"/>
        </w:rPr>
        <w:t>al</w:t>
      </w:r>
      <w:r>
        <w:rPr>
          <w:color w:val="231F20"/>
          <w:spacing w:val="-3"/>
        </w:rPr>
        <w:t> </w:t>
      </w:r>
      <w:r>
        <w:rPr>
          <w:color w:val="231F20"/>
        </w:rPr>
        <w:t>momento</w:t>
      </w:r>
      <w:r>
        <w:rPr>
          <w:color w:val="231F20"/>
          <w:spacing w:val="-3"/>
        </w:rPr>
        <w:t> </w:t>
      </w:r>
      <w:r>
        <w:rPr>
          <w:color w:val="231F20"/>
        </w:rPr>
        <w:t>de</w:t>
      </w:r>
      <w:r>
        <w:rPr>
          <w:color w:val="231F20"/>
          <w:spacing w:val="-3"/>
        </w:rPr>
        <w:t> </w:t>
      </w:r>
      <w:r>
        <w:rPr>
          <w:color w:val="231F20"/>
        </w:rPr>
        <w:t>la</w:t>
      </w:r>
      <w:r>
        <w:rPr>
          <w:color w:val="231F20"/>
          <w:spacing w:val="-3"/>
        </w:rPr>
        <w:t> </w:t>
      </w:r>
      <w:r>
        <w:rPr>
          <w:color w:val="231F20"/>
        </w:rPr>
        <w:t>siembra</w:t>
      </w:r>
      <w:r>
        <w:rPr>
          <w:color w:val="231F20"/>
          <w:spacing w:val="-2"/>
        </w:rPr>
        <w:t> </w:t>
      </w:r>
      <w:r>
        <w:rPr>
          <w:color w:val="231F20"/>
        </w:rPr>
        <w:t>y</w:t>
      </w:r>
      <w:r>
        <w:rPr>
          <w:color w:val="231F20"/>
          <w:spacing w:val="-3"/>
        </w:rPr>
        <w:t> </w:t>
      </w:r>
      <w:r>
        <w:rPr>
          <w:color w:val="231F20"/>
        </w:rPr>
        <w:t>la</w:t>
      </w:r>
      <w:r>
        <w:rPr>
          <w:color w:val="231F20"/>
          <w:spacing w:val="-3"/>
        </w:rPr>
        <w:t> </w:t>
      </w:r>
      <w:r>
        <w:rPr>
          <w:color w:val="231F20"/>
        </w:rPr>
        <w:t>segunda</w:t>
      </w:r>
      <w:r>
        <w:rPr>
          <w:color w:val="231F20"/>
          <w:spacing w:val="-2"/>
        </w:rPr>
        <w:t> </w:t>
      </w:r>
      <w:r>
        <w:rPr>
          <w:color w:val="231F20"/>
        </w:rPr>
        <w:t>a</w:t>
      </w:r>
      <w:r>
        <w:rPr>
          <w:color w:val="231F20"/>
          <w:spacing w:val="-3"/>
        </w:rPr>
        <w:t> </w:t>
      </w:r>
      <w:r>
        <w:rPr>
          <w:color w:val="231F20"/>
        </w:rPr>
        <w:t>las</w:t>
      </w:r>
      <w:r>
        <w:rPr>
          <w:color w:val="231F20"/>
          <w:spacing w:val="-3"/>
        </w:rPr>
        <w:t> </w:t>
      </w:r>
      <w:r>
        <w:rPr>
          <w:color w:val="231F20"/>
        </w:rPr>
        <w:t>15</w:t>
      </w:r>
      <w:r>
        <w:rPr>
          <w:color w:val="231F20"/>
          <w:spacing w:val="-3"/>
        </w:rPr>
        <w:t> </w:t>
      </w:r>
      <w:r>
        <w:rPr>
          <w:color w:val="231F20"/>
        </w:rPr>
        <w:t>días</w:t>
      </w:r>
      <w:r>
        <w:rPr>
          <w:color w:val="231F20"/>
          <w:spacing w:val="-3"/>
        </w:rPr>
        <w:t> </w:t>
      </w:r>
      <w:r>
        <w:rPr>
          <w:color w:val="231F20"/>
        </w:rPr>
        <w:t>después</w:t>
      </w:r>
      <w:r>
        <w:rPr>
          <w:color w:val="231F20"/>
          <w:spacing w:val="-3"/>
        </w:rPr>
        <w:t> </w:t>
      </w:r>
      <w:r>
        <w:rPr>
          <w:color w:val="231F20"/>
        </w:rPr>
        <w:t>de</w:t>
      </w:r>
      <w:r>
        <w:rPr>
          <w:color w:val="231F20"/>
          <w:spacing w:val="-3"/>
        </w:rPr>
        <w:t> </w:t>
      </w:r>
      <w:r>
        <w:rPr>
          <w:color w:val="231F20"/>
        </w:rPr>
        <w:t>la</w:t>
      </w:r>
      <w:r>
        <w:rPr>
          <w:color w:val="231F20"/>
          <w:spacing w:val="-3"/>
        </w:rPr>
        <w:t> </w:t>
      </w:r>
      <w:r>
        <w:rPr>
          <w:color w:val="231F20"/>
        </w:rPr>
        <w:t>emergencia del cultivo. El experimento se estableció en un diseño de bloques completamente al azar con un arreglo de parcelas sub divididas y con 4 repeticiones. La unidad experimental estuvo conformada por 4 surcos de 0.8 m de ancho x 4 m de largo, dándonos una área de 12.8 m</w:t>
      </w:r>
      <w:r>
        <w:rPr>
          <w:color w:val="231F20"/>
          <w:position w:val="7"/>
          <w:sz w:val="12"/>
        </w:rPr>
        <w:t>2</w:t>
      </w:r>
      <w:r>
        <w:rPr>
          <w:color w:val="231F20"/>
        </w:rPr>
        <w:t>. La cosecha del maíz se realizó a madurez fisiológica con base en el criterio presentado por Ritchie y Hanway (1984), y se determinó la biomasa total (BT), índice de cosecha (IC), rendimiento (Rend), peso de 100 granos (P100G), número de granos (NG), número de hileras (NH) y número de granos hilera</w:t>
      </w:r>
      <w:r>
        <w:rPr>
          <w:color w:val="231F20"/>
          <w:position w:val="7"/>
          <w:sz w:val="12"/>
        </w:rPr>
        <w:t>-1 </w:t>
      </w:r>
      <w:r>
        <w:rPr>
          <w:color w:val="231F20"/>
        </w:rPr>
        <w:t>(NGH). A los valores obtenidos en cada variable de respuesta, se les aplicó un análisis de varianza mediante el programa</w:t>
      </w:r>
      <w:r>
        <w:rPr>
          <w:color w:val="231F20"/>
          <w:spacing w:val="-7"/>
        </w:rPr>
        <w:t> </w:t>
      </w:r>
      <w:r>
        <w:rPr>
          <w:color w:val="231F20"/>
        </w:rPr>
        <w:t>estadístico</w:t>
      </w:r>
      <w:r>
        <w:rPr>
          <w:color w:val="231F20"/>
          <w:spacing w:val="-7"/>
        </w:rPr>
        <w:t> </w:t>
      </w:r>
      <w:r>
        <w:rPr>
          <w:color w:val="231F20"/>
        </w:rPr>
        <w:t>del</w:t>
      </w:r>
      <w:r>
        <w:rPr>
          <w:color w:val="231F20"/>
          <w:spacing w:val="-7"/>
        </w:rPr>
        <w:t> </w:t>
      </w:r>
      <w:r>
        <w:rPr>
          <w:color w:val="231F20"/>
        </w:rPr>
        <w:t>SAS</w:t>
      </w:r>
      <w:r>
        <w:rPr>
          <w:color w:val="231F20"/>
          <w:spacing w:val="-6"/>
        </w:rPr>
        <w:t> </w:t>
      </w:r>
      <w:r>
        <w:rPr>
          <w:color w:val="231F20"/>
        </w:rPr>
        <w:t>(Statistical</w:t>
      </w:r>
      <w:r>
        <w:rPr>
          <w:color w:val="231F20"/>
          <w:spacing w:val="-17"/>
        </w:rPr>
        <w:t> </w:t>
      </w:r>
      <w:r>
        <w:rPr>
          <w:color w:val="231F20"/>
        </w:rPr>
        <w:t>Analysis</w:t>
      </w:r>
      <w:r>
        <w:rPr>
          <w:color w:val="231F20"/>
          <w:spacing w:val="-6"/>
        </w:rPr>
        <w:t> </w:t>
      </w:r>
      <w:r>
        <w:rPr>
          <w:color w:val="231F20"/>
        </w:rPr>
        <w:t>System),</w:t>
      </w:r>
      <w:r>
        <w:rPr>
          <w:color w:val="231F20"/>
          <w:spacing w:val="-6"/>
        </w:rPr>
        <w:t> </w:t>
      </w:r>
      <w:r>
        <w:rPr>
          <w:color w:val="231F20"/>
        </w:rPr>
        <w:t>y</w:t>
      </w:r>
      <w:r>
        <w:rPr>
          <w:color w:val="231F20"/>
          <w:spacing w:val="-7"/>
        </w:rPr>
        <w:t> </w:t>
      </w:r>
      <w:r>
        <w:rPr>
          <w:color w:val="231F20"/>
        </w:rPr>
        <w:t>la</w:t>
      </w:r>
      <w:r>
        <w:rPr>
          <w:color w:val="231F20"/>
          <w:spacing w:val="-7"/>
        </w:rPr>
        <w:t> </w:t>
      </w:r>
      <w:r>
        <w:rPr>
          <w:color w:val="231F20"/>
        </w:rPr>
        <w:t>comparación</w:t>
      </w:r>
      <w:r>
        <w:rPr>
          <w:color w:val="231F20"/>
          <w:spacing w:val="-7"/>
        </w:rPr>
        <w:t> </w:t>
      </w:r>
      <w:r>
        <w:rPr>
          <w:color w:val="231F20"/>
        </w:rPr>
        <w:t>de</w:t>
      </w:r>
      <w:r>
        <w:rPr>
          <w:color w:val="231F20"/>
          <w:spacing w:val="-7"/>
        </w:rPr>
        <w:t> </w:t>
      </w:r>
      <w:r>
        <w:rPr>
          <w:color w:val="231F20"/>
        </w:rPr>
        <w:t>medias</w:t>
      </w:r>
      <w:r>
        <w:rPr>
          <w:color w:val="231F20"/>
          <w:spacing w:val="-7"/>
        </w:rPr>
        <w:t> </w:t>
      </w:r>
      <w:r>
        <w:rPr>
          <w:color w:val="231F20"/>
        </w:rPr>
        <w:t>mediante</w:t>
      </w:r>
      <w:r>
        <w:rPr>
          <w:color w:val="231F20"/>
          <w:spacing w:val="-7"/>
        </w:rPr>
        <w:t> </w:t>
      </w:r>
      <w:r>
        <w:rPr>
          <w:color w:val="231F20"/>
        </w:rPr>
        <w:t>la prueba de Tukey (nivel de significancia del 0.05</w:t>
      </w:r>
      <w:r>
        <w:rPr>
          <w:color w:val="231F20"/>
          <w:spacing w:val="-23"/>
        </w:rPr>
        <w:t> </w:t>
      </w:r>
      <w:r>
        <w:rPr>
          <w:color w:val="231F20"/>
        </w:rPr>
        <w:t>%).</w:t>
      </w:r>
    </w:p>
    <w:p>
      <w:pPr>
        <w:spacing w:after="0" w:line="249" w:lineRule="auto"/>
        <w:jc w:val="both"/>
        <w:sectPr>
          <w:pgSz w:w="10920" w:h="13080"/>
          <w:pgMar w:header="0" w:footer="1025" w:top="420" w:bottom="1220" w:left="0" w:right="0"/>
        </w:sectPr>
      </w:pPr>
    </w:p>
    <w:p>
      <w:pPr>
        <w:pStyle w:val="BodyText"/>
        <w:rPr>
          <w:sz w:val="20"/>
        </w:rPr>
      </w:pPr>
    </w:p>
    <w:p>
      <w:pPr>
        <w:pStyle w:val="BodyText"/>
        <w:rPr>
          <w:sz w:val="20"/>
        </w:rPr>
      </w:pPr>
    </w:p>
    <w:p>
      <w:pPr>
        <w:pStyle w:val="BodyText"/>
        <w:spacing w:before="4"/>
        <w:rPr>
          <w:sz w:val="22"/>
        </w:rPr>
      </w:pPr>
    </w:p>
    <w:p>
      <w:pPr>
        <w:pStyle w:val="Heading3"/>
        <w:spacing w:before="69"/>
      </w:pPr>
      <w:r>
        <w:rPr>
          <w:color w:val="010202"/>
        </w:rPr>
        <w:t>Análisis y discusión de resultados</w:t>
      </w:r>
    </w:p>
    <w:p>
      <w:pPr>
        <w:pStyle w:val="BodyText"/>
        <w:spacing w:before="10"/>
        <w:rPr>
          <w:b/>
        </w:rPr>
      </w:pPr>
    </w:p>
    <w:p>
      <w:pPr>
        <w:pStyle w:val="Heading5"/>
      </w:pPr>
      <w:r>
        <w:rPr>
          <w:color w:val="231F20"/>
        </w:rPr>
        <w:t>Condiciones climáticas y fenología</w:t>
      </w:r>
    </w:p>
    <w:p>
      <w:pPr>
        <w:pStyle w:val="BodyText"/>
        <w:spacing w:line="247" w:lineRule="auto" w:before="8"/>
        <w:ind w:left="1270" w:right="1267"/>
        <w:jc w:val="both"/>
      </w:pPr>
      <w:r>
        <w:rPr>
          <w:color w:val="231F20"/>
        </w:rPr>
        <w:t>En</w:t>
      </w:r>
      <w:r>
        <w:rPr>
          <w:color w:val="231F20"/>
          <w:spacing w:val="-11"/>
        </w:rPr>
        <w:t> </w:t>
      </w:r>
      <w:r>
        <w:rPr>
          <w:color w:val="231F20"/>
        </w:rPr>
        <w:t>la</w:t>
      </w:r>
      <w:r>
        <w:rPr>
          <w:color w:val="231F20"/>
          <w:spacing w:val="-11"/>
        </w:rPr>
        <w:t> </w:t>
      </w:r>
      <w:r>
        <w:rPr>
          <w:color w:val="231F20"/>
        </w:rPr>
        <w:t>Figura</w:t>
      </w:r>
      <w:r>
        <w:rPr>
          <w:color w:val="231F20"/>
          <w:spacing w:val="-11"/>
        </w:rPr>
        <w:t> </w:t>
      </w:r>
      <w:r>
        <w:rPr>
          <w:color w:val="231F20"/>
        </w:rPr>
        <w:t>1,</w:t>
      </w:r>
      <w:r>
        <w:rPr>
          <w:color w:val="231F20"/>
          <w:spacing w:val="-11"/>
        </w:rPr>
        <w:t> </w:t>
      </w:r>
      <w:r>
        <w:rPr>
          <w:color w:val="231F20"/>
        </w:rPr>
        <w:t>se</w:t>
      </w:r>
      <w:r>
        <w:rPr>
          <w:color w:val="231F20"/>
          <w:spacing w:val="-11"/>
        </w:rPr>
        <w:t> </w:t>
      </w:r>
      <w:r>
        <w:rPr>
          <w:color w:val="231F20"/>
        </w:rPr>
        <w:t>presenta</w:t>
      </w:r>
      <w:r>
        <w:rPr>
          <w:color w:val="231F20"/>
          <w:spacing w:val="-11"/>
        </w:rPr>
        <w:t> </w:t>
      </w:r>
      <w:r>
        <w:rPr>
          <w:color w:val="231F20"/>
        </w:rPr>
        <w:t>la</w:t>
      </w:r>
      <w:r>
        <w:rPr>
          <w:color w:val="231F20"/>
          <w:spacing w:val="-11"/>
        </w:rPr>
        <w:t> </w:t>
      </w:r>
      <w:r>
        <w:rPr>
          <w:color w:val="231F20"/>
        </w:rPr>
        <w:t>temperatura</w:t>
      </w:r>
      <w:r>
        <w:rPr>
          <w:color w:val="231F20"/>
          <w:spacing w:val="-11"/>
        </w:rPr>
        <w:t> </w:t>
      </w:r>
      <w:r>
        <w:rPr>
          <w:color w:val="231F20"/>
        </w:rPr>
        <w:t>máxima</w:t>
      </w:r>
      <w:r>
        <w:rPr>
          <w:color w:val="231F20"/>
          <w:spacing w:val="-11"/>
        </w:rPr>
        <w:t> </w:t>
      </w:r>
      <w:r>
        <w:rPr>
          <w:color w:val="231F20"/>
        </w:rPr>
        <w:t>y</w:t>
      </w:r>
      <w:r>
        <w:rPr>
          <w:color w:val="231F20"/>
          <w:spacing w:val="-11"/>
        </w:rPr>
        <w:t> </w:t>
      </w:r>
      <w:r>
        <w:rPr>
          <w:color w:val="231F20"/>
        </w:rPr>
        <w:t>mínima</w:t>
      </w:r>
      <w:r>
        <w:rPr>
          <w:color w:val="231F20"/>
          <w:spacing w:val="-11"/>
        </w:rPr>
        <w:t> </w:t>
      </w:r>
      <w:r>
        <w:rPr>
          <w:color w:val="231F20"/>
        </w:rPr>
        <w:t>(media</w:t>
      </w:r>
      <w:r>
        <w:rPr>
          <w:color w:val="231F20"/>
          <w:spacing w:val="-11"/>
        </w:rPr>
        <w:t> </w:t>
      </w:r>
      <w:r>
        <w:rPr>
          <w:color w:val="231F20"/>
        </w:rPr>
        <w:t>decenal)</w:t>
      </w:r>
      <w:r>
        <w:rPr>
          <w:color w:val="231F20"/>
          <w:spacing w:val="-11"/>
        </w:rPr>
        <w:t> </w:t>
      </w:r>
      <w:r>
        <w:rPr>
          <w:color w:val="231F20"/>
        </w:rPr>
        <w:t>y</w:t>
      </w:r>
      <w:r>
        <w:rPr>
          <w:color w:val="231F20"/>
          <w:spacing w:val="-11"/>
        </w:rPr>
        <w:t> </w:t>
      </w:r>
      <w:r>
        <w:rPr>
          <w:color w:val="231F20"/>
        </w:rPr>
        <w:t>la</w:t>
      </w:r>
      <w:r>
        <w:rPr>
          <w:color w:val="231F20"/>
          <w:spacing w:val="-11"/>
        </w:rPr>
        <w:t> </w:t>
      </w:r>
      <w:r>
        <w:rPr>
          <w:color w:val="231F20"/>
        </w:rPr>
        <w:t>precipitación</w:t>
      </w:r>
      <w:r>
        <w:rPr>
          <w:color w:val="231F20"/>
          <w:spacing w:val="-11"/>
        </w:rPr>
        <w:t> </w:t>
      </w:r>
      <w:r>
        <w:rPr>
          <w:color w:val="231F20"/>
        </w:rPr>
        <w:t>(suma decenal).</w:t>
      </w:r>
      <w:r>
        <w:rPr>
          <w:color w:val="231F20"/>
          <w:spacing w:val="-4"/>
        </w:rPr>
        <w:t> </w:t>
      </w:r>
      <w:r>
        <w:rPr>
          <w:color w:val="231F20"/>
        </w:rPr>
        <w:t>Se</w:t>
      </w:r>
      <w:r>
        <w:rPr>
          <w:color w:val="231F20"/>
          <w:spacing w:val="-4"/>
        </w:rPr>
        <w:t> </w:t>
      </w:r>
      <w:r>
        <w:rPr>
          <w:color w:val="231F20"/>
        </w:rPr>
        <w:t>observa</w:t>
      </w:r>
      <w:r>
        <w:rPr>
          <w:color w:val="231F20"/>
          <w:spacing w:val="-4"/>
        </w:rPr>
        <w:t> </w:t>
      </w:r>
      <w:r>
        <w:rPr>
          <w:color w:val="231F20"/>
        </w:rPr>
        <w:t>que</w:t>
      </w:r>
      <w:r>
        <w:rPr>
          <w:color w:val="231F20"/>
          <w:spacing w:val="-4"/>
        </w:rPr>
        <w:t> </w:t>
      </w:r>
      <w:r>
        <w:rPr>
          <w:color w:val="231F20"/>
        </w:rPr>
        <w:t>durante</w:t>
      </w:r>
      <w:r>
        <w:rPr>
          <w:color w:val="231F20"/>
          <w:spacing w:val="-4"/>
        </w:rPr>
        <w:t> </w:t>
      </w:r>
      <w:r>
        <w:rPr>
          <w:color w:val="231F20"/>
        </w:rPr>
        <w:t>el</w:t>
      </w:r>
      <w:r>
        <w:rPr>
          <w:color w:val="231F20"/>
          <w:spacing w:val="-4"/>
        </w:rPr>
        <w:t> </w:t>
      </w:r>
      <w:r>
        <w:rPr>
          <w:color w:val="231F20"/>
        </w:rPr>
        <w:t>desarrollo</w:t>
      </w:r>
      <w:r>
        <w:rPr>
          <w:color w:val="231F20"/>
          <w:spacing w:val="-4"/>
        </w:rPr>
        <w:t> </w:t>
      </w:r>
      <w:r>
        <w:rPr>
          <w:color w:val="231F20"/>
        </w:rPr>
        <w:t>del</w:t>
      </w:r>
      <w:r>
        <w:rPr>
          <w:color w:val="231F20"/>
          <w:spacing w:val="-4"/>
        </w:rPr>
        <w:t> </w:t>
      </w:r>
      <w:r>
        <w:rPr>
          <w:color w:val="231F20"/>
        </w:rPr>
        <w:t>cultivo,</w:t>
      </w:r>
      <w:r>
        <w:rPr>
          <w:color w:val="231F20"/>
          <w:spacing w:val="-5"/>
        </w:rPr>
        <w:t> </w:t>
      </w:r>
      <w:r>
        <w:rPr>
          <w:color w:val="231F20"/>
        </w:rPr>
        <w:t>las</w:t>
      </w:r>
      <w:r>
        <w:rPr>
          <w:color w:val="231F20"/>
          <w:spacing w:val="-5"/>
        </w:rPr>
        <w:t> </w:t>
      </w:r>
      <w:r>
        <w:rPr>
          <w:color w:val="231F20"/>
        </w:rPr>
        <w:t>temperaturas</w:t>
      </w:r>
      <w:r>
        <w:rPr>
          <w:color w:val="231F20"/>
          <w:spacing w:val="-5"/>
        </w:rPr>
        <w:t> </w:t>
      </w:r>
      <w:r>
        <w:rPr>
          <w:color w:val="231F20"/>
        </w:rPr>
        <w:t>máximas</w:t>
      </w:r>
      <w:r>
        <w:rPr>
          <w:color w:val="231F20"/>
          <w:spacing w:val="-5"/>
        </w:rPr>
        <w:t> </w:t>
      </w:r>
      <w:r>
        <w:rPr>
          <w:color w:val="231F20"/>
        </w:rPr>
        <w:t>y</w:t>
      </w:r>
      <w:r>
        <w:rPr>
          <w:color w:val="231F20"/>
          <w:spacing w:val="-4"/>
        </w:rPr>
        <w:t> </w:t>
      </w:r>
      <w:r>
        <w:rPr>
          <w:color w:val="231F20"/>
        </w:rPr>
        <w:t>mínimas</w:t>
      </w:r>
      <w:r>
        <w:rPr>
          <w:color w:val="231F20"/>
          <w:spacing w:val="-5"/>
        </w:rPr>
        <w:t> </w:t>
      </w:r>
      <w:r>
        <w:rPr>
          <w:color w:val="231F20"/>
        </w:rPr>
        <w:t>más altas fueron de 34 ºC, y 21 ºC, respectivamente, lo cual coincido con la más baja precipitación. La precipitación acumulada durante el ciclo del cultivo fue de 692 mm. El genotipo VS-535 durante su etapa vegetativa contó con un suministro de agua decenal cercana a 625 mm, y 34 mm en el</w:t>
      </w:r>
      <w:r>
        <w:rPr>
          <w:color w:val="231F20"/>
          <w:spacing w:val="-17"/>
        </w:rPr>
        <w:t> </w:t>
      </w:r>
      <w:r>
        <w:rPr>
          <w:color w:val="231F20"/>
        </w:rPr>
        <w:t>llenado de grano. El genotipo </w:t>
      </w:r>
      <w:r>
        <w:rPr>
          <w:color w:val="231F20"/>
          <w:spacing w:val="-4"/>
        </w:rPr>
        <w:t>Vandeño </w:t>
      </w:r>
      <w:r>
        <w:rPr>
          <w:color w:val="231F20"/>
        </w:rPr>
        <w:t>contó con una precipitación de 630 mm en etapa vegetativa y de 62 mm en etapa reproductiva. La baja precipitación en ambos genotipos durante el llenado de grano (etapa reproductiva), afecto el rendimiento de</w:t>
      </w:r>
      <w:r>
        <w:rPr>
          <w:color w:val="231F20"/>
          <w:spacing w:val="-1"/>
        </w:rPr>
        <w:t> </w:t>
      </w:r>
      <w:r>
        <w:rPr>
          <w:color w:val="231F20"/>
        </w:rPr>
        <w:t>grano.</w:t>
      </w:r>
    </w:p>
    <w:p>
      <w:pPr>
        <w:pStyle w:val="BodyText"/>
        <w:spacing w:before="4"/>
      </w:pPr>
    </w:p>
    <w:p>
      <w:pPr>
        <w:spacing w:line="249" w:lineRule="auto" w:before="1"/>
        <w:ind w:left="1747" w:right="1746" w:firstLine="0"/>
        <w:jc w:val="center"/>
        <w:rPr>
          <w:b/>
          <w:sz w:val="18"/>
        </w:rPr>
      </w:pPr>
      <w:r>
        <w:rPr>
          <w:b/>
          <w:color w:val="010202"/>
          <w:sz w:val="18"/>
        </w:rPr>
        <w:t>Figura 1. Temperaturas máximas, mínima (media decenal) y precipitación (suma decenal) durante el ciclo del cultivo de los maíces Vandeño y VS-535. Siembra de temporal</w:t>
      </w:r>
    </w:p>
    <w:p>
      <w:pPr>
        <w:pStyle w:val="BodyText"/>
        <w:spacing w:before="5"/>
        <w:rPr>
          <w:b/>
          <w:sz w:val="14"/>
        </w:rPr>
      </w:pPr>
      <w:r>
        <w:rPr/>
        <w:drawing>
          <wp:anchor distT="0" distB="0" distL="0" distR="0" allowOverlap="1" layoutInCell="1" locked="0" behindDoc="0" simplePos="0" relativeHeight="2992">
            <wp:simplePos x="0" y="0"/>
            <wp:positionH relativeFrom="page">
              <wp:posOffset>1078023</wp:posOffset>
            </wp:positionH>
            <wp:positionV relativeFrom="paragraph">
              <wp:posOffset>130232</wp:posOffset>
            </wp:positionV>
            <wp:extent cx="4761020" cy="2787015"/>
            <wp:effectExtent l="0" t="0" r="0" b="0"/>
            <wp:wrapTopAndBottom/>
            <wp:docPr id="87" name="image23.png" descr=""/>
            <wp:cNvGraphicFramePr>
              <a:graphicFrameLocks noChangeAspect="1"/>
            </wp:cNvGraphicFramePr>
            <a:graphic>
              <a:graphicData uri="http://schemas.openxmlformats.org/drawingml/2006/picture">
                <pic:pic>
                  <pic:nvPicPr>
                    <pic:cNvPr id="88" name="image23.png"/>
                    <pic:cNvPicPr/>
                  </pic:nvPicPr>
                  <pic:blipFill>
                    <a:blip r:embed="rId40" cstate="print"/>
                    <a:stretch>
                      <a:fillRect/>
                    </a:stretch>
                  </pic:blipFill>
                  <pic:spPr>
                    <a:xfrm>
                      <a:off x="0" y="0"/>
                      <a:ext cx="4761020" cy="2787015"/>
                    </a:xfrm>
                    <a:prstGeom prst="rect">
                      <a:avLst/>
                    </a:prstGeom>
                  </pic:spPr>
                </pic:pic>
              </a:graphicData>
            </a:graphic>
          </wp:anchor>
        </w:drawing>
      </w:r>
    </w:p>
    <w:p>
      <w:pPr>
        <w:pStyle w:val="BodyText"/>
        <w:spacing w:before="3"/>
        <w:rPr>
          <w:b/>
          <w:sz w:val="25"/>
        </w:rPr>
      </w:pPr>
    </w:p>
    <w:p>
      <w:pPr>
        <w:pStyle w:val="BodyText"/>
        <w:spacing w:line="247" w:lineRule="auto"/>
        <w:ind w:left="1270" w:right="1268"/>
        <w:jc w:val="both"/>
      </w:pPr>
      <w:r>
        <w:rPr>
          <w:color w:val="231F20"/>
        </w:rPr>
        <w:t>Los dos genotipos de maíz emergieron (E) a los 5 días después de la siembra (dds). La aparición de la inflorescencia masculina y femenina ocurrió a los 78 días después de la emergencia (dde) para el maíz Vandeño y 65 dde para VS-535. La madurez fisiológica (MF) para Vandeño ocurrió a los 115 dde y en VS-535 a los 100 dde.</w:t>
      </w:r>
    </w:p>
    <w:p>
      <w:pPr>
        <w:pStyle w:val="BodyText"/>
        <w:spacing w:before="10"/>
      </w:pPr>
    </w:p>
    <w:p>
      <w:pPr>
        <w:pStyle w:val="Heading5"/>
      </w:pPr>
      <w:r>
        <w:rPr>
          <w:color w:val="231F20"/>
        </w:rPr>
        <w:t>Rendimiento y sus componentes</w:t>
      </w:r>
    </w:p>
    <w:p>
      <w:pPr>
        <w:pStyle w:val="BodyText"/>
        <w:spacing w:line="247" w:lineRule="auto" w:before="8"/>
        <w:ind w:left="1270" w:right="1268"/>
        <w:jc w:val="both"/>
      </w:pPr>
      <w:r>
        <w:rPr>
          <w:color w:val="231F20"/>
        </w:rPr>
        <w:t>El</w:t>
      </w:r>
      <w:r>
        <w:rPr>
          <w:color w:val="231F20"/>
          <w:spacing w:val="-11"/>
        </w:rPr>
        <w:t> </w:t>
      </w:r>
      <w:r>
        <w:rPr>
          <w:color w:val="231F20"/>
        </w:rPr>
        <w:t>análisis</w:t>
      </w:r>
      <w:r>
        <w:rPr>
          <w:color w:val="231F20"/>
          <w:spacing w:val="-11"/>
        </w:rPr>
        <w:t> </w:t>
      </w:r>
      <w:r>
        <w:rPr>
          <w:color w:val="231F20"/>
        </w:rPr>
        <w:t>de</w:t>
      </w:r>
      <w:r>
        <w:rPr>
          <w:color w:val="231F20"/>
          <w:spacing w:val="-11"/>
        </w:rPr>
        <w:t> </w:t>
      </w:r>
      <w:r>
        <w:rPr>
          <w:color w:val="231F20"/>
        </w:rPr>
        <w:t>varianza</w:t>
      </w:r>
      <w:r>
        <w:rPr>
          <w:color w:val="231F20"/>
          <w:spacing w:val="-11"/>
        </w:rPr>
        <w:t> </w:t>
      </w:r>
      <w:r>
        <w:rPr>
          <w:color w:val="231F20"/>
        </w:rPr>
        <w:t>mostró</w:t>
      </w:r>
      <w:r>
        <w:rPr>
          <w:color w:val="231F20"/>
          <w:spacing w:val="-11"/>
        </w:rPr>
        <w:t> </w:t>
      </w:r>
      <w:r>
        <w:rPr>
          <w:color w:val="231F20"/>
        </w:rPr>
        <w:t>cambios</w:t>
      </w:r>
      <w:r>
        <w:rPr>
          <w:color w:val="231F20"/>
          <w:spacing w:val="-11"/>
        </w:rPr>
        <w:t> </w:t>
      </w:r>
      <w:r>
        <w:rPr>
          <w:color w:val="231F20"/>
        </w:rPr>
        <w:t>significativos</w:t>
      </w:r>
      <w:r>
        <w:rPr>
          <w:color w:val="231F20"/>
          <w:spacing w:val="-11"/>
        </w:rPr>
        <w:t> </w:t>
      </w:r>
      <w:r>
        <w:rPr>
          <w:color w:val="231F20"/>
        </w:rPr>
        <w:t>por</w:t>
      </w:r>
      <w:r>
        <w:rPr>
          <w:color w:val="231F20"/>
          <w:spacing w:val="-10"/>
        </w:rPr>
        <w:t> </w:t>
      </w:r>
      <w:r>
        <w:rPr>
          <w:color w:val="231F20"/>
        </w:rPr>
        <w:t>efecto</w:t>
      </w:r>
      <w:r>
        <w:rPr>
          <w:color w:val="231F20"/>
          <w:spacing w:val="-11"/>
        </w:rPr>
        <w:t> </w:t>
      </w:r>
      <w:r>
        <w:rPr>
          <w:color w:val="231F20"/>
        </w:rPr>
        <w:t>de</w:t>
      </w:r>
      <w:r>
        <w:rPr>
          <w:color w:val="231F20"/>
          <w:spacing w:val="-11"/>
        </w:rPr>
        <w:t> </w:t>
      </w:r>
      <w:r>
        <w:rPr>
          <w:color w:val="231F20"/>
        </w:rPr>
        <w:t>genotipos,</w:t>
      </w:r>
      <w:r>
        <w:rPr>
          <w:color w:val="231F20"/>
          <w:spacing w:val="-11"/>
        </w:rPr>
        <w:t> </w:t>
      </w:r>
      <w:r>
        <w:rPr>
          <w:color w:val="231F20"/>
        </w:rPr>
        <w:t>nitrógeno</w:t>
      </w:r>
      <w:r>
        <w:rPr>
          <w:color w:val="231F20"/>
          <w:spacing w:val="-11"/>
        </w:rPr>
        <w:t> </w:t>
      </w:r>
      <w:r>
        <w:rPr>
          <w:color w:val="231F20"/>
        </w:rPr>
        <w:t>(N)</w:t>
      </w:r>
      <w:r>
        <w:rPr>
          <w:color w:val="231F20"/>
          <w:spacing w:val="-10"/>
        </w:rPr>
        <w:t> </w:t>
      </w:r>
      <w:r>
        <w:rPr>
          <w:color w:val="231F20"/>
        </w:rPr>
        <w:t>y</w:t>
      </w:r>
      <w:r>
        <w:rPr>
          <w:color w:val="231F20"/>
          <w:spacing w:val="-11"/>
        </w:rPr>
        <w:t> </w:t>
      </w:r>
      <w:r>
        <w:rPr>
          <w:color w:val="231F20"/>
        </w:rPr>
        <w:t>la</w:t>
      </w:r>
      <w:r>
        <w:rPr>
          <w:color w:val="231F20"/>
          <w:spacing w:val="-11"/>
        </w:rPr>
        <w:t> </w:t>
      </w:r>
      <w:r>
        <w:rPr>
          <w:color w:val="231F20"/>
        </w:rPr>
        <w:t>inte- racción genotipo * nitrógeno (G*N). En el cuadro 1, se observa  que para la BT no hubo</w:t>
      </w:r>
      <w:r>
        <w:rPr>
          <w:color w:val="231F20"/>
          <w:spacing w:val="-20"/>
        </w:rPr>
        <w:t> </w:t>
      </w:r>
      <w:r>
        <w:rPr>
          <w:color w:val="231F20"/>
        </w:rPr>
        <w:t>diferencias</w:t>
      </w:r>
    </w:p>
    <w:p>
      <w:pPr>
        <w:spacing w:after="0" w:line="247" w:lineRule="auto"/>
        <w:jc w:val="both"/>
        <w:sectPr>
          <w:pgSz w:w="10920" w:h="13080"/>
          <w:pgMar w:header="0" w:footer="1025" w:top="420" w:bottom="1220" w:left="0" w:right="0"/>
        </w:sectPr>
      </w:pPr>
    </w:p>
    <w:p>
      <w:pPr>
        <w:pStyle w:val="BodyText"/>
        <w:rPr>
          <w:sz w:val="20"/>
        </w:rPr>
      </w:pPr>
    </w:p>
    <w:p>
      <w:pPr>
        <w:pStyle w:val="BodyText"/>
        <w:rPr>
          <w:sz w:val="20"/>
        </w:rPr>
      </w:pPr>
    </w:p>
    <w:p>
      <w:pPr>
        <w:pStyle w:val="BodyText"/>
        <w:rPr>
          <w:sz w:val="23"/>
        </w:rPr>
      </w:pPr>
    </w:p>
    <w:p>
      <w:pPr>
        <w:pStyle w:val="BodyText"/>
        <w:spacing w:line="249" w:lineRule="auto" w:before="73"/>
        <w:ind w:left="1270" w:right="1264"/>
        <w:jc w:val="both"/>
      </w:pPr>
      <w:r>
        <w:rPr>
          <w:color w:val="231F20"/>
        </w:rPr>
        <w:t>significativas, debido a que los maíces VS-535 (1478 g m</w:t>
      </w:r>
      <w:r>
        <w:rPr>
          <w:color w:val="231F20"/>
          <w:position w:val="7"/>
          <w:sz w:val="12"/>
        </w:rPr>
        <w:t>-2</w:t>
      </w:r>
      <w:r>
        <w:rPr>
          <w:color w:val="231F20"/>
        </w:rPr>
        <w:t>) y </w:t>
      </w:r>
      <w:r>
        <w:rPr>
          <w:color w:val="231F20"/>
          <w:spacing w:val="-4"/>
        </w:rPr>
        <w:t>Vandeño </w:t>
      </w:r>
      <w:r>
        <w:rPr>
          <w:color w:val="231F20"/>
        </w:rPr>
        <w:t>(1426 g m</w:t>
      </w:r>
      <w:r>
        <w:rPr>
          <w:color w:val="231F20"/>
          <w:position w:val="7"/>
          <w:sz w:val="12"/>
        </w:rPr>
        <w:t>-2</w:t>
      </w:r>
      <w:r>
        <w:rPr>
          <w:color w:val="231F20"/>
        </w:rPr>
        <w:t>) mostraron BT estadísticamente similares entre G. Se observaron diferencias significativas en el IC. Esto se debe a las</w:t>
      </w:r>
      <w:r>
        <w:rPr>
          <w:color w:val="231F20"/>
          <w:spacing w:val="-3"/>
        </w:rPr>
        <w:t> </w:t>
      </w:r>
      <w:r>
        <w:rPr>
          <w:color w:val="231F20"/>
        </w:rPr>
        <w:t>características</w:t>
      </w:r>
      <w:r>
        <w:rPr>
          <w:color w:val="231F20"/>
          <w:spacing w:val="-3"/>
        </w:rPr>
        <w:t> </w:t>
      </w:r>
      <w:r>
        <w:rPr>
          <w:color w:val="231F20"/>
        </w:rPr>
        <w:t>de</w:t>
      </w:r>
      <w:r>
        <w:rPr>
          <w:color w:val="231F20"/>
          <w:spacing w:val="-3"/>
        </w:rPr>
        <w:t> </w:t>
      </w:r>
      <w:r>
        <w:rPr>
          <w:color w:val="231F20"/>
        </w:rPr>
        <w:t>producción</w:t>
      </w:r>
      <w:r>
        <w:rPr>
          <w:color w:val="231F20"/>
          <w:spacing w:val="-3"/>
        </w:rPr>
        <w:t> </w:t>
      </w:r>
      <w:r>
        <w:rPr>
          <w:color w:val="231F20"/>
        </w:rPr>
        <w:t>de</w:t>
      </w:r>
      <w:r>
        <w:rPr>
          <w:color w:val="231F20"/>
          <w:spacing w:val="-3"/>
        </w:rPr>
        <w:t> </w:t>
      </w:r>
      <w:r>
        <w:rPr>
          <w:color w:val="231F20"/>
        </w:rPr>
        <w:t>MS</w:t>
      </w:r>
      <w:r>
        <w:rPr>
          <w:color w:val="231F20"/>
          <w:spacing w:val="-3"/>
        </w:rPr>
        <w:t> </w:t>
      </w:r>
      <w:r>
        <w:rPr>
          <w:color w:val="231F20"/>
        </w:rPr>
        <w:t>del</w:t>
      </w:r>
      <w:r>
        <w:rPr>
          <w:color w:val="231F20"/>
          <w:spacing w:val="-3"/>
        </w:rPr>
        <w:t> </w:t>
      </w:r>
      <w:r>
        <w:rPr>
          <w:color w:val="231F20"/>
        </w:rPr>
        <w:t>maíz</w:t>
      </w:r>
      <w:r>
        <w:rPr>
          <w:color w:val="231F20"/>
          <w:spacing w:val="-7"/>
        </w:rPr>
        <w:t> </w:t>
      </w:r>
      <w:r>
        <w:rPr>
          <w:color w:val="231F20"/>
          <w:spacing w:val="-4"/>
        </w:rPr>
        <w:t>Vandeño</w:t>
      </w:r>
      <w:r>
        <w:rPr>
          <w:color w:val="231F20"/>
          <w:spacing w:val="-3"/>
        </w:rPr>
        <w:t> </w:t>
      </w:r>
      <w:r>
        <w:rPr>
          <w:color w:val="231F20"/>
        </w:rPr>
        <w:t>y</w:t>
      </w:r>
      <w:r>
        <w:rPr>
          <w:color w:val="231F20"/>
          <w:spacing w:val="-7"/>
        </w:rPr>
        <w:t> </w:t>
      </w:r>
      <w:r>
        <w:rPr>
          <w:color w:val="231F20"/>
        </w:rPr>
        <w:t>VS-535</w:t>
      </w:r>
      <w:r>
        <w:rPr>
          <w:color w:val="231F20"/>
          <w:spacing w:val="-3"/>
        </w:rPr>
        <w:t> </w:t>
      </w:r>
      <w:r>
        <w:rPr>
          <w:color w:val="231F20"/>
        </w:rPr>
        <w:t>son</w:t>
      </w:r>
      <w:r>
        <w:rPr>
          <w:color w:val="231F20"/>
          <w:spacing w:val="-3"/>
        </w:rPr>
        <w:t> </w:t>
      </w:r>
      <w:r>
        <w:rPr>
          <w:color w:val="231F20"/>
        </w:rPr>
        <w:t>similares,</w:t>
      </w:r>
      <w:r>
        <w:rPr>
          <w:color w:val="231F20"/>
          <w:spacing w:val="-3"/>
        </w:rPr>
        <w:t> </w:t>
      </w:r>
      <w:r>
        <w:rPr>
          <w:color w:val="231F20"/>
        </w:rPr>
        <w:t>debido</w:t>
      </w:r>
      <w:r>
        <w:rPr>
          <w:color w:val="231F20"/>
          <w:spacing w:val="-3"/>
        </w:rPr>
        <w:t> </w:t>
      </w:r>
      <w:r>
        <w:rPr>
          <w:color w:val="231F20"/>
        </w:rPr>
        <w:t>a</w:t>
      </w:r>
      <w:r>
        <w:rPr>
          <w:color w:val="231F20"/>
          <w:spacing w:val="-3"/>
        </w:rPr>
        <w:t> </w:t>
      </w:r>
      <w:r>
        <w:rPr>
          <w:color w:val="231F20"/>
        </w:rPr>
        <w:t>que</w:t>
      </w:r>
      <w:r>
        <w:rPr>
          <w:color w:val="231F20"/>
          <w:spacing w:val="-3"/>
        </w:rPr>
        <w:t> </w:t>
      </w:r>
      <w:r>
        <w:rPr>
          <w:color w:val="231F20"/>
        </w:rPr>
        <w:t>son plantas de altura de aproximadamente 2.5 a 3 m. El genotipo VS-535 presentó el mayor IC (0.31), este resultado indica que VS-535 muestra una mayor acumulación de materia seca (MS) en la</w:t>
      </w:r>
      <w:r>
        <w:rPr>
          <w:color w:val="231F20"/>
          <w:spacing w:val="-19"/>
        </w:rPr>
        <w:t> </w:t>
      </w:r>
      <w:r>
        <w:rPr>
          <w:color w:val="231F20"/>
        </w:rPr>
        <w:t>grano con respecto a </w:t>
      </w:r>
      <w:r>
        <w:rPr>
          <w:color w:val="231F20"/>
          <w:spacing w:val="-6"/>
        </w:rPr>
        <w:t>BT. </w:t>
      </w:r>
      <w:r>
        <w:rPr>
          <w:color w:val="231F20"/>
        </w:rPr>
        <w:t>En el Rend se encontraron diferencias significativas para G; VS-535 presentó el Rend más alto (459 g m</w:t>
      </w:r>
      <w:r>
        <w:rPr>
          <w:color w:val="231F20"/>
          <w:position w:val="7"/>
          <w:sz w:val="12"/>
        </w:rPr>
        <w:t>-2</w:t>
      </w:r>
      <w:r>
        <w:rPr>
          <w:color w:val="231F20"/>
        </w:rPr>
        <w:t>) en comparación con </w:t>
      </w:r>
      <w:r>
        <w:rPr>
          <w:color w:val="231F20"/>
          <w:spacing w:val="-4"/>
        </w:rPr>
        <w:t>Vandeño </w:t>
      </w:r>
      <w:r>
        <w:rPr>
          <w:color w:val="231F20"/>
        </w:rPr>
        <w:t>(354 g m</w:t>
      </w:r>
      <w:r>
        <w:rPr>
          <w:color w:val="231F20"/>
          <w:position w:val="7"/>
          <w:sz w:val="12"/>
        </w:rPr>
        <w:t>-2</w:t>
      </w:r>
      <w:r>
        <w:rPr>
          <w:color w:val="231F20"/>
        </w:rPr>
        <w:t>). Esto esta relacionado con el más alto P100G, ya que VS-535 obtuvo el mayor peso (27 g). Esto resultados se asemejan con lo reportado por Irizar (2003) ya que compara un maíz criollo vs el híbrido H-515 sembrado en clima semifrío subhúmedo, y observó que el rendimiento más alto (8.2 t ha</w:t>
      </w:r>
      <w:r>
        <w:rPr>
          <w:color w:val="231F20"/>
          <w:position w:val="7"/>
          <w:sz w:val="12"/>
        </w:rPr>
        <w:t>-1</w:t>
      </w:r>
      <w:r>
        <w:rPr>
          <w:color w:val="231F20"/>
        </w:rPr>
        <w:t>) lo obtuvo con 120 kg N ha</w:t>
      </w:r>
      <w:r>
        <w:rPr>
          <w:color w:val="231F20"/>
          <w:position w:val="7"/>
          <w:sz w:val="12"/>
        </w:rPr>
        <w:t>-1 </w:t>
      </w:r>
      <w:r>
        <w:rPr>
          <w:color w:val="231F20"/>
        </w:rPr>
        <w:t>al híbrido H-515.</w:t>
      </w:r>
    </w:p>
    <w:p>
      <w:pPr>
        <w:pStyle w:val="BodyText"/>
        <w:spacing w:before="1"/>
      </w:pPr>
    </w:p>
    <w:p>
      <w:pPr>
        <w:spacing w:before="1"/>
        <w:ind w:left="1942" w:right="1279" w:firstLine="0"/>
        <w:jc w:val="left"/>
        <w:rPr>
          <w:b/>
          <w:sz w:val="18"/>
        </w:rPr>
      </w:pPr>
      <w:r>
        <w:rPr>
          <w:b/>
          <w:color w:val="010202"/>
          <w:sz w:val="18"/>
        </w:rPr>
        <w:t>Cuadro 1. Biomasa total, índice de cosecha, rendimiento y sus componentes entre G de maíz</w:t>
      </w:r>
    </w:p>
    <w:p>
      <w:pPr>
        <w:pStyle w:val="BodyText"/>
        <w:spacing w:before="1"/>
        <w:rPr>
          <w:b/>
          <w:sz w:val="15"/>
        </w:rPr>
      </w:pPr>
      <w:r>
        <w:rPr/>
        <w:drawing>
          <wp:anchor distT="0" distB="0" distL="0" distR="0" allowOverlap="1" layoutInCell="1" locked="0" behindDoc="0" simplePos="0" relativeHeight="3016">
            <wp:simplePos x="0" y="0"/>
            <wp:positionH relativeFrom="page">
              <wp:posOffset>806699</wp:posOffset>
            </wp:positionH>
            <wp:positionV relativeFrom="paragraph">
              <wp:posOffset>135297</wp:posOffset>
            </wp:positionV>
            <wp:extent cx="5314951" cy="1385887"/>
            <wp:effectExtent l="0" t="0" r="0" b="0"/>
            <wp:wrapTopAndBottom/>
            <wp:docPr id="89" name="image24.jpeg" descr=""/>
            <wp:cNvGraphicFramePr>
              <a:graphicFrameLocks noChangeAspect="1"/>
            </wp:cNvGraphicFramePr>
            <a:graphic>
              <a:graphicData uri="http://schemas.openxmlformats.org/drawingml/2006/picture">
                <pic:pic>
                  <pic:nvPicPr>
                    <pic:cNvPr id="90" name="image24.jpeg"/>
                    <pic:cNvPicPr/>
                  </pic:nvPicPr>
                  <pic:blipFill>
                    <a:blip r:embed="rId41" cstate="print"/>
                    <a:stretch>
                      <a:fillRect/>
                    </a:stretch>
                  </pic:blipFill>
                  <pic:spPr>
                    <a:xfrm>
                      <a:off x="0" y="0"/>
                      <a:ext cx="5314951" cy="1385887"/>
                    </a:xfrm>
                    <a:prstGeom prst="rect">
                      <a:avLst/>
                    </a:prstGeom>
                  </pic:spPr>
                </pic:pic>
              </a:graphicData>
            </a:graphic>
          </wp:anchor>
        </w:drawing>
      </w:r>
    </w:p>
    <w:p>
      <w:pPr>
        <w:pStyle w:val="BodyText"/>
        <w:spacing w:before="1"/>
        <w:rPr>
          <w:b/>
          <w:sz w:val="24"/>
        </w:rPr>
      </w:pPr>
    </w:p>
    <w:p>
      <w:pPr>
        <w:pStyle w:val="BodyText"/>
        <w:spacing w:line="249" w:lineRule="auto"/>
        <w:ind w:left="1270" w:right="1268"/>
        <w:jc w:val="both"/>
      </w:pPr>
      <w:r>
        <w:rPr>
          <w:color w:val="231F20"/>
        </w:rPr>
        <w:t>Para BT e IC los resultados presentados en el cuadro 2, indican diferencias significativas respecto  al N. Con 80 kg N ha</w:t>
      </w:r>
      <w:r>
        <w:rPr>
          <w:color w:val="231F20"/>
          <w:position w:val="7"/>
          <w:sz w:val="12"/>
        </w:rPr>
        <w:t>-1  </w:t>
      </w:r>
      <w:r>
        <w:rPr>
          <w:color w:val="231F20"/>
        </w:rPr>
        <w:t>se logran incrementos significativos de 26 % en la BT (1547 g m</w:t>
      </w:r>
      <w:r>
        <w:rPr>
          <w:color w:val="231F20"/>
          <w:position w:val="7"/>
          <w:sz w:val="12"/>
        </w:rPr>
        <w:t>-2</w:t>
      </w:r>
      <w:r>
        <w:rPr>
          <w:color w:val="231F20"/>
        </w:rPr>
        <w:t>), pero    no así para el IC donde no se obtuvo incremento. Con 160 kg N ha</w:t>
      </w:r>
      <w:r>
        <w:rPr>
          <w:color w:val="231F20"/>
          <w:position w:val="7"/>
          <w:sz w:val="12"/>
        </w:rPr>
        <w:t>-1 </w:t>
      </w:r>
      <w:r>
        <w:rPr>
          <w:color w:val="231F20"/>
        </w:rPr>
        <w:t>el incremento fue de 19 % y  12 % para BT e IC, respectivamente. Estos resultados indican que con 160 kg N ha</w:t>
      </w:r>
      <w:r>
        <w:rPr>
          <w:color w:val="231F20"/>
          <w:position w:val="7"/>
          <w:sz w:val="12"/>
        </w:rPr>
        <w:t>-1 </w:t>
      </w:r>
      <w:r>
        <w:rPr>
          <w:color w:val="231F20"/>
        </w:rPr>
        <w:t>se promovió una mayor acumulación de MS en el grano respecto a la biomasa total y que generó un mayor IC. También, indica, una mayor demanda por MS, generada por un NG y P100G más alto con relación al maíz sin N. En el maíz con la aplicación de 80 y 160 kg N ha</w:t>
      </w:r>
      <w:r>
        <w:rPr>
          <w:color w:val="231F20"/>
          <w:position w:val="7"/>
          <w:sz w:val="12"/>
        </w:rPr>
        <w:t>-1 </w:t>
      </w:r>
      <w:r>
        <w:rPr>
          <w:color w:val="231F20"/>
        </w:rPr>
        <w:t>el análisis de varianza no mostró diferencias significativas en el Rend, P100G, NH y NG. Con la aplicación de 80 kg N ha</w:t>
      </w:r>
      <w:r>
        <w:rPr>
          <w:color w:val="231F20"/>
          <w:position w:val="7"/>
          <w:sz w:val="12"/>
        </w:rPr>
        <w:t>-1 </w:t>
      </w:r>
      <w:r>
        <w:rPr>
          <w:color w:val="231F20"/>
        </w:rPr>
        <w:t>el rendi- miento se incrementó en 107 g m</w:t>
      </w:r>
      <w:r>
        <w:rPr>
          <w:color w:val="231F20"/>
          <w:position w:val="7"/>
          <w:sz w:val="12"/>
        </w:rPr>
        <w:t>-2 </w:t>
      </w:r>
      <w:r>
        <w:rPr>
          <w:color w:val="231F20"/>
        </w:rPr>
        <w:t>(24%) y el peso de 100 granos en 1.4 g (Cuadro 2). Se encontró una mayor eficiencia del N con la aplicación de 80 kg ha</w:t>
      </w:r>
      <w:r>
        <w:rPr>
          <w:color w:val="231F20"/>
          <w:position w:val="7"/>
          <w:sz w:val="12"/>
        </w:rPr>
        <w:t>-1</w:t>
      </w:r>
      <w:r>
        <w:rPr>
          <w:color w:val="231F20"/>
        </w:rPr>
        <w:t>, ya que se obtuvo el mayor Rend, P100G y NG. Resultados similares encontró Matheus (2004) en el maíz hibrido Himeca 2000 al observar que el rendimiento más alto (4384 kg ha</w:t>
      </w:r>
      <w:r>
        <w:rPr>
          <w:color w:val="231F20"/>
          <w:position w:val="7"/>
          <w:sz w:val="12"/>
        </w:rPr>
        <w:t>-1</w:t>
      </w:r>
      <w:r>
        <w:rPr>
          <w:color w:val="231F20"/>
        </w:rPr>
        <w:t>) lo obtuvo con 79 kg N ha</w:t>
      </w:r>
      <w:r>
        <w:rPr>
          <w:color w:val="231F20"/>
          <w:position w:val="7"/>
          <w:sz w:val="12"/>
        </w:rPr>
        <w:t>-1</w:t>
      </w:r>
      <w:r>
        <w:rPr>
          <w:color w:val="231F20"/>
        </w:rPr>
        <w:t>. Al respecto, Harmsen</w:t>
      </w:r>
      <w:r>
        <w:rPr>
          <w:color w:val="231F20"/>
          <w:spacing w:val="-20"/>
        </w:rPr>
        <w:t> </w:t>
      </w:r>
      <w:r>
        <w:rPr>
          <w:color w:val="231F20"/>
        </w:rPr>
        <w:t>(1984) menciona</w:t>
      </w:r>
      <w:r>
        <w:rPr>
          <w:color w:val="231F20"/>
          <w:spacing w:val="-4"/>
        </w:rPr>
        <w:t> </w:t>
      </w:r>
      <w:r>
        <w:rPr>
          <w:color w:val="231F20"/>
        </w:rPr>
        <w:t>que</w:t>
      </w:r>
      <w:r>
        <w:rPr>
          <w:color w:val="231F20"/>
          <w:spacing w:val="-4"/>
        </w:rPr>
        <w:t> </w:t>
      </w:r>
      <w:r>
        <w:rPr>
          <w:color w:val="231F20"/>
        </w:rPr>
        <w:t>la</w:t>
      </w:r>
      <w:r>
        <w:rPr>
          <w:color w:val="231F20"/>
          <w:spacing w:val="-4"/>
        </w:rPr>
        <w:t> </w:t>
      </w:r>
      <w:r>
        <w:rPr>
          <w:color w:val="231F20"/>
        </w:rPr>
        <w:t>eficiencia</w:t>
      </w:r>
      <w:r>
        <w:rPr>
          <w:color w:val="231F20"/>
          <w:spacing w:val="-4"/>
        </w:rPr>
        <w:t> </w:t>
      </w:r>
      <w:r>
        <w:rPr>
          <w:color w:val="231F20"/>
        </w:rPr>
        <w:t>agronómica</w:t>
      </w:r>
      <w:r>
        <w:rPr>
          <w:color w:val="231F20"/>
          <w:spacing w:val="-4"/>
        </w:rPr>
        <w:t> </w:t>
      </w:r>
      <w:r>
        <w:rPr>
          <w:color w:val="231F20"/>
        </w:rPr>
        <w:t>del</w:t>
      </w:r>
      <w:r>
        <w:rPr>
          <w:color w:val="231F20"/>
          <w:spacing w:val="-4"/>
        </w:rPr>
        <w:t> </w:t>
      </w:r>
      <w:r>
        <w:rPr>
          <w:color w:val="231F20"/>
        </w:rPr>
        <w:t>fertilizante</w:t>
      </w:r>
      <w:r>
        <w:rPr>
          <w:color w:val="231F20"/>
          <w:spacing w:val="-4"/>
        </w:rPr>
        <w:t> </w:t>
      </w:r>
      <w:r>
        <w:rPr>
          <w:color w:val="231F20"/>
        </w:rPr>
        <w:t>generalmente</w:t>
      </w:r>
      <w:r>
        <w:rPr>
          <w:color w:val="231F20"/>
          <w:spacing w:val="-4"/>
        </w:rPr>
        <w:t> </w:t>
      </w:r>
      <w:r>
        <w:rPr>
          <w:color w:val="231F20"/>
        </w:rPr>
        <w:t>decrece</w:t>
      </w:r>
      <w:r>
        <w:rPr>
          <w:color w:val="231F20"/>
          <w:spacing w:val="-4"/>
        </w:rPr>
        <w:t> </w:t>
      </w:r>
      <w:r>
        <w:rPr>
          <w:color w:val="231F20"/>
        </w:rPr>
        <w:t>con</w:t>
      </w:r>
      <w:r>
        <w:rPr>
          <w:color w:val="231F20"/>
          <w:spacing w:val="-4"/>
        </w:rPr>
        <w:t> </w:t>
      </w:r>
      <w:r>
        <w:rPr>
          <w:color w:val="231F20"/>
        </w:rPr>
        <w:t>incrementos</w:t>
      </w:r>
      <w:r>
        <w:rPr>
          <w:color w:val="231F20"/>
          <w:spacing w:val="-4"/>
        </w:rPr>
        <w:t> </w:t>
      </w:r>
      <w:r>
        <w:rPr>
          <w:color w:val="231F20"/>
        </w:rPr>
        <w:t>en</w:t>
      </w:r>
      <w:r>
        <w:rPr>
          <w:color w:val="231F20"/>
          <w:spacing w:val="-4"/>
        </w:rPr>
        <w:t> </w:t>
      </w:r>
      <w:r>
        <w:rPr>
          <w:color w:val="231F20"/>
        </w:rPr>
        <w:t>los niveles del fertilizante aplicado.</w:t>
      </w:r>
    </w:p>
    <w:p>
      <w:pPr>
        <w:spacing w:after="0" w:line="249" w:lineRule="auto"/>
        <w:jc w:val="both"/>
        <w:sectPr>
          <w:pgSz w:w="10920" w:h="13080"/>
          <w:pgMar w:header="0" w:footer="1025" w:top="420" w:bottom="1220" w:left="0" w:right="0"/>
        </w:sectPr>
      </w:pPr>
    </w:p>
    <w:p>
      <w:pPr>
        <w:pStyle w:val="BodyText"/>
        <w:rPr>
          <w:sz w:val="20"/>
        </w:rPr>
      </w:pPr>
    </w:p>
    <w:p>
      <w:pPr>
        <w:pStyle w:val="BodyText"/>
        <w:rPr>
          <w:sz w:val="20"/>
        </w:rPr>
      </w:pPr>
    </w:p>
    <w:p>
      <w:pPr>
        <w:pStyle w:val="BodyText"/>
        <w:rPr>
          <w:sz w:val="23"/>
        </w:rPr>
      </w:pPr>
    </w:p>
    <w:p>
      <w:pPr>
        <w:spacing w:line="290" w:lineRule="auto" w:before="77"/>
        <w:ind w:left="2555" w:right="2553" w:firstLine="0"/>
        <w:jc w:val="center"/>
        <w:rPr>
          <w:b/>
          <w:sz w:val="18"/>
        </w:rPr>
      </w:pPr>
      <w:r>
        <w:rPr>
          <w:b/>
          <w:color w:val="010202"/>
          <w:sz w:val="18"/>
        </w:rPr>
        <w:t>Cuadro 2. Biomasa total, índice de cosecha, rendimiento y sus componentes a diferentes dosis de fertilización nitrogenada</w:t>
      </w:r>
    </w:p>
    <w:p>
      <w:pPr>
        <w:pStyle w:val="BodyText"/>
        <w:spacing w:before="3"/>
        <w:rPr>
          <w:b/>
          <w:sz w:val="11"/>
        </w:rPr>
      </w:pPr>
      <w:r>
        <w:rPr/>
        <w:drawing>
          <wp:anchor distT="0" distB="0" distL="0" distR="0" allowOverlap="1" layoutInCell="1" locked="0" behindDoc="0" simplePos="0" relativeHeight="3040">
            <wp:simplePos x="0" y="0"/>
            <wp:positionH relativeFrom="page">
              <wp:posOffset>806699</wp:posOffset>
            </wp:positionH>
            <wp:positionV relativeFrom="paragraph">
              <wp:posOffset>107273</wp:posOffset>
            </wp:positionV>
            <wp:extent cx="5314945" cy="1585912"/>
            <wp:effectExtent l="0" t="0" r="0" b="0"/>
            <wp:wrapTopAndBottom/>
            <wp:docPr id="91" name="image25.jpeg" descr=""/>
            <wp:cNvGraphicFramePr>
              <a:graphicFrameLocks noChangeAspect="1"/>
            </wp:cNvGraphicFramePr>
            <a:graphic>
              <a:graphicData uri="http://schemas.openxmlformats.org/drawingml/2006/picture">
                <pic:pic>
                  <pic:nvPicPr>
                    <pic:cNvPr id="92" name="image25.jpeg"/>
                    <pic:cNvPicPr/>
                  </pic:nvPicPr>
                  <pic:blipFill>
                    <a:blip r:embed="rId42" cstate="print"/>
                    <a:stretch>
                      <a:fillRect/>
                    </a:stretch>
                  </pic:blipFill>
                  <pic:spPr>
                    <a:xfrm>
                      <a:off x="0" y="0"/>
                      <a:ext cx="5314945" cy="1585912"/>
                    </a:xfrm>
                    <a:prstGeom prst="rect">
                      <a:avLst/>
                    </a:prstGeom>
                  </pic:spPr>
                </pic:pic>
              </a:graphicData>
            </a:graphic>
          </wp:anchor>
        </w:drawing>
      </w:r>
    </w:p>
    <w:p>
      <w:pPr>
        <w:pStyle w:val="BodyText"/>
        <w:spacing w:before="1"/>
        <w:rPr>
          <w:b/>
          <w:sz w:val="24"/>
        </w:rPr>
      </w:pPr>
    </w:p>
    <w:p>
      <w:pPr>
        <w:pStyle w:val="BodyText"/>
        <w:spacing w:line="249" w:lineRule="auto"/>
        <w:ind w:left="1270" w:right="1268"/>
        <w:jc w:val="both"/>
      </w:pPr>
      <w:r>
        <w:rPr>
          <w:color w:val="231F20"/>
        </w:rPr>
        <w:t>La</w:t>
      </w:r>
      <w:r>
        <w:rPr>
          <w:color w:val="231F20"/>
          <w:spacing w:val="-8"/>
        </w:rPr>
        <w:t> </w:t>
      </w:r>
      <w:r>
        <w:rPr>
          <w:color w:val="231F20"/>
        </w:rPr>
        <w:t>BT</w:t>
      </w:r>
      <w:r>
        <w:rPr>
          <w:color w:val="231F20"/>
          <w:spacing w:val="-12"/>
        </w:rPr>
        <w:t> </w:t>
      </w:r>
      <w:r>
        <w:rPr>
          <w:color w:val="231F20"/>
        </w:rPr>
        <w:t>no</w:t>
      </w:r>
      <w:r>
        <w:rPr>
          <w:color w:val="231F20"/>
          <w:spacing w:val="-8"/>
        </w:rPr>
        <w:t> </w:t>
      </w:r>
      <w:r>
        <w:rPr>
          <w:color w:val="231F20"/>
        </w:rPr>
        <w:t>presentó</w:t>
      </w:r>
      <w:r>
        <w:rPr>
          <w:color w:val="231F20"/>
          <w:spacing w:val="-8"/>
        </w:rPr>
        <w:t> </w:t>
      </w:r>
      <w:r>
        <w:rPr>
          <w:color w:val="231F20"/>
        </w:rPr>
        <w:t>efectos</w:t>
      </w:r>
      <w:r>
        <w:rPr>
          <w:color w:val="231F20"/>
          <w:spacing w:val="-8"/>
        </w:rPr>
        <w:t> </w:t>
      </w:r>
      <w:r>
        <w:rPr>
          <w:color w:val="231F20"/>
        </w:rPr>
        <w:t>significativos</w:t>
      </w:r>
      <w:r>
        <w:rPr>
          <w:color w:val="231F20"/>
          <w:spacing w:val="-8"/>
        </w:rPr>
        <w:t> </w:t>
      </w:r>
      <w:r>
        <w:rPr>
          <w:color w:val="231F20"/>
        </w:rPr>
        <w:t>por</w:t>
      </w:r>
      <w:r>
        <w:rPr>
          <w:color w:val="231F20"/>
          <w:spacing w:val="-8"/>
        </w:rPr>
        <w:t> </w:t>
      </w:r>
      <w:r>
        <w:rPr>
          <w:color w:val="231F20"/>
        </w:rPr>
        <w:t>la</w:t>
      </w:r>
      <w:r>
        <w:rPr>
          <w:color w:val="231F20"/>
          <w:spacing w:val="-8"/>
        </w:rPr>
        <w:t> </w:t>
      </w:r>
      <w:r>
        <w:rPr>
          <w:color w:val="231F20"/>
        </w:rPr>
        <w:t>interacción</w:t>
      </w:r>
      <w:r>
        <w:rPr>
          <w:color w:val="231F20"/>
          <w:spacing w:val="-8"/>
        </w:rPr>
        <w:t> </w:t>
      </w:r>
      <w:r>
        <w:rPr>
          <w:color w:val="231F20"/>
        </w:rPr>
        <w:t>G</w:t>
      </w:r>
      <w:r>
        <w:rPr>
          <w:color w:val="231F20"/>
          <w:spacing w:val="-8"/>
        </w:rPr>
        <w:t> </w:t>
      </w:r>
      <w:r>
        <w:rPr>
          <w:color w:val="231F20"/>
        </w:rPr>
        <w:t>*</w:t>
      </w:r>
      <w:r>
        <w:rPr>
          <w:color w:val="231F20"/>
          <w:spacing w:val="-8"/>
        </w:rPr>
        <w:t> </w:t>
      </w:r>
      <w:r>
        <w:rPr>
          <w:color w:val="231F20"/>
        </w:rPr>
        <w:t>N.</w:t>
      </w:r>
      <w:r>
        <w:rPr>
          <w:color w:val="231F20"/>
          <w:spacing w:val="-8"/>
        </w:rPr>
        <w:t> </w:t>
      </w:r>
      <w:r>
        <w:rPr>
          <w:color w:val="231F20"/>
        </w:rPr>
        <w:t>Los</w:t>
      </w:r>
      <w:r>
        <w:rPr>
          <w:color w:val="231F20"/>
          <w:spacing w:val="-8"/>
        </w:rPr>
        <w:t> </w:t>
      </w:r>
      <w:r>
        <w:rPr>
          <w:color w:val="231F20"/>
        </w:rPr>
        <w:t>resultados</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figura</w:t>
      </w:r>
      <w:r>
        <w:rPr>
          <w:color w:val="231F20"/>
          <w:spacing w:val="-8"/>
        </w:rPr>
        <w:t> </w:t>
      </w:r>
      <w:r>
        <w:rPr>
          <w:color w:val="231F20"/>
        </w:rPr>
        <w:t>2,</w:t>
      </w:r>
      <w:r>
        <w:rPr>
          <w:color w:val="231F20"/>
          <w:spacing w:val="-8"/>
        </w:rPr>
        <w:t> </w:t>
      </w:r>
      <w:r>
        <w:rPr>
          <w:color w:val="231F20"/>
        </w:rPr>
        <w:t>mos- traron que la mayor eficiencia en producción de BT se obtuvo con el criollo </w:t>
      </w:r>
      <w:r>
        <w:rPr>
          <w:color w:val="231F20"/>
          <w:spacing w:val="-4"/>
        </w:rPr>
        <w:t>Vandeño </w:t>
      </w:r>
      <w:r>
        <w:rPr>
          <w:color w:val="231F20"/>
        </w:rPr>
        <w:t>a una dosis de 80</w:t>
      </w:r>
      <w:r>
        <w:rPr>
          <w:color w:val="231F20"/>
          <w:spacing w:val="-8"/>
        </w:rPr>
        <w:t> </w:t>
      </w:r>
      <w:r>
        <w:rPr>
          <w:color w:val="231F20"/>
        </w:rPr>
        <w:t>kg</w:t>
      </w:r>
      <w:r>
        <w:rPr>
          <w:color w:val="231F20"/>
          <w:spacing w:val="-8"/>
        </w:rPr>
        <w:t> </w:t>
      </w:r>
      <w:r>
        <w:rPr>
          <w:color w:val="231F20"/>
        </w:rPr>
        <w:t>N</w:t>
      </w:r>
      <w:r>
        <w:rPr>
          <w:color w:val="231F20"/>
          <w:spacing w:val="-8"/>
        </w:rPr>
        <w:t> </w:t>
      </w:r>
      <w:r>
        <w:rPr>
          <w:color w:val="231F20"/>
        </w:rPr>
        <w:t>ha</w:t>
      </w:r>
      <w:r>
        <w:rPr>
          <w:color w:val="231F20"/>
          <w:position w:val="7"/>
          <w:sz w:val="12"/>
        </w:rPr>
        <w:t>-1</w:t>
      </w:r>
      <w:r>
        <w:rPr>
          <w:color w:val="231F20"/>
        </w:rPr>
        <w:t>,</w:t>
      </w:r>
      <w:r>
        <w:rPr>
          <w:color w:val="231F20"/>
          <w:spacing w:val="-8"/>
        </w:rPr>
        <w:t> </w:t>
      </w:r>
      <w:r>
        <w:rPr>
          <w:color w:val="231F20"/>
        </w:rPr>
        <w:t>ya</w:t>
      </w:r>
      <w:r>
        <w:rPr>
          <w:color w:val="231F20"/>
          <w:spacing w:val="-8"/>
        </w:rPr>
        <w:t> </w:t>
      </w:r>
      <w:r>
        <w:rPr>
          <w:color w:val="231F20"/>
        </w:rPr>
        <w:t>que</w:t>
      </w:r>
      <w:r>
        <w:rPr>
          <w:color w:val="231F20"/>
          <w:spacing w:val="-8"/>
        </w:rPr>
        <w:t> </w:t>
      </w:r>
      <w:r>
        <w:rPr>
          <w:color w:val="231F20"/>
        </w:rPr>
        <w:t>por</w:t>
      </w:r>
      <w:r>
        <w:rPr>
          <w:color w:val="231F20"/>
          <w:spacing w:val="-8"/>
        </w:rPr>
        <w:t> </w:t>
      </w:r>
      <w:r>
        <w:rPr>
          <w:color w:val="231F20"/>
        </w:rPr>
        <w:t>cada</w:t>
      </w:r>
      <w:r>
        <w:rPr>
          <w:color w:val="231F20"/>
          <w:spacing w:val="-8"/>
        </w:rPr>
        <w:t> </w:t>
      </w:r>
      <w:r>
        <w:rPr>
          <w:color w:val="231F20"/>
        </w:rPr>
        <w:t>kg</w:t>
      </w:r>
      <w:r>
        <w:rPr>
          <w:color w:val="231F20"/>
          <w:spacing w:val="-8"/>
        </w:rPr>
        <w:t> </w:t>
      </w:r>
      <w:r>
        <w:rPr>
          <w:color w:val="231F20"/>
        </w:rPr>
        <w:t>de</w:t>
      </w:r>
      <w:r>
        <w:rPr>
          <w:color w:val="231F20"/>
          <w:spacing w:val="-8"/>
        </w:rPr>
        <w:t> </w:t>
      </w:r>
      <w:r>
        <w:rPr>
          <w:color w:val="231F20"/>
        </w:rPr>
        <w:t>N</w:t>
      </w:r>
      <w:r>
        <w:rPr>
          <w:color w:val="231F20"/>
          <w:spacing w:val="-8"/>
        </w:rPr>
        <w:t> </w:t>
      </w:r>
      <w:r>
        <w:rPr>
          <w:color w:val="231F20"/>
        </w:rPr>
        <w:t>aplicado</w:t>
      </w:r>
      <w:r>
        <w:rPr>
          <w:color w:val="231F20"/>
          <w:spacing w:val="-8"/>
        </w:rPr>
        <w:t> </w:t>
      </w:r>
      <w:r>
        <w:rPr>
          <w:color w:val="231F20"/>
        </w:rPr>
        <w:t>se</w:t>
      </w:r>
      <w:r>
        <w:rPr>
          <w:color w:val="231F20"/>
          <w:spacing w:val="-8"/>
        </w:rPr>
        <w:t> </w:t>
      </w:r>
      <w:r>
        <w:rPr>
          <w:color w:val="231F20"/>
        </w:rPr>
        <w:t>incrementó</w:t>
      </w:r>
      <w:r>
        <w:rPr>
          <w:color w:val="231F20"/>
          <w:spacing w:val="-8"/>
        </w:rPr>
        <w:t> </w:t>
      </w:r>
      <w:r>
        <w:rPr>
          <w:color w:val="231F20"/>
        </w:rPr>
        <w:t>10.25</w:t>
      </w:r>
      <w:r>
        <w:rPr>
          <w:color w:val="231F20"/>
          <w:spacing w:val="-8"/>
        </w:rPr>
        <w:t> </w:t>
      </w:r>
      <w:r>
        <w:rPr>
          <w:color w:val="231F20"/>
        </w:rPr>
        <w:t>g</w:t>
      </w:r>
      <w:r>
        <w:rPr>
          <w:color w:val="231F20"/>
          <w:spacing w:val="-8"/>
        </w:rPr>
        <w:t> </w:t>
      </w:r>
      <w:r>
        <w:rPr>
          <w:color w:val="231F20"/>
        </w:rPr>
        <w:t>m</w:t>
      </w:r>
      <w:r>
        <w:rPr>
          <w:color w:val="231F20"/>
          <w:position w:val="7"/>
          <w:sz w:val="12"/>
        </w:rPr>
        <w:t>-2</w:t>
      </w:r>
      <w:r>
        <w:rPr>
          <w:color w:val="231F20"/>
        </w:rPr>
        <w:t>.</w:t>
      </w:r>
      <w:r>
        <w:rPr>
          <w:color w:val="231F20"/>
          <w:spacing w:val="-8"/>
        </w:rPr>
        <w:t> </w:t>
      </w:r>
      <w:r>
        <w:rPr>
          <w:color w:val="231F20"/>
        </w:rPr>
        <w:t>Para</w:t>
      </w:r>
      <w:r>
        <w:rPr>
          <w:color w:val="231F20"/>
          <w:spacing w:val="-8"/>
        </w:rPr>
        <w:t> </w:t>
      </w:r>
      <w:r>
        <w:rPr>
          <w:color w:val="231F20"/>
        </w:rPr>
        <w:t>el</w:t>
      </w:r>
      <w:r>
        <w:rPr>
          <w:color w:val="231F20"/>
          <w:spacing w:val="-8"/>
        </w:rPr>
        <w:t> </w:t>
      </w:r>
      <w:r>
        <w:rPr>
          <w:color w:val="231F20"/>
        </w:rPr>
        <w:t>Rend</w:t>
      </w:r>
      <w:r>
        <w:rPr>
          <w:color w:val="231F20"/>
          <w:spacing w:val="-8"/>
        </w:rPr>
        <w:t> </w:t>
      </w:r>
      <w:r>
        <w:rPr>
          <w:color w:val="231F20"/>
        </w:rPr>
        <w:t>el</w:t>
      </w:r>
      <w:r>
        <w:rPr>
          <w:color w:val="231F20"/>
          <w:spacing w:val="-8"/>
        </w:rPr>
        <w:t> </w:t>
      </w:r>
      <w:r>
        <w:rPr>
          <w:color w:val="231F20"/>
        </w:rPr>
        <w:t>N</w:t>
      </w:r>
      <w:r>
        <w:rPr>
          <w:color w:val="231F20"/>
          <w:spacing w:val="-8"/>
        </w:rPr>
        <w:t> </w:t>
      </w:r>
      <w:r>
        <w:rPr>
          <w:color w:val="231F20"/>
        </w:rPr>
        <w:t>ocasionó cambios significativos. El Rend más alto (522 g m</w:t>
      </w:r>
      <w:r>
        <w:rPr>
          <w:color w:val="231F20"/>
          <w:position w:val="7"/>
          <w:sz w:val="12"/>
        </w:rPr>
        <w:t>-2</w:t>
      </w:r>
      <w:r>
        <w:rPr>
          <w:color w:val="231F20"/>
        </w:rPr>
        <w:t>) se logró con 160 kg N ha</w:t>
      </w:r>
      <w:r>
        <w:rPr>
          <w:color w:val="231F20"/>
          <w:position w:val="7"/>
          <w:sz w:val="12"/>
        </w:rPr>
        <w:t>-1 </w:t>
      </w:r>
      <w:r>
        <w:rPr>
          <w:color w:val="231F20"/>
        </w:rPr>
        <w:t>con el genotipo</w:t>
      </w:r>
      <w:r>
        <w:rPr>
          <w:color w:val="231F20"/>
          <w:spacing w:val="-26"/>
        </w:rPr>
        <w:t> </w:t>
      </w:r>
      <w:r>
        <w:rPr>
          <w:color w:val="231F20"/>
        </w:rPr>
        <w:t>VS- 535, en comparación con </w:t>
      </w:r>
      <w:r>
        <w:rPr>
          <w:color w:val="231F20"/>
          <w:spacing w:val="-3"/>
        </w:rPr>
        <w:t>Vandeño, </w:t>
      </w:r>
      <w:r>
        <w:rPr>
          <w:color w:val="231F20"/>
        </w:rPr>
        <w:t>pero este presentó mayor eficiencia agronómica del nitrógeno, ya que por cada kg de N aplicado se incrementó 2.3 g m</w:t>
      </w:r>
      <w:r>
        <w:rPr>
          <w:color w:val="231F20"/>
          <w:position w:val="7"/>
          <w:sz w:val="12"/>
        </w:rPr>
        <w:t>-2 </w:t>
      </w:r>
      <w:r>
        <w:rPr>
          <w:color w:val="231F20"/>
        </w:rPr>
        <w:t>(Figura 2). Esto resultados difieren con  lo reportado por Gonzales (2011) en el maíz VS-535 sembrado bajo condiciones de clima cálido, al observar que el rendimiento más alto (5.9 t ha</w:t>
      </w:r>
      <w:r>
        <w:rPr>
          <w:color w:val="231F20"/>
          <w:position w:val="7"/>
          <w:sz w:val="12"/>
        </w:rPr>
        <w:t>-1</w:t>
      </w:r>
      <w:r>
        <w:rPr>
          <w:color w:val="231F20"/>
        </w:rPr>
        <w:t>) lo obtuvo aplicando 90 kg N</w:t>
      </w:r>
      <w:r>
        <w:rPr>
          <w:color w:val="231F20"/>
          <w:spacing w:val="2"/>
        </w:rPr>
        <w:t> </w:t>
      </w:r>
      <w:r>
        <w:rPr>
          <w:color w:val="231F20"/>
        </w:rPr>
        <w:t>ha</w:t>
      </w:r>
      <w:r>
        <w:rPr>
          <w:color w:val="231F20"/>
          <w:position w:val="7"/>
          <w:sz w:val="12"/>
        </w:rPr>
        <w:t>-1</w:t>
      </w:r>
      <w:r>
        <w:rPr>
          <w:color w:val="231F20"/>
        </w:rPr>
        <w:t>.</w:t>
      </w:r>
    </w:p>
    <w:p>
      <w:pPr>
        <w:pStyle w:val="BodyText"/>
        <w:spacing w:before="1"/>
      </w:pPr>
    </w:p>
    <w:p>
      <w:pPr>
        <w:spacing w:before="0"/>
        <w:ind w:left="1266" w:right="1266" w:firstLine="0"/>
        <w:jc w:val="center"/>
        <w:rPr>
          <w:b/>
          <w:sz w:val="18"/>
        </w:rPr>
      </w:pPr>
      <w:r>
        <w:rPr>
          <w:b/>
          <w:color w:val="010202"/>
          <w:sz w:val="18"/>
        </w:rPr>
        <w:t>Figura 2. Biomasa total, rendimiento y sus componentes con la interacción genotipos niveles de nitrógeno</w:t>
      </w:r>
    </w:p>
    <w:p>
      <w:pPr>
        <w:pStyle w:val="BodyText"/>
        <w:spacing w:before="1"/>
        <w:rPr>
          <w:b/>
          <w:sz w:val="15"/>
        </w:rPr>
      </w:pPr>
      <w:r>
        <w:rPr/>
        <w:drawing>
          <wp:anchor distT="0" distB="0" distL="0" distR="0" allowOverlap="1" layoutInCell="1" locked="0" behindDoc="0" simplePos="0" relativeHeight="3064">
            <wp:simplePos x="0" y="0"/>
            <wp:positionH relativeFrom="page">
              <wp:posOffset>792300</wp:posOffset>
            </wp:positionH>
            <wp:positionV relativeFrom="paragraph">
              <wp:posOffset>135295</wp:posOffset>
            </wp:positionV>
            <wp:extent cx="5349620" cy="1701164"/>
            <wp:effectExtent l="0" t="0" r="0" b="0"/>
            <wp:wrapTopAndBottom/>
            <wp:docPr id="93" name="image26.png" descr=""/>
            <wp:cNvGraphicFramePr>
              <a:graphicFrameLocks noChangeAspect="1"/>
            </wp:cNvGraphicFramePr>
            <a:graphic>
              <a:graphicData uri="http://schemas.openxmlformats.org/drawingml/2006/picture">
                <pic:pic>
                  <pic:nvPicPr>
                    <pic:cNvPr id="94" name="image26.png"/>
                    <pic:cNvPicPr/>
                  </pic:nvPicPr>
                  <pic:blipFill>
                    <a:blip r:embed="rId43" cstate="print"/>
                    <a:stretch>
                      <a:fillRect/>
                    </a:stretch>
                  </pic:blipFill>
                  <pic:spPr>
                    <a:xfrm>
                      <a:off x="0" y="0"/>
                      <a:ext cx="5349620" cy="1701164"/>
                    </a:xfrm>
                    <a:prstGeom prst="rect">
                      <a:avLst/>
                    </a:prstGeom>
                  </pic:spPr>
                </pic:pic>
              </a:graphicData>
            </a:graphic>
          </wp:anchor>
        </w:drawing>
      </w:r>
    </w:p>
    <w:p>
      <w:pPr>
        <w:pStyle w:val="BodyText"/>
        <w:spacing w:before="8"/>
        <w:rPr>
          <w:b/>
          <w:sz w:val="24"/>
        </w:rPr>
      </w:pPr>
    </w:p>
    <w:p>
      <w:pPr>
        <w:pStyle w:val="Heading3"/>
        <w:spacing w:before="1"/>
      </w:pPr>
      <w:r>
        <w:rPr>
          <w:color w:val="010202"/>
        </w:rPr>
        <w:t>Conclusiones</w:t>
      </w:r>
    </w:p>
    <w:p>
      <w:pPr>
        <w:pStyle w:val="BodyText"/>
        <w:spacing w:before="10"/>
        <w:rPr>
          <w:b/>
        </w:rPr>
      </w:pPr>
    </w:p>
    <w:p>
      <w:pPr>
        <w:pStyle w:val="BodyText"/>
        <w:spacing w:line="247" w:lineRule="auto"/>
        <w:ind w:left="1270" w:right="1268"/>
        <w:jc w:val="both"/>
      </w:pPr>
      <w:r>
        <w:rPr>
          <w:color w:val="231F20"/>
        </w:rPr>
        <w:t>Bajo condiciones de clima cálido en siembra de temporal, el maíz mejorado superó al maíz criollo en la producción de biomasa total y rendimiento de maíz. La aplicación de urea a 80 kg N ha-1   in-</w:t>
      </w:r>
    </w:p>
    <w:p>
      <w:pPr>
        <w:spacing w:after="0" w:line="247" w:lineRule="auto"/>
        <w:jc w:val="both"/>
        <w:sectPr>
          <w:pgSz w:w="10920" w:h="13080"/>
          <w:pgMar w:header="0" w:footer="1025" w:top="420" w:bottom="1220" w:left="0" w:right="0"/>
        </w:sectPr>
      </w:pPr>
    </w:p>
    <w:p>
      <w:pPr>
        <w:pStyle w:val="BodyText"/>
        <w:rPr>
          <w:sz w:val="20"/>
        </w:rPr>
      </w:pPr>
    </w:p>
    <w:p>
      <w:pPr>
        <w:pStyle w:val="BodyText"/>
        <w:rPr>
          <w:sz w:val="20"/>
        </w:rPr>
      </w:pPr>
    </w:p>
    <w:p>
      <w:pPr>
        <w:pStyle w:val="BodyText"/>
        <w:rPr>
          <w:sz w:val="23"/>
        </w:rPr>
      </w:pPr>
    </w:p>
    <w:p>
      <w:pPr>
        <w:pStyle w:val="BodyText"/>
        <w:spacing w:before="73"/>
        <w:ind w:left="1270"/>
        <w:jc w:val="both"/>
      </w:pPr>
      <w:r>
        <w:rPr>
          <w:color w:val="231F20"/>
        </w:rPr>
        <w:t>crementa la biomasa total y rendimiento del maíz. El genotipo Vandeño presentó mayor   eficiencia</w:t>
      </w:r>
    </w:p>
    <w:p>
      <w:pPr>
        <w:pStyle w:val="BodyText"/>
        <w:spacing w:before="8"/>
        <w:ind w:left="1270"/>
        <w:jc w:val="both"/>
      </w:pPr>
      <w:r>
        <w:rPr>
          <w:color w:val="231F20"/>
        </w:rPr>
        <w:t>del nitrógeno.</w:t>
      </w:r>
    </w:p>
    <w:p>
      <w:pPr>
        <w:pStyle w:val="BodyText"/>
        <w:spacing w:before="4"/>
        <w:rPr>
          <w:sz w:val="23"/>
        </w:rPr>
      </w:pPr>
    </w:p>
    <w:p>
      <w:pPr>
        <w:pStyle w:val="Heading3"/>
      </w:pPr>
      <w:r>
        <w:rPr>
          <w:color w:val="010202"/>
        </w:rPr>
        <w:t>Literatura citada</w:t>
      </w:r>
    </w:p>
    <w:p>
      <w:pPr>
        <w:pStyle w:val="BodyText"/>
        <w:spacing w:before="7"/>
        <w:rPr>
          <w:b/>
        </w:rPr>
      </w:pPr>
    </w:p>
    <w:p>
      <w:pPr>
        <w:spacing w:line="249" w:lineRule="auto" w:before="0"/>
        <w:ind w:left="1270" w:right="1268" w:firstLine="0"/>
        <w:jc w:val="both"/>
        <w:rPr>
          <w:sz w:val="19"/>
        </w:rPr>
      </w:pPr>
      <w:r>
        <w:rPr>
          <w:color w:val="231F20"/>
          <w:sz w:val="19"/>
        </w:rPr>
        <w:t>Andrade, F., A. Cirilo, S. Uhart, M. E. Otegui. 1996. Ecofisiologia del cultivo de maíz. Editorial La Barrosa y Dekalb Press. Buenos Ares, Argentino. 292 p.</w:t>
      </w:r>
    </w:p>
    <w:p>
      <w:pPr>
        <w:pStyle w:val="BodyText"/>
        <w:spacing w:before="10"/>
        <w:rPr>
          <w:sz w:val="19"/>
        </w:rPr>
      </w:pPr>
    </w:p>
    <w:p>
      <w:pPr>
        <w:spacing w:line="249" w:lineRule="auto" w:before="0"/>
        <w:ind w:left="1270" w:right="1268" w:firstLine="0"/>
        <w:jc w:val="both"/>
        <w:rPr>
          <w:sz w:val="19"/>
        </w:rPr>
      </w:pPr>
      <w:r>
        <w:rPr>
          <w:color w:val="231F20"/>
          <w:sz w:val="19"/>
        </w:rPr>
        <w:t>García</w:t>
      </w:r>
      <w:r>
        <w:rPr>
          <w:color w:val="231F20"/>
          <w:spacing w:val="-4"/>
          <w:sz w:val="19"/>
        </w:rPr>
        <w:t> </w:t>
      </w:r>
      <w:r>
        <w:rPr>
          <w:color w:val="231F20"/>
          <w:sz w:val="19"/>
        </w:rPr>
        <w:t>E.</w:t>
      </w:r>
      <w:r>
        <w:rPr>
          <w:color w:val="231F20"/>
          <w:spacing w:val="-4"/>
          <w:sz w:val="19"/>
        </w:rPr>
        <w:t> </w:t>
      </w:r>
      <w:r>
        <w:rPr>
          <w:color w:val="231F20"/>
          <w:sz w:val="19"/>
        </w:rPr>
        <w:t>2005.</w:t>
      </w:r>
      <w:r>
        <w:rPr>
          <w:color w:val="231F20"/>
          <w:spacing w:val="-4"/>
          <w:sz w:val="19"/>
        </w:rPr>
        <w:t> </w:t>
      </w:r>
      <w:r>
        <w:rPr>
          <w:color w:val="231F20"/>
          <w:sz w:val="19"/>
        </w:rPr>
        <w:t>Modificación</w:t>
      </w:r>
      <w:r>
        <w:rPr>
          <w:color w:val="231F20"/>
          <w:spacing w:val="-4"/>
          <w:sz w:val="19"/>
        </w:rPr>
        <w:t> </w:t>
      </w:r>
      <w:r>
        <w:rPr>
          <w:color w:val="231F20"/>
          <w:sz w:val="19"/>
        </w:rPr>
        <w:t>al</w:t>
      </w:r>
      <w:r>
        <w:rPr>
          <w:color w:val="231F20"/>
          <w:spacing w:val="-4"/>
          <w:sz w:val="19"/>
        </w:rPr>
        <w:t> </w:t>
      </w:r>
      <w:r>
        <w:rPr>
          <w:color w:val="231F20"/>
          <w:sz w:val="19"/>
        </w:rPr>
        <w:t>sistema</w:t>
      </w:r>
      <w:r>
        <w:rPr>
          <w:color w:val="231F20"/>
          <w:spacing w:val="-4"/>
          <w:sz w:val="19"/>
        </w:rPr>
        <w:t> </w:t>
      </w:r>
      <w:r>
        <w:rPr>
          <w:color w:val="231F20"/>
          <w:sz w:val="19"/>
        </w:rPr>
        <w:t>de</w:t>
      </w:r>
      <w:r>
        <w:rPr>
          <w:color w:val="231F20"/>
          <w:spacing w:val="-4"/>
          <w:sz w:val="19"/>
        </w:rPr>
        <w:t> </w:t>
      </w:r>
      <w:r>
        <w:rPr>
          <w:color w:val="231F20"/>
          <w:sz w:val="19"/>
        </w:rPr>
        <w:t>clasificación</w:t>
      </w:r>
      <w:r>
        <w:rPr>
          <w:color w:val="231F20"/>
          <w:spacing w:val="-4"/>
          <w:sz w:val="19"/>
        </w:rPr>
        <w:t> </w:t>
      </w:r>
      <w:r>
        <w:rPr>
          <w:color w:val="231F20"/>
          <w:sz w:val="19"/>
        </w:rPr>
        <w:t>climática</w:t>
      </w:r>
      <w:r>
        <w:rPr>
          <w:color w:val="231F20"/>
          <w:spacing w:val="-4"/>
          <w:sz w:val="19"/>
        </w:rPr>
        <w:t> </w:t>
      </w:r>
      <w:r>
        <w:rPr>
          <w:color w:val="231F20"/>
          <w:sz w:val="19"/>
        </w:rPr>
        <w:t>de</w:t>
      </w:r>
      <w:r>
        <w:rPr>
          <w:color w:val="231F20"/>
          <w:spacing w:val="-4"/>
          <w:sz w:val="19"/>
        </w:rPr>
        <w:t> </w:t>
      </w:r>
      <w:r>
        <w:rPr>
          <w:color w:val="231F20"/>
          <w:sz w:val="19"/>
        </w:rPr>
        <w:t>Köppen.</w:t>
      </w:r>
      <w:r>
        <w:rPr>
          <w:color w:val="231F20"/>
          <w:spacing w:val="-4"/>
          <w:sz w:val="19"/>
        </w:rPr>
        <w:t> </w:t>
      </w:r>
      <w:r>
        <w:rPr>
          <w:color w:val="231F20"/>
          <w:sz w:val="19"/>
        </w:rPr>
        <w:t>4ª</w:t>
      </w:r>
      <w:r>
        <w:rPr>
          <w:color w:val="231F20"/>
          <w:spacing w:val="-4"/>
          <w:sz w:val="19"/>
        </w:rPr>
        <w:t> </w:t>
      </w:r>
      <w:r>
        <w:rPr>
          <w:color w:val="231F20"/>
          <w:sz w:val="19"/>
        </w:rPr>
        <w:t>Edición.</w:t>
      </w:r>
      <w:r>
        <w:rPr>
          <w:color w:val="231F20"/>
          <w:spacing w:val="-4"/>
          <w:sz w:val="19"/>
        </w:rPr>
        <w:t> </w:t>
      </w:r>
      <w:r>
        <w:rPr>
          <w:color w:val="231F20"/>
          <w:sz w:val="19"/>
        </w:rPr>
        <w:t>Instituto</w:t>
      </w:r>
      <w:r>
        <w:rPr>
          <w:color w:val="231F20"/>
          <w:spacing w:val="-4"/>
          <w:sz w:val="19"/>
        </w:rPr>
        <w:t> </w:t>
      </w:r>
      <w:r>
        <w:rPr>
          <w:color w:val="231F20"/>
          <w:sz w:val="19"/>
        </w:rPr>
        <w:t>de</w:t>
      </w:r>
      <w:r>
        <w:rPr>
          <w:color w:val="231F20"/>
          <w:spacing w:val="-4"/>
          <w:sz w:val="19"/>
        </w:rPr>
        <w:t> </w:t>
      </w:r>
      <w:r>
        <w:rPr>
          <w:color w:val="231F20"/>
          <w:sz w:val="19"/>
        </w:rPr>
        <w:t>Geogra- fía. Universidad Autónoma de México. 217</w:t>
      </w:r>
      <w:r>
        <w:rPr>
          <w:color w:val="231F20"/>
          <w:spacing w:val="-11"/>
          <w:sz w:val="19"/>
        </w:rPr>
        <w:t> </w:t>
      </w:r>
      <w:r>
        <w:rPr>
          <w:color w:val="231F20"/>
          <w:sz w:val="19"/>
        </w:rPr>
        <w:t>p.</w:t>
      </w:r>
    </w:p>
    <w:p>
      <w:pPr>
        <w:pStyle w:val="BodyText"/>
        <w:spacing w:before="10"/>
        <w:rPr>
          <w:sz w:val="19"/>
        </w:rPr>
      </w:pPr>
    </w:p>
    <w:p>
      <w:pPr>
        <w:spacing w:line="249" w:lineRule="auto" w:before="0"/>
        <w:ind w:left="1270" w:right="1268" w:firstLine="0"/>
        <w:jc w:val="both"/>
        <w:rPr>
          <w:sz w:val="19"/>
        </w:rPr>
      </w:pPr>
      <w:r>
        <w:rPr>
          <w:color w:val="231F20"/>
          <w:sz w:val="19"/>
        </w:rPr>
        <w:t>González,</w:t>
      </w:r>
      <w:r>
        <w:rPr>
          <w:color w:val="231F20"/>
          <w:spacing w:val="-4"/>
          <w:sz w:val="19"/>
        </w:rPr>
        <w:t> </w:t>
      </w:r>
      <w:r>
        <w:rPr>
          <w:color w:val="231F20"/>
          <w:sz w:val="19"/>
        </w:rPr>
        <w:t>M.</w:t>
      </w:r>
      <w:r>
        <w:rPr>
          <w:color w:val="231F20"/>
          <w:spacing w:val="-4"/>
          <w:sz w:val="19"/>
        </w:rPr>
        <w:t> </w:t>
      </w:r>
      <w:r>
        <w:rPr>
          <w:color w:val="231F20"/>
          <w:sz w:val="19"/>
        </w:rPr>
        <w:t>R.;</w:t>
      </w:r>
      <w:r>
        <w:rPr>
          <w:color w:val="231F20"/>
          <w:spacing w:val="-4"/>
          <w:sz w:val="19"/>
        </w:rPr>
        <w:t> </w:t>
      </w:r>
      <w:r>
        <w:rPr>
          <w:color w:val="231F20"/>
          <w:sz w:val="19"/>
        </w:rPr>
        <w:t>Noriega,</w:t>
      </w:r>
      <w:r>
        <w:rPr>
          <w:color w:val="231F20"/>
          <w:spacing w:val="-4"/>
          <w:sz w:val="19"/>
        </w:rPr>
        <w:t> </w:t>
      </w:r>
      <w:r>
        <w:rPr>
          <w:color w:val="231F20"/>
          <w:sz w:val="19"/>
        </w:rPr>
        <w:t>C.</w:t>
      </w:r>
      <w:r>
        <w:rPr>
          <w:color w:val="231F20"/>
          <w:spacing w:val="-4"/>
          <w:sz w:val="19"/>
        </w:rPr>
        <w:t> </w:t>
      </w:r>
      <w:r>
        <w:rPr>
          <w:color w:val="231F20"/>
          <w:sz w:val="19"/>
        </w:rPr>
        <w:t>D.;</w:t>
      </w:r>
      <w:r>
        <w:rPr>
          <w:color w:val="231F20"/>
          <w:spacing w:val="-4"/>
          <w:sz w:val="19"/>
        </w:rPr>
        <w:t> </w:t>
      </w:r>
      <w:r>
        <w:rPr>
          <w:color w:val="231F20"/>
          <w:sz w:val="19"/>
        </w:rPr>
        <w:t>Pereyda,</w:t>
      </w:r>
      <w:r>
        <w:rPr>
          <w:color w:val="231F20"/>
          <w:spacing w:val="-4"/>
          <w:sz w:val="19"/>
        </w:rPr>
        <w:t> </w:t>
      </w:r>
      <w:r>
        <w:rPr>
          <w:color w:val="231F20"/>
          <w:sz w:val="19"/>
        </w:rPr>
        <w:t>H.</w:t>
      </w:r>
      <w:r>
        <w:rPr>
          <w:color w:val="231F20"/>
          <w:spacing w:val="-4"/>
          <w:sz w:val="19"/>
        </w:rPr>
        <w:t> </w:t>
      </w:r>
      <w:r>
        <w:rPr>
          <w:color w:val="231F20"/>
          <w:sz w:val="19"/>
        </w:rPr>
        <w:t>J.;</w:t>
      </w:r>
      <w:r>
        <w:rPr>
          <w:color w:val="231F20"/>
          <w:spacing w:val="-4"/>
          <w:sz w:val="19"/>
        </w:rPr>
        <w:t> </w:t>
      </w:r>
      <w:r>
        <w:rPr>
          <w:color w:val="231F20"/>
          <w:sz w:val="19"/>
        </w:rPr>
        <w:t>Domínguez,</w:t>
      </w:r>
      <w:r>
        <w:rPr>
          <w:color w:val="231F20"/>
          <w:spacing w:val="-4"/>
          <w:sz w:val="19"/>
        </w:rPr>
        <w:t> </w:t>
      </w:r>
      <w:r>
        <w:rPr>
          <w:color w:val="231F20"/>
          <w:sz w:val="19"/>
        </w:rPr>
        <w:t>M.</w:t>
      </w:r>
      <w:r>
        <w:rPr>
          <w:color w:val="231F20"/>
          <w:spacing w:val="-7"/>
          <w:sz w:val="19"/>
        </w:rPr>
        <w:t> </w:t>
      </w:r>
      <w:r>
        <w:rPr>
          <w:color w:val="231F20"/>
          <w:spacing w:val="-13"/>
          <w:sz w:val="19"/>
        </w:rPr>
        <w:t>V.</w:t>
      </w:r>
      <w:r>
        <w:rPr>
          <w:color w:val="231F20"/>
          <w:spacing w:val="-4"/>
          <w:sz w:val="19"/>
        </w:rPr>
        <w:t> </w:t>
      </w:r>
      <w:r>
        <w:rPr>
          <w:color w:val="231F20"/>
          <w:sz w:val="19"/>
        </w:rPr>
        <w:t>M.;</w:t>
      </w:r>
      <w:r>
        <w:rPr>
          <w:color w:val="231F20"/>
          <w:spacing w:val="-4"/>
          <w:sz w:val="19"/>
        </w:rPr>
        <w:t> </w:t>
      </w:r>
      <w:r>
        <w:rPr>
          <w:color w:val="231F20"/>
          <w:sz w:val="19"/>
        </w:rPr>
        <w:t>López,</w:t>
      </w:r>
      <w:r>
        <w:rPr>
          <w:color w:val="231F20"/>
          <w:spacing w:val="-4"/>
          <w:sz w:val="19"/>
        </w:rPr>
        <w:t> </w:t>
      </w:r>
      <w:r>
        <w:rPr>
          <w:color w:val="231F20"/>
          <w:sz w:val="19"/>
        </w:rPr>
        <w:t>E.</w:t>
      </w:r>
      <w:r>
        <w:rPr>
          <w:color w:val="231F20"/>
          <w:spacing w:val="-4"/>
          <w:sz w:val="19"/>
        </w:rPr>
        <w:t> </w:t>
      </w:r>
      <w:r>
        <w:rPr>
          <w:color w:val="231F20"/>
          <w:sz w:val="19"/>
        </w:rPr>
        <w:t>M.</w:t>
      </w:r>
      <w:r>
        <w:rPr>
          <w:color w:val="231F20"/>
          <w:spacing w:val="-4"/>
          <w:sz w:val="19"/>
        </w:rPr>
        <w:t> </w:t>
      </w:r>
      <w:r>
        <w:rPr>
          <w:color w:val="231F20"/>
          <w:sz w:val="19"/>
        </w:rPr>
        <w:t>E.</w:t>
      </w:r>
      <w:r>
        <w:rPr>
          <w:color w:val="231F20"/>
          <w:spacing w:val="-4"/>
          <w:sz w:val="19"/>
        </w:rPr>
        <w:t> </w:t>
      </w:r>
      <w:r>
        <w:rPr>
          <w:color w:val="231F20"/>
          <w:sz w:val="19"/>
        </w:rPr>
        <w:t>y</w:t>
      </w:r>
      <w:r>
        <w:rPr>
          <w:color w:val="231F20"/>
          <w:spacing w:val="-4"/>
          <w:sz w:val="19"/>
        </w:rPr>
        <w:t> </w:t>
      </w:r>
      <w:r>
        <w:rPr>
          <w:color w:val="231F20"/>
          <w:sz w:val="19"/>
        </w:rPr>
        <w:t>E.</w:t>
      </w:r>
      <w:r>
        <w:rPr>
          <w:color w:val="231F20"/>
          <w:spacing w:val="-4"/>
          <w:sz w:val="19"/>
        </w:rPr>
        <w:t> </w:t>
      </w:r>
      <w:r>
        <w:rPr>
          <w:color w:val="231F20"/>
          <w:sz w:val="19"/>
        </w:rPr>
        <w:t>R.</w:t>
      </w:r>
      <w:r>
        <w:rPr>
          <w:color w:val="231F20"/>
          <w:spacing w:val="-4"/>
          <w:sz w:val="19"/>
        </w:rPr>
        <w:t> </w:t>
      </w:r>
      <w:r>
        <w:rPr>
          <w:color w:val="231F20"/>
          <w:sz w:val="19"/>
        </w:rPr>
        <w:t>Garrido.</w:t>
      </w:r>
      <w:r>
        <w:rPr>
          <w:color w:val="231F20"/>
          <w:spacing w:val="-4"/>
          <w:sz w:val="19"/>
        </w:rPr>
        <w:t> </w:t>
      </w:r>
      <w:r>
        <w:rPr>
          <w:color w:val="231F20"/>
          <w:sz w:val="19"/>
        </w:rPr>
        <w:t>2011. Fertilización química con y sin biofertilizante en maíz de temporal en Guerrero. XVI Foro de estudios sobre Guerrero. Acapulco, Guerrero. 69-73</w:t>
      </w:r>
      <w:r>
        <w:rPr>
          <w:color w:val="231F20"/>
          <w:spacing w:val="-11"/>
          <w:sz w:val="19"/>
        </w:rPr>
        <w:t> </w:t>
      </w:r>
      <w:r>
        <w:rPr>
          <w:color w:val="231F20"/>
          <w:sz w:val="19"/>
        </w:rPr>
        <w:t>pp.</w:t>
      </w:r>
    </w:p>
    <w:p>
      <w:pPr>
        <w:pStyle w:val="BodyText"/>
        <w:spacing w:before="10"/>
        <w:rPr>
          <w:sz w:val="19"/>
        </w:rPr>
      </w:pPr>
    </w:p>
    <w:p>
      <w:pPr>
        <w:spacing w:before="0"/>
        <w:ind w:left="1270" w:right="0" w:firstLine="0"/>
        <w:jc w:val="both"/>
        <w:rPr>
          <w:sz w:val="19"/>
        </w:rPr>
      </w:pPr>
      <w:r>
        <w:rPr>
          <w:color w:val="231F20"/>
          <w:sz w:val="19"/>
        </w:rPr>
        <w:t>Harmsen, K. 1984. Nitrogen fertilizer use in rainfed agriculture. Fertilizer Res. 5: 371-382.</w:t>
      </w:r>
    </w:p>
    <w:p>
      <w:pPr>
        <w:spacing w:line="249" w:lineRule="auto" w:before="9"/>
        <w:ind w:left="1270" w:right="1268" w:firstLine="0"/>
        <w:jc w:val="both"/>
        <w:rPr>
          <w:sz w:val="19"/>
        </w:rPr>
      </w:pPr>
      <w:r>
        <w:rPr>
          <w:color w:val="231F20"/>
          <w:sz w:val="19"/>
        </w:rPr>
        <w:t>Hartcamp,</w:t>
      </w:r>
      <w:r>
        <w:rPr>
          <w:color w:val="231F20"/>
          <w:spacing w:val="-13"/>
          <w:sz w:val="19"/>
        </w:rPr>
        <w:t> </w:t>
      </w:r>
      <w:r>
        <w:rPr>
          <w:color w:val="231F20"/>
          <w:sz w:val="19"/>
        </w:rPr>
        <w:t>A.</w:t>
      </w:r>
      <w:r>
        <w:rPr>
          <w:color w:val="231F20"/>
          <w:spacing w:val="-2"/>
          <w:sz w:val="19"/>
        </w:rPr>
        <w:t> </w:t>
      </w:r>
      <w:r>
        <w:rPr>
          <w:color w:val="231F20"/>
          <w:sz w:val="19"/>
        </w:rPr>
        <w:t>D.,</w:t>
      </w:r>
      <w:r>
        <w:rPr>
          <w:color w:val="231F20"/>
          <w:spacing w:val="-6"/>
          <w:sz w:val="19"/>
        </w:rPr>
        <w:t> </w:t>
      </w:r>
      <w:r>
        <w:rPr>
          <w:color w:val="231F20"/>
          <w:sz w:val="19"/>
        </w:rPr>
        <w:t>White</w:t>
      </w:r>
      <w:r>
        <w:rPr>
          <w:color w:val="231F20"/>
          <w:spacing w:val="-2"/>
          <w:sz w:val="19"/>
        </w:rPr>
        <w:t> </w:t>
      </w:r>
      <w:r>
        <w:rPr>
          <w:color w:val="231F20"/>
          <w:sz w:val="19"/>
        </w:rPr>
        <w:t>J.</w:t>
      </w:r>
      <w:r>
        <w:rPr>
          <w:color w:val="231F20"/>
          <w:spacing w:val="-6"/>
          <w:sz w:val="19"/>
        </w:rPr>
        <w:t> W.,</w:t>
      </w:r>
      <w:r>
        <w:rPr>
          <w:color w:val="231F20"/>
          <w:spacing w:val="-2"/>
          <w:sz w:val="19"/>
        </w:rPr>
        <w:t> </w:t>
      </w:r>
      <w:r>
        <w:rPr>
          <w:color w:val="231F20"/>
          <w:sz w:val="19"/>
        </w:rPr>
        <w:t>Rodríguez-Aguilar,</w:t>
      </w:r>
      <w:r>
        <w:rPr>
          <w:color w:val="231F20"/>
          <w:spacing w:val="-13"/>
          <w:sz w:val="19"/>
        </w:rPr>
        <w:t> </w:t>
      </w:r>
      <w:r>
        <w:rPr>
          <w:color w:val="231F20"/>
          <w:sz w:val="19"/>
        </w:rPr>
        <w:t>A.,</w:t>
      </w:r>
      <w:r>
        <w:rPr>
          <w:color w:val="231F20"/>
          <w:spacing w:val="-2"/>
          <w:sz w:val="19"/>
        </w:rPr>
        <w:t> </w:t>
      </w:r>
      <w:r>
        <w:rPr>
          <w:color w:val="231F20"/>
          <w:sz w:val="19"/>
        </w:rPr>
        <w:t>Bänzinger,</w:t>
      </w:r>
      <w:r>
        <w:rPr>
          <w:color w:val="231F20"/>
          <w:spacing w:val="-2"/>
          <w:sz w:val="19"/>
        </w:rPr>
        <w:t> </w:t>
      </w:r>
      <w:r>
        <w:rPr>
          <w:color w:val="231F20"/>
          <w:sz w:val="19"/>
        </w:rPr>
        <w:t>M.,</w:t>
      </w:r>
      <w:r>
        <w:rPr>
          <w:color w:val="231F20"/>
          <w:spacing w:val="-2"/>
          <w:sz w:val="19"/>
        </w:rPr>
        <w:t> </w:t>
      </w:r>
      <w:r>
        <w:rPr>
          <w:color w:val="231F20"/>
          <w:sz w:val="19"/>
        </w:rPr>
        <w:t>Hernández,</w:t>
      </w:r>
      <w:r>
        <w:rPr>
          <w:color w:val="231F20"/>
          <w:spacing w:val="-2"/>
          <w:sz w:val="19"/>
        </w:rPr>
        <w:t> </w:t>
      </w:r>
      <w:r>
        <w:rPr>
          <w:color w:val="231F20"/>
          <w:sz w:val="19"/>
        </w:rPr>
        <w:t>G.,</w:t>
      </w:r>
      <w:r>
        <w:rPr>
          <w:color w:val="231F20"/>
          <w:spacing w:val="-2"/>
          <w:sz w:val="19"/>
        </w:rPr>
        <w:t> </w:t>
      </w:r>
      <w:r>
        <w:rPr>
          <w:color w:val="231F20"/>
          <w:sz w:val="19"/>
        </w:rPr>
        <w:t>Bates,</w:t>
      </w:r>
      <w:r>
        <w:rPr>
          <w:color w:val="231F20"/>
          <w:spacing w:val="-2"/>
          <w:sz w:val="19"/>
        </w:rPr>
        <w:t> </w:t>
      </w:r>
      <w:r>
        <w:rPr>
          <w:color w:val="231F20"/>
          <w:sz w:val="19"/>
        </w:rPr>
        <w:t>L.</w:t>
      </w:r>
      <w:r>
        <w:rPr>
          <w:color w:val="231F20"/>
          <w:spacing w:val="-13"/>
          <w:sz w:val="19"/>
        </w:rPr>
        <w:t> </w:t>
      </w:r>
      <w:r>
        <w:rPr>
          <w:color w:val="231F20"/>
          <w:sz w:val="19"/>
        </w:rPr>
        <w:t>A.</w:t>
      </w:r>
      <w:r>
        <w:rPr>
          <w:color w:val="231F20"/>
          <w:spacing w:val="-2"/>
          <w:sz w:val="19"/>
        </w:rPr>
        <w:t> </w:t>
      </w:r>
      <w:r>
        <w:rPr>
          <w:color w:val="231F20"/>
          <w:sz w:val="19"/>
        </w:rPr>
        <w:t>2000.</w:t>
      </w:r>
      <w:r>
        <w:rPr>
          <w:color w:val="231F20"/>
          <w:spacing w:val="-2"/>
          <w:sz w:val="19"/>
        </w:rPr>
        <w:t> </w:t>
      </w:r>
      <w:r>
        <w:rPr>
          <w:color w:val="231F20"/>
          <w:sz w:val="19"/>
        </w:rPr>
        <w:t>Modi- fied method for rapid tryptophan analysis in maize. CIMMYT Research Bulletin 13:</w:t>
      </w:r>
      <w:r>
        <w:rPr>
          <w:color w:val="231F20"/>
          <w:spacing w:val="-14"/>
          <w:sz w:val="19"/>
        </w:rPr>
        <w:t> </w:t>
      </w:r>
      <w:r>
        <w:rPr>
          <w:color w:val="231F20"/>
          <w:sz w:val="19"/>
        </w:rPr>
        <w:t>3-6.</w:t>
      </w:r>
    </w:p>
    <w:p>
      <w:pPr>
        <w:pStyle w:val="BodyText"/>
        <w:spacing w:before="10"/>
        <w:rPr>
          <w:sz w:val="19"/>
        </w:rPr>
      </w:pPr>
    </w:p>
    <w:p>
      <w:pPr>
        <w:spacing w:line="249" w:lineRule="auto" w:before="0"/>
        <w:ind w:left="1270" w:right="1268" w:firstLine="0"/>
        <w:jc w:val="both"/>
        <w:rPr>
          <w:sz w:val="19"/>
        </w:rPr>
      </w:pPr>
      <w:r>
        <w:rPr>
          <w:color w:val="231F20"/>
          <w:sz w:val="19"/>
        </w:rPr>
        <w:t>Irízar, G. M., </w:t>
      </w:r>
      <w:r>
        <w:rPr>
          <w:color w:val="231F20"/>
          <w:spacing w:val="-11"/>
          <w:sz w:val="19"/>
        </w:rPr>
        <w:t>P. </w:t>
      </w:r>
      <w:r>
        <w:rPr>
          <w:color w:val="231F20"/>
          <w:spacing w:val="-4"/>
          <w:sz w:val="19"/>
        </w:rPr>
        <w:t>Vargas, </w:t>
      </w:r>
      <w:r>
        <w:rPr>
          <w:color w:val="231F20"/>
          <w:sz w:val="19"/>
        </w:rPr>
        <w:t>D. Garza, C. Tut, I. Rojas, A. Trujillo, R. García, D. Aguirre, J. C. Martínez, S. Alva- rado, O. Grageda, J. </w:t>
      </w:r>
      <w:r>
        <w:rPr>
          <w:color w:val="231F20"/>
          <w:spacing w:val="-3"/>
          <w:sz w:val="19"/>
        </w:rPr>
        <w:t>Valero, </w:t>
      </w:r>
      <w:r>
        <w:rPr>
          <w:color w:val="231F20"/>
          <w:sz w:val="19"/>
        </w:rPr>
        <w:t>J. Aguirre. 2003. Respuesta de cultivos agrícolas a los biofertilizantes en la</w:t>
      </w:r>
      <w:r>
        <w:rPr>
          <w:color w:val="231F20"/>
          <w:spacing w:val="-29"/>
          <w:sz w:val="19"/>
        </w:rPr>
        <w:t> </w:t>
      </w:r>
      <w:r>
        <w:rPr>
          <w:color w:val="231F20"/>
          <w:sz w:val="19"/>
        </w:rPr>
        <w:t>región central de México. Agric. Téc. Méx.</w:t>
      </w:r>
      <w:r>
        <w:rPr>
          <w:color w:val="231F20"/>
          <w:spacing w:val="-15"/>
          <w:sz w:val="19"/>
        </w:rPr>
        <w:t> </w:t>
      </w:r>
      <w:r>
        <w:rPr>
          <w:color w:val="231F20"/>
          <w:sz w:val="19"/>
        </w:rPr>
        <w:t>29:213-225.</w:t>
      </w:r>
    </w:p>
    <w:p>
      <w:pPr>
        <w:pStyle w:val="BodyText"/>
        <w:spacing w:before="10"/>
        <w:rPr>
          <w:sz w:val="19"/>
        </w:rPr>
      </w:pPr>
    </w:p>
    <w:p>
      <w:pPr>
        <w:spacing w:line="249" w:lineRule="auto" w:before="0"/>
        <w:ind w:left="1270" w:right="1268" w:firstLine="0"/>
        <w:jc w:val="both"/>
        <w:rPr>
          <w:sz w:val="19"/>
        </w:rPr>
      </w:pPr>
      <w:r>
        <w:rPr>
          <w:color w:val="231F20"/>
          <w:sz w:val="19"/>
        </w:rPr>
        <w:t>Matheus, L. J. E. 2004. Evaluación agronómica del uso de compost de residuos de la industria azucarera (bio- fertilizante) en el cultivo de maíz (Zea mays L.). Bioagro. 16(3):1316-1323.</w:t>
      </w:r>
    </w:p>
    <w:p>
      <w:pPr>
        <w:pStyle w:val="BodyText"/>
        <w:spacing w:before="10"/>
        <w:rPr>
          <w:sz w:val="19"/>
        </w:rPr>
      </w:pPr>
    </w:p>
    <w:p>
      <w:pPr>
        <w:spacing w:line="249" w:lineRule="auto" w:before="0"/>
        <w:ind w:left="1270" w:right="1268" w:firstLine="0"/>
        <w:jc w:val="both"/>
        <w:rPr>
          <w:sz w:val="19"/>
        </w:rPr>
      </w:pPr>
      <w:r>
        <w:rPr>
          <w:color w:val="231F20"/>
          <w:sz w:val="19"/>
        </w:rPr>
        <w:t>Ritchie, S. </w:t>
      </w:r>
      <w:r>
        <w:rPr>
          <w:color w:val="231F20"/>
          <w:spacing w:val="-9"/>
          <w:sz w:val="19"/>
        </w:rPr>
        <w:t>W. </w:t>
      </w:r>
      <w:r>
        <w:rPr>
          <w:color w:val="231F20"/>
          <w:sz w:val="19"/>
        </w:rPr>
        <w:t>and Hanway, J. J. 1982. How a corn plant develops. Iowa State University of Science and</w:t>
      </w:r>
      <w:r>
        <w:rPr>
          <w:color w:val="231F20"/>
          <w:spacing w:val="-11"/>
          <w:sz w:val="19"/>
        </w:rPr>
        <w:t> </w:t>
      </w:r>
      <w:r>
        <w:rPr>
          <w:color w:val="231F20"/>
          <w:spacing w:val="-3"/>
          <w:sz w:val="19"/>
        </w:rPr>
        <w:t>Tech- </w:t>
      </w:r>
      <w:r>
        <w:rPr>
          <w:color w:val="231F20"/>
          <w:sz w:val="19"/>
        </w:rPr>
        <w:t>nology. Cooperative Extension Service. Special report No. 48. Ames Iowa, EEUU. 21</w:t>
      </w:r>
      <w:r>
        <w:rPr>
          <w:color w:val="231F20"/>
          <w:spacing w:val="-24"/>
          <w:sz w:val="19"/>
        </w:rPr>
        <w:t> </w:t>
      </w:r>
      <w:r>
        <w:rPr>
          <w:color w:val="231F20"/>
          <w:sz w:val="19"/>
        </w:rPr>
        <w:t>p.</w:t>
      </w:r>
    </w:p>
    <w:p>
      <w:pPr>
        <w:pStyle w:val="BodyText"/>
        <w:spacing w:before="10"/>
        <w:rPr>
          <w:sz w:val="19"/>
        </w:rPr>
      </w:pPr>
    </w:p>
    <w:p>
      <w:pPr>
        <w:spacing w:line="261" w:lineRule="auto" w:before="0"/>
        <w:ind w:left="1270" w:right="1268" w:firstLine="0"/>
        <w:jc w:val="both"/>
        <w:rPr>
          <w:sz w:val="19"/>
        </w:rPr>
      </w:pPr>
      <w:r>
        <w:rPr>
          <w:color w:val="231F20"/>
          <w:sz w:val="19"/>
        </w:rPr>
        <w:t>Sistema de Información Agropecuaria (SIAP). 2011. SIACON 1980-2011: Sistema de Información Agrope- cuaria de Consulta. SAGARPA. México. Disponible en: </w:t>
      </w:r>
      <w:hyperlink r:id="rId44">
        <w:r>
          <w:rPr>
            <w:color w:val="231F20"/>
            <w:sz w:val="19"/>
          </w:rPr>
          <w:t>http://www.siap.sagarpa.gob/mx/ar_comanuar.html</w:t>
        </w:r>
      </w:hyperlink>
      <w:r>
        <w:rPr>
          <w:color w:val="231F20"/>
          <w:sz w:val="19"/>
        </w:rPr>
        <w:t> (Revisado: 12 de septiembre de 2012).</w:t>
      </w:r>
    </w:p>
    <w:p>
      <w:pPr>
        <w:spacing w:after="0" w:line="261" w:lineRule="auto"/>
        <w:jc w:val="both"/>
        <w:rPr>
          <w:sz w:val="19"/>
        </w:rPr>
        <w:sectPr>
          <w:pgSz w:w="10920" w:h="13080"/>
          <w:pgMar w:header="0" w:footer="1025" w:top="420" w:bottom="1220" w:left="0" w:right="0"/>
        </w:sectPr>
      </w:pPr>
    </w:p>
    <w:p>
      <w:pPr>
        <w:pStyle w:val="BodyText"/>
        <w:rPr>
          <w:sz w:val="20"/>
        </w:rPr>
      </w:pPr>
    </w:p>
    <w:p>
      <w:pPr>
        <w:pStyle w:val="BodyText"/>
        <w:rPr>
          <w:sz w:val="20"/>
        </w:rPr>
      </w:pPr>
    </w:p>
    <w:p>
      <w:pPr>
        <w:pStyle w:val="BodyText"/>
        <w:spacing w:before="6"/>
        <w:rPr>
          <w:sz w:val="23"/>
        </w:rPr>
      </w:pPr>
    </w:p>
    <w:p>
      <w:pPr>
        <w:spacing w:before="69"/>
        <w:ind w:left="1488" w:right="1489" w:firstLine="0"/>
        <w:jc w:val="center"/>
        <w:rPr>
          <w:rFonts w:ascii="Trebuchet MS" w:hAnsi="Trebuchet MS"/>
          <w:i/>
          <w:sz w:val="14"/>
        </w:rPr>
      </w:pPr>
      <w:r>
        <w:rPr>
          <w:rFonts w:ascii="Trebuchet MS" w:hAnsi="Trebuchet MS"/>
          <w:i/>
          <w:color w:val="010202"/>
          <w:sz w:val="24"/>
        </w:rPr>
        <w:t>Rafael Delgado Martínez</w:t>
      </w:r>
      <w:r>
        <w:rPr>
          <w:rFonts w:ascii="Trebuchet MS" w:hAnsi="Trebuchet MS"/>
          <w:i/>
          <w:color w:val="010202"/>
          <w:position w:val="8"/>
          <w:sz w:val="14"/>
        </w:rPr>
        <w:t>1+</w:t>
      </w:r>
    </w:p>
    <w:p>
      <w:pPr>
        <w:spacing w:before="9"/>
        <w:ind w:left="1489" w:right="1489" w:firstLine="0"/>
        <w:jc w:val="center"/>
        <w:rPr>
          <w:rFonts w:ascii="Trebuchet MS" w:hAnsi="Trebuchet MS"/>
          <w:i/>
          <w:sz w:val="14"/>
        </w:rPr>
      </w:pPr>
      <w:r>
        <w:rPr>
          <w:rFonts w:ascii="Trebuchet MS" w:hAnsi="Trebuchet MS"/>
          <w:i/>
          <w:color w:val="010202"/>
          <w:sz w:val="24"/>
        </w:rPr>
        <w:t>y José Alberto Salvador Escalante Estrada</w:t>
      </w:r>
      <w:r>
        <w:rPr>
          <w:rFonts w:ascii="Trebuchet MS" w:hAnsi="Trebuchet MS"/>
          <w:i/>
          <w:color w:val="010202"/>
          <w:position w:val="8"/>
          <w:sz w:val="14"/>
        </w:rPr>
        <w:t>1</w:t>
      </w: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spacing w:before="3"/>
        <w:rPr>
          <w:rFonts w:ascii="Trebuchet MS"/>
          <w:i/>
          <w:sz w:val="32"/>
        </w:rPr>
      </w:pPr>
    </w:p>
    <w:p>
      <w:pPr>
        <w:pStyle w:val="Heading1"/>
        <w:spacing w:line="247" w:lineRule="auto"/>
        <w:ind w:left="2726" w:right="2723" w:firstLine="5"/>
      </w:pPr>
      <w:bookmarkStart w:name="_TOC_250008" w:id="3"/>
      <w:r>
        <w:rPr>
          <w:color w:val="010202"/>
          <w:spacing w:val="-12"/>
        </w:rPr>
        <w:t>FERTILIZACIÓN </w:t>
      </w:r>
      <w:r>
        <w:rPr>
          <w:color w:val="010202"/>
          <w:spacing w:val="-11"/>
        </w:rPr>
        <w:t>NITROGENADA </w:t>
      </w:r>
      <w:r>
        <w:rPr>
          <w:color w:val="010202"/>
          <w:spacing w:val="-15"/>
        </w:rPr>
        <w:t>PARA </w:t>
      </w:r>
      <w:r>
        <w:rPr>
          <w:color w:val="010202"/>
          <w:spacing w:val="-6"/>
        </w:rPr>
        <w:t>LA </w:t>
      </w:r>
      <w:r>
        <w:rPr>
          <w:color w:val="010202"/>
          <w:spacing w:val="-10"/>
        </w:rPr>
        <w:t>ASOCIACIÓN </w:t>
      </w:r>
      <w:r>
        <w:rPr>
          <w:color w:val="010202"/>
          <w:spacing w:val="-11"/>
        </w:rPr>
        <w:t>MAÍZ-FRIJOL </w:t>
      </w:r>
      <w:r>
        <w:rPr>
          <w:color w:val="010202"/>
          <w:spacing w:val="-6"/>
        </w:rPr>
        <w:t>EN </w:t>
      </w:r>
      <w:r>
        <w:rPr>
          <w:color w:val="010202"/>
          <w:spacing w:val="-9"/>
        </w:rPr>
        <w:t>CLIMA</w:t>
      </w:r>
      <w:r>
        <w:rPr>
          <w:color w:val="010202"/>
          <w:spacing w:val="-59"/>
        </w:rPr>
        <w:t> </w:t>
      </w:r>
      <w:bookmarkEnd w:id="3"/>
      <w:r>
        <w:rPr>
          <w:color w:val="010202"/>
          <w:spacing w:val="-10"/>
        </w:rPr>
        <w:t>TEMPLADO</w:t>
      </w: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spacing w:before="9"/>
        <w:rPr>
          <w:rFonts w:ascii="Trebuchet MS"/>
          <w:b/>
          <w:sz w:val="23"/>
        </w:rPr>
      </w:pPr>
    </w:p>
    <w:p>
      <w:pPr>
        <w:spacing w:before="70"/>
        <w:ind w:left="1270" w:right="0" w:firstLine="0"/>
        <w:jc w:val="both"/>
        <w:rPr>
          <w:b/>
          <w:sz w:val="24"/>
        </w:rPr>
      </w:pPr>
      <w:r>
        <w:rPr>
          <w:b/>
          <w:color w:val="010202"/>
          <w:sz w:val="24"/>
        </w:rPr>
        <w:t>Introducción</w:t>
      </w:r>
    </w:p>
    <w:p>
      <w:pPr>
        <w:pStyle w:val="BodyText"/>
        <w:spacing w:before="10"/>
        <w:rPr>
          <w:b/>
        </w:rPr>
      </w:pPr>
    </w:p>
    <w:p>
      <w:pPr>
        <w:pStyle w:val="BodyText"/>
        <w:spacing w:line="247" w:lineRule="auto"/>
        <w:ind w:left="1270" w:right="1267"/>
        <w:jc w:val="both"/>
      </w:pPr>
      <w:r>
        <w:rPr>
          <w:color w:val="231F20"/>
        </w:rPr>
        <w:t>El eficiente uso de los recursos: agua, nutrientes, energía solar, productos químicos y mano de obra siempre han sido un factor determinante en la productividad de los sistemas de producción agrícola (Escalante, 1995; Morales </w:t>
      </w:r>
      <w:r>
        <w:rPr>
          <w:i/>
          <w:color w:val="231F20"/>
        </w:rPr>
        <w:t>et al.</w:t>
      </w:r>
      <w:r>
        <w:rPr>
          <w:color w:val="231F20"/>
        </w:rPr>
        <w:t>, 2007; Schneider </w:t>
      </w:r>
      <w:r>
        <w:rPr>
          <w:i/>
          <w:color w:val="231F20"/>
        </w:rPr>
        <w:t>et al.</w:t>
      </w:r>
      <w:r>
        <w:rPr>
          <w:color w:val="231F20"/>
        </w:rPr>
        <w:t>, 2010), y principalmente en los cultivos asociados (Li </w:t>
      </w:r>
      <w:r>
        <w:rPr>
          <w:i/>
          <w:color w:val="231F20"/>
        </w:rPr>
        <w:t>et al.</w:t>
      </w:r>
      <w:r>
        <w:rPr>
          <w:color w:val="231F20"/>
        </w:rPr>
        <w:t>, 2006; Lithourgidis </w:t>
      </w:r>
      <w:r>
        <w:rPr>
          <w:i/>
          <w:color w:val="231F20"/>
        </w:rPr>
        <w:t>et al.</w:t>
      </w:r>
      <w:r>
        <w:rPr>
          <w:color w:val="231F20"/>
        </w:rPr>
        <w:t>, 2006). El aumento en los rendimientos y los ingresos netos</w:t>
      </w:r>
      <w:r>
        <w:rPr>
          <w:color w:val="231F20"/>
          <w:spacing w:val="-3"/>
        </w:rPr>
        <w:t> </w:t>
      </w:r>
      <w:r>
        <w:rPr>
          <w:color w:val="231F20"/>
        </w:rPr>
        <w:t>de</w:t>
      </w:r>
      <w:r>
        <w:rPr>
          <w:color w:val="231F20"/>
          <w:spacing w:val="-3"/>
        </w:rPr>
        <w:t> </w:t>
      </w:r>
      <w:r>
        <w:rPr>
          <w:color w:val="231F20"/>
        </w:rPr>
        <w:t>un</w:t>
      </w:r>
      <w:r>
        <w:rPr>
          <w:color w:val="231F20"/>
          <w:spacing w:val="-3"/>
        </w:rPr>
        <w:t> </w:t>
      </w:r>
      <w:r>
        <w:rPr>
          <w:color w:val="231F20"/>
        </w:rPr>
        <w:t>cultivo</w:t>
      </w:r>
      <w:r>
        <w:rPr>
          <w:color w:val="231F20"/>
          <w:spacing w:val="-3"/>
        </w:rPr>
        <w:t> </w:t>
      </w:r>
      <w:r>
        <w:rPr>
          <w:color w:val="231F20"/>
        </w:rPr>
        <w:t>por</w:t>
      </w:r>
      <w:r>
        <w:rPr>
          <w:color w:val="231F20"/>
          <w:spacing w:val="-3"/>
        </w:rPr>
        <w:t> </w:t>
      </w:r>
      <w:r>
        <w:rPr>
          <w:color w:val="231F20"/>
        </w:rPr>
        <w:t>unidad</w:t>
      </w:r>
      <w:r>
        <w:rPr>
          <w:color w:val="231F20"/>
          <w:spacing w:val="-3"/>
        </w:rPr>
        <w:t> </w:t>
      </w:r>
      <w:r>
        <w:rPr>
          <w:color w:val="231F20"/>
        </w:rPr>
        <w:t>de</w:t>
      </w:r>
      <w:r>
        <w:rPr>
          <w:color w:val="231F20"/>
          <w:spacing w:val="-3"/>
        </w:rPr>
        <w:t> </w:t>
      </w:r>
      <w:r>
        <w:rPr>
          <w:color w:val="231F20"/>
        </w:rPr>
        <w:t>superficie,</w:t>
      </w:r>
      <w:r>
        <w:rPr>
          <w:color w:val="231F20"/>
          <w:spacing w:val="-3"/>
        </w:rPr>
        <w:t> </w:t>
      </w:r>
      <w:r>
        <w:rPr>
          <w:color w:val="231F20"/>
        </w:rPr>
        <w:t>depende</w:t>
      </w:r>
      <w:r>
        <w:rPr>
          <w:color w:val="231F20"/>
          <w:spacing w:val="-3"/>
        </w:rPr>
        <w:t> </w:t>
      </w:r>
      <w:r>
        <w:rPr>
          <w:color w:val="231F20"/>
        </w:rPr>
        <w:t>del</w:t>
      </w:r>
      <w:r>
        <w:rPr>
          <w:color w:val="231F20"/>
          <w:spacing w:val="-3"/>
        </w:rPr>
        <w:t> </w:t>
      </w:r>
      <w:r>
        <w:rPr>
          <w:color w:val="231F20"/>
        </w:rPr>
        <w:t>genotipo,</w:t>
      </w:r>
      <w:r>
        <w:rPr>
          <w:color w:val="231F20"/>
          <w:spacing w:val="-3"/>
        </w:rPr>
        <w:t> </w:t>
      </w:r>
      <w:r>
        <w:rPr>
          <w:color w:val="231F20"/>
        </w:rPr>
        <w:t>condiciones</w:t>
      </w:r>
      <w:r>
        <w:rPr>
          <w:color w:val="231F20"/>
          <w:spacing w:val="-3"/>
        </w:rPr>
        <w:t> </w:t>
      </w:r>
      <w:r>
        <w:rPr>
          <w:color w:val="231F20"/>
        </w:rPr>
        <w:t>agroclimáticas</w:t>
      </w:r>
      <w:r>
        <w:rPr>
          <w:color w:val="231F20"/>
          <w:spacing w:val="-3"/>
        </w:rPr>
        <w:t> </w:t>
      </w:r>
      <w:r>
        <w:rPr>
          <w:color w:val="231F20"/>
        </w:rPr>
        <w:t>y</w:t>
      </w:r>
      <w:r>
        <w:rPr>
          <w:color w:val="231F20"/>
          <w:spacing w:val="-3"/>
        </w:rPr>
        <w:t> </w:t>
      </w:r>
      <w:r>
        <w:rPr>
          <w:color w:val="231F20"/>
        </w:rPr>
        <w:t>las practicas de manejo del cultivo, así como la eficiencia en el uso de los insumos agrícolas (Massig- nam </w:t>
      </w:r>
      <w:r>
        <w:rPr>
          <w:i/>
          <w:color w:val="231F20"/>
        </w:rPr>
        <w:t>et al.</w:t>
      </w:r>
      <w:r>
        <w:rPr>
          <w:color w:val="231F20"/>
        </w:rPr>
        <w:t>, 2009; Cui </w:t>
      </w:r>
      <w:r>
        <w:rPr>
          <w:i/>
          <w:color w:val="231F20"/>
        </w:rPr>
        <w:t>et al.</w:t>
      </w:r>
      <w:r>
        <w:rPr>
          <w:color w:val="231F20"/>
        </w:rPr>
        <w:t>, 2010), dentro de las practicas de manejo, la fertilización nitrogenada se considera</w:t>
      </w:r>
      <w:r>
        <w:rPr>
          <w:color w:val="231F20"/>
          <w:spacing w:val="-9"/>
        </w:rPr>
        <w:t> </w:t>
      </w:r>
      <w:r>
        <w:rPr>
          <w:color w:val="231F20"/>
        </w:rPr>
        <w:t>como</w:t>
      </w:r>
      <w:r>
        <w:rPr>
          <w:color w:val="231F20"/>
          <w:spacing w:val="-9"/>
        </w:rPr>
        <w:t> </w:t>
      </w:r>
      <w:r>
        <w:rPr>
          <w:color w:val="231F20"/>
        </w:rPr>
        <w:t>una</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de</w:t>
      </w:r>
      <w:r>
        <w:rPr>
          <w:color w:val="231F20"/>
          <w:spacing w:val="-9"/>
        </w:rPr>
        <w:t> </w:t>
      </w:r>
      <w:r>
        <w:rPr>
          <w:color w:val="231F20"/>
        </w:rPr>
        <w:t>mayor</w:t>
      </w:r>
      <w:r>
        <w:rPr>
          <w:color w:val="231F20"/>
          <w:spacing w:val="-9"/>
        </w:rPr>
        <w:t> </w:t>
      </w:r>
      <w:r>
        <w:rPr>
          <w:color w:val="231F20"/>
        </w:rPr>
        <w:t>importancia</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producción</w:t>
      </w:r>
      <w:r>
        <w:rPr>
          <w:color w:val="231F20"/>
          <w:spacing w:val="-9"/>
        </w:rPr>
        <w:t> </w:t>
      </w:r>
      <w:r>
        <w:rPr>
          <w:color w:val="231F20"/>
        </w:rPr>
        <w:t>de</w:t>
      </w:r>
      <w:r>
        <w:rPr>
          <w:color w:val="231F20"/>
          <w:spacing w:val="-9"/>
        </w:rPr>
        <w:t> </w:t>
      </w:r>
      <w:r>
        <w:rPr>
          <w:color w:val="231F20"/>
        </w:rPr>
        <w:t>cultivos</w:t>
      </w:r>
      <w:r>
        <w:rPr>
          <w:color w:val="231F20"/>
          <w:spacing w:val="-9"/>
        </w:rPr>
        <w:t> </w:t>
      </w:r>
      <w:r>
        <w:rPr>
          <w:color w:val="231F20"/>
        </w:rPr>
        <w:t>(Escalante,</w:t>
      </w:r>
      <w:r>
        <w:rPr>
          <w:color w:val="231F20"/>
          <w:spacing w:val="-9"/>
        </w:rPr>
        <w:t> </w:t>
      </w:r>
      <w:r>
        <w:rPr>
          <w:color w:val="231F20"/>
        </w:rPr>
        <w:t>1999;</w:t>
      </w:r>
      <w:r>
        <w:rPr>
          <w:color w:val="231F20"/>
          <w:spacing w:val="-9"/>
        </w:rPr>
        <w:t> </w:t>
      </w:r>
      <w:r>
        <w:rPr>
          <w:color w:val="231F20"/>
        </w:rPr>
        <w:t>Kho, 2000). No obstante, la relación entre el rendimiento y las necesidades de nitrógeno (N) requerido por el cultivo nos son claras, por lo que, se continúa teniendo la creencia de que se necesitan altas cantidades de fertilizante nitrogenado para lograr un alto rendimiento. Esto principalmente a las di- ferencias en la respuesta de los cultivos al suministro de N.</w:t>
      </w:r>
    </w:p>
    <w:p>
      <w:pPr>
        <w:pStyle w:val="BodyText"/>
        <w:rPr>
          <w:sz w:val="20"/>
        </w:rPr>
      </w:pPr>
    </w:p>
    <w:p>
      <w:pPr>
        <w:pStyle w:val="BodyText"/>
        <w:rPr>
          <w:sz w:val="20"/>
        </w:rPr>
      </w:pPr>
    </w:p>
    <w:p>
      <w:pPr>
        <w:pStyle w:val="BodyText"/>
        <w:spacing w:before="4"/>
        <w:rPr>
          <w:sz w:val="24"/>
        </w:rPr>
      </w:pPr>
    </w:p>
    <w:p>
      <w:pPr>
        <w:spacing w:line="247" w:lineRule="auto" w:before="0"/>
        <w:ind w:left="1590" w:right="1278" w:firstLine="0"/>
        <w:jc w:val="left"/>
        <w:rPr>
          <w:rFonts w:ascii="Trebuchet MS" w:hAnsi="Trebuchet MS"/>
          <w:sz w:val="9"/>
        </w:rPr>
      </w:pPr>
      <w:r>
        <w:rPr>
          <w:rFonts w:ascii="Trebuchet MS" w:hAnsi="Trebuchet MS"/>
          <w:color w:val="231F20"/>
          <w:position w:val="5"/>
          <w:sz w:val="9"/>
        </w:rPr>
        <w:t>1</w:t>
      </w:r>
      <w:r>
        <w:rPr>
          <w:rFonts w:ascii="Trebuchet MS" w:hAnsi="Trebuchet MS"/>
          <w:color w:val="231F20"/>
          <w:sz w:val="16"/>
        </w:rPr>
        <w:t>Programa de Botánica, Colegio de Postgraduados. Campus Montecillo. Km 36.5 Carretera </w:t>
      </w:r>
      <w:r>
        <w:rPr>
          <w:rFonts w:ascii="Trebuchet MS" w:hAnsi="Trebuchet MS"/>
          <w:color w:val="231F20"/>
          <w:spacing w:val="-3"/>
          <w:sz w:val="16"/>
        </w:rPr>
        <w:t>México-Texcoco, </w:t>
      </w:r>
      <w:r>
        <w:rPr>
          <w:rFonts w:ascii="Trebuchet MS" w:hAnsi="Trebuchet MS"/>
          <w:color w:val="231F20"/>
          <w:sz w:val="16"/>
        </w:rPr>
        <w:t>Mon- tecillo, </w:t>
      </w:r>
      <w:r>
        <w:rPr>
          <w:rFonts w:ascii="Trebuchet MS" w:hAnsi="Trebuchet MS"/>
          <w:color w:val="231F20"/>
          <w:spacing w:val="-4"/>
          <w:sz w:val="16"/>
        </w:rPr>
        <w:t>Texcoco, </w:t>
      </w:r>
      <w:r>
        <w:rPr>
          <w:rFonts w:ascii="Trebuchet MS" w:hAnsi="Trebuchet MS"/>
          <w:color w:val="231F20"/>
          <w:sz w:val="16"/>
        </w:rPr>
        <w:t>Estado de México, México. </w:t>
      </w:r>
      <w:r>
        <w:rPr>
          <w:rFonts w:ascii="Trebuchet MS" w:hAnsi="Trebuchet MS"/>
          <w:color w:val="231F20"/>
          <w:spacing w:val="-12"/>
          <w:sz w:val="16"/>
        </w:rPr>
        <w:t>CP. </w:t>
      </w:r>
      <w:r>
        <w:rPr>
          <w:rFonts w:ascii="Trebuchet MS" w:hAnsi="Trebuchet MS"/>
          <w:color w:val="231F20"/>
          <w:sz w:val="16"/>
        </w:rPr>
        <w:t>56230. </w:t>
      </w:r>
      <w:r>
        <w:rPr>
          <w:rFonts w:ascii="Trebuchet MS" w:hAnsi="Trebuchet MS"/>
          <w:color w:val="231F20"/>
          <w:spacing w:val="-4"/>
          <w:sz w:val="16"/>
        </w:rPr>
        <w:t>Teléfono </w:t>
      </w:r>
      <w:r>
        <w:rPr>
          <w:rFonts w:ascii="Trebuchet MS" w:hAnsi="Trebuchet MS"/>
          <w:color w:val="231F20"/>
          <w:sz w:val="16"/>
        </w:rPr>
        <w:t>01(595) 952 02 00 ext. 1330. E-mail: delgado. rafael@colpos.mx</w:t>
      </w:r>
      <w:r>
        <w:rPr>
          <w:rFonts w:ascii="Trebuchet MS" w:hAnsi="Trebuchet MS"/>
          <w:color w:val="231F20"/>
          <w:position w:val="5"/>
          <w:sz w:val="9"/>
        </w:rPr>
        <w:t>1+</w:t>
      </w:r>
    </w:p>
    <w:p>
      <w:pPr>
        <w:spacing w:after="0" w:line="247" w:lineRule="auto"/>
        <w:jc w:val="left"/>
        <w:rPr>
          <w:rFonts w:ascii="Trebuchet MS" w:hAnsi="Trebuchet MS"/>
          <w:sz w:val="9"/>
        </w:rPr>
        <w:sectPr>
          <w:pgSz w:w="10920" w:h="13080"/>
          <w:pgMar w:header="0" w:footer="1025" w:top="420" w:bottom="1220" w:left="0" w:right="0"/>
        </w:sectPr>
      </w:pPr>
    </w:p>
    <w:p>
      <w:pPr>
        <w:pStyle w:val="BodyText"/>
        <w:rPr>
          <w:rFonts w:ascii="Trebuchet MS"/>
          <w:sz w:val="20"/>
        </w:rPr>
      </w:pPr>
    </w:p>
    <w:p>
      <w:pPr>
        <w:pStyle w:val="BodyText"/>
        <w:rPr>
          <w:rFonts w:ascii="Trebuchet MS"/>
          <w:sz w:val="20"/>
        </w:rPr>
      </w:pPr>
    </w:p>
    <w:p>
      <w:pPr>
        <w:pStyle w:val="BodyText"/>
        <w:spacing w:before="4"/>
        <w:rPr>
          <w:rFonts w:ascii="Trebuchet MS"/>
          <w:sz w:val="22"/>
        </w:rPr>
      </w:pPr>
    </w:p>
    <w:p>
      <w:pPr>
        <w:pStyle w:val="BodyText"/>
        <w:spacing w:line="247" w:lineRule="auto" w:before="73"/>
        <w:ind w:left="1270" w:right="1267"/>
        <w:jc w:val="both"/>
      </w:pPr>
      <w:r>
        <w:rPr>
          <w:color w:val="231F20"/>
        </w:rPr>
        <w:t>Por</w:t>
      </w:r>
      <w:r>
        <w:rPr>
          <w:color w:val="231F20"/>
          <w:spacing w:val="-11"/>
        </w:rPr>
        <w:t> </w:t>
      </w:r>
      <w:r>
        <w:rPr>
          <w:color w:val="231F20"/>
        </w:rPr>
        <w:t>otro</w:t>
      </w:r>
      <w:r>
        <w:rPr>
          <w:color w:val="231F20"/>
          <w:spacing w:val="-12"/>
        </w:rPr>
        <w:t> </w:t>
      </w:r>
      <w:r>
        <w:rPr>
          <w:color w:val="231F20"/>
        </w:rPr>
        <w:t>lado,</w:t>
      </w:r>
      <w:r>
        <w:rPr>
          <w:color w:val="231F20"/>
          <w:spacing w:val="-12"/>
        </w:rPr>
        <w:t> </w:t>
      </w:r>
      <w:r>
        <w:rPr>
          <w:color w:val="231F20"/>
        </w:rPr>
        <w:t>los</w:t>
      </w:r>
      <w:r>
        <w:rPr>
          <w:color w:val="231F20"/>
          <w:spacing w:val="-12"/>
        </w:rPr>
        <w:t> </w:t>
      </w:r>
      <w:r>
        <w:rPr>
          <w:color w:val="231F20"/>
        </w:rPr>
        <w:t>problemas</w:t>
      </w:r>
      <w:r>
        <w:rPr>
          <w:color w:val="231F20"/>
          <w:spacing w:val="-11"/>
        </w:rPr>
        <w:t> </w:t>
      </w:r>
      <w:r>
        <w:rPr>
          <w:color w:val="231F20"/>
        </w:rPr>
        <w:t>ambientales</w:t>
      </w:r>
      <w:r>
        <w:rPr>
          <w:color w:val="231F20"/>
          <w:spacing w:val="-12"/>
        </w:rPr>
        <w:t> </w:t>
      </w:r>
      <w:r>
        <w:rPr>
          <w:color w:val="231F20"/>
        </w:rPr>
        <w:t>y</w:t>
      </w:r>
      <w:r>
        <w:rPr>
          <w:color w:val="231F20"/>
          <w:spacing w:val="-12"/>
        </w:rPr>
        <w:t> </w:t>
      </w:r>
      <w:r>
        <w:rPr>
          <w:color w:val="231F20"/>
        </w:rPr>
        <w:t>económicos</w:t>
      </w:r>
      <w:r>
        <w:rPr>
          <w:color w:val="231F20"/>
          <w:spacing w:val="-12"/>
        </w:rPr>
        <w:t> </w:t>
      </w:r>
      <w:r>
        <w:rPr>
          <w:color w:val="231F20"/>
        </w:rPr>
        <w:t>que</w:t>
      </w:r>
      <w:r>
        <w:rPr>
          <w:color w:val="231F20"/>
          <w:spacing w:val="-12"/>
        </w:rPr>
        <w:t> </w:t>
      </w:r>
      <w:r>
        <w:rPr>
          <w:color w:val="231F20"/>
        </w:rPr>
        <w:t>con</w:t>
      </w:r>
      <w:r>
        <w:rPr>
          <w:color w:val="231F20"/>
          <w:spacing w:val="-12"/>
        </w:rPr>
        <w:t> </w:t>
      </w:r>
      <w:r>
        <w:rPr>
          <w:color w:val="231F20"/>
        </w:rPr>
        <w:t>lleva</w:t>
      </w:r>
      <w:r>
        <w:rPr>
          <w:color w:val="231F20"/>
          <w:spacing w:val="-12"/>
        </w:rPr>
        <w:t> </w:t>
      </w:r>
      <w:r>
        <w:rPr>
          <w:color w:val="231F20"/>
        </w:rPr>
        <w:t>el</w:t>
      </w:r>
      <w:r>
        <w:rPr>
          <w:color w:val="231F20"/>
          <w:spacing w:val="-12"/>
        </w:rPr>
        <w:t> </w:t>
      </w:r>
      <w:r>
        <w:rPr>
          <w:color w:val="231F20"/>
        </w:rPr>
        <w:t>incremento</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uso</w:t>
      </w:r>
      <w:r>
        <w:rPr>
          <w:color w:val="231F20"/>
          <w:spacing w:val="-11"/>
        </w:rPr>
        <w:t> </w:t>
      </w:r>
      <w:r>
        <w:rPr>
          <w:color w:val="231F20"/>
        </w:rPr>
        <w:t>de</w:t>
      </w:r>
      <w:r>
        <w:rPr>
          <w:color w:val="231F20"/>
          <w:spacing w:val="-12"/>
        </w:rPr>
        <w:t> </w:t>
      </w:r>
      <w:r>
        <w:rPr>
          <w:color w:val="231F20"/>
        </w:rPr>
        <w:t>com- bustibles</w:t>
      </w:r>
      <w:r>
        <w:rPr>
          <w:color w:val="231F20"/>
          <w:spacing w:val="-12"/>
        </w:rPr>
        <w:t> </w:t>
      </w:r>
      <w:r>
        <w:rPr>
          <w:color w:val="231F20"/>
        </w:rPr>
        <w:t>fósiles,</w:t>
      </w:r>
      <w:r>
        <w:rPr>
          <w:color w:val="231F20"/>
          <w:spacing w:val="-12"/>
        </w:rPr>
        <w:t> </w:t>
      </w:r>
      <w:r>
        <w:rPr>
          <w:color w:val="231F20"/>
        </w:rPr>
        <w:t>y</w:t>
      </w:r>
      <w:r>
        <w:rPr>
          <w:color w:val="231F20"/>
          <w:spacing w:val="-12"/>
        </w:rPr>
        <w:t> </w:t>
      </w:r>
      <w:r>
        <w:rPr>
          <w:color w:val="231F20"/>
        </w:rPr>
        <w:t>que</w:t>
      </w:r>
      <w:r>
        <w:rPr>
          <w:color w:val="231F20"/>
          <w:spacing w:val="-12"/>
        </w:rPr>
        <w:t> </w:t>
      </w:r>
      <w:r>
        <w:rPr>
          <w:color w:val="231F20"/>
        </w:rPr>
        <w:t>se</w:t>
      </w:r>
      <w:r>
        <w:rPr>
          <w:color w:val="231F20"/>
          <w:spacing w:val="-12"/>
        </w:rPr>
        <w:t> </w:t>
      </w:r>
      <w:r>
        <w:rPr>
          <w:color w:val="231F20"/>
        </w:rPr>
        <w:t>traduce</w:t>
      </w:r>
      <w:r>
        <w:rPr>
          <w:color w:val="231F20"/>
          <w:spacing w:val="-12"/>
        </w:rPr>
        <w:t> </w:t>
      </w:r>
      <w:r>
        <w:rPr>
          <w:color w:val="231F20"/>
        </w:rPr>
        <w:t>en</w:t>
      </w:r>
      <w:r>
        <w:rPr>
          <w:color w:val="231F20"/>
          <w:spacing w:val="-12"/>
        </w:rPr>
        <w:t> </w:t>
      </w:r>
      <w:r>
        <w:rPr>
          <w:color w:val="231F20"/>
        </w:rPr>
        <w:t>un</w:t>
      </w:r>
      <w:r>
        <w:rPr>
          <w:color w:val="231F20"/>
          <w:spacing w:val="-12"/>
        </w:rPr>
        <w:t> </w:t>
      </w:r>
      <w:r>
        <w:rPr>
          <w:color w:val="231F20"/>
        </w:rPr>
        <w:t>aumento</w:t>
      </w:r>
      <w:r>
        <w:rPr>
          <w:color w:val="231F20"/>
          <w:spacing w:val="-12"/>
        </w:rPr>
        <w:t> </w:t>
      </w:r>
      <w:r>
        <w:rPr>
          <w:color w:val="231F20"/>
        </w:rPr>
        <w:t>en</w:t>
      </w:r>
      <w:r>
        <w:rPr>
          <w:color w:val="231F20"/>
          <w:spacing w:val="-12"/>
        </w:rPr>
        <w:t> </w:t>
      </w:r>
      <w:r>
        <w:rPr>
          <w:color w:val="231F20"/>
        </w:rPr>
        <w:t>los</w:t>
      </w:r>
      <w:r>
        <w:rPr>
          <w:color w:val="231F20"/>
          <w:spacing w:val="-12"/>
        </w:rPr>
        <w:t> </w:t>
      </w:r>
      <w:r>
        <w:rPr>
          <w:color w:val="231F20"/>
        </w:rPr>
        <w:t>costos</w:t>
      </w:r>
      <w:r>
        <w:rPr>
          <w:color w:val="231F20"/>
          <w:spacing w:val="-12"/>
        </w:rPr>
        <w:t> </w:t>
      </w:r>
      <w:r>
        <w:rPr>
          <w:color w:val="231F20"/>
        </w:rPr>
        <w:t>de</w:t>
      </w:r>
      <w:r>
        <w:rPr>
          <w:color w:val="231F20"/>
          <w:spacing w:val="-12"/>
        </w:rPr>
        <w:t> </w:t>
      </w:r>
      <w:r>
        <w:rPr>
          <w:color w:val="231F20"/>
        </w:rPr>
        <w:t>producción</w:t>
      </w:r>
      <w:r>
        <w:rPr>
          <w:color w:val="231F20"/>
          <w:spacing w:val="-12"/>
        </w:rPr>
        <w:t> </w:t>
      </w:r>
      <w:r>
        <w:rPr>
          <w:color w:val="231F20"/>
        </w:rPr>
        <w:t>de</w:t>
      </w:r>
      <w:r>
        <w:rPr>
          <w:color w:val="231F20"/>
          <w:spacing w:val="-12"/>
        </w:rPr>
        <w:t> </w:t>
      </w:r>
      <w:r>
        <w:rPr>
          <w:color w:val="231F20"/>
        </w:rPr>
        <w:t>alimentos,</w:t>
      </w:r>
      <w:r>
        <w:rPr>
          <w:color w:val="231F20"/>
          <w:spacing w:val="-12"/>
        </w:rPr>
        <w:t> </w:t>
      </w:r>
      <w:r>
        <w:rPr>
          <w:color w:val="231F20"/>
        </w:rPr>
        <w:t>deberá</w:t>
      </w:r>
      <w:r>
        <w:rPr>
          <w:color w:val="231F20"/>
          <w:spacing w:val="-12"/>
        </w:rPr>
        <w:t> </w:t>
      </w:r>
      <w:r>
        <w:rPr>
          <w:color w:val="231F20"/>
        </w:rPr>
        <w:t>ser remplazado con un aumento en la eficiencia en el uso de los insumos agrícolas y principalmente en el</w:t>
      </w:r>
      <w:r>
        <w:rPr>
          <w:color w:val="231F20"/>
          <w:spacing w:val="-7"/>
        </w:rPr>
        <w:t> </w:t>
      </w:r>
      <w:r>
        <w:rPr>
          <w:color w:val="231F20"/>
        </w:rPr>
        <w:t>uso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fertilización</w:t>
      </w:r>
      <w:r>
        <w:rPr>
          <w:color w:val="231F20"/>
          <w:spacing w:val="-7"/>
        </w:rPr>
        <w:t> </w:t>
      </w:r>
      <w:r>
        <w:rPr>
          <w:color w:val="231F20"/>
        </w:rPr>
        <w:t>nitrogenada.</w:t>
      </w:r>
      <w:r>
        <w:rPr>
          <w:color w:val="231F20"/>
          <w:spacing w:val="-7"/>
        </w:rPr>
        <w:t> </w:t>
      </w:r>
      <w:r>
        <w:rPr>
          <w:color w:val="231F20"/>
        </w:rPr>
        <w:t>Por</w:t>
      </w:r>
      <w:r>
        <w:rPr>
          <w:color w:val="231F20"/>
          <w:spacing w:val="-7"/>
        </w:rPr>
        <w:t> </w:t>
      </w:r>
      <w:r>
        <w:rPr>
          <w:color w:val="231F20"/>
        </w:rPr>
        <w:t>lo</w:t>
      </w:r>
      <w:r>
        <w:rPr>
          <w:color w:val="231F20"/>
          <w:spacing w:val="-7"/>
        </w:rPr>
        <w:t> </w:t>
      </w:r>
      <w:r>
        <w:rPr>
          <w:color w:val="231F20"/>
        </w:rPr>
        <w:t>que,</w:t>
      </w:r>
      <w:r>
        <w:rPr>
          <w:color w:val="231F20"/>
          <w:spacing w:val="-7"/>
        </w:rPr>
        <w:t> </w:t>
      </w:r>
      <w:r>
        <w:rPr>
          <w:color w:val="231F20"/>
        </w:rPr>
        <w:t>es</w:t>
      </w:r>
      <w:r>
        <w:rPr>
          <w:color w:val="231F20"/>
          <w:spacing w:val="-7"/>
        </w:rPr>
        <w:t> </w:t>
      </w:r>
      <w:r>
        <w:rPr>
          <w:color w:val="231F20"/>
        </w:rPr>
        <w:t>necesario</w:t>
      </w:r>
      <w:r>
        <w:rPr>
          <w:color w:val="231F20"/>
          <w:spacing w:val="-7"/>
        </w:rPr>
        <w:t> </w:t>
      </w:r>
      <w:r>
        <w:rPr>
          <w:color w:val="231F20"/>
        </w:rPr>
        <w:t>determinar</w:t>
      </w:r>
      <w:r>
        <w:rPr>
          <w:color w:val="231F20"/>
          <w:spacing w:val="-7"/>
        </w:rPr>
        <w:t> </w:t>
      </w:r>
      <w:r>
        <w:rPr>
          <w:color w:val="231F20"/>
        </w:rPr>
        <w:t>el</w:t>
      </w:r>
      <w:r>
        <w:rPr>
          <w:color w:val="231F20"/>
          <w:spacing w:val="-7"/>
        </w:rPr>
        <w:t> </w:t>
      </w:r>
      <w:r>
        <w:rPr>
          <w:color w:val="231F20"/>
        </w:rPr>
        <w:t>nivel</w:t>
      </w:r>
      <w:r>
        <w:rPr>
          <w:color w:val="231F20"/>
          <w:spacing w:val="-7"/>
        </w:rPr>
        <w:t> </w:t>
      </w:r>
      <w:r>
        <w:rPr>
          <w:color w:val="231F20"/>
        </w:rPr>
        <w:t>mas</w:t>
      </w:r>
      <w:r>
        <w:rPr>
          <w:color w:val="231F20"/>
          <w:spacing w:val="-7"/>
        </w:rPr>
        <w:t> </w:t>
      </w:r>
      <w:r>
        <w:rPr>
          <w:color w:val="231F20"/>
        </w:rPr>
        <w:t>adecuado,</w:t>
      </w:r>
      <w:r>
        <w:rPr>
          <w:color w:val="231F20"/>
          <w:spacing w:val="-8"/>
        </w:rPr>
        <w:t> </w:t>
      </w:r>
      <w:r>
        <w:rPr>
          <w:color w:val="231F20"/>
        </w:rPr>
        <w:t>esto se</w:t>
      </w:r>
      <w:r>
        <w:rPr>
          <w:color w:val="231F20"/>
          <w:spacing w:val="-5"/>
        </w:rPr>
        <w:t> </w:t>
      </w:r>
      <w:r>
        <w:rPr>
          <w:color w:val="231F20"/>
        </w:rPr>
        <w:t>puede</w:t>
      </w:r>
      <w:r>
        <w:rPr>
          <w:color w:val="231F20"/>
          <w:spacing w:val="-5"/>
        </w:rPr>
        <w:t> </w:t>
      </w:r>
      <w:r>
        <w:rPr>
          <w:color w:val="231F20"/>
        </w:rPr>
        <w:t>hacer</w:t>
      </w:r>
      <w:r>
        <w:rPr>
          <w:color w:val="231F20"/>
          <w:spacing w:val="-5"/>
        </w:rPr>
        <w:t> </w:t>
      </w:r>
      <w:r>
        <w:rPr>
          <w:color w:val="231F20"/>
        </w:rPr>
        <w:t>a</w:t>
      </w:r>
      <w:r>
        <w:rPr>
          <w:color w:val="231F20"/>
          <w:spacing w:val="-5"/>
        </w:rPr>
        <w:t> </w:t>
      </w:r>
      <w:r>
        <w:rPr>
          <w:color w:val="231F20"/>
        </w:rPr>
        <w:t>través</w:t>
      </w:r>
      <w:r>
        <w:rPr>
          <w:color w:val="231F20"/>
          <w:spacing w:val="-6"/>
        </w:rPr>
        <w:t> </w:t>
      </w:r>
      <w:r>
        <w:rPr>
          <w:color w:val="231F20"/>
        </w:rPr>
        <w:t>de</w:t>
      </w:r>
      <w:r>
        <w:rPr>
          <w:color w:val="231F20"/>
          <w:spacing w:val="-5"/>
        </w:rPr>
        <w:t> </w:t>
      </w:r>
      <w:r>
        <w:rPr>
          <w:color w:val="231F20"/>
        </w:rPr>
        <w:t>ensayos</w:t>
      </w:r>
      <w:r>
        <w:rPr>
          <w:color w:val="231F20"/>
          <w:spacing w:val="-6"/>
        </w:rPr>
        <w:t> </w:t>
      </w:r>
      <w:r>
        <w:rPr>
          <w:color w:val="231F20"/>
        </w:rPr>
        <w:t>de</w:t>
      </w:r>
      <w:r>
        <w:rPr>
          <w:color w:val="231F20"/>
          <w:spacing w:val="-5"/>
        </w:rPr>
        <w:t> </w:t>
      </w:r>
      <w:r>
        <w:rPr>
          <w:color w:val="231F20"/>
        </w:rPr>
        <w:t>niveles</w:t>
      </w:r>
      <w:r>
        <w:rPr>
          <w:color w:val="231F20"/>
          <w:spacing w:val="-5"/>
        </w:rPr>
        <w:t> </w:t>
      </w:r>
      <w:r>
        <w:rPr>
          <w:color w:val="231F20"/>
        </w:rPr>
        <w:t>crecientes</w:t>
      </w:r>
      <w:r>
        <w:rPr>
          <w:color w:val="231F20"/>
          <w:spacing w:val="-6"/>
        </w:rPr>
        <w:t> </w:t>
      </w:r>
      <w:r>
        <w:rPr>
          <w:color w:val="231F20"/>
        </w:rPr>
        <w:t>de</w:t>
      </w:r>
      <w:r>
        <w:rPr>
          <w:color w:val="231F20"/>
          <w:spacing w:val="-5"/>
        </w:rPr>
        <w:t> </w:t>
      </w:r>
      <w:r>
        <w:rPr>
          <w:color w:val="231F20"/>
        </w:rPr>
        <w:t>aplicación</w:t>
      </w:r>
      <w:r>
        <w:rPr>
          <w:color w:val="231F20"/>
          <w:spacing w:val="-6"/>
        </w:rPr>
        <w:t> </w:t>
      </w:r>
      <w:r>
        <w:rPr>
          <w:color w:val="231F20"/>
        </w:rPr>
        <w:t>del</w:t>
      </w:r>
      <w:r>
        <w:rPr>
          <w:color w:val="231F20"/>
          <w:spacing w:val="-5"/>
        </w:rPr>
        <w:t> </w:t>
      </w:r>
      <w:r>
        <w:rPr>
          <w:color w:val="231F20"/>
        </w:rPr>
        <w:t>nutrimento</w:t>
      </w:r>
      <w:r>
        <w:rPr>
          <w:color w:val="231F20"/>
          <w:spacing w:val="-5"/>
        </w:rPr>
        <w:t> </w:t>
      </w:r>
      <w:r>
        <w:rPr>
          <w:color w:val="231F20"/>
        </w:rPr>
        <w:t>que</w:t>
      </w:r>
      <w:r>
        <w:rPr>
          <w:color w:val="231F20"/>
          <w:spacing w:val="-5"/>
        </w:rPr>
        <w:t> </w:t>
      </w:r>
      <w:r>
        <w:rPr>
          <w:color w:val="231F20"/>
        </w:rPr>
        <w:t>requiere</w:t>
      </w:r>
      <w:r>
        <w:rPr>
          <w:color w:val="231F20"/>
          <w:spacing w:val="-5"/>
        </w:rPr>
        <w:t> </w:t>
      </w:r>
      <w:r>
        <w:rPr>
          <w:color w:val="231F20"/>
        </w:rPr>
        <w:t>el cultivo.</w:t>
      </w:r>
      <w:r>
        <w:rPr>
          <w:color w:val="231F20"/>
          <w:spacing w:val="-10"/>
        </w:rPr>
        <w:t> </w:t>
      </w:r>
      <w:r>
        <w:rPr>
          <w:color w:val="231F20"/>
        </w:rPr>
        <w:t>La</w:t>
      </w:r>
      <w:r>
        <w:rPr>
          <w:color w:val="231F20"/>
          <w:spacing w:val="-10"/>
        </w:rPr>
        <w:t> </w:t>
      </w:r>
      <w:r>
        <w:rPr>
          <w:color w:val="231F20"/>
        </w:rPr>
        <w:t>dosis</w:t>
      </w:r>
      <w:r>
        <w:rPr>
          <w:color w:val="231F20"/>
          <w:spacing w:val="-10"/>
        </w:rPr>
        <w:t> </w:t>
      </w:r>
      <w:r>
        <w:rPr>
          <w:color w:val="231F20"/>
        </w:rPr>
        <w:t>óptima</w:t>
      </w:r>
      <w:r>
        <w:rPr>
          <w:color w:val="231F20"/>
          <w:spacing w:val="-10"/>
        </w:rPr>
        <w:t> </w:t>
      </w:r>
      <w:r>
        <w:rPr>
          <w:color w:val="231F20"/>
        </w:rPr>
        <w:t>fisiológica</w:t>
      </w:r>
      <w:r>
        <w:rPr>
          <w:color w:val="231F20"/>
          <w:spacing w:val="-10"/>
        </w:rPr>
        <w:t> </w:t>
      </w:r>
      <w:r>
        <w:rPr>
          <w:color w:val="231F20"/>
        </w:rPr>
        <w:t>(DOE)</w:t>
      </w:r>
      <w:r>
        <w:rPr>
          <w:color w:val="231F20"/>
          <w:spacing w:val="-10"/>
        </w:rPr>
        <w:t> </w:t>
      </w:r>
      <w:r>
        <w:rPr>
          <w:color w:val="231F20"/>
        </w:rPr>
        <w:t>es</w:t>
      </w:r>
      <w:r>
        <w:rPr>
          <w:color w:val="231F20"/>
          <w:spacing w:val="-10"/>
        </w:rPr>
        <w:t> </w:t>
      </w:r>
      <w:r>
        <w:rPr>
          <w:color w:val="231F20"/>
        </w:rPr>
        <w:t>la</w:t>
      </w:r>
      <w:r>
        <w:rPr>
          <w:color w:val="231F20"/>
          <w:spacing w:val="-10"/>
        </w:rPr>
        <w:t> </w:t>
      </w:r>
      <w:r>
        <w:rPr>
          <w:color w:val="231F20"/>
        </w:rPr>
        <w:t>cantidad</w:t>
      </w:r>
      <w:r>
        <w:rPr>
          <w:color w:val="231F20"/>
          <w:spacing w:val="-10"/>
        </w:rPr>
        <w:t> </w:t>
      </w:r>
      <w:r>
        <w:rPr>
          <w:color w:val="231F20"/>
        </w:rPr>
        <w:t>de</w:t>
      </w:r>
      <w:r>
        <w:rPr>
          <w:color w:val="231F20"/>
          <w:spacing w:val="-10"/>
        </w:rPr>
        <w:t> </w:t>
      </w:r>
      <w:r>
        <w:rPr>
          <w:color w:val="231F20"/>
        </w:rPr>
        <w:t>un</w:t>
      </w:r>
      <w:r>
        <w:rPr>
          <w:color w:val="231F20"/>
          <w:spacing w:val="-10"/>
        </w:rPr>
        <w:t> </w:t>
      </w:r>
      <w:r>
        <w:rPr>
          <w:color w:val="231F20"/>
        </w:rPr>
        <w:t>nutrimento</w:t>
      </w:r>
      <w:r>
        <w:rPr>
          <w:color w:val="231F20"/>
          <w:spacing w:val="-10"/>
        </w:rPr>
        <w:t> </w:t>
      </w:r>
      <w:r>
        <w:rPr>
          <w:color w:val="231F20"/>
        </w:rPr>
        <w:t>que</w:t>
      </w:r>
      <w:r>
        <w:rPr>
          <w:color w:val="231F20"/>
          <w:spacing w:val="-10"/>
        </w:rPr>
        <w:t> </w:t>
      </w:r>
      <w:r>
        <w:rPr>
          <w:color w:val="231F20"/>
        </w:rPr>
        <w:t>utiliza</w:t>
      </w:r>
      <w:r>
        <w:rPr>
          <w:color w:val="231F20"/>
          <w:spacing w:val="-10"/>
        </w:rPr>
        <w:t> </w:t>
      </w:r>
      <w:r>
        <w:rPr>
          <w:color w:val="231F20"/>
        </w:rPr>
        <w:t>el</w:t>
      </w:r>
      <w:r>
        <w:rPr>
          <w:color w:val="231F20"/>
          <w:spacing w:val="-10"/>
        </w:rPr>
        <w:t> </w:t>
      </w:r>
      <w:r>
        <w:rPr>
          <w:color w:val="231F20"/>
        </w:rPr>
        <w:t>cultivo</w:t>
      </w:r>
      <w:r>
        <w:rPr>
          <w:color w:val="231F20"/>
          <w:spacing w:val="-10"/>
        </w:rPr>
        <w:t> </w:t>
      </w:r>
      <w:r>
        <w:rPr>
          <w:color w:val="231F20"/>
        </w:rPr>
        <w:t>en</w:t>
      </w:r>
      <w:r>
        <w:rPr>
          <w:color w:val="231F20"/>
          <w:spacing w:val="-10"/>
        </w:rPr>
        <w:t> </w:t>
      </w:r>
      <w:r>
        <w:rPr>
          <w:color w:val="231F20"/>
        </w:rPr>
        <w:t>su máximo</w:t>
      </w:r>
      <w:r>
        <w:rPr>
          <w:color w:val="231F20"/>
          <w:spacing w:val="-8"/>
        </w:rPr>
        <w:t> </w:t>
      </w:r>
      <w:r>
        <w:rPr>
          <w:color w:val="231F20"/>
        </w:rPr>
        <w:t>desarrollo</w:t>
      </w:r>
      <w:r>
        <w:rPr>
          <w:color w:val="231F20"/>
          <w:spacing w:val="-8"/>
        </w:rPr>
        <w:t> </w:t>
      </w:r>
      <w:r>
        <w:rPr>
          <w:color w:val="231F20"/>
        </w:rPr>
        <w:t>o</w:t>
      </w:r>
      <w:r>
        <w:rPr>
          <w:color w:val="231F20"/>
          <w:spacing w:val="-8"/>
        </w:rPr>
        <w:t> </w:t>
      </w:r>
      <w:r>
        <w:rPr>
          <w:color w:val="231F20"/>
        </w:rPr>
        <w:t>rendimiento</w:t>
      </w:r>
      <w:r>
        <w:rPr>
          <w:color w:val="231F20"/>
          <w:spacing w:val="-8"/>
        </w:rPr>
        <w:t> </w:t>
      </w:r>
      <w:r>
        <w:rPr>
          <w:color w:val="231F20"/>
        </w:rPr>
        <w:t>de</w:t>
      </w:r>
      <w:r>
        <w:rPr>
          <w:color w:val="231F20"/>
          <w:spacing w:val="-8"/>
        </w:rPr>
        <w:t> </w:t>
      </w:r>
      <w:r>
        <w:rPr>
          <w:color w:val="231F20"/>
        </w:rPr>
        <w:t>acuerdo</w:t>
      </w:r>
      <w:r>
        <w:rPr>
          <w:color w:val="231F20"/>
          <w:spacing w:val="-8"/>
        </w:rPr>
        <w:t> </w:t>
      </w:r>
      <w:r>
        <w:rPr>
          <w:color w:val="231F20"/>
        </w:rPr>
        <w:t>a</w:t>
      </w:r>
      <w:r>
        <w:rPr>
          <w:color w:val="231F20"/>
          <w:spacing w:val="-8"/>
        </w:rPr>
        <w:t> </w:t>
      </w:r>
      <w:r>
        <w:rPr>
          <w:color w:val="231F20"/>
        </w:rPr>
        <w:t>las</w:t>
      </w:r>
      <w:r>
        <w:rPr>
          <w:color w:val="231F20"/>
          <w:spacing w:val="-8"/>
        </w:rPr>
        <w:t> </w:t>
      </w:r>
      <w:r>
        <w:rPr>
          <w:color w:val="231F20"/>
        </w:rPr>
        <w:t>condiciones</w:t>
      </w:r>
      <w:r>
        <w:rPr>
          <w:color w:val="231F20"/>
          <w:spacing w:val="-8"/>
        </w:rPr>
        <w:t> </w:t>
      </w:r>
      <w:r>
        <w:rPr>
          <w:color w:val="231F20"/>
        </w:rPr>
        <w:t>climáticas</w:t>
      </w:r>
      <w:r>
        <w:rPr>
          <w:color w:val="231F20"/>
          <w:spacing w:val="-8"/>
        </w:rPr>
        <w:t> </w:t>
      </w:r>
      <w:r>
        <w:rPr>
          <w:color w:val="231F20"/>
        </w:rPr>
        <w:t>de</w:t>
      </w:r>
      <w:r>
        <w:rPr>
          <w:color w:val="231F20"/>
          <w:spacing w:val="-8"/>
        </w:rPr>
        <w:t> </w:t>
      </w:r>
      <w:r>
        <w:rPr>
          <w:color w:val="231F20"/>
        </w:rPr>
        <w:t>crecimiento</w:t>
      </w:r>
      <w:r>
        <w:rPr>
          <w:color w:val="231F20"/>
          <w:spacing w:val="-8"/>
        </w:rPr>
        <w:t> </w:t>
      </w:r>
      <w:r>
        <w:rPr>
          <w:color w:val="231F20"/>
        </w:rPr>
        <w:t>y</w:t>
      </w:r>
      <w:r>
        <w:rPr>
          <w:color w:val="231F20"/>
          <w:spacing w:val="-8"/>
        </w:rPr>
        <w:t> </w:t>
      </w:r>
      <w:r>
        <w:rPr>
          <w:color w:val="231F20"/>
        </w:rPr>
        <w:t>presencia de otros nutrimentos. Por otro lado, Álvarez </w:t>
      </w:r>
      <w:r>
        <w:rPr>
          <w:i/>
          <w:color w:val="231F20"/>
        </w:rPr>
        <w:t>et al. </w:t>
      </w:r>
      <w:r>
        <w:rPr>
          <w:color w:val="231F20"/>
        </w:rPr>
        <w:t>(2003) menciona, que la relación de precios entre el</w:t>
      </w:r>
      <w:r>
        <w:rPr>
          <w:color w:val="231F20"/>
          <w:spacing w:val="-10"/>
        </w:rPr>
        <w:t> </w:t>
      </w:r>
      <w:r>
        <w:rPr>
          <w:color w:val="231F20"/>
        </w:rPr>
        <w:t>N</w:t>
      </w:r>
      <w:r>
        <w:rPr>
          <w:color w:val="231F20"/>
          <w:spacing w:val="-10"/>
        </w:rPr>
        <w:t> </w:t>
      </w:r>
      <w:r>
        <w:rPr>
          <w:color w:val="231F20"/>
        </w:rPr>
        <w:t>y</w:t>
      </w:r>
      <w:r>
        <w:rPr>
          <w:color w:val="231F20"/>
          <w:spacing w:val="-10"/>
        </w:rPr>
        <w:t> </w:t>
      </w:r>
      <w:r>
        <w:rPr>
          <w:color w:val="231F20"/>
        </w:rPr>
        <w:t>el</w:t>
      </w:r>
      <w:r>
        <w:rPr>
          <w:color w:val="231F20"/>
          <w:spacing w:val="-10"/>
        </w:rPr>
        <w:t> </w:t>
      </w:r>
      <w:r>
        <w:rPr>
          <w:color w:val="231F20"/>
        </w:rPr>
        <w:t>grano</w:t>
      </w:r>
      <w:r>
        <w:rPr>
          <w:color w:val="231F20"/>
          <w:spacing w:val="-10"/>
        </w:rPr>
        <w:t> </w:t>
      </w:r>
      <w:r>
        <w:rPr>
          <w:color w:val="231F20"/>
        </w:rPr>
        <w:t>es</w:t>
      </w:r>
      <w:r>
        <w:rPr>
          <w:color w:val="231F20"/>
          <w:spacing w:val="-10"/>
        </w:rPr>
        <w:t> </w:t>
      </w:r>
      <w:r>
        <w:rPr>
          <w:color w:val="231F20"/>
        </w:rPr>
        <w:t>importante</w:t>
      </w:r>
      <w:r>
        <w:rPr>
          <w:color w:val="231F20"/>
          <w:spacing w:val="-10"/>
        </w:rPr>
        <w:t> </w:t>
      </w:r>
      <w:r>
        <w:rPr>
          <w:color w:val="231F20"/>
        </w:rPr>
        <w:t>para</w:t>
      </w:r>
      <w:r>
        <w:rPr>
          <w:color w:val="231F20"/>
          <w:spacing w:val="-10"/>
        </w:rPr>
        <w:t> </w:t>
      </w:r>
      <w:r>
        <w:rPr>
          <w:color w:val="231F20"/>
        </w:rPr>
        <w:t>poder</w:t>
      </w:r>
      <w:r>
        <w:rPr>
          <w:color w:val="231F20"/>
          <w:spacing w:val="-10"/>
        </w:rPr>
        <w:t> </w:t>
      </w:r>
      <w:r>
        <w:rPr>
          <w:color w:val="231F20"/>
        </w:rPr>
        <w:t>definir</w:t>
      </w:r>
      <w:r>
        <w:rPr>
          <w:color w:val="231F20"/>
          <w:spacing w:val="-10"/>
        </w:rPr>
        <w:t> </w:t>
      </w:r>
      <w:r>
        <w:rPr>
          <w:color w:val="231F20"/>
        </w:rPr>
        <w:t>los</w:t>
      </w:r>
      <w:r>
        <w:rPr>
          <w:color w:val="231F20"/>
          <w:spacing w:val="-10"/>
        </w:rPr>
        <w:t> </w:t>
      </w:r>
      <w:r>
        <w:rPr>
          <w:color w:val="231F20"/>
        </w:rPr>
        <w:t>niveles</w:t>
      </w:r>
      <w:r>
        <w:rPr>
          <w:color w:val="231F20"/>
          <w:spacing w:val="-10"/>
        </w:rPr>
        <w:t> </w:t>
      </w:r>
      <w:r>
        <w:rPr>
          <w:color w:val="231F20"/>
        </w:rPr>
        <w:t>de</w:t>
      </w:r>
      <w:r>
        <w:rPr>
          <w:color w:val="231F20"/>
          <w:spacing w:val="-10"/>
        </w:rPr>
        <w:t> </w:t>
      </w:r>
      <w:r>
        <w:rPr>
          <w:color w:val="231F20"/>
        </w:rPr>
        <w:t>N</w:t>
      </w:r>
      <w:r>
        <w:rPr>
          <w:color w:val="231F20"/>
          <w:spacing w:val="-10"/>
        </w:rPr>
        <w:t> </w:t>
      </w:r>
      <w:r>
        <w:rPr>
          <w:color w:val="231F20"/>
        </w:rPr>
        <w:t>a</w:t>
      </w:r>
      <w:r>
        <w:rPr>
          <w:color w:val="231F20"/>
          <w:spacing w:val="-10"/>
        </w:rPr>
        <w:t> </w:t>
      </w:r>
      <w:r>
        <w:rPr>
          <w:color w:val="231F20"/>
        </w:rPr>
        <w:t>aplicar.</w:t>
      </w:r>
      <w:r>
        <w:rPr>
          <w:color w:val="231F20"/>
          <w:spacing w:val="-14"/>
        </w:rPr>
        <w:t> </w:t>
      </w:r>
      <w:r>
        <w:rPr>
          <w:color w:val="231F20"/>
        </w:rPr>
        <w:t>Teniendo</w:t>
      </w:r>
      <w:r>
        <w:rPr>
          <w:color w:val="231F20"/>
          <w:spacing w:val="-10"/>
        </w:rPr>
        <w:t> </w:t>
      </w:r>
      <w:r>
        <w:rPr>
          <w:color w:val="231F20"/>
        </w:rPr>
        <w:t>en</w:t>
      </w:r>
      <w:r>
        <w:rPr>
          <w:color w:val="231F20"/>
          <w:spacing w:val="-10"/>
        </w:rPr>
        <w:t> </w:t>
      </w:r>
      <w:r>
        <w:rPr>
          <w:color w:val="231F20"/>
        </w:rPr>
        <w:t>cuenta</w:t>
      </w:r>
      <w:r>
        <w:rPr>
          <w:color w:val="231F20"/>
          <w:spacing w:val="-10"/>
        </w:rPr>
        <w:t> </w:t>
      </w:r>
      <w:r>
        <w:rPr>
          <w:color w:val="231F20"/>
        </w:rPr>
        <w:t>que</w:t>
      </w:r>
      <w:r>
        <w:rPr>
          <w:color w:val="231F20"/>
          <w:spacing w:val="-10"/>
        </w:rPr>
        <w:t> </w:t>
      </w:r>
      <w:r>
        <w:rPr>
          <w:color w:val="231F20"/>
        </w:rPr>
        <w:t>los fertilizantes</w:t>
      </w:r>
      <w:r>
        <w:rPr>
          <w:color w:val="231F20"/>
          <w:spacing w:val="-11"/>
        </w:rPr>
        <w:t> </w:t>
      </w:r>
      <w:r>
        <w:rPr>
          <w:color w:val="231F20"/>
        </w:rPr>
        <w:t>nitrogenados</w:t>
      </w:r>
      <w:r>
        <w:rPr>
          <w:color w:val="231F20"/>
          <w:spacing w:val="-11"/>
        </w:rPr>
        <w:t> </w:t>
      </w:r>
      <w:r>
        <w:rPr>
          <w:color w:val="231F20"/>
        </w:rPr>
        <w:t>tienen</w:t>
      </w:r>
      <w:r>
        <w:rPr>
          <w:color w:val="231F20"/>
          <w:spacing w:val="-11"/>
        </w:rPr>
        <w:t> </w:t>
      </w:r>
      <w:r>
        <w:rPr>
          <w:color w:val="231F20"/>
        </w:rPr>
        <w:t>una</w:t>
      </w:r>
      <w:r>
        <w:rPr>
          <w:color w:val="231F20"/>
          <w:spacing w:val="-11"/>
        </w:rPr>
        <w:t> </w:t>
      </w:r>
      <w:r>
        <w:rPr>
          <w:color w:val="231F20"/>
        </w:rPr>
        <w:t>alta</w:t>
      </w:r>
      <w:r>
        <w:rPr>
          <w:color w:val="231F20"/>
          <w:spacing w:val="-11"/>
        </w:rPr>
        <w:t> </w:t>
      </w:r>
      <w:r>
        <w:rPr>
          <w:color w:val="231F20"/>
        </w:rPr>
        <w:t>importancia</w:t>
      </w:r>
      <w:r>
        <w:rPr>
          <w:color w:val="231F20"/>
          <w:spacing w:val="-12"/>
        </w:rPr>
        <w:t> </w:t>
      </w:r>
      <w:r>
        <w:rPr>
          <w:color w:val="231F20"/>
        </w:rPr>
        <w:t>relativa</w:t>
      </w:r>
      <w:r>
        <w:rPr>
          <w:color w:val="231F20"/>
          <w:spacing w:val="-11"/>
        </w:rPr>
        <w:t> </w:t>
      </w:r>
      <w:r>
        <w:rPr>
          <w:color w:val="231F20"/>
        </w:rPr>
        <w:t>dentro</w:t>
      </w:r>
      <w:r>
        <w:rPr>
          <w:color w:val="231F20"/>
          <w:spacing w:val="-11"/>
        </w:rPr>
        <w:t> </w:t>
      </w:r>
      <w:r>
        <w:rPr>
          <w:color w:val="231F20"/>
        </w:rPr>
        <w:t>del</w:t>
      </w:r>
      <w:r>
        <w:rPr>
          <w:color w:val="231F20"/>
          <w:spacing w:val="-11"/>
        </w:rPr>
        <w:t> </w:t>
      </w:r>
      <w:r>
        <w:rPr>
          <w:color w:val="231F20"/>
        </w:rPr>
        <w:t>costo</w:t>
      </w:r>
      <w:r>
        <w:rPr>
          <w:color w:val="231F20"/>
          <w:spacing w:val="-11"/>
        </w:rPr>
        <w:t> </w:t>
      </w:r>
      <w:r>
        <w:rPr>
          <w:color w:val="231F20"/>
        </w:rPr>
        <w:t>de</w:t>
      </w:r>
      <w:r>
        <w:rPr>
          <w:color w:val="231F20"/>
          <w:spacing w:val="-11"/>
        </w:rPr>
        <w:t> </w:t>
      </w:r>
      <w:r>
        <w:rPr>
          <w:color w:val="231F20"/>
        </w:rPr>
        <w:t>producción,</w:t>
      </w:r>
      <w:r>
        <w:rPr>
          <w:color w:val="231F20"/>
          <w:spacing w:val="-11"/>
        </w:rPr>
        <w:t> </w:t>
      </w:r>
      <w:r>
        <w:rPr>
          <w:color w:val="231F20"/>
        </w:rPr>
        <w:t>se</w:t>
      </w:r>
      <w:r>
        <w:rPr>
          <w:color w:val="231F20"/>
          <w:spacing w:val="-11"/>
        </w:rPr>
        <w:t> </w:t>
      </w:r>
      <w:r>
        <w:rPr>
          <w:color w:val="231F20"/>
        </w:rPr>
        <w:t>hace necesario realizar análisis de costos que permitan determinar la dosis óptima económica (DOE), es decir, la cantidad de insumo (fertilizante nitrogenado) que maximiza la rentabilidad de este cultivo. La fertilización nitrogenada es una práctica frecuente en los sistemas de producción agrícola, sin embargo existe poca información para definir la dosis de nitrógeno (N) que responde al máximo</w:t>
      </w:r>
      <w:r>
        <w:rPr>
          <w:color w:val="231F20"/>
          <w:spacing w:val="-30"/>
        </w:rPr>
        <w:t> </w:t>
      </w:r>
      <w:r>
        <w:rPr>
          <w:color w:val="231F20"/>
        </w:rPr>
        <w:t>be- neficio</w:t>
      </w:r>
      <w:r>
        <w:rPr>
          <w:color w:val="231F20"/>
          <w:spacing w:val="-6"/>
        </w:rPr>
        <w:t> </w:t>
      </w:r>
      <w:r>
        <w:rPr>
          <w:color w:val="231F20"/>
        </w:rPr>
        <w:t>económico.</w:t>
      </w:r>
      <w:r>
        <w:rPr>
          <w:color w:val="231F20"/>
          <w:spacing w:val="-6"/>
        </w:rPr>
        <w:t> </w:t>
      </w:r>
      <w:r>
        <w:rPr>
          <w:color w:val="231F20"/>
        </w:rPr>
        <w:t>El</w:t>
      </w:r>
      <w:r>
        <w:rPr>
          <w:color w:val="231F20"/>
          <w:spacing w:val="-6"/>
        </w:rPr>
        <w:t> </w:t>
      </w:r>
      <w:r>
        <w:rPr>
          <w:color w:val="231F20"/>
        </w:rPr>
        <w:t>objetivo</w:t>
      </w:r>
      <w:r>
        <w:rPr>
          <w:color w:val="231F20"/>
          <w:spacing w:val="-6"/>
        </w:rPr>
        <w:t> </w:t>
      </w:r>
      <w:r>
        <w:rPr>
          <w:color w:val="231F20"/>
        </w:rPr>
        <w:t>del</w:t>
      </w:r>
      <w:r>
        <w:rPr>
          <w:color w:val="231F20"/>
          <w:spacing w:val="-6"/>
        </w:rPr>
        <w:t> </w:t>
      </w:r>
      <w:r>
        <w:rPr>
          <w:color w:val="231F20"/>
        </w:rPr>
        <w:t>presente</w:t>
      </w:r>
      <w:r>
        <w:rPr>
          <w:color w:val="231F20"/>
          <w:spacing w:val="-6"/>
        </w:rPr>
        <w:t> </w:t>
      </w:r>
      <w:r>
        <w:rPr>
          <w:color w:val="231F20"/>
        </w:rPr>
        <w:t>trabajo</w:t>
      </w:r>
      <w:r>
        <w:rPr>
          <w:color w:val="231F20"/>
          <w:spacing w:val="-6"/>
        </w:rPr>
        <w:t> </w:t>
      </w:r>
      <w:r>
        <w:rPr>
          <w:color w:val="231F20"/>
        </w:rPr>
        <w:t>fue</w:t>
      </w:r>
      <w:r>
        <w:rPr>
          <w:color w:val="231F20"/>
          <w:spacing w:val="-6"/>
        </w:rPr>
        <w:t> </w:t>
      </w:r>
      <w:r>
        <w:rPr>
          <w:color w:val="231F20"/>
        </w:rPr>
        <w:t>determinar</w:t>
      </w:r>
      <w:r>
        <w:rPr>
          <w:color w:val="231F20"/>
          <w:spacing w:val="-6"/>
        </w:rPr>
        <w:t> </w:t>
      </w:r>
      <w:r>
        <w:rPr>
          <w:color w:val="231F20"/>
        </w:rPr>
        <w:t>la</w:t>
      </w:r>
      <w:r>
        <w:rPr>
          <w:color w:val="231F20"/>
          <w:spacing w:val="-6"/>
        </w:rPr>
        <w:t> </w:t>
      </w:r>
      <w:r>
        <w:rPr>
          <w:color w:val="231F20"/>
        </w:rPr>
        <w:t>dosis</w:t>
      </w:r>
      <w:r>
        <w:rPr>
          <w:color w:val="231F20"/>
          <w:spacing w:val="-6"/>
        </w:rPr>
        <w:t> </w:t>
      </w:r>
      <w:r>
        <w:rPr>
          <w:color w:val="231F20"/>
        </w:rPr>
        <w:t>óptima</w:t>
      </w:r>
      <w:r>
        <w:rPr>
          <w:color w:val="231F20"/>
          <w:spacing w:val="-6"/>
        </w:rPr>
        <w:t> </w:t>
      </w:r>
      <w:r>
        <w:rPr>
          <w:color w:val="231F20"/>
        </w:rPr>
        <w:t>fisiológica</w:t>
      </w:r>
      <w:r>
        <w:rPr>
          <w:color w:val="231F20"/>
          <w:spacing w:val="-6"/>
        </w:rPr>
        <w:t> </w:t>
      </w:r>
      <w:r>
        <w:rPr>
          <w:color w:val="231F20"/>
        </w:rPr>
        <w:t>(DOF) de nitrógeno en el cultivo de frijol bajo un sistema de asociación maíz-frijol en clima templado, seleccionando el modelo matemático apropiado para la</w:t>
      </w:r>
      <w:r>
        <w:rPr>
          <w:color w:val="231F20"/>
          <w:spacing w:val="-14"/>
        </w:rPr>
        <w:t> </w:t>
      </w:r>
      <w:r>
        <w:rPr>
          <w:color w:val="231F20"/>
        </w:rPr>
        <w:t>producción.</w:t>
      </w:r>
    </w:p>
    <w:p>
      <w:pPr>
        <w:pStyle w:val="BodyText"/>
        <w:spacing w:before="10"/>
        <w:rPr>
          <w:sz w:val="22"/>
        </w:rPr>
      </w:pPr>
    </w:p>
    <w:p>
      <w:pPr>
        <w:pStyle w:val="Heading3"/>
      </w:pPr>
      <w:r>
        <w:rPr>
          <w:color w:val="010202"/>
        </w:rPr>
        <w:t>Materiales y métodos</w:t>
      </w:r>
    </w:p>
    <w:p>
      <w:pPr>
        <w:pStyle w:val="BodyText"/>
        <w:spacing w:before="10"/>
        <w:rPr>
          <w:b/>
        </w:rPr>
      </w:pPr>
    </w:p>
    <w:p>
      <w:pPr>
        <w:pStyle w:val="BodyText"/>
        <w:spacing w:line="247" w:lineRule="auto"/>
        <w:ind w:left="1270" w:right="1268"/>
        <w:jc w:val="both"/>
      </w:pPr>
      <w:r>
        <w:rPr>
          <w:color w:val="231F20"/>
        </w:rPr>
        <w:t>Durante</w:t>
      </w:r>
      <w:r>
        <w:rPr>
          <w:color w:val="231F20"/>
          <w:spacing w:val="-5"/>
        </w:rPr>
        <w:t> </w:t>
      </w:r>
      <w:r>
        <w:rPr>
          <w:color w:val="231F20"/>
        </w:rPr>
        <w:t>el</w:t>
      </w:r>
      <w:r>
        <w:rPr>
          <w:color w:val="231F20"/>
          <w:spacing w:val="-5"/>
        </w:rPr>
        <w:t> </w:t>
      </w:r>
      <w:r>
        <w:rPr>
          <w:color w:val="231F20"/>
        </w:rPr>
        <w:t>ciclo</w:t>
      </w:r>
      <w:r>
        <w:rPr>
          <w:color w:val="231F20"/>
          <w:spacing w:val="-5"/>
        </w:rPr>
        <w:t> </w:t>
      </w:r>
      <w:r>
        <w:rPr>
          <w:color w:val="231F20"/>
        </w:rPr>
        <w:t>primavera-verano</w:t>
      </w:r>
      <w:r>
        <w:rPr>
          <w:color w:val="231F20"/>
          <w:spacing w:val="-5"/>
        </w:rPr>
        <w:t> </w:t>
      </w:r>
      <w:r>
        <w:rPr>
          <w:color w:val="231F20"/>
        </w:rPr>
        <w:t>de</w:t>
      </w:r>
      <w:r>
        <w:rPr>
          <w:color w:val="231F20"/>
          <w:spacing w:val="-5"/>
        </w:rPr>
        <w:t> </w:t>
      </w:r>
      <w:r>
        <w:rPr>
          <w:color w:val="231F20"/>
        </w:rPr>
        <w:t>2010,</w:t>
      </w:r>
      <w:r>
        <w:rPr>
          <w:color w:val="231F20"/>
          <w:spacing w:val="-5"/>
        </w:rPr>
        <w:t> </w:t>
      </w:r>
      <w:r>
        <w:rPr>
          <w:color w:val="231F20"/>
        </w:rPr>
        <w:t>se</w:t>
      </w:r>
      <w:r>
        <w:rPr>
          <w:color w:val="231F20"/>
          <w:spacing w:val="-5"/>
        </w:rPr>
        <w:t> </w:t>
      </w:r>
      <w:r>
        <w:rPr>
          <w:color w:val="231F20"/>
        </w:rPr>
        <w:t>llevó</w:t>
      </w:r>
      <w:r>
        <w:rPr>
          <w:color w:val="231F20"/>
          <w:spacing w:val="-5"/>
        </w:rPr>
        <w:t> </w:t>
      </w:r>
      <w:r>
        <w:rPr>
          <w:color w:val="231F20"/>
        </w:rPr>
        <w:t>a</w:t>
      </w:r>
      <w:r>
        <w:rPr>
          <w:color w:val="231F20"/>
          <w:spacing w:val="-5"/>
        </w:rPr>
        <w:t> </w:t>
      </w:r>
      <w:r>
        <w:rPr>
          <w:color w:val="231F20"/>
        </w:rPr>
        <w:t>cabo,</w:t>
      </w:r>
      <w:r>
        <w:rPr>
          <w:color w:val="231F20"/>
          <w:spacing w:val="-5"/>
        </w:rPr>
        <w:t> </w:t>
      </w:r>
      <w:r>
        <w:rPr>
          <w:color w:val="231F20"/>
        </w:rPr>
        <w:t>un</w:t>
      </w:r>
      <w:r>
        <w:rPr>
          <w:color w:val="231F20"/>
          <w:spacing w:val="-5"/>
        </w:rPr>
        <w:t> </w:t>
      </w:r>
      <w:r>
        <w:rPr>
          <w:color w:val="231F20"/>
        </w:rPr>
        <w:t>estudio</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campo</w:t>
      </w:r>
      <w:r>
        <w:rPr>
          <w:color w:val="231F20"/>
          <w:spacing w:val="-5"/>
        </w:rPr>
        <w:t> </w:t>
      </w:r>
      <w:r>
        <w:rPr>
          <w:color w:val="231F20"/>
        </w:rPr>
        <w:t>experimental</w:t>
      </w:r>
      <w:r>
        <w:rPr>
          <w:color w:val="231F20"/>
          <w:spacing w:val="-5"/>
        </w:rPr>
        <w:t> </w:t>
      </w:r>
      <w:r>
        <w:rPr>
          <w:color w:val="231F20"/>
        </w:rPr>
        <w:t>del Colegio de Postgraduados, Montecillo, Estado de México (19º 29’N y 98º 53’O y altitud de 2250 m), clima Bs1 el menos seco de los áridos con lluvias en verano, temperatura y precipitación media anual de 14.6 °C y 559 mm. Suelo de textura arcillosa, pH moderadamente alcalino (7.8), rico en el contenido de materia orgánica 7.2 %, nitrógeno total 0.35% y rico en fósforo </w:t>
      </w:r>
      <w:r>
        <w:rPr>
          <w:color w:val="231F20"/>
          <w:spacing w:val="-3"/>
        </w:rPr>
        <w:t>(Bray, </w:t>
      </w:r>
      <w:r>
        <w:rPr>
          <w:color w:val="231F20"/>
        </w:rPr>
        <w:t>1945) (45.8 mg kg-1).</w:t>
      </w:r>
      <w:r>
        <w:rPr>
          <w:color w:val="231F20"/>
          <w:spacing w:val="-8"/>
        </w:rPr>
        <w:t> </w:t>
      </w:r>
      <w:r>
        <w:rPr>
          <w:color w:val="231F20"/>
        </w:rPr>
        <w:t>La</w:t>
      </w:r>
      <w:r>
        <w:rPr>
          <w:color w:val="231F20"/>
          <w:spacing w:val="-8"/>
        </w:rPr>
        <w:t> </w:t>
      </w:r>
      <w:r>
        <w:rPr>
          <w:color w:val="231F20"/>
        </w:rPr>
        <w:t>siembra</w:t>
      </w:r>
      <w:r>
        <w:rPr>
          <w:color w:val="231F20"/>
          <w:spacing w:val="-8"/>
        </w:rPr>
        <w:t> </w:t>
      </w:r>
      <w:r>
        <w:rPr>
          <w:color w:val="231F20"/>
        </w:rPr>
        <w:t>se</w:t>
      </w:r>
      <w:r>
        <w:rPr>
          <w:color w:val="231F20"/>
          <w:spacing w:val="-8"/>
        </w:rPr>
        <w:t> </w:t>
      </w:r>
      <w:r>
        <w:rPr>
          <w:color w:val="231F20"/>
        </w:rPr>
        <w:t>llevó</w:t>
      </w:r>
      <w:r>
        <w:rPr>
          <w:color w:val="231F20"/>
          <w:spacing w:val="-8"/>
        </w:rPr>
        <w:t> </w:t>
      </w:r>
      <w:r>
        <w:rPr>
          <w:color w:val="231F20"/>
        </w:rPr>
        <w:t>a</w:t>
      </w:r>
      <w:r>
        <w:rPr>
          <w:color w:val="231F20"/>
          <w:spacing w:val="-8"/>
        </w:rPr>
        <w:t> </w:t>
      </w:r>
      <w:r>
        <w:rPr>
          <w:color w:val="231F20"/>
        </w:rPr>
        <w:t>cabo</w:t>
      </w:r>
      <w:r>
        <w:rPr>
          <w:color w:val="231F20"/>
          <w:spacing w:val="-8"/>
        </w:rPr>
        <w:t> </w:t>
      </w:r>
      <w:r>
        <w:rPr>
          <w:color w:val="231F20"/>
        </w:rPr>
        <w:t>el</w:t>
      </w:r>
      <w:r>
        <w:rPr>
          <w:color w:val="231F20"/>
          <w:spacing w:val="-8"/>
        </w:rPr>
        <w:t> </w:t>
      </w:r>
      <w:r>
        <w:rPr>
          <w:color w:val="231F20"/>
        </w:rPr>
        <w:t>17</w:t>
      </w:r>
      <w:r>
        <w:rPr>
          <w:color w:val="231F20"/>
          <w:spacing w:val="-8"/>
        </w:rPr>
        <w:t> </w:t>
      </w:r>
      <w:r>
        <w:rPr>
          <w:color w:val="231F20"/>
        </w:rPr>
        <w:t>de</w:t>
      </w:r>
      <w:r>
        <w:rPr>
          <w:color w:val="231F20"/>
          <w:spacing w:val="-8"/>
        </w:rPr>
        <w:t> </w:t>
      </w:r>
      <w:r>
        <w:rPr>
          <w:color w:val="231F20"/>
        </w:rPr>
        <w:t>mayo</w:t>
      </w:r>
      <w:r>
        <w:rPr>
          <w:color w:val="231F20"/>
          <w:spacing w:val="-8"/>
        </w:rPr>
        <w:t> </w:t>
      </w:r>
      <w:r>
        <w:rPr>
          <w:color w:val="231F20"/>
        </w:rPr>
        <w:t>de</w:t>
      </w:r>
      <w:r>
        <w:rPr>
          <w:color w:val="231F20"/>
          <w:spacing w:val="-8"/>
        </w:rPr>
        <w:t> </w:t>
      </w:r>
      <w:r>
        <w:rPr>
          <w:color w:val="231F20"/>
        </w:rPr>
        <w:t>2010.</w:t>
      </w:r>
      <w:r>
        <w:rPr>
          <w:color w:val="231F20"/>
          <w:spacing w:val="36"/>
        </w:rPr>
        <w:t> </w:t>
      </w:r>
      <w:r>
        <w:rPr>
          <w:color w:val="231F20"/>
        </w:rPr>
        <w:t>Se</w:t>
      </w:r>
      <w:r>
        <w:rPr>
          <w:color w:val="231F20"/>
          <w:spacing w:val="-8"/>
        </w:rPr>
        <w:t> </w:t>
      </w:r>
      <w:r>
        <w:rPr>
          <w:color w:val="231F20"/>
        </w:rPr>
        <w:t>utilizó</w:t>
      </w:r>
      <w:r>
        <w:rPr>
          <w:color w:val="231F20"/>
          <w:spacing w:val="-8"/>
        </w:rPr>
        <w:t> </w:t>
      </w:r>
      <w:r>
        <w:rPr>
          <w:color w:val="231F20"/>
        </w:rPr>
        <w:t>una</w:t>
      </w:r>
      <w:r>
        <w:rPr>
          <w:color w:val="231F20"/>
          <w:spacing w:val="-8"/>
        </w:rPr>
        <w:t> </w:t>
      </w:r>
      <w:r>
        <w:rPr>
          <w:color w:val="231F20"/>
        </w:rPr>
        <w:t>variedad</w:t>
      </w:r>
      <w:r>
        <w:rPr>
          <w:color w:val="231F20"/>
          <w:spacing w:val="-8"/>
        </w:rPr>
        <w:t> </w:t>
      </w:r>
      <w:r>
        <w:rPr>
          <w:color w:val="231F20"/>
        </w:rPr>
        <w:t>criolla</w:t>
      </w:r>
      <w:r>
        <w:rPr>
          <w:color w:val="231F20"/>
          <w:spacing w:val="-8"/>
        </w:rPr>
        <w:t> </w:t>
      </w:r>
      <w:r>
        <w:rPr>
          <w:color w:val="231F20"/>
        </w:rPr>
        <w:t>de</w:t>
      </w:r>
      <w:r>
        <w:rPr>
          <w:color w:val="231F20"/>
          <w:spacing w:val="-8"/>
        </w:rPr>
        <w:t> </w:t>
      </w:r>
      <w:r>
        <w:rPr>
          <w:color w:val="231F20"/>
        </w:rPr>
        <w:t>maíz</w:t>
      </w:r>
      <w:r>
        <w:rPr>
          <w:color w:val="231F20"/>
          <w:spacing w:val="-8"/>
        </w:rPr>
        <w:t> </w:t>
      </w:r>
      <w:r>
        <w:rPr>
          <w:color w:val="231F20"/>
        </w:rPr>
        <w:t>azul de la raza chalqueño y el cultivar “Hav-14” de frijol negro de hábito de crecimiento indeterminado trepador. El diseño de tratamientos fue una, dos y tres plantas de frijol por una de maíz (DPF) (7 (D1),</w:t>
      </w:r>
      <w:r>
        <w:rPr>
          <w:color w:val="231F20"/>
          <w:spacing w:val="-2"/>
        </w:rPr>
        <w:t> </w:t>
      </w:r>
      <w:r>
        <w:rPr>
          <w:color w:val="231F20"/>
        </w:rPr>
        <w:t>13</w:t>
      </w:r>
      <w:r>
        <w:rPr>
          <w:color w:val="231F20"/>
          <w:spacing w:val="-2"/>
        </w:rPr>
        <w:t> </w:t>
      </w:r>
      <w:r>
        <w:rPr>
          <w:color w:val="231F20"/>
        </w:rPr>
        <w:t>(D2)</w:t>
      </w:r>
      <w:r>
        <w:rPr>
          <w:color w:val="231F20"/>
          <w:spacing w:val="-2"/>
        </w:rPr>
        <w:t> </w:t>
      </w:r>
      <w:r>
        <w:rPr>
          <w:color w:val="231F20"/>
        </w:rPr>
        <w:t>y</w:t>
      </w:r>
      <w:r>
        <w:rPr>
          <w:color w:val="231F20"/>
          <w:spacing w:val="-2"/>
        </w:rPr>
        <w:t> </w:t>
      </w:r>
      <w:r>
        <w:rPr>
          <w:color w:val="231F20"/>
        </w:rPr>
        <w:t>20</w:t>
      </w:r>
      <w:r>
        <w:rPr>
          <w:color w:val="231F20"/>
          <w:spacing w:val="-2"/>
        </w:rPr>
        <w:t> </w:t>
      </w:r>
      <w:r>
        <w:rPr>
          <w:color w:val="231F20"/>
        </w:rPr>
        <w:t>pl</w:t>
      </w:r>
      <w:r>
        <w:rPr>
          <w:color w:val="231F20"/>
          <w:spacing w:val="-2"/>
        </w:rPr>
        <w:t> </w:t>
      </w:r>
      <w:r>
        <w:rPr>
          <w:color w:val="231F20"/>
        </w:rPr>
        <w:t>m-2</w:t>
      </w:r>
      <w:r>
        <w:rPr>
          <w:color w:val="231F20"/>
          <w:spacing w:val="-2"/>
        </w:rPr>
        <w:t> </w:t>
      </w:r>
      <w:r>
        <w:rPr>
          <w:color w:val="231F20"/>
        </w:rPr>
        <w:t>(D3),</w:t>
      </w:r>
      <w:r>
        <w:rPr>
          <w:color w:val="231F20"/>
          <w:spacing w:val="-2"/>
        </w:rPr>
        <w:t> </w:t>
      </w:r>
      <w:r>
        <w:rPr>
          <w:color w:val="231F20"/>
        </w:rPr>
        <w:t>respectivamente)</w:t>
      </w:r>
      <w:r>
        <w:rPr>
          <w:color w:val="231F20"/>
          <w:spacing w:val="-2"/>
        </w:rPr>
        <w:t> </w:t>
      </w:r>
      <w:r>
        <w:rPr>
          <w:color w:val="231F20"/>
        </w:rPr>
        <w:t>y</w:t>
      </w:r>
      <w:r>
        <w:rPr>
          <w:color w:val="231F20"/>
          <w:spacing w:val="-2"/>
        </w:rPr>
        <w:t> </w:t>
      </w:r>
      <w:r>
        <w:rPr>
          <w:color w:val="231F20"/>
        </w:rPr>
        <w:t>tres</w:t>
      </w:r>
      <w:r>
        <w:rPr>
          <w:color w:val="231F20"/>
          <w:spacing w:val="-2"/>
        </w:rPr>
        <w:t> </w:t>
      </w:r>
      <w:r>
        <w:rPr>
          <w:color w:val="231F20"/>
        </w:rPr>
        <w:t>niveles</w:t>
      </w:r>
      <w:r>
        <w:rPr>
          <w:color w:val="231F20"/>
          <w:spacing w:val="-2"/>
        </w:rPr>
        <w:t> </w:t>
      </w:r>
      <w:r>
        <w:rPr>
          <w:color w:val="231F20"/>
        </w:rPr>
        <w:t>de</w:t>
      </w:r>
      <w:r>
        <w:rPr>
          <w:color w:val="231F20"/>
          <w:spacing w:val="-2"/>
        </w:rPr>
        <w:t> </w:t>
      </w:r>
      <w:r>
        <w:rPr>
          <w:color w:val="231F20"/>
        </w:rPr>
        <w:t>nitrógeno</w:t>
      </w:r>
      <w:r>
        <w:rPr>
          <w:color w:val="231F20"/>
          <w:spacing w:val="-2"/>
        </w:rPr>
        <w:t> </w:t>
      </w:r>
      <w:r>
        <w:rPr>
          <w:color w:val="231F20"/>
        </w:rPr>
        <w:t>(NN)</w:t>
      </w:r>
      <w:r>
        <w:rPr>
          <w:color w:val="231F20"/>
          <w:spacing w:val="-2"/>
        </w:rPr>
        <w:t> </w:t>
      </w:r>
      <w:r>
        <w:rPr>
          <w:color w:val="231F20"/>
        </w:rPr>
        <w:t>0,</w:t>
      </w:r>
      <w:r>
        <w:rPr>
          <w:color w:val="231F20"/>
          <w:spacing w:val="-2"/>
        </w:rPr>
        <w:t> </w:t>
      </w:r>
      <w:r>
        <w:rPr>
          <w:color w:val="231F20"/>
        </w:rPr>
        <w:t>75</w:t>
      </w:r>
      <w:r>
        <w:rPr>
          <w:color w:val="231F20"/>
          <w:spacing w:val="-2"/>
        </w:rPr>
        <w:t> </w:t>
      </w:r>
      <w:r>
        <w:rPr>
          <w:color w:val="231F20"/>
        </w:rPr>
        <w:t>y</w:t>
      </w:r>
      <w:r>
        <w:rPr>
          <w:color w:val="231F20"/>
          <w:spacing w:val="-2"/>
        </w:rPr>
        <w:t> </w:t>
      </w:r>
      <w:r>
        <w:rPr>
          <w:color w:val="231F20"/>
        </w:rPr>
        <w:t>150</w:t>
      </w:r>
      <w:r>
        <w:rPr>
          <w:color w:val="231F20"/>
          <w:spacing w:val="-2"/>
        </w:rPr>
        <w:t> </w:t>
      </w:r>
      <w:r>
        <w:rPr>
          <w:color w:val="231F20"/>
        </w:rPr>
        <w:t>kg</w:t>
      </w:r>
      <w:r>
        <w:rPr>
          <w:color w:val="231F20"/>
          <w:spacing w:val="-2"/>
        </w:rPr>
        <w:t> </w:t>
      </w:r>
      <w:r>
        <w:rPr>
          <w:color w:val="231F20"/>
        </w:rPr>
        <w:t>N ha-1 fraccionado en dos etapas de crecimiento: siembra y segunda escarda. La fuente de N fue urea aplicada a chorrillo en el lomo del surco. En este caso los tratamientos fueron los niveles o dosis de nitrógeno que se aplicó al</w:t>
      </w:r>
      <w:r>
        <w:rPr>
          <w:color w:val="231F20"/>
          <w:spacing w:val="-2"/>
        </w:rPr>
        <w:t> </w:t>
      </w:r>
      <w:r>
        <w:rPr>
          <w:color w:val="231F20"/>
        </w:rPr>
        <w:t>cultivo.</w:t>
      </w:r>
    </w:p>
    <w:p>
      <w:pPr>
        <w:pStyle w:val="BodyText"/>
        <w:spacing w:before="10"/>
      </w:pPr>
    </w:p>
    <w:p>
      <w:pPr>
        <w:pStyle w:val="BodyText"/>
        <w:spacing w:line="249" w:lineRule="auto"/>
        <w:ind w:left="1270" w:right="1267"/>
        <w:jc w:val="both"/>
      </w:pPr>
      <w:r>
        <w:rPr>
          <w:color w:val="231F20"/>
        </w:rPr>
        <w:t>El diseño experimental fue de bloques al azar con cuatro repeticiones, con arreglo en parcelas divi- didas. A la cosecha se registró el rendimiento de frijol y maíz (g m</w:t>
      </w:r>
      <w:r>
        <w:rPr>
          <w:color w:val="231F20"/>
          <w:position w:val="7"/>
          <w:sz w:val="12"/>
        </w:rPr>
        <w:t>-2</w:t>
      </w:r>
      <w:r>
        <w:rPr>
          <w:color w:val="231F20"/>
        </w:rPr>
        <w:t>). Cuando se usa un diseño de tratamiento</w:t>
      </w:r>
      <w:r>
        <w:rPr>
          <w:color w:val="231F20"/>
          <w:spacing w:val="-11"/>
        </w:rPr>
        <w:t> </w:t>
      </w:r>
      <w:r>
        <w:rPr>
          <w:color w:val="231F20"/>
        </w:rPr>
        <w:t>como</w:t>
      </w:r>
      <w:r>
        <w:rPr>
          <w:color w:val="231F20"/>
          <w:spacing w:val="-11"/>
        </w:rPr>
        <w:t> </w:t>
      </w:r>
      <w:r>
        <w:rPr>
          <w:color w:val="231F20"/>
        </w:rPr>
        <w:t>el</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indica,</w:t>
      </w:r>
      <w:r>
        <w:rPr>
          <w:color w:val="231F20"/>
          <w:spacing w:val="-11"/>
        </w:rPr>
        <w:t> </w:t>
      </w:r>
      <w:r>
        <w:rPr>
          <w:color w:val="231F20"/>
        </w:rPr>
        <w:t>la</w:t>
      </w:r>
      <w:r>
        <w:rPr>
          <w:color w:val="231F20"/>
          <w:spacing w:val="-11"/>
        </w:rPr>
        <w:t> </w:t>
      </w:r>
      <w:r>
        <w:rPr>
          <w:color w:val="231F20"/>
        </w:rPr>
        <w:t>interpretación</w:t>
      </w:r>
      <w:r>
        <w:rPr>
          <w:color w:val="231F20"/>
          <w:spacing w:val="-12"/>
        </w:rPr>
        <w:t> </w:t>
      </w:r>
      <w:r>
        <w:rPr>
          <w:color w:val="231F20"/>
        </w:rPr>
        <w:t>estadística</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variables</w:t>
      </w:r>
      <w:r>
        <w:rPr>
          <w:color w:val="231F20"/>
          <w:spacing w:val="-11"/>
        </w:rPr>
        <w:t> </w:t>
      </w:r>
      <w:r>
        <w:rPr>
          <w:color w:val="231F20"/>
        </w:rPr>
        <w:t>dependientes</w:t>
      </w:r>
      <w:r>
        <w:rPr>
          <w:color w:val="231F20"/>
          <w:spacing w:val="-11"/>
        </w:rPr>
        <w:t> </w:t>
      </w:r>
      <w:r>
        <w:rPr>
          <w:color w:val="231F20"/>
        </w:rPr>
        <w:t>se</w:t>
      </w:r>
      <w:r>
        <w:rPr>
          <w:color w:val="231F20"/>
          <w:spacing w:val="-11"/>
        </w:rPr>
        <w:t> </w:t>
      </w:r>
      <w:r>
        <w:rPr>
          <w:color w:val="231F20"/>
        </w:rPr>
        <w:t>puede hacer mediante un análisis de regresión utilizando una ecuación ó modelo que se ajuste mejor a los datos observados, o bien un análisis de varianza aunque este no es el más recomendable por tratarse de una variable continúa. Por lo que, mediante un análisis de regresión, utilizando el paquete SAS (Statistical Analysis System) se probaron modelos empíricos (Thornley y Johnson, 2000), selec- cionando el que mostrará el mayor coeficiente de determinación (R2) y menor error de </w:t>
      </w:r>
      <w:r>
        <w:rPr>
          <w:color w:val="231F20"/>
          <w:spacing w:val="21"/>
        </w:rPr>
        <w:t> </w:t>
      </w:r>
      <w:r>
        <w:rPr>
          <w:color w:val="231F20"/>
        </w:rPr>
        <w:t>estimación.</w:t>
      </w:r>
    </w:p>
    <w:p>
      <w:pPr>
        <w:spacing w:after="0" w:line="249" w:lineRule="auto"/>
        <w:jc w:val="both"/>
        <w:sectPr>
          <w:pgSz w:w="10920" w:h="13080"/>
          <w:pgMar w:header="0" w:footer="1025" w:top="420" w:bottom="1220" w:left="0" w:right="0"/>
        </w:sectPr>
      </w:pPr>
    </w:p>
    <w:p>
      <w:pPr>
        <w:pStyle w:val="BodyText"/>
        <w:rPr>
          <w:sz w:val="20"/>
        </w:rPr>
      </w:pPr>
    </w:p>
    <w:p>
      <w:pPr>
        <w:pStyle w:val="BodyText"/>
        <w:rPr>
          <w:sz w:val="20"/>
        </w:rPr>
      </w:pPr>
    </w:p>
    <w:p>
      <w:pPr>
        <w:pStyle w:val="BodyText"/>
        <w:rPr>
          <w:sz w:val="23"/>
        </w:rPr>
      </w:pPr>
    </w:p>
    <w:p>
      <w:pPr>
        <w:pStyle w:val="BodyText"/>
        <w:spacing w:line="247" w:lineRule="auto" w:before="73"/>
        <w:ind w:left="1270" w:right="1268"/>
        <w:jc w:val="both"/>
      </w:pPr>
      <w:r>
        <w:rPr>
          <w:color w:val="231F20"/>
        </w:rPr>
        <w:t>En la estimación gráfica se utilizó una curva de respuesta construida con los valores observados de rendimiento para cada uno de los NN ensayados en el experimento, colocando en el eje de las X los NN y en el eje de las Y los rendimientos de ambas especies, con estos puntos en la gráfica se cons- truyó una curva media, haciendo pasar la curvilínea por la parte media de los puntos marcados en</w:t>
      </w:r>
      <w:r>
        <w:rPr>
          <w:color w:val="231F20"/>
          <w:spacing w:val="-17"/>
        </w:rPr>
        <w:t> </w:t>
      </w:r>
      <w:r>
        <w:rPr>
          <w:color w:val="231F20"/>
        </w:rPr>
        <w:t>el cuadrante.</w:t>
      </w:r>
      <w:r>
        <w:rPr>
          <w:color w:val="231F20"/>
          <w:spacing w:val="-10"/>
        </w:rPr>
        <w:t> </w:t>
      </w:r>
      <w:r>
        <w:rPr>
          <w:color w:val="231F20"/>
        </w:rPr>
        <w:t>El</w:t>
      </w:r>
      <w:r>
        <w:rPr>
          <w:color w:val="231F20"/>
          <w:spacing w:val="-10"/>
        </w:rPr>
        <w:t> </w:t>
      </w:r>
      <w:r>
        <w:rPr>
          <w:color w:val="231F20"/>
        </w:rPr>
        <w:t>punto</w:t>
      </w:r>
      <w:r>
        <w:rPr>
          <w:color w:val="231F20"/>
          <w:spacing w:val="-10"/>
        </w:rPr>
        <w:t> </w:t>
      </w:r>
      <w:r>
        <w:rPr>
          <w:color w:val="231F20"/>
        </w:rPr>
        <w:t>de</w:t>
      </w:r>
      <w:r>
        <w:rPr>
          <w:color w:val="231F20"/>
          <w:spacing w:val="-10"/>
        </w:rPr>
        <w:t> </w:t>
      </w:r>
      <w:r>
        <w:rPr>
          <w:color w:val="231F20"/>
        </w:rPr>
        <w:t>máximo</w:t>
      </w:r>
      <w:r>
        <w:rPr>
          <w:color w:val="231F20"/>
          <w:spacing w:val="-10"/>
        </w:rPr>
        <w:t> </w:t>
      </w:r>
      <w:r>
        <w:rPr>
          <w:color w:val="231F20"/>
        </w:rPr>
        <w:t>rendimiento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curva</w:t>
      </w:r>
      <w:r>
        <w:rPr>
          <w:color w:val="231F20"/>
          <w:spacing w:val="-10"/>
        </w:rPr>
        <w:t> </w:t>
      </w:r>
      <w:r>
        <w:rPr>
          <w:color w:val="231F20"/>
        </w:rPr>
        <w:t>proyectado</w:t>
      </w:r>
      <w:r>
        <w:rPr>
          <w:color w:val="231F20"/>
          <w:spacing w:val="-10"/>
        </w:rPr>
        <w:t> </w:t>
      </w:r>
      <w:r>
        <w:rPr>
          <w:color w:val="231F20"/>
        </w:rPr>
        <w:t>al</w:t>
      </w:r>
      <w:r>
        <w:rPr>
          <w:color w:val="231F20"/>
          <w:spacing w:val="-10"/>
        </w:rPr>
        <w:t> </w:t>
      </w:r>
      <w:r>
        <w:rPr>
          <w:color w:val="231F20"/>
        </w:rPr>
        <w:t>eje</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X</w:t>
      </w:r>
      <w:r>
        <w:rPr>
          <w:color w:val="231F20"/>
          <w:spacing w:val="-10"/>
        </w:rPr>
        <w:t> </w:t>
      </w:r>
      <w:r>
        <w:rPr>
          <w:color w:val="231F20"/>
        </w:rPr>
        <w:t>fue</w:t>
      </w:r>
      <w:r>
        <w:rPr>
          <w:color w:val="231F20"/>
          <w:spacing w:val="-10"/>
        </w:rPr>
        <w:t> </w:t>
      </w:r>
      <w:r>
        <w:rPr>
          <w:color w:val="231F20"/>
        </w:rPr>
        <w:t>la</w:t>
      </w:r>
      <w:r>
        <w:rPr>
          <w:color w:val="231F20"/>
          <w:spacing w:val="-10"/>
        </w:rPr>
        <w:t> </w:t>
      </w:r>
      <w:r>
        <w:rPr>
          <w:color w:val="231F20"/>
        </w:rPr>
        <w:t>dosis</w:t>
      </w:r>
      <w:r>
        <w:rPr>
          <w:color w:val="231F20"/>
          <w:spacing w:val="-10"/>
        </w:rPr>
        <w:t> </w:t>
      </w:r>
      <w:r>
        <w:rPr>
          <w:color w:val="231F20"/>
        </w:rPr>
        <w:t>óptima fisiológica. De igual manera se realizó un análisis económico basado en funciones de respuesta del cultivo de frijol y maíz a la aplicación de N.</w:t>
      </w:r>
    </w:p>
    <w:p>
      <w:pPr>
        <w:pStyle w:val="BodyText"/>
        <w:spacing w:before="9"/>
        <w:rPr>
          <w:sz w:val="22"/>
        </w:rPr>
      </w:pPr>
    </w:p>
    <w:p>
      <w:pPr>
        <w:pStyle w:val="Heading3"/>
      </w:pPr>
      <w:r>
        <w:rPr>
          <w:color w:val="010202"/>
        </w:rPr>
        <w:t>Análisis y discusión de resultados</w:t>
      </w:r>
    </w:p>
    <w:p>
      <w:pPr>
        <w:pStyle w:val="BodyText"/>
        <w:spacing w:before="10"/>
        <w:rPr>
          <w:b/>
        </w:rPr>
      </w:pPr>
    </w:p>
    <w:p>
      <w:pPr>
        <w:pStyle w:val="Heading5"/>
      </w:pPr>
      <w:r>
        <w:rPr>
          <w:color w:val="231F20"/>
        </w:rPr>
        <w:t>Dosis óptima fisiológica en frijol</w:t>
      </w:r>
    </w:p>
    <w:p>
      <w:pPr>
        <w:pStyle w:val="BodyText"/>
        <w:spacing w:line="249" w:lineRule="auto" w:before="8"/>
        <w:ind w:left="1270" w:right="1268"/>
        <w:jc w:val="both"/>
      </w:pPr>
      <w:r>
        <w:rPr>
          <w:color w:val="231F20"/>
        </w:rPr>
        <w:t>En la Figura 1 se presentan los valores de rendimiento en grano de frijol en función del NN para las densidades de plantas de frijol por mata. Cada punto representa el promedio de rendimiento corres- pondiente</w:t>
      </w:r>
      <w:r>
        <w:rPr>
          <w:color w:val="231F20"/>
          <w:spacing w:val="-7"/>
        </w:rPr>
        <w:t> </w:t>
      </w:r>
      <w:r>
        <w:rPr>
          <w:color w:val="231F20"/>
        </w:rPr>
        <w:t>a</w:t>
      </w:r>
      <w:r>
        <w:rPr>
          <w:color w:val="231F20"/>
          <w:spacing w:val="-7"/>
        </w:rPr>
        <w:t> </w:t>
      </w:r>
      <w:r>
        <w:rPr>
          <w:color w:val="231F20"/>
        </w:rPr>
        <w:t>cada</w:t>
      </w:r>
      <w:r>
        <w:rPr>
          <w:color w:val="231F20"/>
          <w:spacing w:val="-7"/>
        </w:rPr>
        <w:t> </w:t>
      </w:r>
      <w:r>
        <w:rPr>
          <w:color w:val="231F20"/>
        </w:rPr>
        <w:t>tratamiento.</w:t>
      </w:r>
      <w:r>
        <w:rPr>
          <w:color w:val="231F20"/>
          <w:spacing w:val="-7"/>
        </w:rPr>
        <w:t> </w:t>
      </w:r>
      <w:r>
        <w:rPr>
          <w:color w:val="231F20"/>
        </w:rPr>
        <w:t>Del</w:t>
      </w:r>
      <w:r>
        <w:rPr>
          <w:color w:val="231F20"/>
          <w:spacing w:val="-7"/>
        </w:rPr>
        <w:t> </w:t>
      </w:r>
      <w:r>
        <w:rPr>
          <w:color w:val="231F20"/>
        </w:rPr>
        <w:t>ajuste</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tres</w:t>
      </w:r>
      <w:r>
        <w:rPr>
          <w:color w:val="231F20"/>
          <w:spacing w:val="-7"/>
        </w:rPr>
        <w:t> </w:t>
      </w:r>
      <w:r>
        <w:rPr>
          <w:color w:val="231F20"/>
        </w:rPr>
        <w:t>modelos</w:t>
      </w:r>
      <w:r>
        <w:rPr>
          <w:color w:val="231F20"/>
          <w:spacing w:val="-7"/>
        </w:rPr>
        <w:t> </w:t>
      </w:r>
      <w:r>
        <w:rPr>
          <w:color w:val="231F20"/>
        </w:rPr>
        <w:t>surgieron</w:t>
      </w:r>
      <w:r>
        <w:rPr>
          <w:color w:val="231F20"/>
          <w:spacing w:val="-7"/>
        </w:rPr>
        <w:t> </w:t>
      </w:r>
      <w:r>
        <w:rPr>
          <w:color w:val="231F20"/>
        </w:rPr>
        <w:t>ecuaciones</w:t>
      </w:r>
      <w:r>
        <w:rPr>
          <w:color w:val="231F20"/>
          <w:spacing w:val="-7"/>
        </w:rPr>
        <w:t> </w:t>
      </w:r>
      <w:r>
        <w:rPr>
          <w:color w:val="231F20"/>
        </w:rPr>
        <w:t>cuyos</w:t>
      </w:r>
      <w:r>
        <w:rPr>
          <w:color w:val="231F20"/>
          <w:spacing w:val="-7"/>
        </w:rPr>
        <w:t> </w:t>
      </w:r>
      <w:r>
        <w:rPr>
          <w:color w:val="231F20"/>
        </w:rPr>
        <w:t>coeficientes fueron</w:t>
      </w:r>
      <w:r>
        <w:rPr>
          <w:color w:val="231F20"/>
          <w:spacing w:val="-3"/>
        </w:rPr>
        <w:t> </w:t>
      </w:r>
      <w:r>
        <w:rPr>
          <w:color w:val="231F20"/>
        </w:rPr>
        <w:t>altos,</w:t>
      </w:r>
      <w:r>
        <w:rPr>
          <w:color w:val="231F20"/>
          <w:spacing w:val="-3"/>
        </w:rPr>
        <w:t> </w:t>
      </w:r>
      <w:r>
        <w:rPr>
          <w:color w:val="231F20"/>
        </w:rPr>
        <w:t>así</w:t>
      </w:r>
      <w:r>
        <w:rPr>
          <w:color w:val="231F20"/>
          <w:spacing w:val="-3"/>
        </w:rPr>
        <w:t> </w:t>
      </w:r>
      <w:r>
        <w:rPr>
          <w:color w:val="231F20"/>
        </w:rPr>
        <w:t>mismo,</w:t>
      </w:r>
      <w:r>
        <w:rPr>
          <w:color w:val="231F20"/>
          <w:spacing w:val="-3"/>
        </w:rPr>
        <w:t> </w:t>
      </w:r>
      <w:r>
        <w:rPr>
          <w:color w:val="231F20"/>
        </w:rPr>
        <w:t>dichas</w:t>
      </w:r>
      <w:r>
        <w:rPr>
          <w:color w:val="231F20"/>
          <w:spacing w:val="-3"/>
        </w:rPr>
        <w:t> </w:t>
      </w:r>
      <w:r>
        <w:rPr>
          <w:color w:val="231F20"/>
        </w:rPr>
        <w:t>regresiones</w:t>
      </w:r>
      <w:r>
        <w:rPr>
          <w:color w:val="231F20"/>
          <w:spacing w:val="-3"/>
        </w:rPr>
        <w:t> </w:t>
      </w:r>
      <w:r>
        <w:rPr>
          <w:color w:val="231F20"/>
        </w:rPr>
        <w:t>fueron</w:t>
      </w:r>
      <w:r>
        <w:rPr>
          <w:color w:val="231F20"/>
          <w:spacing w:val="-3"/>
        </w:rPr>
        <w:t> </w:t>
      </w:r>
      <w:r>
        <w:rPr>
          <w:color w:val="231F20"/>
        </w:rPr>
        <w:t>significativas.</w:t>
      </w:r>
      <w:r>
        <w:rPr>
          <w:color w:val="231F20"/>
          <w:spacing w:val="-3"/>
        </w:rPr>
        <w:t> </w:t>
      </w:r>
      <w:r>
        <w:rPr>
          <w:color w:val="231F20"/>
        </w:rPr>
        <w:t>La</w:t>
      </w:r>
      <w:r>
        <w:rPr>
          <w:color w:val="231F20"/>
          <w:spacing w:val="-3"/>
        </w:rPr>
        <w:t> </w:t>
      </w:r>
      <w:r>
        <w:rPr>
          <w:color w:val="231F20"/>
        </w:rPr>
        <w:t>D3</w:t>
      </w:r>
      <w:r>
        <w:rPr>
          <w:color w:val="231F20"/>
          <w:spacing w:val="-3"/>
        </w:rPr>
        <w:t> </w:t>
      </w:r>
      <w:r>
        <w:rPr>
          <w:color w:val="231F20"/>
        </w:rPr>
        <w:t>mostró</w:t>
      </w:r>
      <w:r>
        <w:rPr>
          <w:color w:val="231F20"/>
          <w:spacing w:val="-3"/>
        </w:rPr>
        <w:t> </w:t>
      </w:r>
      <w:r>
        <w:rPr>
          <w:color w:val="231F20"/>
        </w:rPr>
        <w:t>cambios</w:t>
      </w:r>
      <w:r>
        <w:rPr>
          <w:color w:val="231F20"/>
          <w:spacing w:val="-3"/>
        </w:rPr>
        <w:t> </w:t>
      </w:r>
      <w:r>
        <w:rPr>
          <w:color w:val="231F20"/>
        </w:rPr>
        <w:t>en</w:t>
      </w:r>
      <w:r>
        <w:rPr>
          <w:color w:val="231F20"/>
          <w:spacing w:val="-3"/>
        </w:rPr>
        <w:t> </w:t>
      </w:r>
      <w:r>
        <w:rPr>
          <w:color w:val="231F20"/>
        </w:rPr>
        <w:t>el</w:t>
      </w:r>
      <w:r>
        <w:rPr>
          <w:color w:val="231F20"/>
          <w:spacing w:val="-3"/>
        </w:rPr>
        <w:t> </w:t>
      </w:r>
      <w:r>
        <w:rPr>
          <w:color w:val="231F20"/>
        </w:rPr>
        <w:t>rendi- miento</w:t>
      </w:r>
      <w:r>
        <w:rPr>
          <w:color w:val="231F20"/>
          <w:spacing w:val="-4"/>
        </w:rPr>
        <w:t> </w:t>
      </w:r>
      <w:r>
        <w:rPr>
          <w:color w:val="231F20"/>
        </w:rPr>
        <w:t>respecto</w:t>
      </w:r>
      <w:r>
        <w:rPr>
          <w:color w:val="231F20"/>
          <w:spacing w:val="-4"/>
        </w:rPr>
        <w:t> </w:t>
      </w:r>
      <w:r>
        <w:rPr>
          <w:color w:val="231F20"/>
        </w:rPr>
        <w:t>al</w:t>
      </w:r>
      <w:r>
        <w:rPr>
          <w:color w:val="231F20"/>
          <w:spacing w:val="-4"/>
        </w:rPr>
        <w:t> </w:t>
      </w:r>
      <w:r>
        <w:rPr>
          <w:color w:val="231F20"/>
        </w:rPr>
        <w:t>tratamiento</w:t>
      </w:r>
      <w:r>
        <w:rPr>
          <w:color w:val="231F20"/>
          <w:spacing w:val="-4"/>
        </w:rPr>
        <w:t> </w:t>
      </w:r>
      <w:r>
        <w:rPr>
          <w:color w:val="231F20"/>
        </w:rPr>
        <w:t>de</w:t>
      </w:r>
      <w:r>
        <w:rPr>
          <w:color w:val="231F20"/>
          <w:spacing w:val="-3"/>
        </w:rPr>
        <w:t> </w:t>
      </w:r>
      <w:r>
        <w:rPr>
          <w:color w:val="231F20"/>
        </w:rPr>
        <w:t>150</w:t>
      </w:r>
      <w:r>
        <w:rPr>
          <w:color w:val="231F20"/>
          <w:spacing w:val="-3"/>
        </w:rPr>
        <w:t> </w:t>
      </w:r>
      <w:r>
        <w:rPr>
          <w:color w:val="231F20"/>
        </w:rPr>
        <w:t>kg</w:t>
      </w:r>
      <w:r>
        <w:rPr>
          <w:color w:val="231F20"/>
          <w:spacing w:val="-3"/>
        </w:rPr>
        <w:t> </w:t>
      </w:r>
      <w:r>
        <w:rPr>
          <w:color w:val="231F20"/>
        </w:rPr>
        <w:t>N</w:t>
      </w:r>
      <w:r>
        <w:rPr>
          <w:color w:val="231F20"/>
          <w:spacing w:val="-3"/>
        </w:rPr>
        <w:t> </w:t>
      </w:r>
      <w:r>
        <w:rPr>
          <w:color w:val="231F20"/>
        </w:rPr>
        <w:t>ha</w:t>
      </w:r>
      <w:r>
        <w:rPr>
          <w:color w:val="231F20"/>
          <w:position w:val="7"/>
          <w:sz w:val="12"/>
        </w:rPr>
        <w:t>-1</w:t>
      </w:r>
      <w:r>
        <w:rPr>
          <w:color w:val="231F20"/>
        </w:rPr>
        <w:t>,</w:t>
      </w:r>
      <w:r>
        <w:rPr>
          <w:color w:val="231F20"/>
          <w:spacing w:val="-3"/>
        </w:rPr>
        <w:t> </w:t>
      </w:r>
      <w:r>
        <w:rPr>
          <w:color w:val="231F20"/>
        </w:rPr>
        <w:t>superando</w:t>
      </w:r>
      <w:r>
        <w:rPr>
          <w:color w:val="231F20"/>
          <w:spacing w:val="-3"/>
        </w:rPr>
        <w:t> </w:t>
      </w:r>
      <w:r>
        <w:rPr>
          <w:color w:val="231F20"/>
        </w:rPr>
        <w:t>hasta</w:t>
      </w:r>
      <w:r>
        <w:rPr>
          <w:color w:val="231F20"/>
          <w:spacing w:val="-4"/>
        </w:rPr>
        <w:t> </w:t>
      </w:r>
      <w:r>
        <w:rPr>
          <w:color w:val="231F20"/>
        </w:rPr>
        <w:t>en</w:t>
      </w:r>
      <w:r>
        <w:rPr>
          <w:color w:val="231F20"/>
          <w:spacing w:val="-3"/>
        </w:rPr>
        <w:t> </w:t>
      </w:r>
      <w:r>
        <w:rPr>
          <w:color w:val="231F20"/>
        </w:rPr>
        <w:t>un</w:t>
      </w:r>
      <w:r>
        <w:rPr>
          <w:color w:val="231F20"/>
          <w:spacing w:val="-3"/>
        </w:rPr>
        <w:t> </w:t>
      </w:r>
      <w:r>
        <w:rPr>
          <w:color w:val="231F20"/>
        </w:rPr>
        <w:t>45%</w:t>
      </w:r>
      <w:r>
        <w:rPr>
          <w:color w:val="231F20"/>
          <w:spacing w:val="-3"/>
        </w:rPr>
        <w:t> </w:t>
      </w:r>
      <w:r>
        <w:rPr>
          <w:color w:val="231F20"/>
        </w:rPr>
        <w:t>al</w:t>
      </w:r>
      <w:r>
        <w:rPr>
          <w:color w:val="231F20"/>
          <w:spacing w:val="-4"/>
        </w:rPr>
        <w:t> </w:t>
      </w:r>
      <w:r>
        <w:rPr>
          <w:color w:val="231F20"/>
        </w:rPr>
        <w:t>testigo</w:t>
      </w:r>
      <w:r>
        <w:rPr>
          <w:color w:val="231F20"/>
          <w:spacing w:val="-4"/>
        </w:rPr>
        <w:t> </w:t>
      </w:r>
      <w:r>
        <w:rPr>
          <w:color w:val="231F20"/>
        </w:rPr>
        <w:t>0</w:t>
      </w:r>
      <w:r>
        <w:rPr>
          <w:color w:val="231F20"/>
          <w:spacing w:val="-3"/>
        </w:rPr>
        <w:t> </w:t>
      </w:r>
      <w:r>
        <w:rPr>
          <w:color w:val="231F20"/>
        </w:rPr>
        <w:t>kg</w:t>
      </w:r>
      <w:r>
        <w:rPr>
          <w:color w:val="231F20"/>
          <w:spacing w:val="-3"/>
        </w:rPr>
        <w:t> </w:t>
      </w:r>
      <w:r>
        <w:rPr>
          <w:color w:val="231F20"/>
        </w:rPr>
        <w:t>N</w:t>
      </w:r>
      <w:r>
        <w:rPr>
          <w:color w:val="231F20"/>
          <w:spacing w:val="-3"/>
        </w:rPr>
        <w:t> </w:t>
      </w:r>
      <w:r>
        <w:rPr>
          <w:color w:val="231F20"/>
        </w:rPr>
        <w:t>ha</w:t>
      </w:r>
      <w:r>
        <w:rPr>
          <w:color w:val="231F20"/>
          <w:position w:val="7"/>
          <w:sz w:val="12"/>
        </w:rPr>
        <w:t>-1</w:t>
      </w:r>
      <w:r>
        <w:rPr>
          <w:color w:val="231F20"/>
        </w:rPr>
        <w:t>,</w:t>
      </w:r>
      <w:r>
        <w:rPr>
          <w:color w:val="231F20"/>
          <w:spacing w:val="-3"/>
        </w:rPr>
        <w:t> </w:t>
      </w:r>
      <w:r>
        <w:rPr>
          <w:color w:val="231F20"/>
        </w:rPr>
        <w:t>la función a la que se ajustó y describe la relación entre rendimiento y NN aplicados fue cuadrática o polinomio de segundo grado, con un coeficiente de determinación de 0.99. Para la D2 el porcentaje de</w:t>
      </w:r>
      <w:r>
        <w:rPr>
          <w:color w:val="231F20"/>
          <w:spacing w:val="-7"/>
        </w:rPr>
        <w:t> </w:t>
      </w:r>
      <w:r>
        <w:rPr>
          <w:color w:val="231F20"/>
        </w:rPr>
        <w:t>incremento</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rendimiento</w:t>
      </w:r>
      <w:r>
        <w:rPr>
          <w:color w:val="231F20"/>
          <w:spacing w:val="-7"/>
        </w:rPr>
        <w:t> </w:t>
      </w:r>
      <w:r>
        <w:rPr>
          <w:color w:val="231F20"/>
        </w:rPr>
        <w:t>en</w:t>
      </w:r>
      <w:r>
        <w:rPr>
          <w:color w:val="231F20"/>
          <w:spacing w:val="-7"/>
        </w:rPr>
        <w:t> </w:t>
      </w:r>
      <w:r>
        <w:rPr>
          <w:color w:val="231F20"/>
        </w:rPr>
        <w:t>relación</w:t>
      </w:r>
      <w:r>
        <w:rPr>
          <w:color w:val="231F20"/>
          <w:spacing w:val="-7"/>
        </w:rPr>
        <w:t> </w:t>
      </w:r>
      <w:r>
        <w:rPr>
          <w:color w:val="231F20"/>
        </w:rPr>
        <w:t>a</w:t>
      </w:r>
      <w:r>
        <w:rPr>
          <w:color w:val="231F20"/>
          <w:spacing w:val="-7"/>
        </w:rPr>
        <w:t> </w:t>
      </w:r>
      <w:r>
        <w:rPr>
          <w:color w:val="231F20"/>
        </w:rPr>
        <w:t>los</w:t>
      </w:r>
      <w:r>
        <w:rPr>
          <w:color w:val="231F20"/>
          <w:spacing w:val="-7"/>
        </w:rPr>
        <w:t> </w:t>
      </w:r>
      <w:r>
        <w:rPr>
          <w:color w:val="231F20"/>
        </w:rPr>
        <w:t>NN</w:t>
      </w:r>
      <w:r>
        <w:rPr>
          <w:color w:val="231F20"/>
          <w:spacing w:val="-7"/>
        </w:rPr>
        <w:t> </w:t>
      </w:r>
      <w:r>
        <w:rPr>
          <w:color w:val="231F20"/>
        </w:rPr>
        <w:t>aplicados</w:t>
      </w:r>
      <w:r>
        <w:rPr>
          <w:color w:val="231F20"/>
          <w:spacing w:val="-7"/>
        </w:rPr>
        <w:t> </w:t>
      </w:r>
      <w:r>
        <w:rPr>
          <w:color w:val="231F20"/>
        </w:rPr>
        <w:t>de</w:t>
      </w:r>
      <w:r>
        <w:rPr>
          <w:color w:val="231F20"/>
          <w:spacing w:val="-7"/>
        </w:rPr>
        <w:t> </w:t>
      </w:r>
      <w:r>
        <w:rPr>
          <w:color w:val="231F20"/>
        </w:rPr>
        <w:t>150</w:t>
      </w:r>
      <w:r>
        <w:rPr>
          <w:color w:val="231F20"/>
          <w:spacing w:val="-7"/>
        </w:rPr>
        <w:t> </w:t>
      </w:r>
      <w:r>
        <w:rPr>
          <w:color w:val="231F20"/>
        </w:rPr>
        <w:t>kg</w:t>
      </w:r>
      <w:r>
        <w:rPr>
          <w:color w:val="231F20"/>
          <w:spacing w:val="-7"/>
        </w:rPr>
        <w:t> </w:t>
      </w:r>
      <w:r>
        <w:rPr>
          <w:color w:val="231F20"/>
        </w:rPr>
        <w:t>N</w:t>
      </w:r>
      <w:r>
        <w:rPr>
          <w:color w:val="231F20"/>
          <w:spacing w:val="-7"/>
        </w:rPr>
        <w:t> </w:t>
      </w:r>
      <w:r>
        <w:rPr>
          <w:color w:val="231F20"/>
        </w:rPr>
        <w:t>ha-1,</w:t>
      </w:r>
      <w:r>
        <w:rPr>
          <w:color w:val="231F20"/>
          <w:spacing w:val="-7"/>
        </w:rPr>
        <w:t> </w:t>
      </w:r>
      <w:r>
        <w:rPr>
          <w:color w:val="231F20"/>
        </w:rPr>
        <w:t>respecto</w:t>
      </w:r>
      <w:r>
        <w:rPr>
          <w:color w:val="231F20"/>
          <w:spacing w:val="-7"/>
        </w:rPr>
        <w:t> </w:t>
      </w:r>
      <w:r>
        <w:rPr>
          <w:color w:val="231F20"/>
        </w:rPr>
        <w:t>al</w:t>
      </w:r>
      <w:r>
        <w:rPr>
          <w:color w:val="231F20"/>
          <w:spacing w:val="-7"/>
        </w:rPr>
        <w:t> </w:t>
      </w:r>
      <w:r>
        <w:rPr>
          <w:color w:val="231F20"/>
        </w:rPr>
        <w:t>testigo (0</w:t>
      </w:r>
      <w:r>
        <w:rPr>
          <w:color w:val="231F20"/>
          <w:spacing w:val="-6"/>
        </w:rPr>
        <w:t> </w:t>
      </w:r>
      <w:r>
        <w:rPr>
          <w:color w:val="231F20"/>
        </w:rPr>
        <w:t>kg</w:t>
      </w:r>
      <w:r>
        <w:rPr>
          <w:color w:val="231F20"/>
          <w:spacing w:val="-6"/>
        </w:rPr>
        <w:t> </w:t>
      </w:r>
      <w:r>
        <w:rPr>
          <w:color w:val="231F20"/>
        </w:rPr>
        <w:t>N</w:t>
      </w:r>
      <w:r>
        <w:rPr>
          <w:color w:val="231F20"/>
          <w:spacing w:val="-6"/>
        </w:rPr>
        <w:t> </w:t>
      </w:r>
      <w:r>
        <w:rPr>
          <w:color w:val="231F20"/>
        </w:rPr>
        <w:t>ha</w:t>
      </w:r>
      <w:r>
        <w:rPr>
          <w:color w:val="231F20"/>
          <w:position w:val="7"/>
          <w:sz w:val="12"/>
        </w:rPr>
        <w:t>-1</w:t>
      </w:r>
      <w:r>
        <w:rPr>
          <w:color w:val="231F20"/>
        </w:rPr>
        <w:t>)</w:t>
      </w:r>
      <w:r>
        <w:rPr>
          <w:color w:val="231F20"/>
          <w:spacing w:val="-6"/>
        </w:rPr>
        <w:t> </w:t>
      </w:r>
      <w:r>
        <w:rPr>
          <w:color w:val="231F20"/>
        </w:rPr>
        <w:t>fue</w:t>
      </w:r>
      <w:r>
        <w:rPr>
          <w:color w:val="231F20"/>
          <w:spacing w:val="-6"/>
        </w:rPr>
        <w:t> </w:t>
      </w:r>
      <w:r>
        <w:rPr>
          <w:color w:val="231F20"/>
        </w:rPr>
        <w:t>de</w:t>
      </w:r>
      <w:r>
        <w:rPr>
          <w:color w:val="231F20"/>
          <w:spacing w:val="-6"/>
        </w:rPr>
        <w:t> </w:t>
      </w:r>
      <w:r>
        <w:rPr>
          <w:color w:val="231F20"/>
        </w:rPr>
        <w:t>34</w:t>
      </w:r>
      <w:r>
        <w:rPr>
          <w:color w:val="231F20"/>
          <w:spacing w:val="-6"/>
        </w:rPr>
        <w:t> </w:t>
      </w:r>
      <w:r>
        <w:rPr>
          <w:color w:val="231F20"/>
        </w:rPr>
        <w:t>%,</w:t>
      </w:r>
      <w:r>
        <w:rPr>
          <w:color w:val="231F20"/>
          <w:spacing w:val="-6"/>
        </w:rPr>
        <w:t> </w:t>
      </w:r>
      <w:r>
        <w:rPr>
          <w:color w:val="231F20"/>
        </w:rPr>
        <w:t>así</w:t>
      </w:r>
      <w:r>
        <w:rPr>
          <w:color w:val="231F20"/>
          <w:spacing w:val="-6"/>
        </w:rPr>
        <w:t> </w:t>
      </w:r>
      <w:r>
        <w:rPr>
          <w:color w:val="231F20"/>
        </w:rPr>
        <w:t>mismo</w:t>
      </w:r>
      <w:r>
        <w:rPr>
          <w:color w:val="231F20"/>
          <w:spacing w:val="-6"/>
        </w:rPr>
        <w:t> </w:t>
      </w:r>
      <w:r>
        <w:rPr>
          <w:color w:val="231F20"/>
        </w:rPr>
        <w:t>se</w:t>
      </w:r>
      <w:r>
        <w:rPr>
          <w:color w:val="231F20"/>
          <w:spacing w:val="-6"/>
        </w:rPr>
        <w:t> </w:t>
      </w:r>
      <w:r>
        <w:rPr>
          <w:color w:val="231F20"/>
        </w:rPr>
        <w:t>ajustó</w:t>
      </w:r>
      <w:r>
        <w:rPr>
          <w:color w:val="231F20"/>
          <w:spacing w:val="-6"/>
        </w:rPr>
        <w:t> </w:t>
      </w:r>
      <w:r>
        <w:rPr>
          <w:color w:val="231F20"/>
        </w:rPr>
        <w:t>a</w:t>
      </w:r>
      <w:r>
        <w:rPr>
          <w:color w:val="231F20"/>
          <w:spacing w:val="-6"/>
        </w:rPr>
        <w:t> </w:t>
      </w:r>
      <w:r>
        <w:rPr>
          <w:color w:val="231F20"/>
        </w:rPr>
        <w:t>un</w:t>
      </w:r>
      <w:r>
        <w:rPr>
          <w:color w:val="231F20"/>
          <w:spacing w:val="-6"/>
        </w:rPr>
        <w:t> </w:t>
      </w:r>
      <w:r>
        <w:rPr>
          <w:color w:val="231F20"/>
        </w:rPr>
        <w:t>modelo</w:t>
      </w:r>
      <w:r>
        <w:rPr>
          <w:color w:val="231F20"/>
          <w:spacing w:val="-6"/>
        </w:rPr>
        <w:t> </w:t>
      </w:r>
      <w:r>
        <w:rPr>
          <w:color w:val="231F20"/>
        </w:rPr>
        <w:t>cuadrático</w:t>
      </w:r>
      <w:r>
        <w:rPr>
          <w:color w:val="231F20"/>
          <w:spacing w:val="-6"/>
        </w:rPr>
        <w:t> </w:t>
      </w:r>
      <w:r>
        <w:rPr>
          <w:color w:val="231F20"/>
        </w:rPr>
        <w:t>que</w:t>
      </w:r>
      <w:r>
        <w:rPr>
          <w:color w:val="231F20"/>
          <w:spacing w:val="-6"/>
        </w:rPr>
        <w:t> </w:t>
      </w:r>
      <w:r>
        <w:rPr>
          <w:color w:val="231F20"/>
        </w:rPr>
        <w:t>estima</w:t>
      </w:r>
      <w:r>
        <w:rPr>
          <w:color w:val="231F20"/>
          <w:spacing w:val="-6"/>
        </w:rPr>
        <w:t> </w:t>
      </w:r>
      <w:r>
        <w:rPr>
          <w:color w:val="231F20"/>
        </w:rPr>
        <w:t>los</w:t>
      </w:r>
      <w:r>
        <w:rPr>
          <w:color w:val="231F20"/>
          <w:spacing w:val="-6"/>
        </w:rPr>
        <w:t> </w:t>
      </w:r>
      <w:r>
        <w:rPr>
          <w:color w:val="231F20"/>
        </w:rPr>
        <w:t>valores</w:t>
      </w:r>
      <w:r>
        <w:rPr>
          <w:color w:val="231F20"/>
          <w:spacing w:val="-6"/>
        </w:rPr>
        <w:t> </w:t>
      </w:r>
      <w:r>
        <w:rPr>
          <w:color w:val="231F20"/>
        </w:rPr>
        <w:t>del</w:t>
      </w:r>
      <w:r>
        <w:rPr>
          <w:color w:val="231F20"/>
          <w:spacing w:val="-6"/>
        </w:rPr>
        <w:t> </w:t>
      </w:r>
      <w:r>
        <w:rPr>
          <w:color w:val="231F20"/>
        </w:rPr>
        <w:t>ren- dimiento</w:t>
      </w:r>
      <w:r>
        <w:rPr>
          <w:color w:val="231F20"/>
          <w:spacing w:val="-6"/>
        </w:rPr>
        <w:t> </w:t>
      </w:r>
      <w:r>
        <w:rPr>
          <w:color w:val="231F20"/>
        </w:rPr>
        <w:t>en</w:t>
      </w:r>
      <w:r>
        <w:rPr>
          <w:color w:val="231F20"/>
          <w:spacing w:val="-6"/>
        </w:rPr>
        <w:t> </w:t>
      </w:r>
      <w:r>
        <w:rPr>
          <w:color w:val="231F20"/>
        </w:rPr>
        <w:t>base</w:t>
      </w:r>
      <w:r>
        <w:rPr>
          <w:color w:val="231F20"/>
          <w:spacing w:val="-6"/>
        </w:rPr>
        <w:t> </w:t>
      </w:r>
      <w:r>
        <w:rPr>
          <w:color w:val="231F20"/>
        </w:rPr>
        <w:t>a</w:t>
      </w:r>
      <w:r>
        <w:rPr>
          <w:color w:val="231F20"/>
          <w:spacing w:val="-6"/>
        </w:rPr>
        <w:t> </w:t>
      </w:r>
      <w:r>
        <w:rPr>
          <w:color w:val="231F20"/>
        </w:rPr>
        <w:t>los</w:t>
      </w:r>
      <w:r>
        <w:rPr>
          <w:color w:val="231F20"/>
          <w:spacing w:val="-6"/>
        </w:rPr>
        <w:t> </w:t>
      </w:r>
      <w:r>
        <w:rPr>
          <w:color w:val="231F20"/>
        </w:rPr>
        <w:t>rendimientos</w:t>
      </w:r>
      <w:r>
        <w:rPr>
          <w:color w:val="231F20"/>
          <w:spacing w:val="-6"/>
        </w:rPr>
        <w:t> </w:t>
      </w:r>
      <w:r>
        <w:rPr>
          <w:color w:val="231F20"/>
        </w:rPr>
        <w:t>observados</w:t>
      </w:r>
      <w:r>
        <w:rPr>
          <w:color w:val="231F20"/>
          <w:spacing w:val="-6"/>
        </w:rPr>
        <w:t> </w:t>
      </w:r>
      <w:r>
        <w:rPr>
          <w:color w:val="231F20"/>
        </w:rPr>
        <w:t>esto</w:t>
      </w:r>
      <w:r>
        <w:rPr>
          <w:color w:val="231F20"/>
          <w:spacing w:val="-6"/>
        </w:rPr>
        <w:t> </w:t>
      </w:r>
      <w:r>
        <w:rPr>
          <w:color w:val="231F20"/>
        </w:rPr>
        <w:t>en</w:t>
      </w:r>
      <w:r>
        <w:rPr>
          <w:color w:val="231F20"/>
          <w:spacing w:val="-6"/>
        </w:rPr>
        <w:t> </w:t>
      </w:r>
      <w:r>
        <w:rPr>
          <w:color w:val="231F20"/>
        </w:rPr>
        <w:t>función</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NN</w:t>
      </w:r>
      <w:r>
        <w:rPr>
          <w:color w:val="231F20"/>
          <w:spacing w:val="-6"/>
        </w:rPr>
        <w:t> </w:t>
      </w:r>
      <w:r>
        <w:rPr>
          <w:color w:val="231F20"/>
        </w:rPr>
        <w:t>aplicado,</w:t>
      </w:r>
      <w:r>
        <w:rPr>
          <w:color w:val="231F20"/>
          <w:spacing w:val="-6"/>
        </w:rPr>
        <w:t> </w:t>
      </w:r>
      <w:r>
        <w:rPr>
          <w:color w:val="231F20"/>
        </w:rPr>
        <w:t>de</w:t>
      </w:r>
      <w:r>
        <w:rPr>
          <w:color w:val="231F20"/>
          <w:spacing w:val="-6"/>
        </w:rPr>
        <w:t> </w:t>
      </w:r>
      <w:r>
        <w:rPr>
          <w:color w:val="231F20"/>
        </w:rPr>
        <w:t>igual</w:t>
      </w:r>
      <w:r>
        <w:rPr>
          <w:color w:val="231F20"/>
          <w:spacing w:val="-6"/>
        </w:rPr>
        <w:t> </w:t>
      </w:r>
      <w:r>
        <w:rPr>
          <w:color w:val="231F20"/>
        </w:rPr>
        <w:t>manera su coeficiente de determinación fue alto (R2 =</w:t>
      </w:r>
      <w:r>
        <w:rPr>
          <w:color w:val="231F20"/>
          <w:spacing w:val="-11"/>
        </w:rPr>
        <w:t> </w:t>
      </w:r>
      <w:r>
        <w:rPr>
          <w:color w:val="231F20"/>
        </w:rPr>
        <w:t>0.99).</w:t>
      </w:r>
    </w:p>
    <w:p>
      <w:pPr>
        <w:pStyle w:val="BodyText"/>
        <w:spacing w:before="7"/>
      </w:pPr>
    </w:p>
    <w:p>
      <w:pPr>
        <w:pStyle w:val="BodyText"/>
        <w:spacing w:line="249" w:lineRule="auto"/>
        <w:ind w:left="1270" w:right="1268"/>
        <w:jc w:val="both"/>
      </w:pPr>
      <w:r>
        <w:rPr>
          <w:color w:val="231F20"/>
        </w:rPr>
        <w:t>Por otro lado, la D1 fue la que mejor describió la respuesta del rendimiento de frijol a la aplicación de</w:t>
      </w:r>
      <w:r>
        <w:rPr>
          <w:color w:val="231F20"/>
          <w:spacing w:val="-5"/>
        </w:rPr>
        <w:t> </w:t>
      </w:r>
      <w:r>
        <w:rPr>
          <w:color w:val="231F20"/>
        </w:rPr>
        <w:t>N,</w:t>
      </w:r>
      <w:r>
        <w:rPr>
          <w:color w:val="231F20"/>
          <w:spacing w:val="-5"/>
        </w:rPr>
        <w:t> </w:t>
      </w:r>
      <w:r>
        <w:rPr>
          <w:color w:val="231F20"/>
        </w:rPr>
        <w:t>tanto</w:t>
      </w:r>
      <w:r>
        <w:rPr>
          <w:color w:val="231F20"/>
          <w:spacing w:val="-5"/>
        </w:rPr>
        <w:t> </w:t>
      </w:r>
      <w:r>
        <w:rPr>
          <w:color w:val="231F20"/>
        </w:rPr>
        <w:t>que</w:t>
      </w:r>
      <w:r>
        <w:rPr>
          <w:color w:val="231F20"/>
          <w:spacing w:val="-5"/>
        </w:rPr>
        <w:t> </w:t>
      </w:r>
      <w:r>
        <w:rPr>
          <w:color w:val="231F20"/>
        </w:rPr>
        <w:t>el</w:t>
      </w:r>
      <w:r>
        <w:rPr>
          <w:color w:val="231F20"/>
          <w:spacing w:val="-5"/>
        </w:rPr>
        <w:t> </w:t>
      </w:r>
      <w:r>
        <w:rPr>
          <w:color w:val="231F20"/>
        </w:rPr>
        <w:t>porcentaje</w:t>
      </w:r>
      <w:r>
        <w:rPr>
          <w:color w:val="231F20"/>
          <w:spacing w:val="-5"/>
        </w:rPr>
        <w:t> </w:t>
      </w:r>
      <w:r>
        <w:rPr>
          <w:color w:val="231F20"/>
        </w:rPr>
        <w:t>de</w:t>
      </w:r>
      <w:r>
        <w:rPr>
          <w:color w:val="231F20"/>
          <w:spacing w:val="-5"/>
        </w:rPr>
        <w:t> </w:t>
      </w:r>
      <w:r>
        <w:rPr>
          <w:color w:val="231F20"/>
        </w:rPr>
        <w:t>incremento</w:t>
      </w:r>
      <w:r>
        <w:rPr>
          <w:color w:val="231F20"/>
          <w:spacing w:val="-5"/>
        </w:rPr>
        <w:t> </w:t>
      </w:r>
      <w:r>
        <w:rPr>
          <w:color w:val="231F20"/>
        </w:rPr>
        <w:t>del</w:t>
      </w:r>
      <w:r>
        <w:rPr>
          <w:color w:val="231F20"/>
          <w:spacing w:val="-5"/>
        </w:rPr>
        <w:t> </w:t>
      </w:r>
      <w:r>
        <w:rPr>
          <w:color w:val="231F20"/>
        </w:rPr>
        <w:t>NN</w:t>
      </w:r>
      <w:r>
        <w:rPr>
          <w:color w:val="231F20"/>
          <w:spacing w:val="-5"/>
        </w:rPr>
        <w:t> </w:t>
      </w:r>
      <w:r>
        <w:rPr>
          <w:color w:val="231F20"/>
        </w:rPr>
        <w:t>de</w:t>
      </w:r>
      <w:r>
        <w:rPr>
          <w:color w:val="231F20"/>
          <w:spacing w:val="-5"/>
        </w:rPr>
        <w:t> </w:t>
      </w:r>
      <w:r>
        <w:rPr>
          <w:color w:val="231F20"/>
        </w:rPr>
        <w:t>150</w:t>
      </w:r>
      <w:r>
        <w:rPr>
          <w:color w:val="231F20"/>
          <w:spacing w:val="-5"/>
        </w:rPr>
        <w:t> </w:t>
      </w:r>
      <w:r>
        <w:rPr>
          <w:color w:val="231F20"/>
        </w:rPr>
        <w:t>kg</w:t>
      </w:r>
      <w:r>
        <w:rPr>
          <w:color w:val="231F20"/>
          <w:spacing w:val="-5"/>
        </w:rPr>
        <w:t> </w:t>
      </w:r>
      <w:r>
        <w:rPr>
          <w:color w:val="231F20"/>
        </w:rPr>
        <w:t>ha</w:t>
      </w:r>
      <w:r>
        <w:rPr>
          <w:color w:val="231F20"/>
          <w:position w:val="7"/>
          <w:sz w:val="12"/>
        </w:rPr>
        <w:t>-1</w:t>
      </w:r>
      <w:r>
        <w:rPr>
          <w:color w:val="231F20"/>
        </w:rPr>
        <w:t>,</w:t>
      </w:r>
      <w:r>
        <w:rPr>
          <w:color w:val="231F20"/>
          <w:spacing w:val="-5"/>
        </w:rPr>
        <w:t> </w:t>
      </w:r>
      <w:r>
        <w:rPr>
          <w:color w:val="231F20"/>
        </w:rPr>
        <w:t>respecto</w:t>
      </w:r>
      <w:r>
        <w:rPr>
          <w:color w:val="231F20"/>
          <w:spacing w:val="-5"/>
        </w:rPr>
        <w:t> </w:t>
      </w:r>
      <w:r>
        <w:rPr>
          <w:color w:val="231F20"/>
        </w:rPr>
        <w:t>al</w:t>
      </w:r>
      <w:r>
        <w:rPr>
          <w:color w:val="231F20"/>
          <w:spacing w:val="-5"/>
        </w:rPr>
        <w:t> </w:t>
      </w:r>
      <w:r>
        <w:rPr>
          <w:color w:val="231F20"/>
        </w:rPr>
        <w:t>testigo</w:t>
      </w:r>
      <w:r>
        <w:rPr>
          <w:color w:val="231F20"/>
          <w:spacing w:val="-5"/>
        </w:rPr>
        <w:t> </w:t>
      </w:r>
      <w:r>
        <w:rPr>
          <w:color w:val="231F20"/>
        </w:rPr>
        <w:t>0</w:t>
      </w:r>
      <w:r>
        <w:rPr>
          <w:color w:val="231F20"/>
          <w:spacing w:val="-5"/>
        </w:rPr>
        <w:t> </w:t>
      </w:r>
      <w:r>
        <w:rPr>
          <w:color w:val="231F20"/>
        </w:rPr>
        <w:t>kg</w:t>
      </w:r>
      <w:r>
        <w:rPr>
          <w:color w:val="231F20"/>
          <w:spacing w:val="-5"/>
        </w:rPr>
        <w:t> </w:t>
      </w:r>
      <w:r>
        <w:rPr>
          <w:color w:val="231F20"/>
        </w:rPr>
        <w:t>ha</w:t>
      </w:r>
      <w:r>
        <w:rPr>
          <w:color w:val="231F20"/>
          <w:position w:val="7"/>
          <w:sz w:val="12"/>
        </w:rPr>
        <w:t>-1</w:t>
      </w:r>
      <w:r>
        <w:rPr>
          <w:color w:val="231F20"/>
        </w:rPr>
        <w:t>fue</w:t>
      </w:r>
      <w:r>
        <w:rPr>
          <w:color w:val="231F20"/>
          <w:spacing w:val="-5"/>
        </w:rPr>
        <w:t> </w:t>
      </w:r>
      <w:r>
        <w:rPr>
          <w:color w:val="231F20"/>
        </w:rPr>
        <w:t>de 73%.</w:t>
      </w:r>
      <w:r>
        <w:rPr>
          <w:color w:val="231F20"/>
          <w:spacing w:val="-3"/>
        </w:rPr>
        <w:t> </w:t>
      </w:r>
      <w:r>
        <w:rPr>
          <w:color w:val="231F20"/>
        </w:rPr>
        <w:t>Probablemente,</w:t>
      </w:r>
      <w:r>
        <w:rPr>
          <w:color w:val="231F20"/>
          <w:spacing w:val="-3"/>
        </w:rPr>
        <w:t> </w:t>
      </w:r>
      <w:r>
        <w:rPr>
          <w:color w:val="231F20"/>
        </w:rPr>
        <w:t>a</w:t>
      </w:r>
      <w:r>
        <w:rPr>
          <w:color w:val="231F20"/>
          <w:spacing w:val="-3"/>
        </w:rPr>
        <w:t> </w:t>
      </w:r>
      <w:r>
        <w:rPr>
          <w:color w:val="231F20"/>
        </w:rPr>
        <w:t>la</w:t>
      </w:r>
      <w:r>
        <w:rPr>
          <w:color w:val="231F20"/>
          <w:spacing w:val="-3"/>
        </w:rPr>
        <w:t> </w:t>
      </w:r>
      <w:r>
        <w:rPr>
          <w:color w:val="231F20"/>
        </w:rPr>
        <w:t>poca</w:t>
      </w:r>
      <w:r>
        <w:rPr>
          <w:color w:val="231F20"/>
          <w:spacing w:val="-3"/>
        </w:rPr>
        <w:t> </w:t>
      </w:r>
      <w:r>
        <w:rPr>
          <w:color w:val="231F20"/>
        </w:rPr>
        <w:t>demanda</w:t>
      </w:r>
      <w:r>
        <w:rPr>
          <w:color w:val="231F20"/>
          <w:spacing w:val="-3"/>
        </w:rPr>
        <w:t> </w:t>
      </w:r>
      <w:r>
        <w:rPr>
          <w:color w:val="231F20"/>
        </w:rPr>
        <w:t>de</w:t>
      </w:r>
      <w:r>
        <w:rPr>
          <w:color w:val="231F20"/>
          <w:spacing w:val="-3"/>
        </w:rPr>
        <w:t> </w:t>
      </w:r>
      <w:r>
        <w:rPr>
          <w:color w:val="231F20"/>
        </w:rPr>
        <w:t>N</w:t>
      </w:r>
      <w:r>
        <w:rPr>
          <w:color w:val="231F20"/>
          <w:spacing w:val="-3"/>
        </w:rPr>
        <w:t> </w:t>
      </w:r>
      <w:r>
        <w:rPr>
          <w:color w:val="231F20"/>
        </w:rPr>
        <w:t>por</w:t>
      </w:r>
      <w:r>
        <w:rPr>
          <w:color w:val="231F20"/>
          <w:spacing w:val="-3"/>
        </w:rPr>
        <w:t> </w:t>
      </w:r>
      <w:r>
        <w:rPr>
          <w:color w:val="231F20"/>
        </w:rPr>
        <w:t>parte</w:t>
      </w:r>
      <w:r>
        <w:rPr>
          <w:color w:val="231F20"/>
          <w:spacing w:val="-3"/>
        </w:rPr>
        <w:t> </w:t>
      </w:r>
      <w:r>
        <w:rPr>
          <w:color w:val="231F20"/>
        </w:rPr>
        <w:t>de</w:t>
      </w:r>
      <w:r>
        <w:rPr>
          <w:color w:val="231F20"/>
          <w:spacing w:val="-3"/>
        </w:rPr>
        <w:t> </w:t>
      </w:r>
      <w:r>
        <w:rPr>
          <w:color w:val="231F20"/>
        </w:rPr>
        <w:t>más</w:t>
      </w:r>
      <w:r>
        <w:rPr>
          <w:color w:val="231F20"/>
          <w:spacing w:val="-3"/>
        </w:rPr>
        <w:t> </w:t>
      </w:r>
      <w:r>
        <w:rPr>
          <w:color w:val="231F20"/>
        </w:rPr>
        <w:t>especies</w:t>
      </w:r>
      <w:r>
        <w:rPr>
          <w:color w:val="231F20"/>
          <w:spacing w:val="-3"/>
        </w:rPr>
        <w:t> </w:t>
      </w:r>
      <w:r>
        <w:rPr>
          <w:color w:val="231F20"/>
        </w:rPr>
        <w:t>presentes</w:t>
      </w:r>
      <w:r>
        <w:rPr>
          <w:color w:val="231F20"/>
          <w:spacing w:val="-3"/>
        </w:rPr>
        <w:t> </w:t>
      </w:r>
      <w:r>
        <w:rPr>
          <w:color w:val="231F20"/>
        </w:rPr>
        <w:t>en</w:t>
      </w:r>
      <w:r>
        <w:rPr>
          <w:color w:val="231F20"/>
          <w:spacing w:val="-3"/>
        </w:rPr>
        <w:t> </w:t>
      </w:r>
      <w:r>
        <w:rPr>
          <w:color w:val="231F20"/>
        </w:rPr>
        <w:t>la</w:t>
      </w:r>
      <w:r>
        <w:rPr>
          <w:color w:val="231F20"/>
          <w:spacing w:val="-3"/>
        </w:rPr>
        <w:t> </w:t>
      </w:r>
      <w:r>
        <w:rPr>
          <w:color w:val="231F20"/>
        </w:rPr>
        <w:t>misma</w:t>
      </w:r>
      <w:r>
        <w:rPr>
          <w:color w:val="231F20"/>
          <w:spacing w:val="-3"/>
        </w:rPr>
        <w:t> </w:t>
      </w:r>
      <w:r>
        <w:rPr>
          <w:color w:val="231F20"/>
        </w:rPr>
        <w:t>mata y</w:t>
      </w:r>
      <w:r>
        <w:rPr>
          <w:color w:val="231F20"/>
          <w:spacing w:val="-3"/>
        </w:rPr>
        <w:t> </w:t>
      </w:r>
      <w:r>
        <w:rPr>
          <w:color w:val="231F20"/>
        </w:rPr>
        <w:t>a</w:t>
      </w:r>
      <w:r>
        <w:rPr>
          <w:color w:val="231F20"/>
          <w:spacing w:val="-3"/>
        </w:rPr>
        <w:t> </w:t>
      </w:r>
      <w:r>
        <w:rPr>
          <w:color w:val="231F20"/>
        </w:rPr>
        <w:t>una</w:t>
      </w:r>
      <w:r>
        <w:rPr>
          <w:color w:val="231F20"/>
          <w:spacing w:val="-3"/>
        </w:rPr>
        <w:t> </w:t>
      </w:r>
      <w:r>
        <w:rPr>
          <w:color w:val="231F20"/>
        </w:rPr>
        <w:t>posible</w:t>
      </w:r>
      <w:r>
        <w:rPr>
          <w:color w:val="231F20"/>
          <w:spacing w:val="-3"/>
        </w:rPr>
        <w:t> </w:t>
      </w:r>
      <w:r>
        <w:rPr>
          <w:color w:val="231F20"/>
        </w:rPr>
        <w:t>mayor</w:t>
      </w:r>
      <w:r>
        <w:rPr>
          <w:color w:val="231F20"/>
          <w:spacing w:val="-3"/>
        </w:rPr>
        <w:t> </w:t>
      </w:r>
      <w:r>
        <w:rPr>
          <w:color w:val="231F20"/>
        </w:rPr>
        <w:t>eficiencia</w:t>
      </w:r>
      <w:r>
        <w:rPr>
          <w:color w:val="231F20"/>
          <w:spacing w:val="-3"/>
        </w:rPr>
        <w:t> </w:t>
      </w:r>
      <w:r>
        <w:rPr>
          <w:color w:val="231F20"/>
        </w:rPr>
        <w:t>por</w:t>
      </w:r>
      <w:r>
        <w:rPr>
          <w:color w:val="231F20"/>
          <w:spacing w:val="-3"/>
        </w:rPr>
        <w:t> </w:t>
      </w:r>
      <w:r>
        <w:rPr>
          <w:color w:val="231F20"/>
        </w:rPr>
        <w:t>parte</w:t>
      </w:r>
      <w:r>
        <w:rPr>
          <w:color w:val="231F20"/>
          <w:spacing w:val="-3"/>
        </w:rPr>
        <w:t> </w:t>
      </w:r>
      <w:r>
        <w:rPr>
          <w:color w:val="231F20"/>
        </w:rPr>
        <w:t>de</w:t>
      </w:r>
      <w:r>
        <w:rPr>
          <w:color w:val="231F20"/>
          <w:spacing w:val="-3"/>
        </w:rPr>
        <w:t> </w:t>
      </w:r>
      <w:r>
        <w:rPr>
          <w:color w:val="231F20"/>
        </w:rPr>
        <w:t>los</w:t>
      </w:r>
      <w:r>
        <w:rPr>
          <w:color w:val="231F20"/>
          <w:spacing w:val="-3"/>
        </w:rPr>
        <w:t> </w:t>
      </w:r>
      <w:r>
        <w:rPr>
          <w:color w:val="231F20"/>
        </w:rPr>
        <w:t>componentes</w:t>
      </w:r>
      <w:r>
        <w:rPr>
          <w:color w:val="231F20"/>
          <w:spacing w:val="-3"/>
        </w:rPr>
        <w:t> </w:t>
      </w:r>
      <w:r>
        <w:rPr>
          <w:color w:val="231F20"/>
        </w:rPr>
        <w:t>del</w:t>
      </w:r>
      <w:r>
        <w:rPr>
          <w:color w:val="231F20"/>
          <w:spacing w:val="-3"/>
        </w:rPr>
        <w:t> </w:t>
      </w:r>
      <w:r>
        <w:rPr>
          <w:color w:val="231F20"/>
        </w:rPr>
        <w:t>agroecosistema.</w:t>
      </w:r>
      <w:r>
        <w:rPr>
          <w:color w:val="231F20"/>
          <w:spacing w:val="-3"/>
        </w:rPr>
        <w:t> </w:t>
      </w:r>
      <w:r>
        <w:rPr>
          <w:color w:val="231F20"/>
        </w:rPr>
        <w:t>El</w:t>
      </w:r>
      <w:r>
        <w:rPr>
          <w:color w:val="231F20"/>
          <w:spacing w:val="-3"/>
        </w:rPr>
        <w:t> </w:t>
      </w:r>
      <w:r>
        <w:rPr>
          <w:color w:val="231F20"/>
        </w:rPr>
        <w:t>coeficiente</w:t>
      </w:r>
      <w:r>
        <w:rPr>
          <w:color w:val="231F20"/>
          <w:spacing w:val="-3"/>
        </w:rPr>
        <w:t> </w:t>
      </w:r>
      <w:r>
        <w:rPr>
          <w:color w:val="231F20"/>
        </w:rPr>
        <w:t>de determinación para este tratamiento fue de 0.98, que se ajustó a un modelo cuadrático. Esto se debe a que la relación entre el rendimiento de un cultivo y el NN disponible está claramente relacionada, aunque con una clara afectación por factores genéticos, ambientales y de manejo (Carcová, 2004). De esta manera se logró cubrir tres escenarios de respuesta a la fertilización, la construcción de tres curvas</w:t>
      </w:r>
      <w:r>
        <w:rPr>
          <w:color w:val="231F20"/>
          <w:spacing w:val="-5"/>
        </w:rPr>
        <w:t> </w:t>
      </w:r>
      <w:r>
        <w:rPr>
          <w:color w:val="231F20"/>
        </w:rPr>
        <w:t>de</w:t>
      </w:r>
      <w:r>
        <w:rPr>
          <w:color w:val="231F20"/>
          <w:spacing w:val="-5"/>
        </w:rPr>
        <w:t> </w:t>
      </w:r>
      <w:r>
        <w:rPr>
          <w:color w:val="231F20"/>
        </w:rPr>
        <w:t>respuesta</w:t>
      </w:r>
      <w:r>
        <w:rPr>
          <w:color w:val="231F20"/>
          <w:spacing w:val="-5"/>
        </w:rPr>
        <w:t> </w:t>
      </w:r>
      <w:r>
        <w:rPr>
          <w:color w:val="231F20"/>
        </w:rPr>
        <w:t>para</w:t>
      </w:r>
      <w:r>
        <w:rPr>
          <w:color w:val="231F20"/>
          <w:spacing w:val="-5"/>
        </w:rPr>
        <w:t> </w:t>
      </w:r>
      <w:r>
        <w:rPr>
          <w:color w:val="231F20"/>
        </w:rPr>
        <w:t>cada</w:t>
      </w:r>
      <w:r>
        <w:rPr>
          <w:color w:val="231F20"/>
          <w:spacing w:val="-5"/>
        </w:rPr>
        <w:t> </w:t>
      </w:r>
      <w:r>
        <w:rPr>
          <w:color w:val="231F20"/>
        </w:rPr>
        <w:t>densidad</w:t>
      </w:r>
      <w:r>
        <w:rPr>
          <w:color w:val="231F20"/>
          <w:spacing w:val="-5"/>
        </w:rPr>
        <w:t> </w:t>
      </w:r>
      <w:r>
        <w:rPr>
          <w:color w:val="231F20"/>
        </w:rPr>
        <w:t>de</w:t>
      </w:r>
      <w:r>
        <w:rPr>
          <w:color w:val="231F20"/>
          <w:spacing w:val="-5"/>
        </w:rPr>
        <w:t> </w:t>
      </w:r>
      <w:r>
        <w:rPr>
          <w:color w:val="231F20"/>
        </w:rPr>
        <w:t>plantas</w:t>
      </w:r>
      <w:r>
        <w:rPr>
          <w:color w:val="231F20"/>
          <w:spacing w:val="-5"/>
        </w:rPr>
        <w:t> </w:t>
      </w:r>
      <w:r>
        <w:rPr>
          <w:color w:val="231F20"/>
        </w:rPr>
        <w:t>y</w:t>
      </w:r>
      <w:r>
        <w:rPr>
          <w:color w:val="231F20"/>
          <w:spacing w:val="-5"/>
        </w:rPr>
        <w:t> </w:t>
      </w:r>
      <w:r>
        <w:rPr>
          <w:color w:val="231F20"/>
        </w:rPr>
        <w:t>NN</w:t>
      </w:r>
      <w:r>
        <w:rPr>
          <w:color w:val="231F20"/>
          <w:spacing w:val="-5"/>
        </w:rPr>
        <w:t> </w:t>
      </w:r>
      <w:r>
        <w:rPr>
          <w:color w:val="231F20"/>
        </w:rPr>
        <w:t>permitió</w:t>
      </w:r>
      <w:r>
        <w:rPr>
          <w:color w:val="231F20"/>
          <w:spacing w:val="-5"/>
        </w:rPr>
        <w:t> </w:t>
      </w:r>
      <w:r>
        <w:rPr>
          <w:color w:val="231F20"/>
        </w:rPr>
        <w:t>reducir</w:t>
      </w:r>
      <w:r>
        <w:rPr>
          <w:color w:val="231F20"/>
          <w:spacing w:val="-5"/>
        </w:rPr>
        <w:t> </w:t>
      </w:r>
      <w:r>
        <w:rPr>
          <w:color w:val="231F20"/>
        </w:rPr>
        <w:t>la</w:t>
      </w:r>
      <w:r>
        <w:rPr>
          <w:color w:val="231F20"/>
          <w:spacing w:val="-5"/>
        </w:rPr>
        <w:t> </w:t>
      </w:r>
      <w:r>
        <w:rPr>
          <w:color w:val="231F20"/>
        </w:rPr>
        <w:t>variabilidad</w:t>
      </w:r>
      <w:r>
        <w:rPr>
          <w:color w:val="231F20"/>
          <w:spacing w:val="-5"/>
        </w:rPr>
        <w:t> </w:t>
      </w:r>
      <w:r>
        <w:rPr>
          <w:color w:val="231F20"/>
        </w:rPr>
        <w:t>aumentando el valor predictivo de los</w:t>
      </w:r>
      <w:r>
        <w:rPr>
          <w:color w:val="231F20"/>
          <w:spacing w:val="-1"/>
        </w:rPr>
        <w:t> </w:t>
      </w:r>
      <w:r>
        <w:rPr>
          <w:color w:val="231F20"/>
        </w:rPr>
        <w:t>modelos.</w:t>
      </w:r>
    </w:p>
    <w:p>
      <w:pPr>
        <w:spacing w:after="0" w:line="249" w:lineRule="auto"/>
        <w:jc w:val="both"/>
        <w:sectPr>
          <w:pgSz w:w="10920" w:h="13080"/>
          <w:pgMar w:header="0" w:footer="1025" w:top="420" w:bottom="1220" w:left="0" w:right="0"/>
        </w:sectPr>
      </w:pPr>
    </w:p>
    <w:p>
      <w:pPr>
        <w:pStyle w:val="BodyText"/>
        <w:rPr>
          <w:sz w:val="20"/>
        </w:rPr>
      </w:pPr>
    </w:p>
    <w:p>
      <w:pPr>
        <w:pStyle w:val="BodyText"/>
        <w:rPr>
          <w:sz w:val="20"/>
        </w:rPr>
      </w:pPr>
    </w:p>
    <w:p>
      <w:pPr>
        <w:pStyle w:val="BodyText"/>
        <w:rPr>
          <w:sz w:val="23"/>
        </w:rPr>
      </w:pPr>
    </w:p>
    <w:p>
      <w:pPr>
        <w:spacing w:before="77"/>
        <w:ind w:left="2504" w:right="1279" w:firstLine="0"/>
        <w:jc w:val="left"/>
        <w:rPr>
          <w:b/>
          <w:sz w:val="18"/>
        </w:rPr>
      </w:pPr>
      <w:r>
        <w:rPr>
          <w:b/>
          <w:color w:val="010202"/>
          <w:sz w:val="18"/>
        </w:rPr>
        <w:t>Figura 1. Rendimiento de frijol en función de los NN aplicados, respecto a las</w:t>
      </w:r>
    </w:p>
    <w:p>
      <w:pPr>
        <w:spacing w:before="9"/>
        <w:ind w:left="3043" w:right="1279" w:firstLine="0"/>
        <w:jc w:val="left"/>
        <w:rPr>
          <w:b/>
          <w:sz w:val="18"/>
        </w:rPr>
      </w:pPr>
      <w:r>
        <w:rPr>
          <w:b/>
          <w:color w:val="010202"/>
          <w:sz w:val="18"/>
        </w:rPr>
        <w:t>densidades de plantas de frijol por mata D1 (◊), D2 (■), D3 (▲)</w:t>
      </w:r>
    </w:p>
    <w:p>
      <w:pPr>
        <w:pStyle w:val="BodyText"/>
        <w:spacing w:before="9"/>
        <w:rPr>
          <w:b/>
          <w:sz w:val="15"/>
        </w:rPr>
      </w:pPr>
      <w:r>
        <w:rPr/>
        <w:drawing>
          <wp:anchor distT="0" distB="0" distL="0" distR="0" allowOverlap="1" layoutInCell="1" locked="0" behindDoc="0" simplePos="0" relativeHeight="3088">
            <wp:simplePos x="0" y="0"/>
            <wp:positionH relativeFrom="page">
              <wp:posOffset>786447</wp:posOffset>
            </wp:positionH>
            <wp:positionV relativeFrom="paragraph">
              <wp:posOffset>140376</wp:posOffset>
            </wp:positionV>
            <wp:extent cx="5386650" cy="3213258"/>
            <wp:effectExtent l="0" t="0" r="0" b="0"/>
            <wp:wrapTopAndBottom/>
            <wp:docPr id="95" name="image27.png" descr=""/>
            <wp:cNvGraphicFramePr>
              <a:graphicFrameLocks noChangeAspect="1"/>
            </wp:cNvGraphicFramePr>
            <a:graphic>
              <a:graphicData uri="http://schemas.openxmlformats.org/drawingml/2006/picture">
                <pic:pic>
                  <pic:nvPicPr>
                    <pic:cNvPr id="96" name="image27.png"/>
                    <pic:cNvPicPr/>
                  </pic:nvPicPr>
                  <pic:blipFill>
                    <a:blip r:embed="rId45" cstate="print"/>
                    <a:stretch>
                      <a:fillRect/>
                    </a:stretch>
                  </pic:blipFill>
                  <pic:spPr>
                    <a:xfrm>
                      <a:off x="0" y="0"/>
                      <a:ext cx="5386650" cy="3213258"/>
                    </a:xfrm>
                    <a:prstGeom prst="rect">
                      <a:avLst/>
                    </a:prstGeom>
                  </pic:spPr>
                </pic:pic>
              </a:graphicData>
            </a:graphic>
          </wp:anchor>
        </w:drawing>
      </w:r>
    </w:p>
    <w:p>
      <w:pPr>
        <w:pStyle w:val="BodyText"/>
        <w:spacing w:before="9"/>
        <w:rPr>
          <w:b/>
        </w:rPr>
      </w:pPr>
    </w:p>
    <w:p>
      <w:pPr>
        <w:pStyle w:val="Heading5"/>
      </w:pPr>
      <w:r>
        <w:rPr>
          <w:color w:val="231F20"/>
        </w:rPr>
        <w:t>Dosis óptima fisiológica en maíz</w:t>
      </w:r>
    </w:p>
    <w:p>
      <w:pPr>
        <w:pStyle w:val="BodyText"/>
        <w:spacing w:line="247" w:lineRule="auto" w:before="8"/>
        <w:ind w:left="1270" w:right="1267"/>
        <w:jc w:val="both"/>
      </w:pPr>
      <w:r>
        <w:rPr>
          <w:color w:val="231F20"/>
        </w:rPr>
        <w:t>Por otro lado, la Figura 2 muestra los rendimientos del maíz en función de los NN en las diferentes </w:t>
      </w:r>
      <w:r>
        <w:rPr>
          <w:color w:val="231F20"/>
          <w:spacing w:val="-5"/>
        </w:rPr>
        <w:t>DPF, </w:t>
      </w:r>
      <w:r>
        <w:rPr>
          <w:color w:val="231F20"/>
        </w:rPr>
        <w:t>la D2 y NN 75 kg ha-1, fue la que mejor mostro una respuesta en el rendimiento de maíz, res- pecto</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D1</w:t>
      </w:r>
      <w:r>
        <w:rPr>
          <w:color w:val="231F20"/>
          <w:spacing w:val="-11"/>
        </w:rPr>
        <w:t> </w:t>
      </w:r>
      <w:r>
        <w:rPr>
          <w:color w:val="231F20"/>
        </w:rPr>
        <w:t>y</w:t>
      </w:r>
      <w:r>
        <w:rPr>
          <w:color w:val="231F20"/>
          <w:spacing w:val="-11"/>
        </w:rPr>
        <w:t> </w:t>
      </w:r>
      <w:r>
        <w:rPr>
          <w:color w:val="231F20"/>
        </w:rPr>
        <w:t>D3</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mismo</w:t>
      </w:r>
      <w:r>
        <w:rPr>
          <w:color w:val="231F20"/>
          <w:spacing w:val="-11"/>
        </w:rPr>
        <w:t> </w:t>
      </w:r>
      <w:r>
        <w:rPr>
          <w:color w:val="231F20"/>
        </w:rPr>
        <w:t>NN</w:t>
      </w:r>
      <w:r>
        <w:rPr>
          <w:color w:val="231F20"/>
          <w:spacing w:val="-11"/>
        </w:rPr>
        <w:t> </w:t>
      </w:r>
      <w:r>
        <w:rPr>
          <w:color w:val="231F20"/>
        </w:rPr>
        <w:t>(75</w:t>
      </w:r>
      <w:r>
        <w:rPr>
          <w:color w:val="231F20"/>
          <w:spacing w:val="-11"/>
        </w:rPr>
        <w:t> </w:t>
      </w:r>
      <w:r>
        <w:rPr>
          <w:color w:val="231F20"/>
        </w:rPr>
        <w:t>kg</w:t>
      </w:r>
      <w:r>
        <w:rPr>
          <w:color w:val="231F20"/>
          <w:spacing w:val="-11"/>
        </w:rPr>
        <w:t> </w:t>
      </w:r>
      <w:r>
        <w:rPr>
          <w:color w:val="231F20"/>
        </w:rPr>
        <w:t>ha-1),</w:t>
      </w:r>
      <w:r>
        <w:rPr>
          <w:color w:val="231F20"/>
          <w:spacing w:val="-11"/>
        </w:rPr>
        <w:t> </w:t>
      </w:r>
      <w:r>
        <w:rPr>
          <w:color w:val="231F20"/>
        </w:rPr>
        <w:t>siendo</w:t>
      </w:r>
      <w:r>
        <w:rPr>
          <w:color w:val="231F20"/>
          <w:spacing w:val="-11"/>
        </w:rPr>
        <w:t> </w:t>
      </w:r>
      <w:r>
        <w:rPr>
          <w:color w:val="231F20"/>
        </w:rPr>
        <w:t>superior</w:t>
      </w:r>
      <w:r>
        <w:rPr>
          <w:color w:val="231F20"/>
          <w:spacing w:val="-11"/>
        </w:rPr>
        <w:t> </w:t>
      </w:r>
      <w:r>
        <w:rPr>
          <w:color w:val="231F20"/>
        </w:rPr>
        <w:t>en</w:t>
      </w:r>
      <w:r>
        <w:rPr>
          <w:color w:val="231F20"/>
          <w:spacing w:val="-11"/>
        </w:rPr>
        <w:t> </w:t>
      </w:r>
      <w:r>
        <w:rPr>
          <w:color w:val="231F20"/>
        </w:rPr>
        <w:t>20%</w:t>
      </w:r>
      <w:r>
        <w:rPr>
          <w:color w:val="231F20"/>
          <w:spacing w:val="-11"/>
        </w:rPr>
        <w:t> </w:t>
      </w:r>
      <w:r>
        <w:rPr>
          <w:color w:val="231F20"/>
        </w:rPr>
        <w:t>y</w:t>
      </w:r>
      <w:r>
        <w:rPr>
          <w:color w:val="231F20"/>
          <w:spacing w:val="-11"/>
        </w:rPr>
        <w:t> </w:t>
      </w:r>
      <w:r>
        <w:rPr>
          <w:color w:val="231F20"/>
        </w:rPr>
        <w:t>30%</w:t>
      </w:r>
      <w:r>
        <w:rPr>
          <w:color w:val="231F20"/>
          <w:spacing w:val="-11"/>
        </w:rPr>
        <w:t> </w:t>
      </w:r>
      <w:r>
        <w:rPr>
          <w:color w:val="231F20"/>
        </w:rPr>
        <w:t>respectivamente.</w:t>
      </w:r>
      <w:r>
        <w:rPr>
          <w:color w:val="231F20"/>
          <w:spacing w:val="-23"/>
        </w:rPr>
        <w:t> </w:t>
      </w:r>
      <w:r>
        <w:rPr>
          <w:color w:val="231F20"/>
        </w:rPr>
        <w:t>Así mismo, se ajusto a un modelo cuadrático, que permitió estimar el máximo rendimiento en función del NN, el coeficiente de determinación que presento fue de 0.99. La D3 presento un porcentaje de incremento respecto a los NN de 5 y </w:t>
      </w:r>
      <w:r>
        <w:rPr>
          <w:color w:val="231F20"/>
          <w:spacing w:val="-3"/>
        </w:rPr>
        <w:t>11% </w:t>
      </w:r>
      <w:r>
        <w:rPr>
          <w:color w:val="231F20"/>
        </w:rPr>
        <w:t>para los NN de 0 y 150 kg N ha-1, ajustándose a un mo- delo cuadrático y un coeficiente de determinación de 0.99. Para D1 el porcentaje de incremento en el</w:t>
      </w:r>
      <w:r>
        <w:rPr>
          <w:color w:val="231F20"/>
          <w:spacing w:val="-2"/>
        </w:rPr>
        <w:t> </w:t>
      </w:r>
      <w:r>
        <w:rPr>
          <w:color w:val="231F20"/>
        </w:rPr>
        <w:t>rendimiento</w:t>
      </w:r>
      <w:r>
        <w:rPr>
          <w:color w:val="231F20"/>
          <w:spacing w:val="-2"/>
        </w:rPr>
        <w:t> </w:t>
      </w:r>
      <w:r>
        <w:rPr>
          <w:color w:val="231F20"/>
        </w:rPr>
        <w:t>de</w:t>
      </w:r>
      <w:r>
        <w:rPr>
          <w:color w:val="231F20"/>
          <w:spacing w:val="-2"/>
        </w:rPr>
        <w:t> </w:t>
      </w:r>
      <w:r>
        <w:rPr>
          <w:color w:val="231F20"/>
        </w:rPr>
        <w:t>maíz</w:t>
      </w:r>
      <w:r>
        <w:rPr>
          <w:color w:val="231F20"/>
          <w:spacing w:val="-2"/>
        </w:rPr>
        <w:t> </w:t>
      </w:r>
      <w:r>
        <w:rPr>
          <w:color w:val="231F20"/>
        </w:rPr>
        <w:t>fue</w:t>
      </w:r>
      <w:r>
        <w:rPr>
          <w:color w:val="231F20"/>
          <w:spacing w:val="-2"/>
        </w:rPr>
        <w:t> </w:t>
      </w:r>
      <w:r>
        <w:rPr>
          <w:color w:val="231F20"/>
        </w:rPr>
        <w:t>de</w:t>
      </w:r>
      <w:r>
        <w:rPr>
          <w:color w:val="231F20"/>
          <w:spacing w:val="-2"/>
        </w:rPr>
        <w:t> </w:t>
      </w:r>
      <w:r>
        <w:rPr>
          <w:color w:val="231F20"/>
        </w:rPr>
        <w:t>20</w:t>
      </w:r>
      <w:r>
        <w:rPr>
          <w:color w:val="231F20"/>
          <w:spacing w:val="-2"/>
        </w:rPr>
        <w:t> </w:t>
      </w:r>
      <w:r>
        <w:rPr>
          <w:color w:val="231F20"/>
        </w:rPr>
        <w:t>y</w:t>
      </w:r>
      <w:r>
        <w:rPr>
          <w:color w:val="231F20"/>
          <w:spacing w:val="-2"/>
        </w:rPr>
        <w:t> </w:t>
      </w:r>
      <w:r>
        <w:rPr>
          <w:color w:val="231F20"/>
          <w:spacing w:val="-3"/>
        </w:rPr>
        <w:t>11%</w:t>
      </w:r>
      <w:r>
        <w:rPr>
          <w:color w:val="231F20"/>
          <w:spacing w:val="-2"/>
        </w:rPr>
        <w:t> </w:t>
      </w:r>
      <w:r>
        <w:rPr>
          <w:color w:val="231F20"/>
        </w:rPr>
        <w:t>respecto</w:t>
      </w:r>
      <w:r>
        <w:rPr>
          <w:color w:val="231F20"/>
          <w:spacing w:val="-2"/>
        </w:rPr>
        <w:t> </w:t>
      </w:r>
      <w:r>
        <w:rPr>
          <w:color w:val="231F20"/>
        </w:rPr>
        <w:t>al</w:t>
      </w:r>
      <w:r>
        <w:rPr>
          <w:color w:val="231F20"/>
          <w:spacing w:val="-2"/>
        </w:rPr>
        <w:t> </w:t>
      </w:r>
      <w:r>
        <w:rPr>
          <w:color w:val="231F20"/>
        </w:rPr>
        <w:t>NN</w:t>
      </w:r>
      <w:r>
        <w:rPr>
          <w:color w:val="231F20"/>
          <w:spacing w:val="-2"/>
        </w:rPr>
        <w:t> </w:t>
      </w:r>
      <w:r>
        <w:rPr>
          <w:color w:val="231F20"/>
        </w:rPr>
        <w:t>0</w:t>
      </w:r>
      <w:r>
        <w:rPr>
          <w:color w:val="231F20"/>
          <w:spacing w:val="-2"/>
        </w:rPr>
        <w:t> </w:t>
      </w:r>
      <w:r>
        <w:rPr>
          <w:color w:val="231F20"/>
        </w:rPr>
        <w:t>y</w:t>
      </w:r>
      <w:r>
        <w:rPr>
          <w:color w:val="231F20"/>
          <w:spacing w:val="-2"/>
        </w:rPr>
        <w:t> </w:t>
      </w:r>
      <w:r>
        <w:rPr>
          <w:color w:val="231F20"/>
        </w:rPr>
        <w:t>75</w:t>
      </w:r>
      <w:r>
        <w:rPr>
          <w:color w:val="231F20"/>
          <w:spacing w:val="-2"/>
        </w:rPr>
        <w:t> </w:t>
      </w:r>
      <w:r>
        <w:rPr>
          <w:color w:val="231F20"/>
        </w:rPr>
        <w:t>kg</w:t>
      </w:r>
      <w:r>
        <w:rPr>
          <w:color w:val="231F20"/>
          <w:spacing w:val="-2"/>
        </w:rPr>
        <w:t> </w:t>
      </w:r>
      <w:r>
        <w:rPr>
          <w:color w:val="231F20"/>
        </w:rPr>
        <w:t>ha-1,</w:t>
      </w:r>
      <w:r>
        <w:rPr>
          <w:color w:val="231F20"/>
          <w:spacing w:val="-2"/>
        </w:rPr>
        <w:t> </w:t>
      </w:r>
      <w:r>
        <w:rPr>
          <w:color w:val="231F20"/>
        </w:rPr>
        <w:t>respectivamente.</w:t>
      </w:r>
      <w:r>
        <w:rPr>
          <w:color w:val="231F20"/>
          <w:spacing w:val="-14"/>
        </w:rPr>
        <w:t> </w:t>
      </w:r>
      <w:r>
        <w:rPr>
          <w:color w:val="231F20"/>
        </w:rPr>
        <w:t>Así</w:t>
      </w:r>
      <w:r>
        <w:rPr>
          <w:color w:val="231F20"/>
          <w:spacing w:val="-2"/>
        </w:rPr>
        <w:t> </w:t>
      </w:r>
      <w:r>
        <w:rPr>
          <w:color w:val="231F20"/>
        </w:rPr>
        <w:t>mismo se ajusto a un modelo cuadrático que permitió estimar el mayor incremento en el rendimiento, con un coeficiente de determinación de 0.99. Por otro lado, podemos mencionar que N no es el único factor</w:t>
      </w:r>
      <w:r>
        <w:rPr>
          <w:color w:val="231F20"/>
          <w:spacing w:val="-11"/>
        </w:rPr>
        <w:t> </w:t>
      </w:r>
      <w:r>
        <w:rPr>
          <w:color w:val="231F20"/>
        </w:rPr>
        <w:t>que</w:t>
      </w:r>
      <w:r>
        <w:rPr>
          <w:color w:val="231F20"/>
          <w:spacing w:val="-11"/>
        </w:rPr>
        <w:t> </w:t>
      </w:r>
      <w:r>
        <w:rPr>
          <w:color w:val="231F20"/>
        </w:rPr>
        <w:t>determina</w:t>
      </w:r>
      <w:r>
        <w:rPr>
          <w:color w:val="231F20"/>
          <w:spacing w:val="-11"/>
        </w:rPr>
        <w:t> </w:t>
      </w:r>
      <w:r>
        <w:rPr>
          <w:color w:val="231F20"/>
        </w:rPr>
        <w:t>el</w:t>
      </w:r>
      <w:r>
        <w:rPr>
          <w:color w:val="231F20"/>
          <w:spacing w:val="-11"/>
        </w:rPr>
        <w:t> </w:t>
      </w:r>
      <w:r>
        <w:rPr>
          <w:color w:val="231F20"/>
        </w:rPr>
        <w:t>rendimiento</w:t>
      </w:r>
      <w:r>
        <w:rPr>
          <w:color w:val="231F20"/>
          <w:spacing w:val="-11"/>
        </w:rPr>
        <w:t> </w:t>
      </w:r>
      <w:r>
        <w:rPr>
          <w:color w:val="231F20"/>
        </w:rPr>
        <w:t>de</w:t>
      </w:r>
      <w:r>
        <w:rPr>
          <w:color w:val="231F20"/>
          <w:spacing w:val="-11"/>
        </w:rPr>
        <w:t> </w:t>
      </w:r>
      <w:r>
        <w:rPr>
          <w:color w:val="231F20"/>
        </w:rPr>
        <w:t>maíz,</w:t>
      </w:r>
      <w:r>
        <w:rPr>
          <w:color w:val="231F20"/>
          <w:spacing w:val="-11"/>
        </w:rPr>
        <w:t> </w:t>
      </w:r>
      <w:r>
        <w:rPr>
          <w:color w:val="231F20"/>
        </w:rPr>
        <w:t>por</w:t>
      </w:r>
      <w:r>
        <w:rPr>
          <w:color w:val="231F20"/>
          <w:spacing w:val="-11"/>
        </w:rPr>
        <w:t> </w:t>
      </w:r>
      <w:r>
        <w:rPr>
          <w:color w:val="231F20"/>
        </w:rPr>
        <w:t>lo</w:t>
      </w:r>
      <w:r>
        <w:rPr>
          <w:color w:val="231F20"/>
          <w:spacing w:val="-11"/>
        </w:rPr>
        <w:t> </w:t>
      </w:r>
      <w:r>
        <w:rPr>
          <w:color w:val="231F20"/>
        </w:rPr>
        <w:t>que</w:t>
      </w:r>
      <w:r>
        <w:rPr>
          <w:color w:val="231F20"/>
          <w:spacing w:val="-11"/>
        </w:rPr>
        <w:t> </w:t>
      </w:r>
      <w:r>
        <w:rPr>
          <w:color w:val="231F20"/>
        </w:rPr>
        <w:t>el</w:t>
      </w:r>
      <w:r>
        <w:rPr>
          <w:color w:val="231F20"/>
          <w:spacing w:val="-11"/>
        </w:rPr>
        <w:t> </w:t>
      </w:r>
      <w:r>
        <w:rPr>
          <w:color w:val="231F20"/>
        </w:rPr>
        <w:t>uso</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tres</w:t>
      </w:r>
      <w:r>
        <w:rPr>
          <w:color w:val="231F20"/>
          <w:spacing w:val="-11"/>
        </w:rPr>
        <w:t> </w:t>
      </w:r>
      <w:r>
        <w:rPr>
          <w:color w:val="231F20"/>
        </w:rPr>
        <w:t>curvas</w:t>
      </w:r>
      <w:r>
        <w:rPr>
          <w:color w:val="231F20"/>
          <w:spacing w:val="-11"/>
        </w:rPr>
        <w:t> </w:t>
      </w:r>
      <w:r>
        <w:rPr>
          <w:color w:val="231F20"/>
        </w:rPr>
        <w:t>de</w:t>
      </w:r>
      <w:r>
        <w:rPr>
          <w:color w:val="231F20"/>
          <w:spacing w:val="-11"/>
        </w:rPr>
        <w:t> </w:t>
      </w:r>
      <w:r>
        <w:rPr>
          <w:color w:val="231F20"/>
        </w:rPr>
        <w:t>respuesta</w:t>
      </w:r>
      <w:r>
        <w:rPr>
          <w:color w:val="231F20"/>
          <w:spacing w:val="-11"/>
        </w:rPr>
        <w:t> </w:t>
      </w:r>
      <w:r>
        <w:rPr>
          <w:color w:val="231F20"/>
        </w:rPr>
        <w:t>permitió realizar</w:t>
      </w:r>
      <w:r>
        <w:rPr>
          <w:color w:val="231F20"/>
          <w:spacing w:val="-7"/>
        </w:rPr>
        <w:t> </w:t>
      </w:r>
      <w:r>
        <w:rPr>
          <w:color w:val="231F20"/>
        </w:rPr>
        <w:t>un</w:t>
      </w:r>
      <w:r>
        <w:rPr>
          <w:color w:val="231F20"/>
          <w:spacing w:val="-7"/>
        </w:rPr>
        <w:t> </w:t>
      </w:r>
      <w:r>
        <w:rPr>
          <w:color w:val="231F20"/>
        </w:rPr>
        <w:t>análisis</w:t>
      </w:r>
      <w:r>
        <w:rPr>
          <w:color w:val="231F20"/>
          <w:spacing w:val="-7"/>
        </w:rPr>
        <w:t> </w:t>
      </w:r>
      <w:r>
        <w:rPr>
          <w:color w:val="231F20"/>
        </w:rPr>
        <w:t>más</w:t>
      </w:r>
      <w:r>
        <w:rPr>
          <w:color w:val="231F20"/>
          <w:spacing w:val="-7"/>
        </w:rPr>
        <w:t> </w:t>
      </w:r>
      <w:r>
        <w:rPr>
          <w:color w:val="231F20"/>
        </w:rPr>
        <w:t>detallado</w:t>
      </w:r>
      <w:r>
        <w:rPr>
          <w:color w:val="231F20"/>
          <w:spacing w:val="-7"/>
        </w:rPr>
        <w:t> </w:t>
      </w:r>
      <w:r>
        <w:rPr>
          <w:color w:val="231F20"/>
        </w:rPr>
        <w:t>y</w:t>
      </w:r>
      <w:r>
        <w:rPr>
          <w:color w:val="231F20"/>
          <w:spacing w:val="-7"/>
        </w:rPr>
        <w:t> </w:t>
      </w:r>
      <w:r>
        <w:rPr>
          <w:color w:val="231F20"/>
        </w:rPr>
        <w:t>sobre</w:t>
      </w:r>
      <w:r>
        <w:rPr>
          <w:color w:val="231F20"/>
          <w:spacing w:val="-6"/>
        </w:rPr>
        <w:t> </w:t>
      </w:r>
      <w:r>
        <w:rPr>
          <w:color w:val="231F20"/>
        </w:rPr>
        <w:t>todo</w:t>
      </w:r>
      <w:r>
        <w:rPr>
          <w:color w:val="231F20"/>
          <w:spacing w:val="-7"/>
        </w:rPr>
        <w:t> </w:t>
      </w:r>
      <w:r>
        <w:rPr>
          <w:color w:val="231F20"/>
        </w:rPr>
        <w:t>de</w:t>
      </w:r>
      <w:r>
        <w:rPr>
          <w:color w:val="231F20"/>
          <w:spacing w:val="-7"/>
        </w:rPr>
        <w:t> </w:t>
      </w:r>
      <w:r>
        <w:rPr>
          <w:color w:val="231F20"/>
        </w:rPr>
        <w:t>mayor</w:t>
      </w:r>
      <w:r>
        <w:rPr>
          <w:color w:val="231F20"/>
          <w:spacing w:val="-7"/>
        </w:rPr>
        <w:t> </w:t>
      </w:r>
      <w:r>
        <w:rPr>
          <w:color w:val="231F20"/>
        </w:rPr>
        <w:t>aplicación</w:t>
      </w:r>
      <w:r>
        <w:rPr>
          <w:color w:val="231F20"/>
          <w:spacing w:val="-7"/>
        </w:rPr>
        <w:t> </w:t>
      </w:r>
      <w:r>
        <w:rPr>
          <w:color w:val="231F20"/>
        </w:rPr>
        <w:t>para</w:t>
      </w:r>
      <w:r>
        <w:rPr>
          <w:color w:val="231F20"/>
          <w:spacing w:val="-7"/>
        </w:rPr>
        <w:t> </w:t>
      </w:r>
      <w:r>
        <w:rPr>
          <w:color w:val="231F20"/>
        </w:rPr>
        <w:t>cada</w:t>
      </w:r>
      <w:r>
        <w:rPr>
          <w:color w:val="231F20"/>
          <w:spacing w:val="-7"/>
        </w:rPr>
        <w:t> </w:t>
      </w:r>
      <w:r>
        <w:rPr>
          <w:color w:val="231F20"/>
        </w:rPr>
        <w:t>situación</w:t>
      </w:r>
      <w:r>
        <w:rPr>
          <w:color w:val="231F20"/>
          <w:spacing w:val="-6"/>
        </w:rPr>
        <w:t> </w:t>
      </w:r>
      <w:r>
        <w:rPr>
          <w:color w:val="231F20"/>
        </w:rPr>
        <w:t>en</w:t>
      </w:r>
      <w:r>
        <w:rPr>
          <w:color w:val="231F20"/>
          <w:spacing w:val="-7"/>
        </w:rPr>
        <w:t> </w:t>
      </w:r>
      <w:r>
        <w:rPr>
          <w:color w:val="231F20"/>
        </w:rPr>
        <w:t>particular.</w:t>
      </w:r>
    </w:p>
    <w:p>
      <w:pPr>
        <w:spacing w:after="0" w:line="247" w:lineRule="auto"/>
        <w:jc w:val="both"/>
        <w:sectPr>
          <w:pgSz w:w="10920" w:h="13080"/>
          <w:pgMar w:header="0" w:footer="1025" w:top="420" w:bottom="1220" w:left="0" w:right="0"/>
        </w:sectPr>
      </w:pPr>
    </w:p>
    <w:p>
      <w:pPr>
        <w:pStyle w:val="BodyText"/>
        <w:rPr>
          <w:sz w:val="20"/>
        </w:rPr>
      </w:pPr>
    </w:p>
    <w:p>
      <w:pPr>
        <w:pStyle w:val="BodyText"/>
        <w:rPr>
          <w:sz w:val="20"/>
        </w:rPr>
      </w:pPr>
    </w:p>
    <w:p>
      <w:pPr>
        <w:pStyle w:val="BodyText"/>
        <w:rPr>
          <w:sz w:val="23"/>
        </w:rPr>
      </w:pPr>
    </w:p>
    <w:p>
      <w:pPr>
        <w:spacing w:before="77"/>
        <w:ind w:left="2071" w:right="1279" w:firstLine="0"/>
        <w:jc w:val="left"/>
        <w:rPr>
          <w:b/>
          <w:sz w:val="18"/>
        </w:rPr>
      </w:pPr>
      <w:r>
        <w:rPr>
          <w:b/>
          <w:color w:val="010202"/>
          <w:sz w:val="18"/>
        </w:rPr>
        <w:t>Figura 2. Rendimiento de maíz en función de los NN aplicados, respecto a las densidades</w:t>
      </w:r>
    </w:p>
    <w:p>
      <w:pPr>
        <w:spacing w:before="9"/>
        <w:ind w:left="3486" w:right="1279" w:firstLine="0"/>
        <w:jc w:val="left"/>
        <w:rPr>
          <w:b/>
          <w:sz w:val="18"/>
        </w:rPr>
      </w:pPr>
      <w:r>
        <w:rPr>
          <w:b/>
          <w:color w:val="010202"/>
          <w:sz w:val="18"/>
        </w:rPr>
        <w:t>de plantas de frijol por mata D1 (◊), D2 (■), D3 (▲)</w:t>
      </w:r>
    </w:p>
    <w:p>
      <w:pPr>
        <w:pStyle w:val="BodyText"/>
        <w:spacing w:before="9"/>
        <w:rPr>
          <w:b/>
          <w:sz w:val="18"/>
        </w:rPr>
      </w:pPr>
      <w:r>
        <w:rPr/>
        <w:drawing>
          <wp:anchor distT="0" distB="0" distL="0" distR="0" allowOverlap="1" layoutInCell="1" locked="0" behindDoc="0" simplePos="0" relativeHeight="3112">
            <wp:simplePos x="0" y="0"/>
            <wp:positionH relativeFrom="page">
              <wp:posOffset>806704</wp:posOffset>
            </wp:positionH>
            <wp:positionV relativeFrom="paragraph">
              <wp:posOffset>161966</wp:posOffset>
            </wp:positionV>
            <wp:extent cx="5312995" cy="3200400"/>
            <wp:effectExtent l="0" t="0" r="0" b="0"/>
            <wp:wrapTopAndBottom/>
            <wp:docPr id="97" name="image28.png" descr=""/>
            <wp:cNvGraphicFramePr>
              <a:graphicFrameLocks noChangeAspect="1"/>
            </wp:cNvGraphicFramePr>
            <a:graphic>
              <a:graphicData uri="http://schemas.openxmlformats.org/drawingml/2006/picture">
                <pic:pic>
                  <pic:nvPicPr>
                    <pic:cNvPr id="98" name="image28.png"/>
                    <pic:cNvPicPr/>
                  </pic:nvPicPr>
                  <pic:blipFill>
                    <a:blip r:embed="rId46" cstate="print"/>
                    <a:stretch>
                      <a:fillRect/>
                    </a:stretch>
                  </pic:blipFill>
                  <pic:spPr>
                    <a:xfrm>
                      <a:off x="0" y="0"/>
                      <a:ext cx="5312995" cy="3200400"/>
                    </a:xfrm>
                    <a:prstGeom prst="rect">
                      <a:avLst/>
                    </a:prstGeom>
                  </pic:spPr>
                </pic:pic>
              </a:graphicData>
            </a:graphic>
          </wp:anchor>
        </w:drawing>
      </w:r>
    </w:p>
    <w:p>
      <w:pPr>
        <w:pStyle w:val="BodyText"/>
        <w:spacing w:before="6"/>
        <w:rPr>
          <w:b/>
          <w:sz w:val="24"/>
        </w:rPr>
      </w:pPr>
    </w:p>
    <w:p>
      <w:pPr>
        <w:pStyle w:val="Heading5"/>
      </w:pPr>
      <w:r>
        <w:rPr>
          <w:color w:val="231F20"/>
        </w:rPr>
        <w:t>Análisis de costos</w:t>
      </w:r>
    </w:p>
    <w:p>
      <w:pPr>
        <w:pStyle w:val="BodyText"/>
        <w:spacing w:line="249" w:lineRule="auto" w:before="8"/>
        <w:ind w:left="1270" w:right="1267"/>
        <w:jc w:val="both"/>
      </w:pPr>
      <w:r>
        <w:rPr>
          <w:color w:val="231F20"/>
        </w:rPr>
        <w:t>En el Cuadro 1 se presenta el análisis de costos y tasa de retorno marginal para frijol y maíz en aso- ciación</w:t>
      </w:r>
      <w:r>
        <w:rPr>
          <w:color w:val="231F20"/>
          <w:spacing w:val="-5"/>
        </w:rPr>
        <w:t> </w:t>
      </w:r>
      <w:r>
        <w:rPr>
          <w:color w:val="231F20"/>
        </w:rPr>
        <w:t>en</w:t>
      </w:r>
      <w:r>
        <w:rPr>
          <w:color w:val="231F20"/>
          <w:spacing w:val="-5"/>
        </w:rPr>
        <w:t> </w:t>
      </w:r>
      <w:r>
        <w:rPr>
          <w:color w:val="231F20"/>
        </w:rPr>
        <w:t>función</w:t>
      </w:r>
      <w:r>
        <w:rPr>
          <w:color w:val="231F20"/>
          <w:spacing w:val="-5"/>
        </w:rPr>
        <w:t> </w:t>
      </w:r>
      <w:r>
        <w:rPr>
          <w:color w:val="231F20"/>
        </w:rPr>
        <w:t>a</w:t>
      </w:r>
      <w:r>
        <w:rPr>
          <w:color w:val="231F20"/>
          <w:spacing w:val="-5"/>
        </w:rPr>
        <w:t> </w:t>
      </w:r>
      <w:r>
        <w:rPr>
          <w:color w:val="231F20"/>
        </w:rPr>
        <w:t>las</w:t>
      </w:r>
      <w:r>
        <w:rPr>
          <w:color w:val="231F20"/>
          <w:spacing w:val="-5"/>
        </w:rPr>
        <w:t> </w:t>
      </w:r>
      <w:r>
        <w:rPr>
          <w:color w:val="231F20"/>
        </w:rPr>
        <w:t>DPF</w:t>
      </w:r>
      <w:r>
        <w:rPr>
          <w:color w:val="231F20"/>
          <w:spacing w:val="-5"/>
        </w:rPr>
        <w:t> </w:t>
      </w:r>
      <w:r>
        <w:rPr>
          <w:color w:val="231F20"/>
        </w:rPr>
        <w:t>y</w:t>
      </w:r>
      <w:r>
        <w:rPr>
          <w:color w:val="231F20"/>
          <w:spacing w:val="-5"/>
        </w:rPr>
        <w:t> </w:t>
      </w:r>
      <w:r>
        <w:rPr>
          <w:color w:val="231F20"/>
        </w:rPr>
        <w:t>NN,</w:t>
      </w:r>
      <w:r>
        <w:rPr>
          <w:color w:val="231F20"/>
          <w:spacing w:val="-5"/>
        </w:rPr>
        <w:t> </w:t>
      </w:r>
      <w:r>
        <w:rPr>
          <w:color w:val="231F20"/>
        </w:rPr>
        <w:t>donde</w:t>
      </w:r>
      <w:r>
        <w:rPr>
          <w:color w:val="231F20"/>
          <w:spacing w:val="-5"/>
        </w:rPr>
        <w:t> </w:t>
      </w:r>
      <w:r>
        <w:rPr>
          <w:color w:val="231F20"/>
        </w:rPr>
        <w:t>se</w:t>
      </w:r>
      <w:r>
        <w:rPr>
          <w:color w:val="231F20"/>
          <w:spacing w:val="-5"/>
        </w:rPr>
        <w:t> </w:t>
      </w:r>
      <w:r>
        <w:rPr>
          <w:color w:val="231F20"/>
        </w:rPr>
        <w:t>observa</w:t>
      </w:r>
      <w:r>
        <w:rPr>
          <w:color w:val="231F20"/>
          <w:spacing w:val="-5"/>
        </w:rPr>
        <w:t> </w:t>
      </w:r>
      <w:r>
        <w:rPr>
          <w:color w:val="231F20"/>
        </w:rPr>
        <w:t>que</w:t>
      </w:r>
      <w:r>
        <w:rPr>
          <w:color w:val="231F20"/>
          <w:spacing w:val="-5"/>
        </w:rPr>
        <w:t> </w:t>
      </w:r>
      <w:r>
        <w:rPr>
          <w:color w:val="231F20"/>
        </w:rPr>
        <w:t>los</w:t>
      </w:r>
      <w:r>
        <w:rPr>
          <w:color w:val="231F20"/>
          <w:spacing w:val="-5"/>
        </w:rPr>
        <w:t> </w:t>
      </w:r>
      <w:r>
        <w:rPr>
          <w:color w:val="231F20"/>
        </w:rPr>
        <w:t>costos</w:t>
      </w:r>
      <w:r>
        <w:rPr>
          <w:color w:val="231F20"/>
          <w:spacing w:val="-5"/>
        </w:rPr>
        <w:t> </w:t>
      </w:r>
      <w:r>
        <w:rPr>
          <w:color w:val="231F20"/>
        </w:rPr>
        <w:t>de</w:t>
      </w:r>
      <w:r>
        <w:rPr>
          <w:color w:val="231F20"/>
          <w:spacing w:val="-5"/>
        </w:rPr>
        <w:t> </w:t>
      </w:r>
      <w:r>
        <w:rPr>
          <w:color w:val="231F20"/>
        </w:rPr>
        <w:t>producción</w:t>
      </w:r>
      <w:r>
        <w:rPr>
          <w:color w:val="231F20"/>
          <w:spacing w:val="-5"/>
        </w:rPr>
        <w:t> </w:t>
      </w:r>
      <w:r>
        <w:rPr>
          <w:color w:val="231F20"/>
        </w:rPr>
        <w:t>fluctúan</w:t>
      </w:r>
      <w:r>
        <w:rPr>
          <w:color w:val="231F20"/>
          <w:spacing w:val="-5"/>
        </w:rPr>
        <w:t> </w:t>
      </w:r>
      <w:r>
        <w:rPr>
          <w:color w:val="231F20"/>
        </w:rPr>
        <w:t>respecto a los costos variables incrementándose estos por la cantidad de semilla y NN empleado. Así</w:t>
      </w:r>
      <w:r>
        <w:rPr>
          <w:color w:val="231F20"/>
          <w:spacing w:val="-19"/>
        </w:rPr>
        <w:t> </w:t>
      </w:r>
      <w:r>
        <w:rPr>
          <w:color w:val="231F20"/>
        </w:rPr>
        <w:t>mismo, el</w:t>
      </w:r>
      <w:r>
        <w:rPr>
          <w:color w:val="231F20"/>
          <w:spacing w:val="-6"/>
        </w:rPr>
        <w:t> </w:t>
      </w:r>
      <w:r>
        <w:rPr>
          <w:color w:val="231F20"/>
        </w:rPr>
        <w:t>ingreso</w:t>
      </w:r>
      <w:r>
        <w:rPr>
          <w:color w:val="231F20"/>
          <w:spacing w:val="-7"/>
        </w:rPr>
        <w:t> </w:t>
      </w:r>
      <w:r>
        <w:rPr>
          <w:color w:val="231F20"/>
        </w:rPr>
        <w:t>neto</w:t>
      </w:r>
      <w:r>
        <w:rPr>
          <w:color w:val="231F20"/>
          <w:spacing w:val="-6"/>
        </w:rPr>
        <w:t> </w:t>
      </w:r>
      <w:r>
        <w:rPr>
          <w:color w:val="231F20"/>
        </w:rPr>
        <w:t>estuvo</w:t>
      </w:r>
      <w:r>
        <w:rPr>
          <w:color w:val="231F20"/>
          <w:spacing w:val="-7"/>
        </w:rPr>
        <w:t> </w:t>
      </w:r>
      <w:r>
        <w:rPr>
          <w:color w:val="231F20"/>
        </w:rPr>
        <w:t>determinado</w:t>
      </w:r>
      <w:r>
        <w:rPr>
          <w:color w:val="231F20"/>
          <w:spacing w:val="-6"/>
        </w:rPr>
        <w:t> </w:t>
      </w:r>
      <w:r>
        <w:rPr>
          <w:color w:val="231F20"/>
        </w:rPr>
        <w:t>por</w:t>
      </w:r>
      <w:r>
        <w:rPr>
          <w:color w:val="231F20"/>
          <w:spacing w:val="-6"/>
        </w:rPr>
        <w:t> </w:t>
      </w:r>
      <w:r>
        <w:rPr>
          <w:color w:val="231F20"/>
        </w:rPr>
        <w:t>el</w:t>
      </w:r>
      <w:r>
        <w:rPr>
          <w:color w:val="231F20"/>
          <w:spacing w:val="-6"/>
        </w:rPr>
        <w:t> </w:t>
      </w:r>
      <w:r>
        <w:rPr>
          <w:color w:val="231F20"/>
        </w:rPr>
        <w:t>rendimiento</w:t>
      </w:r>
      <w:r>
        <w:rPr>
          <w:color w:val="231F20"/>
          <w:spacing w:val="-6"/>
        </w:rPr>
        <w:t> </w:t>
      </w:r>
      <w:r>
        <w:rPr>
          <w:color w:val="231F20"/>
        </w:rPr>
        <w:t>obtenido</w:t>
      </w:r>
      <w:r>
        <w:rPr>
          <w:color w:val="231F20"/>
          <w:spacing w:val="-6"/>
        </w:rPr>
        <w:t> </w:t>
      </w:r>
      <w:r>
        <w:rPr>
          <w:color w:val="231F20"/>
        </w:rPr>
        <w:t>por</w:t>
      </w:r>
      <w:r>
        <w:rPr>
          <w:color w:val="231F20"/>
          <w:spacing w:val="-6"/>
        </w:rPr>
        <w:t> </w:t>
      </w:r>
      <w:r>
        <w:rPr>
          <w:color w:val="231F20"/>
        </w:rPr>
        <w:t>las</w:t>
      </w:r>
      <w:r>
        <w:rPr>
          <w:color w:val="231F20"/>
          <w:spacing w:val="-6"/>
        </w:rPr>
        <w:t> </w:t>
      </w:r>
      <w:r>
        <w:rPr>
          <w:color w:val="231F20"/>
        </w:rPr>
        <w:t>especies</w:t>
      </w:r>
      <w:r>
        <w:rPr>
          <w:color w:val="231F20"/>
          <w:spacing w:val="-7"/>
        </w:rPr>
        <w:t> </w:t>
      </w:r>
      <w:r>
        <w:rPr>
          <w:color w:val="231F20"/>
        </w:rPr>
        <w:t>componentes,</w:t>
      </w:r>
      <w:r>
        <w:rPr>
          <w:color w:val="231F20"/>
          <w:spacing w:val="-7"/>
        </w:rPr>
        <w:t> </w:t>
      </w:r>
      <w:r>
        <w:rPr>
          <w:color w:val="231F20"/>
        </w:rPr>
        <w:t>por</w:t>
      </w:r>
      <w:r>
        <w:rPr>
          <w:color w:val="231F20"/>
          <w:spacing w:val="-6"/>
        </w:rPr>
        <w:t> </w:t>
      </w:r>
      <w:r>
        <w:rPr>
          <w:color w:val="231F20"/>
        </w:rPr>
        <w:t>lo que</w:t>
      </w:r>
      <w:r>
        <w:rPr>
          <w:color w:val="231F20"/>
          <w:spacing w:val="-7"/>
        </w:rPr>
        <w:t> </w:t>
      </w:r>
      <w:r>
        <w:rPr>
          <w:color w:val="231F20"/>
        </w:rPr>
        <w:t>vario</w:t>
      </w:r>
      <w:r>
        <w:rPr>
          <w:color w:val="231F20"/>
          <w:spacing w:val="-7"/>
        </w:rPr>
        <w:t> </w:t>
      </w:r>
      <w:r>
        <w:rPr>
          <w:color w:val="231F20"/>
        </w:rPr>
        <w:t>entre</w:t>
      </w:r>
      <w:r>
        <w:rPr>
          <w:color w:val="231F20"/>
          <w:spacing w:val="-7"/>
        </w:rPr>
        <w:t> </w:t>
      </w:r>
      <w:r>
        <w:rPr>
          <w:color w:val="231F20"/>
        </w:rPr>
        <w:t>las</w:t>
      </w:r>
      <w:r>
        <w:rPr>
          <w:color w:val="231F20"/>
          <w:spacing w:val="-7"/>
        </w:rPr>
        <w:t> </w:t>
      </w:r>
      <w:r>
        <w:rPr>
          <w:color w:val="231F20"/>
        </w:rPr>
        <w:t>DPF</w:t>
      </w:r>
      <w:r>
        <w:rPr>
          <w:color w:val="231F20"/>
          <w:spacing w:val="-7"/>
        </w:rPr>
        <w:t> </w:t>
      </w:r>
      <w:r>
        <w:rPr>
          <w:color w:val="231F20"/>
        </w:rPr>
        <w:t>y</w:t>
      </w:r>
      <w:r>
        <w:rPr>
          <w:color w:val="231F20"/>
          <w:spacing w:val="-7"/>
        </w:rPr>
        <w:t> </w:t>
      </w:r>
      <w:r>
        <w:rPr>
          <w:color w:val="231F20"/>
        </w:rPr>
        <w:t>los</w:t>
      </w:r>
      <w:r>
        <w:rPr>
          <w:color w:val="231F20"/>
          <w:spacing w:val="-7"/>
        </w:rPr>
        <w:t> </w:t>
      </w:r>
      <w:r>
        <w:rPr>
          <w:color w:val="231F20"/>
        </w:rPr>
        <w:t>NN,</w:t>
      </w:r>
      <w:r>
        <w:rPr>
          <w:color w:val="231F20"/>
          <w:spacing w:val="-7"/>
        </w:rPr>
        <w:t> </w:t>
      </w:r>
      <w:r>
        <w:rPr>
          <w:color w:val="231F20"/>
        </w:rPr>
        <w:t>este</w:t>
      </w:r>
      <w:r>
        <w:rPr>
          <w:color w:val="231F20"/>
          <w:spacing w:val="-7"/>
        </w:rPr>
        <w:t> </w:t>
      </w:r>
      <w:r>
        <w:rPr>
          <w:color w:val="231F20"/>
        </w:rPr>
        <w:t>amplio</w:t>
      </w:r>
      <w:r>
        <w:rPr>
          <w:color w:val="231F20"/>
          <w:spacing w:val="-8"/>
        </w:rPr>
        <w:t> </w:t>
      </w:r>
      <w:r>
        <w:rPr>
          <w:color w:val="231F20"/>
        </w:rPr>
        <w:t>rango</w:t>
      </w:r>
      <w:r>
        <w:rPr>
          <w:color w:val="231F20"/>
          <w:spacing w:val="-7"/>
        </w:rPr>
        <w:t> </w:t>
      </w:r>
      <w:r>
        <w:rPr>
          <w:color w:val="231F20"/>
        </w:rPr>
        <w:t>de</w:t>
      </w:r>
      <w:r>
        <w:rPr>
          <w:color w:val="231F20"/>
          <w:spacing w:val="-7"/>
        </w:rPr>
        <w:t> </w:t>
      </w:r>
      <w:r>
        <w:rPr>
          <w:color w:val="231F20"/>
        </w:rPr>
        <w:t>oscilación</w:t>
      </w:r>
      <w:r>
        <w:rPr>
          <w:color w:val="231F20"/>
          <w:spacing w:val="-8"/>
        </w:rPr>
        <w:t> </w:t>
      </w:r>
      <w:r>
        <w:rPr>
          <w:color w:val="231F20"/>
        </w:rPr>
        <w:t>de</w:t>
      </w:r>
      <w:r>
        <w:rPr>
          <w:color w:val="231F20"/>
          <w:spacing w:val="-7"/>
        </w:rPr>
        <w:t> </w:t>
      </w:r>
      <w:r>
        <w:rPr>
          <w:color w:val="231F20"/>
        </w:rPr>
        <w:t>valores,</w:t>
      </w:r>
      <w:r>
        <w:rPr>
          <w:color w:val="231F20"/>
          <w:spacing w:val="-7"/>
        </w:rPr>
        <w:t> </w:t>
      </w:r>
      <w:r>
        <w:rPr>
          <w:color w:val="231F20"/>
        </w:rPr>
        <w:t>provoca</w:t>
      </w:r>
      <w:r>
        <w:rPr>
          <w:color w:val="231F20"/>
          <w:spacing w:val="-7"/>
        </w:rPr>
        <w:t> </w:t>
      </w:r>
      <w:r>
        <w:rPr>
          <w:color w:val="231F20"/>
        </w:rPr>
        <w:t>variaciones</w:t>
      </w:r>
      <w:r>
        <w:rPr>
          <w:color w:val="231F20"/>
          <w:spacing w:val="-8"/>
        </w:rPr>
        <w:t> </w:t>
      </w:r>
      <w:r>
        <w:rPr>
          <w:color w:val="231F20"/>
        </w:rPr>
        <w:t>en el</w:t>
      </w:r>
      <w:r>
        <w:rPr>
          <w:color w:val="231F20"/>
          <w:spacing w:val="-11"/>
        </w:rPr>
        <w:t> </w:t>
      </w:r>
      <w:r>
        <w:rPr>
          <w:color w:val="231F20"/>
        </w:rPr>
        <w:t>NN</w:t>
      </w:r>
      <w:r>
        <w:rPr>
          <w:color w:val="231F20"/>
          <w:spacing w:val="-11"/>
        </w:rPr>
        <w:t> </w:t>
      </w:r>
      <w:r>
        <w:rPr>
          <w:color w:val="231F20"/>
        </w:rPr>
        <w:t>óptimo</w:t>
      </w:r>
      <w:r>
        <w:rPr>
          <w:color w:val="231F20"/>
          <w:spacing w:val="-11"/>
        </w:rPr>
        <w:t> </w:t>
      </w:r>
      <w:r>
        <w:rPr>
          <w:color w:val="231F20"/>
        </w:rPr>
        <w:t>económico.</w:t>
      </w:r>
      <w:r>
        <w:rPr>
          <w:color w:val="231F20"/>
          <w:spacing w:val="-11"/>
        </w:rPr>
        <w:t> </w:t>
      </w:r>
      <w:r>
        <w:rPr>
          <w:color w:val="231F20"/>
        </w:rPr>
        <w:t>Estos</w:t>
      </w:r>
      <w:r>
        <w:rPr>
          <w:color w:val="231F20"/>
          <w:spacing w:val="-11"/>
        </w:rPr>
        <w:t> </w:t>
      </w:r>
      <w:r>
        <w:rPr>
          <w:color w:val="231F20"/>
        </w:rPr>
        <w:t>resultados</w:t>
      </w:r>
      <w:r>
        <w:rPr>
          <w:color w:val="231F20"/>
          <w:spacing w:val="-11"/>
        </w:rPr>
        <w:t> </w:t>
      </w:r>
      <w:r>
        <w:rPr>
          <w:color w:val="231F20"/>
        </w:rPr>
        <w:t>enfatizan</w:t>
      </w:r>
      <w:r>
        <w:rPr>
          <w:color w:val="231F20"/>
          <w:spacing w:val="-11"/>
        </w:rPr>
        <w:t> </w:t>
      </w:r>
      <w:r>
        <w:rPr>
          <w:color w:val="231F20"/>
        </w:rPr>
        <w:t>la</w:t>
      </w:r>
      <w:r>
        <w:rPr>
          <w:color w:val="231F20"/>
          <w:spacing w:val="-11"/>
        </w:rPr>
        <w:t> </w:t>
      </w:r>
      <w:r>
        <w:rPr>
          <w:color w:val="231F20"/>
        </w:rPr>
        <w:t>importancia</w:t>
      </w:r>
      <w:r>
        <w:rPr>
          <w:color w:val="231F20"/>
          <w:spacing w:val="-11"/>
        </w:rPr>
        <w:t> </w:t>
      </w:r>
      <w:r>
        <w:rPr>
          <w:color w:val="231F20"/>
        </w:rPr>
        <w:t>del</w:t>
      </w:r>
      <w:r>
        <w:rPr>
          <w:color w:val="231F20"/>
          <w:spacing w:val="-11"/>
        </w:rPr>
        <w:t> </w:t>
      </w:r>
      <w:r>
        <w:rPr>
          <w:color w:val="231F20"/>
        </w:rPr>
        <w:t>nivel</w:t>
      </w:r>
      <w:r>
        <w:rPr>
          <w:color w:val="231F20"/>
          <w:spacing w:val="-11"/>
        </w:rPr>
        <w:t> </w:t>
      </w:r>
      <w:r>
        <w:rPr>
          <w:color w:val="231F20"/>
        </w:rPr>
        <w:t>de</w:t>
      </w:r>
      <w:r>
        <w:rPr>
          <w:color w:val="231F20"/>
          <w:spacing w:val="-11"/>
        </w:rPr>
        <w:t> </w:t>
      </w:r>
      <w:r>
        <w:rPr>
          <w:color w:val="231F20"/>
        </w:rPr>
        <w:t>rendimiento</w:t>
      </w:r>
      <w:r>
        <w:rPr>
          <w:color w:val="231F20"/>
          <w:spacing w:val="-11"/>
        </w:rPr>
        <w:t> </w:t>
      </w:r>
      <w:r>
        <w:rPr>
          <w:color w:val="231F20"/>
        </w:rPr>
        <w:t>máximo como</w:t>
      </w:r>
      <w:r>
        <w:rPr>
          <w:color w:val="231F20"/>
          <w:spacing w:val="-4"/>
        </w:rPr>
        <w:t> </w:t>
      </w:r>
      <w:r>
        <w:rPr>
          <w:color w:val="231F20"/>
        </w:rPr>
        <w:t>mayor</w:t>
      </w:r>
      <w:r>
        <w:rPr>
          <w:color w:val="231F20"/>
          <w:spacing w:val="-4"/>
        </w:rPr>
        <w:t> </w:t>
      </w:r>
      <w:r>
        <w:rPr>
          <w:color w:val="231F20"/>
        </w:rPr>
        <w:t>condicionante</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DOE.</w:t>
      </w:r>
      <w:r>
        <w:rPr>
          <w:color w:val="231F20"/>
          <w:spacing w:val="-4"/>
        </w:rPr>
        <w:t> </w:t>
      </w:r>
      <w:r>
        <w:rPr>
          <w:color w:val="231F20"/>
        </w:rPr>
        <w:t>En</w:t>
      </w:r>
      <w:r>
        <w:rPr>
          <w:color w:val="231F20"/>
          <w:spacing w:val="-4"/>
        </w:rPr>
        <w:t> </w:t>
      </w:r>
      <w:r>
        <w:rPr>
          <w:color w:val="231F20"/>
        </w:rPr>
        <w:t>este</w:t>
      </w:r>
      <w:r>
        <w:rPr>
          <w:color w:val="231F20"/>
          <w:spacing w:val="-4"/>
        </w:rPr>
        <w:t> </w:t>
      </w:r>
      <w:r>
        <w:rPr>
          <w:color w:val="231F20"/>
        </w:rPr>
        <w:t>sentido,</w:t>
      </w:r>
      <w:r>
        <w:rPr>
          <w:color w:val="231F20"/>
          <w:spacing w:val="-4"/>
        </w:rPr>
        <w:t> </w:t>
      </w:r>
      <w:r>
        <w:rPr>
          <w:color w:val="231F20"/>
        </w:rPr>
        <w:t>es</w:t>
      </w:r>
      <w:r>
        <w:rPr>
          <w:color w:val="231F20"/>
          <w:spacing w:val="-4"/>
        </w:rPr>
        <w:t> </w:t>
      </w:r>
      <w:r>
        <w:rPr>
          <w:color w:val="231F20"/>
        </w:rPr>
        <w:t>más</w:t>
      </w:r>
      <w:r>
        <w:rPr>
          <w:color w:val="231F20"/>
          <w:spacing w:val="-4"/>
        </w:rPr>
        <w:t> </w:t>
      </w:r>
      <w:r>
        <w:rPr>
          <w:color w:val="231F20"/>
        </w:rPr>
        <w:t>factible</w:t>
      </w:r>
      <w:r>
        <w:rPr>
          <w:color w:val="231F20"/>
          <w:spacing w:val="-4"/>
        </w:rPr>
        <w:t> </w:t>
      </w:r>
      <w:r>
        <w:rPr>
          <w:color w:val="231F20"/>
        </w:rPr>
        <w:t>definir</w:t>
      </w:r>
      <w:r>
        <w:rPr>
          <w:color w:val="231F20"/>
          <w:spacing w:val="-4"/>
        </w:rPr>
        <w:t> </w:t>
      </w:r>
      <w:r>
        <w:rPr>
          <w:color w:val="231F20"/>
        </w:rPr>
        <w:t>acertadamente</w:t>
      </w:r>
      <w:r>
        <w:rPr>
          <w:color w:val="231F20"/>
          <w:spacing w:val="-4"/>
        </w:rPr>
        <w:t> </w:t>
      </w:r>
      <w:r>
        <w:rPr>
          <w:color w:val="231F20"/>
        </w:rPr>
        <w:t>el</w:t>
      </w:r>
      <w:r>
        <w:rPr>
          <w:color w:val="231F20"/>
          <w:spacing w:val="-4"/>
        </w:rPr>
        <w:t> </w:t>
      </w:r>
      <w:r>
        <w:rPr>
          <w:color w:val="231F20"/>
        </w:rPr>
        <w:t>ren- dimiento máximo en dosis intermedias de N (75 kg ha</w:t>
      </w:r>
      <w:r>
        <w:rPr>
          <w:color w:val="231F20"/>
          <w:position w:val="7"/>
          <w:sz w:val="12"/>
        </w:rPr>
        <w:t>-1</w:t>
      </w:r>
      <w:r>
        <w:rPr>
          <w:color w:val="231F20"/>
        </w:rPr>
        <w:t>), para este tipo de agroecosistemas. Debido principalmente a la evidencia, que nos arroja la tasa de retorno, con la que encontramos que en NN de 75 kg ha</w:t>
      </w:r>
      <w:r>
        <w:rPr>
          <w:color w:val="231F20"/>
          <w:position w:val="7"/>
          <w:sz w:val="12"/>
        </w:rPr>
        <w:t>-1  </w:t>
      </w:r>
      <w:r>
        <w:rPr>
          <w:color w:val="231F20"/>
        </w:rPr>
        <w:t>en D2 nuestra ganancia es de hasta 5.27 veces más que lo que</w:t>
      </w:r>
      <w:r>
        <w:rPr>
          <w:color w:val="231F20"/>
          <w:spacing w:val="-7"/>
        </w:rPr>
        <w:t> </w:t>
      </w:r>
      <w:r>
        <w:rPr>
          <w:color w:val="231F20"/>
        </w:rPr>
        <w:t>invertimos.</w:t>
      </w:r>
    </w:p>
    <w:p>
      <w:pPr>
        <w:spacing w:after="0" w:line="249" w:lineRule="auto"/>
        <w:jc w:val="both"/>
        <w:sectPr>
          <w:pgSz w:w="10920" w:h="13080"/>
          <w:pgMar w:header="0" w:footer="1025" w:top="420" w:bottom="1220" w:left="0" w:right="0"/>
        </w:sectPr>
      </w:pPr>
    </w:p>
    <w:p>
      <w:pPr>
        <w:pStyle w:val="BodyText"/>
        <w:rPr>
          <w:sz w:val="20"/>
        </w:rPr>
      </w:pPr>
    </w:p>
    <w:p>
      <w:pPr>
        <w:pStyle w:val="BodyText"/>
        <w:rPr>
          <w:sz w:val="20"/>
        </w:rPr>
      </w:pPr>
    </w:p>
    <w:p>
      <w:pPr>
        <w:pStyle w:val="BodyText"/>
        <w:rPr>
          <w:sz w:val="23"/>
        </w:rPr>
      </w:pPr>
    </w:p>
    <w:p>
      <w:pPr>
        <w:spacing w:line="249" w:lineRule="auto" w:before="77"/>
        <w:ind w:left="1747" w:right="1745" w:firstLine="0"/>
        <w:jc w:val="center"/>
        <w:rPr>
          <w:b/>
          <w:sz w:val="18"/>
        </w:rPr>
      </w:pPr>
      <w:r>
        <w:rPr>
          <w:b/>
          <w:color w:val="010202"/>
          <w:sz w:val="18"/>
        </w:rPr>
        <w:t>Cuadro 1. Análisis de costos y tasa de retorno marginal, para frijol y maíz, bajo diferentes densidades de población de frijol y niveles de fertilización nitrogenada</w:t>
      </w:r>
    </w:p>
    <w:p>
      <w:pPr>
        <w:pStyle w:val="BodyText"/>
        <w:spacing w:before="8"/>
        <w:rPr>
          <w:b/>
          <w:sz w:val="13"/>
        </w:rPr>
      </w:pPr>
      <w:r>
        <w:rPr/>
        <w:drawing>
          <wp:anchor distT="0" distB="0" distL="0" distR="0" allowOverlap="1" layoutInCell="1" locked="0" behindDoc="0" simplePos="0" relativeHeight="3136">
            <wp:simplePos x="0" y="0"/>
            <wp:positionH relativeFrom="page">
              <wp:posOffset>803978</wp:posOffset>
            </wp:positionH>
            <wp:positionV relativeFrom="paragraph">
              <wp:posOffset>125269</wp:posOffset>
            </wp:positionV>
            <wp:extent cx="5322093" cy="2700337"/>
            <wp:effectExtent l="0" t="0" r="0" b="0"/>
            <wp:wrapTopAndBottom/>
            <wp:docPr id="99" name="image29.jpeg" descr=""/>
            <wp:cNvGraphicFramePr>
              <a:graphicFrameLocks noChangeAspect="1"/>
            </wp:cNvGraphicFramePr>
            <a:graphic>
              <a:graphicData uri="http://schemas.openxmlformats.org/drawingml/2006/picture">
                <pic:pic>
                  <pic:nvPicPr>
                    <pic:cNvPr id="100" name="image29.jpeg"/>
                    <pic:cNvPicPr/>
                  </pic:nvPicPr>
                  <pic:blipFill>
                    <a:blip r:embed="rId47" cstate="print"/>
                    <a:stretch>
                      <a:fillRect/>
                    </a:stretch>
                  </pic:blipFill>
                  <pic:spPr>
                    <a:xfrm>
                      <a:off x="0" y="0"/>
                      <a:ext cx="5322093" cy="2700337"/>
                    </a:xfrm>
                    <a:prstGeom prst="rect">
                      <a:avLst/>
                    </a:prstGeom>
                  </pic:spPr>
                </pic:pic>
              </a:graphicData>
            </a:graphic>
          </wp:anchor>
        </w:drawing>
      </w:r>
    </w:p>
    <w:p>
      <w:pPr>
        <w:pStyle w:val="BodyText"/>
        <w:rPr>
          <w:b/>
          <w:sz w:val="18"/>
        </w:rPr>
      </w:pPr>
    </w:p>
    <w:p>
      <w:pPr>
        <w:spacing w:line="307" w:lineRule="auto" w:before="108"/>
        <w:ind w:left="1270" w:right="3535" w:firstLine="0"/>
        <w:jc w:val="left"/>
        <w:rPr>
          <w:b/>
          <w:i/>
          <w:sz w:val="17"/>
        </w:rPr>
      </w:pPr>
      <w:r>
        <w:rPr>
          <w:b/>
          <w:i/>
          <w:color w:val="231F20"/>
          <w:sz w:val="17"/>
        </w:rPr>
        <w:t>Costos de producción= incluye manejo del cultivo, pesticidas, mano de obra, transporte </w:t>
      </w:r>
      <w:r>
        <w:rPr>
          <w:b/>
          <w:i/>
          <w:color w:val="231F20"/>
          <w:sz w:val="17"/>
        </w:rPr>
        <w:t>Costos variables= Precio y cantidad de semilla y fertilizante</w:t>
      </w:r>
    </w:p>
    <w:p>
      <w:pPr>
        <w:spacing w:before="2"/>
        <w:ind w:left="1270" w:right="1279" w:firstLine="0"/>
        <w:jc w:val="left"/>
        <w:rPr>
          <w:b/>
          <w:i/>
          <w:sz w:val="17"/>
        </w:rPr>
      </w:pPr>
      <w:r>
        <w:rPr>
          <w:b/>
          <w:i/>
          <w:color w:val="231F20"/>
          <w:sz w:val="17"/>
        </w:rPr>
        <w:t>Ingreso total= es el producto del rendimiento*el precio del frijol ($15.00) y maíz ($ 5.20)</w:t>
      </w:r>
    </w:p>
    <w:p>
      <w:pPr>
        <w:spacing w:line="261" w:lineRule="auto" w:before="54"/>
        <w:ind w:left="1270" w:right="2870" w:firstLine="0"/>
        <w:jc w:val="left"/>
        <w:rPr>
          <w:sz w:val="21"/>
        </w:rPr>
      </w:pPr>
      <w:r>
        <w:rPr>
          <w:b/>
          <w:i/>
          <w:color w:val="231F20"/>
          <w:sz w:val="17"/>
        </w:rPr>
        <w:t>Ingreso</w:t>
      </w:r>
      <w:r>
        <w:rPr>
          <w:b/>
          <w:i/>
          <w:color w:val="231F20"/>
          <w:spacing w:val="-7"/>
          <w:sz w:val="17"/>
        </w:rPr>
        <w:t> </w:t>
      </w:r>
      <w:r>
        <w:rPr>
          <w:b/>
          <w:i/>
          <w:color w:val="231F20"/>
          <w:sz w:val="17"/>
        </w:rPr>
        <w:t>neto=</w:t>
      </w:r>
      <w:r>
        <w:rPr>
          <w:b/>
          <w:i/>
          <w:color w:val="231F20"/>
          <w:spacing w:val="-7"/>
          <w:sz w:val="17"/>
        </w:rPr>
        <w:t> </w:t>
      </w:r>
      <w:r>
        <w:rPr>
          <w:b/>
          <w:i/>
          <w:color w:val="231F20"/>
          <w:sz w:val="17"/>
        </w:rPr>
        <w:t>es</w:t>
      </w:r>
      <w:r>
        <w:rPr>
          <w:b/>
          <w:i/>
          <w:color w:val="231F20"/>
          <w:spacing w:val="-7"/>
          <w:sz w:val="17"/>
        </w:rPr>
        <w:t> </w:t>
      </w:r>
      <w:r>
        <w:rPr>
          <w:b/>
          <w:i/>
          <w:color w:val="231F20"/>
          <w:sz w:val="17"/>
        </w:rPr>
        <w:t>el</w:t>
      </w:r>
      <w:r>
        <w:rPr>
          <w:b/>
          <w:i/>
          <w:color w:val="231F20"/>
          <w:spacing w:val="-7"/>
          <w:sz w:val="17"/>
        </w:rPr>
        <w:t> </w:t>
      </w:r>
      <w:r>
        <w:rPr>
          <w:b/>
          <w:i/>
          <w:color w:val="231F20"/>
          <w:sz w:val="17"/>
        </w:rPr>
        <w:t>resultado</w:t>
      </w:r>
      <w:r>
        <w:rPr>
          <w:b/>
          <w:i/>
          <w:color w:val="231F20"/>
          <w:spacing w:val="-7"/>
          <w:sz w:val="17"/>
        </w:rPr>
        <w:t> </w:t>
      </w:r>
      <w:r>
        <w:rPr>
          <w:b/>
          <w:i/>
          <w:color w:val="231F20"/>
          <w:sz w:val="17"/>
        </w:rPr>
        <w:t>de</w:t>
      </w:r>
      <w:r>
        <w:rPr>
          <w:b/>
          <w:i/>
          <w:color w:val="231F20"/>
          <w:spacing w:val="-7"/>
          <w:sz w:val="17"/>
        </w:rPr>
        <w:t> </w:t>
      </w:r>
      <w:r>
        <w:rPr>
          <w:b/>
          <w:i/>
          <w:color w:val="231F20"/>
          <w:sz w:val="17"/>
        </w:rPr>
        <w:t>la</w:t>
      </w:r>
      <w:r>
        <w:rPr>
          <w:b/>
          <w:i/>
          <w:color w:val="231F20"/>
          <w:spacing w:val="-7"/>
          <w:sz w:val="17"/>
        </w:rPr>
        <w:t> </w:t>
      </w:r>
      <w:r>
        <w:rPr>
          <w:b/>
          <w:i/>
          <w:color w:val="231F20"/>
          <w:sz w:val="17"/>
        </w:rPr>
        <w:t>diferencia</w:t>
      </w:r>
      <w:r>
        <w:rPr>
          <w:b/>
          <w:i/>
          <w:color w:val="231F20"/>
          <w:spacing w:val="-7"/>
          <w:sz w:val="17"/>
        </w:rPr>
        <w:t> </w:t>
      </w:r>
      <w:r>
        <w:rPr>
          <w:b/>
          <w:i/>
          <w:color w:val="231F20"/>
          <w:sz w:val="17"/>
        </w:rPr>
        <w:t>entre</w:t>
      </w:r>
      <w:r>
        <w:rPr>
          <w:b/>
          <w:i/>
          <w:color w:val="231F20"/>
          <w:spacing w:val="-7"/>
          <w:sz w:val="17"/>
        </w:rPr>
        <w:t> </w:t>
      </w:r>
      <w:r>
        <w:rPr>
          <w:b/>
          <w:i/>
          <w:color w:val="231F20"/>
          <w:sz w:val="17"/>
        </w:rPr>
        <w:t>ingreso</w:t>
      </w:r>
      <w:r>
        <w:rPr>
          <w:b/>
          <w:i/>
          <w:color w:val="231F20"/>
          <w:spacing w:val="-7"/>
          <w:sz w:val="17"/>
        </w:rPr>
        <w:t> </w:t>
      </w:r>
      <w:r>
        <w:rPr>
          <w:b/>
          <w:i/>
          <w:color w:val="231F20"/>
          <w:sz w:val="17"/>
        </w:rPr>
        <w:t>total</w:t>
      </w:r>
      <w:r>
        <w:rPr>
          <w:b/>
          <w:i/>
          <w:color w:val="231F20"/>
          <w:spacing w:val="-7"/>
          <w:sz w:val="17"/>
        </w:rPr>
        <w:t> </w:t>
      </w:r>
      <w:r>
        <w:rPr>
          <w:b/>
          <w:i/>
          <w:color w:val="231F20"/>
          <w:sz w:val="17"/>
        </w:rPr>
        <w:t>menos</w:t>
      </w:r>
      <w:r>
        <w:rPr>
          <w:b/>
          <w:i/>
          <w:color w:val="231F20"/>
          <w:spacing w:val="-7"/>
          <w:sz w:val="17"/>
        </w:rPr>
        <w:t> </w:t>
      </w:r>
      <w:r>
        <w:rPr>
          <w:b/>
          <w:i/>
          <w:color w:val="231F20"/>
          <w:sz w:val="17"/>
        </w:rPr>
        <w:t>costos</w:t>
      </w:r>
      <w:r>
        <w:rPr>
          <w:b/>
          <w:i/>
          <w:color w:val="231F20"/>
          <w:spacing w:val="-7"/>
          <w:sz w:val="17"/>
        </w:rPr>
        <w:t> </w:t>
      </w:r>
      <w:r>
        <w:rPr>
          <w:b/>
          <w:i/>
          <w:color w:val="231F20"/>
          <w:sz w:val="17"/>
        </w:rPr>
        <w:t>de</w:t>
      </w:r>
      <w:r>
        <w:rPr>
          <w:b/>
          <w:i/>
          <w:color w:val="231F20"/>
          <w:spacing w:val="-7"/>
          <w:sz w:val="17"/>
        </w:rPr>
        <w:t> </w:t>
      </w:r>
      <w:r>
        <w:rPr>
          <w:b/>
          <w:i/>
          <w:color w:val="231F20"/>
          <w:sz w:val="17"/>
        </w:rPr>
        <w:t>producción</w:t>
      </w:r>
      <w:r>
        <w:rPr>
          <w:b/>
          <w:i/>
          <w:color w:val="231F20"/>
          <w:spacing w:val="-7"/>
          <w:sz w:val="17"/>
        </w:rPr>
        <w:t> </w:t>
      </w:r>
      <w:r>
        <w:rPr>
          <w:b/>
          <w:i/>
          <w:color w:val="231F20"/>
          <w:sz w:val="17"/>
        </w:rPr>
        <w:t>total </w:t>
      </w:r>
      <w:r>
        <w:rPr>
          <w:b/>
          <w:i/>
          <w:color w:val="231F20"/>
          <w:spacing w:val="-5"/>
          <w:sz w:val="17"/>
        </w:rPr>
        <w:t>Tasa</w:t>
      </w:r>
      <w:r>
        <w:rPr>
          <w:b/>
          <w:i/>
          <w:color w:val="231F20"/>
          <w:spacing w:val="-6"/>
          <w:sz w:val="17"/>
        </w:rPr>
        <w:t> </w:t>
      </w:r>
      <w:r>
        <w:rPr>
          <w:b/>
          <w:i/>
          <w:color w:val="231F20"/>
          <w:sz w:val="17"/>
        </w:rPr>
        <w:t>de</w:t>
      </w:r>
      <w:r>
        <w:rPr>
          <w:b/>
          <w:i/>
          <w:color w:val="231F20"/>
          <w:spacing w:val="-6"/>
          <w:sz w:val="17"/>
        </w:rPr>
        <w:t> </w:t>
      </w:r>
      <w:r>
        <w:rPr>
          <w:b/>
          <w:i/>
          <w:color w:val="231F20"/>
          <w:sz w:val="17"/>
        </w:rPr>
        <w:t>retorno</w:t>
      </w:r>
      <w:r>
        <w:rPr>
          <w:b/>
          <w:i/>
          <w:color w:val="231F20"/>
          <w:spacing w:val="-6"/>
          <w:sz w:val="17"/>
        </w:rPr>
        <w:t> </w:t>
      </w:r>
      <w:r>
        <w:rPr>
          <w:b/>
          <w:i/>
          <w:color w:val="231F20"/>
          <w:sz w:val="17"/>
        </w:rPr>
        <w:t>=</w:t>
      </w:r>
      <w:r>
        <w:rPr>
          <w:b/>
          <w:i/>
          <w:color w:val="231F20"/>
          <w:spacing w:val="-6"/>
          <w:sz w:val="17"/>
        </w:rPr>
        <w:t> </w:t>
      </w:r>
      <w:r>
        <w:rPr>
          <w:b/>
          <w:i/>
          <w:color w:val="231F20"/>
          <w:sz w:val="17"/>
        </w:rPr>
        <w:t>es</w:t>
      </w:r>
      <w:r>
        <w:rPr>
          <w:b/>
          <w:i/>
          <w:color w:val="231F20"/>
          <w:spacing w:val="-6"/>
          <w:sz w:val="17"/>
        </w:rPr>
        <w:t> </w:t>
      </w:r>
      <w:r>
        <w:rPr>
          <w:b/>
          <w:i/>
          <w:color w:val="231F20"/>
          <w:sz w:val="17"/>
        </w:rPr>
        <w:t>el</w:t>
      </w:r>
      <w:r>
        <w:rPr>
          <w:b/>
          <w:i/>
          <w:color w:val="231F20"/>
          <w:spacing w:val="-6"/>
          <w:sz w:val="17"/>
        </w:rPr>
        <w:t> </w:t>
      </w:r>
      <w:r>
        <w:rPr>
          <w:b/>
          <w:i/>
          <w:color w:val="231F20"/>
          <w:sz w:val="17"/>
        </w:rPr>
        <w:t>producto</w:t>
      </w:r>
      <w:r>
        <w:rPr>
          <w:b/>
          <w:i/>
          <w:color w:val="231F20"/>
          <w:spacing w:val="-6"/>
          <w:sz w:val="17"/>
        </w:rPr>
        <w:t> </w:t>
      </w:r>
      <w:r>
        <w:rPr>
          <w:b/>
          <w:i/>
          <w:color w:val="231F20"/>
          <w:sz w:val="17"/>
        </w:rPr>
        <w:t>de</w:t>
      </w:r>
      <w:r>
        <w:rPr>
          <w:b/>
          <w:i/>
          <w:color w:val="231F20"/>
          <w:spacing w:val="-6"/>
          <w:sz w:val="17"/>
        </w:rPr>
        <w:t> </w:t>
      </w:r>
      <w:r>
        <w:rPr>
          <w:b/>
          <w:i/>
          <w:color w:val="231F20"/>
          <w:sz w:val="17"/>
        </w:rPr>
        <w:t>dividir</w:t>
      </w:r>
      <w:r>
        <w:rPr>
          <w:b/>
          <w:i/>
          <w:color w:val="231F20"/>
          <w:spacing w:val="-6"/>
          <w:sz w:val="17"/>
        </w:rPr>
        <w:t> </w:t>
      </w:r>
      <w:r>
        <w:rPr>
          <w:b/>
          <w:i/>
          <w:color w:val="231F20"/>
          <w:sz w:val="17"/>
        </w:rPr>
        <w:t>ingreso</w:t>
      </w:r>
      <w:r>
        <w:rPr>
          <w:b/>
          <w:i/>
          <w:color w:val="231F20"/>
          <w:spacing w:val="-6"/>
          <w:sz w:val="17"/>
        </w:rPr>
        <w:t> </w:t>
      </w:r>
      <w:r>
        <w:rPr>
          <w:b/>
          <w:i/>
          <w:color w:val="231F20"/>
          <w:sz w:val="17"/>
        </w:rPr>
        <w:t>neto</w:t>
      </w:r>
      <w:r>
        <w:rPr>
          <w:b/>
          <w:i/>
          <w:color w:val="231F20"/>
          <w:spacing w:val="-6"/>
          <w:sz w:val="17"/>
        </w:rPr>
        <w:t> </w:t>
      </w:r>
      <w:r>
        <w:rPr>
          <w:b/>
          <w:i/>
          <w:color w:val="231F20"/>
          <w:sz w:val="17"/>
        </w:rPr>
        <w:t>entre</w:t>
      </w:r>
      <w:r>
        <w:rPr>
          <w:b/>
          <w:i/>
          <w:color w:val="231F20"/>
          <w:spacing w:val="-6"/>
          <w:sz w:val="17"/>
        </w:rPr>
        <w:t> </w:t>
      </w:r>
      <w:r>
        <w:rPr>
          <w:b/>
          <w:i/>
          <w:color w:val="231F20"/>
          <w:sz w:val="17"/>
        </w:rPr>
        <w:t>costo</w:t>
      </w:r>
      <w:r>
        <w:rPr>
          <w:b/>
          <w:i/>
          <w:color w:val="231F20"/>
          <w:spacing w:val="-6"/>
          <w:sz w:val="17"/>
        </w:rPr>
        <w:t> </w:t>
      </w:r>
      <w:r>
        <w:rPr>
          <w:b/>
          <w:i/>
          <w:color w:val="231F20"/>
          <w:sz w:val="17"/>
        </w:rPr>
        <w:t>total</w:t>
      </w:r>
      <w:r>
        <w:rPr>
          <w:b/>
          <w:i/>
          <w:color w:val="231F20"/>
          <w:spacing w:val="-6"/>
          <w:sz w:val="17"/>
        </w:rPr>
        <w:t> </w:t>
      </w:r>
      <w:r>
        <w:rPr>
          <w:b/>
          <w:i/>
          <w:color w:val="231F20"/>
          <w:sz w:val="17"/>
        </w:rPr>
        <w:t>de</w:t>
      </w:r>
      <w:r>
        <w:rPr>
          <w:b/>
          <w:i/>
          <w:color w:val="231F20"/>
          <w:spacing w:val="-6"/>
          <w:sz w:val="17"/>
        </w:rPr>
        <w:t> </w:t>
      </w:r>
      <w:r>
        <w:rPr>
          <w:b/>
          <w:i/>
          <w:color w:val="231F20"/>
          <w:sz w:val="17"/>
        </w:rPr>
        <w:t>producción</w:t>
      </w:r>
      <w:r>
        <w:rPr>
          <w:color w:val="231F20"/>
          <w:sz w:val="21"/>
        </w:rPr>
        <w:t>.</w:t>
      </w:r>
    </w:p>
    <w:p>
      <w:pPr>
        <w:pStyle w:val="BodyText"/>
        <w:spacing w:before="5"/>
      </w:pPr>
    </w:p>
    <w:p>
      <w:pPr>
        <w:pStyle w:val="Heading3"/>
        <w:spacing w:before="1"/>
        <w:ind w:right="5337"/>
        <w:jc w:val="left"/>
      </w:pPr>
      <w:r>
        <w:rPr>
          <w:color w:val="010202"/>
        </w:rPr>
        <w:t>Conclusiones</w:t>
      </w:r>
    </w:p>
    <w:p>
      <w:pPr>
        <w:pStyle w:val="BodyText"/>
        <w:spacing w:before="10"/>
        <w:rPr>
          <w:b/>
        </w:rPr>
      </w:pPr>
    </w:p>
    <w:p>
      <w:pPr>
        <w:pStyle w:val="BodyText"/>
        <w:ind w:left="1270"/>
      </w:pPr>
      <w:r>
        <w:rPr>
          <w:color w:val="231F20"/>
        </w:rPr>
        <w:t>Los conjuntos de datos obtenidos representan un abanico de respuestas en rendimiento a la disponi-</w:t>
      </w:r>
    </w:p>
    <w:p>
      <w:pPr>
        <w:pStyle w:val="BodyText"/>
        <w:spacing w:before="8"/>
        <w:ind w:left="1270" w:right="5337"/>
      </w:pPr>
      <w:r>
        <w:rPr>
          <w:color w:val="231F20"/>
        </w:rPr>
        <w:t>bilidad y aplicación de N.</w:t>
      </w:r>
    </w:p>
    <w:p>
      <w:pPr>
        <w:pStyle w:val="BodyText"/>
        <w:spacing w:before="4"/>
        <w:rPr>
          <w:sz w:val="23"/>
        </w:rPr>
      </w:pPr>
    </w:p>
    <w:p>
      <w:pPr>
        <w:pStyle w:val="Heading3"/>
        <w:ind w:right="5337"/>
        <w:jc w:val="left"/>
      </w:pPr>
      <w:r>
        <w:rPr>
          <w:color w:val="010202"/>
        </w:rPr>
        <w:t>Literatura citada</w:t>
      </w:r>
    </w:p>
    <w:p>
      <w:pPr>
        <w:pStyle w:val="BodyText"/>
        <w:spacing w:before="7"/>
        <w:rPr>
          <w:b/>
        </w:rPr>
      </w:pPr>
    </w:p>
    <w:p>
      <w:pPr>
        <w:spacing w:line="249" w:lineRule="auto" w:before="0"/>
        <w:ind w:left="1270" w:right="1176" w:firstLine="0"/>
        <w:jc w:val="left"/>
        <w:rPr>
          <w:sz w:val="19"/>
        </w:rPr>
      </w:pPr>
      <w:r>
        <w:rPr>
          <w:color w:val="231F20"/>
          <w:sz w:val="19"/>
        </w:rPr>
        <w:t>Álvarez, R; HS Steinbach; CR Álvarez &amp; MS Grigera. 2003. Recomendaciones para la fertilización nitrogena- da de trigo y maíz en la Pampa Ondulada. Informaciones Agronómicas del Cono Sur Nº 18.</w:t>
      </w:r>
    </w:p>
    <w:p>
      <w:pPr>
        <w:pStyle w:val="BodyText"/>
        <w:spacing w:before="10"/>
        <w:rPr>
          <w:sz w:val="19"/>
        </w:rPr>
      </w:pPr>
    </w:p>
    <w:p>
      <w:pPr>
        <w:spacing w:line="249" w:lineRule="auto" w:before="0"/>
        <w:ind w:left="1270" w:right="1168" w:firstLine="0"/>
        <w:jc w:val="left"/>
        <w:rPr>
          <w:sz w:val="19"/>
        </w:rPr>
      </w:pPr>
      <w:r>
        <w:rPr>
          <w:color w:val="231F20"/>
          <w:spacing w:val="-3"/>
          <w:sz w:val="19"/>
        </w:rPr>
        <w:t>Bray, </w:t>
      </w:r>
      <w:r>
        <w:rPr>
          <w:color w:val="231F20"/>
          <w:sz w:val="19"/>
        </w:rPr>
        <w:t>RH &amp; </w:t>
      </w:r>
      <w:r>
        <w:rPr>
          <w:color w:val="231F20"/>
          <w:spacing w:val="-9"/>
          <w:sz w:val="19"/>
        </w:rPr>
        <w:t>LT </w:t>
      </w:r>
      <w:r>
        <w:rPr>
          <w:color w:val="231F20"/>
          <w:sz w:val="19"/>
        </w:rPr>
        <w:t>Kurtz. 1945. Determination of total, organic and available forms of phosphate in soils. Soil Sci. 59: 39-45.</w:t>
      </w:r>
    </w:p>
    <w:p>
      <w:pPr>
        <w:pStyle w:val="BodyText"/>
        <w:spacing w:before="10"/>
        <w:rPr>
          <w:sz w:val="19"/>
        </w:rPr>
      </w:pPr>
    </w:p>
    <w:p>
      <w:pPr>
        <w:spacing w:line="249" w:lineRule="auto" w:before="0"/>
        <w:ind w:left="1270" w:right="1176" w:firstLine="0"/>
        <w:jc w:val="left"/>
        <w:rPr>
          <w:sz w:val="19"/>
        </w:rPr>
      </w:pPr>
      <w:r>
        <w:rPr>
          <w:color w:val="231F20"/>
          <w:sz w:val="19"/>
        </w:rPr>
        <w:t>Carcova, J; G Abeledo &amp; M López Pereira. 2004. Análisis de la generación del rendimiento: crecimiento, par- tición y componentes. En: Producción de granos. Bases funcionales para su manejo. H Satorre; RL Vence; GA</w:t>
      </w:r>
    </w:p>
    <w:p>
      <w:pPr>
        <w:spacing w:after="0" w:line="249" w:lineRule="auto"/>
        <w:jc w:val="left"/>
        <w:rPr>
          <w:sz w:val="19"/>
        </w:rPr>
        <w:sectPr>
          <w:pgSz w:w="10920" w:h="13080"/>
          <w:pgMar w:header="0" w:footer="1025" w:top="420" w:bottom="1220" w:left="0" w:right="0"/>
        </w:sectPr>
      </w:pPr>
    </w:p>
    <w:p>
      <w:pPr>
        <w:pStyle w:val="BodyText"/>
        <w:rPr>
          <w:sz w:val="20"/>
        </w:rPr>
      </w:pPr>
    </w:p>
    <w:p>
      <w:pPr>
        <w:pStyle w:val="BodyText"/>
        <w:rPr>
          <w:sz w:val="20"/>
        </w:rPr>
      </w:pPr>
    </w:p>
    <w:p>
      <w:pPr>
        <w:pStyle w:val="BodyText"/>
        <w:spacing w:before="2"/>
        <w:rPr>
          <w:sz w:val="23"/>
        </w:rPr>
      </w:pPr>
    </w:p>
    <w:p>
      <w:pPr>
        <w:spacing w:line="249" w:lineRule="auto" w:before="76"/>
        <w:ind w:left="1270" w:right="1268" w:firstLine="0"/>
        <w:jc w:val="both"/>
        <w:rPr>
          <w:sz w:val="19"/>
        </w:rPr>
      </w:pPr>
      <w:r>
        <w:rPr>
          <w:color w:val="231F20"/>
          <w:sz w:val="19"/>
        </w:rPr>
        <w:t>Slafer;</w:t>
      </w:r>
      <w:r>
        <w:rPr>
          <w:color w:val="231F20"/>
          <w:spacing w:val="-2"/>
          <w:sz w:val="19"/>
        </w:rPr>
        <w:t> </w:t>
      </w:r>
      <w:r>
        <w:rPr>
          <w:color w:val="231F20"/>
          <w:sz w:val="19"/>
        </w:rPr>
        <w:t>EB</w:t>
      </w:r>
      <w:r>
        <w:rPr>
          <w:color w:val="231F20"/>
          <w:spacing w:val="-2"/>
          <w:sz w:val="19"/>
        </w:rPr>
        <w:t> </w:t>
      </w:r>
      <w:r>
        <w:rPr>
          <w:color w:val="231F20"/>
          <w:sz w:val="19"/>
        </w:rPr>
        <w:t>de</w:t>
      </w:r>
      <w:r>
        <w:rPr>
          <w:color w:val="231F20"/>
          <w:spacing w:val="-2"/>
          <w:sz w:val="19"/>
        </w:rPr>
        <w:t> </w:t>
      </w:r>
      <w:r>
        <w:rPr>
          <w:color w:val="231F20"/>
          <w:sz w:val="19"/>
        </w:rPr>
        <w:t>la</w:t>
      </w:r>
      <w:r>
        <w:rPr>
          <w:color w:val="231F20"/>
          <w:spacing w:val="-2"/>
          <w:sz w:val="19"/>
        </w:rPr>
        <w:t> </w:t>
      </w:r>
      <w:r>
        <w:rPr>
          <w:color w:val="231F20"/>
          <w:sz w:val="19"/>
        </w:rPr>
        <w:t>Fuente;</w:t>
      </w:r>
      <w:r>
        <w:rPr>
          <w:color w:val="231F20"/>
          <w:spacing w:val="-2"/>
          <w:sz w:val="19"/>
        </w:rPr>
        <w:t> </w:t>
      </w:r>
      <w:r>
        <w:rPr>
          <w:color w:val="231F20"/>
          <w:sz w:val="19"/>
        </w:rPr>
        <w:t>DJ</w:t>
      </w:r>
      <w:r>
        <w:rPr>
          <w:color w:val="231F20"/>
          <w:spacing w:val="-2"/>
          <w:sz w:val="19"/>
        </w:rPr>
        <w:t> </w:t>
      </w:r>
      <w:r>
        <w:rPr>
          <w:color w:val="231F20"/>
          <w:sz w:val="19"/>
        </w:rPr>
        <w:t>Miralles;</w:t>
      </w:r>
      <w:r>
        <w:rPr>
          <w:color w:val="231F20"/>
          <w:spacing w:val="-2"/>
          <w:sz w:val="19"/>
        </w:rPr>
        <w:t> </w:t>
      </w:r>
      <w:r>
        <w:rPr>
          <w:color w:val="231F20"/>
          <w:sz w:val="19"/>
        </w:rPr>
        <w:t>ME</w:t>
      </w:r>
      <w:r>
        <w:rPr>
          <w:color w:val="231F20"/>
          <w:spacing w:val="-2"/>
          <w:sz w:val="19"/>
        </w:rPr>
        <w:t> </w:t>
      </w:r>
      <w:r>
        <w:rPr>
          <w:color w:val="231F20"/>
          <w:sz w:val="19"/>
        </w:rPr>
        <w:t>Otegui</w:t>
      </w:r>
      <w:r>
        <w:rPr>
          <w:color w:val="231F20"/>
          <w:spacing w:val="-2"/>
          <w:sz w:val="19"/>
        </w:rPr>
        <w:t> </w:t>
      </w:r>
      <w:r>
        <w:rPr>
          <w:color w:val="231F20"/>
          <w:sz w:val="19"/>
        </w:rPr>
        <w:t>&amp;</w:t>
      </w:r>
      <w:r>
        <w:rPr>
          <w:color w:val="231F20"/>
          <w:spacing w:val="-2"/>
          <w:sz w:val="19"/>
        </w:rPr>
        <w:t> </w:t>
      </w:r>
      <w:r>
        <w:rPr>
          <w:color w:val="231F20"/>
          <w:sz w:val="19"/>
        </w:rPr>
        <w:t>R</w:t>
      </w:r>
      <w:r>
        <w:rPr>
          <w:color w:val="231F20"/>
          <w:spacing w:val="-2"/>
          <w:sz w:val="19"/>
        </w:rPr>
        <w:t> </w:t>
      </w:r>
      <w:r>
        <w:rPr>
          <w:color w:val="231F20"/>
          <w:sz w:val="19"/>
        </w:rPr>
        <w:t>Savin</w:t>
      </w:r>
      <w:r>
        <w:rPr>
          <w:color w:val="231F20"/>
          <w:spacing w:val="-2"/>
          <w:sz w:val="19"/>
        </w:rPr>
        <w:t> </w:t>
      </w:r>
      <w:r>
        <w:rPr>
          <w:color w:val="231F20"/>
          <w:sz w:val="19"/>
        </w:rPr>
        <w:t>(eds.).</w:t>
      </w:r>
      <w:r>
        <w:rPr>
          <w:color w:val="231F20"/>
          <w:spacing w:val="-2"/>
          <w:sz w:val="19"/>
        </w:rPr>
        <w:t> </w:t>
      </w:r>
      <w:r>
        <w:rPr>
          <w:color w:val="231F20"/>
          <w:sz w:val="19"/>
        </w:rPr>
        <w:t>Editorial</w:t>
      </w:r>
      <w:r>
        <w:rPr>
          <w:color w:val="231F20"/>
          <w:spacing w:val="-2"/>
          <w:sz w:val="19"/>
        </w:rPr>
        <w:t> </w:t>
      </w:r>
      <w:r>
        <w:rPr>
          <w:color w:val="231F20"/>
          <w:sz w:val="19"/>
        </w:rPr>
        <w:t>Facultad</w:t>
      </w:r>
      <w:r>
        <w:rPr>
          <w:color w:val="231F20"/>
          <w:spacing w:val="-2"/>
          <w:sz w:val="19"/>
        </w:rPr>
        <w:t> </w:t>
      </w:r>
      <w:r>
        <w:rPr>
          <w:color w:val="231F20"/>
          <w:sz w:val="19"/>
        </w:rPr>
        <w:t>de</w:t>
      </w:r>
      <w:r>
        <w:rPr>
          <w:color w:val="231F20"/>
          <w:spacing w:val="-2"/>
          <w:sz w:val="19"/>
        </w:rPr>
        <w:t> </w:t>
      </w:r>
      <w:r>
        <w:rPr>
          <w:color w:val="231F20"/>
          <w:sz w:val="19"/>
        </w:rPr>
        <w:t>agronomía.</w:t>
      </w:r>
      <w:r>
        <w:rPr>
          <w:color w:val="231F20"/>
          <w:spacing w:val="-2"/>
          <w:sz w:val="19"/>
        </w:rPr>
        <w:t> </w:t>
      </w:r>
      <w:r>
        <w:rPr>
          <w:color w:val="231F20"/>
          <w:sz w:val="19"/>
        </w:rPr>
        <w:t>Universi- dad</w:t>
      </w:r>
      <w:r>
        <w:rPr>
          <w:color w:val="231F20"/>
          <w:spacing w:val="-1"/>
          <w:sz w:val="19"/>
        </w:rPr>
        <w:t> </w:t>
      </w:r>
      <w:r>
        <w:rPr>
          <w:color w:val="231F20"/>
          <w:sz w:val="19"/>
        </w:rPr>
        <w:t>de</w:t>
      </w:r>
      <w:r>
        <w:rPr>
          <w:color w:val="231F20"/>
          <w:spacing w:val="-1"/>
          <w:sz w:val="19"/>
        </w:rPr>
        <w:t> </w:t>
      </w:r>
      <w:r>
        <w:rPr>
          <w:color w:val="231F20"/>
          <w:sz w:val="19"/>
        </w:rPr>
        <w:t>Buenos</w:t>
      </w:r>
      <w:r>
        <w:rPr>
          <w:color w:val="231F20"/>
          <w:spacing w:val="-12"/>
          <w:sz w:val="19"/>
        </w:rPr>
        <w:t> </w:t>
      </w:r>
      <w:r>
        <w:rPr>
          <w:color w:val="231F20"/>
          <w:sz w:val="19"/>
        </w:rPr>
        <w:t>Aires.</w:t>
      </w:r>
      <w:r>
        <w:rPr>
          <w:color w:val="231F20"/>
          <w:spacing w:val="-1"/>
          <w:sz w:val="19"/>
        </w:rPr>
        <w:t> </w:t>
      </w:r>
      <w:r>
        <w:rPr>
          <w:color w:val="231F20"/>
          <w:sz w:val="19"/>
        </w:rPr>
        <w:t>Buenos</w:t>
      </w:r>
      <w:r>
        <w:rPr>
          <w:color w:val="231F20"/>
          <w:spacing w:val="-12"/>
          <w:sz w:val="19"/>
        </w:rPr>
        <w:t> </w:t>
      </w:r>
      <w:r>
        <w:rPr>
          <w:color w:val="231F20"/>
          <w:sz w:val="19"/>
        </w:rPr>
        <w:t>Aires,</w:t>
      </w:r>
      <w:r>
        <w:rPr>
          <w:color w:val="231F20"/>
          <w:spacing w:val="-12"/>
          <w:sz w:val="19"/>
        </w:rPr>
        <w:t> </w:t>
      </w:r>
      <w:r>
        <w:rPr>
          <w:color w:val="231F20"/>
          <w:sz w:val="19"/>
        </w:rPr>
        <w:t>Argentina.</w:t>
      </w:r>
      <w:r>
        <w:rPr>
          <w:color w:val="231F20"/>
          <w:spacing w:val="-1"/>
          <w:sz w:val="19"/>
        </w:rPr>
        <w:t> </w:t>
      </w:r>
      <w:r>
        <w:rPr>
          <w:color w:val="231F20"/>
          <w:sz w:val="19"/>
        </w:rPr>
        <w:t>pp.</w:t>
      </w:r>
      <w:r>
        <w:rPr>
          <w:color w:val="231F20"/>
          <w:spacing w:val="-1"/>
          <w:sz w:val="19"/>
        </w:rPr>
        <w:t> </w:t>
      </w:r>
      <w:r>
        <w:rPr>
          <w:color w:val="231F20"/>
          <w:sz w:val="19"/>
        </w:rPr>
        <w:t>75-95.</w:t>
      </w:r>
    </w:p>
    <w:p>
      <w:pPr>
        <w:pStyle w:val="BodyText"/>
        <w:spacing w:before="10"/>
        <w:rPr>
          <w:sz w:val="19"/>
        </w:rPr>
      </w:pPr>
    </w:p>
    <w:p>
      <w:pPr>
        <w:spacing w:line="249" w:lineRule="auto" w:before="0"/>
        <w:ind w:left="1270" w:right="1268" w:firstLine="0"/>
        <w:jc w:val="both"/>
        <w:rPr>
          <w:sz w:val="19"/>
        </w:rPr>
      </w:pPr>
      <w:r>
        <w:rPr>
          <w:color w:val="231F20"/>
          <w:sz w:val="19"/>
        </w:rPr>
        <w:t>Cui,</w:t>
      </w:r>
      <w:r>
        <w:rPr>
          <w:color w:val="231F20"/>
          <w:spacing w:val="-10"/>
          <w:sz w:val="19"/>
        </w:rPr>
        <w:t> </w:t>
      </w:r>
      <w:r>
        <w:rPr>
          <w:color w:val="231F20"/>
          <w:sz w:val="19"/>
        </w:rPr>
        <w:t>Z.L.,</w:t>
      </w:r>
      <w:r>
        <w:rPr>
          <w:color w:val="231F20"/>
          <w:spacing w:val="-10"/>
          <w:sz w:val="19"/>
        </w:rPr>
        <w:t> </w:t>
      </w:r>
      <w:r>
        <w:rPr>
          <w:color w:val="231F20"/>
          <w:sz w:val="19"/>
        </w:rPr>
        <w:t>Zhang,</w:t>
      </w:r>
      <w:r>
        <w:rPr>
          <w:color w:val="231F20"/>
          <w:spacing w:val="-10"/>
          <w:sz w:val="19"/>
        </w:rPr>
        <w:t> </w:t>
      </w:r>
      <w:r>
        <w:rPr>
          <w:color w:val="231F20"/>
          <w:spacing w:val="-4"/>
          <w:sz w:val="19"/>
        </w:rPr>
        <w:t>F.S.,</w:t>
      </w:r>
      <w:r>
        <w:rPr>
          <w:color w:val="231F20"/>
          <w:spacing w:val="-10"/>
          <w:sz w:val="19"/>
        </w:rPr>
        <w:t> </w:t>
      </w:r>
      <w:r>
        <w:rPr>
          <w:color w:val="231F20"/>
          <w:sz w:val="19"/>
        </w:rPr>
        <w:t>Chen,</w:t>
      </w:r>
      <w:r>
        <w:rPr>
          <w:color w:val="231F20"/>
          <w:spacing w:val="-10"/>
          <w:sz w:val="19"/>
        </w:rPr>
        <w:t> </w:t>
      </w:r>
      <w:r>
        <w:rPr>
          <w:color w:val="231F20"/>
          <w:spacing w:val="-5"/>
          <w:sz w:val="19"/>
        </w:rPr>
        <w:t>X.P.,</w:t>
      </w:r>
      <w:r>
        <w:rPr>
          <w:color w:val="231F20"/>
          <w:spacing w:val="-10"/>
          <w:sz w:val="19"/>
        </w:rPr>
        <w:t> </w:t>
      </w:r>
      <w:r>
        <w:rPr>
          <w:color w:val="231F20"/>
          <w:sz w:val="19"/>
        </w:rPr>
        <w:t>Dou,</w:t>
      </w:r>
      <w:r>
        <w:rPr>
          <w:color w:val="231F20"/>
          <w:spacing w:val="-10"/>
          <w:sz w:val="19"/>
        </w:rPr>
        <w:t> </w:t>
      </w:r>
      <w:r>
        <w:rPr>
          <w:color w:val="231F20"/>
          <w:sz w:val="19"/>
        </w:rPr>
        <w:t>Z.X.,</w:t>
      </w:r>
      <w:r>
        <w:rPr>
          <w:color w:val="231F20"/>
          <w:spacing w:val="-10"/>
          <w:sz w:val="19"/>
        </w:rPr>
        <w:t> </w:t>
      </w:r>
      <w:r>
        <w:rPr>
          <w:color w:val="231F20"/>
          <w:sz w:val="19"/>
        </w:rPr>
        <w:t>Li,</w:t>
      </w:r>
      <w:r>
        <w:rPr>
          <w:color w:val="231F20"/>
          <w:spacing w:val="-10"/>
          <w:sz w:val="19"/>
        </w:rPr>
        <w:t> </w:t>
      </w:r>
      <w:r>
        <w:rPr>
          <w:color w:val="231F20"/>
          <w:sz w:val="19"/>
        </w:rPr>
        <w:t>J.L.,</w:t>
      </w:r>
      <w:r>
        <w:rPr>
          <w:color w:val="231F20"/>
          <w:spacing w:val="-10"/>
          <w:sz w:val="19"/>
        </w:rPr>
        <w:t> </w:t>
      </w:r>
      <w:r>
        <w:rPr>
          <w:color w:val="231F20"/>
          <w:sz w:val="19"/>
        </w:rPr>
        <w:t>2010.</w:t>
      </w:r>
      <w:r>
        <w:rPr>
          <w:color w:val="231F20"/>
          <w:spacing w:val="-10"/>
          <w:sz w:val="19"/>
        </w:rPr>
        <w:t> </w:t>
      </w:r>
      <w:r>
        <w:rPr>
          <w:color w:val="231F20"/>
          <w:sz w:val="19"/>
        </w:rPr>
        <w:t>In-season</w:t>
      </w:r>
      <w:r>
        <w:rPr>
          <w:color w:val="231F20"/>
          <w:spacing w:val="-10"/>
          <w:sz w:val="19"/>
        </w:rPr>
        <w:t> </w:t>
      </w:r>
      <w:r>
        <w:rPr>
          <w:color w:val="231F20"/>
          <w:sz w:val="19"/>
        </w:rPr>
        <w:t>nitrogen</w:t>
      </w:r>
      <w:r>
        <w:rPr>
          <w:color w:val="231F20"/>
          <w:spacing w:val="-10"/>
          <w:sz w:val="19"/>
        </w:rPr>
        <w:t> </w:t>
      </w:r>
      <w:r>
        <w:rPr>
          <w:color w:val="231F20"/>
          <w:sz w:val="19"/>
        </w:rPr>
        <w:t>management</w:t>
      </w:r>
      <w:r>
        <w:rPr>
          <w:color w:val="231F20"/>
          <w:spacing w:val="-10"/>
          <w:sz w:val="19"/>
        </w:rPr>
        <w:t> </w:t>
      </w:r>
      <w:r>
        <w:rPr>
          <w:color w:val="231F20"/>
          <w:sz w:val="19"/>
        </w:rPr>
        <w:t>strategy</w:t>
      </w:r>
      <w:r>
        <w:rPr>
          <w:color w:val="231F20"/>
          <w:spacing w:val="-10"/>
          <w:sz w:val="19"/>
        </w:rPr>
        <w:t> </w:t>
      </w:r>
      <w:r>
        <w:rPr>
          <w:color w:val="231F20"/>
          <w:sz w:val="19"/>
        </w:rPr>
        <w:t>for</w:t>
      </w:r>
      <w:r>
        <w:rPr>
          <w:color w:val="231F20"/>
          <w:spacing w:val="-10"/>
          <w:sz w:val="19"/>
        </w:rPr>
        <w:t> </w:t>
      </w:r>
      <w:r>
        <w:rPr>
          <w:color w:val="231F20"/>
          <w:sz w:val="19"/>
        </w:rPr>
        <w:t>winter wheat: maximizing yields, minimizing environmental impact in an over-fertilization context. Field Crops Res. 116:</w:t>
      </w:r>
      <w:r>
        <w:rPr>
          <w:color w:val="231F20"/>
          <w:spacing w:val="-8"/>
          <w:sz w:val="19"/>
        </w:rPr>
        <w:t> </w:t>
      </w:r>
      <w:r>
        <w:rPr>
          <w:color w:val="231F20"/>
          <w:sz w:val="19"/>
        </w:rPr>
        <w:t>140–146.</w:t>
      </w:r>
    </w:p>
    <w:p>
      <w:pPr>
        <w:pStyle w:val="BodyText"/>
        <w:spacing w:before="10"/>
        <w:rPr>
          <w:sz w:val="19"/>
        </w:rPr>
      </w:pPr>
    </w:p>
    <w:p>
      <w:pPr>
        <w:spacing w:before="0"/>
        <w:ind w:left="1270" w:right="0" w:firstLine="0"/>
        <w:jc w:val="both"/>
        <w:rPr>
          <w:sz w:val="19"/>
        </w:rPr>
      </w:pPr>
      <w:r>
        <w:rPr>
          <w:color w:val="231F20"/>
          <w:sz w:val="19"/>
        </w:rPr>
        <w:t>Escalante E., J. A. 1995. Aprovechamiento del recurso agua en cultivos de secano. Agroproductividad 1: 28-32.</w:t>
      </w:r>
    </w:p>
    <w:p>
      <w:pPr>
        <w:pStyle w:val="BodyText"/>
        <w:spacing w:before="7"/>
        <w:rPr>
          <w:sz w:val="20"/>
        </w:rPr>
      </w:pPr>
    </w:p>
    <w:p>
      <w:pPr>
        <w:spacing w:line="249" w:lineRule="auto" w:before="0"/>
        <w:ind w:left="1270" w:right="1268" w:firstLine="0"/>
        <w:jc w:val="both"/>
        <w:rPr>
          <w:sz w:val="19"/>
        </w:rPr>
      </w:pPr>
      <w:r>
        <w:rPr>
          <w:color w:val="231F20"/>
          <w:sz w:val="19"/>
        </w:rPr>
        <w:t>Escalante-Estrada, J.A. 1999. Área foliar, senescencia y rendimiento del girasol de humedad residual en fun- ción del nitrógeno. Terra 17: 149-157.</w:t>
      </w:r>
    </w:p>
    <w:p>
      <w:pPr>
        <w:pStyle w:val="BodyText"/>
        <w:spacing w:before="10"/>
        <w:rPr>
          <w:sz w:val="19"/>
        </w:rPr>
      </w:pPr>
    </w:p>
    <w:p>
      <w:pPr>
        <w:spacing w:line="249" w:lineRule="auto" w:before="0"/>
        <w:ind w:left="1270" w:right="1268" w:firstLine="0"/>
        <w:jc w:val="both"/>
        <w:rPr>
          <w:sz w:val="19"/>
        </w:rPr>
      </w:pPr>
      <w:r>
        <w:rPr>
          <w:color w:val="231F20"/>
          <w:sz w:val="19"/>
        </w:rPr>
        <w:t>Kho M., R. 2000. On crop production and the balance of available resources. Agriculture, Ecosystems and Environment 80: 71–85.</w:t>
      </w:r>
    </w:p>
    <w:p>
      <w:pPr>
        <w:pStyle w:val="BodyText"/>
        <w:spacing w:before="10"/>
        <w:rPr>
          <w:sz w:val="19"/>
        </w:rPr>
      </w:pPr>
    </w:p>
    <w:p>
      <w:pPr>
        <w:spacing w:before="0"/>
        <w:ind w:left="1270" w:right="0" w:firstLine="0"/>
        <w:jc w:val="both"/>
        <w:rPr>
          <w:sz w:val="19"/>
        </w:rPr>
      </w:pPr>
      <w:r>
        <w:rPr>
          <w:color w:val="231F20"/>
          <w:sz w:val="19"/>
        </w:rPr>
        <w:t>Li L, Sun JH, Zhang FS, Li XL, Yang SC, Rengel Z. 2006. Wheat/maize or wheat/soybean strip intercropping</w:t>
      </w:r>
    </w:p>
    <w:p>
      <w:pPr>
        <w:spacing w:before="9"/>
        <w:ind w:left="1270" w:right="0" w:firstLine="0"/>
        <w:jc w:val="both"/>
        <w:rPr>
          <w:sz w:val="19"/>
        </w:rPr>
      </w:pPr>
      <w:r>
        <w:rPr>
          <w:color w:val="231F20"/>
          <w:sz w:val="19"/>
        </w:rPr>
        <w:t>I. Yield advantage and interspecific interactions on nutrients. Field Crop Res. 71:123-137.</w:t>
      </w:r>
    </w:p>
    <w:p>
      <w:pPr>
        <w:pStyle w:val="BodyText"/>
        <w:spacing w:before="7"/>
        <w:rPr>
          <w:sz w:val="20"/>
        </w:rPr>
      </w:pPr>
    </w:p>
    <w:p>
      <w:pPr>
        <w:spacing w:line="249" w:lineRule="auto" w:before="0"/>
        <w:ind w:left="1270" w:right="1268" w:firstLine="0"/>
        <w:jc w:val="both"/>
        <w:rPr>
          <w:sz w:val="19"/>
        </w:rPr>
      </w:pPr>
      <w:r>
        <w:rPr>
          <w:color w:val="231F20"/>
          <w:sz w:val="19"/>
        </w:rPr>
        <w:t>Lithourgidis AS, Vasilakoglou IB, Dhima </w:t>
      </w:r>
      <w:r>
        <w:rPr>
          <w:color w:val="231F20"/>
          <w:spacing w:val="-9"/>
          <w:sz w:val="19"/>
        </w:rPr>
        <w:t>KV, </w:t>
      </w:r>
      <w:r>
        <w:rPr>
          <w:color w:val="231F20"/>
          <w:sz w:val="19"/>
        </w:rPr>
        <w:t>Dordas CA, Yiakoulaki MD. 2006. Forage yield and quality of common vetch mixtures with oat and triticale in two seeding ratios. Field Crop Res. 99: 106-113.</w:t>
      </w:r>
    </w:p>
    <w:p>
      <w:pPr>
        <w:pStyle w:val="BodyText"/>
        <w:spacing w:before="10"/>
        <w:rPr>
          <w:sz w:val="19"/>
        </w:rPr>
      </w:pPr>
    </w:p>
    <w:p>
      <w:pPr>
        <w:spacing w:line="249" w:lineRule="auto" w:before="0"/>
        <w:ind w:left="1270" w:right="1268" w:firstLine="0"/>
        <w:jc w:val="both"/>
        <w:rPr>
          <w:sz w:val="19"/>
        </w:rPr>
      </w:pPr>
      <w:r>
        <w:rPr>
          <w:color w:val="231F20"/>
          <w:sz w:val="19"/>
        </w:rPr>
        <w:t>Massignam, A.M., Chapman, S.C., Hammer, G.L., Fukai, S. 2009. Physiological determinants of maize and sunflower grain yield as affected by nitrogen supply. Field Crop Res. 113: 256-267.</w:t>
      </w:r>
    </w:p>
    <w:p>
      <w:pPr>
        <w:pStyle w:val="BodyText"/>
        <w:spacing w:before="10"/>
        <w:rPr>
          <w:sz w:val="19"/>
        </w:rPr>
      </w:pPr>
    </w:p>
    <w:p>
      <w:pPr>
        <w:spacing w:line="249" w:lineRule="auto" w:before="0"/>
        <w:ind w:left="1270" w:right="1268" w:firstLine="0"/>
        <w:jc w:val="both"/>
        <w:rPr>
          <w:sz w:val="19"/>
        </w:rPr>
      </w:pPr>
      <w:r>
        <w:rPr>
          <w:color w:val="231F20"/>
          <w:sz w:val="19"/>
        </w:rPr>
        <w:t>Morales-Rosales, E. J., J. A. Escalante-Estrada. 2007. Eficiencia en el uso de los insumos agrícolas en la pro- ducción de biomasa y el rendimiento del sistema combinado girasol-frijol en función del nitrógeno. Terra Latinoamericana 25(4): 373-381.</w:t>
      </w:r>
    </w:p>
    <w:p>
      <w:pPr>
        <w:pStyle w:val="BodyText"/>
        <w:spacing w:before="10"/>
        <w:rPr>
          <w:sz w:val="19"/>
        </w:rPr>
      </w:pPr>
    </w:p>
    <w:p>
      <w:pPr>
        <w:spacing w:before="0"/>
        <w:ind w:left="1270" w:right="0" w:firstLine="0"/>
        <w:jc w:val="both"/>
        <w:rPr>
          <w:sz w:val="19"/>
        </w:rPr>
      </w:pPr>
      <w:r>
        <w:rPr>
          <w:color w:val="231F20"/>
          <w:sz w:val="19"/>
        </w:rPr>
        <w:t>Schneider-Uwe A., Petr H., Erwin S., Hugo V., Aline M., Michael O., Hannes B., Rastislav S., Juraj B., Timm</w:t>
      </w:r>
    </w:p>
    <w:p>
      <w:pPr>
        <w:spacing w:before="9"/>
        <w:ind w:left="1270" w:right="0" w:firstLine="0"/>
        <w:jc w:val="both"/>
        <w:rPr>
          <w:sz w:val="19"/>
        </w:rPr>
      </w:pPr>
      <w:r>
        <w:rPr>
          <w:color w:val="231F20"/>
          <w:sz w:val="19"/>
        </w:rPr>
        <w:t>S. 2011. Impacts of population growth, economic development, and technical change on global food production</w:t>
      </w:r>
    </w:p>
    <w:p>
      <w:pPr>
        <w:spacing w:before="9"/>
        <w:ind w:left="1270" w:right="0" w:firstLine="0"/>
        <w:jc w:val="both"/>
        <w:rPr>
          <w:sz w:val="19"/>
        </w:rPr>
      </w:pPr>
      <w:r>
        <w:rPr>
          <w:color w:val="231F20"/>
          <w:sz w:val="19"/>
        </w:rPr>
        <w:t>and consumption. Agricultural Systems 104(2): 204–215.</w:t>
      </w:r>
    </w:p>
    <w:p>
      <w:pPr>
        <w:pStyle w:val="BodyText"/>
        <w:spacing w:before="7"/>
        <w:rPr>
          <w:sz w:val="20"/>
        </w:rPr>
      </w:pPr>
    </w:p>
    <w:p>
      <w:pPr>
        <w:spacing w:line="249" w:lineRule="auto" w:before="0"/>
        <w:ind w:left="1270" w:right="1268" w:firstLine="0"/>
        <w:jc w:val="both"/>
        <w:rPr>
          <w:sz w:val="19"/>
        </w:rPr>
      </w:pPr>
      <w:r>
        <w:rPr>
          <w:color w:val="231F20"/>
          <w:sz w:val="19"/>
        </w:rPr>
        <w:t>Thornley</w:t>
      </w:r>
      <w:r>
        <w:rPr>
          <w:color w:val="231F20"/>
          <w:spacing w:val="-3"/>
          <w:sz w:val="19"/>
        </w:rPr>
        <w:t> </w:t>
      </w:r>
      <w:r>
        <w:rPr>
          <w:color w:val="231F20"/>
          <w:sz w:val="19"/>
        </w:rPr>
        <w:t>J</w:t>
      </w:r>
      <w:r>
        <w:rPr>
          <w:color w:val="231F20"/>
          <w:spacing w:val="-3"/>
          <w:sz w:val="19"/>
        </w:rPr>
        <w:t> </w:t>
      </w:r>
      <w:r>
        <w:rPr>
          <w:color w:val="231F20"/>
          <w:sz w:val="19"/>
        </w:rPr>
        <w:t>.H.M.</w:t>
      </w:r>
      <w:r>
        <w:rPr>
          <w:color w:val="231F20"/>
          <w:spacing w:val="-3"/>
          <w:sz w:val="19"/>
        </w:rPr>
        <w:t> </w:t>
      </w:r>
      <w:r>
        <w:rPr>
          <w:color w:val="231F20"/>
          <w:sz w:val="19"/>
        </w:rPr>
        <w:t>and</w:t>
      </w:r>
      <w:r>
        <w:rPr>
          <w:color w:val="231F20"/>
          <w:spacing w:val="-3"/>
          <w:sz w:val="19"/>
        </w:rPr>
        <w:t> </w:t>
      </w:r>
      <w:r>
        <w:rPr>
          <w:color w:val="231F20"/>
          <w:sz w:val="19"/>
        </w:rPr>
        <w:t>I.R.</w:t>
      </w:r>
      <w:r>
        <w:rPr>
          <w:color w:val="231F20"/>
          <w:spacing w:val="-3"/>
          <w:sz w:val="19"/>
        </w:rPr>
        <w:t> </w:t>
      </w:r>
      <w:r>
        <w:rPr>
          <w:color w:val="231F20"/>
          <w:sz w:val="19"/>
        </w:rPr>
        <w:t>Johnson.</w:t>
      </w:r>
      <w:r>
        <w:rPr>
          <w:color w:val="231F20"/>
          <w:spacing w:val="-3"/>
          <w:sz w:val="19"/>
        </w:rPr>
        <w:t> </w:t>
      </w:r>
      <w:r>
        <w:rPr>
          <w:color w:val="231F20"/>
          <w:sz w:val="19"/>
        </w:rPr>
        <w:t>2000.</w:t>
      </w:r>
      <w:r>
        <w:rPr>
          <w:color w:val="231F20"/>
          <w:spacing w:val="-3"/>
          <w:sz w:val="19"/>
        </w:rPr>
        <w:t> </w:t>
      </w:r>
      <w:r>
        <w:rPr>
          <w:color w:val="231F20"/>
          <w:sz w:val="19"/>
        </w:rPr>
        <w:t>Plant</w:t>
      </w:r>
      <w:r>
        <w:rPr>
          <w:color w:val="231F20"/>
          <w:spacing w:val="-3"/>
          <w:sz w:val="19"/>
        </w:rPr>
        <w:t> </w:t>
      </w:r>
      <w:r>
        <w:rPr>
          <w:color w:val="231F20"/>
          <w:sz w:val="19"/>
        </w:rPr>
        <w:t>and</w:t>
      </w:r>
      <w:r>
        <w:rPr>
          <w:color w:val="231F20"/>
          <w:spacing w:val="-3"/>
          <w:sz w:val="19"/>
        </w:rPr>
        <w:t> </w:t>
      </w:r>
      <w:r>
        <w:rPr>
          <w:color w:val="231F20"/>
          <w:sz w:val="19"/>
        </w:rPr>
        <w:t>crop</w:t>
      </w:r>
      <w:r>
        <w:rPr>
          <w:color w:val="231F20"/>
          <w:spacing w:val="-3"/>
          <w:sz w:val="19"/>
        </w:rPr>
        <w:t> </w:t>
      </w:r>
      <w:r>
        <w:rPr>
          <w:color w:val="231F20"/>
          <w:sz w:val="19"/>
        </w:rPr>
        <w:t>modeling.</w:t>
      </w:r>
      <w:r>
        <w:rPr>
          <w:color w:val="231F20"/>
          <w:spacing w:val="-14"/>
          <w:sz w:val="19"/>
        </w:rPr>
        <w:t> </w:t>
      </w:r>
      <w:r>
        <w:rPr>
          <w:color w:val="231F20"/>
          <w:sz w:val="19"/>
        </w:rPr>
        <w:t>A</w:t>
      </w:r>
      <w:r>
        <w:rPr>
          <w:color w:val="231F20"/>
          <w:spacing w:val="-14"/>
          <w:sz w:val="19"/>
        </w:rPr>
        <w:t> </w:t>
      </w:r>
      <w:r>
        <w:rPr>
          <w:color w:val="231F20"/>
          <w:sz w:val="19"/>
        </w:rPr>
        <w:t>mathematical</w:t>
      </w:r>
      <w:r>
        <w:rPr>
          <w:color w:val="231F20"/>
          <w:spacing w:val="-4"/>
          <w:sz w:val="19"/>
        </w:rPr>
        <w:t> </w:t>
      </w:r>
      <w:r>
        <w:rPr>
          <w:color w:val="231F20"/>
          <w:sz w:val="19"/>
        </w:rPr>
        <w:t>approach</w:t>
      </w:r>
      <w:r>
        <w:rPr>
          <w:color w:val="231F20"/>
          <w:spacing w:val="-3"/>
          <w:sz w:val="19"/>
        </w:rPr>
        <w:t> </w:t>
      </w:r>
      <w:r>
        <w:rPr>
          <w:color w:val="231F20"/>
          <w:sz w:val="19"/>
        </w:rPr>
        <w:t>to</w:t>
      </w:r>
      <w:r>
        <w:rPr>
          <w:color w:val="231F20"/>
          <w:spacing w:val="-3"/>
          <w:sz w:val="19"/>
        </w:rPr>
        <w:t> </w:t>
      </w:r>
      <w:r>
        <w:rPr>
          <w:color w:val="231F20"/>
          <w:sz w:val="19"/>
        </w:rPr>
        <w:t>plant</w:t>
      </w:r>
      <w:r>
        <w:rPr>
          <w:color w:val="231F20"/>
          <w:spacing w:val="-3"/>
          <w:sz w:val="19"/>
        </w:rPr>
        <w:t> </w:t>
      </w:r>
      <w:r>
        <w:rPr>
          <w:color w:val="231F20"/>
          <w:sz w:val="19"/>
        </w:rPr>
        <w:t>and</w:t>
      </w:r>
      <w:r>
        <w:rPr>
          <w:color w:val="231F20"/>
          <w:spacing w:val="-3"/>
          <w:sz w:val="19"/>
        </w:rPr>
        <w:t> </w:t>
      </w:r>
      <w:r>
        <w:rPr>
          <w:color w:val="231F20"/>
          <w:sz w:val="19"/>
        </w:rPr>
        <w:t>crop phsyology.The Blackbum Press.New  Jersey.USA..669</w:t>
      </w:r>
      <w:r>
        <w:rPr>
          <w:color w:val="231F20"/>
          <w:spacing w:val="-26"/>
          <w:sz w:val="19"/>
        </w:rPr>
        <w:t> </w:t>
      </w:r>
      <w:r>
        <w:rPr>
          <w:color w:val="231F20"/>
          <w:sz w:val="19"/>
        </w:rPr>
        <w:t>p.</w:t>
      </w:r>
    </w:p>
    <w:p>
      <w:pPr>
        <w:spacing w:after="0" w:line="249" w:lineRule="auto"/>
        <w:jc w:val="both"/>
        <w:rPr>
          <w:sz w:val="19"/>
        </w:rPr>
        <w:sectPr>
          <w:pgSz w:w="10920" w:h="13080"/>
          <w:pgMar w:header="0" w:footer="1025" w:top="420" w:bottom="1220" w:left="0" w:right="0"/>
        </w:sectPr>
      </w:pPr>
    </w:p>
    <w:p>
      <w:pPr>
        <w:pStyle w:val="BodyText"/>
        <w:rPr>
          <w:sz w:val="20"/>
        </w:rPr>
      </w:pPr>
    </w:p>
    <w:p>
      <w:pPr>
        <w:pStyle w:val="BodyText"/>
        <w:rPr>
          <w:sz w:val="20"/>
        </w:rPr>
      </w:pPr>
    </w:p>
    <w:p>
      <w:pPr>
        <w:pStyle w:val="BodyText"/>
        <w:spacing w:before="6"/>
        <w:rPr>
          <w:sz w:val="23"/>
        </w:rPr>
      </w:pPr>
    </w:p>
    <w:p>
      <w:pPr>
        <w:spacing w:line="247" w:lineRule="auto" w:before="69"/>
        <w:ind w:left="1708" w:right="1706" w:firstLine="0"/>
        <w:jc w:val="center"/>
        <w:rPr>
          <w:rFonts w:ascii="Trebuchet MS" w:hAnsi="Trebuchet MS"/>
          <w:i/>
          <w:sz w:val="14"/>
        </w:rPr>
      </w:pPr>
      <w:r>
        <w:rPr>
          <w:rFonts w:ascii="Trebuchet MS" w:hAnsi="Trebuchet MS"/>
          <w:i/>
          <w:color w:val="010202"/>
          <w:spacing w:val="-7"/>
          <w:sz w:val="24"/>
        </w:rPr>
        <w:t>Yasmani </w:t>
      </w:r>
      <w:r>
        <w:rPr>
          <w:rFonts w:ascii="Trebuchet MS" w:hAnsi="Trebuchet MS"/>
          <w:i/>
          <w:color w:val="010202"/>
          <w:spacing w:val="-3"/>
          <w:sz w:val="24"/>
        </w:rPr>
        <w:t>Rafael Arenas Julio</w:t>
      </w:r>
      <w:r>
        <w:rPr>
          <w:rFonts w:ascii="Trebuchet MS" w:hAnsi="Trebuchet MS"/>
          <w:i/>
          <w:color w:val="010202"/>
          <w:spacing w:val="-3"/>
          <w:position w:val="8"/>
          <w:sz w:val="14"/>
        </w:rPr>
        <w:t>1</w:t>
      </w:r>
      <w:r>
        <w:rPr>
          <w:rFonts w:ascii="Trebuchet MS" w:hAnsi="Trebuchet MS"/>
          <w:i/>
          <w:color w:val="010202"/>
          <w:spacing w:val="-3"/>
          <w:sz w:val="24"/>
        </w:rPr>
        <w:t>; José Alberto Salvador Escalante Estrada</w:t>
      </w:r>
      <w:r>
        <w:rPr>
          <w:rFonts w:ascii="Trebuchet MS" w:hAnsi="Trebuchet MS"/>
          <w:i/>
          <w:color w:val="010202"/>
          <w:spacing w:val="-3"/>
          <w:position w:val="8"/>
          <w:sz w:val="14"/>
        </w:rPr>
        <w:t>1 </w:t>
      </w:r>
      <w:r>
        <w:rPr>
          <w:rFonts w:ascii="Trebuchet MS" w:hAnsi="Trebuchet MS"/>
          <w:i/>
          <w:color w:val="010202"/>
          <w:sz w:val="24"/>
        </w:rPr>
        <w:t>y </w:t>
      </w:r>
      <w:r>
        <w:rPr>
          <w:rFonts w:ascii="Trebuchet MS" w:hAnsi="Trebuchet MS"/>
          <w:i/>
          <w:color w:val="010202"/>
          <w:spacing w:val="-3"/>
          <w:sz w:val="24"/>
        </w:rPr>
        <w:t>María </w:t>
      </w:r>
      <w:r>
        <w:rPr>
          <w:rFonts w:ascii="Trebuchet MS" w:hAnsi="Trebuchet MS"/>
          <w:i/>
          <w:color w:val="010202"/>
          <w:spacing w:val="-8"/>
          <w:sz w:val="24"/>
        </w:rPr>
        <w:t>Teresa </w:t>
      </w:r>
      <w:r>
        <w:rPr>
          <w:rFonts w:ascii="Trebuchet MS" w:hAnsi="Trebuchet MS"/>
          <w:i/>
          <w:color w:val="010202"/>
          <w:spacing w:val="-3"/>
          <w:sz w:val="24"/>
        </w:rPr>
        <w:t>Rodríguez González</w:t>
      </w:r>
      <w:r>
        <w:rPr>
          <w:rFonts w:ascii="Trebuchet MS" w:hAnsi="Trebuchet MS"/>
          <w:i/>
          <w:color w:val="010202"/>
          <w:spacing w:val="-3"/>
          <w:position w:val="8"/>
          <w:sz w:val="14"/>
        </w:rPr>
        <w:t>1</w:t>
      </w: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spacing w:before="4"/>
        <w:rPr>
          <w:rFonts w:ascii="Trebuchet MS"/>
          <w:i/>
          <w:sz w:val="32"/>
        </w:rPr>
      </w:pPr>
    </w:p>
    <w:p>
      <w:pPr>
        <w:pStyle w:val="Heading1"/>
        <w:spacing w:line="247" w:lineRule="auto"/>
        <w:ind w:left="1736" w:right="1746"/>
      </w:pPr>
      <w:bookmarkStart w:name="_TOC_250007" w:id="4"/>
      <w:r>
        <w:rPr>
          <w:color w:val="010202"/>
          <w:spacing w:val="-10"/>
        </w:rPr>
        <w:t>BIOMASA</w:t>
      </w:r>
      <w:r>
        <w:rPr>
          <w:color w:val="010202"/>
          <w:spacing w:val="-47"/>
        </w:rPr>
        <w:t> </w:t>
      </w:r>
      <w:r>
        <w:rPr>
          <w:color w:val="010202"/>
        </w:rPr>
        <w:t>Y</w:t>
      </w:r>
      <w:r>
        <w:rPr>
          <w:color w:val="010202"/>
          <w:spacing w:val="-27"/>
        </w:rPr>
        <w:t> </w:t>
      </w:r>
      <w:r>
        <w:rPr>
          <w:color w:val="010202"/>
          <w:spacing w:val="-12"/>
        </w:rPr>
        <w:t>RENDIMIENTO</w:t>
      </w:r>
      <w:r>
        <w:rPr>
          <w:color w:val="010202"/>
          <w:spacing w:val="-20"/>
        </w:rPr>
        <w:t> </w:t>
      </w:r>
      <w:r>
        <w:rPr>
          <w:color w:val="010202"/>
          <w:spacing w:val="-6"/>
        </w:rPr>
        <w:t>DE</w:t>
      </w:r>
      <w:r>
        <w:rPr>
          <w:color w:val="010202"/>
          <w:spacing w:val="-20"/>
        </w:rPr>
        <w:t> </w:t>
      </w:r>
      <w:r>
        <w:rPr>
          <w:color w:val="010202"/>
          <w:spacing w:val="-10"/>
        </w:rPr>
        <w:t>GIRASOL</w:t>
      </w:r>
      <w:r>
        <w:rPr>
          <w:color w:val="010202"/>
          <w:spacing w:val="-33"/>
        </w:rPr>
        <w:t> </w:t>
      </w:r>
      <w:r>
        <w:rPr>
          <w:color w:val="010202"/>
          <w:spacing w:val="-11"/>
        </w:rPr>
        <w:t>EN </w:t>
      </w:r>
      <w:r>
        <w:rPr>
          <w:color w:val="010202"/>
          <w:spacing w:val="-10"/>
        </w:rPr>
        <w:t>FUNCIÓN</w:t>
      </w:r>
      <w:r>
        <w:rPr>
          <w:color w:val="010202"/>
          <w:spacing w:val="-38"/>
        </w:rPr>
        <w:t> </w:t>
      </w:r>
      <w:r>
        <w:rPr>
          <w:color w:val="010202"/>
        </w:rPr>
        <w:t>A</w:t>
      </w:r>
      <w:r>
        <w:rPr>
          <w:color w:val="010202"/>
          <w:spacing w:val="-40"/>
        </w:rPr>
        <w:t> </w:t>
      </w:r>
      <w:r>
        <w:rPr>
          <w:color w:val="010202"/>
          <w:spacing w:val="-10"/>
        </w:rPr>
        <w:t>NIVELES</w:t>
      </w:r>
      <w:r>
        <w:rPr>
          <w:color w:val="010202"/>
          <w:spacing w:val="-17"/>
        </w:rPr>
        <w:t> </w:t>
      </w:r>
      <w:r>
        <w:rPr>
          <w:color w:val="010202"/>
          <w:spacing w:val="-6"/>
        </w:rPr>
        <w:t>DE</w:t>
      </w:r>
      <w:r>
        <w:rPr>
          <w:color w:val="010202"/>
          <w:spacing w:val="-20"/>
        </w:rPr>
        <w:t> </w:t>
      </w:r>
      <w:bookmarkEnd w:id="4"/>
      <w:r>
        <w:rPr>
          <w:color w:val="010202"/>
          <w:spacing w:val="-11"/>
        </w:rPr>
        <w:t>NITRÓGENO</w:t>
      </w:r>
    </w:p>
    <w:p>
      <w:pPr>
        <w:pStyle w:val="BodyText"/>
        <w:rPr>
          <w:rFonts w:ascii="Trebuchet MS"/>
          <w:b/>
          <w:sz w:val="36"/>
        </w:rPr>
      </w:pPr>
    </w:p>
    <w:p>
      <w:pPr>
        <w:pStyle w:val="BodyText"/>
        <w:rPr>
          <w:rFonts w:ascii="Trebuchet MS"/>
          <w:b/>
          <w:sz w:val="36"/>
        </w:rPr>
      </w:pPr>
    </w:p>
    <w:p>
      <w:pPr>
        <w:pStyle w:val="BodyText"/>
        <w:rPr>
          <w:rFonts w:ascii="Trebuchet MS"/>
          <w:b/>
          <w:sz w:val="36"/>
        </w:rPr>
      </w:pPr>
    </w:p>
    <w:p>
      <w:pPr>
        <w:pStyle w:val="BodyText"/>
        <w:spacing w:before="6"/>
        <w:rPr>
          <w:rFonts w:ascii="Trebuchet MS"/>
          <w:b/>
          <w:sz w:val="38"/>
        </w:rPr>
      </w:pPr>
    </w:p>
    <w:p>
      <w:pPr>
        <w:spacing w:before="0"/>
        <w:ind w:left="1270" w:right="0" w:firstLine="0"/>
        <w:jc w:val="both"/>
        <w:rPr>
          <w:b/>
          <w:sz w:val="24"/>
        </w:rPr>
      </w:pPr>
      <w:r>
        <w:rPr>
          <w:b/>
          <w:color w:val="010202"/>
          <w:sz w:val="24"/>
        </w:rPr>
        <w:t>Introducción</w:t>
      </w:r>
    </w:p>
    <w:p>
      <w:pPr>
        <w:pStyle w:val="BodyText"/>
        <w:spacing w:before="10"/>
        <w:rPr>
          <w:b/>
        </w:rPr>
      </w:pPr>
    </w:p>
    <w:p>
      <w:pPr>
        <w:pStyle w:val="BodyText"/>
        <w:spacing w:line="247" w:lineRule="auto"/>
        <w:ind w:left="1270" w:right="1267"/>
        <w:jc w:val="both"/>
      </w:pPr>
      <w:r>
        <w:rPr>
          <w:color w:val="231F20"/>
        </w:rPr>
        <w:t>El</w:t>
      </w:r>
      <w:r>
        <w:rPr>
          <w:color w:val="231F20"/>
          <w:spacing w:val="-4"/>
        </w:rPr>
        <w:t> </w:t>
      </w:r>
      <w:r>
        <w:rPr>
          <w:color w:val="231F20"/>
        </w:rPr>
        <w:t>girasol</w:t>
      </w:r>
      <w:r>
        <w:rPr>
          <w:color w:val="231F20"/>
          <w:spacing w:val="-4"/>
        </w:rPr>
        <w:t> </w:t>
      </w:r>
      <w:r>
        <w:rPr>
          <w:color w:val="231F20"/>
        </w:rPr>
        <w:t>(</w:t>
      </w:r>
      <w:r>
        <w:rPr>
          <w:i/>
          <w:color w:val="231F20"/>
        </w:rPr>
        <w:t>Helianthusannuus</w:t>
      </w:r>
      <w:r>
        <w:rPr>
          <w:i/>
          <w:color w:val="231F20"/>
          <w:spacing w:val="-4"/>
        </w:rPr>
        <w:t> </w:t>
      </w:r>
      <w:r>
        <w:rPr>
          <w:color w:val="231F20"/>
        </w:rPr>
        <w:t>L.)</w:t>
      </w:r>
      <w:r>
        <w:rPr>
          <w:color w:val="231F20"/>
          <w:spacing w:val="-4"/>
        </w:rPr>
        <w:t> </w:t>
      </w:r>
      <w:r>
        <w:rPr>
          <w:color w:val="231F20"/>
        </w:rPr>
        <w:t>es</w:t>
      </w:r>
      <w:r>
        <w:rPr>
          <w:color w:val="231F20"/>
          <w:spacing w:val="-4"/>
        </w:rPr>
        <w:t> </w:t>
      </w:r>
      <w:r>
        <w:rPr>
          <w:color w:val="231F20"/>
        </w:rPr>
        <w:t>uno</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principales</w:t>
      </w:r>
      <w:r>
        <w:rPr>
          <w:color w:val="231F20"/>
          <w:spacing w:val="-4"/>
        </w:rPr>
        <w:t> </w:t>
      </w:r>
      <w:r>
        <w:rPr>
          <w:color w:val="231F20"/>
        </w:rPr>
        <w:t>cultivos</w:t>
      </w:r>
      <w:r>
        <w:rPr>
          <w:color w:val="231F20"/>
          <w:spacing w:val="-5"/>
        </w:rPr>
        <w:t> </w:t>
      </w:r>
      <w:r>
        <w:rPr>
          <w:color w:val="231F20"/>
        </w:rPr>
        <w:t>anuales</w:t>
      </w:r>
      <w:r>
        <w:rPr>
          <w:color w:val="231F20"/>
          <w:spacing w:val="-5"/>
        </w:rPr>
        <w:t> </w:t>
      </w:r>
      <w:r>
        <w:rPr>
          <w:color w:val="231F20"/>
        </w:rPr>
        <w:t>utilizados</w:t>
      </w:r>
      <w:r>
        <w:rPr>
          <w:color w:val="231F20"/>
          <w:spacing w:val="-4"/>
        </w:rPr>
        <w:t> </w:t>
      </w:r>
      <w:r>
        <w:rPr>
          <w:color w:val="231F20"/>
        </w:rPr>
        <w:t>para</w:t>
      </w:r>
      <w:r>
        <w:rPr>
          <w:color w:val="231F20"/>
          <w:spacing w:val="-4"/>
        </w:rPr>
        <w:t> </w:t>
      </w:r>
      <w:r>
        <w:rPr>
          <w:color w:val="231F20"/>
        </w:rPr>
        <w:t>la</w:t>
      </w:r>
      <w:r>
        <w:rPr>
          <w:color w:val="231F20"/>
          <w:spacing w:val="-4"/>
        </w:rPr>
        <w:t> </w:t>
      </w:r>
      <w:r>
        <w:rPr>
          <w:color w:val="231F20"/>
        </w:rPr>
        <w:t>extrac- ción de aceite en el mundo. En la actualidad el girasol se cultiva en casi todo el mundo, principal- menteen países de clima templado como Argentina, Rumania y Rusia; aunque también es un rubro importante</w:t>
      </w:r>
      <w:r>
        <w:rPr>
          <w:color w:val="231F20"/>
          <w:spacing w:val="-3"/>
        </w:rPr>
        <w:t> </w:t>
      </w:r>
      <w:r>
        <w:rPr>
          <w:color w:val="231F20"/>
        </w:rPr>
        <w:t>en</w:t>
      </w:r>
      <w:r>
        <w:rPr>
          <w:color w:val="231F20"/>
          <w:spacing w:val="-3"/>
        </w:rPr>
        <w:t> </w:t>
      </w:r>
      <w:r>
        <w:rPr>
          <w:color w:val="231F20"/>
        </w:rPr>
        <w:t>los</w:t>
      </w:r>
      <w:r>
        <w:rPr>
          <w:color w:val="231F20"/>
          <w:spacing w:val="-3"/>
        </w:rPr>
        <w:t> </w:t>
      </w:r>
      <w:r>
        <w:rPr>
          <w:color w:val="231F20"/>
        </w:rPr>
        <w:t>Estados</w:t>
      </w:r>
      <w:r>
        <w:rPr>
          <w:color w:val="231F20"/>
          <w:spacing w:val="-3"/>
        </w:rPr>
        <w:t> </w:t>
      </w:r>
      <w:r>
        <w:rPr>
          <w:color w:val="231F20"/>
        </w:rPr>
        <w:t>Unidos</w:t>
      </w:r>
      <w:r>
        <w:rPr>
          <w:color w:val="231F20"/>
          <w:spacing w:val="-3"/>
        </w:rPr>
        <w:t> </w:t>
      </w:r>
      <w:r>
        <w:rPr>
          <w:color w:val="231F20"/>
        </w:rPr>
        <w:t>de</w:t>
      </w:r>
      <w:r>
        <w:rPr>
          <w:color w:val="231F20"/>
          <w:spacing w:val="-14"/>
        </w:rPr>
        <w:t> </w:t>
      </w:r>
      <w:r>
        <w:rPr>
          <w:color w:val="231F20"/>
        </w:rPr>
        <w:t>América</w:t>
      </w:r>
      <w:r>
        <w:rPr>
          <w:color w:val="231F20"/>
          <w:spacing w:val="-3"/>
        </w:rPr>
        <w:t> </w:t>
      </w:r>
      <w:r>
        <w:rPr>
          <w:color w:val="231F20"/>
        </w:rPr>
        <w:t>y</w:t>
      </w:r>
      <w:r>
        <w:rPr>
          <w:color w:val="231F20"/>
          <w:spacing w:val="-3"/>
        </w:rPr>
        <w:t> </w:t>
      </w:r>
      <w:r>
        <w:rPr>
          <w:color w:val="231F20"/>
        </w:rPr>
        <w:t>Francia,</w:t>
      </w:r>
      <w:r>
        <w:rPr>
          <w:color w:val="231F20"/>
          <w:spacing w:val="-3"/>
        </w:rPr>
        <w:t> </w:t>
      </w:r>
      <w:r>
        <w:rPr>
          <w:color w:val="231F20"/>
        </w:rPr>
        <w:t>donde</w:t>
      </w:r>
      <w:r>
        <w:rPr>
          <w:color w:val="231F20"/>
          <w:spacing w:val="-3"/>
        </w:rPr>
        <w:t> </w:t>
      </w:r>
      <w:r>
        <w:rPr>
          <w:color w:val="231F20"/>
        </w:rPr>
        <w:t>se</w:t>
      </w:r>
      <w:r>
        <w:rPr>
          <w:color w:val="231F20"/>
          <w:spacing w:val="-3"/>
        </w:rPr>
        <w:t> </w:t>
      </w:r>
      <w:r>
        <w:rPr>
          <w:color w:val="231F20"/>
        </w:rPr>
        <w:t>reporta</w:t>
      </w:r>
      <w:r>
        <w:rPr>
          <w:color w:val="231F20"/>
          <w:spacing w:val="-3"/>
        </w:rPr>
        <w:t> </w:t>
      </w:r>
      <w:r>
        <w:rPr>
          <w:color w:val="231F20"/>
        </w:rPr>
        <w:t>la</w:t>
      </w:r>
      <w:r>
        <w:rPr>
          <w:color w:val="231F20"/>
          <w:spacing w:val="-3"/>
        </w:rPr>
        <w:t> </w:t>
      </w:r>
      <w:r>
        <w:rPr>
          <w:color w:val="231F20"/>
        </w:rPr>
        <w:t>mayor</w:t>
      </w:r>
      <w:r>
        <w:rPr>
          <w:color w:val="231F20"/>
          <w:spacing w:val="-3"/>
        </w:rPr>
        <w:t> </w:t>
      </w:r>
      <w:r>
        <w:rPr>
          <w:color w:val="231F20"/>
        </w:rPr>
        <w:t>producción</w:t>
      </w:r>
      <w:r>
        <w:rPr>
          <w:color w:val="231F20"/>
          <w:spacing w:val="-3"/>
        </w:rPr>
        <w:t> </w:t>
      </w:r>
      <w:r>
        <w:rPr>
          <w:color w:val="231F20"/>
        </w:rPr>
        <w:t>y</w:t>
      </w:r>
      <w:r>
        <w:rPr>
          <w:color w:val="231F20"/>
          <w:spacing w:val="-3"/>
        </w:rPr>
        <w:t> </w:t>
      </w:r>
      <w:r>
        <w:rPr>
          <w:color w:val="231F20"/>
        </w:rPr>
        <w:t>los mayores rendimientos promedios, producto del desarrollo alcanzado en la tecnología para su culti- vo. En las estadísticas mundiales, el girasol ocupa entre los rubros de oleaginosas de ciclo corto, el segundo lugar como fuente de materia prima para la producción de aceites vegetales comestibles, después de la soya, superando así al maní, el algodón, la colza, la oliva y el ajonjolí (Werteker </w:t>
      </w:r>
      <w:r>
        <w:rPr>
          <w:i/>
          <w:color w:val="231F20"/>
        </w:rPr>
        <w:t>et</w:t>
      </w:r>
      <w:r>
        <w:rPr>
          <w:i/>
          <w:color w:val="231F20"/>
          <w:spacing w:val="-17"/>
        </w:rPr>
        <w:t> </w:t>
      </w:r>
      <w:r>
        <w:rPr>
          <w:i/>
          <w:color w:val="231F20"/>
        </w:rPr>
        <w:t>al. </w:t>
      </w:r>
      <w:r>
        <w:rPr>
          <w:color w:val="231F20"/>
        </w:rPr>
        <w:t>2010, Mozaffarian </w:t>
      </w:r>
      <w:r>
        <w:rPr>
          <w:i/>
          <w:color w:val="231F20"/>
        </w:rPr>
        <w:t>et al. </w:t>
      </w:r>
      <w:r>
        <w:rPr>
          <w:color w:val="231F20"/>
        </w:rPr>
        <w:t>2008; Lannal </w:t>
      </w:r>
      <w:r>
        <w:rPr>
          <w:i/>
          <w:color w:val="231F20"/>
        </w:rPr>
        <w:t>et al. </w:t>
      </w:r>
      <w:r>
        <w:rPr>
          <w:color w:val="231F20"/>
        </w:rPr>
        <w:t>2005). Sharma </w:t>
      </w:r>
      <w:r>
        <w:rPr>
          <w:i/>
          <w:color w:val="231F20"/>
        </w:rPr>
        <w:t>et al. </w:t>
      </w:r>
      <w:r>
        <w:rPr>
          <w:color w:val="231F20"/>
        </w:rPr>
        <w:t>(1994) señalaron que la selección de</w:t>
      </w:r>
      <w:r>
        <w:rPr>
          <w:color w:val="231F20"/>
          <w:spacing w:val="-4"/>
        </w:rPr>
        <w:t> </w:t>
      </w:r>
      <w:r>
        <w:rPr>
          <w:color w:val="231F20"/>
        </w:rPr>
        <w:t>variedades,</w:t>
      </w:r>
      <w:r>
        <w:rPr>
          <w:color w:val="231F20"/>
          <w:spacing w:val="-4"/>
        </w:rPr>
        <w:t> </w:t>
      </w:r>
      <w:r>
        <w:rPr>
          <w:color w:val="231F20"/>
        </w:rPr>
        <w:t>la</w:t>
      </w:r>
      <w:r>
        <w:rPr>
          <w:color w:val="231F20"/>
          <w:spacing w:val="-4"/>
        </w:rPr>
        <w:t> </w:t>
      </w:r>
      <w:r>
        <w:rPr>
          <w:color w:val="231F20"/>
        </w:rPr>
        <w:t>nutrición</w:t>
      </w:r>
      <w:r>
        <w:rPr>
          <w:color w:val="231F20"/>
          <w:spacing w:val="-4"/>
        </w:rPr>
        <w:t> </w:t>
      </w:r>
      <w:r>
        <w:rPr>
          <w:color w:val="231F20"/>
        </w:rPr>
        <w:t>mineral,</w:t>
      </w:r>
      <w:r>
        <w:rPr>
          <w:color w:val="231F20"/>
          <w:spacing w:val="-4"/>
        </w:rPr>
        <w:t> </w:t>
      </w:r>
      <w:r>
        <w:rPr>
          <w:color w:val="231F20"/>
        </w:rPr>
        <w:t>en</w:t>
      </w:r>
      <w:r>
        <w:rPr>
          <w:color w:val="231F20"/>
          <w:spacing w:val="-4"/>
        </w:rPr>
        <w:t> </w:t>
      </w:r>
      <w:r>
        <w:rPr>
          <w:color w:val="231F20"/>
        </w:rPr>
        <w:t>particular</w:t>
      </w:r>
      <w:r>
        <w:rPr>
          <w:color w:val="231F20"/>
          <w:spacing w:val="-4"/>
        </w:rPr>
        <w:t> </w:t>
      </w:r>
      <w:r>
        <w:rPr>
          <w:color w:val="231F20"/>
        </w:rPr>
        <w:t>el</w:t>
      </w:r>
      <w:r>
        <w:rPr>
          <w:color w:val="231F20"/>
          <w:spacing w:val="-4"/>
        </w:rPr>
        <w:t> </w:t>
      </w:r>
      <w:r>
        <w:rPr>
          <w:color w:val="231F20"/>
        </w:rPr>
        <w:t>nitrógeno</w:t>
      </w:r>
      <w:r>
        <w:rPr>
          <w:color w:val="231F20"/>
          <w:spacing w:val="-4"/>
        </w:rPr>
        <w:t> </w:t>
      </w:r>
      <w:r>
        <w:rPr>
          <w:color w:val="231F20"/>
        </w:rPr>
        <w:t>y</w:t>
      </w:r>
      <w:r>
        <w:rPr>
          <w:color w:val="231F20"/>
          <w:spacing w:val="-4"/>
        </w:rPr>
        <w:t> </w:t>
      </w:r>
      <w:r>
        <w:rPr>
          <w:color w:val="231F20"/>
        </w:rPr>
        <w:t>el</w:t>
      </w:r>
      <w:r>
        <w:rPr>
          <w:color w:val="231F20"/>
          <w:spacing w:val="-4"/>
        </w:rPr>
        <w:t> </w:t>
      </w:r>
      <w:r>
        <w:rPr>
          <w:color w:val="231F20"/>
        </w:rPr>
        <w:t>fósforo</w:t>
      </w:r>
      <w:r>
        <w:rPr>
          <w:color w:val="231F20"/>
          <w:spacing w:val="-4"/>
        </w:rPr>
        <w:t> </w:t>
      </w:r>
      <w:r>
        <w:rPr>
          <w:color w:val="231F20"/>
        </w:rPr>
        <w:t>y</w:t>
      </w:r>
      <w:r>
        <w:rPr>
          <w:color w:val="231F20"/>
          <w:spacing w:val="-4"/>
        </w:rPr>
        <w:t> </w:t>
      </w:r>
      <w:r>
        <w:rPr>
          <w:color w:val="231F20"/>
        </w:rPr>
        <w:t>una</w:t>
      </w:r>
      <w:r>
        <w:rPr>
          <w:color w:val="231F20"/>
          <w:spacing w:val="-4"/>
        </w:rPr>
        <w:t> </w:t>
      </w:r>
      <w:r>
        <w:rPr>
          <w:color w:val="231F20"/>
        </w:rPr>
        <w:t>población</w:t>
      </w:r>
      <w:r>
        <w:rPr>
          <w:color w:val="231F20"/>
          <w:spacing w:val="-4"/>
        </w:rPr>
        <w:t> </w:t>
      </w:r>
      <w:r>
        <w:rPr>
          <w:color w:val="231F20"/>
        </w:rPr>
        <w:t>óptima</w:t>
      </w:r>
      <w:r>
        <w:rPr>
          <w:color w:val="231F20"/>
          <w:spacing w:val="-4"/>
        </w:rPr>
        <w:t> </w:t>
      </w:r>
      <w:r>
        <w:rPr>
          <w:color w:val="231F20"/>
        </w:rPr>
        <w:t>de plantas, así como la humedad disponible en el suelo específicamente durante la etapa reproductiva deben considerarse para lograr un máximo crecimiento y rendimiento de</w:t>
      </w:r>
      <w:r>
        <w:rPr>
          <w:color w:val="231F20"/>
          <w:spacing w:val="-4"/>
        </w:rPr>
        <w:t> </w:t>
      </w:r>
      <w:r>
        <w:rPr>
          <w:color w:val="231F20"/>
        </w:rPr>
        <w:t>girasol.</w:t>
      </w:r>
    </w:p>
    <w:p>
      <w:pPr>
        <w:pStyle w:val="BodyText"/>
        <w:rPr>
          <w:sz w:val="20"/>
        </w:rPr>
      </w:pPr>
    </w:p>
    <w:p>
      <w:pPr>
        <w:pStyle w:val="BodyText"/>
        <w:rPr>
          <w:sz w:val="20"/>
        </w:rPr>
      </w:pPr>
    </w:p>
    <w:p>
      <w:pPr>
        <w:pStyle w:val="BodyText"/>
        <w:rPr>
          <w:sz w:val="20"/>
        </w:rPr>
      </w:pPr>
    </w:p>
    <w:p>
      <w:pPr>
        <w:pStyle w:val="BodyText"/>
        <w:spacing w:before="1"/>
        <w:rPr>
          <w:sz w:val="26"/>
        </w:rPr>
      </w:pPr>
    </w:p>
    <w:p>
      <w:pPr>
        <w:spacing w:line="247" w:lineRule="auto" w:before="0"/>
        <w:ind w:left="1590" w:right="1279" w:firstLine="0"/>
        <w:jc w:val="left"/>
        <w:rPr>
          <w:rFonts w:ascii="Trebuchet MS" w:hAnsi="Trebuchet MS"/>
          <w:sz w:val="16"/>
        </w:rPr>
      </w:pPr>
      <w:r>
        <w:rPr>
          <w:rFonts w:ascii="Trebuchet MS" w:hAnsi="Trebuchet MS"/>
          <w:color w:val="231F20"/>
          <w:position w:val="5"/>
          <w:sz w:val="9"/>
        </w:rPr>
        <w:t>1</w:t>
      </w:r>
      <w:r>
        <w:rPr>
          <w:rFonts w:ascii="Trebuchet MS" w:hAnsi="Trebuchet MS"/>
          <w:color w:val="231F20"/>
          <w:sz w:val="16"/>
        </w:rPr>
        <w:t>Programa de Botánica. Colegio de Postgraduados-campus Montecillo. Km 36.5 </w:t>
      </w:r>
      <w:r>
        <w:rPr>
          <w:rFonts w:ascii="Trebuchet MS" w:hAnsi="Trebuchet MS"/>
          <w:color w:val="231F20"/>
          <w:spacing w:val="-6"/>
          <w:sz w:val="16"/>
        </w:rPr>
        <w:t>carr. </w:t>
      </w:r>
      <w:r>
        <w:rPr>
          <w:rFonts w:ascii="Trebuchet MS" w:hAnsi="Trebuchet MS"/>
          <w:color w:val="231F20"/>
          <w:spacing w:val="-3"/>
          <w:sz w:val="16"/>
        </w:rPr>
        <w:t>México-Texcoco. </w:t>
      </w:r>
      <w:r>
        <w:rPr>
          <w:rFonts w:ascii="Trebuchet MS" w:hAnsi="Trebuchet MS"/>
          <w:color w:val="231F20"/>
          <w:spacing w:val="-12"/>
          <w:sz w:val="16"/>
        </w:rPr>
        <w:t>CP. </w:t>
      </w:r>
      <w:r>
        <w:rPr>
          <w:rFonts w:ascii="Trebuchet MS" w:hAnsi="Trebuchet MS"/>
          <w:color w:val="231F20"/>
          <w:sz w:val="16"/>
        </w:rPr>
        <w:t>56230. Montecillo, </w:t>
      </w:r>
      <w:r>
        <w:rPr>
          <w:rFonts w:ascii="Trebuchet MS" w:hAnsi="Trebuchet MS"/>
          <w:color w:val="231F20"/>
          <w:spacing w:val="-4"/>
          <w:sz w:val="16"/>
        </w:rPr>
        <w:t>Texcoco. </w:t>
      </w:r>
      <w:r>
        <w:rPr>
          <w:rFonts w:ascii="Trebuchet MS" w:hAnsi="Trebuchet MS"/>
          <w:color w:val="231F20"/>
          <w:sz w:val="16"/>
        </w:rPr>
        <w:t>Estado de México. </w:t>
      </w:r>
      <w:r>
        <w:rPr>
          <w:rFonts w:ascii="Trebuchet MS" w:hAnsi="Trebuchet MS"/>
          <w:color w:val="231F20"/>
          <w:spacing w:val="-6"/>
          <w:sz w:val="16"/>
        </w:rPr>
        <w:t>Tel. </w:t>
      </w:r>
      <w:r>
        <w:rPr>
          <w:rFonts w:ascii="Trebuchet MS" w:hAnsi="Trebuchet MS"/>
          <w:color w:val="231F20"/>
          <w:sz w:val="16"/>
        </w:rPr>
        <w:t>01 (595) 95 202 00 ext. 1330. E-mail. arenas.yasmani@colpos. </w:t>
      </w:r>
      <w:hyperlink r:id="rId48">
        <w:r>
          <w:rPr>
            <w:rFonts w:ascii="Trebuchet MS" w:hAnsi="Trebuchet MS"/>
            <w:color w:val="231F20"/>
            <w:sz w:val="16"/>
          </w:rPr>
          <w:t>mx;jasee@colpos.mx;mate@colpos.mx</w:t>
        </w:r>
      </w:hyperlink>
    </w:p>
    <w:p>
      <w:pPr>
        <w:spacing w:after="0" w:line="247" w:lineRule="auto"/>
        <w:jc w:val="left"/>
        <w:rPr>
          <w:rFonts w:ascii="Trebuchet MS" w:hAnsi="Trebuchet MS"/>
          <w:sz w:val="16"/>
        </w:rPr>
        <w:sectPr>
          <w:pgSz w:w="10920" w:h="13080"/>
          <w:pgMar w:header="0" w:footer="1025" w:top="420" w:bottom="1220" w:left="0" w:right="0"/>
        </w:sectPr>
      </w:pPr>
    </w:p>
    <w:p>
      <w:pPr>
        <w:pStyle w:val="BodyText"/>
        <w:rPr>
          <w:rFonts w:ascii="Trebuchet MS"/>
          <w:sz w:val="20"/>
        </w:rPr>
      </w:pPr>
    </w:p>
    <w:p>
      <w:pPr>
        <w:pStyle w:val="BodyText"/>
        <w:rPr>
          <w:rFonts w:ascii="Trebuchet MS"/>
          <w:sz w:val="20"/>
        </w:rPr>
      </w:pPr>
    </w:p>
    <w:p>
      <w:pPr>
        <w:pStyle w:val="BodyText"/>
        <w:spacing w:before="4"/>
        <w:rPr>
          <w:rFonts w:ascii="Trebuchet MS"/>
          <w:sz w:val="22"/>
        </w:rPr>
      </w:pPr>
    </w:p>
    <w:p>
      <w:pPr>
        <w:pStyle w:val="BodyText"/>
        <w:spacing w:line="247" w:lineRule="auto" w:before="73"/>
        <w:ind w:left="1270" w:right="1267"/>
        <w:jc w:val="both"/>
      </w:pPr>
      <w:r>
        <w:rPr>
          <w:color w:val="231F20"/>
        </w:rPr>
        <w:t>Así mismo, en siembras de girasol bajo condiciones de temporal y salinidad se han demostrado que con la aplicación de nitrógeno (100 y 300 kg ha</w:t>
      </w:r>
      <w:r>
        <w:rPr>
          <w:color w:val="231F20"/>
          <w:position w:val="7"/>
          <w:sz w:val="12"/>
        </w:rPr>
        <w:t>-1</w:t>
      </w:r>
      <w:r>
        <w:rPr>
          <w:color w:val="231F20"/>
        </w:rPr>
        <w:t>) y el aumento en densidades de población (55 000 a 144 000 plantas ha</w:t>
      </w:r>
      <w:r>
        <w:rPr>
          <w:color w:val="231F20"/>
          <w:position w:val="7"/>
          <w:sz w:val="12"/>
        </w:rPr>
        <w:t>-1</w:t>
      </w:r>
      <w:r>
        <w:rPr>
          <w:color w:val="231F20"/>
        </w:rPr>
        <w:t>) se incrementa la producción de biomasa y rendimiento; siendo este mayor al combinar ambas prácticas (Escalante, 1995). Respuestas similares se han encontrado en girasol en condiciones</w:t>
      </w:r>
      <w:r>
        <w:rPr>
          <w:color w:val="231F20"/>
          <w:spacing w:val="-10"/>
        </w:rPr>
        <w:t> </w:t>
      </w:r>
      <w:r>
        <w:rPr>
          <w:color w:val="231F20"/>
        </w:rPr>
        <w:t>de</w:t>
      </w:r>
      <w:r>
        <w:rPr>
          <w:color w:val="231F20"/>
          <w:spacing w:val="-10"/>
        </w:rPr>
        <w:t> </w:t>
      </w:r>
      <w:r>
        <w:rPr>
          <w:color w:val="231F20"/>
        </w:rPr>
        <w:t>temporal</w:t>
      </w:r>
      <w:r>
        <w:rPr>
          <w:color w:val="231F20"/>
          <w:spacing w:val="-10"/>
        </w:rPr>
        <w:t> </w:t>
      </w:r>
      <w:r>
        <w:rPr>
          <w:color w:val="231F20"/>
        </w:rPr>
        <w:t>con</w:t>
      </w:r>
      <w:r>
        <w:rPr>
          <w:color w:val="231F20"/>
          <w:spacing w:val="-10"/>
        </w:rPr>
        <w:t> </w:t>
      </w:r>
      <w:r>
        <w:rPr>
          <w:color w:val="231F20"/>
        </w:rPr>
        <w:t>clima</w:t>
      </w:r>
      <w:r>
        <w:rPr>
          <w:color w:val="231F20"/>
          <w:spacing w:val="-10"/>
        </w:rPr>
        <w:t> </w:t>
      </w:r>
      <w:r>
        <w:rPr>
          <w:color w:val="231F20"/>
        </w:rPr>
        <w:t>cálido</w:t>
      </w:r>
      <w:r>
        <w:rPr>
          <w:color w:val="231F20"/>
          <w:spacing w:val="-10"/>
        </w:rPr>
        <w:t> </w:t>
      </w:r>
      <w:r>
        <w:rPr>
          <w:color w:val="231F20"/>
        </w:rPr>
        <w:t>subhúmedo</w:t>
      </w:r>
      <w:r>
        <w:rPr>
          <w:color w:val="231F20"/>
          <w:spacing w:val="-10"/>
        </w:rPr>
        <w:t> </w:t>
      </w:r>
      <w:r>
        <w:rPr>
          <w:color w:val="231F20"/>
        </w:rPr>
        <w:t>(Olalde</w:t>
      </w:r>
      <w:r>
        <w:rPr>
          <w:color w:val="231F20"/>
          <w:spacing w:val="-10"/>
        </w:rPr>
        <w:t> </w:t>
      </w:r>
      <w:r>
        <w:rPr>
          <w:i/>
          <w:color w:val="231F20"/>
        </w:rPr>
        <w:t>et</w:t>
      </w:r>
      <w:r>
        <w:rPr>
          <w:i/>
          <w:color w:val="231F20"/>
          <w:spacing w:val="-10"/>
        </w:rPr>
        <w:t> </w:t>
      </w:r>
      <w:r>
        <w:rPr>
          <w:i/>
          <w:color w:val="231F20"/>
        </w:rPr>
        <w:t>al.</w:t>
      </w:r>
      <w:r>
        <w:rPr>
          <w:i/>
          <w:color w:val="231F20"/>
          <w:spacing w:val="-9"/>
        </w:rPr>
        <w:t> </w:t>
      </w:r>
      <w:r>
        <w:rPr>
          <w:color w:val="231F20"/>
        </w:rPr>
        <w:t>2000).El</w:t>
      </w:r>
      <w:r>
        <w:rPr>
          <w:color w:val="231F20"/>
          <w:spacing w:val="-9"/>
        </w:rPr>
        <w:t> </w:t>
      </w:r>
      <w:r>
        <w:rPr>
          <w:color w:val="231F20"/>
        </w:rPr>
        <w:t>nitrógeno</w:t>
      </w:r>
      <w:r>
        <w:rPr>
          <w:color w:val="231F20"/>
          <w:spacing w:val="-10"/>
        </w:rPr>
        <w:t> </w:t>
      </w:r>
      <w:r>
        <w:rPr>
          <w:color w:val="231F20"/>
        </w:rPr>
        <w:t>es</w:t>
      </w:r>
      <w:r>
        <w:rPr>
          <w:color w:val="231F20"/>
          <w:spacing w:val="-10"/>
        </w:rPr>
        <w:t> </w:t>
      </w:r>
      <w:r>
        <w:rPr>
          <w:color w:val="231F20"/>
        </w:rPr>
        <w:t>importante en el cultivo de las leguminosas, porque es un componente esencial de los aminoácidos, proteínas, clorofila, de las enzimas y otros componentes que se encuentran en las membranas celulares. La mayor parte del nitrógeno presente en el tejido vegetal de la planta se presenta como proteína enzi- mática en los cloroplastos y formando parte de las proteína en las semillas. La principal función del nitrógeno es estimular el crecimiento de la planta, especialmente en la etapa inicial de crecimiento vegetativo,</w:t>
      </w:r>
      <w:r>
        <w:rPr>
          <w:color w:val="231F20"/>
          <w:spacing w:val="-7"/>
        </w:rPr>
        <w:t> </w:t>
      </w:r>
      <w:r>
        <w:rPr>
          <w:color w:val="231F20"/>
        </w:rPr>
        <w:t>generando</w:t>
      </w:r>
      <w:r>
        <w:rPr>
          <w:color w:val="231F20"/>
          <w:spacing w:val="-7"/>
        </w:rPr>
        <w:t> </w:t>
      </w:r>
      <w:r>
        <w:rPr>
          <w:color w:val="231F20"/>
        </w:rPr>
        <w:t>un</w:t>
      </w:r>
      <w:r>
        <w:rPr>
          <w:color w:val="231F20"/>
          <w:spacing w:val="-7"/>
        </w:rPr>
        <w:t> </w:t>
      </w:r>
      <w:r>
        <w:rPr>
          <w:color w:val="231F20"/>
        </w:rPr>
        <w:t>alto</w:t>
      </w:r>
      <w:r>
        <w:rPr>
          <w:color w:val="231F20"/>
          <w:spacing w:val="-7"/>
        </w:rPr>
        <w:t> </w:t>
      </w:r>
      <w:r>
        <w:rPr>
          <w:color w:val="231F20"/>
        </w:rPr>
        <w:t>índice</w:t>
      </w:r>
      <w:r>
        <w:rPr>
          <w:color w:val="231F20"/>
          <w:spacing w:val="-7"/>
        </w:rPr>
        <w:t> </w:t>
      </w:r>
      <w:r>
        <w:rPr>
          <w:color w:val="231F20"/>
        </w:rPr>
        <w:t>de</w:t>
      </w:r>
      <w:r>
        <w:rPr>
          <w:color w:val="231F20"/>
          <w:spacing w:val="-7"/>
        </w:rPr>
        <w:t> </w:t>
      </w:r>
      <w:r>
        <w:rPr>
          <w:color w:val="231F20"/>
        </w:rPr>
        <w:t>área</w:t>
      </w:r>
      <w:r>
        <w:rPr>
          <w:color w:val="231F20"/>
          <w:spacing w:val="-7"/>
        </w:rPr>
        <w:t> </w:t>
      </w:r>
      <w:r>
        <w:rPr>
          <w:color w:val="231F20"/>
        </w:rPr>
        <w:t>foliar</w:t>
      </w:r>
      <w:r>
        <w:rPr>
          <w:color w:val="231F20"/>
          <w:spacing w:val="39"/>
        </w:rPr>
        <w:t> </w:t>
      </w:r>
      <w:r>
        <w:rPr>
          <w:color w:val="231F20"/>
        </w:rPr>
        <w:t>y</w:t>
      </w:r>
      <w:r>
        <w:rPr>
          <w:color w:val="231F20"/>
          <w:spacing w:val="-7"/>
        </w:rPr>
        <w:t> </w:t>
      </w:r>
      <w:r>
        <w:rPr>
          <w:color w:val="231F20"/>
        </w:rPr>
        <w:t>prolongando</w:t>
      </w:r>
      <w:r>
        <w:rPr>
          <w:color w:val="231F20"/>
          <w:spacing w:val="-7"/>
        </w:rPr>
        <w:t> </w:t>
      </w:r>
      <w:r>
        <w:rPr>
          <w:color w:val="231F20"/>
        </w:rPr>
        <w:t>el</w:t>
      </w:r>
      <w:r>
        <w:rPr>
          <w:color w:val="231F20"/>
          <w:spacing w:val="-7"/>
        </w:rPr>
        <w:t> </w:t>
      </w:r>
      <w:r>
        <w:rPr>
          <w:color w:val="231F20"/>
        </w:rPr>
        <w:t>período</w:t>
      </w:r>
      <w:r>
        <w:rPr>
          <w:color w:val="231F20"/>
          <w:spacing w:val="-7"/>
        </w:rPr>
        <w:t> </w:t>
      </w:r>
      <w:r>
        <w:rPr>
          <w:color w:val="231F20"/>
        </w:rPr>
        <w:t>útil</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hojas</w:t>
      </w:r>
      <w:r>
        <w:rPr>
          <w:color w:val="231F20"/>
          <w:spacing w:val="-7"/>
        </w:rPr>
        <w:t> </w:t>
      </w:r>
      <w:r>
        <w:rPr>
          <w:color w:val="231F20"/>
        </w:rPr>
        <w:t>a</w:t>
      </w:r>
      <w:r>
        <w:rPr>
          <w:color w:val="231F20"/>
          <w:spacing w:val="-7"/>
        </w:rPr>
        <w:t> </w:t>
      </w:r>
      <w:r>
        <w:rPr>
          <w:color w:val="231F20"/>
        </w:rPr>
        <w:t>través del tiempo. El nitrógeno además, incrementa el número de ejes durante la floración, el número de flores,</w:t>
      </w:r>
      <w:r>
        <w:rPr>
          <w:color w:val="231F20"/>
          <w:spacing w:val="-10"/>
        </w:rPr>
        <w:t> </w:t>
      </w:r>
      <w:r>
        <w:rPr>
          <w:color w:val="231F20"/>
        </w:rPr>
        <w:t>número</w:t>
      </w:r>
      <w:r>
        <w:rPr>
          <w:color w:val="231F20"/>
          <w:spacing w:val="-10"/>
        </w:rPr>
        <w:t> </w:t>
      </w:r>
      <w:r>
        <w:rPr>
          <w:color w:val="231F20"/>
        </w:rPr>
        <w:t>y</w:t>
      </w:r>
      <w:r>
        <w:rPr>
          <w:color w:val="231F20"/>
          <w:spacing w:val="-10"/>
        </w:rPr>
        <w:t> </w:t>
      </w:r>
      <w:r>
        <w:rPr>
          <w:color w:val="231F20"/>
        </w:rPr>
        <w:t>peso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vaina,</w:t>
      </w:r>
      <w:r>
        <w:rPr>
          <w:color w:val="231F20"/>
          <w:spacing w:val="-10"/>
        </w:rPr>
        <w:t> </w:t>
      </w:r>
      <w:r>
        <w:rPr>
          <w:color w:val="231F20"/>
        </w:rPr>
        <w:t>aumentando</w:t>
      </w:r>
      <w:r>
        <w:rPr>
          <w:color w:val="231F20"/>
          <w:spacing w:val="-10"/>
        </w:rPr>
        <w:t> </w:t>
      </w:r>
      <w:r>
        <w:rPr>
          <w:color w:val="231F20"/>
        </w:rPr>
        <w:t>por</w:t>
      </w:r>
      <w:r>
        <w:rPr>
          <w:color w:val="231F20"/>
          <w:spacing w:val="-10"/>
        </w:rPr>
        <w:t> </w:t>
      </w:r>
      <w:r>
        <w:rPr>
          <w:color w:val="231F20"/>
        </w:rPr>
        <w:t>lo</w:t>
      </w:r>
      <w:r>
        <w:rPr>
          <w:color w:val="231F20"/>
          <w:spacing w:val="-10"/>
        </w:rPr>
        <w:t> </w:t>
      </w:r>
      <w:r>
        <w:rPr>
          <w:color w:val="231F20"/>
        </w:rPr>
        <w:t>tanto</w:t>
      </w:r>
      <w:r>
        <w:rPr>
          <w:color w:val="231F20"/>
          <w:spacing w:val="-10"/>
        </w:rPr>
        <w:t> </w:t>
      </w:r>
      <w:r>
        <w:rPr>
          <w:color w:val="231F20"/>
        </w:rPr>
        <w:t>el</w:t>
      </w:r>
      <w:r>
        <w:rPr>
          <w:color w:val="231F20"/>
          <w:spacing w:val="-10"/>
        </w:rPr>
        <w:t> </w:t>
      </w:r>
      <w:r>
        <w:rPr>
          <w:color w:val="231F20"/>
        </w:rPr>
        <w:t>rendimiento.</w:t>
      </w:r>
      <w:r>
        <w:rPr>
          <w:color w:val="231F20"/>
          <w:spacing w:val="-22"/>
        </w:rPr>
        <w:t> </w:t>
      </w:r>
      <w:r>
        <w:rPr>
          <w:color w:val="231F20"/>
        </w:rPr>
        <w:t>Además</w:t>
      </w:r>
      <w:r>
        <w:rPr>
          <w:color w:val="231F20"/>
          <w:spacing w:val="-10"/>
        </w:rPr>
        <w:t> </w:t>
      </w:r>
      <w:r>
        <w:rPr>
          <w:color w:val="231F20"/>
        </w:rPr>
        <w:t>regula</w:t>
      </w:r>
      <w:r>
        <w:rPr>
          <w:color w:val="231F20"/>
          <w:spacing w:val="-10"/>
        </w:rPr>
        <w:t> </w:t>
      </w:r>
      <w:r>
        <w:rPr>
          <w:color w:val="231F20"/>
        </w:rPr>
        <w:t>la</w:t>
      </w:r>
      <w:r>
        <w:rPr>
          <w:color w:val="231F20"/>
          <w:spacing w:val="-10"/>
        </w:rPr>
        <w:t> </w:t>
      </w:r>
      <w:r>
        <w:rPr>
          <w:color w:val="231F20"/>
        </w:rPr>
        <w:t>cantidad de hormonas dentro de la planta </w:t>
      </w:r>
      <w:r>
        <w:rPr>
          <w:color w:val="231F20"/>
          <w:spacing w:val="-3"/>
        </w:rPr>
        <w:t>(Vidmar, </w:t>
      </w:r>
      <w:r>
        <w:rPr>
          <w:color w:val="231F20"/>
        </w:rPr>
        <w:t>2000; </w:t>
      </w:r>
      <w:r>
        <w:rPr>
          <w:color w:val="231F20"/>
          <w:spacing w:val="-4"/>
        </w:rPr>
        <w:t>Taiz </w:t>
      </w:r>
      <w:r>
        <w:rPr>
          <w:color w:val="231F20"/>
        </w:rPr>
        <w:t>y Zeiger, 1998). Una deficiencia de nitrógeno reduce</w:t>
      </w:r>
      <w:r>
        <w:rPr>
          <w:color w:val="231F20"/>
          <w:spacing w:val="-5"/>
        </w:rPr>
        <w:t> </w:t>
      </w:r>
      <w:r>
        <w:rPr>
          <w:color w:val="231F20"/>
        </w:rPr>
        <w:t>y</w:t>
      </w:r>
      <w:r>
        <w:rPr>
          <w:color w:val="231F20"/>
          <w:spacing w:val="-5"/>
        </w:rPr>
        <w:t> </w:t>
      </w:r>
      <w:r>
        <w:rPr>
          <w:color w:val="231F20"/>
        </w:rPr>
        <w:t>retrasa</w:t>
      </w:r>
      <w:r>
        <w:rPr>
          <w:color w:val="231F20"/>
          <w:spacing w:val="-5"/>
        </w:rPr>
        <w:t> </w:t>
      </w:r>
      <w:r>
        <w:rPr>
          <w:color w:val="231F20"/>
        </w:rPr>
        <w:t>el</w:t>
      </w:r>
      <w:r>
        <w:rPr>
          <w:color w:val="231F20"/>
          <w:spacing w:val="-5"/>
        </w:rPr>
        <w:t> </w:t>
      </w:r>
      <w:r>
        <w:rPr>
          <w:color w:val="231F20"/>
        </w:rPr>
        <w:t>crecimiento</w:t>
      </w:r>
      <w:r>
        <w:rPr>
          <w:color w:val="231F20"/>
          <w:spacing w:val="-6"/>
        </w:rPr>
        <w:t> </w:t>
      </w:r>
      <w:r>
        <w:rPr>
          <w:color w:val="231F20"/>
        </w:rPr>
        <w:t>de</w:t>
      </w:r>
      <w:r>
        <w:rPr>
          <w:color w:val="231F20"/>
          <w:spacing w:val="-5"/>
        </w:rPr>
        <w:t> </w:t>
      </w:r>
      <w:r>
        <w:rPr>
          <w:color w:val="231F20"/>
        </w:rPr>
        <w:t>la</w:t>
      </w:r>
      <w:r>
        <w:rPr>
          <w:color w:val="231F20"/>
          <w:spacing w:val="-5"/>
        </w:rPr>
        <w:t> </w:t>
      </w:r>
      <w:r>
        <w:rPr>
          <w:color w:val="231F20"/>
        </w:rPr>
        <w:t>planta,disminuye</w:t>
      </w:r>
      <w:r>
        <w:rPr>
          <w:color w:val="231F20"/>
          <w:spacing w:val="-5"/>
        </w:rPr>
        <w:t> </w:t>
      </w:r>
      <w:r>
        <w:rPr>
          <w:color w:val="231F20"/>
        </w:rPr>
        <w:t>el</w:t>
      </w:r>
      <w:r>
        <w:rPr>
          <w:color w:val="231F20"/>
          <w:spacing w:val="-5"/>
        </w:rPr>
        <w:t> </w:t>
      </w:r>
      <w:r>
        <w:rPr>
          <w:color w:val="231F20"/>
        </w:rPr>
        <w:t>número</w:t>
      </w:r>
      <w:r>
        <w:rPr>
          <w:color w:val="231F20"/>
          <w:spacing w:val="-5"/>
        </w:rPr>
        <w:t> </w:t>
      </w:r>
      <w:r>
        <w:rPr>
          <w:color w:val="231F20"/>
        </w:rPr>
        <w:t>de</w:t>
      </w:r>
      <w:r>
        <w:rPr>
          <w:color w:val="231F20"/>
          <w:spacing w:val="-5"/>
        </w:rPr>
        <w:t> </w:t>
      </w:r>
      <w:r>
        <w:rPr>
          <w:color w:val="231F20"/>
        </w:rPr>
        <w:t>semillas</w:t>
      </w:r>
      <w:r>
        <w:rPr>
          <w:color w:val="231F20"/>
          <w:spacing w:val="-5"/>
        </w:rPr>
        <w:t> </w:t>
      </w:r>
      <w:r>
        <w:rPr>
          <w:color w:val="231F20"/>
        </w:rPr>
        <w:t>y</w:t>
      </w:r>
      <w:r>
        <w:rPr>
          <w:color w:val="231F20"/>
          <w:spacing w:val="-5"/>
        </w:rPr>
        <w:t> </w:t>
      </w:r>
      <w:r>
        <w:rPr>
          <w:color w:val="231F20"/>
        </w:rPr>
        <w:t>su</w:t>
      </w:r>
      <w:r>
        <w:rPr>
          <w:color w:val="231F20"/>
          <w:spacing w:val="-5"/>
        </w:rPr>
        <w:t> </w:t>
      </w:r>
      <w:r>
        <w:rPr>
          <w:color w:val="231F20"/>
        </w:rPr>
        <w:t>peso,</w:t>
      </w:r>
      <w:r>
        <w:rPr>
          <w:color w:val="231F20"/>
          <w:spacing w:val="-5"/>
        </w:rPr>
        <w:t> </w:t>
      </w:r>
      <w:r>
        <w:rPr>
          <w:color w:val="231F20"/>
        </w:rPr>
        <w:t>lo</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tra- duce en un menor rendimiento. Se produce un menor desarrollo en la altura </w:t>
      </w:r>
      <w:r>
        <w:rPr>
          <w:color w:val="231F20"/>
          <w:spacing w:val="-7"/>
        </w:rPr>
        <w:t>y, </w:t>
      </w:r>
      <w:r>
        <w:rPr>
          <w:color w:val="231F20"/>
        </w:rPr>
        <w:t>en etapas fenológicas más avanzadas. La falta de nitrógeno reduce la cantidad de flores y acorta el periodo de floración y la actividad fotosintética, debido a que aumenta la producción de ácido abscísico. La deficiencia de nitrógeno, limita el contenidode proteínas de las</w:t>
      </w:r>
      <w:r>
        <w:rPr>
          <w:color w:val="231F20"/>
          <w:spacing w:val="-12"/>
        </w:rPr>
        <w:t> </w:t>
      </w:r>
      <w:r>
        <w:rPr>
          <w:color w:val="231F20"/>
        </w:rPr>
        <w:t>semillas.</w:t>
      </w:r>
    </w:p>
    <w:p>
      <w:pPr>
        <w:pStyle w:val="BodyText"/>
        <w:spacing w:before="10"/>
      </w:pPr>
    </w:p>
    <w:p>
      <w:pPr>
        <w:pStyle w:val="BodyText"/>
        <w:spacing w:line="247" w:lineRule="auto"/>
        <w:ind w:left="1270" w:right="1267"/>
        <w:jc w:val="both"/>
      </w:pPr>
      <w:r>
        <w:rPr>
          <w:color w:val="231F20"/>
        </w:rPr>
        <w:t>Sin</w:t>
      </w:r>
      <w:r>
        <w:rPr>
          <w:color w:val="231F20"/>
          <w:spacing w:val="-7"/>
        </w:rPr>
        <w:t> </w:t>
      </w:r>
      <w:r>
        <w:rPr>
          <w:color w:val="231F20"/>
        </w:rPr>
        <w:t>embargo,</w:t>
      </w:r>
      <w:r>
        <w:rPr>
          <w:color w:val="231F20"/>
          <w:spacing w:val="-7"/>
        </w:rPr>
        <w:t> </w:t>
      </w:r>
      <w:r>
        <w:rPr>
          <w:color w:val="231F20"/>
        </w:rPr>
        <w:t>altas</w:t>
      </w:r>
      <w:r>
        <w:rPr>
          <w:color w:val="231F20"/>
          <w:spacing w:val="-7"/>
        </w:rPr>
        <w:t> </w:t>
      </w:r>
      <w:r>
        <w:rPr>
          <w:color w:val="231F20"/>
        </w:rPr>
        <w:t>dosis</w:t>
      </w:r>
      <w:r>
        <w:rPr>
          <w:color w:val="231F20"/>
          <w:spacing w:val="-7"/>
        </w:rPr>
        <w:t> </w:t>
      </w:r>
      <w:r>
        <w:rPr>
          <w:color w:val="231F20"/>
        </w:rPr>
        <w:t>de</w:t>
      </w:r>
      <w:r>
        <w:rPr>
          <w:color w:val="231F20"/>
          <w:spacing w:val="-7"/>
        </w:rPr>
        <w:t> </w:t>
      </w:r>
      <w:r>
        <w:rPr>
          <w:color w:val="231F20"/>
        </w:rPr>
        <w:t>este</w:t>
      </w:r>
      <w:r>
        <w:rPr>
          <w:color w:val="231F20"/>
          <w:spacing w:val="-7"/>
        </w:rPr>
        <w:t> </w:t>
      </w:r>
      <w:r>
        <w:rPr>
          <w:color w:val="231F20"/>
        </w:rPr>
        <w:t>nutriente</w:t>
      </w:r>
      <w:r>
        <w:rPr>
          <w:color w:val="231F20"/>
          <w:spacing w:val="-7"/>
        </w:rPr>
        <w:t> </w:t>
      </w:r>
      <w:r>
        <w:rPr>
          <w:color w:val="231F20"/>
        </w:rPr>
        <w:t>han</w:t>
      </w:r>
      <w:r>
        <w:rPr>
          <w:color w:val="231F20"/>
          <w:spacing w:val="-7"/>
        </w:rPr>
        <w:t> </w:t>
      </w:r>
      <w:r>
        <w:rPr>
          <w:color w:val="231F20"/>
        </w:rPr>
        <w:t>demostrado</w:t>
      </w:r>
      <w:r>
        <w:rPr>
          <w:color w:val="231F20"/>
          <w:spacing w:val="-7"/>
        </w:rPr>
        <w:t> </w:t>
      </w:r>
      <w:r>
        <w:rPr>
          <w:color w:val="231F20"/>
        </w:rPr>
        <w:t>que,</w:t>
      </w:r>
      <w:r>
        <w:rPr>
          <w:color w:val="231F20"/>
          <w:spacing w:val="-7"/>
        </w:rPr>
        <w:t> </w:t>
      </w:r>
      <w:r>
        <w:rPr>
          <w:color w:val="231F20"/>
        </w:rPr>
        <w:t>independiente</w:t>
      </w:r>
      <w:r>
        <w:rPr>
          <w:color w:val="231F20"/>
          <w:spacing w:val="-8"/>
        </w:rPr>
        <w:t> </w:t>
      </w:r>
      <w:r>
        <w:rPr>
          <w:color w:val="231F20"/>
        </w:rPr>
        <w:t>de</w:t>
      </w:r>
      <w:r>
        <w:rPr>
          <w:color w:val="231F20"/>
          <w:spacing w:val="-7"/>
        </w:rPr>
        <w:t> </w:t>
      </w:r>
      <w:r>
        <w:rPr>
          <w:color w:val="231F20"/>
        </w:rPr>
        <w:t>la</w:t>
      </w:r>
      <w:r>
        <w:rPr>
          <w:color w:val="231F20"/>
          <w:spacing w:val="-7"/>
        </w:rPr>
        <w:t> </w:t>
      </w:r>
      <w:r>
        <w:rPr>
          <w:color w:val="231F20"/>
        </w:rPr>
        <w:t>variedad,</w:t>
      </w:r>
      <w:r>
        <w:rPr>
          <w:color w:val="231F20"/>
          <w:spacing w:val="-7"/>
        </w:rPr>
        <w:t> </w:t>
      </w:r>
      <w:r>
        <w:rPr>
          <w:color w:val="231F20"/>
        </w:rPr>
        <w:t>aumen- ta el contenido de proteínas pero disminuye el contenido de aceite. Por lo tanto es evidente que la fertilización nitrogenada debe ser optimizada para obtener un equilibrio entre producción y calidad de</w:t>
      </w:r>
      <w:r>
        <w:rPr>
          <w:color w:val="231F20"/>
          <w:spacing w:val="-7"/>
        </w:rPr>
        <w:t> </w:t>
      </w:r>
      <w:r>
        <w:rPr>
          <w:color w:val="231F20"/>
        </w:rPr>
        <w:t>semilla</w:t>
      </w:r>
      <w:r>
        <w:rPr>
          <w:color w:val="231F20"/>
          <w:spacing w:val="-8"/>
        </w:rPr>
        <w:t> </w:t>
      </w:r>
      <w:r>
        <w:rPr>
          <w:color w:val="231F20"/>
        </w:rPr>
        <w:t>(Ciampitti,</w:t>
      </w:r>
      <w:r>
        <w:rPr>
          <w:color w:val="231F20"/>
          <w:spacing w:val="-8"/>
        </w:rPr>
        <w:t> </w:t>
      </w:r>
      <w:r>
        <w:rPr>
          <w:color w:val="231F20"/>
        </w:rPr>
        <w:t>2007;</w:t>
      </w:r>
      <w:r>
        <w:rPr>
          <w:color w:val="231F20"/>
          <w:spacing w:val="-11"/>
        </w:rPr>
        <w:t> </w:t>
      </w:r>
      <w:r>
        <w:rPr>
          <w:color w:val="231F20"/>
          <w:spacing w:val="-4"/>
        </w:rPr>
        <w:t>Vidmar,</w:t>
      </w:r>
      <w:r>
        <w:rPr>
          <w:color w:val="231F20"/>
          <w:spacing w:val="-7"/>
        </w:rPr>
        <w:t> </w:t>
      </w:r>
      <w:r>
        <w:rPr>
          <w:color w:val="231F20"/>
        </w:rPr>
        <w:t>2000).Los</w:t>
      </w:r>
      <w:r>
        <w:rPr>
          <w:color w:val="231F20"/>
          <w:spacing w:val="-7"/>
        </w:rPr>
        <w:t> </w:t>
      </w:r>
      <w:r>
        <w:rPr>
          <w:color w:val="231F20"/>
        </w:rPr>
        <w:t>síntomas</w:t>
      </w:r>
      <w:r>
        <w:rPr>
          <w:color w:val="231F20"/>
          <w:spacing w:val="-8"/>
        </w:rPr>
        <w:t> </w:t>
      </w:r>
      <w:r>
        <w:rPr>
          <w:color w:val="231F20"/>
        </w:rPr>
        <w:t>de</w:t>
      </w:r>
      <w:r>
        <w:rPr>
          <w:color w:val="231F20"/>
          <w:spacing w:val="-7"/>
        </w:rPr>
        <w:t> </w:t>
      </w:r>
      <w:r>
        <w:rPr>
          <w:color w:val="231F20"/>
        </w:rPr>
        <w:t>deficiencia</w:t>
      </w:r>
      <w:r>
        <w:rPr>
          <w:color w:val="231F20"/>
          <w:spacing w:val="-8"/>
        </w:rPr>
        <w:t> </w:t>
      </w:r>
      <w:r>
        <w:rPr>
          <w:color w:val="231F20"/>
        </w:rPr>
        <w:t>se</w:t>
      </w:r>
      <w:r>
        <w:rPr>
          <w:color w:val="231F20"/>
          <w:spacing w:val="-7"/>
        </w:rPr>
        <w:t> </w:t>
      </w:r>
      <w:r>
        <w:rPr>
          <w:color w:val="231F20"/>
        </w:rPr>
        <w:t>manifiestan</w:t>
      </w:r>
      <w:r>
        <w:rPr>
          <w:color w:val="231F20"/>
          <w:spacing w:val="-8"/>
        </w:rPr>
        <w:t> </w:t>
      </w:r>
      <w:r>
        <w:rPr>
          <w:color w:val="231F20"/>
        </w:rPr>
        <w:t>en</w:t>
      </w:r>
      <w:r>
        <w:rPr>
          <w:color w:val="231F20"/>
          <w:spacing w:val="-7"/>
        </w:rPr>
        <w:t> </w:t>
      </w:r>
      <w:r>
        <w:rPr>
          <w:color w:val="231F20"/>
        </w:rPr>
        <w:t>una</w:t>
      </w:r>
      <w:r>
        <w:rPr>
          <w:color w:val="231F20"/>
          <w:spacing w:val="-7"/>
        </w:rPr>
        <w:t> </w:t>
      </w:r>
      <w:r>
        <w:rPr>
          <w:color w:val="231F20"/>
        </w:rPr>
        <w:t>dismi- nución</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longitud,</w:t>
      </w:r>
      <w:r>
        <w:rPr>
          <w:color w:val="231F20"/>
          <w:spacing w:val="-7"/>
        </w:rPr>
        <w:t> </w:t>
      </w:r>
      <w:r>
        <w:rPr>
          <w:color w:val="231F20"/>
        </w:rPr>
        <w:t>ancho</w:t>
      </w:r>
      <w:r>
        <w:rPr>
          <w:color w:val="231F20"/>
          <w:spacing w:val="-7"/>
        </w:rPr>
        <w:t> </w:t>
      </w:r>
      <w:r>
        <w:rPr>
          <w:color w:val="231F20"/>
        </w:rPr>
        <w:t>y</w:t>
      </w:r>
      <w:r>
        <w:rPr>
          <w:color w:val="231F20"/>
          <w:spacing w:val="-7"/>
        </w:rPr>
        <w:t> </w:t>
      </w:r>
      <w:r>
        <w:rPr>
          <w:color w:val="231F20"/>
        </w:rPr>
        <w:t>área</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hoja,</w:t>
      </w:r>
      <w:r>
        <w:rPr>
          <w:color w:val="231F20"/>
          <w:spacing w:val="-7"/>
        </w:rPr>
        <w:t> </w:t>
      </w:r>
      <w:r>
        <w:rPr>
          <w:color w:val="231F20"/>
        </w:rPr>
        <w:t>tallos</w:t>
      </w:r>
      <w:r>
        <w:rPr>
          <w:color w:val="231F20"/>
          <w:spacing w:val="-7"/>
        </w:rPr>
        <w:t> </w:t>
      </w:r>
      <w:r>
        <w:rPr>
          <w:color w:val="231F20"/>
        </w:rPr>
        <w:t>más</w:t>
      </w:r>
      <w:r>
        <w:rPr>
          <w:color w:val="231F20"/>
          <w:spacing w:val="-7"/>
        </w:rPr>
        <w:t> </w:t>
      </w:r>
      <w:r>
        <w:rPr>
          <w:color w:val="231F20"/>
        </w:rPr>
        <w:t>cortos</w:t>
      </w:r>
      <w:r>
        <w:rPr>
          <w:color w:val="231F20"/>
          <w:spacing w:val="-7"/>
        </w:rPr>
        <w:t> </w:t>
      </w:r>
      <w:r>
        <w:rPr>
          <w:color w:val="231F20"/>
        </w:rPr>
        <w:t>y</w:t>
      </w:r>
      <w:r>
        <w:rPr>
          <w:color w:val="231F20"/>
          <w:spacing w:val="-7"/>
        </w:rPr>
        <w:t> </w:t>
      </w:r>
      <w:r>
        <w:rPr>
          <w:color w:val="231F20"/>
        </w:rPr>
        <w:t>delgados,</w:t>
      </w:r>
      <w:r>
        <w:rPr>
          <w:color w:val="231F20"/>
          <w:spacing w:val="-7"/>
        </w:rPr>
        <w:t> </w:t>
      </w:r>
      <w:r>
        <w:rPr>
          <w:color w:val="231F20"/>
        </w:rPr>
        <w:t>plantas</w:t>
      </w:r>
      <w:r>
        <w:rPr>
          <w:color w:val="231F20"/>
          <w:spacing w:val="-7"/>
        </w:rPr>
        <w:t> </w:t>
      </w:r>
      <w:r>
        <w:rPr>
          <w:color w:val="231F20"/>
        </w:rPr>
        <w:t>atrofiadas</w:t>
      </w:r>
      <w:r>
        <w:rPr>
          <w:color w:val="231F20"/>
          <w:spacing w:val="-7"/>
        </w:rPr>
        <w:t> </w:t>
      </w:r>
      <w:r>
        <w:rPr>
          <w:color w:val="231F20"/>
        </w:rPr>
        <w:t>y</w:t>
      </w:r>
      <w:r>
        <w:rPr>
          <w:color w:val="231F20"/>
          <w:spacing w:val="-7"/>
        </w:rPr>
        <w:t> </w:t>
      </w:r>
      <w:r>
        <w:rPr>
          <w:color w:val="231F20"/>
        </w:rPr>
        <w:t>poco vigor.</w:t>
      </w:r>
      <w:r>
        <w:rPr>
          <w:color w:val="231F20"/>
          <w:spacing w:val="-9"/>
        </w:rPr>
        <w:t> </w:t>
      </w:r>
      <w:r>
        <w:rPr>
          <w:color w:val="231F20"/>
        </w:rPr>
        <w:t>El</w:t>
      </w:r>
      <w:r>
        <w:rPr>
          <w:color w:val="231F20"/>
          <w:spacing w:val="-9"/>
        </w:rPr>
        <w:t> </w:t>
      </w:r>
      <w:r>
        <w:rPr>
          <w:color w:val="231F20"/>
        </w:rPr>
        <w:t>nitrógeno</w:t>
      </w:r>
      <w:r>
        <w:rPr>
          <w:color w:val="231F20"/>
          <w:spacing w:val="-8"/>
        </w:rPr>
        <w:t> </w:t>
      </w:r>
      <w:r>
        <w:rPr>
          <w:color w:val="231F20"/>
        </w:rPr>
        <w:t>es</w:t>
      </w:r>
      <w:r>
        <w:rPr>
          <w:color w:val="231F20"/>
          <w:spacing w:val="-9"/>
        </w:rPr>
        <w:t> </w:t>
      </w:r>
      <w:r>
        <w:rPr>
          <w:color w:val="231F20"/>
        </w:rPr>
        <w:t>un</w:t>
      </w:r>
      <w:r>
        <w:rPr>
          <w:color w:val="231F20"/>
          <w:spacing w:val="-9"/>
        </w:rPr>
        <w:t> </w:t>
      </w:r>
      <w:r>
        <w:rPr>
          <w:color w:val="231F20"/>
        </w:rPr>
        <w:t>nutriente</w:t>
      </w:r>
      <w:r>
        <w:rPr>
          <w:color w:val="231F20"/>
          <w:spacing w:val="-9"/>
        </w:rPr>
        <w:t> </w:t>
      </w:r>
      <w:r>
        <w:rPr>
          <w:color w:val="231F20"/>
        </w:rPr>
        <w:t>móvil</w:t>
      </w:r>
      <w:r>
        <w:rPr>
          <w:color w:val="231F20"/>
          <w:spacing w:val="-9"/>
        </w:rPr>
        <w:t> </w:t>
      </w:r>
      <w:r>
        <w:rPr>
          <w:color w:val="231F20"/>
        </w:rPr>
        <w:t>dentro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planta,</w:t>
      </w:r>
      <w:r>
        <w:rPr>
          <w:color w:val="231F20"/>
          <w:spacing w:val="-8"/>
        </w:rPr>
        <w:t> </w:t>
      </w:r>
      <w:r>
        <w:rPr>
          <w:color w:val="231F20"/>
        </w:rPr>
        <w:t>siendo</w:t>
      </w:r>
      <w:r>
        <w:rPr>
          <w:color w:val="231F20"/>
          <w:spacing w:val="-8"/>
        </w:rPr>
        <w:t> </w:t>
      </w:r>
      <w:r>
        <w:rPr>
          <w:color w:val="231F20"/>
        </w:rPr>
        <w:t>retransportado</w:t>
      </w:r>
      <w:r>
        <w:rPr>
          <w:color w:val="231F20"/>
          <w:spacing w:val="-8"/>
        </w:rPr>
        <w:t> </w:t>
      </w:r>
      <w:r>
        <w:rPr>
          <w:color w:val="231F20"/>
        </w:rPr>
        <w:t>a</w:t>
      </w:r>
      <w:r>
        <w:rPr>
          <w:color w:val="231F20"/>
          <w:spacing w:val="-9"/>
        </w:rPr>
        <w:t> </w:t>
      </w:r>
      <w:r>
        <w:rPr>
          <w:color w:val="231F20"/>
        </w:rPr>
        <w:t>órganos</w:t>
      </w:r>
      <w:r>
        <w:rPr>
          <w:color w:val="231F20"/>
          <w:spacing w:val="-9"/>
        </w:rPr>
        <w:t> </w:t>
      </w:r>
      <w:r>
        <w:rPr>
          <w:color w:val="231F20"/>
        </w:rPr>
        <w:t>más</w:t>
      </w:r>
      <w:r>
        <w:rPr>
          <w:color w:val="231F20"/>
          <w:spacing w:val="-9"/>
        </w:rPr>
        <w:t> </w:t>
      </w:r>
      <w:r>
        <w:rPr>
          <w:color w:val="231F20"/>
        </w:rPr>
        <w:t>jó- venes,</w:t>
      </w:r>
      <w:r>
        <w:rPr>
          <w:color w:val="231F20"/>
          <w:spacing w:val="-8"/>
        </w:rPr>
        <w:t> </w:t>
      </w:r>
      <w:r>
        <w:rPr>
          <w:color w:val="231F20"/>
        </w:rPr>
        <w:t>razón</w:t>
      </w:r>
      <w:r>
        <w:rPr>
          <w:color w:val="231F20"/>
          <w:spacing w:val="-8"/>
        </w:rPr>
        <w:t> </w:t>
      </w:r>
      <w:r>
        <w:rPr>
          <w:color w:val="231F20"/>
        </w:rPr>
        <w:t>por</w:t>
      </w:r>
      <w:r>
        <w:rPr>
          <w:color w:val="231F20"/>
          <w:spacing w:val="-8"/>
        </w:rPr>
        <w:t> </w:t>
      </w:r>
      <w:r>
        <w:rPr>
          <w:color w:val="231F20"/>
        </w:rPr>
        <w:t>la</w:t>
      </w:r>
      <w:r>
        <w:rPr>
          <w:color w:val="231F20"/>
          <w:spacing w:val="-8"/>
        </w:rPr>
        <w:t> </w:t>
      </w:r>
      <w:r>
        <w:rPr>
          <w:color w:val="231F20"/>
        </w:rPr>
        <w:t>cual</w:t>
      </w:r>
      <w:r>
        <w:rPr>
          <w:color w:val="231F20"/>
          <w:spacing w:val="-8"/>
        </w:rPr>
        <w:t> </w:t>
      </w:r>
      <w:r>
        <w:rPr>
          <w:color w:val="231F20"/>
        </w:rPr>
        <w:t>se</w:t>
      </w:r>
      <w:r>
        <w:rPr>
          <w:color w:val="231F20"/>
          <w:spacing w:val="-8"/>
        </w:rPr>
        <w:t> </w:t>
      </w:r>
      <w:r>
        <w:rPr>
          <w:color w:val="231F20"/>
        </w:rPr>
        <w:t>producen</w:t>
      </w:r>
      <w:r>
        <w:rPr>
          <w:color w:val="231F20"/>
          <w:spacing w:val="-8"/>
        </w:rPr>
        <w:t> </w:t>
      </w:r>
      <w:r>
        <w:rPr>
          <w:color w:val="231F20"/>
        </w:rPr>
        <w:t>cambios</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color</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hojas,</w:t>
      </w:r>
      <w:r>
        <w:rPr>
          <w:color w:val="231F20"/>
          <w:spacing w:val="-8"/>
        </w:rPr>
        <w:t> </w:t>
      </w:r>
      <w:r>
        <w:rPr>
          <w:color w:val="231F20"/>
        </w:rPr>
        <w:t>a</w:t>
      </w:r>
      <w:r>
        <w:rPr>
          <w:color w:val="231F20"/>
          <w:spacing w:val="-8"/>
        </w:rPr>
        <w:t> </w:t>
      </w:r>
      <w:r>
        <w:rPr>
          <w:color w:val="231F20"/>
        </w:rPr>
        <w:t>un</w:t>
      </w:r>
      <w:r>
        <w:rPr>
          <w:color w:val="231F20"/>
          <w:spacing w:val="-8"/>
        </w:rPr>
        <w:t> </w:t>
      </w:r>
      <w:r>
        <w:rPr>
          <w:color w:val="231F20"/>
        </w:rPr>
        <w:t>color</w:t>
      </w:r>
      <w:r>
        <w:rPr>
          <w:color w:val="231F20"/>
          <w:spacing w:val="-8"/>
        </w:rPr>
        <w:t> </w:t>
      </w:r>
      <w:r>
        <w:rPr>
          <w:color w:val="231F20"/>
        </w:rPr>
        <w:t>verde</w:t>
      </w:r>
      <w:r>
        <w:rPr>
          <w:color w:val="231F20"/>
          <w:spacing w:val="-8"/>
        </w:rPr>
        <w:t> </w:t>
      </w:r>
      <w:r>
        <w:rPr>
          <w:color w:val="231F20"/>
        </w:rPr>
        <w:t>amarillento</w:t>
      </w:r>
      <w:r>
        <w:rPr>
          <w:color w:val="231F20"/>
          <w:spacing w:val="-8"/>
        </w:rPr>
        <w:t> </w:t>
      </w:r>
      <w:r>
        <w:rPr>
          <w:color w:val="231F20"/>
        </w:rPr>
        <w:t>en las</w:t>
      </w:r>
      <w:r>
        <w:rPr>
          <w:color w:val="231F20"/>
          <w:spacing w:val="-9"/>
        </w:rPr>
        <w:t> </w:t>
      </w:r>
      <w:r>
        <w:rPr>
          <w:color w:val="231F20"/>
        </w:rPr>
        <w:t>de</w:t>
      </w:r>
      <w:r>
        <w:rPr>
          <w:color w:val="231F20"/>
          <w:spacing w:val="-9"/>
        </w:rPr>
        <w:t> </w:t>
      </w:r>
      <w:r>
        <w:rPr>
          <w:color w:val="231F20"/>
        </w:rPr>
        <w:t>más</w:t>
      </w:r>
      <w:r>
        <w:rPr>
          <w:color w:val="231F20"/>
          <w:spacing w:val="-9"/>
        </w:rPr>
        <w:t> </w:t>
      </w:r>
      <w:r>
        <w:rPr>
          <w:color w:val="231F20"/>
        </w:rPr>
        <w:t>edad</w:t>
      </w:r>
      <w:r>
        <w:rPr>
          <w:color w:val="231F20"/>
          <w:spacing w:val="-9"/>
        </w:rPr>
        <w:t> </w:t>
      </w:r>
      <w:r>
        <w:rPr>
          <w:color w:val="231F20"/>
        </w:rPr>
        <w:t>yverde</w:t>
      </w:r>
      <w:r>
        <w:rPr>
          <w:color w:val="231F20"/>
          <w:spacing w:val="-9"/>
        </w:rPr>
        <w:t> </w:t>
      </w:r>
      <w:r>
        <w:rPr>
          <w:color w:val="231F20"/>
        </w:rPr>
        <w:t>pálido</w:t>
      </w:r>
      <w:r>
        <w:rPr>
          <w:color w:val="231F20"/>
          <w:spacing w:val="-9"/>
        </w:rPr>
        <w:t> </w:t>
      </w:r>
      <w:r>
        <w:rPr>
          <w:color w:val="231F20"/>
        </w:rPr>
        <w:t>en</w:t>
      </w:r>
      <w:r>
        <w:rPr>
          <w:color w:val="231F20"/>
          <w:spacing w:val="-9"/>
        </w:rPr>
        <w:t> </w:t>
      </w:r>
      <w:r>
        <w:rPr>
          <w:color w:val="231F20"/>
        </w:rPr>
        <w:t>hojas</w:t>
      </w:r>
      <w:r>
        <w:rPr>
          <w:color w:val="231F20"/>
          <w:spacing w:val="-9"/>
        </w:rPr>
        <w:t> </w:t>
      </w:r>
      <w:r>
        <w:rPr>
          <w:color w:val="231F20"/>
        </w:rPr>
        <w:t>más</w:t>
      </w:r>
      <w:r>
        <w:rPr>
          <w:color w:val="231F20"/>
          <w:spacing w:val="-9"/>
        </w:rPr>
        <w:t> </w:t>
      </w:r>
      <w:r>
        <w:rPr>
          <w:color w:val="231F20"/>
        </w:rPr>
        <w:t>jóvenes</w:t>
      </w:r>
      <w:r>
        <w:rPr>
          <w:color w:val="231F20"/>
          <w:spacing w:val="-9"/>
        </w:rPr>
        <w:t> </w:t>
      </w:r>
      <w:r>
        <w:rPr>
          <w:color w:val="231F20"/>
        </w:rPr>
        <w:t>(clorosis),</w:t>
      </w:r>
      <w:r>
        <w:rPr>
          <w:color w:val="231F20"/>
          <w:spacing w:val="-9"/>
        </w:rPr>
        <w:t> </w:t>
      </w:r>
      <w:r>
        <w:rPr>
          <w:color w:val="231F20"/>
        </w:rPr>
        <w:t>comparado</w:t>
      </w:r>
      <w:r>
        <w:rPr>
          <w:color w:val="231F20"/>
          <w:spacing w:val="-10"/>
        </w:rPr>
        <w:t> </w:t>
      </w:r>
      <w:r>
        <w:rPr>
          <w:color w:val="231F20"/>
        </w:rPr>
        <w:t>con</w:t>
      </w:r>
      <w:r>
        <w:rPr>
          <w:color w:val="231F20"/>
          <w:spacing w:val="34"/>
        </w:rPr>
        <w:t> </w:t>
      </w:r>
      <w:r>
        <w:rPr>
          <w:color w:val="231F20"/>
        </w:rPr>
        <w:t>un</w:t>
      </w:r>
      <w:r>
        <w:rPr>
          <w:color w:val="231F20"/>
          <w:spacing w:val="-9"/>
        </w:rPr>
        <w:t> </w:t>
      </w:r>
      <w:r>
        <w:rPr>
          <w:color w:val="231F20"/>
        </w:rPr>
        <w:t>color</w:t>
      </w:r>
      <w:r>
        <w:rPr>
          <w:color w:val="231F20"/>
          <w:spacing w:val="-9"/>
        </w:rPr>
        <w:t> </w:t>
      </w:r>
      <w:r>
        <w:rPr>
          <w:color w:val="231F20"/>
        </w:rPr>
        <w:t>verde</w:t>
      </w:r>
      <w:r>
        <w:rPr>
          <w:color w:val="231F20"/>
          <w:spacing w:val="-9"/>
        </w:rPr>
        <w:t> </w:t>
      </w:r>
      <w:r>
        <w:rPr>
          <w:color w:val="231F20"/>
        </w:rPr>
        <w:t>oscuro que presentan las plantas con un contenido adecuado de este nutriente </w:t>
      </w:r>
      <w:r>
        <w:rPr>
          <w:color w:val="231F20"/>
          <w:spacing w:val="-3"/>
        </w:rPr>
        <w:t>(Vidmar, </w:t>
      </w:r>
      <w:r>
        <w:rPr>
          <w:color w:val="231F20"/>
        </w:rPr>
        <w:t>2000; </w:t>
      </w:r>
      <w:r>
        <w:rPr>
          <w:color w:val="231F20"/>
          <w:spacing w:val="-4"/>
        </w:rPr>
        <w:t>Taiz </w:t>
      </w:r>
      <w:r>
        <w:rPr>
          <w:color w:val="231F20"/>
        </w:rPr>
        <w:t>y</w:t>
      </w:r>
      <w:r>
        <w:rPr>
          <w:color w:val="231F20"/>
          <w:spacing w:val="-32"/>
        </w:rPr>
        <w:t> </w:t>
      </w:r>
      <w:r>
        <w:rPr>
          <w:color w:val="231F20"/>
        </w:rPr>
        <w:t>Zeiger, 1998). El nitrógeno juega un papel importante, ya sea directa o indirectamente, en procesos como  el crecimiento y senescencia de la flores y la determinación de los componentes del rendimiento los que definen en diferentes etapas del ciclo del cultivo (Merrien, 1992). El porcentaje de proteína de los</w:t>
      </w:r>
      <w:r>
        <w:rPr>
          <w:color w:val="231F20"/>
          <w:spacing w:val="-3"/>
        </w:rPr>
        <w:t> </w:t>
      </w:r>
      <w:r>
        <w:rPr>
          <w:color w:val="231F20"/>
        </w:rPr>
        <w:t>frutos,</w:t>
      </w:r>
      <w:r>
        <w:rPr>
          <w:color w:val="231F20"/>
          <w:spacing w:val="-3"/>
        </w:rPr>
        <w:t> </w:t>
      </w:r>
      <w:r>
        <w:rPr>
          <w:color w:val="231F20"/>
        </w:rPr>
        <w:t>para</w:t>
      </w:r>
      <w:r>
        <w:rPr>
          <w:color w:val="231F20"/>
          <w:spacing w:val="-3"/>
        </w:rPr>
        <w:t> </w:t>
      </w:r>
      <w:r>
        <w:rPr>
          <w:color w:val="231F20"/>
        </w:rPr>
        <w:t>un</w:t>
      </w:r>
      <w:r>
        <w:rPr>
          <w:color w:val="231F20"/>
          <w:spacing w:val="-3"/>
        </w:rPr>
        <w:t> </w:t>
      </w:r>
      <w:r>
        <w:rPr>
          <w:color w:val="231F20"/>
        </w:rPr>
        <w:t>mismo</w:t>
      </w:r>
      <w:r>
        <w:rPr>
          <w:color w:val="231F20"/>
          <w:spacing w:val="-3"/>
        </w:rPr>
        <w:t> </w:t>
      </w:r>
      <w:r>
        <w:rPr>
          <w:color w:val="231F20"/>
        </w:rPr>
        <w:t>cultivar</w:t>
      </w:r>
      <w:r>
        <w:rPr>
          <w:color w:val="231F20"/>
          <w:spacing w:val="-3"/>
        </w:rPr>
        <w:t> </w:t>
      </w:r>
      <w:r>
        <w:rPr>
          <w:color w:val="231F20"/>
        </w:rPr>
        <w:t>es</w:t>
      </w:r>
      <w:r>
        <w:rPr>
          <w:color w:val="231F20"/>
          <w:spacing w:val="-3"/>
        </w:rPr>
        <w:t> </w:t>
      </w:r>
      <w:r>
        <w:rPr>
          <w:color w:val="231F20"/>
        </w:rPr>
        <w:t>fuertemente</w:t>
      </w:r>
      <w:r>
        <w:rPr>
          <w:color w:val="231F20"/>
          <w:spacing w:val="-3"/>
        </w:rPr>
        <w:t> </w:t>
      </w:r>
      <w:r>
        <w:rPr>
          <w:color w:val="231F20"/>
        </w:rPr>
        <w:t>dependiente</w:t>
      </w:r>
      <w:r>
        <w:rPr>
          <w:color w:val="231F20"/>
          <w:spacing w:val="-3"/>
        </w:rPr>
        <w:t> </w:t>
      </w:r>
      <w:r>
        <w:rPr>
          <w:color w:val="231F20"/>
        </w:rPr>
        <w:t>de</w:t>
      </w:r>
      <w:r>
        <w:rPr>
          <w:color w:val="231F20"/>
          <w:spacing w:val="-3"/>
        </w:rPr>
        <w:t> </w:t>
      </w:r>
      <w:r>
        <w:rPr>
          <w:color w:val="231F20"/>
        </w:rPr>
        <w:t>la</w:t>
      </w:r>
      <w:r>
        <w:rPr>
          <w:color w:val="231F20"/>
          <w:spacing w:val="-3"/>
        </w:rPr>
        <w:t> </w:t>
      </w:r>
      <w:r>
        <w:rPr>
          <w:color w:val="231F20"/>
        </w:rPr>
        <w:t>disponibilidad</w:t>
      </w:r>
      <w:r>
        <w:rPr>
          <w:color w:val="231F20"/>
          <w:spacing w:val="-3"/>
        </w:rPr>
        <w:t> </w:t>
      </w:r>
      <w:r>
        <w:rPr>
          <w:color w:val="231F20"/>
        </w:rPr>
        <w:t>de</w:t>
      </w:r>
      <w:r>
        <w:rPr>
          <w:color w:val="231F20"/>
          <w:spacing w:val="-3"/>
        </w:rPr>
        <w:t> </w:t>
      </w:r>
      <w:r>
        <w:rPr>
          <w:color w:val="231F20"/>
        </w:rPr>
        <w:t>nitrógeno</w:t>
      </w:r>
      <w:r>
        <w:rPr>
          <w:color w:val="231F20"/>
          <w:spacing w:val="-3"/>
        </w:rPr>
        <w:t> </w:t>
      </w:r>
      <w:r>
        <w:rPr>
          <w:color w:val="231F20"/>
        </w:rPr>
        <w:t>para la planta, pudiendo ser modificado a través de la fertilización. El manejo de la densidad de siembra esuna de las prácticas agrícolas más recomendablespara lograr un incremento en la productividad delos</w:t>
      </w:r>
      <w:r>
        <w:rPr>
          <w:color w:val="231F20"/>
          <w:spacing w:val="-8"/>
        </w:rPr>
        <w:t> </w:t>
      </w:r>
      <w:r>
        <w:rPr>
          <w:color w:val="231F20"/>
        </w:rPr>
        <w:t>cultivos,</w:t>
      </w:r>
      <w:r>
        <w:rPr>
          <w:color w:val="231F20"/>
          <w:spacing w:val="-8"/>
        </w:rPr>
        <w:t> </w:t>
      </w:r>
      <w:r>
        <w:rPr>
          <w:color w:val="231F20"/>
        </w:rPr>
        <w:t>debido</w:t>
      </w:r>
      <w:r>
        <w:rPr>
          <w:color w:val="231F20"/>
          <w:spacing w:val="-8"/>
        </w:rPr>
        <w:t> </w:t>
      </w:r>
      <w:r>
        <w:rPr>
          <w:color w:val="231F20"/>
        </w:rPr>
        <w:t>a</w:t>
      </w:r>
      <w:r>
        <w:rPr>
          <w:color w:val="231F20"/>
          <w:spacing w:val="-8"/>
        </w:rPr>
        <w:t> </w:t>
      </w:r>
      <w:r>
        <w:rPr>
          <w:color w:val="231F20"/>
        </w:rPr>
        <w:t>que</w:t>
      </w:r>
      <w:r>
        <w:rPr>
          <w:color w:val="231F20"/>
          <w:spacing w:val="-8"/>
        </w:rPr>
        <w:t> </w:t>
      </w:r>
      <w:r>
        <w:rPr>
          <w:color w:val="231F20"/>
        </w:rPr>
        <w:t>con</w:t>
      </w:r>
      <w:r>
        <w:rPr>
          <w:color w:val="231F20"/>
          <w:spacing w:val="-8"/>
        </w:rPr>
        <w:t> </w:t>
      </w:r>
      <w:r>
        <w:rPr>
          <w:color w:val="231F20"/>
        </w:rPr>
        <w:t>un</w:t>
      </w:r>
      <w:r>
        <w:rPr>
          <w:color w:val="231F20"/>
          <w:spacing w:val="-8"/>
        </w:rPr>
        <w:t> </w:t>
      </w:r>
      <w:r>
        <w:rPr>
          <w:color w:val="231F20"/>
        </w:rPr>
        <w:t>número</w:t>
      </w:r>
      <w:r>
        <w:rPr>
          <w:color w:val="231F20"/>
          <w:spacing w:val="-8"/>
        </w:rPr>
        <w:t> </w:t>
      </w:r>
      <w:r>
        <w:rPr>
          <w:color w:val="231F20"/>
        </w:rPr>
        <w:t>apropiadode</w:t>
      </w:r>
      <w:r>
        <w:rPr>
          <w:color w:val="231F20"/>
          <w:spacing w:val="-8"/>
        </w:rPr>
        <w:t> </w:t>
      </w:r>
      <w:r>
        <w:rPr>
          <w:color w:val="231F20"/>
        </w:rPr>
        <w:t>individuos</w:t>
      </w:r>
      <w:r>
        <w:rPr>
          <w:color w:val="231F20"/>
          <w:spacing w:val="-8"/>
        </w:rPr>
        <w:t> </w:t>
      </w:r>
      <w:r>
        <w:rPr>
          <w:color w:val="231F20"/>
        </w:rPr>
        <w:t>por</w:t>
      </w:r>
      <w:r>
        <w:rPr>
          <w:color w:val="231F20"/>
          <w:spacing w:val="-8"/>
        </w:rPr>
        <w:t> </w:t>
      </w:r>
      <w:r>
        <w:rPr>
          <w:color w:val="231F20"/>
        </w:rPr>
        <w:t>unidad</w:t>
      </w:r>
      <w:r>
        <w:rPr>
          <w:color w:val="231F20"/>
          <w:spacing w:val="-8"/>
        </w:rPr>
        <w:t> </w:t>
      </w:r>
      <w:r>
        <w:rPr>
          <w:color w:val="231F20"/>
        </w:rPr>
        <w:t>de</w:t>
      </w:r>
      <w:r>
        <w:rPr>
          <w:color w:val="231F20"/>
          <w:spacing w:val="-8"/>
        </w:rPr>
        <w:t> </w:t>
      </w:r>
      <w:r>
        <w:rPr>
          <w:color w:val="231F20"/>
        </w:rPr>
        <w:t>superficie,</w:t>
      </w:r>
      <w:r>
        <w:rPr>
          <w:color w:val="231F20"/>
          <w:spacing w:val="-8"/>
        </w:rPr>
        <w:t> </w:t>
      </w:r>
      <w:r>
        <w:rPr>
          <w:color w:val="231F20"/>
        </w:rPr>
        <w:t>selogra un mejor aprovechamiento de los recursoshídrico y nutricional (Escalante </w:t>
      </w:r>
      <w:r>
        <w:rPr>
          <w:color w:val="231F20"/>
          <w:spacing w:val="-3"/>
        </w:rPr>
        <w:t>1999;Vega </w:t>
      </w:r>
      <w:r>
        <w:rPr>
          <w:i/>
          <w:color w:val="231F20"/>
        </w:rPr>
        <w:t>et al.</w:t>
      </w:r>
      <w:r>
        <w:rPr>
          <w:color w:val="231F20"/>
        </w:rPr>
        <w:t>, 2001; Olalde </w:t>
      </w:r>
      <w:r>
        <w:rPr>
          <w:i/>
          <w:color w:val="231F20"/>
        </w:rPr>
        <w:t>et al.</w:t>
      </w:r>
      <w:r>
        <w:rPr>
          <w:color w:val="231F20"/>
        </w:rPr>
        <w:t>, 2000). Por lo tanto el objetivo del estudio fue: determinar la producción de biomasa y rendimiento del girasol en función a la fertilización</w:t>
      </w:r>
      <w:r>
        <w:rPr>
          <w:color w:val="231F20"/>
          <w:spacing w:val="-1"/>
        </w:rPr>
        <w:t> </w:t>
      </w:r>
      <w:r>
        <w:rPr>
          <w:color w:val="231F20"/>
        </w:rPr>
        <w:t>nitrogenada.</w:t>
      </w:r>
    </w:p>
    <w:p>
      <w:pPr>
        <w:spacing w:after="0" w:line="247" w:lineRule="auto"/>
        <w:jc w:val="both"/>
        <w:sectPr>
          <w:pgSz w:w="10920" w:h="13080"/>
          <w:pgMar w:header="0" w:footer="1025" w:top="420" w:bottom="1220" w:left="0" w:right="0"/>
        </w:sectPr>
      </w:pPr>
    </w:p>
    <w:p>
      <w:pPr>
        <w:pStyle w:val="BodyText"/>
        <w:rPr>
          <w:sz w:val="20"/>
        </w:rPr>
      </w:pPr>
    </w:p>
    <w:p>
      <w:pPr>
        <w:pStyle w:val="BodyText"/>
        <w:rPr>
          <w:sz w:val="20"/>
        </w:rPr>
      </w:pPr>
    </w:p>
    <w:p>
      <w:pPr>
        <w:pStyle w:val="BodyText"/>
        <w:spacing w:before="4"/>
        <w:rPr>
          <w:sz w:val="22"/>
        </w:rPr>
      </w:pPr>
    </w:p>
    <w:p>
      <w:pPr>
        <w:pStyle w:val="Heading3"/>
        <w:spacing w:before="69"/>
      </w:pPr>
      <w:r>
        <w:rPr>
          <w:color w:val="010202"/>
        </w:rPr>
        <w:t>Materiales y métodos</w:t>
      </w:r>
    </w:p>
    <w:p>
      <w:pPr>
        <w:pStyle w:val="BodyText"/>
        <w:spacing w:before="10"/>
        <w:rPr>
          <w:b/>
        </w:rPr>
      </w:pPr>
    </w:p>
    <w:p>
      <w:pPr>
        <w:pStyle w:val="BodyText"/>
        <w:spacing w:line="247" w:lineRule="auto"/>
        <w:ind w:left="1270" w:right="1267"/>
        <w:jc w:val="both"/>
      </w:pPr>
      <w:r>
        <w:rPr>
          <w:color w:val="231F20"/>
        </w:rPr>
        <w:t>El</w:t>
      </w:r>
      <w:r>
        <w:rPr>
          <w:color w:val="231F20"/>
          <w:spacing w:val="-11"/>
        </w:rPr>
        <w:t> </w:t>
      </w:r>
      <w:r>
        <w:rPr>
          <w:color w:val="231F20"/>
        </w:rPr>
        <w:t>estudio</w:t>
      </w:r>
      <w:r>
        <w:rPr>
          <w:color w:val="231F20"/>
          <w:spacing w:val="-12"/>
        </w:rPr>
        <w:t> </w:t>
      </w:r>
      <w:r>
        <w:rPr>
          <w:color w:val="231F20"/>
        </w:rPr>
        <w:t>se</w:t>
      </w:r>
      <w:r>
        <w:rPr>
          <w:color w:val="231F20"/>
          <w:spacing w:val="-11"/>
        </w:rPr>
        <w:t> </w:t>
      </w:r>
      <w:r>
        <w:rPr>
          <w:color w:val="231F20"/>
        </w:rPr>
        <w:t>realizó</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campus</w:t>
      </w:r>
      <w:r>
        <w:rPr>
          <w:color w:val="231F20"/>
          <w:spacing w:val="-12"/>
        </w:rPr>
        <w:t> </w:t>
      </w:r>
      <w:r>
        <w:rPr>
          <w:color w:val="231F20"/>
        </w:rPr>
        <w:t>experimental</w:t>
      </w:r>
      <w:r>
        <w:rPr>
          <w:color w:val="231F20"/>
          <w:spacing w:val="-12"/>
        </w:rPr>
        <w:t> </w:t>
      </w:r>
      <w:r>
        <w:rPr>
          <w:color w:val="231F20"/>
        </w:rPr>
        <w:t>del</w:t>
      </w:r>
      <w:r>
        <w:rPr>
          <w:color w:val="231F20"/>
          <w:spacing w:val="-11"/>
        </w:rPr>
        <w:t> </w:t>
      </w:r>
      <w:r>
        <w:rPr>
          <w:color w:val="231F20"/>
        </w:rPr>
        <w:t>Colegio</w:t>
      </w:r>
      <w:r>
        <w:rPr>
          <w:color w:val="231F20"/>
          <w:spacing w:val="-11"/>
        </w:rPr>
        <w:t> </w:t>
      </w:r>
      <w:r>
        <w:rPr>
          <w:color w:val="231F20"/>
        </w:rPr>
        <w:t>de</w:t>
      </w:r>
      <w:r>
        <w:rPr>
          <w:color w:val="231F20"/>
          <w:spacing w:val="-11"/>
        </w:rPr>
        <w:t> </w:t>
      </w:r>
      <w:r>
        <w:rPr>
          <w:color w:val="231F20"/>
        </w:rPr>
        <w:t>Postgraduados,</w:t>
      </w:r>
      <w:r>
        <w:rPr>
          <w:color w:val="231F20"/>
          <w:spacing w:val="-10"/>
        </w:rPr>
        <w:t> </w:t>
      </w:r>
      <w:r>
        <w:rPr>
          <w:color w:val="231F20"/>
        </w:rPr>
        <w:t>Montecillo,</w:t>
      </w:r>
      <w:r>
        <w:rPr>
          <w:color w:val="231F20"/>
          <w:spacing w:val="-11"/>
        </w:rPr>
        <w:t> </w:t>
      </w:r>
      <w:r>
        <w:rPr>
          <w:color w:val="231F20"/>
        </w:rPr>
        <w:t>Estado</w:t>
      </w:r>
      <w:r>
        <w:rPr>
          <w:color w:val="231F20"/>
          <w:spacing w:val="-12"/>
        </w:rPr>
        <w:t> </w:t>
      </w:r>
      <w:r>
        <w:rPr>
          <w:color w:val="231F20"/>
        </w:rPr>
        <w:t>de México, (19° 29’ N y 98° 54’ O, 2250 m de altitud), con clima Cw que corresponde al menos seco de los áridos con régimen de lluvias en verano, temperatura media anual de 14.6 °C y precipitación media</w:t>
      </w:r>
      <w:r>
        <w:rPr>
          <w:color w:val="231F20"/>
          <w:spacing w:val="-10"/>
        </w:rPr>
        <w:t> </w:t>
      </w:r>
      <w:r>
        <w:rPr>
          <w:color w:val="231F20"/>
        </w:rPr>
        <w:t>anual</w:t>
      </w:r>
      <w:r>
        <w:rPr>
          <w:color w:val="231F20"/>
          <w:spacing w:val="-10"/>
        </w:rPr>
        <w:t> </w:t>
      </w:r>
      <w:r>
        <w:rPr>
          <w:color w:val="231F20"/>
        </w:rPr>
        <w:t>de</w:t>
      </w:r>
      <w:r>
        <w:rPr>
          <w:color w:val="231F20"/>
          <w:spacing w:val="-10"/>
        </w:rPr>
        <w:t> </w:t>
      </w:r>
      <w:r>
        <w:rPr>
          <w:color w:val="231F20"/>
        </w:rPr>
        <w:t>500</w:t>
      </w:r>
      <w:r>
        <w:rPr>
          <w:color w:val="231F20"/>
          <w:spacing w:val="-10"/>
        </w:rPr>
        <w:t> </w:t>
      </w:r>
      <w:r>
        <w:rPr>
          <w:color w:val="231F20"/>
        </w:rPr>
        <w:t>mm</w:t>
      </w:r>
      <w:r>
        <w:rPr>
          <w:color w:val="231F20"/>
          <w:spacing w:val="-10"/>
        </w:rPr>
        <w:t> </w:t>
      </w:r>
      <w:r>
        <w:rPr>
          <w:color w:val="231F20"/>
        </w:rPr>
        <w:t>(García,</w:t>
      </w:r>
      <w:r>
        <w:rPr>
          <w:color w:val="231F20"/>
          <w:spacing w:val="-10"/>
        </w:rPr>
        <w:t> </w:t>
      </w:r>
      <w:r>
        <w:rPr>
          <w:color w:val="231F20"/>
        </w:rPr>
        <w:t>2005);</w:t>
      </w:r>
      <w:r>
        <w:rPr>
          <w:color w:val="231F20"/>
          <w:spacing w:val="-10"/>
        </w:rPr>
        <w:t> </w:t>
      </w:r>
      <w:r>
        <w:rPr>
          <w:color w:val="231F20"/>
        </w:rPr>
        <w:t>al</w:t>
      </w:r>
      <w:r>
        <w:rPr>
          <w:color w:val="231F20"/>
          <w:spacing w:val="-10"/>
        </w:rPr>
        <w:t> </w:t>
      </w:r>
      <w:r>
        <w:rPr>
          <w:color w:val="231F20"/>
        </w:rPr>
        <w:t>suelo</w:t>
      </w:r>
      <w:r>
        <w:rPr>
          <w:color w:val="231F20"/>
          <w:spacing w:val="-10"/>
        </w:rPr>
        <w:t> </w:t>
      </w:r>
      <w:r>
        <w:rPr>
          <w:color w:val="231F20"/>
        </w:rPr>
        <w:t>evaluado</w:t>
      </w:r>
      <w:r>
        <w:rPr>
          <w:color w:val="231F20"/>
          <w:spacing w:val="-10"/>
        </w:rPr>
        <w:t> </w:t>
      </w:r>
      <w:r>
        <w:rPr>
          <w:color w:val="231F20"/>
        </w:rPr>
        <w:t>se</w:t>
      </w:r>
      <w:r>
        <w:rPr>
          <w:color w:val="231F20"/>
          <w:spacing w:val="-10"/>
        </w:rPr>
        <w:t> </w:t>
      </w:r>
      <w:r>
        <w:rPr>
          <w:color w:val="231F20"/>
        </w:rPr>
        <w:t>le</w:t>
      </w:r>
      <w:r>
        <w:rPr>
          <w:color w:val="231F20"/>
          <w:spacing w:val="-10"/>
        </w:rPr>
        <w:t> </w:t>
      </w:r>
      <w:r>
        <w:rPr>
          <w:color w:val="231F20"/>
        </w:rPr>
        <w:t>realizó</w:t>
      </w:r>
      <w:r>
        <w:rPr>
          <w:color w:val="231F20"/>
          <w:spacing w:val="-10"/>
        </w:rPr>
        <w:t> </w:t>
      </w:r>
      <w:r>
        <w:rPr>
          <w:color w:val="231F20"/>
        </w:rPr>
        <w:t>un</w:t>
      </w:r>
      <w:r>
        <w:rPr>
          <w:color w:val="231F20"/>
          <w:spacing w:val="-10"/>
        </w:rPr>
        <w:t> </w:t>
      </w:r>
      <w:r>
        <w:rPr>
          <w:color w:val="231F20"/>
        </w:rPr>
        <w:t>análisis</w:t>
      </w:r>
      <w:r>
        <w:rPr>
          <w:color w:val="231F20"/>
          <w:spacing w:val="-10"/>
        </w:rPr>
        <w:t> </w:t>
      </w:r>
      <w:r>
        <w:rPr>
          <w:color w:val="231F20"/>
        </w:rPr>
        <w:t>físico-químico</w:t>
      </w:r>
      <w:r>
        <w:rPr>
          <w:color w:val="231F20"/>
          <w:spacing w:val="-10"/>
        </w:rPr>
        <w:t> </w:t>
      </w:r>
      <w:r>
        <w:rPr>
          <w:color w:val="231F20"/>
        </w:rPr>
        <w:t>pre- vio al establecimiento del experimento, los cuales indican que el suelo es de textura arcillo-limosa, moderadamente alcalino (pH=7.8), la conductividad eléctrica (1.7 dSm-1), materia orgánica</w:t>
      </w:r>
      <w:r>
        <w:rPr>
          <w:color w:val="231F20"/>
          <w:spacing w:val="-33"/>
        </w:rPr>
        <w:t> </w:t>
      </w:r>
      <w:r>
        <w:rPr>
          <w:color w:val="231F20"/>
        </w:rPr>
        <w:t>(3.4%), medianamente rico en nitrógeno total (0.158 %).</w:t>
      </w:r>
    </w:p>
    <w:p>
      <w:pPr>
        <w:pStyle w:val="BodyText"/>
        <w:spacing w:before="10"/>
      </w:pPr>
    </w:p>
    <w:p>
      <w:pPr>
        <w:pStyle w:val="BodyText"/>
        <w:spacing w:line="249" w:lineRule="auto"/>
        <w:ind w:left="1270" w:right="1268"/>
        <w:jc w:val="both"/>
      </w:pPr>
      <w:r>
        <w:rPr>
          <w:color w:val="231F20"/>
        </w:rPr>
        <w:t>La metodología empleada para la determinación de todos los elementos esenciales antes menciona- dos</w:t>
      </w:r>
      <w:r>
        <w:rPr>
          <w:color w:val="231F20"/>
          <w:spacing w:val="-10"/>
        </w:rPr>
        <w:t> </w:t>
      </w:r>
      <w:r>
        <w:rPr>
          <w:color w:val="231F20"/>
        </w:rPr>
        <w:t>se</w:t>
      </w:r>
      <w:r>
        <w:rPr>
          <w:color w:val="231F20"/>
          <w:spacing w:val="-10"/>
        </w:rPr>
        <w:t> </w:t>
      </w:r>
      <w:r>
        <w:rPr>
          <w:color w:val="231F20"/>
        </w:rPr>
        <w:t>hizo</w:t>
      </w:r>
      <w:r>
        <w:rPr>
          <w:color w:val="231F20"/>
          <w:spacing w:val="-10"/>
        </w:rPr>
        <w:t> </w:t>
      </w:r>
      <w:r>
        <w:rPr>
          <w:color w:val="231F20"/>
        </w:rPr>
        <w:t>con</w:t>
      </w:r>
      <w:r>
        <w:rPr>
          <w:color w:val="231F20"/>
          <w:spacing w:val="-10"/>
        </w:rPr>
        <w:t> </w:t>
      </w:r>
      <w:r>
        <w:rPr>
          <w:color w:val="231F20"/>
        </w:rPr>
        <w:t>base</w:t>
      </w:r>
      <w:r>
        <w:rPr>
          <w:color w:val="231F20"/>
          <w:spacing w:val="-10"/>
        </w:rPr>
        <w:t> </w:t>
      </w:r>
      <w:r>
        <w:rPr>
          <w:color w:val="231F20"/>
        </w:rPr>
        <w:t>en</w:t>
      </w:r>
      <w:r>
        <w:rPr>
          <w:color w:val="231F20"/>
          <w:spacing w:val="-10"/>
        </w:rPr>
        <w:t> </w:t>
      </w:r>
      <w:r>
        <w:rPr>
          <w:color w:val="231F20"/>
        </w:rPr>
        <w:t>al</w:t>
      </w:r>
      <w:r>
        <w:rPr>
          <w:color w:val="231F20"/>
          <w:spacing w:val="-10"/>
        </w:rPr>
        <w:t> </w:t>
      </w:r>
      <w:r>
        <w:rPr>
          <w:color w:val="231F20"/>
        </w:rPr>
        <w:t>manual</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spacing w:val="-6"/>
        </w:rPr>
        <w:t>FAO</w:t>
      </w:r>
      <w:r>
        <w:rPr>
          <w:color w:val="231F20"/>
          <w:spacing w:val="-10"/>
        </w:rPr>
        <w:t> </w:t>
      </w:r>
      <w:r>
        <w:rPr>
          <w:color w:val="231F20"/>
        </w:rPr>
        <w:t>2000.</w:t>
      </w:r>
      <w:r>
        <w:rPr>
          <w:color w:val="231F20"/>
          <w:spacing w:val="-10"/>
        </w:rPr>
        <w:t> </w:t>
      </w:r>
      <w:r>
        <w:rPr>
          <w:color w:val="231F20"/>
        </w:rPr>
        <w:t>La</w:t>
      </w:r>
      <w:r>
        <w:rPr>
          <w:color w:val="231F20"/>
          <w:spacing w:val="-10"/>
        </w:rPr>
        <w:t> </w:t>
      </w:r>
      <w:r>
        <w:rPr>
          <w:color w:val="231F20"/>
        </w:rPr>
        <w:t>siembra</w:t>
      </w:r>
      <w:r>
        <w:rPr>
          <w:color w:val="231F20"/>
          <w:spacing w:val="-10"/>
        </w:rPr>
        <w:t> </w:t>
      </w:r>
      <w:r>
        <w:rPr>
          <w:color w:val="231F20"/>
        </w:rPr>
        <w:t>se</w:t>
      </w:r>
      <w:r>
        <w:rPr>
          <w:color w:val="231F20"/>
          <w:spacing w:val="-10"/>
        </w:rPr>
        <w:t> </w:t>
      </w:r>
      <w:r>
        <w:rPr>
          <w:color w:val="231F20"/>
        </w:rPr>
        <w:t>llevó</w:t>
      </w:r>
      <w:r>
        <w:rPr>
          <w:color w:val="231F20"/>
          <w:spacing w:val="-10"/>
        </w:rPr>
        <w:t> </w:t>
      </w:r>
      <w:r>
        <w:rPr>
          <w:color w:val="231F20"/>
        </w:rPr>
        <w:t>a</w:t>
      </w:r>
      <w:r>
        <w:rPr>
          <w:color w:val="231F20"/>
          <w:spacing w:val="-10"/>
        </w:rPr>
        <w:t> </w:t>
      </w:r>
      <w:r>
        <w:rPr>
          <w:color w:val="231F20"/>
        </w:rPr>
        <w:t>cabo</w:t>
      </w:r>
      <w:r>
        <w:rPr>
          <w:color w:val="231F20"/>
          <w:spacing w:val="-10"/>
        </w:rPr>
        <w:t> </w:t>
      </w:r>
      <w:r>
        <w:rPr>
          <w:color w:val="231F20"/>
        </w:rPr>
        <w:t>el</w:t>
      </w:r>
      <w:r>
        <w:rPr>
          <w:color w:val="231F20"/>
          <w:spacing w:val="-10"/>
        </w:rPr>
        <w:t> </w:t>
      </w:r>
      <w:r>
        <w:rPr>
          <w:color w:val="231F20"/>
        </w:rPr>
        <w:t>25</w:t>
      </w:r>
      <w:r>
        <w:rPr>
          <w:color w:val="231F20"/>
          <w:spacing w:val="-10"/>
        </w:rPr>
        <w:t> </w:t>
      </w:r>
      <w:r>
        <w:rPr>
          <w:color w:val="231F20"/>
        </w:rPr>
        <w:t>de</w:t>
      </w:r>
      <w:r>
        <w:rPr>
          <w:color w:val="231F20"/>
          <w:spacing w:val="-10"/>
        </w:rPr>
        <w:t> </w:t>
      </w:r>
      <w:r>
        <w:rPr>
          <w:color w:val="231F20"/>
        </w:rPr>
        <w:t>mayo</w:t>
      </w:r>
      <w:r>
        <w:rPr>
          <w:color w:val="231F20"/>
          <w:spacing w:val="-10"/>
        </w:rPr>
        <w:t> </w:t>
      </w:r>
      <w:r>
        <w:rPr>
          <w:color w:val="231F20"/>
        </w:rPr>
        <w:t>de</w:t>
      </w:r>
      <w:r>
        <w:rPr>
          <w:color w:val="231F20"/>
          <w:spacing w:val="-10"/>
        </w:rPr>
        <w:t> </w:t>
      </w:r>
      <w:r>
        <w:rPr>
          <w:color w:val="231F20"/>
        </w:rPr>
        <w:t>2011, se utilizó el cultivar Victoria, los tratamientos fueron 0, 50 y 100 kg de N ha.1 con una densidad de 80</w:t>
      </w:r>
      <w:r>
        <w:rPr>
          <w:color w:val="231F20"/>
          <w:spacing w:val="-5"/>
        </w:rPr>
        <w:t> </w:t>
      </w:r>
      <w:r>
        <w:rPr>
          <w:color w:val="231F20"/>
        </w:rPr>
        <w:t>000plantas</w:t>
      </w:r>
      <w:r>
        <w:rPr>
          <w:color w:val="231F20"/>
          <w:spacing w:val="-5"/>
        </w:rPr>
        <w:t> </w:t>
      </w:r>
      <w:r>
        <w:rPr>
          <w:color w:val="231F20"/>
        </w:rPr>
        <w:t>ha</w:t>
      </w:r>
      <w:r>
        <w:rPr>
          <w:color w:val="231F20"/>
          <w:position w:val="7"/>
          <w:sz w:val="12"/>
        </w:rPr>
        <w:t>-1</w:t>
      </w:r>
      <w:r>
        <w:rPr>
          <w:color w:val="231F20"/>
        </w:rPr>
        <w:t>.</w:t>
      </w:r>
      <w:r>
        <w:rPr>
          <w:color w:val="231F20"/>
          <w:spacing w:val="-5"/>
        </w:rPr>
        <w:t> </w:t>
      </w:r>
      <w:r>
        <w:rPr>
          <w:color w:val="231F20"/>
        </w:rPr>
        <w:t>Como</w:t>
      </w:r>
      <w:r>
        <w:rPr>
          <w:color w:val="231F20"/>
          <w:spacing w:val="-5"/>
        </w:rPr>
        <w:t> </w:t>
      </w:r>
      <w:r>
        <w:rPr>
          <w:color w:val="231F20"/>
        </w:rPr>
        <w:t>fuente</w:t>
      </w:r>
      <w:r>
        <w:rPr>
          <w:color w:val="231F20"/>
          <w:spacing w:val="-5"/>
        </w:rPr>
        <w:t> </w:t>
      </w:r>
      <w:r>
        <w:rPr>
          <w:color w:val="231F20"/>
        </w:rPr>
        <w:t>de</w:t>
      </w:r>
      <w:r>
        <w:rPr>
          <w:color w:val="231F20"/>
          <w:spacing w:val="-5"/>
        </w:rPr>
        <w:t> </w:t>
      </w:r>
      <w:r>
        <w:rPr>
          <w:color w:val="231F20"/>
        </w:rPr>
        <w:t>nitrógeno</w:t>
      </w:r>
      <w:r>
        <w:rPr>
          <w:color w:val="231F20"/>
          <w:spacing w:val="-5"/>
        </w:rPr>
        <w:t> </w:t>
      </w:r>
      <w:r>
        <w:rPr>
          <w:color w:val="231F20"/>
        </w:rPr>
        <w:t>se</w:t>
      </w:r>
      <w:r>
        <w:rPr>
          <w:color w:val="231F20"/>
          <w:spacing w:val="-5"/>
        </w:rPr>
        <w:t> </w:t>
      </w:r>
      <w:r>
        <w:rPr>
          <w:color w:val="231F20"/>
        </w:rPr>
        <w:t>utilizó</w:t>
      </w:r>
      <w:r>
        <w:rPr>
          <w:color w:val="231F20"/>
          <w:spacing w:val="-5"/>
        </w:rPr>
        <w:t> </w:t>
      </w:r>
      <w:r>
        <w:rPr>
          <w:color w:val="231F20"/>
        </w:rPr>
        <w:t>urea</w:t>
      </w:r>
      <w:r>
        <w:rPr>
          <w:color w:val="231F20"/>
          <w:spacing w:val="-5"/>
        </w:rPr>
        <w:t> </w:t>
      </w:r>
      <w:r>
        <w:rPr>
          <w:color w:val="231F20"/>
        </w:rPr>
        <w:t>(46%</w:t>
      </w:r>
      <w:r>
        <w:rPr>
          <w:color w:val="231F20"/>
          <w:spacing w:val="-5"/>
        </w:rPr>
        <w:t> </w:t>
      </w:r>
      <w:r>
        <w:rPr>
          <w:color w:val="231F20"/>
        </w:rPr>
        <w:t>de</w:t>
      </w:r>
      <w:r>
        <w:rPr>
          <w:color w:val="231F20"/>
          <w:spacing w:val="-5"/>
        </w:rPr>
        <w:t> </w:t>
      </w:r>
      <w:r>
        <w:rPr>
          <w:color w:val="231F20"/>
        </w:rPr>
        <w:t>N).</w:t>
      </w:r>
      <w:r>
        <w:rPr>
          <w:color w:val="231F20"/>
          <w:spacing w:val="-5"/>
        </w:rPr>
        <w:t> </w:t>
      </w:r>
      <w:r>
        <w:rPr>
          <w:color w:val="231F20"/>
        </w:rPr>
        <w:t>El</w:t>
      </w:r>
      <w:r>
        <w:rPr>
          <w:color w:val="231F20"/>
          <w:spacing w:val="-5"/>
        </w:rPr>
        <w:t> </w:t>
      </w:r>
      <w:r>
        <w:rPr>
          <w:color w:val="231F20"/>
        </w:rPr>
        <w:t>diseño</w:t>
      </w:r>
      <w:r>
        <w:rPr>
          <w:color w:val="231F20"/>
          <w:spacing w:val="-5"/>
        </w:rPr>
        <w:t> </w:t>
      </w:r>
      <w:r>
        <w:rPr>
          <w:color w:val="231F20"/>
        </w:rPr>
        <w:t>experimental</w:t>
      </w:r>
      <w:r>
        <w:rPr>
          <w:color w:val="231F20"/>
          <w:spacing w:val="-5"/>
        </w:rPr>
        <w:t> </w:t>
      </w:r>
      <w:r>
        <w:rPr>
          <w:color w:val="231F20"/>
        </w:rPr>
        <w:t>fue de</w:t>
      </w:r>
      <w:r>
        <w:rPr>
          <w:color w:val="231F20"/>
          <w:spacing w:val="-5"/>
        </w:rPr>
        <w:t> </w:t>
      </w:r>
      <w:r>
        <w:rPr>
          <w:color w:val="231F20"/>
        </w:rPr>
        <w:t>bloques</w:t>
      </w:r>
      <w:r>
        <w:rPr>
          <w:color w:val="231F20"/>
          <w:spacing w:val="-5"/>
        </w:rPr>
        <w:t> </w:t>
      </w:r>
      <w:r>
        <w:rPr>
          <w:color w:val="231F20"/>
        </w:rPr>
        <w:t>al</w:t>
      </w:r>
      <w:r>
        <w:rPr>
          <w:color w:val="231F20"/>
          <w:spacing w:val="-5"/>
        </w:rPr>
        <w:t> </w:t>
      </w:r>
      <w:r>
        <w:rPr>
          <w:color w:val="231F20"/>
        </w:rPr>
        <w:t>azar</w:t>
      </w:r>
      <w:r>
        <w:rPr>
          <w:color w:val="231F20"/>
          <w:spacing w:val="-5"/>
        </w:rPr>
        <w:t> </w:t>
      </w:r>
      <w:r>
        <w:rPr>
          <w:color w:val="231F20"/>
        </w:rPr>
        <w:t>con</w:t>
      </w:r>
      <w:r>
        <w:rPr>
          <w:color w:val="231F20"/>
          <w:spacing w:val="-5"/>
        </w:rPr>
        <w:t> </w:t>
      </w:r>
      <w:r>
        <w:rPr>
          <w:color w:val="231F20"/>
        </w:rPr>
        <w:t>arreglo</w:t>
      </w:r>
      <w:r>
        <w:rPr>
          <w:color w:val="231F20"/>
          <w:spacing w:val="-5"/>
        </w:rPr>
        <w:t> </w:t>
      </w:r>
      <w:r>
        <w:rPr>
          <w:color w:val="231F20"/>
        </w:rPr>
        <w:t>de</w:t>
      </w:r>
      <w:r>
        <w:rPr>
          <w:color w:val="231F20"/>
          <w:spacing w:val="-5"/>
        </w:rPr>
        <w:t> </w:t>
      </w:r>
      <w:r>
        <w:rPr>
          <w:color w:val="231F20"/>
        </w:rPr>
        <w:t>parcelas</w:t>
      </w:r>
      <w:r>
        <w:rPr>
          <w:color w:val="231F20"/>
          <w:spacing w:val="-5"/>
        </w:rPr>
        <w:t> </w:t>
      </w:r>
      <w:r>
        <w:rPr>
          <w:color w:val="231F20"/>
        </w:rPr>
        <w:t>subdivididas</w:t>
      </w:r>
      <w:r>
        <w:rPr>
          <w:color w:val="231F20"/>
          <w:spacing w:val="-4"/>
        </w:rPr>
        <w:t> </w:t>
      </w:r>
      <w:r>
        <w:rPr>
          <w:color w:val="231F20"/>
        </w:rPr>
        <w:t>y</w:t>
      </w:r>
      <w:r>
        <w:rPr>
          <w:color w:val="231F20"/>
          <w:spacing w:val="-5"/>
        </w:rPr>
        <w:t> </w:t>
      </w:r>
      <w:r>
        <w:rPr>
          <w:color w:val="231F20"/>
        </w:rPr>
        <w:t>cuatro</w:t>
      </w:r>
      <w:r>
        <w:rPr>
          <w:color w:val="231F20"/>
          <w:spacing w:val="-5"/>
        </w:rPr>
        <w:t> </w:t>
      </w:r>
      <w:r>
        <w:rPr>
          <w:color w:val="231F20"/>
        </w:rPr>
        <w:t>repeticiones.</w:t>
      </w:r>
      <w:r>
        <w:rPr>
          <w:color w:val="231F20"/>
          <w:spacing w:val="-5"/>
        </w:rPr>
        <w:t> </w:t>
      </w:r>
      <w:r>
        <w:rPr>
          <w:color w:val="231F20"/>
        </w:rPr>
        <w:t>Las</w:t>
      </w:r>
      <w:r>
        <w:rPr>
          <w:color w:val="231F20"/>
          <w:spacing w:val="-5"/>
        </w:rPr>
        <w:t> </w:t>
      </w:r>
      <w:r>
        <w:rPr>
          <w:color w:val="231F20"/>
        </w:rPr>
        <w:t>etapas</w:t>
      </w:r>
      <w:r>
        <w:rPr>
          <w:color w:val="231F20"/>
          <w:spacing w:val="-5"/>
        </w:rPr>
        <w:t> </w:t>
      </w:r>
      <w:r>
        <w:rPr>
          <w:color w:val="231F20"/>
        </w:rPr>
        <w:t>fenológicas registradas</w:t>
      </w:r>
      <w:r>
        <w:rPr>
          <w:color w:val="231F20"/>
          <w:spacing w:val="-9"/>
        </w:rPr>
        <w:t> </w:t>
      </w:r>
      <w:r>
        <w:rPr>
          <w:color w:val="231F20"/>
        </w:rPr>
        <w:t>fueron:</w:t>
      </w:r>
      <w:r>
        <w:rPr>
          <w:color w:val="231F20"/>
          <w:spacing w:val="-9"/>
        </w:rPr>
        <w:t> </w:t>
      </w:r>
      <w:r>
        <w:rPr>
          <w:color w:val="231F20"/>
        </w:rPr>
        <w:t>días</w:t>
      </w:r>
      <w:r>
        <w:rPr>
          <w:color w:val="231F20"/>
          <w:spacing w:val="-9"/>
        </w:rPr>
        <w:t> </w:t>
      </w:r>
      <w:r>
        <w:rPr>
          <w:color w:val="231F20"/>
        </w:rPr>
        <w:t>a</w:t>
      </w:r>
      <w:r>
        <w:rPr>
          <w:color w:val="231F20"/>
          <w:spacing w:val="-9"/>
        </w:rPr>
        <w:t> </w:t>
      </w:r>
      <w:r>
        <w:rPr>
          <w:color w:val="231F20"/>
        </w:rPr>
        <w:t>emergencia</w:t>
      </w:r>
      <w:r>
        <w:rPr>
          <w:color w:val="231F20"/>
          <w:spacing w:val="-9"/>
        </w:rPr>
        <w:t> </w:t>
      </w:r>
      <w:r>
        <w:rPr>
          <w:color w:val="231F20"/>
        </w:rPr>
        <w:t>(E),</w:t>
      </w:r>
      <w:r>
        <w:rPr>
          <w:color w:val="231F20"/>
          <w:spacing w:val="-9"/>
        </w:rPr>
        <w:t> </w:t>
      </w:r>
      <w:r>
        <w:rPr>
          <w:color w:val="231F20"/>
        </w:rPr>
        <w:t>a</w:t>
      </w:r>
      <w:r>
        <w:rPr>
          <w:color w:val="231F20"/>
          <w:spacing w:val="-9"/>
        </w:rPr>
        <w:t> </w:t>
      </w:r>
      <w:r>
        <w:rPr>
          <w:color w:val="231F20"/>
        </w:rPr>
        <w:t>inicio</w:t>
      </w:r>
      <w:r>
        <w:rPr>
          <w:color w:val="231F20"/>
          <w:spacing w:val="-9"/>
        </w:rPr>
        <w:t> </w:t>
      </w:r>
      <w:r>
        <w:rPr>
          <w:color w:val="231F20"/>
        </w:rPr>
        <w:t>de</w:t>
      </w:r>
      <w:r>
        <w:rPr>
          <w:color w:val="231F20"/>
          <w:spacing w:val="-9"/>
        </w:rPr>
        <w:t> </w:t>
      </w:r>
      <w:r>
        <w:rPr>
          <w:color w:val="231F20"/>
        </w:rPr>
        <w:t>antesis</w:t>
      </w:r>
      <w:r>
        <w:rPr>
          <w:color w:val="231F20"/>
          <w:spacing w:val="-9"/>
        </w:rPr>
        <w:t> </w:t>
      </w:r>
      <w:r>
        <w:rPr>
          <w:color w:val="231F20"/>
        </w:rPr>
        <w:t>(R5)</w:t>
      </w:r>
      <w:r>
        <w:rPr>
          <w:color w:val="231F20"/>
          <w:spacing w:val="-9"/>
        </w:rPr>
        <w:t> </w:t>
      </w:r>
      <w:r>
        <w:rPr>
          <w:color w:val="231F20"/>
        </w:rPr>
        <w:t>y</w:t>
      </w:r>
      <w:r>
        <w:rPr>
          <w:color w:val="231F20"/>
          <w:spacing w:val="-9"/>
        </w:rPr>
        <w:t> </w:t>
      </w:r>
      <w:r>
        <w:rPr>
          <w:color w:val="231F20"/>
        </w:rPr>
        <w:t>a</w:t>
      </w:r>
      <w:r>
        <w:rPr>
          <w:color w:val="231F20"/>
          <w:spacing w:val="-9"/>
        </w:rPr>
        <w:t> </w:t>
      </w:r>
      <w:r>
        <w:rPr>
          <w:color w:val="231F20"/>
        </w:rPr>
        <w:t>madurez</w:t>
      </w:r>
      <w:r>
        <w:rPr>
          <w:color w:val="231F20"/>
          <w:spacing w:val="-9"/>
        </w:rPr>
        <w:t> </w:t>
      </w:r>
      <w:r>
        <w:rPr>
          <w:color w:val="231F20"/>
        </w:rPr>
        <w:t>fisiológica</w:t>
      </w:r>
      <w:r>
        <w:rPr>
          <w:color w:val="231F20"/>
          <w:spacing w:val="-9"/>
        </w:rPr>
        <w:t> </w:t>
      </w:r>
      <w:r>
        <w:rPr>
          <w:color w:val="231F20"/>
        </w:rPr>
        <w:t>(MF)</w:t>
      </w:r>
      <w:r>
        <w:rPr>
          <w:color w:val="231F20"/>
          <w:spacing w:val="-8"/>
        </w:rPr>
        <w:t> </w:t>
      </w:r>
      <w:r>
        <w:rPr>
          <w:color w:val="231F20"/>
        </w:rPr>
        <w:t>(Sch- neiter y Miller, 1981). Se registró la temperatura máxima, mínima y precipitación. A la cosecha se registró el rendimiento y sus componentes, como diámetro del capítulo (DC), peso de 100 semillas (P100S),</w:t>
      </w:r>
      <w:r>
        <w:rPr>
          <w:color w:val="231F20"/>
          <w:spacing w:val="-4"/>
        </w:rPr>
        <w:t> </w:t>
      </w:r>
      <w:r>
        <w:rPr>
          <w:color w:val="231F20"/>
        </w:rPr>
        <w:t>biomasa</w:t>
      </w:r>
      <w:r>
        <w:rPr>
          <w:color w:val="231F20"/>
          <w:spacing w:val="-4"/>
        </w:rPr>
        <w:t> </w:t>
      </w:r>
      <w:r>
        <w:rPr>
          <w:color w:val="231F20"/>
        </w:rPr>
        <w:t>total</w:t>
      </w:r>
      <w:r>
        <w:rPr>
          <w:color w:val="231F20"/>
          <w:spacing w:val="-4"/>
        </w:rPr>
        <w:t> </w:t>
      </w:r>
      <w:r>
        <w:rPr>
          <w:color w:val="231F20"/>
        </w:rPr>
        <w:t>(suma</w:t>
      </w:r>
      <w:r>
        <w:rPr>
          <w:color w:val="231F20"/>
          <w:spacing w:val="-4"/>
        </w:rPr>
        <w:t> </w:t>
      </w:r>
      <w:r>
        <w:rPr>
          <w:color w:val="231F20"/>
        </w:rPr>
        <w:t>del</w:t>
      </w:r>
      <w:r>
        <w:rPr>
          <w:color w:val="231F20"/>
          <w:spacing w:val="-4"/>
        </w:rPr>
        <w:t> </w:t>
      </w:r>
      <w:r>
        <w:rPr>
          <w:color w:val="231F20"/>
        </w:rPr>
        <w:t>peso</w:t>
      </w:r>
      <w:r>
        <w:rPr>
          <w:color w:val="231F20"/>
          <w:spacing w:val="-4"/>
        </w:rPr>
        <w:t> </w:t>
      </w:r>
      <w:r>
        <w:rPr>
          <w:color w:val="231F20"/>
        </w:rPr>
        <w:t>de</w:t>
      </w:r>
      <w:r>
        <w:rPr>
          <w:color w:val="231F20"/>
          <w:spacing w:val="-4"/>
        </w:rPr>
        <w:t> </w:t>
      </w:r>
      <w:r>
        <w:rPr>
          <w:color w:val="231F20"/>
        </w:rPr>
        <w:t>receptáculo+</w:t>
      </w:r>
      <w:r>
        <w:rPr>
          <w:color w:val="231F20"/>
          <w:spacing w:val="-4"/>
        </w:rPr>
        <w:t> </w:t>
      </w:r>
      <w:r>
        <w:rPr>
          <w:color w:val="231F20"/>
        </w:rPr>
        <w:t>peso</w:t>
      </w:r>
      <w:r>
        <w:rPr>
          <w:color w:val="231F20"/>
          <w:spacing w:val="-4"/>
        </w:rPr>
        <w:t> </w:t>
      </w:r>
      <w:r>
        <w:rPr>
          <w:color w:val="231F20"/>
        </w:rPr>
        <w:t>seco</w:t>
      </w:r>
      <w:r>
        <w:rPr>
          <w:color w:val="231F20"/>
          <w:spacing w:val="-3"/>
        </w:rPr>
        <w:t> </w:t>
      </w:r>
      <w:r>
        <w:rPr>
          <w:color w:val="231F20"/>
        </w:rPr>
        <w:t>de</w:t>
      </w:r>
      <w:r>
        <w:rPr>
          <w:color w:val="231F20"/>
          <w:spacing w:val="-4"/>
        </w:rPr>
        <w:t> </w:t>
      </w:r>
      <w:r>
        <w:rPr>
          <w:color w:val="231F20"/>
        </w:rPr>
        <w:t>tallo+</w:t>
      </w:r>
      <w:r>
        <w:rPr>
          <w:color w:val="231F20"/>
          <w:spacing w:val="-4"/>
        </w:rPr>
        <w:t> </w:t>
      </w:r>
      <w:r>
        <w:rPr>
          <w:color w:val="231F20"/>
        </w:rPr>
        <w:t>peso</w:t>
      </w:r>
      <w:r>
        <w:rPr>
          <w:color w:val="231F20"/>
          <w:spacing w:val="-4"/>
        </w:rPr>
        <w:t> </w:t>
      </w:r>
      <w:r>
        <w:rPr>
          <w:color w:val="231F20"/>
        </w:rPr>
        <w:t>seco</w:t>
      </w:r>
      <w:r>
        <w:rPr>
          <w:color w:val="231F20"/>
          <w:spacing w:val="-3"/>
        </w:rPr>
        <w:t> </w:t>
      </w:r>
      <w:r>
        <w:rPr>
          <w:color w:val="231F20"/>
        </w:rPr>
        <w:t>de</w:t>
      </w:r>
      <w:r>
        <w:rPr>
          <w:color w:val="231F20"/>
          <w:spacing w:val="-4"/>
        </w:rPr>
        <w:t> </w:t>
      </w:r>
      <w:r>
        <w:rPr>
          <w:color w:val="231F20"/>
        </w:rPr>
        <w:t>hoja</w:t>
      </w:r>
      <w:r>
        <w:rPr>
          <w:color w:val="231F20"/>
          <w:spacing w:val="-4"/>
        </w:rPr>
        <w:t> </w:t>
      </w:r>
      <w:r>
        <w:rPr>
          <w:color w:val="231F20"/>
        </w:rPr>
        <w:t>+</w:t>
      </w:r>
      <w:r>
        <w:rPr>
          <w:color w:val="231F20"/>
          <w:spacing w:val="-4"/>
        </w:rPr>
        <w:t> </w:t>
      </w:r>
      <w:r>
        <w:rPr>
          <w:color w:val="231F20"/>
        </w:rPr>
        <w:t>peso de rendimiento) e Índice de cosecha (IC). Para el cálculo de de IC, se utilizó el peso de la semilla secada al aire (rendimiento agronómico) y la biomasa total (rendimiento biológico) Escalante y Ko- hashi (1993) mediante la siguiente expresión: IC= (peso de semilla/biomasa total) x 100.</w:t>
      </w:r>
    </w:p>
    <w:p>
      <w:pPr>
        <w:pStyle w:val="BodyText"/>
        <w:spacing w:before="7"/>
        <w:rPr>
          <w:sz w:val="22"/>
        </w:rPr>
      </w:pPr>
    </w:p>
    <w:p>
      <w:pPr>
        <w:pStyle w:val="Heading3"/>
      </w:pPr>
      <w:r>
        <w:rPr>
          <w:color w:val="010202"/>
        </w:rPr>
        <w:t>Resultados y discusión</w:t>
      </w:r>
    </w:p>
    <w:p>
      <w:pPr>
        <w:pStyle w:val="BodyText"/>
        <w:spacing w:before="10"/>
        <w:rPr>
          <w:b/>
        </w:rPr>
      </w:pPr>
    </w:p>
    <w:p>
      <w:pPr>
        <w:pStyle w:val="Heading5"/>
      </w:pPr>
      <w:r>
        <w:rPr>
          <w:color w:val="231F20"/>
        </w:rPr>
        <w:t>Elementos del clima</w:t>
      </w:r>
    </w:p>
    <w:p>
      <w:pPr>
        <w:pStyle w:val="BodyText"/>
        <w:spacing w:line="247" w:lineRule="auto" w:before="8"/>
        <w:ind w:left="1270" w:right="1268"/>
        <w:jc w:val="both"/>
      </w:pPr>
      <w:r>
        <w:rPr>
          <w:color w:val="231F20"/>
        </w:rPr>
        <w:t>En la Figura 1, que presenta los datos de temperatura máxima (Tmax), mínima (Tmin) promedio decenal y la precipitación suma decenal, durante el ciclo del cultivo, se observa que el promedio decenal durante la estación de crecimiento de Tmax fue 26ºC y la Tmin de 10ºC. La temperatura más alta ocurrió en la etapa vegetativa del cultivo y posteriormente, disminuyó conforme el ciclo</w:t>
      </w:r>
      <w:r>
        <w:rPr>
          <w:color w:val="231F20"/>
          <w:spacing w:val="-30"/>
        </w:rPr>
        <w:t> </w:t>
      </w:r>
      <w:r>
        <w:rPr>
          <w:color w:val="231F20"/>
        </w:rPr>
        <w:t>de cultivo avanzó. La precipitación total fue de 360 mm.</w:t>
      </w:r>
    </w:p>
    <w:p>
      <w:pPr>
        <w:pStyle w:val="BodyText"/>
        <w:spacing w:before="9"/>
      </w:pPr>
    </w:p>
    <w:p>
      <w:pPr>
        <w:pStyle w:val="Heading5"/>
        <w:spacing w:before="1"/>
      </w:pPr>
      <w:r>
        <w:rPr>
          <w:color w:val="231F20"/>
        </w:rPr>
        <w:t>Fenología</w:t>
      </w:r>
    </w:p>
    <w:p>
      <w:pPr>
        <w:pStyle w:val="BodyText"/>
        <w:spacing w:line="247" w:lineRule="auto" w:before="8"/>
        <w:ind w:left="1270" w:right="1268"/>
        <w:jc w:val="both"/>
      </w:pPr>
      <w:r>
        <w:rPr>
          <w:color w:val="231F20"/>
        </w:rPr>
        <w:t>No se observaron cambios en la fenología por efecto de los tratamientos. Así, la emergencia (E) de plántulas de girasol se presentó a los 7 días después de la siembra (DDS), el periodo de emergencia a inicio de floración (R5) ocurrió a 65 (DDS). La madurez fisiológica (R9) se presentó a los 130 (DDS)  (Figura 1).</w:t>
      </w:r>
    </w:p>
    <w:p>
      <w:pPr>
        <w:spacing w:after="0" w:line="247" w:lineRule="auto"/>
        <w:jc w:val="both"/>
        <w:sectPr>
          <w:pgSz w:w="10920" w:h="13080"/>
          <w:pgMar w:header="0" w:footer="1025" w:top="420" w:bottom="1220" w:left="0" w:right="0"/>
        </w:sectPr>
      </w:pPr>
    </w:p>
    <w:p>
      <w:pPr>
        <w:pStyle w:val="BodyText"/>
        <w:rPr>
          <w:sz w:val="20"/>
        </w:rPr>
      </w:pPr>
    </w:p>
    <w:p>
      <w:pPr>
        <w:pStyle w:val="BodyText"/>
        <w:rPr>
          <w:sz w:val="20"/>
        </w:rPr>
      </w:pPr>
    </w:p>
    <w:p>
      <w:pPr>
        <w:pStyle w:val="BodyText"/>
        <w:rPr>
          <w:sz w:val="23"/>
        </w:rPr>
      </w:pPr>
    </w:p>
    <w:p>
      <w:pPr>
        <w:spacing w:before="77"/>
        <w:ind w:left="1362" w:right="0" w:firstLine="0"/>
        <w:jc w:val="both"/>
        <w:rPr>
          <w:b/>
          <w:sz w:val="18"/>
        </w:rPr>
      </w:pPr>
      <w:r>
        <w:rPr>
          <w:b/>
          <w:color w:val="010202"/>
          <w:sz w:val="18"/>
        </w:rPr>
        <w:t>Figura 1. Temperatura máxima, mínima (media decenal) y precipitación (suma decenal) durante el ciclo de</w:t>
      </w:r>
    </w:p>
    <w:p>
      <w:pPr>
        <w:spacing w:before="43"/>
        <w:ind w:left="1489" w:right="1489" w:firstLine="0"/>
        <w:jc w:val="center"/>
        <w:rPr>
          <w:b/>
          <w:sz w:val="18"/>
        </w:rPr>
      </w:pPr>
      <w:r>
        <w:rPr>
          <w:b/>
          <w:color w:val="010202"/>
          <w:sz w:val="18"/>
        </w:rPr>
        <w:t>cultivo de girasol. Montecillo, México. Verano 2011. EV, R5 y R9 se definen en Materiales y métodos</w:t>
      </w:r>
    </w:p>
    <w:p>
      <w:pPr>
        <w:pStyle w:val="BodyText"/>
        <w:spacing w:before="9"/>
        <w:rPr>
          <w:b/>
          <w:sz w:val="18"/>
        </w:rPr>
      </w:pPr>
      <w:r>
        <w:rPr/>
        <w:drawing>
          <wp:anchor distT="0" distB="0" distL="0" distR="0" allowOverlap="1" layoutInCell="1" locked="0" behindDoc="0" simplePos="0" relativeHeight="3160">
            <wp:simplePos x="0" y="0"/>
            <wp:positionH relativeFrom="page">
              <wp:posOffset>1472700</wp:posOffset>
            </wp:positionH>
            <wp:positionV relativeFrom="paragraph">
              <wp:posOffset>161954</wp:posOffset>
            </wp:positionV>
            <wp:extent cx="3969996" cy="2372868"/>
            <wp:effectExtent l="0" t="0" r="0" b="0"/>
            <wp:wrapTopAndBottom/>
            <wp:docPr id="101" name="image30.png" descr=""/>
            <wp:cNvGraphicFramePr>
              <a:graphicFrameLocks noChangeAspect="1"/>
            </wp:cNvGraphicFramePr>
            <a:graphic>
              <a:graphicData uri="http://schemas.openxmlformats.org/drawingml/2006/picture">
                <pic:pic>
                  <pic:nvPicPr>
                    <pic:cNvPr id="102" name="image30.png"/>
                    <pic:cNvPicPr/>
                  </pic:nvPicPr>
                  <pic:blipFill>
                    <a:blip r:embed="rId49" cstate="print"/>
                    <a:stretch>
                      <a:fillRect/>
                    </a:stretch>
                  </pic:blipFill>
                  <pic:spPr>
                    <a:xfrm>
                      <a:off x="0" y="0"/>
                      <a:ext cx="3969996" cy="2372868"/>
                    </a:xfrm>
                    <a:prstGeom prst="rect">
                      <a:avLst/>
                    </a:prstGeom>
                  </pic:spPr>
                </pic:pic>
              </a:graphicData>
            </a:graphic>
          </wp:anchor>
        </w:drawing>
      </w:r>
    </w:p>
    <w:p>
      <w:pPr>
        <w:pStyle w:val="BodyText"/>
        <w:spacing w:before="5"/>
        <w:rPr>
          <w:b/>
          <w:sz w:val="25"/>
        </w:rPr>
      </w:pPr>
    </w:p>
    <w:p>
      <w:pPr>
        <w:pStyle w:val="BodyText"/>
        <w:spacing w:line="249" w:lineRule="auto"/>
        <w:ind w:left="1270" w:right="1268"/>
        <w:jc w:val="both"/>
      </w:pPr>
      <w:r>
        <w:rPr>
          <w:color w:val="231F20"/>
        </w:rPr>
        <w:t>Rendimiento.</w:t>
      </w:r>
      <w:r>
        <w:rPr>
          <w:color w:val="231F20"/>
          <w:spacing w:val="-5"/>
        </w:rPr>
        <w:t> </w:t>
      </w:r>
      <w:r>
        <w:rPr>
          <w:color w:val="231F20"/>
        </w:rPr>
        <w:t>Respecto</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proporción</w:t>
      </w:r>
      <w:r>
        <w:rPr>
          <w:color w:val="231F20"/>
          <w:spacing w:val="-5"/>
        </w:rPr>
        <w:t> </w:t>
      </w:r>
      <w:r>
        <w:rPr>
          <w:color w:val="231F20"/>
        </w:rPr>
        <w:t>de</w:t>
      </w:r>
      <w:r>
        <w:rPr>
          <w:color w:val="231F20"/>
          <w:spacing w:val="-5"/>
        </w:rPr>
        <w:t> </w:t>
      </w:r>
      <w:r>
        <w:rPr>
          <w:color w:val="231F20"/>
        </w:rPr>
        <w:t>Biomasa</w:t>
      </w:r>
      <w:r>
        <w:rPr>
          <w:color w:val="231F20"/>
          <w:spacing w:val="-5"/>
        </w:rPr>
        <w:t> </w:t>
      </w:r>
      <w:r>
        <w:rPr>
          <w:color w:val="231F20"/>
        </w:rPr>
        <w:t>total,</w:t>
      </w:r>
      <w:r>
        <w:rPr>
          <w:color w:val="231F20"/>
          <w:spacing w:val="-5"/>
        </w:rPr>
        <w:t> </w:t>
      </w:r>
      <w:r>
        <w:rPr>
          <w:color w:val="231F20"/>
        </w:rPr>
        <w:t>la</w:t>
      </w:r>
      <w:r>
        <w:rPr>
          <w:color w:val="231F20"/>
          <w:spacing w:val="-5"/>
        </w:rPr>
        <w:t> </w:t>
      </w:r>
      <w:r>
        <w:rPr>
          <w:color w:val="231F20"/>
        </w:rPr>
        <w:t>aplicación</w:t>
      </w:r>
      <w:r>
        <w:rPr>
          <w:color w:val="231F20"/>
          <w:spacing w:val="-5"/>
        </w:rPr>
        <w:t> </w:t>
      </w:r>
      <w:r>
        <w:rPr>
          <w:color w:val="231F20"/>
        </w:rPr>
        <w:t>de</w:t>
      </w:r>
      <w:r>
        <w:rPr>
          <w:color w:val="231F20"/>
          <w:spacing w:val="-5"/>
        </w:rPr>
        <w:t> </w:t>
      </w:r>
      <w:r>
        <w:rPr>
          <w:color w:val="231F20"/>
        </w:rPr>
        <w:t>N</w:t>
      </w:r>
      <w:r>
        <w:rPr>
          <w:color w:val="231F20"/>
          <w:spacing w:val="-5"/>
        </w:rPr>
        <w:t> </w:t>
      </w:r>
      <w:r>
        <w:rPr>
          <w:color w:val="231F20"/>
        </w:rPr>
        <w:t>(50</w:t>
      </w:r>
      <w:r>
        <w:rPr>
          <w:color w:val="231F20"/>
          <w:spacing w:val="-5"/>
        </w:rPr>
        <w:t> </w:t>
      </w:r>
      <w:r>
        <w:rPr>
          <w:color w:val="231F20"/>
        </w:rPr>
        <w:t>y</w:t>
      </w:r>
      <w:r>
        <w:rPr>
          <w:color w:val="231F20"/>
          <w:spacing w:val="-5"/>
        </w:rPr>
        <w:t> </w:t>
      </w:r>
      <w:r>
        <w:rPr>
          <w:color w:val="231F20"/>
        </w:rPr>
        <w:t>100</w:t>
      </w:r>
      <w:r>
        <w:rPr>
          <w:color w:val="231F20"/>
          <w:spacing w:val="-5"/>
        </w:rPr>
        <w:t> </w:t>
      </w:r>
      <w:r>
        <w:rPr>
          <w:color w:val="231F20"/>
        </w:rPr>
        <w:t>kg</w:t>
      </w:r>
      <w:r>
        <w:rPr>
          <w:color w:val="231F20"/>
          <w:spacing w:val="-5"/>
        </w:rPr>
        <w:t> </w:t>
      </w:r>
      <w:r>
        <w:rPr>
          <w:color w:val="231F20"/>
        </w:rPr>
        <w:t>ha</w:t>
      </w:r>
      <w:r>
        <w:rPr>
          <w:color w:val="231F20"/>
          <w:position w:val="7"/>
          <w:sz w:val="12"/>
        </w:rPr>
        <w:t>-1</w:t>
      </w:r>
      <w:r>
        <w:rPr>
          <w:color w:val="231F20"/>
        </w:rPr>
        <w:t>)</w:t>
      </w:r>
      <w:r>
        <w:rPr>
          <w:color w:val="231F20"/>
          <w:spacing w:val="-5"/>
        </w:rPr>
        <w:t> </w:t>
      </w:r>
      <w:r>
        <w:rPr>
          <w:color w:val="231F20"/>
        </w:rPr>
        <w:t>incre- mentó</w:t>
      </w:r>
      <w:r>
        <w:rPr>
          <w:color w:val="231F20"/>
          <w:spacing w:val="-4"/>
        </w:rPr>
        <w:t> </w:t>
      </w:r>
      <w:r>
        <w:rPr>
          <w:color w:val="231F20"/>
        </w:rPr>
        <w:t>la</w:t>
      </w:r>
      <w:r>
        <w:rPr>
          <w:color w:val="231F20"/>
          <w:spacing w:val="-4"/>
        </w:rPr>
        <w:t> </w:t>
      </w:r>
      <w:r>
        <w:rPr>
          <w:color w:val="231F20"/>
        </w:rPr>
        <w:t>producción</w:t>
      </w:r>
      <w:r>
        <w:rPr>
          <w:color w:val="231F20"/>
          <w:spacing w:val="-4"/>
        </w:rPr>
        <w:t> </w:t>
      </w:r>
      <w:r>
        <w:rPr>
          <w:color w:val="231F20"/>
        </w:rPr>
        <w:t>de</w:t>
      </w:r>
      <w:r>
        <w:rPr>
          <w:color w:val="231F20"/>
          <w:spacing w:val="-4"/>
        </w:rPr>
        <w:t> </w:t>
      </w:r>
      <w:r>
        <w:rPr>
          <w:color w:val="231F20"/>
        </w:rPr>
        <w:t>materia</w:t>
      </w:r>
      <w:r>
        <w:rPr>
          <w:color w:val="231F20"/>
          <w:spacing w:val="-4"/>
        </w:rPr>
        <w:t> </w:t>
      </w:r>
      <w:r>
        <w:rPr>
          <w:color w:val="231F20"/>
        </w:rPr>
        <w:t>seca</w:t>
      </w:r>
      <w:r>
        <w:rPr>
          <w:color w:val="231F20"/>
          <w:spacing w:val="-4"/>
        </w:rPr>
        <w:t> </w:t>
      </w:r>
      <w:r>
        <w:rPr>
          <w:color w:val="231F20"/>
        </w:rPr>
        <w:t>y</w:t>
      </w:r>
      <w:r>
        <w:rPr>
          <w:color w:val="231F20"/>
          <w:spacing w:val="-4"/>
        </w:rPr>
        <w:t> </w:t>
      </w:r>
      <w:r>
        <w:rPr>
          <w:color w:val="231F20"/>
        </w:rPr>
        <w:t>por</w:t>
      </w:r>
      <w:r>
        <w:rPr>
          <w:color w:val="231F20"/>
          <w:spacing w:val="-4"/>
        </w:rPr>
        <w:t> </w:t>
      </w:r>
      <w:r>
        <w:rPr>
          <w:color w:val="231F20"/>
        </w:rPr>
        <w:t>ende</w:t>
      </w:r>
      <w:r>
        <w:rPr>
          <w:color w:val="231F20"/>
          <w:spacing w:val="-4"/>
        </w:rPr>
        <w:t> </w:t>
      </w:r>
      <w:r>
        <w:rPr>
          <w:color w:val="231F20"/>
        </w:rPr>
        <w:t>aumentando</w:t>
      </w:r>
      <w:r>
        <w:rPr>
          <w:color w:val="231F20"/>
          <w:spacing w:val="-4"/>
        </w:rPr>
        <w:t> </w:t>
      </w:r>
      <w:r>
        <w:rPr>
          <w:color w:val="231F20"/>
        </w:rPr>
        <w:t>el</w:t>
      </w:r>
      <w:r>
        <w:rPr>
          <w:color w:val="231F20"/>
          <w:spacing w:val="-4"/>
        </w:rPr>
        <w:t> </w:t>
      </w:r>
      <w:r>
        <w:rPr>
          <w:color w:val="231F20"/>
        </w:rPr>
        <w:t>porcentaje</w:t>
      </w:r>
      <w:r>
        <w:rPr>
          <w:color w:val="231F20"/>
          <w:spacing w:val="-4"/>
        </w:rPr>
        <w:t> </w:t>
      </w:r>
      <w:r>
        <w:rPr>
          <w:color w:val="231F20"/>
        </w:rPr>
        <w:t>de</w:t>
      </w:r>
      <w:r>
        <w:rPr>
          <w:color w:val="231F20"/>
          <w:spacing w:val="-4"/>
        </w:rPr>
        <w:t> </w:t>
      </w:r>
      <w:r>
        <w:rPr>
          <w:color w:val="231F20"/>
        </w:rPr>
        <w:t>Biomasa</w:t>
      </w:r>
      <w:r>
        <w:rPr>
          <w:color w:val="231F20"/>
          <w:spacing w:val="-4"/>
        </w:rPr>
        <w:t> </w:t>
      </w:r>
      <w:r>
        <w:rPr>
          <w:color w:val="231F20"/>
        </w:rPr>
        <w:t>total</w:t>
      </w:r>
      <w:r>
        <w:rPr>
          <w:color w:val="231F20"/>
          <w:spacing w:val="-4"/>
        </w:rPr>
        <w:t> </w:t>
      </w:r>
      <w:r>
        <w:rPr>
          <w:color w:val="231F20"/>
        </w:rPr>
        <w:t>(Cuadro 1). El análisis de varianza no muestra diferencias significativas en rendimiento para nitrógeno. El efecto</w:t>
      </w:r>
      <w:r>
        <w:rPr>
          <w:color w:val="231F20"/>
          <w:spacing w:val="-3"/>
        </w:rPr>
        <w:t> </w:t>
      </w:r>
      <w:r>
        <w:rPr>
          <w:color w:val="231F20"/>
        </w:rPr>
        <w:t>de</w:t>
      </w:r>
      <w:r>
        <w:rPr>
          <w:color w:val="231F20"/>
          <w:spacing w:val="-3"/>
        </w:rPr>
        <w:t> </w:t>
      </w:r>
      <w:r>
        <w:rPr>
          <w:color w:val="231F20"/>
        </w:rPr>
        <w:t>nitrógeno</w:t>
      </w:r>
      <w:r>
        <w:rPr>
          <w:color w:val="231F20"/>
          <w:spacing w:val="-3"/>
        </w:rPr>
        <w:t> </w:t>
      </w:r>
      <w:r>
        <w:rPr>
          <w:color w:val="231F20"/>
        </w:rPr>
        <w:t>(50</w:t>
      </w:r>
      <w:r>
        <w:rPr>
          <w:color w:val="231F20"/>
          <w:spacing w:val="-3"/>
        </w:rPr>
        <w:t> </w:t>
      </w:r>
      <w:r>
        <w:rPr>
          <w:color w:val="231F20"/>
        </w:rPr>
        <w:t>y</w:t>
      </w:r>
      <w:r>
        <w:rPr>
          <w:color w:val="231F20"/>
          <w:spacing w:val="-3"/>
        </w:rPr>
        <w:t> </w:t>
      </w:r>
      <w:r>
        <w:rPr>
          <w:color w:val="231F20"/>
        </w:rPr>
        <w:t>100</w:t>
      </w:r>
      <w:r>
        <w:rPr>
          <w:color w:val="231F20"/>
          <w:spacing w:val="-3"/>
        </w:rPr>
        <w:t> </w:t>
      </w:r>
      <w:r>
        <w:rPr>
          <w:color w:val="231F20"/>
        </w:rPr>
        <w:t>kg</w:t>
      </w:r>
      <w:r>
        <w:rPr>
          <w:color w:val="231F20"/>
          <w:spacing w:val="-3"/>
        </w:rPr>
        <w:t> </w:t>
      </w:r>
      <w:r>
        <w:rPr>
          <w:color w:val="231F20"/>
        </w:rPr>
        <w:t>ha</w:t>
      </w:r>
      <w:r>
        <w:rPr>
          <w:color w:val="231F20"/>
          <w:position w:val="7"/>
          <w:sz w:val="12"/>
        </w:rPr>
        <w:t>-1</w:t>
      </w:r>
      <w:r>
        <w:rPr>
          <w:color w:val="231F20"/>
        </w:rPr>
        <w:t>)</w:t>
      </w:r>
      <w:r>
        <w:rPr>
          <w:color w:val="231F20"/>
          <w:spacing w:val="-3"/>
        </w:rPr>
        <w:t> </w:t>
      </w:r>
      <w:r>
        <w:rPr>
          <w:color w:val="231F20"/>
        </w:rPr>
        <w:t>en</w:t>
      </w:r>
      <w:r>
        <w:rPr>
          <w:color w:val="231F20"/>
          <w:spacing w:val="-3"/>
        </w:rPr>
        <w:t> </w:t>
      </w:r>
      <w:r>
        <w:rPr>
          <w:color w:val="231F20"/>
        </w:rPr>
        <w:t>80</w:t>
      </w:r>
      <w:r>
        <w:rPr>
          <w:color w:val="231F20"/>
          <w:spacing w:val="-3"/>
        </w:rPr>
        <w:t> </w:t>
      </w:r>
      <w:r>
        <w:rPr>
          <w:color w:val="231F20"/>
        </w:rPr>
        <w:t>mil</w:t>
      </w:r>
      <w:r>
        <w:rPr>
          <w:color w:val="231F20"/>
          <w:spacing w:val="-3"/>
        </w:rPr>
        <w:t> </w:t>
      </w:r>
      <w:r>
        <w:rPr>
          <w:color w:val="231F20"/>
        </w:rPr>
        <w:t>plantas</w:t>
      </w:r>
      <w:r>
        <w:rPr>
          <w:color w:val="231F20"/>
          <w:spacing w:val="-3"/>
        </w:rPr>
        <w:t> </w:t>
      </w:r>
      <w:r>
        <w:rPr>
          <w:color w:val="231F20"/>
        </w:rPr>
        <w:t>por</w:t>
      </w:r>
      <w:r>
        <w:rPr>
          <w:color w:val="231F20"/>
          <w:spacing w:val="-3"/>
        </w:rPr>
        <w:t> </w:t>
      </w:r>
      <w:r>
        <w:rPr>
          <w:color w:val="231F20"/>
        </w:rPr>
        <w:t>ha1</w:t>
      </w:r>
      <w:r>
        <w:rPr>
          <w:color w:val="231F20"/>
          <w:spacing w:val="-3"/>
        </w:rPr>
        <w:t> </w:t>
      </w:r>
      <w:r>
        <w:rPr>
          <w:color w:val="231F20"/>
        </w:rPr>
        <w:t>mostró</w:t>
      </w:r>
      <w:r>
        <w:rPr>
          <w:color w:val="231F20"/>
          <w:spacing w:val="-3"/>
        </w:rPr>
        <w:t> </w:t>
      </w:r>
      <w:r>
        <w:rPr>
          <w:color w:val="231F20"/>
        </w:rPr>
        <w:t>un</w:t>
      </w:r>
      <w:r>
        <w:rPr>
          <w:color w:val="231F20"/>
          <w:spacing w:val="-3"/>
        </w:rPr>
        <w:t> </w:t>
      </w:r>
      <w:r>
        <w:rPr>
          <w:color w:val="231F20"/>
        </w:rPr>
        <w:t>rendimiento</w:t>
      </w:r>
      <w:r>
        <w:rPr>
          <w:color w:val="231F20"/>
          <w:spacing w:val="-3"/>
        </w:rPr>
        <w:t> </w:t>
      </w:r>
      <w:r>
        <w:rPr>
          <w:color w:val="231F20"/>
        </w:rPr>
        <w:t>más</w:t>
      </w:r>
      <w:r>
        <w:rPr>
          <w:color w:val="231F20"/>
          <w:spacing w:val="-3"/>
        </w:rPr>
        <w:t> </w:t>
      </w:r>
      <w:r>
        <w:rPr>
          <w:color w:val="231F20"/>
        </w:rPr>
        <w:t>alto</w:t>
      </w:r>
      <w:r>
        <w:rPr>
          <w:color w:val="231F20"/>
          <w:spacing w:val="-3"/>
        </w:rPr>
        <w:t> </w:t>
      </w:r>
      <w:r>
        <w:rPr>
          <w:color w:val="231F20"/>
        </w:rPr>
        <w:t>que el</w:t>
      </w:r>
      <w:r>
        <w:rPr>
          <w:color w:val="231F20"/>
          <w:spacing w:val="-8"/>
        </w:rPr>
        <w:t> </w:t>
      </w:r>
      <w:r>
        <w:rPr>
          <w:color w:val="231F20"/>
        </w:rPr>
        <w:t>testigo</w:t>
      </w:r>
      <w:r>
        <w:rPr>
          <w:color w:val="231F20"/>
          <w:spacing w:val="-8"/>
        </w:rPr>
        <w:t> </w:t>
      </w:r>
      <w:r>
        <w:rPr>
          <w:color w:val="231F20"/>
        </w:rPr>
        <w:t>(Cuadro</w:t>
      </w:r>
      <w:r>
        <w:rPr>
          <w:color w:val="231F20"/>
          <w:spacing w:val="-8"/>
        </w:rPr>
        <w:t> </w:t>
      </w:r>
      <w:r>
        <w:rPr>
          <w:color w:val="231F20"/>
        </w:rPr>
        <w:t>1),</w:t>
      </w:r>
      <w:r>
        <w:rPr>
          <w:color w:val="231F20"/>
          <w:spacing w:val="-8"/>
        </w:rPr>
        <w:t> </w:t>
      </w:r>
      <w:r>
        <w:rPr>
          <w:color w:val="231F20"/>
        </w:rPr>
        <w:t>esto</w:t>
      </w:r>
      <w:r>
        <w:rPr>
          <w:color w:val="231F20"/>
          <w:spacing w:val="-8"/>
        </w:rPr>
        <w:t> </w:t>
      </w:r>
      <w:r>
        <w:rPr>
          <w:color w:val="231F20"/>
        </w:rPr>
        <w:t>concuerda</w:t>
      </w:r>
      <w:r>
        <w:rPr>
          <w:color w:val="231F20"/>
          <w:spacing w:val="-8"/>
        </w:rPr>
        <w:t> </w:t>
      </w:r>
      <w:r>
        <w:rPr>
          <w:color w:val="231F20"/>
        </w:rPr>
        <w:t>con</w:t>
      </w:r>
      <w:r>
        <w:rPr>
          <w:color w:val="231F20"/>
          <w:spacing w:val="-8"/>
        </w:rPr>
        <w:t> </w:t>
      </w:r>
      <w:r>
        <w:rPr>
          <w:color w:val="231F20"/>
        </w:rPr>
        <w:t>lo</w:t>
      </w:r>
      <w:r>
        <w:rPr>
          <w:color w:val="231F20"/>
          <w:spacing w:val="-8"/>
        </w:rPr>
        <w:t> </w:t>
      </w:r>
      <w:r>
        <w:rPr>
          <w:color w:val="231F20"/>
        </w:rPr>
        <w:t>encontrado</w:t>
      </w:r>
      <w:r>
        <w:rPr>
          <w:color w:val="231F20"/>
          <w:spacing w:val="-8"/>
        </w:rPr>
        <w:t> </w:t>
      </w:r>
      <w:r>
        <w:rPr>
          <w:color w:val="231F20"/>
        </w:rPr>
        <w:t>por</w:t>
      </w:r>
      <w:r>
        <w:rPr>
          <w:color w:val="231F20"/>
          <w:spacing w:val="-8"/>
        </w:rPr>
        <w:t> </w:t>
      </w:r>
      <w:r>
        <w:rPr>
          <w:color w:val="231F20"/>
        </w:rPr>
        <w:t>(Escalante</w:t>
      </w:r>
      <w:r>
        <w:rPr>
          <w:color w:val="231F20"/>
          <w:spacing w:val="-8"/>
        </w:rPr>
        <w:t> </w:t>
      </w:r>
      <w:r>
        <w:rPr>
          <w:color w:val="231F20"/>
        </w:rPr>
        <w:t>y</w:t>
      </w:r>
      <w:r>
        <w:rPr>
          <w:color w:val="231F20"/>
          <w:spacing w:val="-8"/>
        </w:rPr>
        <w:t> </w:t>
      </w:r>
      <w:r>
        <w:rPr>
          <w:color w:val="231F20"/>
        </w:rPr>
        <w:t>Rodríguez,</w:t>
      </w:r>
      <w:r>
        <w:rPr>
          <w:color w:val="231F20"/>
          <w:spacing w:val="-8"/>
        </w:rPr>
        <w:t> </w:t>
      </w:r>
      <w:r>
        <w:rPr>
          <w:color w:val="231F20"/>
        </w:rPr>
        <w:t>1994;</w:t>
      </w:r>
      <w:r>
        <w:rPr>
          <w:color w:val="231F20"/>
          <w:spacing w:val="-8"/>
        </w:rPr>
        <w:t> </w:t>
      </w:r>
      <w:r>
        <w:rPr>
          <w:color w:val="231F20"/>
        </w:rPr>
        <w:t>Escalante, 1999; </w:t>
      </w:r>
      <w:r>
        <w:rPr>
          <w:color w:val="231F20"/>
          <w:spacing w:val="-6"/>
        </w:rPr>
        <w:t>Vega </w:t>
      </w:r>
      <w:r>
        <w:rPr>
          <w:i/>
          <w:color w:val="231F20"/>
        </w:rPr>
        <w:t>et al.</w:t>
      </w:r>
      <w:r>
        <w:rPr>
          <w:color w:val="231F20"/>
        </w:rPr>
        <w:t>, 2001;Olalde </w:t>
      </w:r>
      <w:r>
        <w:rPr>
          <w:i/>
          <w:color w:val="231F20"/>
        </w:rPr>
        <w:t>et al.</w:t>
      </w:r>
      <w:r>
        <w:rPr>
          <w:color w:val="231F20"/>
        </w:rPr>
        <w:t>, 2000) en donde señalan que al combinar la fertilización nitro- genada y densidad alta, se logra el rendimiento más alto, siendo 517 g</w:t>
      </w:r>
      <w:r>
        <w:rPr>
          <w:color w:val="231F20"/>
          <w:spacing w:val="-10"/>
        </w:rPr>
        <w:t> </w:t>
      </w:r>
      <w:r>
        <w:rPr>
          <w:color w:val="231F20"/>
        </w:rPr>
        <w:t>m</w:t>
      </w:r>
      <w:r>
        <w:rPr>
          <w:color w:val="231F20"/>
          <w:position w:val="7"/>
          <w:sz w:val="12"/>
        </w:rPr>
        <w:t>-2</w:t>
      </w:r>
      <w:r>
        <w:rPr>
          <w:color w:val="231F20"/>
        </w:rPr>
        <w:t>.</w:t>
      </w:r>
    </w:p>
    <w:p>
      <w:pPr>
        <w:pStyle w:val="BodyText"/>
        <w:spacing w:before="1"/>
      </w:pPr>
    </w:p>
    <w:p>
      <w:pPr>
        <w:spacing w:before="0"/>
        <w:ind w:left="1489" w:right="1489" w:firstLine="0"/>
        <w:jc w:val="center"/>
        <w:rPr>
          <w:b/>
          <w:sz w:val="18"/>
        </w:rPr>
      </w:pPr>
      <w:r>
        <w:rPr>
          <w:b/>
          <w:color w:val="010202"/>
          <w:sz w:val="18"/>
        </w:rPr>
        <w:t>Cuadro 1. Biomasa, índice de cosecha, rendimiento y componentes del girasol en función al nitrógeno.</w:t>
      </w:r>
    </w:p>
    <w:p>
      <w:pPr>
        <w:spacing w:before="9"/>
        <w:ind w:left="1489" w:right="1489" w:firstLine="0"/>
        <w:jc w:val="center"/>
        <w:rPr>
          <w:b/>
          <w:sz w:val="18"/>
        </w:rPr>
      </w:pPr>
      <w:r>
        <w:rPr>
          <w:b/>
          <w:color w:val="010202"/>
          <w:sz w:val="18"/>
        </w:rPr>
        <w:t>Verano de 2011</w:t>
      </w:r>
    </w:p>
    <w:p>
      <w:pPr>
        <w:pStyle w:val="BodyText"/>
        <w:spacing w:before="1"/>
        <w:rPr>
          <w:b/>
          <w:sz w:val="15"/>
        </w:rPr>
      </w:pPr>
      <w:r>
        <w:rPr/>
        <w:drawing>
          <wp:anchor distT="0" distB="0" distL="0" distR="0" allowOverlap="1" layoutInCell="1" locked="0" behindDoc="0" simplePos="0" relativeHeight="3184">
            <wp:simplePos x="0" y="0"/>
            <wp:positionH relativeFrom="page">
              <wp:posOffset>1256703</wp:posOffset>
            </wp:positionH>
            <wp:positionV relativeFrom="paragraph">
              <wp:posOffset>135299</wp:posOffset>
            </wp:positionV>
            <wp:extent cx="4452581" cy="1326165"/>
            <wp:effectExtent l="0" t="0" r="0" b="0"/>
            <wp:wrapTopAndBottom/>
            <wp:docPr id="103" name="image31.jpeg" descr=""/>
            <wp:cNvGraphicFramePr>
              <a:graphicFrameLocks noChangeAspect="1"/>
            </wp:cNvGraphicFramePr>
            <a:graphic>
              <a:graphicData uri="http://schemas.openxmlformats.org/drawingml/2006/picture">
                <pic:pic>
                  <pic:nvPicPr>
                    <pic:cNvPr id="104" name="image31.jpeg"/>
                    <pic:cNvPicPr/>
                  </pic:nvPicPr>
                  <pic:blipFill>
                    <a:blip r:embed="rId50" cstate="print"/>
                    <a:stretch>
                      <a:fillRect/>
                    </a:stretch>
                  </pic:blipFill>
                  <pic:spPr>
                    <a:xfrm>
                      <a:off x="0" y="0"/>
                      <a:ext cx="4452581" cy="1326165"/>
                    </a:xfrm>
                    <a:prstGeom prst="rect">
                      <a:avLst/>
                    </a:prstGeom>
                  </pic:spPr>
                </pic:pic>
              </a:graphicData>
            </a:graphic>
          </wp:anchor>
        </w:drawing>
      </w:r>
    </w:p>
    <w:p>
      <w:pPr>
        <w:pStyle w:val="BodyText"/>
        <w:spacing w:before="7"/>
        <w:rPr>
          <w:b/>
          <w:sz w:val="22"/>
        </w:rPr>
      </w:pPr>
    </w:p>
    <w:p>
      <w:pPr>
        <w:pStyle w:val="BodyText"/>
        <w:spacing w:line="247" w:lineRule="auto"/>
        <w:ind w:left="1270" w:right="1268"/>
        <w:jc w:val="both"/>
      </w:pPr>
      <w:r>
        <w:rPr>
          <w:color w:val="231F20"/>
        </w:rPr>
        <w:t>Medias dentro de columnas con letras iguales son estadísticamente iguales </w:t>
      </w:r>
      <w:r>
        <w:rPr>
          <w:color w:val="231F20"/>
          <w:spacing w:val="-4"/>
        </w:rPr>
        <w:t>(Tukey, </w:t>
      </w:r>
      <w:r>
        <w:rPr>
          <w:color w:val="231F20"/>
        </w:rPr>
        <w:t>0.05). Para</w:t>
      </w:r>
      <w:r>
        <w:rPr>
          <w:color w:val="231F20"/>
          <w:spacing w:val="-29"/>
        </w:rPr>
        <w:t> </w:t>
      </w:r>
      <w:r>
        <w:rPr>
          <w:color w:val="231F20"/>
        </w:rPr>
        <w:t>trata- miento de densidad de población. **, *** Significancia a P&lt;0.05 y 0.001,</w:t>
      </w:r>
      <w:r>
        <w:rPr>
          <w:color w:val="231F20"/>
          <w:spacing w:val="-11"/>
        </w:rPr>
        <w:t> </w:t>
      </w:r>
      <w:r>
        <w:rPr>
          <w:color w:val="231F20"/>
        </w:rPr>
        <w:t>respectivamente.</w:t>
      </w:r>
    </w:p>
    <w:p>
      <w:pPr>
        <w:spacing w:after="0" w:line="247" w:lineRule="auto"/>
        <w:jc w:val="both"/>
        <w:sectPr>
          <w:pgSz w:w="10920" w:h="13080"/>
          <w:pgMar w:header="0" w:footer="1025" w:top="420" w:bottom="1220" w:left="0" w:right="0"/>
        </w:sectPr>
      </w:pPr>
    </w:p>
    <w:p>
      <w:pPr>
        <w:pStyle w:val="BodyText"/>
        <w:rPr>
          <w:sz w:val="20"/>
        </w:rPr>
      </w:pPr>
    </w:p>
    <w:p>
      <w:pPr>
        <w:pStyle w:val="BodyText"/>
        <w:rPr>
          <w:sz w:val="20"/>
        </w:rPr>
      </w:pPr>
    </w:p>
    <w:p>
      <w:pPr>
        <w:pStyle w:val="BodyText"/>
        <w:rPr>
          <w:sz w:val="23"/>
        </w:rPr>
      </w:pPr>
    </w:p>
    <w:p>
      <w:pPr>
        <w:pStyle w:val="BodyText"/>
        <w:spacing w:line="247" w:lineRule="auto" w:before="73"/>
        <w:ind w:left="1270" w:right="1268"/>
        <w:jc w:val="both"/>
      </w:pPr>
      <w:r>
        <w:rPr>
          <w:color w:val="231F20"/>
        </w:rPr>
        <w:t>REN=</w:t>
      </w:r>
      <w:r>
        <w:rPr>
          <w:color w:val="231F20"/>
          <w:spacing w:val="-3"/>
        </w:rPr>
        <w:t> </w:t>
      </w:r>
      <w:r>
        <w:rPr>
          <w:color w:val="231F20"/>
        </w:rPr>
        <w:t>Rendimiento;</w:t>
      </w:r>
      <w:r>
        <w:rPr>
          <w:color w:val="231F20"/>
          <w:spacing w:val="-3"/>
        </w:rPr>
        <w:t> </w:t>
      </w:r>
      <w:r>
        <w:rPr>
          <w:color w:val="231F20"/>
        </w:rPr>
        <w:t>DC=</w:t>
      </w:r>
      <w:r>
        <w:rPr>
          <w:color w:val="231F20"/>
          <w:spacing w:val="-3"/>
        </w:rPr>
        <w:t> </w:t>
      </w:r>
      <w:r>
        <w:rPr>
          <w:color w:val="231F20"/>
        </w:rPr>
        <w:t>Diámetro</w:t>
      </w:r>
      <w:r>
        <w:rPr>
          <w:color w:val="231F20"/>
          <w:spacing w:val="-3"/>
        </w:rPr>
        <w:t> </w:t>
      </w:r>
      <w:r>
        <w:rPr>
          <w:color w:val="231F20"/>
        </w:rPr>
        <w:t>de</w:t>
      </w:r>
      <w:r>
        <w:rPr>
          <w:color w:val="231F20"/>
          <w:spacing w:val="-3"/>
        </w:rPr>
        <w:t> </w:t>
      </w:r>
      <w:r>
        <w:rPr>
          <w:color w:val="231F20"/>
        </w:rPr>
        <w:t>capítulo;</w:t>
      </w:r>
      <w:r>
        <w:rPr>
          <w:color w:val="231F20"/>
          <w:spacing w:val="-3"/>
        </w:rPr>
        <w:t> </w:t>
      </w:r>
      <w:r>
        <w:rPr>
          <w:color w:val="231F20"/>
        </w:rPr>
        <w:t>P100S=</w:t>
      </w:r>
      <w:r>
        <w:rPr>
          <w:color w:val="231F20"/>
          <w:spacing w:val="-3"/>
        </w:rPr>
        <w:t> </w:t>
      </w:r>
      <w:r>
        <w:rPr>
          <w:color w:val="231F20"/>
        </w:rPr>
        <w:t>Peso</w:t>
      </w:r>
      <w:r>
        <w:rPr>
          <w:color w:val="231F20"/>
          <w:spacing w:val="-3"/>
        </w:rPr>
        <w:t> </w:t>
      </w:r>
      <w:r>
        <w:rPr>
          <w:color w:val="231F20"/>
        </w:rPr>
        <w:t>de</w:t>
      </w:r>
      <w:r>
        <w:rPr>
          <w:color w:val="231F20"/>
          <w:spacing w:val="-3"/>
        </w:rPr>
        <w:t> </w:t>
      </w:r>
      <w:r>
        <w:rPr>
          <w:color w:val="231F20"/>
        </w:rPr>
        <w:t>100</w:t>
      </w:r>
      <w:r>
        <w:rPr>
          <w:color w:val="231F20"/>
          <w:spacing w:val="-3"/>
        </w:rPr>
        <w:t> </w:t>
      </w:r>
      <w:r>
        <w:rPr>
          <w:color w:val="231F20"/>
        </w:rPr>
        <w:t>semillas;</w:t>
      </w:r>
      <w:r>
        <w:rPr>
          <w:color w:val="231F20"/>
          <w:spacing w:val="-3"/>
        </w:rPr>
        <w:t> </w:t>
      </w:r>
      <w:r>
        <w:rPr>
          <w:color w:val="231F20"/>
        </w:rPr>
        <w:t>BIO=</w:t>
      </w:r>
      <w:r>
        <w:rPr>
          <w:color w:val="231F20"/>
          <w:spacing w:val="-3"/>
        </w:rPr>
        <w:t> </w:t>
      </w:r>
      <w:r>
        <w:rPr>
          <w:color w:val="231F20"/>
        </w:rPr>
        <w:t>Biomasa;</w:t>
      </w:r>
      <w:r>
        <w:rPr>
          <w:color w:val="231F20"/>
          <w:spacing w:val="-3"/>
        </w:rPr>
        <w:t> </w:t>
      </w:r>
      <w:r>
        <w:rPr>
          <w:color w:val="231F20"/>
        </w:rPr>
        <w:t>No. semillas m-2= Número de semillas m-2; IC= Índice de cosecha.</w:t>
      </w:r>
    </w:p>
    <w:p>
      <w:pPr>
        <w:pStyle w:val="BodyText"/>
        <w:spacing w:before="10"/>
      </w:pPr>
    </w:p>
    <w:p>
      <w:pPr>
        <w:pStyle w:val="Heading5"/>
      </w:pPr>
      <w:r>
        <w:rPr>
          <w:color w:val="231F20"/>
        </w:rPr>
        <w:t>Componentes del rendimiento</w:t>
      </w:r>
    </w:p>
    <w:p>
      <w:pPr>
        <w:pStyle w:val="BodyText"/>
        <w:spacing w:line="249" w:lineRule="auto" w:before="8"/>
        <w:ind w:left="1270" w:right="1268"/>
        <w:jc w:val="both"/>
      </w:pPr>
      <w:r>
        <w:rPr>
          <w:color w:val="231F20"/>
        </w:rPr>
        <w:t>El efecto de N. Los componentes del rendimiento como, díametro de capítulo y número de semillas m-2, fueron afectados por N (50 y 100 kg ha</w:t>
      </w:r>
      <w:r>
        <w:rPr>
          <w:color w:val="231F20"/>
          <w:position w:val="7"/>
          <w:sz w:val="12"/>
        </w:rPr>
        <w:t>-1</w:t>
      </w:r>
      <w:r>
        <w:rPr>
          <w:color w:val="231F20"/>
        </w:rPr>
        <w:t>). el número de semillas m</w:t>
      </w:r>
      <w:r>
        <w:rPr>
          <w:color w:val="231F20"/>
          <w:position w:val="7"/>
          <w:sz w:val="12"/>
        </w:rPr>
        <w:t>-2 </w:t>
      </w:r>
      <w:r>
        <w:rPr>
          <w:color w:val="231F20"/>
        </w:rPr>
        <w:t>mostró un incremento de 20% con respecto al testigo (4133 semillas m</w:t>
      </w:r>
      <w:r>
        <w:rPr>
          <w:color w:val="231F20"/>
          <w:position w:val="7"/>
          <w:sz w:val="12"/>
        </w:rPr>
        <w:t>-2</w:t>
      </w:r>
      <w:r>
        <w:rPr>
          <w:color w:val="231F20"/>
        </w:rPr>
        <w:t>) con la aplicación de N. El peso de 100 semillas no presentó cambios significativos por efecto de tratamientos. Respuestas similares fueron</w:t>
      </w:r>
      <w:r>
        <w:rPr>
          <w:color w:val="231F20"/>
          <w:spacing w:val="-19"/>
        </w:rPr>
        <w:t> </w:t>
      </w:r>
      <w:r>
        <w:rPr>
          <w:color w:val="231F20"/>
        </w:rPr>
        <w:t>encontradas por Baldini </w:t>
      </w:r>
      <w:r>
        <w:rPr>
          <w:i/>
          <w:color w:val="231F20"/>
        </w:rPr>
        <w:t>et al. </w:t>
      </w:r>
      <w:r>
        <w:rPr>
          <w:color w:val="231F20"/>
        </w:rPr>
        <w:t>(1990), Escalante, (1992), </w:t>
      </w:r>
      <w:r>
        <w:rPr>
          <w:color w:val="231F20"/>
          <w:spacing w:val="-6"/>
        </w:rPr>
        <w:t>Vega </w:t>
      </w:r>
      <w:r>
        <w:rPr>
          <w:i/>
          <w:color w:val="231F20"/>
        </w:rPr>
        <w:t>et el.</w:t>
      </w:r>
      <w:r>
        <w:rPr>
          <w:color w:val="231F20"/>
        </w:rPr>
        <w:t>, (2001) y Aguilar (2000) en</w:t>
      </w:r>
      <w:r>
        <w:rPr>
          <w:color w:val="231F20"/>
          <w:spacing w:val="-19"/>
        </w:rPr>
        <w:t> </w:t>
      </w:r>
      <w:r>
        <w:rPr>
          <w:color w:val="231F20"/>
        </w:rPr>
        <w:t>girasol.</w:t>
      </w:r>
    </w:p>
    <w:p>
      <w:pPr>
        <w:pStyle w:val="BodyText"/>
        <w:spacing w:before="7"/>
      </w:pPr>
    </w:p>
    <w:p>
      <w:pPr>
        <w:pStyle w:val="BodyText"/>
        <w:spacing w:line="249" w:lineRule="auto"/>
        <w:ind w:left="1270" w:right="1268"/>
        <w:jc w:val="both"/>
      </w:pPr>
      <w:r>
        <w:rPr>
          <w:color w:val="231F20"/>
        </w:rPr>
        <w:t>El girasol con 50 y 100 kg N ha</w:t>
      </w:r>
      <w:r>
        <w:rPr>
          <w:color w:val="231F20"/>
          <w:position w:val="7"/>
          <w:sz w:val="12"/>
        </w:rPr>
        <w:t>-1 </w:t>
      </w:r>
      <w:r>
        <w:rPr>
          <w:color w:val="231F20"/>
        </w:rPr>
        <w:t>registró un rendimiento mas alto que el testigo. En el cuadro 1. Se observa que el rendimiento con 50 y 100 kg N ha</w:t>
      </w:r>
      <w:r>
        <w:rPr>
          <w:color w:val="231F20"/>
          <w:position w:val="7"/>
          <w:sz w:val="12"/>
        </w:rPr>
        <w:t>-1 </w:t>
      </w:r>
      <w:r>
        <w:rPr>
          <w:color w:val="231F20"/>
        </w:rPr>
        <w:t>fue superior en 7 y 10% respectivamente (262 y 274</w:t>
      </w:r>
      <w:r>
        <w:rPr>
          <w:color w:val="231F20"/>
          <w:spacing w:val="-19"/>
        </w:rPr>
        <w:t> </w:t>
      </w:r>
      <w:r>
        <w:rPr>
          <w:color w:val="231F20"/>
        </w:rPr>
        <w:t>g</w:t>
      </w:r>
      <w:r>
        <w:rPr>
          <w:color w:val="231F20"/>
          <w:spacing w:val="-19"/>
        </w:rPr>
        <w:t> </w:t>
      </w:r>
      <w:r>
        <w:rPr>
          <w:color w:val="231F20"/>
        </w:rPr>
        <w:t>m</w:t>
      </w:r>
      <w:r>
        <w:rPr>
          <w:color w:val="231F20"/>
          <w:position w:val="7"/>
          <w:sz w:val="12"/>
        </w:rPr>
        <w:t>-2</w:t>
      </w:r>
      <w:r>
        <w:rPr>
          <w:color w:val="231F20"/>
        </w:rPr>
        <w:t>).</w:t>
      </w:r>
      <w:r>
        <w:rPr>
          <w:color w:val="231F20"/>
          <w:spacing w:val="-19"/>
        </w:rPr>
        <w:t> </w:t>
      </w:r>
      <w:r>
        <w:rPr>
          <w:color w:val="231F20"/>
        </w:rPr>
        <w:t>El</w:t>
      </w:r>
      <w:r>
        <w:rPr>
          <w:color w:val="231F20"/>
          <w:spacing w:val="-19"/>
        </w:rPr>
        <w:t> </w:t>
      </w:r>
      <w:r>
        <w:rPr>
          <w:color w:val="231F20"/>
        </w:rPr>
        <w:t>incremento</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rPr>
        <w:t>rendimiento</w:t>
      </w:r>
      <w:r>
        <w:rPr>
          <w:color w:val="231F20"/>
          <w:spacing w:val="-19"/>
        </w:rPr>
        <w:t> </w:t>
      </w:r>
      <w:r>
        <w:rPr>
          <w:color w:val="231F20"/>
        </w:rPr>
        <w:t>fue</w:t>
      </w:r>
      <w:r>
        <w:rPr>
          <w:color w:val="231F20"/>
          <w:spacing w:val="-19"/>
        </w:rPr>
        <w:t> </w:t>
      </w:r>
      <w:r>
        <w:rPr>
          <w:color w:val="231F20"/>
        </w:rPr>
        <w:t>debido</w:t>
      </w:r>
      <w:r>
        <w:rPr>
          <w:color w:val="231F20"/>
          <w:spacing w:val="-19"/>
        </w:rPr>
        <w:t> </w:t>
      </w:r>
      <w:r>
        <w:rPr>
          <w:color w:val="231F20"/>
        </w:rPr>
        <w:t>al</w:t>
      </w:r>
      <w:r>
        <w:rPr>
          <w:color w:val="231F20"/>
          <w:spacing w:val="-19"/>
        </w:rPr>
        <w:t> </w:t>
      </w:r>
      <w:r>
        <w:rPr>
          <w:color w:val="231F20"/>
        </w:rPr>
        <w:t>mayor</w:t>
      </w:r>
      <w:r>
        <w:rPr>
          <w:color w:val="231F20"/>
          <w:spacing w:val="-19"/>
        </w:rPr>
        <w:t> </w:t>
      </w:r>
      <w:r>
        <w:rPr>
          <w:color w:val="231F20"/>
        </w:rPr>
        <w:t>número</w:t>
      </w:r>
      <w:r>
        <w:rPr>
          <w:color w:val="231F20"/>
          <w:spacing w:val="-19"/>
        </w:rPr>
        <w:t> </w:t>
      </w:r>
      <w:r>
        <w:rPr>
          <w:color w:val="231F20"/>
        </w:rPr>
        <w:t>de</w:t>
      </w:r>
      <w:r>
        <w:rPr>
          <w:color w:val="231F20"/>
          <w:spacing w:val="-19"/>
        </w:rPr>
        <w:t> </w:t>
      </w:r>
      <w:r>
        <w:rPr>
          <w:color w:val="231F20"/>
        </w:rPr>
        <w:t>semillas</w:t>
      </w:r>
      <w:r>
        <w:rPr>
          <w:color w:val="231F20"/>
          <w:spacing w:val="-18"/>
        </w:rPr>
        <w:t> </w:t>
      </w:r>
      <w:r>
        <w:rPr>
          <w:color w:val="231F20"/>
        </w:rPr>
        <w:t>m</w:t>
      </w:r>
      <w:r>
        <w:rPr>
          <w:color w:val="231F20"/>
          <w:position w:val="7"/>
          <w:sz w:val="12"/>
        </w:rPr>
        <w:t>-2</w:t>
      </w:r>
      <w:r>
        <w:rPr>
          <w:color w:val="231F20"/>
          <w:spacing w:val="4"/>
          <w:position w:val="7"/>
          <w:sz w:val="12"/>
        </w:rPr>
        <w:t> </w:t>
      </w:r>
      <w:r>
        <w:rPr>
          <w:color w:val="231F20"/>
        </w:rPr>
        <w:t>que</w:t>
      </w:r>
      <w:r>
        <w:rPr>
          <w:color w:val="231F20"/>
          <w:spacing w:val="-19"/>
        </w:rPr>
        <w:t> </w:t>
      </w:r>
      <w:r>
        <w:rPr>
          <w:color w:val="231F20"/>
        </w:rPr>
        <w:t>mostró</w:t>
      </w:r>
      <w:r>
        <w:rPr>
          <w:color w:val="231F20"/>
          <w:spacing w:val="-19"/>
        </w:rPr>
        <w:t> </w:t>
      </w:r>
      <w:r>
        <w:rPr>
          <w:color w:val="231F20"/>
        </w:rPr>
        <w:t>50 y</w:t>
      </w:r>
      <w:r>
        <w:rPr>
          <w:color w:val="231F20"/>
          <w:spacing w:val="-10"/>
        </w:rPr>
        <w:t> </w:t>
      </w:r>
      <w:r>
        <w:rPr>
          <w:color w:val="231F20"/>
        </w:rPr>
        <w:t>100</w:t>
      </w:r>
      <w:r>
        <w:rPr>
          <w:color w:val="231F20"/>
          <w:spacing w:val="-10"/>
        </w:rPr>
        <w:t> </w:t>
      </w:r>
      <w:r>
        <w:rPr>
          <w:color w:val="231F20"/>
        </w:rPr>
        <w:t>kg</w:t>
      </w:r>
      <w:r>
        <w:rPr>
          <w:color w:val="231F20"/>
          <w:spacing w:val="-10"/>
        </w:rPr>
        <w:t> </w:t>
      </w:r>
      <w:r>
        <w:rPr>
          <w:color w:val="231F20"/>
        </w:rPr>
        <w:t>N</w:t>
      </w:r>
      <w:r>
        <w:rPr>
          <w:color w:val="231F20"/>
          <w:spacing w:val="-10"/>
        </w:rPr>
        <w:t> </w:t>
      </w:r>
      <w:r>
        <w:rPr>
          <w:color w:val="231F20"/>
        </w:rPr>
        <w:t>ha-1,</w:t>
      </w:r>
      <w:r>
        <w:rPr>
          <w:color w:val="231F20"/>
          <w:spacing w:val="-10"/>
        </w:rPr>
        <w:t> </w:t>
      </w:r>
      <w:r>
        <w:rPr>
          <w:color w:val="231F20"/>
        </w:rPr>
        <w:t>siendo</w:t>
      </w:r>
      <w:r>
        <w:rPr>
          <w:color w:val="231F20"/>
          <w:spacing w:val="-10"/>
        </w:rPr>
        <w:t> </w:t>
      </w:r>
      <w:r>
        <w:rPr>
          <w:color w:val="231F20"/>
        </w:rPr>
        <w:t>este</w:t>
      </w:r>
      <w:r>
        <w:rPr>
          <w:color w:val="231F20"/>
          <w:spacing w:val="-10"/>
        </w:rPr>
        <w:t> </w:t>
      </w:r>
      <w:r>
        <w:rPr>
          <w:color w:val="231F20"/>
        </w:rPr>
        <w:t>componente</w:t>
      </w:r>
      <w:r>
        <w:rPr>
          <w:color w:val="231F20"/>
          <w:spacing w:val="-10"/>
        </w:rPr>
        <w:t> </w:t>
      </w:r>
      <w:r>
        <w:rPr>
          <w:color w:val="231F20"/>
        </w:rPr>
        <w:t>que</w:t>
      </w:r>
      <w:r>
        <w:rPr>
          <w:color w:val="231F20"/>
          <w:spacing w:val="-10"/>
        </w:rPr>
        <w:t> </w:t>
      </w:r>
      <w:r>
        <w:rPr>
          <w:color w:val="231F20"/>
        </w:rPr>
        <w:t>más</w:t>
      </w:r>
      <w:r>
        <w:rPr>
          <w:color w:val="231F20"/>
          <w:spacing w:val="-10"/>
        </w:rPr>
        <w:t> </w:t>
      </w:r>
      <w:r>
        <w:rPr>
          <w:color w:val="231F20"/>
        </w:rPr>
        <w:t>se</w:t>
      </w:r>
      <w:r>
        <w:rPr>
          <w:color w:val="231F20"/>
          <w:spacing w:val="-10"/>
        </w:rPr>
        <w:t> </w:t>
      </w:r>
      <w:r>
        <w:rPr>
          <w:color w:val="231F20"/>
        </w:rPr>
        <w:t>relaciono</w:t>
      </w:r>
      <w:r>
        <w:rPr>
          <w:color w:val="231F20"/>
          <w:spacing w:val="-10"/>
        </w:rPr>
        <w:t> </w:t>
      </w:r>
      <w:r>
        <w:rPr>
          <w:color w:val="231F20"/>
        </w:rPr>
        <w:t>con</w:t>
      </w:r>
      <w:r>
        <w:rPr>
          <w:color w:val="231F20"/>
          <w:spacing w:val="-10"/>
        </w:rPr>
        <w:t> </w:t>
      </w:r>
      <w:r>
        <w:rPr>
          <w:color w:val="231F20"/>
        </w:rPr>
        <w:t>el</w:t>
      </w:r>
      <w:r>
        <w:rPr>
          <w:color w:val="231F20"/>
          <w:spacing w:val="-10"/>
        </w:rPr>
        <w:t> </w:t>
      </w:r>
      <w:r>
        <w:rPr>
          <w:color w:val="231F20"/>
        </w:rPr>
        <w:t>rendimiento.</w:t>
      </w:r>
      <w:r>
        <w:rPr>
          <w:color w:val="231F20"/>
          <w:spacing w:val="-10"/>
        </w:rPr>
        <w:t> </w:t>
      </w:r>
      <w:r>
        <w:rPr>
          <w:color w:val="231F20"/>
        </w:rPr>
        <w:t>El</w:t>
      </w:r>
      <w:r>
        <w:rPr>
          <w:color w:val="231F20"/>
          <w:spacing w:val="-10"/>
        </w:rPr>
        <w:t> </w:t>
      </w:r>
      <w:r>
        <w:rPr>
          <w:color w:val="231F20"/>
        </w:rPr>
        <w:t>IC</w:t>
      </w:r>
      <w:r>
        <w:rPr>
          <w:color w:val="231F20"/>
          <w:spacing w:val="-10"/>
        </w:rPr>
        <w:t> </w:t>
      </w:r>
      <w:r>
        <w:rPr>
          <w:color w:val="231F20"/>
        </w:rPr>
        <w:t>no</w:t>
      </w:r>
      <w:r>
        <w:rPr>
          <w:color w:val="231F20"/>
          <w:spacing w:val="-10"/>
        </w:rPr>
        <w:t> </w:t>
      </w:r>
      <w:r>
        <w:rPr>
          <w:color w:val="231F20"/>
        </w:rPr>
        <w:t>presenta cambios</w:t>
      </w:r>
      <w:r>
        <w:rPr>
          <w:color w:val="231F20"/>
          <w:spacing w:val="-17"/>
        </w:rPr>
        <w:t> </w:t>
      </w:r>
      <w:r>
        <w:rPr>
          <w:color w:val="231F20"/>
        </w:rPr>
        <w:t>significativos</w:t>
      </w:r>
      <w:r>
        <w:rPr>
          <w:color w:val="231F20"/>
          <w:spacing w:val="-17"/>
        </w:rPr>
        <w:t> </w:t>
      </w:r>
      <w:r>
        <w:rPr>
          <w:color w:val="231F20"/>
        </w:rPr>
        <w:t>respecto</w:t>
      </w:r>
      <w:r>
        <w:rPr>
          <w:color w:val="231F20"/>
          <w:spacing w:val="-17"/>
        </w:rPr>
        <w:t> </w:t>
      </w:r>
      <w:r>
        <w:rPr>
          <w:color w:val="231F20"/>
        </w:rPr>
        <w:t>a</w:t>
      </w:r>
      <w:r>
        <w:rPr>
          <w:color w:val="231F20"/>
          <w:spacing w:val="-17"/>
        </w:rPr>
        <w:t> </w:t>
      </w:r>
      <w:r>
        <w:rPr>
          <w:color w:val="231F20"/>
        </w:rPr>
        <w:t>los</w:t>
      </w:r>
      <w:r>
        <w:rPr>
          <w:color w:val="231F20"/>
          <w:spacing w:val="-17"/>
        </w:rPr>
        <w:t> </w:t>
      </w:r>
      <w:r>
        <w:rPr>
          <w:color w:val="231F20"/>
        </w:rPr>
        <w:t>tratamientos</w:t>
      </w:r>
      <w:r>
        <w:rPr>
          <w:color w:val="231F20"/>
          <w:spacing w:val="-17"/>
        </w:rPr>
        <w:t> </w:t>
      </w:r>
      <w:r>
        <w:rPr>
          <w:color w:val="231F20"/>
        </w:rPr>
        <w:t>(0,</w:t>
      </w:r>
      <w:r>
        <w:rPr>
          <w:color w:val="231F20"/>
          <w:spacing w:val="-17"/>
        </w:rPr>
        <w:t> </w:t>
      </w:r>
      <w:r>
        <w:rPr>
          <w:color w:val="231F20"/>
        </w:rPr>
        <w:t>50</w:t>
      </w:r>
      <w:r>
        <w:rPr>
          <w:color w:val="231F20"/>
          <w:spacing w:val="-17"/>
        </w:rPr>
        <w:t> </w:t>
      </w:r>
      <w:r>
        <w:rPr>
          <w:color w:val="231F20"/>
        </w:rPr>
        <w:t>y</w:t>
      </w:r>
      <w:r>
        <w:rPr>
          <w:color w:val="231F20"/>
          <w:spacing w:val="-17"/>
        </w:rPr>
        <w:t> </w:t>
      </w:r>
      <w:r>
        <w:rPr>
          <w:color w:val="231F20"/>
        </w:rPr>
        <w:t>100kg</w:t>
      </w:r>
      <w:r>
        <w:rPr>
          <w:color w:val="231F20"/>
          <w:spacing w:val="-17"/>
        </w:rPr>
        <w:t> </w:t>
      </w:r>
      <w:r>
        <w:rPr>
          <w:color w:val="231F20"/>
        </w:rPr>
        <w:t>N</w:t>
      </w:r>
      <w:r>
        <w:rPr>
          <w:color w:val="231F20"/>
          <w:spacing w:val="-17"/>
        </w:rPr>
        <w:t> </w:t>
      </w:r>
      <w:r>
        <w:rPr>
          <w:color w:val="231F20"/>
        </w:rPr>
        <w:t>ha</w:t>
      </w:r>
      <w:r>
        <w:rPr>
          <w:color w:val="231F20"/>
          <w:position w:val="7"/>
          <w:sz w:val="12"/>
        </w:rPr>
        <w:t>-1</w:t>
      </w:r>
      <w:r>
        <w:rPr>
          <w:color w:val="231F20"/>
        </w:rPr>
        <w:t>).</w:t>
      </w:r>
      <w:r>
        <w:rPr>
          <w:color w:val="231F20"/>
          <w:spacing w:val="-17"/>
        </w:rPr>
        <w:t> </w:t>
      </w:r>
      <w:r>
        <w:rPr>
          <w:color w:val="231F20"/>
        </w:rPr>
        <w:t>Estos</w:t>
      </w:r>
      <w:r>
        <w:rPr>
          <w:color w:val="231F20"/>
          <w:spacing w:val="-17"/>
        </w:rPr>
        <w:t> </w:t>
      </w:r>
      <w:r>
        <w:rPr>
          <w:color w:val="231F20"/>
        </w:rPr>
        <w:t>resultados</w:t>
      </w:r>
      <w:r>
        <w:rPr>
          <w:color w:val="231F20"/>
          <w:spacing w:val="-17"/>
        </w:rPr>
        <w:t> </w:t>
      </w:r>
      <w:r>
        <w:rPr>
          <w:color w:val="231F20"/>
        </w:rPr>
        <w:t>concuerdan con</w:t>
      </w:r>
      <w:r>
        <w:rPr>
          <w:color w:val="231F20"/>
          <w:spacing w:val="-10"/>
        </w:rPr>
        <w:t> </w:t>
      </w:r>
      <w:r>
        <w:rPr>
          <w:color w:val="231F20"/>
        </w:rPr>
        <w:t>lo</w:t>
      </w:r>
      <w:r>
        <w:rPr>
          <w:color w:val="231F20"/>
          <w:spacing w:val="-10"/>
        </w:rPr>
        <w:t> </w:t>
      </w:r>
      <w:r>
        <w:rPr>
          <w:color w:val="231F20"/>
        </w:rPr>
        <w:t>reportado</w:t>
      </w:r>
      <w:r>
        <w:rPr>
          <w:color w:val="231F20"/>
          <w:spacing w:val="-10"/>
        </w:rPr>
        <w:t> </w:t>
      </w:r>
      <w:r>
        <w:rPr>
          <w:color w:val="231F20"/>
        </w:rPr>
        <w:t>por</w:t>
      </w:r>
      <w:r>
        <w:rPr>
          <w:color w:val="231F20"/>
          <w:spacing w:val="-12"/>
        </w:rPr>
        <w:t> </w:t>
      </w:r>
      <w:r>
        <w:rPr>
          <w:color w:val="231F20"/>
          <w:spacing w:val="-8"/>
        </w:rPr>
        <w:t>Vega</w:t>
      </w:r>
      <w:r>
        <w:rPr>
          <w:color w:val="231F20"/>
          <w:spacing w:val="-10"/>
        </w:rPr>
        <w:t> </w:t>
      </w:r>
      <w:r>
        <w:rPr>
          <w:color w:val="231F20"/>
        </w:rPr>
        <w:t>(1999)</w:t>
      </w:r>
      <w:r>
        <w:rPr>
          <w:color w:val="231F20"/>
          <w:spacing w:val="-10"/>
        </w:rPr>
        <w:t> </w:t>
      </w:r>
      <w:r>
        <w:rPr>
          <w:color w:val="231F20"/>
        </w:rPr>
        <w:t>y</w:t>
      </w:r>
      <w:r>
        <w:rPr>
          <w:color w:val="231F20"/>
          <w:spacing w:val="-19"/>
        </w:rPr>
        <w:t> </w:t>
      </w:r>
      <w:r>
        <w:rPr>
          <w:color w:val="231F20"/>
        </w:rPr>
        <w:t>Aguilar</w:t>
      </w:r>
      <w:r>
        <w:rPr>
          <w:color w:val="231F20"/>
          <w:spacing w:val="-10"/>
        </w:rPr>
        <w:t> </w:t>
      </w:r>
      <w:r>
        <w:rPr>
          <w:i/>
          <w:color w:val="231F20"/>
        </w:rPr>
        <w:t>et</w:t>
      </w:r>
      <w:r>
        <w:rPr>
          <w:i/>
          <w:color w:val="231F20"/>
          <w:spacing w:val="-10"/>
        </w:rPr>
        <w:t> </w:t>
      </w:r>
      <w:r>
        <w:rPr>
          <w:i/>
          <w:color w:val="231F20"/>
        </w:rPr>
        <w:t>al.</w:t>
      </w:r>
      <w:r>
        <w:rPr>
          <w:color w:val="231F20"/>
        </w:rPr>
        <w:t>,</w:t>
      </w:r>
      <w:r>
        <w:rPr>
          <w:color w:val="231F20"/>
          <w:spacing w:val="-10"/>
        </w:rPr>
        <w:t> </w:t>
      </w:r>
      <w:r>
        <w:rPr>
          <w:color w:val="231F20"/>
        </w:rPr>
        <w:t>(2005)</w:t>
      </w:r>
      <w:r>
        <w:rPr>
          <w:color w:val="231F20"/>
          <w:spacing w:val="-10"/>
        </w:rPr>
        <w:t> </w:t>
      </w:r>
      <w:r>
        <w:rPr>
          <w:color w:val="231F20"/>
        </w:rPr>
        <w:t>en</w:t>
      </w:r>
      <w:r>
        <w:rPr>
          <w:color w:val="231F20"/>
          <w:spacing w:val="-10"/>
        </w:rPr>
        <w:t> </w:t>
      </w:r>
      <w:r>
        <w:rPr>
          <w:color w:val="231F20"/>
        </w:rPr>
        <w:t>girasol</w:t>
      </w:r>
      <w:r>
        <w:rPr>
          <w:color w:val="231F20"/>
          <w:spacing w:val="-10"/>
        </w:rPr>
        <w:t> </w:t>
      </w:r>
      <w:r>
        <w:rPr>
          <w:color w:val="231F20"/>
        </w:rPr>
        <w:t>bajo</w:t>
      </w:r>
      <w:r>
        <w:rPr>
          <w:color w:val="231F20"/>
          <w:spacing w:val="-10"/>
        </w:rPr>
        <w:t> </w:t>
      </w:r>
      <w:r>
        <w:rPr>
          <w:color w:val="231F20"/>
        </w:rPr>
        <w:t>condiciones</w:t>
      </w:r>
      <w:r>
        <w:rPr>
          <w:color w:val="231F20"/>
          <w:spacing w:val="-10"/>
        </w:rPr>
        <w:t> </w:t>
      </w:r>
      <w:r>
        <w:rPr>
          <w:color w:val="231F20"/>
        </w:rPr>
        <w:t>de</w:t>
      </w:r>
      <w:r>
        <w:rPr>
          <w:color w:val="231F20"/>
          <w:spacing w:val="-10"/>
        </w:rPr>
        <w:t> </w:t>
      </w:r>
      <w:r>
        <w:rPr>
          <w:color w:val="231F20"/>
        </w:rPr>
        <w:t>temporal.</w:t>
      </w:r>
    </w:p>
    <w:p>
      <w:pPr>
        <w:pStyle w:val="BodyText"/>
        <w:spacing w:before="7"/>
      </w:pPr>
    </w:p>
    <w:p>
      <w:pPr>
        <w:pStyle w:val="BodyText"/>
        <w:spacing w:line="249" w:lineRule="auto"/>
        <w:ind w:left="1270" w:right="1268"/>
        <w:jc w:val="both"/>
      </w:pPr>
      <w:r>
        <w:rPr>
          <w:color w:val="231F20"/>
        </w:rPr>
        <w:t>En la figura 2 que presenta la relación de rendimiento de grano y nitrógeno, se observa que se ajus- tó al modelo: Y=248.33+0.26N, R2=0.99** lo cual indica que el rendimiento incrementa en 0.26  kg ha</w:t>
      </w:r>
      <w:r>
        <w:rPr>
          <w:color w:val="231F20"/>
          <w:position w:val="7"/>
          <w:sz w:val="12"/>
        </w:rPr>
        <w:t>-1  </w:t>
      </w:r>
      <w:r>
        <w:rPr>
          <w:color w:val="231F20"/>
        </w:rPr>
        <w:t>por cada kg ha</w:t>
      </w:r>
      <w:r>
        <w:rPr>
          <w:color w:val="231F20"/>
          <w:position w:val="7"/>
          <w:sz w:val="12"/>
        </w:rPr>
        <w:t>-1  </w:t>
      </w:r>
      <w:r>
        <w:rPr>
          <w:color w:val="231F20"/>
        </w:rPr>
        <w:t>de N aplicado. Además se observa que el rendimiento más alto 274 g m</w:t>
      </w:r>
      <w:r>
        <w:rPr>
          <w:color w:val="231F20"/>
          <w:position w:val="7"/>
          <w:sz w:val="12"/>
        </w:rPr>
        <w:t>-2   </w:t>
      </w:r>
      <w:r>
        <w:rPr>
          <w:color w:val="231F20"/>
        </w:rPr>
        <w:t>de girasol se logró con la aplicación de 100 kg de Nitrógeno ha</w:t>
      </w:r>
      <w:r>
        <w:rPr>
          <w:color w:val="231F20"/>
          <w:position w:val="7"/>
          <w:sz w:val="12"/>
        </w:rPr>
        <w:t>-1 </w:t>
      </w:r>
      <w:r>
        <w:rPr>
          <w:color w:val="231F20"/>
        </w:rPr>
        <w:t>y fue superior al testigo en 10%. Respuestas similares fueron encontradas por (Escalante y Rodríguez, 2010) en adición de 100 kg  de N ha</w:t>
      </w:r>
      <w:r>
        <w:rPr>
          <w:color w:val="231F20"/>
          <w:position w:val="7"/>
          <w:sz w:val="12"/>
        </w:rPr>
        <w:t>-1</w:t>
      </w:r>
      <w:r>
        <w:rPr>
          <w:color w:val="231F20"/>
        </w:rPr>
        <w:t>, se observa un incremento en el rendimiento de semilla (102 g m</w:t>
      </w:r>
      <w:r>
        <w:rPr>
          <w:color w:val="231F20"/>
          <w:position w:val="7"/>
          <w:sz w:val="12"/>
        </w:rPr>
        <w:t>-2</w:t>
      </w:r>
      <w:r>
        <w:rPr>
          <w:color w:val="231F20"/>
        </w:rPr>
        <w:t>) en un estudio en suelo de baja salinidad. </w:t>
      </w:r>
      <w:r>
        <w:rPr>
          <w:color w:val="231F20"/>
          <w:spacing w:val="-5"/>
        </w:rPr>
        <w:t>(Vega </w:t>
      </w:r>
      <w:r>
        <w:rPr>
          <w:i/>
          <w:color w:val="231F20"/>
        </w:rPr>
        <w:t>et al.</w:t>
      </w:r>
      <w:r>
        <w:rPr>
          <w:color w:val="231F20"/>
        </w:rPr>
        <w:t>, 2001), al aplicar 100 kg N ha</w:t>
      </w:r>
      <w:r>
        <w:rPr>
          <w:color w:val="231F20"/>
          <w:position w:val="7"/>
          <w:sz w:val="12"/>
        </w:rPr>
        <w:t>-1</w:t>
      </w:r>
      <w:r>
        <w:rPr>
          <w:color w:val="231F20"/>
        </w:rPr>
        <w:t>, incrementó la producción de grano, obteniendo resultados de 570 g m</w:t>
      </w:r>
      <w:r>
        <w:rPr>
          <w:color w:val="231F20"/>
          <w:position w:val="7"/>
          <w:sz w:val="12"/>
        </w:rPr>
        <w:t>-2  </w:t>
      </w:r>
      <w:r>
        <w:rPr>
          <w:color w:val="231F20"/>
        </w:rPr>
        <w:t>en</w:t>
      </w:r>
      <w:r>
        <w:rPr>
          <w:color w:val="231F20"/>
          <w:spacing w:val="-8"/>
        </w:rPr>
        <w:t> </w:t>
      </w:r>
      <w:r>
        <w:rPr>
          <w:color w:val="231F20"/>
        </w:rPr>
        <w:t>girasol.</w:t>
      </w:r>
    </w:p>
    <w:p>
      <w:pPr>
        <w:pStyle w:val="BodyText"/>
        <w:spacing w:before="1"/>
      </w:pPr>
    </w:p>
    <w:p>
      <w:pPr>
        <w:spacing w:line="249" w:lineRule="auto" w:before="1"/>
        <w:ind w:left="2744" w:right="2089" w:hanging="641"/>
        <w:jc w:val="left"/>
        <w:rPr>
          <w:b/>
          <w:sz w:val="18"/>
        </w:rPr>
      </w:pPr>
      <w:r>
        <w:rPr>
          <w:b/>
          <w:color w:val="010202"/>
          <w:sz w:val="18"/>
        </w:rPr>
        <w:t>Figura 2. Rendimiento de semilla g m</w:t>
      </w:r>
      <w:r>
        <w:rPr>
          <w:b/>
          <w:color w:val="010202"/>
          <w:position w:val="6"/>
          <w:sz w:val="10"/>
        </w:rPr>
        <w:t>-2 </w:t>
      </w:r>
      <w:r>
        <w:rPr>
          <w:b/>
          <w:color w:val="010202"/>
          <w:sz w:val="18"/>
        </w:rPr>
        <w:t>del cultivo de girasol cv. Victoria en función a N, valores promedio de cuatro repeticiones. Montecillo, Méx. Verano 2011</w:t>
      </w:r>
    </w:p>
    <w:p>
      <w:pPr>
        <w:pStyle w:val="BodyText"/>
        <w:spacing w:before="1"/>
        <w:rPr>
          <w:b/>
          <w:sz w:val="18"/>
        </w:rPr>
      </w:pPr>
      <w:r>
        <w:rPr/>
        <w:drawing>
          <wp:anchor distT="0" distB="0" distL="0" distR="0" allowOverlap="1" layoutInCell="1" locked="0" behindDoc="0" simplePos="0" relativeHeight="3208">
            <wp:simplePos x="0" y="0"/>
            <wp:positionH relativeFrom="page">
              <wp:posOffset>1361747</wp:posOffset>
            </wp:positionH>
            <wp:positionV relativeFrom="paragraph">
              <wp:posOffset>156904</wp:posOffset>
            </wp:positionV>
            <wp:extent cx="4171556" cy="1971675"/>
            <wp:effectExtent l="0" t="0" r="0" b="0"/>
            <wp:wrapTopAndBottom/>
            <wp:docPr id="105" name="image32.png" descr=""/>
            <wp:cNvGraphicFramePr>
              <a:graphicFrameLocks noChangeAspect="1"/>
            </wp:cNvGraphicFramePr>
            <a:graphic>
              <a:graphicData uri="http://schemas.openxmlformats.org/drawingml/2006/picture">
                <pic:pic>
                  <pic:nvPicPr>
                    <pic:cNvPr id="106" name="image32.png"/>
                    <pic:cNvPicPr/>
                  </pic:nvPicPr>
                  <pic:blipFill>
                    <a:blip r:embed="rId51" cstate="print"/>
                    <a:stretch>
                      <a:fillRect/>
                    </a:stretch>
                  </pic:blipFill>
                  <pic:spPr>
                    <a:xfrm>
                      <a:off x="0" y="0"/>
                      <a:ext cx="4171556" cy="1971675"/>
                    </a:xfrm>
                    <a:prstGeom prst="rect">
                      <a:avLst/>
                    </a:prstGeom>
                  </pic:spPr>
                </pic:pic>
              </a:graphicData>
            </a:graphic>
          </wp:anchor>
        </w:drawing>
      </w:r>
    </w:p>
    <w:p>
      <w:pPr>
        <w:spacing w:after="0"/>
        <w:rPr>
          <w:sz w:val="18"/>
        </w:rPr>
        <w:sectPr>
          <w:pgSz w:w="10920" w:h="13080"/>
          <w:pgMar w:header="0" w:footer="1025" w:top="420" w:bottom="1220" w:left="0" w:right="0"/>
        </w:sectPr>
      </w:pPr>
    </w:p>
    <w:p>
      <w:pPr>
        <w:pStyle w:val="BodyText"/>
        <w:rPr>
          <w:b/>
          <w:sz w:val="20"/>
        </w:rPr>
      </w:pPr>
    </w:p>
    <w:p>
      <w:pPr>
        <w:pStyle w:val="BodyText"/>
        <w:rPr>
          <w:b/>
          <w:sz w:val="20"/>
        </w:rPr>
      </w:pPr>
    </w:p>
    <w:p>
      <w:pPr>
        <w:pStyle w:val="BodyText"/>
        <w:rPr>
          <w:b/>
          <w:sz w:val="23"/>
        </w:rPr>
      </w:pPr>
    </w:p>
    <w:p>
      <w:pPr>
        <w:pStyle w:val="BodyText"/>
        <w:spacing w:line="249" w:lineRule="auto" w:before="73"/>
        <w:ind w:left="1270" w:right="1268"/>
        <w:jc w:val="both"/>
      </w:pPr>
      <w:r>
        <w:rPr>
          <w:color w:val="231F20"/>
        </w:rPr>
        <w:t>En la figura 3, se observa que la biomasa más alta 866 g m</w:t>
      </w:r>
      <w:r>
        <w:rPr>
          <w:color w:val="231F20"/>
          <w:position w:val="7"/>
          <w:sz w:val="12"/>
        </w:rPr>
        <w:t>-2 </w:t>
      </w:r>
      <w:r>
        <w:rPr>
          <w:color w:val="231F20"/>
        </w:rPr>
        <w:t>de girasol se logró con la aplicación de 100</w:t>
      </w:r>
      <w:r>
        <w:rPr>
          <w:color w:val="231F20"/>
          <w:spacing w:val="-8"/>
        </w:rPr>
        <w:t> </w:t>
      </w:r>
      <w:r>
        <w:rPr>
          <w:color w:val="231F20"/>
        </w:rPr>
        <w:t>kg</w:t>
      </w:r>
      <w:r>
        <w:rPr>
          <w:color w:val="231F20"/>
          <w:spacing w:val="-8"/>
        </w:rPr>
        <w:t> </w:t>
      </w:r>
      <w:r>
        <w:rPr>
          <w:color w:val="231F20"/>
        </w:rPr>
        <w:t>N</w:t>
      </w:r>
      <w:r>
        <w:rPr>
          <w:color w:val="231F20"/>
          <w:spacing w:val="-8"/>
        </w:rPr>
        <w:t> </w:t>
      </w:r>
      <w:r>
        <w:rPr>
          <w:color w:val="231F20"/>
        </w:rPr>
        <w:t>ha</w:t>
      </w:r>
      <w:r>
        <w:rPr>
          <w:color w:val="231F20"/>
          <w:position w:val="7"/>
          <w:sz w:val="12"/>
        </w:rPr>
        <w:t>-1</w:t>
      </w:r>
      <w:r>
        <w:rPr>
          <w:color w:val="231F20"/>
          <w:spacing w:val="15"/>
          <w:position w:val="7"/>
          <w:sz w:val="12"/>
        </w:rPr>
        <w:t> </w:t>
      </w:r>
      <w:r>
        <w:rPr>
          <w:color w:val="231F20"/>
        </w:rPr>
        <w:t>y</w:t>
      </w:r>
      <w:r>
        <w:rPr>
          <w:color w:val="231F20"/>
          <w:spacing w:val="-8"/>
        </w:rPr>
        <w:t> </w:t>
      </w:r>
      <w:r>
        <w:rPr>
          <w:color w:val="231F20"/>
        </w:rPr>
        <w:t>fue</w:t>
      </w:r>
      <w:r>
        <w:rPr>
          <w:color w:val="231F20"/>
          <w:spacing w:val="-8"/>
        </w:rPr>
        <w:t> </w:t>
      </w:r>
      <w:r>
        <w:rPr>
          <w:color w:val="231F20"/>
        </w:rPr>
        <w:t>superior</w:t>
      </w:r>
      <w:r>
        <w:rPr>
          <w:color w:val="231F20"/>
          <w:spacing w:val="-8"/>
        </w:rPr>
        <w:t> </w:t>
      </w:r>
      <w:r>
        <w:rPr>
          <w:color w:val="231F20"/>
        </w:rPr>
        <w:t>al</w:t>
      </w:r>
      <w:r>
        <w:rPr>
          <w:color w:val="231F20"/>
          <w:spacing w:val="-8"/>
        </w:rPr>
        <w:t> </w:t>
      </w:r>
      <w:r>
        <w:rPr>
          <w:color w:val="231F20"/>
        </w:rPr>
        <w:t>testigo</w:t>
      </w:r>
      <w:r>
        <w:rPr>
          <w:color w:val="231F20"/>
          <w:spacing w:val="-8"/>
        </w:rPr>
        <w:t> </w:t>
      </w:r>
      <w:r>
        <w:rPr>
          <w:color w:val="231F20"/>
        </w:rPr>
        <w:t>en</w:t>
      </w:r>
      <w:r>
        <w:rPr>
          <w:color w:val="231F20"/>
          <w:spacing w:val="-8"/>
        </w:rPr>
        <w:t> </w:t>
      </w:r>
      <w:r>
        <w:rPr>
          <w:color w:val="231F20"/>
        </w:rPr>
        <w:t>17%,</w:t>
      </w:r>
      <w:r>
        <w:rPr>
          <w:color w:val="231F20"/>
          <w:spacing w:val="-8"/>
        </w:rPr>
        <w:t> </w:t>
      </w:r>
      <w:r>
        <w:rPr>
          <w:color w:val="231F20"/>
        </w:rPr>
        <w:t>concordando</w:t>
      </w:r>
      <w:r>
        <w:rPr>
          <w:color w:val="231F20"/>
          <w:spacing w:val="-8"/>
        </w:rPr>
        <w:t> </w:t>
      </w:r>
      <w:r>
        <w:rPr>
          <w:color w:val="231F20"/>
        </w:rPr>
        <w:t>con</w:t>
      </w:r>
      <w:r>
        <w:rPr>
          <w:color w:val="231F20"/>
          <w:spacing w:val="-8"/>
        </w:rPr>
        <w:t> </w:t>
      </w:r>
      <w:r>
        <w:rPr>
          <w:color w:val="231F20"/>
        </w:rPr>
        <w:t>los</w:t>
      </w:r>
      <w:r>
        <w:rPr>
          <w:color w:val="231F20"/>
          <w:spacing w:val="-8"/>
        </w:rPr>
        <w:t> </w:t>
      </w:r>
      <w:r>
        <w:rPr>
          <w:color w:val="231F20"/>
        </w:rPr>
        <w:t>resultados</w:t>
      </w:r>
      <w:r>
        <w:rPr>
          <w:color w:val="231F20"/>
          <w:spacing w:val="-8"/>
        </w:rPr>
        <w:t> </w:t>
      </w:r>
      <w:r>
        <w:rPr>
          <w:color w:val="231F20"/>
        </w:rPr>
        <w:t>descritos</w:t>
      </w:r>
      <w:r>
        <w:rPr>
          <w:color w:val="231F20"/>
          <w:spacing w:val="-8"/>
        </w:rPr>
        <w:t> </w:t>
      </w:r>
      <w:r>
        <w:rPr>
          <w:color w:val="231F20"/>
        </w:rPr>
        <w:t>por</w:t>
      </w:r>
      <w:r>
        <w:rPr>
          <w:color w:val="231F20"/>
          <w:spacing w:val="-8"/>
        </w:rPr>
        <w:t> </w:t>
      </w:r>
      <w:r>
        <w:rPr>
          <w:color w:val="231F20"/>
        </w:rPr>
        <w:t>(Aguila- ret al. 2002) al señalar que con la adición de 100 kg de N ha</w:t>
      </w:r>
      <w:r>
        <w:rPr>
          <w:color w:val="231F20"/>
          <w:position w:val="7"/>
          <w:sz w:val="12"/>
        </w:rPr>
        <w:t>-1 </w:t>
      </w:r>
      <w:r>
        <w:rPr>
          <w:color w:val="231F20"/>
        </w:rPr>
        <w:t>lograron un rendimiento de 1923 gm</w:t>
      </w:r>
      <w:r>
        <w:rPr>
          <w:color w:val="231F20"/>
          <w:position w:val="7"/>
          <w:sz w:val="12"/>
        </w:rPr>
        <w:t>-2 </w:t>
      </w:r>
      <w:r>
        <w:rPr>
          <w:color w:val="231F20"/>
        </w:rPr>
        <w:t>en el mismo cultivo. En contraste, Escalante y Rodríguez (2010), al aplicar 100 kg de N ha</w:t>
      </w:r>
      <w:r>
        <w:rPr>
          <w:color w:val="231F20"/>
          <w:position w:val="7"/>
          <w:sz w:val="12"/>
        </w:rPr>
        <w:t>-1 </w:t>
      </w:r>
      <w:r>
        <w:rPr>
          <w:color w:val="231F20"/>
        </w:rPr>
        <w:t>encon- traron incrementos para biomasa de 1055 g m</w:t>
      </w:r>
      <w:r>
        <w:rPr>
          <w:color w:val="231F20"/>
          <w:position w:val="7"/>
          <w:sz w:val="12"/>
        </w:rPr>
        <w:t>-2 </w:t>
      </w:r>
      <w:r>
        <w:rPr>
          <w:color w:val="231F20"/>
        </w:rPr>
        <w:t>en girasol. </w:t>
      </w:r>
      <w:r>
        <w:rPr>
          <w:color w:val="231F20"/>
          <w:spacing w:val="-5"/>
        </w:rPr>
        <w:t>(Vega </w:t>
      </w:r>
      <w:r>
        <w:rPr>
          <w:i/>
          <w:color w:val="231F20"/>
        </w:rPr>
        <w:t>et al.</w:t>
      </w:r>
      <w:r>
        <w:rPr>
          <w:color w:val="231F20"/>
        </w:rPr>
        <w:t>, 2001), al evaluar densidades de población con 100 kg de N ha-1 encontraron incrementos en biomasa de 2598 g m</w:t>
      </w:r>
      <w:r>
        <w:rPr>
          <w:color w:val="231F20"/>
          <w:position w:val="7"/>
          <w:sz w:val="12"/>
        </w:rPr>
        <w:t>-2</w:t>
      </w:r>
      <w:r>
        <w:rPr>
          <w:color w:val="231F20"/>
        </w:rPr>
        <w:t>, en girasol. La relación de biomasa y nitrógeno, se ajustó al modelo Y= 752 +3.02N-0.0018x2, R2=0.998**, lo que indica que la biomasa incrementa en 3.02 kg ha</w:t>
      </w:r>
      <w:r>
        <w:rPr>
          <w:color w:val="231F20"/>
          <w:position w:val="7"/>
          <w:sz w:val="12"/>
        </w:rPr>
        <w:t>-1  </w:t>
      </w:r>
      <w:r>
        <w:rPr>
          <w:color w:val="231F20"/>
        </w:rPr>
        <w:t>por cada kg ha</w:t>
      </w:r>
      <w:r>
        <w:rPr>
          <w:color w:val="231F20"/>
          <w:position w:val="7"/>
          <w:sz w:val="12"/>
        </w:rPr>
        <w:t>-1  </w:t>
      </w:r>
      <w:r>
        <w:rPr>
          <w:color w:val="231F20"/>
        </w:rPr>
        <w:t>de N</w:t>
      </w:r>
      <w:r>
        <w:rPr>
          <w:color w:val="231F20"/>
          <w:spacing w:val="-13"/>
        </w:rPr>
        <w:t> </w:t>
      </w:r>
      <w:r>
        <w:rPr>
          <w:color w:val="231F20"/>
        </w:rPr>
        <w:t>aplicado.</w:t>
      </w:r>
    </w:p>
    <w:p>
      <w:pPr>
        <w:pStyle w:val="BodyText"/>
        <w:spacing w:before="1"/>
      </w:pPr>
    </w:p>
    <w:p>
      <w:pPr>
        <w:spacing w:line="249" w:lineRule="auto" w:before="0"/>
        <w:ind w:left="3040" w:right="1569" w:hanging="891"/>
        <w:jc w:val="left"/>
        <w:rPr>
          <w:b/>
          <w:sz w:val="18"/>
        </w:rPr>
      </w:pPr>
      <w:r>
        <w:rPr>
          <w:b/>
          <w:color w:val="010202"/>
          <w:sz w:val="18"/>
        </w:rPr>
        <w:t>Figura 3. Biomasa total g m-2 del cultivo de girasol cv. Victoria en función a N, valores promedio de cuatro repeticiones. Montecillo, Méx. Verano 2011</w:t>
      </w:r>
    </w:p>
    <w:p>
      <w:pPr>
        <w:pStyle w:val="BodyText"/>
        <w:spacing w:before="1"/>
        <w:rPr>
          <w:b/>
          <w:sz w:val="15"/>
        </w:rPr>
      </w:pPr>
      <w:r>
        <w:rPr/>
        <w:drawing>
          <wp:anchor distT="0" distB="0" distL="0" distR="0" allowOverlap="1" layoutInCell="1" locked="0" behindDoc="0" simplePos="0" relativeHeight="3232">
            <wp:simplePos x="0" y="0"/>
            <wp:positionH relativeFrom="page">
              <wp:posOffset>946315</wp:posOffset>
            </wp:positionH>
            <wp:positionV relativeFrom="paragraph">
              <wp:posOffset>135314</wp:posOffset>
            </wp:positionV>
            <wp:extent cx="5077492" cy="2410968"/>
            <wp:effectExtent l="0" t="0" r="0" b="0"/>
            <wp:wrapTopAndBottom/>
            <wp:docPr id="107" name="image33.png" descr=""/>
            <wp:cNvGraphicFramePr>
              <a:graphicFrameLocks noChangeAspect="1"/>
            </wp:cNvGraphicFramePr>
            <a:graphic>
              <a:graphicData uri="http://schemas.openxmlformats.org/drawingml/2006/picture">
                <pic:pic>
                  <pic:nvPicPr>
                    <pic:cNvPr id="108" name="image33.png"/>
                    <pic:cNvPicPr/>
                  </pic:nvPicPr>
                  <pic:blipFill>
                    <a:blip r:embed="rId52" cstate="print"/>
                    <a:stretch>
                      <a:fillRect/>
                    </a:stretch>
                  </pic:blipFill>
                  <pic:spPr>
                    <a:xfrm>
                      <a:off x="0" y="0"/>
                      <a:ext cx="5077492" cy="2410968"/>
                    </a:xfrm>
                    <a:prstGeom prst="rect">
                      <a:avLst/>
                    </a:prstGeom>
                  </pic:spPr>
                </pic:pic>
              </a:graphicData>
            </a:graphic>
          </wp:anchor>
        </w:drawing>
      </w:r>
    </w:p>
    <w:p>
      <w:pPr>
        <w:pStyle w:val="BodyText"/>
        <w:spacing w:before="5"/>
        <w:rPr>
          <w:b/>
          <w:sz w:val="22"/>
        </w:rPr>
      </w:pPr>
    </w:p>
    <w:p>
      <w:pPr>
        <w:pStyle w:val="Heading3"/>
      </w:pPr>
      <w:r>
        <w:rPr>
          <w:color w:val="010202"/>
        </w:rPr>
        <w:t>Conclusiones</w:t>
      </w:r>
    </w:p>
    <w:p>
      <w:pPr>
        <w:pStyle w:val="BodyText"/>
        <w:spacing w:before="10"/>
        <w:rPr>
          <w:b/>
        </w:rPr>
      </w:pPr>
    </w:p>
    <w:p>
      <w:pPr>
        <w:pStyle w:val="BodyText"/>
        <w:ind w:left="1270"/>
        <w:jc w:val="both"/>
      </w:pPr>
      <w:r>
        <w:rPr>
          <w:color w:val="231F20"/>
        </w:rPr>
        <w:t>La producción de biomasa y el rendimiento por m2se incrementan con la aplicación de Nitrógeno.</w:t>
      </w:r>
    </w:p>
    <w:p>
      <w:pPr>
        <w:pStyle w:val="BodyText"/>
        <w:spacing w:before="5"/>
        <w:rPr>
          <w:sz w:val="22"/>
        </w:rPr>
      </w:pPr>
    </w:p>
    <w:p>
      <w:pPr>
        <w:pStyle w:val="BodyText"/>
        <w:spacing w:line="247" w:lineRule="auto"/>
        <w:ind w:left="1270" w:right="1267"/>
        <w:jc w:val="both"/>
      </w:pPr>
      <w:r>
        <w:rPr>
          <w:color w:val="231F20"/>
        </w:rPr>
        <w:t>El índice de cosecha no es afectado por la fertilización nitrogenada en el clima y suelo donde se desarrolló el cultivo.</w:t>
      </w:r>
    </w:p>
    <w:p>
      <w:pPr>
        <w:pStyle w:val="BodyText"/>
        <w:spacing w:before="8"/>
        <w:rPr>
          <w:sz w:val="22"/>
        </w:rPr>
      </w:pPr>
    </w:p>
    <w:p>
      <w:pPr>
        <w:pStyle w:val="Heading3"/>
      </w:pPr>
      <w:r>
        <w:rPr>
          <w:color w:val="010202"/>
        </w:rPr>
        <w:t>Literatura citada</w:t>
      </w:r>
    </w:p>
    <w:p>
      <w:pPr>
        <w:pStyle w:val="BodyText"/>
        <w:spacing w:before="7"/>
        <w:rPr>
          <w:b/>
        </w:rPr>
      </w:pPr>
    </w:p>
    <w:p>
      <w:pPr>
        <w:spacing w:line="249" w:lineRule="auto" w:before="0"/>
        <w:ind w:left="1270" w:right="1268" w:firstLine="0"/>
        <w:jc w:val="both"/>
        <w:rPr>
          <w:sz w:val="19"/>
        </w:rPr>
      </w:pPr>
      <w:r>
        <w:rPr>
          <w:color w:val="231F20"/>
          <w:sz w:val="19"/>
        </w:rPr>
        <w:t>Aguilar G. L. 2000. Crecimiento, rendimiento enfermedades y corriente geofitoeléctrica en girasol en función de las prácticas de manejo. Tesis de maestría. Colegio de Postgraduados, IRENAT (Botánica). Montecillo, Méxcio. Pp 94.</w:t>
      </w:r>
    </w:p>
    <w:p>
      <w:pPr>
        <w:spacing w:after="0" w:line="249" w:lineRule="auto"/>
        <w:jc w:val="both"/>
        <w:rPr>
          <w:sz w:val="19"/>
        </w:rPr>
        <w:sectPr>
          <w:pgSz w:w="10920" w:h="13080"/>
          <w:pgMar w:header="0" w:footer="1025" w:top="420" w:bottom="1220" w:left="0" w:right="0"/>
        </w:sectPr>
      </w:pPr>
    </w:p>
    <w:p>
      <w:pPr>
        <w:pStyle w:val="BodyText"/>
        <w:rPr>
          <w:sz w:val="20"/>
        </w:rPr>
      </w:pPr>
    </w:p>
    <w:p>
      <w:pPr>
        <w:pStyle w:val="BodyText"/>
        <w:rPr>
          <w:sz w:val="20"/>
        </w:rPr>
      </w:pPr>
    </w:p>
    <w:p>
      <w:pPr>
        <w:pStyle w:val="BodyText"/>
        <w:spacing w:before="2"/>
        <w:rPr>
          <w:sz w:val="23"/>
        </w:rPr>
      </w:pPr>
    </w:p>
    <w:p>
      <w:pPr>
        <w:spacing w:line="249" w:lineRule="auto" w:before="76"/>
        <w:ind w:left="1270" w:right="1268" w:firstLine="0"/>
        <w:jc w:val="both"/>
        <w:rPr>
          <w:sz w:val="19"/>
        </w:rPr>
      </w:pPr>
      <w:r>
        <w:rPr>
          <w:color w:val="231F20"/>
          <w:sz w:val="19"/>
        </w:rPr>
        <w:t>Aguilar G. L.; Escalante E. J. A.; Rodríguez G. M. T.; Fucikovsky Z. L. 2002. Materia seca, rendimiento y corriente geofitoeléctrica en girasol. Terra Vol. 20. No.3 pp. 277-284.</w:t>
      </w:r>
    </w:p>
    <w:p>
      <w:pPr>
        <w:pStyle w:val="BodyText"/>
        <w:spacing w:before="10"/>
        <w:rPr>
          <w:sz w:val="19"/>
        </w:rPr>
      </w:pPr>
    </w:p>
    <w:p>
      <w:pPr>
        <w:spacing w:line="249" w:lineRule="auto" w:before="0"/>
        <w:ind w:left="1270" w:right="1268" w:firstLine="0"/>
        <w:jc w:val="both"/>
        <w:rPr>
          <w:sz w:val="19"/>
        </w:rPr>
      </w:pPr>
      <w:r>
        <w:rPr>
          <w:color w:val="231F20"/>
          <w:sz w:val="19"/>
        </w:rPr>
        <w:t>Aguilar C. L.; Escalante E. J. A.; Fucikovski Z. L.; Tijerina C. L.; Mark E. E. 2005. Área foliar, tasa de asimi- lación neta, rendimiento y densidad de población en girasol. Terra. Vol. 23. Núm. 3. Pp 303-310.</w:t>
      </w:r>
    </w:p>
    <w:p>
      <w:pPr>
        <w:pStyle w:val="BodyText"/>
        <w:spacing w:before="10"/>
        <w:rPr>
          <w:sz w:val="19"/>
        </w:rPr>
      </w:pPr>
    </w:p>
    <w:p>
      <w:pPr>
        <w:spacing w:line="249" w:lineRule="auto" w:before="0"/>
        <w:ind w:left="1270" w:right="1268" w:firstLine="0"/>
        <w:jc w:val="both"/>
        <w:rPr>
          <w:sz w:val="19"/>
        </w:rPr>
      </w:pPr>
      <w:r>
        <w:rPr>
          <w:color w:val="231F20"/>
          <w:sz w:val="19"/>
        </w:rPr>
        <w:t>Baldini M., Megale </w:t>
      </w:r>
      <w:r>
        <w:rPr>
          <w:color w:val="231F20"/>
          <w:spacing w:val="-11"/>
          <w:sz w:val="19"/>
        </w:rPr>
        <w:t>P. </w:t>
      </w:r>
      <w:r>
        <w:rPr>
          <w:color w:val="231F20"/>
          <w:sz w:val="19"/>
        </w:rPr>
        <w:t>and </w:t>
      </w:r>
      <w:r>
        <w:rPr>
          <w:color w:val="231F20"/>
          <w:spacing w:val="-3"/>
          <w:sz w:val="19"/>
        </w:rPr>
        <w:t>Vanozzi, </w:t>
      </w:r>
      <w:r>
        <w:rPr>
          <w:color w:val="231F20"/>
          <w:sz w:val="19"/>
        </w:rPr>
        <w:t>G. </w:t>
      </w:r>
      <w:r>
        <w:rPr>
          <w:color w:val="231F20"/>
          <w:spacing w:val="-11"/>
          <w:sz w:val="19"/>
        </w:rPr>
        <w:t>P. </w:t>
      </w:r>
      <w:r>
        <w:rPr>
          <w:color w:val="231F20"/>
          <w:sz w:val="19"/>
        </w:rPr>
        <w:t>1990. Delayer sowing for sunflower with cultivars of different matu- rity cycles. SementiElette, 36 (3-4): 13-20.</w:t>
      </w:r>
    </w:p>
    <w:p>
      <w:pPr>
        <w:pStyle w:val="BodyText"/>
        <w:spacing w:before="10"/>
        <w:rPr>
          <w:sz w:val="19"/>
        </w:rPr>
      </w:pPr>
    </w:p>
    <w:p>
      <w:pPr>
        <w:spacing w:before="0"/>
        <w:ind w:left="1270" w:right="0" w:firstLine="0"/>
        <w:jc w:val="both"/>
        <w:rPr>
          <w:sz w:val="19"/>
        </w:rPr>
      </w:pPr>
      <w:r>
        <w:rPr>
          <w:color w:val="231F20"/>
          <w:sz w:val="19"/>
        </w:rPr>
        <w:t>Ciampitti I.A. 2007. en Requerimientos yFertilidad de Cultivos. Agrigro Fertilizantes.</w:t>
      </w:r>
    </w:p>
    <w:p>
      <w:pPr>
        <w:pStyle w:val="BodyText"/>
        <w:spacing w:before="7"/>
        <w:rPr>
          <w:sz w:val="20"/>
        </w:rPr>
      </w:pPr>
    </w:p>
    <w:p>
      <w:pPr>
        <w:spacing w:line="249" w:lineRule="auto" w:before="0"/>
        <w:ind w:left="1270" w:right="1268" w:firstLine="0"/>
        <w:jc w:val="both"/>
        <w:rPr>
          <w:sz w:val="19"/>
        </w:rPr>
      </w:pPr>
      <w:r>
        <w:rPr>
          <w:color w:val="231F20"/>
          <w:sz w:val="19"/>
        </w:rPr>
        <w:t>Escalante E. J. A. 1992. Interacciones entre el nitrógeno y la Densidad de siembra en el cultivo de girasol (Helianthusannuus L.) bajo suministro limitado de agua. Tesis Doctoral, E. S. T. Agrónomos, Universidad de Córdoba España, 230 p.</w:t>
      </w:r>
    </w:p>
    <w:p>
      <w:pPr>
        <w:pStyle w:val="BodyText"/>
        <w:spacing w:before="10"/>
        <w:rPr>
          <w:sz w:val="19"/>
        </w:rPr>
      </w:pPr>
    </w:p>
    <w:p>
      <w:pPr>
        <w:spacing w:line="249" w:lineRule="auto" w:before="0"/>
        <w:ind w:left="1270" w:right="1268" w:firstLine="0"/>
        <w:jc w:val="both"/>
        <w:rPr>
          <w:sz w:val="19"/>
        </w:rPr>
      </w:pPr>
      <w:r>
        <w:rPr>
          <w:color w:val="231F20"/>
          <w:sz w:val="19"/>
        </w:rPr>
        <w:t>Escalante E. J. A. y Kohashi S. J. 1993. El rendimiento y crecimiento del fríjol, Manual para toma de datos, Montecillo Edo. Méx. Centro de Botánica del Colegio de Postgraduados, 84p.</w:t>
      </w:r>
    </w:p>
    <w:p>
      <w:pPr>
        <w:pStyle w:val="BodyText"/>
        <w:spacing w:before="10"/>
        <w:rPr>
          <w:sz w:val="19"/>
        </w:rPr>
      </w:pPr>
    </w:p>
    <w:p>
      <w:pPr>
        <w:spacing w:before="0"/>
        <w:ind w:left="1270" w:right="0" w:firstLine="0"/>
        <w:jc w:val="both"/>
        <w:rPr>
          <w:sz w:val="19"/>
        </w:rPr>
      </w:pPr>
      <w:r>
        <w:rPr>
          <w:color w:val="231F20"/>
          <w:sz w:val="19"/>
        </w:rPr>
        <w:t>Escalante, J. A. 1995. Aprovechamiento del recurso agua en cultivos de secano.      Alternativas tecnológicas.</w:t>
      </w:r>
    </w:p>
    <w:p>
      <w:pPr>
        <w:spacing w:before="9"/>
        <w:ind w:left="1270" w:right="0" w:firstLine="0"/>
        <w:jc w:val="both"/>
        <w:rPr>
          <w:sz w:val="19"/>
        </w:rPr>
      </w:pPr>
      <w:r>
        <w:rPr>
          <w:color w:val="231F20"/>
          <w:sz w:val="19"/>
        </w:rPr>
        <w:t>Agroproductividad. Colegio de Postgraduados. Montecillo, México.</w:t>
      </w:r>
    </w:p>
    <w:p>
      <w:pPr>
        <w:pStyle w:val="BodyText"/>
        <w:spacing w:before="7"/>
        <w:rPr>
          <w:sz w:val="20"/>
        </w:rPr>
      </w:pPr>
    </w:p>
    <w:p>
      <w:pPr>
        <w:spacing w:line="249" w:lineRule="auto" w:before="0"/>
        <w:ind w:left="1270" w:right="1268" w:firstLine="0"/>
        <w:jc w:val="both"/>
        <w:rPr>
          <w:sz w:val="19"/>
        </w:rPr>
      </w:pPr>
      <w:r>
        <w:rPr>
          <w:color w:val="231F20"/>
          <w:sz w:val="19"/>
        </w:rPr>
        <w:t>Escalante E. J.A. and Rodríguez G. M.T. 2010. Sunflower biomass distribution and seed yield in saline soil of Mexico highlands. HELIA, 33, Nr. 52, p.p. 127-134.</w:t>
      </w:r>
    </w:p>
    <w:p>
      <w:pPr>
        <w:pStyle w:val="BodyText"/>
        <w:spacing w:before="10"/>
        <w:rPr>
          <w:sz w:val="19"/>
        </w:rPr>
      </w:pPr>
    </w:p>
    <w:p>
      <w:pPr>
        <w:spacing w:line="249" w:lineRule="auto" w:before="0"/>
        <w:ind w:left="1270" w:right="1268" w:firstLine="0"/>
        <w:jc w:val="both"/>
        <w:rPr>
          <w:sz w:val="19"/>
        </w:rPr>
      </w:pPr>
      <w:r>
        <w:rPr>
          <w:color w:val="231F20"/>
          <w:sz w:val="19"/>
        </w:rPr>
        <w:t>García,</w:t>
      </w:r>
      <w:r>
        <w:rPr>
          <w:color w:val="231F20"/>
          <w:spacing w:val="-11"/>
          <w:sz w:val="19"/>
        </w:rPr>
        <w:t> </w:t>
      </w:r>
      <w:r>
        <w:rPr>
          <w:color w:val="231F20"/>
          <w:sz w:val="19"/>
        </w:rPr>
        <w:t>E.</w:t>
      </w:r>
      <w:r>
        <w:rPr>
          <w:color w:val="231F20"/>
          <w:spacing w:val="-11"/>
          <w:sz w:val="19"/>
        </w:rPr>
        <w:t> </w:t>
      </w:r>
      <w:r>
        <w:rPr>
          <w:color w:val="231F20"/>
          <w:sz w:val="19"/>
        </w:rPr>
        <w:t>2005.</w:t>
      </w:r>
      <w:r>
        <w:rPr>
          <w:color w:val="231F20"/>
          <w:spacing w:val="-11"/>
          <w:sz w:val="19"/>
        </w:rPr>
        <w:t> </w:t>
      </w:r>
      <w:r>
        <w:rPr>
          <w:color w:val="231F20"/>
          <w:sz w:val="19"/>
        </w:rPr>
        <w:t>Modificación</w:t>
      </w:r>
      <w:r>
        <w:rPr>
          <w:color w:val="231F20"/>
          <w:spacing w:val="-11"/>
          <w:sz w:val="19"/>
        </w:rPr>
        <w:t> </w:t>
      </w:r>
      <w:r>
        <w:rPr>
          <w:color w:val="231F20"/>
          <w:sz w:val="19"/>
        </w:rPr>
        <w:t>al</w:t>
      </w:r>
      <w:r>
        <w:rPr>
          <w:color w:val="231F20"/>
          <w:spacing w:val="-11"/>
          <w:sz w:val="19"/>
        </w:rPr>
        <w:t> </w:t>
      </w:r>
      <w:r>
        <w:rPr>
          <w:color w:val="231F20"/>
          <w:sz w:val="19"/>
        </w:rPr>
        <w:t>sistema</w:t>
      </w:r>
      <w:r>
        <w:rPr>
          <w:color w:val="231F20"/>
          <w:spacing w:val="-11"/>
          <w:sz w:val="19"/>
        </w:rPr>
        <w:t> </w:t>
      </w:r>
      <w:r>
        <w:rPr>
          <w:color w:val="231F20"/>
          <w:sz w:val="19"/>
        </w:rPr>
        <w:t>de</w:t>
      </w:r>
      <w:r>
        <w:rPr>
          <w:color w:val="231F20"/>
          <w:spacing w:val="-11"/>
          <w:sz w:val="19"/>
        </w:rPr>
        <w:t> </w:t>
      </w:r>
      <w:r>
        <w:rPr>
          <w:color w:val="231F20"/>
          <w:sz w:val="19"/>
        </w:rPr>
        <w:t>clasificación</w:t>
      </w:r>
      <w:r>
        <w:rPr>
          <w:color w:val="231F20"/>
          <w:spacing w:val="-11"/>
          <w:sz w:val="19"/>
        </w:rPr>
        <w:t> </w:t>
      </w:r>
      <w:r>
        <w:rPr>
          <w:color w:val="231F20"/>
          <w:sz w:val="19"/>
        </w:rPr>
        <w:t>climática</w:t>
      </w:r>
      <w:r>
        <w:rPr>
          <w:color w:val="231F20"/>
          <w:spacing w:val="-11"/>
          <w:sz w:val="19"/>
        </w:rPr>
        <w:t> </w:t>
      </w:r>
      <w:r>
        <w:rPr>
          <w:color w:val="231F20"/>
          <w:sz w:val="19"/>
        </w:rPr>
        <w:t>de</w:t>
      </w:r>
      <w:r>
        <w:rPr>
          <w:color w:val="231F20"/>
          <w:spacing w:val="-11"/>
          <w:sz w:val="19"/>
        </w:rPr>
        <w:t> </w:t>
      </w:r>
      <w:r>
        <w:rPr>
          <w:color w:val="231F20"/>
          <w:sz w:val="19"/>
        </w:rPr>
        <w:t>Köppen.</w:t>
      </w:r>
      <w:r>
        <w:rPr>
          <w:color w:val="231F20"/>
          <w:spacing w:val="-10"/>
          <w:sz w:val="19"/>
        </w:rPr>
        <w:t> </w:t>
      </w:r>
      <w:r>
        <w:rPr>
          <w:color w:val="231F20"/>
          <w:sz w:val="19"/>
        </w:rPr>
        <w:t>4ª.</w:t>
      </w:r>
      <w:r>
        <w:rPr>
          <w:color w:val="231F20"/>
          <w:spacing w:val="-11"/>
          <w:sz w:val="19"/>
        </w:rPr>
        <w:t> </w:t>
      </w:r>
      <w:r>
        <w:rPr>
          <w:color w:val="231F20"/>
          <w:sz w:val="19"/>
        </w:rPr>
        <w:t>Edición.</w:t>
      </w:r>
      <w:r>
        <w:rPr>
          <w:color w:val="231F20"/>
          <w:spacing w:val="-11"/>
          <w:sz w:val="19"/>
        </w:rPr>
        <w:t> </w:t>
      </w:r>
      <w:r>
        <w:rPr>
          <w:color w:val="231F20"/>
          <w:sz w:val="19"/>
        </w:rPr>
        <w:t>Instituto</w:t>
      </w:r>
      <w:r>
        <w:rPr>
          <w:color w:val="231F20"/>
          <w:spacing w:val="-11"/>
          <w:sz w:val="19"/>
        </w:rPr>
        <w:t> </w:t>
      </w:r>
      <w:r>
        <w:rPr>
          <w:color w:val="231F20"/>
          <w:sz w:val="19"/>
        </w:rPr>
        <w:t>de</w:t>
      </w:r>
      <w:r>
        <w:rPr>
          <w:color w:val="231F20"/>
          <w:spacing w:val="-11"/>
          <w:sz w:val="19"/>
        </w:rPr>
        <w:t> </w:t>
      </w:r>
      <w:r>
        <w:rPr>
          <w:color w:val="231F20"/>
          <w:sz w:val="19"/>
        </w:rPr>
        <w:t>Geogra- fía. Universidad Autónoma de</w:t>
      </w:r>
      <w:r>
        <w:rPr>
          <w:color w:val="231F20"/>
          <w:spacing w:val="-11"/>
          <w:sz w:val="19"/>
        </w:rPr>
        <w:t> </w:t>
      </w:r>
      <w:r>
        <w:rPr>
          <w:color w:val="231F20"/>
          <w:sz w:val="19"/>
        </w:rPr>
        <w:t>México.</w:t>
      </w:r>
    </w:p>
    <w:p>
      <w:pPr>
        <w:pStyle w:val="BodyText"/>
        <w:spacing w:before="10"/>
        <w:rPr>
          <w:sz w:val="19"/>
        </w:rPr>
      </w:pPr>
    </w:p>
    <w:p>
      <w:pPr>
        <w:spacing w:line="249" w:lineRule="auto" w:before="0"/>
        <w:ind w:left="1270" w:right="1268" w:firstLine="0"/>
        <w:jc w:val="both"/>
        <w:rPr>
          <w:sz w:val="19"/>
        </w:rPr>
      </w:pPr>
      <w:r>
        <w:rPr>
          <w:color w:val="231F20"/>
          <w:sz w:val="19"/>
        </w:rPr>
        <w:t>FAO. 2000. Global network on integrated soil management for sustaintable use of salt-affected soils. Rome, Italy: FAO Land and Plant Nutrition Management.</w:t>
      </w:r>
    </w:p>
    <w:p>
      <w:pPr>
        <w:pStyle w:val="BodyText"/>
        <w:spacing w:before="10"/>
        <w:rPr>
          <w:sz w:val="19"/>
        </w:rPr>
      </w:pPr>
    </w:p>
    <w:p>
      <w:pPr>
        <w:spacing w:line="249" w:lineRule="auto" w:before="0"/>
        <w:ind w:left="1270" w:right="1268" w:firstLine="0"/>
        <w:jc w:val="both"/>
        <w:rPr>
          <w:sz w:val="19"/>
        </w:rPr>
      </w:pPr>
      <w:r>
        <w:rPr>
          <w:color w:val="231F20"/>
          <w:sz w:val="19"/>
        </w:rPr>
        <w:t>Lannal, A. C., I. C. Jose´, M. G. A. Oliveira, E. G. Barros, and M. A. Moreira, 2005: Effect of temperature on polyunsaturated fatty acid accumulation in soybean seeds. Braz. J. Plant Physiol. 17, 213–222.</w:t>
      </w:r>
    </w:p>
    <w:p>
      <w:pPr>
        <w:pStyle w:val="BodyText"/>
        <w:spacing w:before="10"/>
        <w:rPr>
          <w:sz w:val="19"/>
        </w:rPr>
      </w:pPr>
    </w:p>
    <w:p>
      <w:pPr>
        <w:spacing w:before="0"/>
        <w:ind w:left="1270" w:right="0" w:firstLine="0"/>
        <w:jc w:val="both"/>
        <w:rPr>
          <w:sz w:val="19"/>
        </w:rPr>
      </w:pPr>
      <w:r>
        <w:rPr>
          <w:color w:val="231F20"/>
          <w:sz w:val="19"/>
        </w:rPr>
        <w:t>Merrien A. 1992. Physiologie du tournesol.CETION, Paris p.66.</w:t>
      </w:r>
    </w:p>
    <w:p>
      <w:pPr>
        <w:pStyle w:val="BodyText"/>
        <w:spacing w:before="7"/>
        <w:rPr>
          <w:sz w:val="20"/>
        </w:rPr>
      </w:pPr>
    </w:p>
    <w:p>
      <w:pPr>
        <w:spacing w:line="249" w:lineRule="auto" w:before="0"/>
        <w:ind w:left="1270" w:right="1268" w:firstLine="0"/>
        <w:jc w:val="both"/>
        <w:rPr>
          <w:sz w:val="19"/>
        </w:rPr>
      </w:pPr>
      <w:r>
        <w:rPr>
          <w:color w:val="231F20"/>
          <w:sz w:val="19"/>
        </w:rPr>
        <w:t>Mozaffarian, D., </w:t>
      </w:r>
      <w:r>
        <w:rPr>
          <w:color w:val="231F20"/>
          <w:spacing w:val="-11"/>
          <w:sz w:val="19"/>
        </w:rPr>
        <w:t>P. </w:t>
      </w:r>
      <w:r>
        <w:rPr>
          <w:color w:val="231F20"/>
          <w:sz w:val="19"/>
        </w:rPr>
        <w:t>K. Stein, R. J. Prineas, and D. S. Siscovick, 2008: Dietary fish and omega-3 fatty acid</w:t>
      </w:r>
      <w:r>
        <w:rPr>
          <w:color w:val="231F20"/>
          <w:spacing w:val="-22"/>
          <w:sz w:val="19"/>
        </w:rPr>
        <w:t> </w:t>
      </w:r>
      <w:r>
        <w:rPr>
          <w:color w:val="231F20"/>
          <w:sz w:val="19"/>
        </w:rPr>
        <w:t>con- sumption and heart rate variability in US adults. Circulation 117,</w:t>
      </w:r>
      <w:r>
        <w:rPr>
          <w:color w:val="231F20"/>
          <w:spacing w:val="-24"/>
          <w:sz w:val="19"/>
        </w:rPr>
        <w:t> </w:t>
      </w:r>
      <w:r>
        <w:rPr>
          <w:color w:val="231F20"/>
          <w:sz w:val="19"/>
        </w:rPr>
        <w:t>1130–1137.</w:t>
      </w:r>
    </w:p>
    <w:p>
      <w:pPr>
        <w:pStyle w:val="BodyText"/>
        <w:spacing w:before="10"/>
        <w:rPr>
          <w:sz w:val="19"/>
        </w:rPr>
      </w:pPr>
    </w:p>
    <w:p>
      <w:pPr>
        <w:spacing w:line="249" w:lineRule="auto" w:before="0"/>
        <w:ind w:left="1270" w:right="1267" w:firstLine="0"/>
        <w:jc w:val="both"/>
        <w:rPr>
          <w:sz w:val="19"/>
        </w:rPr>
      </w:pPr>
      <w:r>
        <w:rPr>
          <w:color w:val="231F20"/>
          <w:sz w:val="19"/>
        </w:rPr>
        <w:t>Olalde G. V. M.; Escalante E. J- A.; Sánchez G. P.; Tjerina C. L.; Mastache L. A. A.; Carreño R. E. 2000. Crecimiento y distribución de biomasa en girasol en función del nitrógeno y densidad de población en clima templado. Terra. Vol. 18. Num. 004. Pp. 313-323.</w:t>
      </w:r>
    </w:p>
    <w:p>
      <w:pPr>
        <w:pStyle w:val="BodyText"/>
        <w:spacing w:before="10"/>
        <w:rPr>
          <w:sz w:val="19"/>
        </w:rPr>
      </w:pPr>
    </w:p>
    <w:p>
      <w:pPr>
        <w:spacing w:line="249" w:lineRule="auto" w:before="0"/>
        <w:ind w:left="1270" w:right="1268" w:firstLine="0"/>
        <w:jc w:val="both"/>
        <w:rPr>
          <w:sz w:val="19"/>
        </w:rPr>
      </w:pPr>
      <w:r>
        <w:rPr>
          <w:color w:val="231F20"/>
          <w:sz w:val="19"/>
        </w:rPr>
        <w:t>Sarmah P.C.; Katyal S. K.; Faroda A. J. 1994.Response of sunflower (Helianthus annus L.) cultivrs to fertility level and plant population.Indian J. Agron. 39 (1): 76-78.</w:t>
      </w:r>
    </w:p>
    <w:p>
      <w:pPr>
        <w:spacing w:after="0" w:line="249" w:lineRule="auto"/>
        <w:jc w:val="both"/>
        <w:rPr>
          <w:sz w:val="19"/>
        </w:rPr>
        <w:sectPr>
          <w:pgSz w:w="10920" w:h="13080"/>
          <w:pgMar w:header="0" w:footer="1025" w:top="420" w:bottom="1220" w:left="0" w:right="0"/>
        </w:sectPr>
      </w:pPr>
    </w:p>
    <w:p>
      <w:pPr>
        <w:pStyle w:val="BodyText"/>
        <w:rPr>
          <w:sz w:val="20"/>
        </w:rPr>
      </w:pPr>
    </w:p>
    <w:p>
      <w:pPr>
        <w:pStyle w:val="BodyText"/>
        <w:rPr>
          <w:sz w:val="20"/>
        </w:rPr>
      </w:pPr>
    </w:p>
    <w:p>
      <w:pPr>
        <w:pStyle w:val="BodyText"/>
        <w:spacing w:before="2"/>
        <w:rPr>
          <w:sz w:val="23"/>
        </w:rPr>
      </w:pPr>
    </w:p>
    <w:p>
      <w:pPr>
        <w:spacing w:line="249" w:lineRule="auto" w:before="76"/>
        <w:ind w:left="1270" w:right="1268" w:firstLine="0"/>
        <w:jc w:val="both"/>
        <w:rPr>
          <w:sz w:val="19"/>
        </w:rPr>
      </w:pPr>
      <w:r>
        <w:rPr>
          <w:color w:val="231F20"/>
          <w:sz w:val="19"/>
        </w:rPr>
        <w:t>Vega M. R. 1999. Crecimiento y rendimiento del girasol (Helianthusannuus L.) en función del nitrógeno, densidad de población y época de aclareo. Tesis de maestría, Colegio de Postgraduados, IRENAT (Botánica), Montecillo, México. Pp 162.</w:t>
      </w:r>
    </w:p>
    <w:p>
      <w:pPr>
        <w:pStyle w:val="BodyText"/>
        <w:spacing w:before="10"/>
        <w:rPr>
          <w:sz w:val="19"/>
        </w:rPr>
      </w:pPr>
    </w:p>
    <w:p>
      <w:pPr>
        <w:spacing w:line="249" w:lineRule="auto" w:before="0"/>
        <w:ind w:left="1270" w:right="1268" w:firstLine="0"/>
        <w:jc w:val="both"/>
        <w:rPr>
          <w:sz w:val="19"/>
        </w:rPr>
      </w:pPr>
      <w:r>
        <w:rPr>
          <w:color w:val="231F20"/>
          <w:sz w:val="19"/>
        </w:rPr>
        <w:t>Vega M. R.; Escalante E. J. A.; Sánchez G. P.; Ramírez G. A.; Cuenca A. E. 2001. Asignación de biomasa y rendimiento de girasol con relación al nitrógeno y densidad de población. Terra. Vol.19. Núm. 001. Pp 75-81.</w:t>
      </w:r>
    </w:p>
    <w:p>
      <w:pPr>
        <w:pStyle w:val="BodyText"/>
        <w:spacing w:before="10"/>
        <w:rPr>
          <w:sz w:val="19"/>
        </w:rPr>
      </w:pPr>
    </w:p>
    <w:p>
      <w:pPr>
        <w:spacing w:line="249" w:lineRule="auto" w:before="0"/>
        <w:ind w:left="1270" w:right="1268" w:firstLine="0"/>
        <w:jc w:val="both"/>
        <w:rPr>
          <w:sz w:val="19"/>
        </w:rPr>
      </w:pPr>
      <w:r>
        <w:rPr>
          <w:color w:val="231F20"/>
          <w:sz w:val="19"/>
        </w:rPr>
        <w:t>Vidmar,J.J.; Zhuo,D.; Siddiqui, M.Y.;  Schjoerring,J.K.;  Touraine,B. And  Glass,A.D.M.  2000.  Regulation of high-affinity nitrate transporter genes and high-affinity nitrate influx by nitrogen pools in roots of barley. PlantPhysiol. 123, 307-318.</w:t>
      </w:r>
    </w:p>
    <w:p>
      <w:pPr>
        <w:pStyle w:val="BodyText"/>
        <w:spacing w:before="10"/>
        <w:rPr>
          <w:sz w:val="19"/>
        </w:rPr>
      </w:pPr>
    </w:p>
    <w:p>
      <w:pPr>
        <w:spacing w:before="0"/>
        <w:ind w:left="1270" w:right="0" w:firstLine="0"/>
        <w:jc w:val="both"/>
        <w:rPr>
          <w:sz w:val="19"/>
        </w:rPr>
      </w:pPr>
      <w:r>
        <w:rPr>
          <w:color w:val="231F20"/>
          <w:sz w:val="19"/>
        </w:rPr>
        <w:t>Schneiter, A. and Miller, J.F., 1981. Description of sunflower growth stages. Crop Sci. 21: 901-903.</w:t>
      </w:r>
    </w:p>
    <w:p>
      <w:pPr>
        <w:pStyle w:val="BodyText"/>
        <w:spacing w:before="7"/>
        <w:rPr>
          <w:sz w:val="20"/>
        </w:rPr>
      </w:pPr>
    </w:p>
    <w:p>
      <w:pPr>
        <w:spacing w:before="0"/>
        <w:ind w:left="1270" w:right="0" w:firstLine="0"/>
        <w:jc w:val="both"/>
        <w:rPr>
          <w:sz w:val="19"/>
        </w:rPr>
      </w:pPr>
      <w:r>
        <w:rPr>
          <w:color w:val="231F20"/>
          <w:sz w:val="19"/>
        </w:rPr>
        <w:t>Taiz, L. and Zeiger, E. 1998.Plant Physiology. Segunda Edición. Sinauer Associates, Inc., Publishers. pp.792.</w:t>
      </w:r>
    </w:p>
    <w:p>
      <w:pPr>
        <w:pStyle w:val="BodyText"/>
        <w:spacing w:before="7"/>
        <w:rPr>
          <w:sz w:val="20"/>
        </w:rPr>
      </w:pPr>
    </w:p>
    <w:p>
      <w:pPr>
        <w:spacing w:line="249" w:lineRule="auto" w:before="0"/>
        <w:ind w:left="1270" w:right="1268" w:firstLine="0"/>
        <w:jc w:val="both"/>
        <w:rPr>
          <w:sz w:val="19"/>
        </w:rPr>
      </w:pPr>
      <w:r>
        <w:rPr>
          <w:color w:val="231F20"/>
          <w:sz w:val="19"/>
        </w:rPr>
        <w:t>Werteker</w:t>
      </w:r>
      <w:r>
        <w:rPr>
          <w:color w:val="231F20"/>
          <w:spacing w:val="-5"/>
          <w:sz w:val="19"/>
        </w:rPr>
        <w:t> </w:t>
      </w:r>
      <w:r>
        <w:rPr>
          <w:color w:val="231F20"/>
          <w:sz w:val="19"/>
        </w:rPr>
        <w:t>M.;</w:t>
      </w:r>
      <w:r>
        <w:rPr>
          <w:color w:val="231F20"/>
          <w:spacing w:val="-5"/>
          <w:sz w:val="19"/>
        </w:rPr>
        <w:t> </w:t>
      </w:r>
      <w:r>
        <w:rPr>
          <w:color w:val="231F20"/>
          <w:sz w:val="19"/>
        </w:rPr>
        <w:t>Lorenz</w:t>
      </w:r>
      <w:r>
        <w:rPr>
          <w:color w:val="231F20"/>
          <w:spacing w:val="-16"/>
          <w:sz w:val="19"/>
        </w:rPr>
        <w:t> </w:t>
      </w:r>
      <w:r>
        <w:rPr>
          <w:color w:val="231F20"/>
          <w:sz w:val="19"/>
        </w:rPr>
        <w:t>A.;</w:t>
      </w:r>
      <w:r>
        <w:rPr>
          <w:color w:val="231F20"/>
          <w:spacing w:val="-5"/>
          <w:sz w:val="19"/>
        </w:rPr>
        <w:t> </w:t>
      </w:r>
      <w:r>
        <w:rPr>
          <w:color w:val="231F20"/>
          <w:sz w:val="19"/>
        </w:rPr>
        <w:t>Johannes</w:t>
      </w:r>
      <w:r>
        <w:rPr>
          <w:color w:val="231F20"/>
          <w:spacing w:val="-5"/>
          <w:sz w:val="19"/>
        </w:rPr>
        <w:t> </w:t>
      </w:r>
      <w:r>
        <w:rPr>
          <w:color w:val="231F20"/>
          <w:sz w:val="19"/>
        </w:rPr>
        <w:t>H.;</w:t>
      </w:r>
      <w:r>
        <w:rPr>
          <w:color w:val="231F20"/>
          <w:spacing w:val="-5"/>
          <w:sz w:val="19"/>
        </w:rPr>
        <w:t> </w:t>
      </w:r>
      <w:r>
        <w:rPr>
          <w:color w:val="231F20"/>
          <w:sz w:val="19"/>
        </w:rPr>
        <w:t>Berghofer</w:t>
      </w:r>
      <w:r>
        <w:rPr>
          <w:color w:val="231F20"/>
          <w:spacing w:val="-5"/>
          <w:sz w:val="19"/>
        </w:rPr>
        <w:t> </w:t>
      </w:r>
      <w:r>
        <w:rPr>
          <w:color w:val="231F20"/>
          <w:sz w:val="19"/>
        </w:rPr>
        <w:t>E.;</w:t>
      </w:r>
      <w:r>
        <w:rPr>
          <w:color w:val="231F20"/>
          <w:spacing w:val="-5"/>
          <w:sz w:val="19"/>
        </w:rPr>
        <w:t> </w:t>
      </w:r>
      <w:r>
        <w:rPr>
          <w:color w:val="231F20"/>
          <w:sz w:val="19"/>
        </w:rPr>
        <w:t>Findlay</w:t>
      </w:r>
      <w:r>
        <w:rPr>
          <w:color w:val="231F20"/>
          <w:spacing w:val="-5"/>
          <w:sz w:val="19"/>
        </w:rPr>
        <w:t> </w:t>
      </w:r>
      <w:r>
        <w:rPr>
          <w:color w:val="231F20"/>
          <w:sz w:val="19"/>
        </w:rPr>
        <w:t>C.S.</w:t>
      </w:r>
      <w:r>
        <w:rPr>
          <w:color w:val="231F20"/>
          <w:spacing w:val="-5"/>
          <w:sz w:val="19"/>
        </w:rPr>
        <w:t> </w:t>
      </w:r>
      <w:r>
        <w:rPr>
          <w:color w:val="231F20"/>
          <w:sz w:val="19"/>
        </w:rPr>
        <w:t>2010.</w:t>
      </w:r>
      <w:r>
        <w:rPr>
          <w:color w:val="231F20"/>
          <w:spacing w:val="-5"/>
          <w:sz w:val="19"/>
        </w:rPr>
        <w:t> </w:t>
      </w:r>
      <w:r>
        <w:rPr>
          <w:color w:val="231F20"/>
          <w:sz w:val="19"/>
        </w:rPr>
        <w:t>Environmental</w:t>
      </w:r>
      <w:r>
        <w:rPr>
          <w:color w:val="231F20"/>
          <w:spacing w:val="-5"/>
          <w:sz w:val="19"/>
        </w:rPr>
        <w:t> </w:t>
      </w:r>
      <w:r>
        <w:rPr>
          <w:color w:val="231F20"/>
          <w:sz w:val="19"/>
        </w:rPr>
        <w:t>and</w:t>
      </w:r>
      <w:r>
        <w:rPr>
          <w:color w:val="231F20"/>
          <w:spacing w:val="-9"/>
          <w:sz w:val="19"/>
        </w:rPr>
        <w:t> </w:t>
      </w:r>
      <w:r>
        <w:rPr>
          <w:color w:val="231F20"/>
          <w:spacing w:val="-3"/>
          <w:sz w:val="19"/>
        </w:rPr>
        <w:t>Varietal</w:t>
      </w:r>
      <w:r>
        <w:rPr>
          <w:color w:val="231F20"/>
          <w:spacing w:val="-5"/>
          <w:sz w:val="19"/>
        </w:rPr>
        <w:t> </w:t>
      </w:r>
      <w:r>
        <w:rPr>
          <w:color w:val="231F20"/>
          <w:sz w:val="19"/>
        </w:rPr>
        <w:t>Influences on the Fatty AcidComposition of Rapeseed, Soybeans and Sunflowers. J. Agronomy and Crop Science. Aus- trian Agency for Health and Food Safety, 196 pp.</w:t>
      </w:r>
      <w:r>
        <w:rPr>
          <w:color w:val="231F20"/>
          <w:spacing w:val="-24"/>
          <w:sz w:val="19"/>
        </w:rPr>
        <w:t> </w:t>
      </w:r>
      <w:r>
        <w:rPr>
          <w:color w:val="231F20"/>
          <w:sz w:val="19"/>
        </w:rPr>
        <w:t>20–27.</w:t>
      </w:r>
    </w:p>
    <w:p>
      <w:pPr>
        <w:spacing w:after="0" w:line="249" w:lineRule="auto"/>
        <w:jc w:val="both"/>
        <w:rPr>
          <w:sz w:val="19"/>
        </w:rPr>
        <w:sectPr>
          <w:pgSz w:w="10920" w:h="13080"/>
          <w:pgMar w:header="0" w:footer="1025" w:top="420" w:bottom="1220" w:left="0" w:right="0"/>
        </w:sectPr>
      </w:pPr>
    </w:p>
    <w:p>
      <w:pPr>
        <w:pStyle w:val="BodyText"/>
        <w:rPr>
          <w:sz w:val="20"/>
        </w:rPr>
      </w:pPr>
    </w:p>
    <w:p>
      <w:pPr>
        <w:pStyle w:val="BodyText"/>
        <w:rPr>
          <w:sz w:val="20"/>
        </w:rPr>
      </w:pPr>
    </w:p>
    <w:p>
      <w:pPr>
        <w:pStyle w:val="BodyText"/>
        <w:spacing w:before="6"/>
        <w:rPr>
          <w:sz w:val="23"/>
        </w:rPr>
      </w:pPr>
    </w:p>
    <w:p>
      <w:pPr>
        <w:spacing w:line="247" w:lineRule="auto" w:before="69"/>
        <w:ind w:left="1747" w:right="1745" w:firstLine="0"/>
        <w:jc w:val="center"/>
        <w:rPr>
          <w:rFonts w:ascii="Trebuchet MS" w:hAnsi="Trebuchet MS"/>
          <w:i/>
          <w:sz w:val="14"/>
        </w:rPr>
      </w:pPr>
      <w:r>
        <w:rPr>
          <w:rFonts w:ascii="Trebuchet MS" w:hAnsi="Trebuchet MS"/>
          <w:i/>
          <w:color w:val="010202"/>
          <w:spacing w:val="-3"/>
          <w:sz w:val="24"/>
        </w:rPr>
        <w:t>Maricela Apáez Barrios</w:t>
      </w:r>
      <w:r>
        <w:rPr>
          <w:rFonts w:ascii="Trebuchet MS" w:hAnsi="Trebuchet MS"/>
          <w:i/>
          <w:color w:val="010202"/>
          <w:spacing w:val="-3"/>
          <w:position w:val="8"/>
          <w:sz w:val="14"/>
        </w:rPr>
        <w:t>1</w:t>
      </w:r>
      <w:r>
        <w:rPr>
          <w:rFonts w:ascii="Trebuchet MS" w:hAnsi="Trebuchet MS"/>
          <w:i/>
          <w:color w:val="010202"/>
          <w:spacing w:val="-3"/>
          <w:sz w:val="24"/>
        </w:rPr>
        <w:t>; José Alberto Salvador Escalante Estrada</w:t>
      </w:r>
      <w:r>
        <w:rPr>
          <w:rFonts w:ascii="Trebuchet MS" w:hAnsi="Trebuchet MS"/>
          <w:i/>
          <w:color w:val="010202"/>
          <w:spacing w:val="-3"/>
          <w:position w:val="8"/>
          <w:sz w:val="14"/>
        </w:rPr>
        <w:t>1</w:t>
      </w:r>
      <w:r>
        <w:rPr>
          <w:rFonts w:ascii="Trebuchet MS" w:hAnsi="Trebuchet MS"/>
          <w:i/>
          <w:color w:val="010202"/>
          <w:spacing w:val="-3"/>
          <w:sz w:val="24"/>
        </w:rPr>
        <w:t>; </w:t>
      </w:r>
      <w:r>
        <w:rPr>
          <w:rFonts w:ascii="Trebuchet MS" w:hAnsi="Trebuchet MS"/>
          <w:i/>
          <w:color w:val="010202"/>
          <w:spacing w:val="-3"/>
          <w:sz w:val="24"/>
        </w:rPr>
        <w:t>María </w:t>
      </w:r>
      <w:r>
        <w:rPr>
          <w:rFonts w:ascii="Trebuchet MS" w:hAnsi="Trebuchet MS"/>
          <w:i/>
          <w:color w:val="010202"/>
          <w:spacing w:val="-8"/>
          <w:sz w:val="24"/>
        </w:rPr>
        <w:t>Teresa </w:t>
      </w:r>
      <w:r>
        <w:rPr>
          <w:rFonts w:ascii="Trebuchet MS" w:hAnsi="Trebuchet MS"/>
          <w:i/>
          <w:color w:val="010202"/>
          <w:spacing w:val="-3"/>
          <w:sz w:val="24"/>
        </w:rPr>
        <w:t>Rodríguez González</w:t>
      </w:r>
      <w:r>
        <w:rPr>
          <w:rFonts w:ascii="Trebuchet MS" w:hAnsi="Trebuchet MS"/>
          <w:i/>
          <w:color w:val="010202"/>
          <w:spacing w:val="-3"/>
          <w:position w:val="8"/>
          <w:sz w:val="14"/>
        </w:rPr>
        <w:t>1  </w:t>
      </w:r>
      <w:r>
        <w:rPr>
          <w:rFonts w:ascii="Trebuchet MS" w:hAnsi="Trebuchet MS"/>
          <w:i/>
          <w:color w:val="010202"/>
          <w:sz w:val="24"/>
        </w:rPr>
        <w:t>y </w:t>
      </w:r>
      <w:r>
        <w:rPr>
          <w:rFonts w:ascii="Trebuchet MS" w:hAnsi="Trebuchet MS"/>
          <w:i/>
          <w:color w:val="010202"/>
          <w:spacing w:val="-3"/>
          <w:sz w:val="24"/>
        </w:rPr>
        <w:t>Patricio Apáez Barrios</w:t>
      </w:r>
      <w:r>
        <w:rPr>
          <w:rFonts w:ascii="Trebuchet MS" w:hAnsi="Trebuchet MS"/>
          <w:i/>
          <w:color w:val="010202"/>
          <w:spacing w:val="-3"/>
          <w:position w:val="8"/>
          <w:sz w:val="14"/>
        </w:rPr>
        <w:t>1</w:t>
      </w: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spacing w:before="7"/>
        <w:rPr>
          <w:rFonts w:ascii="Trebuchet MS"/>
          <w:i/>
          <w:sz w:val="31"/>
        </w:rPr>
      </w:pPr>
    </w:p>
    <w:p>
      <w:pPr>
        <w:spacing w:before="0"/>
        <w:ind w:left="1479" w:right="1489" w:firstLine="0"/>
        <w:jc w:val="center"/>
        <w:rPr>
          <w:rFonts w:ascii="Trebuchet MS" w:hAnsi="Trebuchet MS"/>
          <w:b/>
          <w:sz w:val="36"/>
        </w:rPr>
      </w:pPr>
      <w:r>
        <w:rPr>
          <w:rFonts w:ascii="Trebuchet MS" w:hAnsi="Trebuchet MS"/>
          <w:b/>
          <w:color w:val="010202"/>
          <w:sz w:val="36"/>
        </w:rPr>
        <w:t>RENDIMIENTO Y DISTRIBUCIÓN DE</w:t>
      </w:r>
    </w:p>
    <w:p>
      <w:pPr>
        <w:spacing w:line="247" w:lineRule="auto" w:before="14"/>
        <w:ind w:left="2010" w:right="2021" w:firstLine="0"/>
        <w:jc w:val="center"/>
        <w:rPr>
          <w:rFonts w:ascii="Trebuchet MS" w:hAnsi="Trebuchet MS"/>
          <w:b/>
          <w:sz w:val="36"/>
        </w:rPr>
      </w:pPr>
      <w:r>
        <w:rPr>
          <w:rFonts w:ascii="Trebuchet MS" w:hAnsi="Trebuchet MS"/>
          <w:b/>
          <w:color w:val="010202"/>
          <w:spacing w:val="-6"/>
          <w:sz w:val="36"/>
        </w:rPr>
        <w:t>LA</w:t>
      </w:r>
      <w:r>
        <w:rPr>
          <w:rFonts w:ascii="Trebuchet MS" w:hAnsi="Trebuchet MS"/>
          <w:b/>
          <w:color w:val="010202"/>
          <w:spacing w:val="-40"/>
          <w:sz w:val="36"/>
        </w:rPr>
        <w:t> </w:t>
      </w:r>
      <w:r>
        <w:rPr>
          <w:rFonts w:ascii="Trebuchet MS" w:hAnsi="Trebuchet MS"/>
          <w:b/>
          <w:color w:val="010202"/>
          <w:spacing w:val="-10"/>
          <w:sz w:val="36"/>
        </w:rPr>
        <w:t>BIOMASA</w:t>
      </w:r>
      <w:r>
        <w:rPr>
          <w:rFonts w:ascii="Trebuchet MS" w:hAnsi="Trebuchet MS"/>
          <w:b/>
          <w:color w:val="010202"/>
          <w:spacing w:val="-40"/>
          <w:sz w:val="36"/>
        </w:rPr>
        <w:t> </w:t>
      </w:r>
      <w:r>
        <w:rPr>
          <w:rFonts w:ascii="Trebuchet MS" w:hAnsi="Trebuchet MS"/>
          <w:b/>
          <w:color w:val="010202"/>
          <w:spacing w:val="-8"/>
          <w:sz w:val="36"/>
        </w:rPr>
        <w:t>DEL</w:t>
      </w:r>
      <w:r>
        <w:rPr>
          <w:rFonts w:ascii="Trebuchet MS" w:hAnsi="Trebuchet MS"/>
          <w:b/>
          <w:color w:val="010202"/>
          <w:spacing w:val="-33"/>
          <w:sz w:val="36"/>
        </w:rPr>
        <w:t> </w:t>
      </w:r>
      <w:r>
        <w:rPr>
          <w:rFonts w:ascii="Trebuchet MS" w:hAnsi="Trebuchet MS"/>
          <w:b/>
          <w:color w:val="010202"/>
          <w:spacing w:val="-10"/>
          <w:sz w:val="36"/>
        </w:rPr>
        <w:t>GARBANZO</w:t>
      </w:r>
      <w:r>
        <w:rPr>
          <w:rFonts w:ascii="Trebuchet MS" w:hAnsi="Trebuchet MS"/>
          <w:b/>
          <w:color w:val="010202"/>
          <w:spacing w:val="-18"/>
          <w:sz w:val="36"/>
        </w:rPr>
        <w:t> </w:t>
      </w:r>
      <w:r>
        <w:rPr>
          <w:rFonts w:ascii="Trebuchet MS" w:hAnsi="Trebuchet MS"/>
          <w:b/>
          <w:color w:val="010202"/>
          <w:spacing w:val="-6"/>
          <w:sz w:val="36"/>
        </w:rPr>
        <w:t>EN</w:t>
      </w:r>
      <w:r>
        <w:rPr>
          <w:rFonts w:ascii="Trebuchet MS" w:hAnsi="Trebuchet MS"/>
          <w:b/>
          <w:color w:val="010202"/>
          <w:spacing w:val="-20"/>
          <w:sz w:val="36"/>
        </w:rPr>
        <w:t> </w:t>
      </w:r>
      <w:r>
        <w:rPr>
          <w:rFonts w:ascii="Trebuchet MS" w:hAnsi="Trebuchet MS"/>
          <w:b/>
          <w:color w:val="010202"/>
          <w:spacing w:val="-11"/>
          <w:sz w:val="36"/>
        </w:rPr>
        <w:t>FUNCIÓN </w:t>
      </w:r>
      <w:r>
        <w:rPr>
          <w:rFonts w:ascii="Trebuchet MS" w:hAnsi="Trebuchet MS"/>
          <w:b/>
          <w:color w:val="010202"/>
          <w:spacing w:val="-8"/>
          <w:sz w:val="36"/>
        </w:rPr>
        <w:t>DEL</w:t>
      </w:r>
      <w:r>
        <w:rPr>
          <w:rFonts w:ascii="Trebuchet MS" w:hAnsi="Trebuchet MS"/>
          <w:b/>
          <w:color w:val="010202"/>
          <w:spacing w:val="-33"/>
          <w:sz w:val="36"/>
        </w:rPr>
        <w:t> </w:t>
      </w:r>
      <w:r>
        <w:rPr>
          <w:rFonts w:ascii="Trebuchet MS" w:hAnsi="Trebuchet MS"/>
          <w:b/>
          <w:color w:val="010202"/>
          <w:spacing w:val="-11"/>
          <w:sz w:val="36"/>
        </w:rPr>
        <w:t>NITRÓGENO</w:t>
      </w:r>
    </w:p>
    <w:p>
      <w:pPr>
        <w:pStyle w:val="BodyText"/>
        <w:rPr>
          <w:rFonts w:ascii="Trebuchet MS"/>
          <w:b/>
          <w:sz w:val="36"/>
        </w:rPr>
      </w:pPr>
    </w:p>
    <w:p>
      <w:pPr>
        <w:pStyle w:val="BodyText"/>
        <w:rPr>
          <w:rFonts w:ascii="Trebuchet MS"/>
          <w:b/>
          <w:sz w:val="36"/>
        </w:rPr>
      </w:pPr>
    </w:p>
    <w:p>
      <w:pPr>
        <w:pStyle w:val="BodyText"/>
        <w:rPr>
          <w:rFonts w:ascii="Trebuchet MS"/>
          <w:b/>
          <w:sz w:val="36"/>
        </w:rPr>
      </w:pPr>
    </w:p>
    <w:p>
      <w:pPr>
        <w:pStyle w:val="BodyText"/>
        <w:spacing w:before="6"/>
        <w:rPr>
          <w:rFonts w:ascii="Trebuchet MS"/>
          <w:b/>
          <w:sz w:val="38"/>
        </w:rPr>
      </w:pPr>
    </w:p>
    <w:p>
      <w:pPr>
        <w:spacing w:before="0"/>
        <w:ind w:left="1270" w:right="0" w:firstLine="0"/>
        <w:jc w:val="both"/>
        <w:rPr>
          <w:b/>
          <w:sz w:val="24"/>
        </w:rPr>
      </w:pPr>
      <w:r>
        <w:rPr>
          <w:b/>
          <w:color w:val="010202"/>
          <w:sz w:val="24"/>
        </w:rPr>
        <w:t>Introducción</w:t>
      </w:r>
    </w:p>
    <w:p>
      <w:pPr>
        <w:pStyle w:val="BodyText"/>
        <w:spacing w:before="10"/>
        <w:rPr>
          <w:b/>
        </w:rPr>
      </w:pPr>
    </w:p>
    <w:p>
      <w:pPr>
        <w:pStyle w:val="BodyText"/>
        <w:spacing w:line="247" w:lineRule="auto"/>
        <w:ind w:left="1270" w:right="1267"/>
        <w:jc w:val="both"/>
      </w:pPr>
      <w:r>
        <w:rPr>
          <w:color w:val="231F20"/>
        </w:rPr>
        <w:t>El garbanzo (</w:t>
      </w:r>
      <w:r>
        <w:rPr>
          <w:i/>
          <w:color w:val="231F20"/>
        </w:rPr>
        <w:t>Cicer arietinum </w:t>
      </w:r>
      <w:r>
        <w:rPr>
          <w:color w:val="231F20"/>
        </w:rPr>
        <w:t>L.), dentro de las leguminosas alimentarias, ocupa el segundo lugar y constituye un recurso alimenticio de gran importancia, debido a su alto aporte de proteína (20.0%), carbohidratos (40.0%) y fibra (10.0%) por lo que ha sido utilizado en la formulación de alimentos infantiles como pastas y papillas (Rangel, 2011). Además contiene antioxidantes tales como</w:t>
      </w:r>
      <w:r>
        <w:rPr>
          <w:color w:val="231F20"/>
          <w:spacing w:val="-20"/>
        </w:rPr>
        <w:t> </w:t>
      </w:r>
      <w:r>
        <w:rPr>
          <w:color w:val="231F20"/>
        </w:rPr>
        <w:t>vitami- na C, E y compuestos fenolicos. La planta es considerada como un forraje de alta calidad proteica (Rangel,</w:t>
      </w:r>
      <w:r>
        <w:rPr>
          <w:color w:val="231F20"/>
          <w:spacing w:val="-10"/>
        </w:rPr>
        <w:t> </w:t>
      </w:r>
      <w:r>
        <w:rPr>
          <w:color w:val="231F20"/>
        </w:rPr>
        <w:t>2011).</w:t>
      </w:r>
      <w:r>
        <w:rPr>
          <w:color w:val="231F20"/>
          <w:spacing w:val="-10"/>
        </w:rPr>
        <w:t> </w:t>
      </w:r>
      <w:r>
        <w:rPr>
          <w:color w:val="231F20"/>
        </w:rPr>
        <w:t>Es</w:t>
      </w:r>
      <w:r>
        <w:rPr>
          <w:color w:val="231F20"/>
          <w:spacing w:val="-11"/>
        </w:rPr>
        <w:t> </w:t>
      </w:r>
      <w:r>
        <w:rPr>
          <w:color w:val="231F20"/>
        </w:rPr>
        <w:t>originario</w:t>
      </w:r>
      <w:r>
        <w:rPr>
          <w:color w:val="231F20"/>
          <w:spacing w:val="-10"/>
        </w:rPr>
        <w:t> </w:t>
      </w:r>
      <w:r>
        <w:rPr>
          <w:color w:val="231F20"/>
        </w:rPr>
        <w:t>de</w:t>
      </w:r>
      <w:r>
        <w:rPr>
          <w:color w:val="231F20"/>
          <w:spacing w:val="-14"/>
        </w:rPr>
        <w:t> </w:t>
      </w:r>
      <w:r>
        <w:rPr>
          <w:color w:val="231F20"/>
        </w:rPr>
        <w:t>Turquía</w:t>
      </w:r>
      <w:r>
        <w:rPr>
          <w:color w:val="231F20"/>
          <w:spacing w:val="33"/>
        </w:rPr>
        <w:t> </w:t>
      </w:r>
      <w:r>
        <w:rPr>
          <w:color w:val="231F20"/>
        </w:rPr>
        <w:t>y</w:t>
      </w:r>
      <w:r>
        <w:rPr>
          <w:color w:val="231F20"/>
          <w:spacing w:val="-10"/>
        </w:rPr>
        <w:t> </w:t>
      </w:r>
      <w:r>
        <w:rPr>
          <w:color w:val="231F20"/>
        </w:rPr>
        <w:t>actualmente</w:t>
      </w:r>
      <w:r>
        <w:rPr>
          <w:color w:val="231F20"/>
          <w:spacing w:val="-11"/>
        </w:rPr>
        <w:t> </w:t>
      </w:r>
      <w:r>
        <w:rPr>
          <w:color w:val="231F20"/>
        </w:rPr>
        <w:t>México</w:t>
      </w:r>
      <w:r>
        <w:rPr>
          <w:color w:val="231F20"/>
          <w:spacing w:val="-10"/>
        </w:rPr>
        <w:t> </w:t>
      </w:r>
      <w:r>
        <w:rPr>
          <w:color w:val="231F20"/>
        </w:rPr>
        <w:t>ocupa</w:t>
      </w:r>
      <w:r>
        <w:rPr>
          <w:color w:val="231F20"/>
          <w:spacing w:val="-10"/>
        </w:rPr>
        <w:t> </w:t>
      </w:r>
      <w:r>
        <w:rPr>
          <w:color w:val="231F20"/>
        </w:rPr>
        <w:t>el</w:t>
      </w:r>
      <w:r>
        <w:rPr>
          <w:color w:val="231F20"/>
          <w:spacing w:val="-10"/>
        </w:rPr>
        <w:t> </w:t>
      </w:r>
      <w:r>
        <w:rPr>
          <w:color w:val="231F20"/>
        </w:rPr>
        <w:t>tercer</w:t>
      </w:r>
      <w:r>
        <w:rPr>
          <w:color w:val="231F20"/>
          <w:spacing w:val="-11"/>
        </w:rPr>
        <w:t> </w:t>
      </w:r>
      <w:r>
        <w:rPr>
          <w:color w:val="231F20"/>
        </w:rPr>
        <w:t>lugar</w:t>
      </w:r>
      <w:r>
        <w:rPr>
          <w:color w:val="231F20"/>
          <w:spacing w:val="-11"/>
        </w:rPr>
        <w:t> </w:t>
      </w:r>
      <w:r>
        <w:rPr>
          <w:color w:val="231F20"/>
        </w:rPr>
        <w:t>a</w:t>
      </w:r>
      <w:r>
        <w:rPr>
          <w:color w:val="231F20"/>
          <w:spacing w:val="-10"/>
        </w:rPr>
        <w:t> </w:t>
      </w:r>
      <w:r>
        <w:rPr>
          <w:color w:val="231F20"/>
        </w:rPr>
        <w:t>nivel</w:t>
      </w:r>
      <w:r>
        <w:rPr>
          <w:color w:val="231F20"/>
          <w:spacing w:val="-10"/>
        </w:rPr>
        <w:t> </w:t>
      </w:r>
      <w:r>
        <w:rPr>
          <w:color w:val="231F20"/>
        </w:rPr>
        <w:t>mundial en</w:t>
      </w:r>
      <w:r>
        <w:rPr>
          <w:color w:val="231F20"/>
          <w:spacing w:val="-3"/>
        </w:rPr>
        <w:t> </w:t>
      </w:r>
      <w:r>
        <w:rPr>
          <w:color w:val="231F20"/>
        </w:rPr>
        <w:t>producción</w:t>
      </w:r>
      <w:r>
        <w:rPr>
          <w:color w:val="231F20"/>
          <w:spacing w:val="-3"/>
        </w:rPr>
        <w:t> </w:t>
      </w:r>
      <w:r>
        <w:rPr>
          <w:color w:val="231F20"/>
        </w:rPr>
        <w:t>(Sotelo,</w:t>
      </w:r>
      <w:r>
        <w:rPr>
          <w:color w:val="231F20"/>
          <w:spacing w:val="-3"/>
        </w:rPr>
        <w:t> </w:t>
      </w:r>
      <w:r>
        <w:rPr>
          <w:color w:val="231F20"/>
        </w:rPr>
        <w:t>2007),</w:t>
      </w:r>
      <w:r>
        <w:rPr>
          <w:color w:val="231F20"/>
          <w:spacing w:val="-3"/>
        </w:rPr>
        <w:t> </w:t>
      </w:r>
      <w:r>
        <w:rPr>
          <w:color w:val="231F20"/>
        </w:rPr>
        <w:t>con</w:t>
      </w:r>
      <w:r>
        <w:rPr>
          <w:color w:val="231F20"/>
          <w:spacing w:val="-3"/>
        </w:rPr>
        <w:t> </w:t>
      </w:r>
      <w:r>
        <w:rPr>
          <w:color w:val="231F20"/>
        </w:rPr>
        <w:t>una</w:t>
      </w:r>
      <w:r>
        <w:rPr>
          <w:color w:val="231F20"/>
          <w:spacing w:val="-3"/>
        </w:rPr>
        <w:t> </w:t>
      </w:r>
      <w:r>
        <w:rPr>
          <w:color w:val="231F20"/>
        </w:rPr>
        <w:t>superficie</w:t>
      </w:r>
      <w:r>
        <w:rPr>
          <w:color w:val="231F20"/>
          <w:spacing w:val="-3"/>
        </w:rPr>
        <w:t> </w:t>
      </w:r>
      <w:r>
        <w:rPr>
          <w:color w:val="231F20"/>
        </w:rPr>
        <w:t>sembrada</w:t>
      </w:r>
      <w:r>
        <w:rPr>
          <w:color w:val="231F20"/>
          <w:spacing w:val="-3"/>
        </w:rPr>
        <w:t> </w:t>
      </w:r>
      <w:r>
        <w:rPr>
          <w:color w:val="231F20"/>
        </w:rPr>
        <w:t>en</w:t>
      </w:r>
      <w:r>
        <w:rPr>
          <w:color w:val="231F20"/>
          <w:spacing w:val="-3"/>
        </w:rPr>
        <w:t> </w:t>
      </w:r>
      <w:r>
        <w:rPr>
          <w:color w:val="231F20"/>
        </w:rPr>
        <w:t>el</w:t>
      </w:r>
      <w:r>
        <w:rPr>
          <w:color w:val="231F20"/>
          <w:spacing w:val="-3"/>
        </w:rPr>
        <w:t> </w:t>
      </w:r>
      <w:r>
        <w:rPr>
          <w:color w:val="231F20"/>
        </w:rPr>
        <w:t>año</w:t>
      </w:r>
      <w:r>
        <w:rPr>
          <w:color w:val="231F20"/>
          <w:spacing w:val="-3"/>
        </w:rPr>
        <w:t> </w:t>
      </w:r>
      <w:r>
        <w:rPr>
          <w:color w:val="231F20"/>
        </w:rPr>
        <w:t>2010</w:t>
      </w:r>
      <w:r>
        <w:rPr>
          <w:color w:val="231F20"/>
          <w:spacing w:val="-3"/>
        </w:rPr>
        <w:t> </w:t>
      </w:r>
      <w:r>
        <w:rPr>
          <w:color w:val="231F20"/>
        </w:rPr>
        <w:t>de</w:t>
      </w:r>
      <w:r>
        <w:rPr>
          <w:color w:val="231F20"/>
          <w:spacing w:val="-3"/>
        </w:rPr>
        <w:t> </w:t>
      </w:r>
      <w:r>
        <w:rPr>
          <w:color w:val="231F20"/>
        </w:rPr>
        <w:t>98,295</w:t>
      </w:r>
      <w:r>
        <w:rPr>
          <w:color w:val="231F20"/>
          <w:spacing w:val="-3"/>
        </w:rPr>
        <w:t> </w:t>
      </w:r>
      <w:r>
        <w:rPr>
          <w:color w:val="231F20"/>
        </w:rPr>
        <w:t>has,</w:t>
      </w:r>
      <w:r>
        <w:rPr>
          <w:color w:val="231F20"/>
          <w:spacing w:val="-3"/>
        </w:rPr>
        <w:t> </w:t>
      </w:r>
      <w:r>
        <w:rPr>
          <w:color w:val="231F20"/>
        </w:rPr>
        <w:t>y</w:t>
      </w:r>
      <w:r>
        <w:rPr>
          <w:color w:val="231F20"/>
          <w:spacing w:val="-3"/>
        </w:rPr>
        <w:t> </w:t>
      </w:r>
      <w:r>
        <w:rPr>
          <w:color w:val="231F20"/>
        </w:rPr>
        <w:t>una</w:t>
      </w:r>
      <w:r>
        <w:rPr>
          <w:color w:val="231F20"/>
          <w:spacing w:val="-3"/>
        </w:rPr>
        <w:t> </w:t>
      </w:r>
      <w:r>
        <w:rPr>
          <w:color w:val="231F20"/>
        </w:rPr>
        <w:t>pro- ducción de 131,894 ton de grano. En el estado de Guerrero los municipios de Chilpancingo, Tlapa</w:t>
      </w:r>
      <w:r>
        <w:rPr>
          <w:color w:val="231F20"/>
          <w:spacing w:val="-36"/>
        </w:rPr>
        <w:t> </w:t>
      </w:r>
      <w:r>
        <w:rPr>
          <w:color w:val="231F20"/>
        </w:rPr>
        <w:t>y Huitzuco son los principales productores de grano </w:t>
      </w:r>
      <w:r>
        <w:rPr>
          <w:color w:val="231F20"/>
          <w:spacing w:val="-4"/>
        </w:rPr>
        <w:t>(SIAP, </w:t>
      </w:r>
      <w:r>
        <w:rPr>
          <w:color w:val="231F20"/>
        </w:rPr>
        <w:t>2010), donde se obtienen rendimientos</w:t>
      </w:r>
      <w:r>
        <w:rPr>
          <w:color w:val="231F20"/>
          <w:spacing w:val="-7"/>
        </w:rPr>
        <w:t> </w:t>
      </w:r>
      <w:r>
        <w:rPr>
          <w:color w:val="231F20"/>
        </w:rPr>
        <w:t>de</w:t>
      </w:r>
    </w:p>
    <w:p>
      <w:pPr>
        <w:pStyle w:val="BodyText"/>
        <w:spacing w:line="247" w:lineRule="auto" w:before="2"/>
        <w:ind w:left="1270" w:right="1268"/>
        <w:jc w:val="both"/>
      </w:pPr>
      <w:r>
        <w:rPr>
          <w:color w:val="231F20"/>
        </w:rPr>
        <w:t>0.6</w:t>
      </w:r>
      <w:r>
        <w:rPr>
          <w:color w:val="231F20"/>
          <w:spacing w:val="-5"/>
        </w:rPr>
        <w:t> </w:t>
      </w:r>
      <w:r>
        <w:rPr>
          <w:color w:val="231F20"/>
        </w:rPr>
        <w:t>ton</w:t>
      </w:r>
      <w:r>
        <w:rPr>
          <w:color w:val="231F20"/>
          <w:spacing w:val="-5"/>
        </w:rPr>
        <w:t> </w:t>
      </w:r>
      <w:r>
        <w:rPr>
          <w:color w:val="231F20"/>
        </w:rPr>
        <w:t>ha</w:t>
      </w:r>
      <w:r>
        <w:rPr>
          <w:color w:val="231F20"/>
          <w:position w:val="7"/>
          <w:sz w:val="12"/>
        </w:rPr>
        <w:t>-1</w:t>
      </w:r>
      <w:r>
        <w:rPr>
          <w:color w:val="231F20"/>
          <w:spacing w:val="18"/>
          <w:position w:val="7"/>
          <w:sz w:val="12"/>
        </w:rPr>
        <w:t> </w:t>
      </w:r>
      <w:r>
        <w:rPr>
          <w:color w:val="231F20"/>
        </w:rPr>
        <w:t>en</w:t>
      </w:r>
      <w:r>
        <w:rPr>
          <w:color w:val="231F20"/>
          <w:spacing w:val="-5"/>
        </w:rPr>
        <w:t> </w:t>
      </w:r>
      <w:r>
        <w:rPr>
          <w:color w:val="231F20"/>
        </w:rPr>
        <w:t>grano</w:t>
      </w:r>
      <w:r>
        <w:rPr>
          <w:color w:val="231F20"/>
          <w:spacing w:val="-5"/>
        </w:rPr>
        <w:t> </w:t>
      </w:r>
      <w:r>
        <w:rPr>
          <w:color w:val="231F20"/>
        </w:rPr>
        <w:t>seco,</w:t>
      </w:r>
      <w:r>
        <w:rPr>
          <w:color w:val="231F20"/>
          <w:spacing w:val="-4"/>
        </w:rPr>
        <w:t> </w:t>
      </w:r>
      <w:r>
        <w:rPr>
          <w:color w:val="231F20"/>
        </w:rPr>
        <w:t>el</w:t>
      </w:r>
      <w:r>
        <w:rPr>
          <w:color w:val="231F20"/>
          <w:spacing w:val="-5"/>
        </w:rPr>
        <w:t> </w:t>
      </w:r>
      <w:r>
        <w:rPr>
          <w:color w:val="231F20"/>
        </w:rPr>
        <w:t>cual</w:t>
      </w:r>
      <w:r>
        <w:rPr>
          <w:color w:val="231F20"/>
          <w:spacing w:val="-5"/>
        </w:rPr>
        <w:t> </w:t>
      </w:r>
      <w:r>
        <w:rPr>
          <w:color w:val="231F20"/>
        </w:rPr>
        <w:t>se</w:t>
      </w:r>
      <w:r>
        <w:rPr>
          <w:color w:val="231F20"/>
          <w:spacing w:val="-5"/>
        </w:rPr>
        <w:t> </w:t>
      </w:r>
      <w:r>
        <w:rPr>
          <w:color w:val="231F20"/>
        </w:rPr>
        <w:t>considera</w:t>
      </w:r>
      <w:r>
        <w:rPr>
          <w:color w:val="231F20"/>
          <w:spacing w:val="-5"/>
        </w:rPr>
        <w:t> </w:t>
      </w:r>
      <w:r>
        <w:rPr>
          <w:color w:val="231F20"/>
        </w:rPr>
        <w:t>bajo</w:t>
      </w:r>
      <w:r>
        <w:rPr>
          <w:color w:val="231F20"/>
          <w:spacing w:val="-5"/>
        </w:rPr>
        <w:t> </w:t>
      </w:r>
      <w:r>
        <w:rPr>
          <w:color w:val="231F20"/>
        </w:rPr>
        <w:t>respecto</w:t>
      </w:r>
      <w:r>
        <w:rPr>
          <w:color w:val="231F20"/>
          <w:spacing w:val="-5"/>
        </w:rPr>
        <w:t> </w:t>
      </w:r>
      <w:r>
        <w:rPr>
          <w:color w:val="231F20"/>
        </w:rPr>
        <w:t>al</w:t>
      </w:r>
      <w:r>
        <w:rPr>
          <w:color w:val="231F20"/>
          <w:spacing w:val="-5"/>
        </w:rPr>
        <w:t> </w:t>
      </w:r>
      <w:r>
        <w:rPr>
          <w:color w:val="231F20"/>
        </w:rPr>
        <w:t>potencial</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genético</w:t>
      </w:r>
      <w:r>
        <w:rPr>
          <w:color w:val="231F20"/>
          <w:spacing w:val="-5"/>
        </w:rPr>
        <w:t> </w:t>
      </w:r>
      <w:r>
        <w:rPr>
          <w:color w:val="231F20"/>
        </w:rPr>
        <w:t>del</w:t>
      </w:r>
      <w:r>
        <w:rPr>
          <w:color w:val="231F20"/>
          <w:spacing w:val="-5"/>
        </w:rPr>
        <w:t> </w:t>
      </w:r>
      <w:r>
        <w:rPr>
          <w:color w:val="231F20"/>
        </w:rPr>
        <w:t>cultivar. La baja productividad se atribuye a la falta de fertilización al</w:t>
      </w:r>
      <w:r>
        <w:rPr>
          <w:color w:val="231F20"/>
          <w:spacing w:val="-2"/>
        </w:rPr>
        <w:t> </w:t>
      </w:r>
      <w:r>
        <w:rPr>
          <w:color w:val="231F20"/>
        </w:rPr>
        <w:t>cultivo.</w:t>
      </w:r>
    </w:p>
    <w:p>
      <w:pPr>
        <w:pStyle w:val="BodyText"/>
        <w:rPr>
          <w:sz w:val="20"/>
        </w:rPr>
      </w:pPr>
    </w:p>
    <w:p>
      <w:pPr>
        <w:pStyle w:val="BodyText"/>
        <w:rPr>
          <w:sz w:val="20"/>
        </w:rPr>
      </w:pPr>
    </w:p>
    <w:p>
      <w:pPr>
        <w:pStyle w:val="BodyText"/>
        <w:rPr>
          <w:sz w:val="20"/>
        </w:rPr>
      </w:pPr>
    </w:p>
    <w:p>
      <w:pPr>
        <w:pStyle w:val="BodyText"/>
        <w:rPr>
          <w:sz w:val="26"/>
        </w:rPr>
      </w:pPr>
    </w:p>
    <w:p>
      <w:pPr>
        <w:spacing w:line="247" w:lineRule="auto" w:before="0"/>
        <w:ind w:left="1590" w:right="1245" w:firstLine="0"/>
        <w:jc w:val="left"/>
        <w:rPr>
          <w:rFonts w:ascii="Trebuchet MS" w:hAnsi="Trebuchet MS"/>
          <w:sz w:val="16"/>
        </w:rPr>
      </w:pPr>
      <w:r>
        <w:rPr>
          <w:rFonts w:ascii="Trebuchet MS" w:hAnsi="Trebuchet MS"/>
          <w:color w:val="231F20"/>
          <w:position w:val="5"/>
          <w:sz w:val="9"/>
        </w:rPr>
        <w:t>1</w:t>
      </w:r>
      <w:r>
        <w:rPr>
          <w:rFonts w:ascii="Trebuchet MS" w:hAnsi="Trebuchet MS"/>
          <w:color w:val="231F20"/>
          <w:sz w:val="16"/>
        </w:rPr>
        <w:t>Posgrado en Botánica. Colegio de Postgraduados-Campus Montecillo. Km. 36.5 </w:t>
      </w:r>
      <w:r>
        <w:rPr>
          <w:rFonts w:ascii="Trebuchet MS" w:hAnsi="Trebuchet MS"/>
          <w:color w:val="231F20"/>
          <w:spacing w:val="-6"/>
          <w:sz w:val="16"/>
        </w:rPr>
        <w:t>carr. </w:t>
      </w:r>
      <w:r>
        <w:rPr>
          <w:rFonts w:ascii="Trebuchet MS" w:hAnsi="Trebuchet MS"/>
          <w:color w:val="231F20"/>
          <w:spacing w:val="-3"/>
          <w:sz w:val="16"/>
        </w:rPr>
        <w:t>México-Texcoco </w:t>
      </w:r>
      <w:r>
        <w:rPr>
          <w:rFonts w:ascii="Trebuchet MS" w:hAnsi="Trebuchet MS"/>
          <w:color w:val="231F20"/>
          <w:sz w:val="16"/>
        </w:rPr>
        <w:t>56230. Montecillo. Edo. de México. </w:t>
      </w:r>
      <w:r>
        <w:rPr>
          <w:rFonts w:ascii="Trebuchet MS" w:hAnsi="Trebuchet MS"/>
          <w:color w:val="231F20"/>
          <w:spacing w:val="-6"/>
          <w:sz w:val="16"/>
        </w:rPr>
        <w:t>Tel. </w:t>
      </w:r>
      <w:r>
        <w:rPr>
          <w:rFonts w:ascii="Trebuchet MS" w:hAnsi="Trebuchet MS"/>
          <w:color w:val="231F20"/>
          <w:sz w:val="16"/>
        </w:rPr>
        <w:t>01 (595) 95 202 00 ext. 1330. Email: apaez.maricela@colpos.mx; jasee@colpos. mx; mate@colpos.mx; </w:t>
      </w:r>
      <w:hyperlink r:id="rId53">
        <w:r>
          <w:rPr>
            <w:rFonts w:ascii="Trebuchet MS" w:hAnsi="Trebuchet MS"/>
            <w:color w:val="231F20"/>
            <w:sz w:val="16"/>
          </w:rPr>
          <w:t>apaez.patricio@colpos.mx</w:t>
        </w:r>
      </w:hyperlink>
    </w:p>
    <w:p>
      <w:pPr>
        <w:spacing w:after="0" w:line="247" w:lineRule="auto"/>
        <w:jc w:val="left"/>
        <w:rPr>
          <w:rFonts w:ascii="Trebuchet MS" w:hAnsi="Trebuchet MS"/>
          <w:sz w:val="16"/>
        </w:rPr>
        <w:sectPr>
          <w:pgSz w:w="10920" w:h="13080"/>
          <w:pgMar w:header="0" w:footer="1025" w:top="420" w:bottom="1220" w:left="0" w:right="0"/>
        </w:sectPr>
      </w:pPr>
    </w:p>
    <w:p>
      <w:pPr>
        <w:pStyle w:val="BodyText"/>
        <w:rPr>
          <w:rFonts w:ascii="Trebuchet MS"/>
          <w:sz w:val="20"/>
        </w:rPr>
      </w:pPr>
    </w:p>
    <w:p>
      <w:pPr>
        <w:pStyle w:val="BodyText"/>
        <w:rPr>
          <w:rFonts w:ascii="Trebuchet MS"/>
          <w:sz w:val="20"/>
        </w:rPr>
      </w:pPr>
    </w:p>
    <w:p>
      <w:pPr>
        <w:pStyle w:val="BodyText"/>
        <w:spacing w:before="4"/>
        <w:rPr>
          <w:rFonts w:ascii="Trebuchet MS"/>
          <w:sz w:val="22"/>
        </w:rPr>
      </w:pPr>
    </w:p>
    <w:p>
      <w:pPr>
        <w:pStyle w:val="BodyText"/>
        <w:spacing w:line="247" w:lineRule="auto" w:before="73"/>
        <w:ind w:left="1270" w:right="1267"/>
        <w:jc w:val="both"/>
      </w:pPr>
      <w:r>
        <w:rPr>
          <w:color w:val="231F20"/>
        </w:rPr>
        <w:t>Actualmente no existe evidencia científica de los mecanismos que regulan el crecimiento y asigna- ción</w:t>
      </w:r>
      <w:r>
        <w:rPr>
          <w:color w:val="231F20"/>
          <w:spacing w:val="-8"/>
        </w:rPr>
        <w:t> </w:t>
      </w:r>
      <w:r>
        <w:rPr>
          <w:color w:val="231F20"/>
        </w:rPr>
        <w:t>de</w:t>
      </w:r>
      <w:r>
        <w:rPr>
          <w:color w:val="231F20"/>
          <w:spacing w:val="-8"/>
        </w:rPr>
        <w:t> </w:t>
      </w:r>
      <w:r>
        <w:rPr>
          <w:color w:val="231F20"/>
        </w:rPr>
        <w:t>materia</w:t>
      </w:r>
      <w:r>
        <w:rPr>
          <w:color w:val="231F20"/>
          <w:spacing w:val="-8"/>
        </w:rPr>
        <w:t> </w:t>
      </w:r>
      <w:r>
        <w:rPr>
          <w:color w:val="231F20"/>
        </w:rPr>
        <w:t>seca</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cultivo</w:t>
      </w:r>
      <w:r>
        <w:rPr>
          <w:color w:val="231F20"/>
          <w:spacing w:val="-8"/>
        </w:rPr>
        <w:t> </w:t>
      </w:r>
      <w:r>
        <w:rPr>
          <w:color w:val="231F20"/>
        </w:rPr>
        <w:t>de</w:t>
      </w:r>
      <w:r>
        <w:rPr>
          <w:color w:val="231F20"/>
          <w:spacing w:val="-8"/>
        </w:rPr>
        <w:t> </w:t>
      </w:r>
      <w:r>
        <w:rPr>
          <w:color w:val="231F20"/>
        </w:rPr>
        <w:t>garbanzo,</w:t>
      </w:r>
      <w:r>
        <w:rPr>
          <w:color w:val="231F20"/>
          <w:spacing w:val="37"/>
        </w:rPr>
        <w:t> </w:t>
      </w:r>
      <w:r>
        <w:rPr>
          <w:color w:val="231F20"/>
        </w:rPr>
        <w:t>para</w:t>
      </w:r>
      <w:r>
        <w:rPr>
          <w:color w:val="231F20"/>
          <w:spacing w:val="-8"/>
        </w:rPr>
        <w:t> </w:t>
      </w:r>
      <w:r>
        <w:rPr>
          <w:color w:val="231F20"/>
        </w:rPr>
        <w:t>cuantificar</w:t>
      </w:r>
      <w:r>
        <w:rPr>
          <w:color w:val="231F20"/>
          <w:spacing w:val="-8"/>
        </w:rPr>
        <w:t> </w:t>
      </w:r>
      <w:r>
        <w:rPr>
          <w:color w:val="231F20"/>
        </w:rPr>
        <w:t>diferentes</w:t>
      </w:r>
      <w:r>
        <w:rPr>
          <w:color w:val="231F20"/>
          <w:spacing w:val="-8"/>
        </w:rPr>
        <w:t> </w:t>
      </w:r>
      <w:r>
        <w:rPr>
          <w:color w:val="231F20"/>
        </w:rPr>
        <w:t>aspectos</w:t>
      </w:r>
      <w:r>
        <w:rPr>
          <w:color w:val="231F20"/>
          <w:spacing w:val="-8"/>
        </w:rPr>
        <w:t> </w:t>
      </w:r>
      <w:r>
        <w:rPr>
          <w:color w:val="231F20"/>
        </w:rPr>
        <w:t>como</w:t>
      </w:r>
      <w:r>
        <w:rPr>
          <w:color w:val="231F20"/>
          <w:spacing w:val="-8"/>
        </w:rPr>
        <w:t> </w:t>
      </w:r>
      <w:r>
        <w:rPr>
          <w:color w:val="231F20"/>
        </w:rPr>
        <w:t>la</w:t>
      </w:r>
      <w:r>
        <w:rPr>
          <w:color w:val="231F20"/>
          <w:spacing w:val="-8"/>
        </w:rPr>
        <w:t> </w:t>
      </w:r>
      <w:r>
        <w:rPr>
          <w:color w:val="231F20"/>
        </w:rPr>
        <w:t>duración del</w:t>
      </w:r>
      <w:r>
        <w:rPr>
          <w:color w:val="231F20"/>
          <w:spacing w:val="-7"/>
        </w:rPr>
        <w:t> </w:t>
      </w:r>
      <w:r>
        <w:rPr>
          <w:color w:val="231F20"/>
        </w:rPr>
        <w:t>ciclo,</w:t>
      </w:r>
      <w:r>
        <w:rPr>
          <w:color w:val="231F20"/>
          <w:spacing w:val="-7"/>
        </w:rPr>
        <w:t> </w:t>
      </w:r>
      <w:r>
        <w:rPr>
          <w:color w:val="231F20"/>
        </w:rPr>
        <w:t>nodulación,</w:t>
      </w:r>
      <w:r>
        <w:rPr>
          <w:color w:val="231F20"/>
          <w:spacing w:val="-7"/>
        </w:rPr>
        <w:t> </w:t>
      </w:r>
      <w:r>
        <w:rPr>
          <w:color w:val="231F20"/>
        </w:rPr>
        <w:t>definición</w:t>
      </w:r>
      <w:r>
        <w:rPr>
          <w:color w:val="231F20"/>
          <w:spacing w:val="-7"/>
        </w:rPr>
        <w:t> </w:t>
      </w:r>
      <w:r>
        <w:rPr>
          <w:color w:val="231F20"/>
        </w:rPr>
        <w:t>de</w:t>
      </w:r>
      <w:r>
        <w:rPr>
          <w:color w:val="231F20"/>
          <w:spacing w:val="-7"/>
        </w:rPr>
        <w:t> </w:t>
      </w:r>
      <w:r>
        <w:rPr>
          <w:color w:val="231F20"/>
        </w:rPr>
        <w:t>etapas</w:t>
      </w:r>
      <w:r>
        <w:rPr>
          <w:color w:val="231F20"/>
          <w:spacing w:val="-7"/>
        </w:rPr>
        <w:t> </w:t>
      </w:r>
      <w:r>
        <w:rPr>
          <w:color w:val="231F20"/>
        </w:rPr>
        <w:t>de</w:t>
      </w:r>
      <w:r>
        <w:rPr>
          <w:color w:val="231F20"/>
          <w:spacing w:val="-7"/>
        </w:rPr>
        <w:t> </w:t>
      </w:r>
      <w:r>
        <w:rPr>
          <w:color w:val="231F20"/>
        </w:rPr>
        <w:t>desarrollo</w:t>
      </w:r>
      <w:r>
        <w:rPr>
          <w:color w:val="231F20"/>
          <w:spacing w:val="-7"/>
        </w:rPr>
        <w:t> </w:t>
      </w:r>
      <w:r>
        <w:rPr>
          <w:color w:val="231F20"/>
        </w:rPr>
        <w:t>y</w:t>
      </w:r>
      <w:r>
        <w:rPr>
          <w:color w:val="231F20"/>
          <w:spacing w:val="-7"/>
        </w:rPr>
        <w:t> </w:t>
      </w:r>
      <w:r>
        <w:rPr>
          <w:color w:val="231F20"/>
        </w:rPr>
        <w:t>distribución</w:t>
      </w:r>
      <w:r>
        <w:rPr>
          <w:color w:val="231F20"/>
          <w:spacing w:val="-7"/>
        </w:rPr>
        <w:t> </w:t>
      </w:r>
      <w:r>
        <w:rPr>
          <w:color w:val="231F20"/>
        </w:rPr>
        <w:t>de</w:t>
      </w:r>
      <w:r>
        <w:rPr>
          <w:color w:val="231F20"/>
          <w:spacing w:val="-7"/>
        </w:rPr>
        <w:t> </w:t>
      </w:r>
      <w:r>
        <w:rPr>
          <w:color w:val="231F20"/>
        </w:rPr>
        <w:t>fotoasimilados</w:t>
      </w:r>
      <w:r>
        <w:rPr>
          <w:color w:val="231F20"/>
          <w:spacing w:val="-7"/>
        </w:rPr>
        <w:t> </w:t>
      </w:r>
      <w:r>
        <w:rPr>
          <w:color w:val="231F20"/>
        </w:rPr>
        <w:t>por</w:t>
      </w:r>
      <w:r>
        <w:rPr>
          <w:color w:val="231F20"/>
          <w:spacing w:val="-7"/>
        </w:rPr>
        <w:t> </w:t>
      </w:r>
      <w:r>
        <w:rPr>
          <w:color w:val="231F20"/>
        </w:rPr>
        <w:t>órgano. Al respecto (Sotelo, 2007), describe que como bases fotosintéticas para incrementar el rendimiento a la cosecha contemplar una mayor distribución de materia seca hacia la estructura del rendimiento agronómico (semilla). En este sentido el garbanzo se visualiza como una alternativa interesante de cultivo.</w:t>
      </w:r>
      <w:r>
        <w:rPr>
          <w:color w:val="231F20"/>
          <w:spacing w:val="-8"/>
        </w:rPr>
        <w:t> </w:t>
      </w:r>
      <w:r>
        <w:rPr>
          <w:color w:val="231F20"/>
        </w:rPr>
        <w:t>Sin</w:t>
      </w:r>
      <w:r>
        <w:rPr>
          <w:color w:val="231F20"/>
          <w:spacing w:val="-7"/>
        </w:rPr>
        <w:t> </w:t>
      </w:r>
      <w:r>
        <w:rPr>
          <w:color w:val="231F20"/>
        </w:rPr>
        <w:t>embargo</w:t>
      </w:r>
      <w:r>
        <w:rPr>
          <w:color w:val="231F20"/>
          <w:spacing w:val="-7"/>
        </w:rPr>
        <w:t> </w:t>
      </w:r>
      <w:r>
        <w:rPr>
          <w:color w:val="231F20"/>
        </w:rPr>
        <w:t>este</w:t>
      </w:r>
      <w:r>
        <w:rPr>
          <w:color w:val="231F20"/>
          <w:spacing w:val="-8"/>
        </w:rPr>
        <w:t> </w:t>
      </w:r>
      <w:r>
        <w:rPr>
          <w:color w:val="231F20"/>
        </w:rPr>
        <w:t>tipo</w:t>
      </w:r>
      <w:r>
        <w:rPr>
          <w:color w:val="231F20"/>
          <w:spacing w:val="-8"/>
        </w:rPr>
        <w:t> </w:t>
      </w:r>
      <w:r>
        <w:rPr>
          <w:color w:val="231F20"/>
        </w:rPr>
        <w:t>de</w:t>
      </w:r>
      <w:r>
        <w:rPr>
          <w:color w:val="231F20"/>
          <w:spacing w:val="-7"/>
        </w:rPr>
        <w:t> </w:t>
      </w:r>
      <w:r>
        <w:rPr>
          <w:color w:val="231F20"/>
        </w:rPr>
        <w:t>investigaciones</w:t>
      </w:r>
      <w:r>
        <w:rPr>
          <w:color w:val="231F20"/>
          <w:spacing w:val="-8"/>
        </w:rPr>
        <w:t> </w:t>
      </w:r>
      <w:r>
        <w:rPr>
          <w:color w:val="231F20"/>
        </w:rPr>
        <w:t>no</w:t>
      </w:r>
      <w:r>
        <w:rPr>
          <w:color w:val="231F20"/>
          <w:spacing w:val="-7"/>
        </w:rPr>
        <w:t> </w:t>
      </w:r>
      <w:r>
        <w:rPr>
          <w:color w:val="231F20"/>
        </w:rPr>
        <w:t>se</w:t>
      </w:r>
      <w:r>
        <w:rPr>
          <w:color w:val="231F20"/>
          <w:spacing w:val="-7"/>
        </w:rPr>
        <w:t> </w:t>
      </w:r>
      <w:r>
        <w:rPr>
          <w:color w:val="231F20"/>
        </w:rPr>
        <w:t>han</w:t>
      </w:r>
      <w:r>
        <w:rPr>
          <w:color w:val="231F20"/>
          <w:spacing w:val="-7"/>
        </w:rPr>
        <w:t> </w:t>
      </w:r>
      <w:r>
        <w:rPr>
          <w:color w:val="231F20"/>
        </w:rPr>
        <w:t>realizado</w:t>
      </w:r>
      <w:r>
        <w:rPr>
          <w:color w:val="231F20"/>
          <w:spacing w:val="-7"/>
        </w:rPr>
        <w:t> </w:t>
      </w:r>
      <w:r>
        <w:rPr>
          <w:color w:val="231F20"/>
        </w:rPr>
        <w:t>en</w:t>
      </w:r>
      <w:r>
        <w:rPr>
          <w:color w:val="231F20"/>
          <w:spacing w:val="-8"/>
        </w:rPr>
        <w:t> </w:t>
      </w:r>
      <w:r>
        <w:rPr>
          <w:color w:val="231F20"/>
        </w:rPr>
        <w:t>el</w:t>
      </w:r>
      <w:r>
        <w:rPr>
          <w:color w:val="231F20"/>
          <w:spacing w:val="-8"/>
        </w:rPr>
        <w:t> </w:t>
      </w:r>
      <w:r>
        <w:rPr>
          <w:color w:val="231F20"/>
        </w:rPr>
        <w:t>estado</w:t>
      </w:r>
      <w:r>
        <w:rPr>
          <w:color w:val="231F20"/>
          <w:spacing w:val="-8"/>
        </w:rPr>
        <w:t> </w:t>
      </w:r>
      <w:r>
        <w:rPr>
          <w:color w:val="231F20"/>
        </w:rPr>
        <w:t>de</w:t>
      </w:r>
      <w:r>
        <w:rPr>
          <w:color w:val="231F20"/>
          <w:spacing w:val="-7"/>
        </w:rPr>
        <w:t> </w:t>
      </w:r>
      <w:r>
        <w:rPr>
          <w:color w:val="231F20"/>
        </w:rPr>
        <w:t>Guerrero,</w:t>
      </w:r>
      <w:r>
        <w:rPr>
          <w:color w:val="231F20"/>
          <w:spacing w:val="-7"/>
        </w:rPr>
        <w:t> </w:t>
      </w:r>
      <w:r>
        <w:rPr>
          <w:color w:val="231F20"/>
        </w:rPr>
        <w:t>por</w:t>
      </w:r>
      <w:r>
        <w:rPr>
          <w:color w:val="231F20"/>
          <w:spacing w:val="-7"/>
        </w:rPr>
        <w:t> </w:t>
      </w:r>
      <w:r>
        <w:rPr>
          <w:color w:val="231F20"/>
        </w:rPr>
        <w:t>lo que</w:t>
      </w:r>
      <w:r>
        <w:rPr>
          <w:color w:val="231F20"/>
          <w:spacing w:val="-10"/>
        </w:rPr>
        <w:t> </w:t>
      </w:r>
      <w:r>
        <w:rPr>
          <w:color w:val="231F20"/>
        </w:rPr>
        <w:t>es</w:t>
      </w:r>
      <w:r>
        <w:rPr>
          <w:color w:val="231F20"/>
          <w:spacing w:val="-10"/>
        </w:rPr>
        <w:t> </w:t>
      </w:r>
      <w:r>
        <w:rPr>
          <w:color w:val="231F20"/>
        </w:rPr>
        <w:t>necesaria</w:t>
      </w:r>
      <w:r>
        <w:rPr>
          <w:color w:val="231F20"/>
          <w:spacing w:val="-10"/>
        </w:rPr>
        <w:t> </w:t>
      </w:r>
      <w:r>
        <w:rPr>
          <w:color w:val="231F20"/>
        </w:rPr>
        <w:t>en</w:t>
      </w:r>
      <w:r>
        <w:rPr>
          <w:color w:val="231F20"/>
          <w:spacing w:val="-10"/>
        </w:rPr>
        <w:t> </w:t>
      </w:r>
      <w:r>
        <w:rPr>
          <w:color w:val="231F20"/>
        </w:rPr>
        <w:t>esta</w:t>
      </w:r>
      <w:r>
        <w:rPr>
          <w:color w:val="231F20"/>
          <w:spacing w:val="-10"/>
        </w:rPr>
        <w:t> </w:t>
      </w:r>
      <w:r>
        <w:rPr>
          <w:color w:val="231F20"/>
        </w:rPr>
        <w:t>región</w:t>
      </w:r>
      <w:r>
        <w:rPr>
          <w:color w:val="231F20"/>
          <w:spacing w:val="-10"/>
        </w:rPr>
        <w:t> </w:t>
      </w:r>
      <w:r>
        <w:rPr>
          <w:color w:val="231F20"/>
        </w:rPr>
        <w:t>investigaciones</w:t>
      </w:r>
      <w:r>
        <w:rPr>
          <w:color w:val="231F20"/>
          <w:spacing w:val="-11"/>
        </w:rPr>
        <w:t> </w:t>
      </w:r>
      <w:r>
        <w:rPr>
          <w:color w:val="231F20"/>
        </w:rPr>
        <w:t>al</w:t>
      </w:r>
      <w:r>
        <w:rPr>
          <w:color w:val="231F20"/>
          <w:spacing w:val="-10"/>
        </w:rPr>
        <w:t> </w:t>
      </w:r>
      <w:r>
        <w:rPr>
          <w:color w:val="231F20"/>
        </w:rPr>
        <w:t>respecto.</w:t>
      </w:r>
      <w:r>
        <w:rPr>
          <w:color w:val="231F20"/>
          <w:spacing w:val="-10"/>
        </w:rPr>
        <w:t> </w:t>
      </w:r>
      <w:r>
        <w:rPr>
          <w:color w:val="231F20"/>
        </w:rPr>
        <w:t>Por</w:t>
      </w:r>
      <w:r>
        <w:rPr>
          <w:color w:val="231F20"/>
          <w:spacing w:val="-10"/>
        </w:rPr>
        <w:t> </w:t>
      </w:r>
      <w:r>
        <w:rPr>
          <w:color w:val="231F20"/>
        </w:rPr>
        <w:t>lo</w:t>
      </w:r>
      <w:r>
        <w:rPr>
          <w:color w:val="231F20"/>
          <w:spacing w:val="-10"/>
        </w:rPr>
        <w:t> </w:t>
      </w:r>
      <w:r>
        <w:rPr>
          <w:color w:val="231F20"/>
        </w:rPr>
        <w:t>que</w:t>
      </w:r>
      <w:r>
        <w:rPr>
          <w:color w:val="231F20"/>
          <w:spacing w:val="-10"/>
        </w:rPr>
        <w:t> </w:t>
      </w:r>
      <w:r>
        <w:rPr>
          <w:color w:val="231F20"/>
        </w:rPr>
        <w:t>el</w:t>
      </w:r>
      <w:r>
        <w:rPr>
          <w:color w:val="231F20"/>
          <w:spacing w:val="-10"/>
        </w:rPr>
        <w:t> </w:t>
      </w:r>
      <w:r>
        <w:rPr>
          <w:color w:val="231F20"/>
        </w:rPr>
        <w:t>objetivo</w:t>
      </w:r>
      <w:r>
        <w:rPr>
          <w:color w:val="231F20"/>
          <w:spacing w:val="-10"/>
        </w:rPr>
        <w:t> </w:t>
      </w:r>
      <w:r>
        <w:rPr>
          <w:color w:val="231F20"/>
        </w:rPr>
        <w:t>del</w:t>
      </w:r>
      <w:r>
        <w:rPr>
          <w:color w:val="231F20"/>
          <w:spacing w:val="-10"/>
        </w:rPr>
        <w:t> </w:t>
      </w:r>
      <w:r>
        <w:rPr>
          <w:color w:val="231F20"/>
        </w:rPr>
        <w:t>presente</w:t>
      </w:r>
      <w:r>
        <w:rPr>
          <w:color w:val="231F20"/>
          <w:spacing w:val="-10"/>
        </w:rPr>
        <w:t> </w:t>
      </w:r>
      <w:r>
        <w:rPr>
          <w:color w:val="231F20"/>
        </w:rPr>
        <w:t>estudio fue evaluar el efecto de la fertilización nitrogenada sobre la distribución y producción de biomasa total y rendimiento de grano del garbanzo bajo condiciones de humedad residual en Huitzuco,</w:t>
      </w:r>
      <w:r>
        <w:rPr>
          <w:color w:val="231F20"/>
          <w:spacing w:val="1"/>
        </w:rPr>
        <w:t> </w:t>
      </w:r>
      <w:r>
        <w:rPr>
          <w:color w:val="231F20"/>
        </w:rPr>
        <w:t>Gro.</w:t>
      </w:r>
    </w:p>
    <w:p>
      <w:pPr>
        <w:pStyle w:val="BodyText"/>
        <w:spacing w:before="9"/>
        <w:rPr>
          <w:sz w:val="22"/>
        </w:rPr>
      </w:pPr>
    </w:p>
    <w:p>
      <w:pPr>
        <w:pStyle w:val="Heading3"/>
      </w:pPr>
      <w:r>
        <w:rPr>
          <w:color w:val="010202"/>
        </w:rPr>
        <w:t>Materiales y métodos</w:t>
      </w:r>
    </w:p>
    <w:p>
      <w:pPr>
        <w:pStyle w:val="BodyText"/>
        <w:spacing w:before="10"/>
        <w:rPr>
          <w:b/>
        </w:rPr>
      </w:pPr>
    </w:p>
    <w:p>
      <w:pPr>
        <w:pStyle w:val="BodyText"/>
        <w:spacing w:line="247" w:lineRule="auto"/>
        <w:ind w:left="1270" w:right="1269"/>
        <w:jc w:val="both"/>
      </w:pPr>
      <w:r>
        <w:rPr>
          <w:color w:val="231F20"/>
        </w:rPr>
        <w:t>El estudio se realizó bajo condiciones de humedad residual en Huitzuco, Gro. (18° 15´ 16´´ N; 99° 0.9´ 59´´ O y 1086 m de altitud). El clima de la región se identifica como </w:t>
      </w:r>
      <w:r>
        <w:rPr>
          <w:color w:val="231F20"/>
          <w:spacing w:val="-6"/>
        </w:rPr>
        <w:t>AW1  </w:t>
      </w:r>
      <w:r>
        <w:rPr>
          <w:color w:val="231F20"/>
        </w:rPr>
        <w:t>que corresponde     a</w:t>
      </w:r>
      <w:r>
        <w:rPr>
          <w:color w:val="231F20"/>
          <w:spacing w:val="25"/>
        </w:rPr>
        <w:t> </w:t>
      </w:r>
      <w:r>
        <w:rPr>
          <w:color w:val="231F20"/>
        </w:rPr>
        <w:t>calido-subhumedo</w:t>
      </w:r>
      <w:r>
        <w:rPr>
          <w:color w:val="231F20"/>
          <w:spacing w:val="25"/>
        </w:rPr>
        <w:t> </w:t>
      </w:r>
      <w:r>
        <w:rPr>
          <w:color w:val="231F20"/>
        </w:rPr>
        <w:t>(García,</w:t>
      </w:r>
      <w:r>
        <w:rPr>
          <w:color w:val="231F20"/>
          <w:spacing w:val="25"/>
        </w:rPr>
        <w:t> </w:t>
      </w:r>
      <w:r>
        <w:rPr>
          <w:color w:val="231F20"/>
        </w:rPr>
        <w:t>2005)</w:t>
      </w:r>
      <w:r>
        <w:rPr>
          <w:color w:val="231F20"/>
          <w:spacing w:val="26"/>
        </w:rPr>
        <w:t> </w:t>
      </w:r>
      <w:r>
        <w:rPr>
          <w:color w:val="231F20"/>
        </w:rPr>
        <w:t>con</w:t>
      </w:r>
      <w:r>
        <w:rPr>
          <w:color w:val="231F20"/>
          <w:spacing w:val="26"/>
        </w:rPr>
        <w:t> </w:t>
      </w:r>
      <w:r>
        <w:rPr>
          <w:color w:val="231F20"/>
        </w:rPr>
        <w:t>lluvias</w:t>
      </w:r>
      <w:r>
        <w:rPr>
          <w:color w:val="231F20"/>
          <w:spacing w:val="25"/>
        </w:rPr>
        <w:t> </w:t>
      </w:r>
      <w:r>
        <w:rPr>
          <w:color w:val="231F20"/>
        </w:rPr>
        <w:t>en</w:t>
      </w:r>
      <w:r>
        <w:rPr>
          <w:color w:val="231F20"/>
          <w:spacing w:val="26"/>
        </w:rPr>
        <w:t> </w:t>
      </w:r>
      <w:r>
        <w:rPr>
          <w:color w:val="231F20"/>
        </w:rPr>
        <w:t>verano.</w:t>
      </w:r>
      <w:r>
        <w:rPr>
          <w:color w:val="231F20"/>
          <w:spacing w:val="25"/>
        </w:rPr>
        <w:t> </w:t>
      </w:r>
      <w:r>
        <w:rPr>
          <w:color w:val="231F20"/>
        </w:rPr>
        <w:t>La</w:t>
      </w:r>
      <w:r>
        <w:rPr>
          <w:color w:val="231F20"/>
          <w:spacing w:val="26"/>
        </w:rPr>
        <w:t> </w:t>
      </w:r>
      <w:r>
        <w:rPr>
          <w:color w:val="231F20"/>
        </w:rPr>
        <w:t>temperatura</w:t>
      </w:r>
      <w:r>
        <w:rPr>
          <w:color w:val="231F20"/>
          <w:spacing w:val="25"/>
        </w:rPr>
        <w:t> </w:t>
      </w:r>
      <w:r>
        <w:rPr>
          <w:color w:val="231F20"/>
        </w:rPr>
        <w:t>media</w:t>
      </w:r>
      <w:r>
        <w:rPr>
          <w:color w:val="231F20"/>
          <w:spacing w:val="25"/>
        </w:rPr>
        <w:t> </w:t>
      </w:r>
      <w:r>
        <w:rPr>
          <w:color w:val="231F20"/>
        </w:rPr>
        <w:t>anual</w:t>
      </w:r>
      <w:r>
        <w:rPr>
          <w:color w:val="231F20"/>
          <w:spacing w:val="26"/>
        </w:rPr>
        <w:t> </w:t>
      </w:r>
      <w:r>
        <w:rPr>
          <w:color w:val="231F20"/>
        </w:rPr>
        <w:t>es</w:t>
      </w:r>
      <w:r>
        <w:rPr>
          <w:color w:val="231F20"/>
          <w:spacing w:val="26"/>
        </w:rPr>
        <w:t> </w:t>
      </w:r>
      <w:r>
        <w:rPr>
          <w:color w:val="231F20"/>
        </w:rPr>
        <w:t>de</w:t>
      </w:r>
      <w:r>
        <w:rPr>
          <w:color w:val="231F20"/>
          <w:spacing w:val="25"/>
        </w:rPr>
        <w:t> </w:t>
      </w:r>
      <w:r>
        <w:rPr>
          <w:color w:val="231F20"/>
        </w:rPr>
        <w:t>23</w:t>
      </w:r>
    </w:p>
    <w:p>
      <w:pPr>
        <w:pStyle w:val="BodyText"/>
        <w:spacing w:line="249" w:lineRule="auto" w:before="1"/>
        <w:ind w:left="1270" w:right="1256"/>
        <w:jc w:val="both"/>
      </w:pPr>
      <w:r>
        <w:rPr>
          <w:color w:val="231F20"/>
        </w:rPr>
        <w:t>°C. El material genético utilizado fue el blanco criollo de la región. La siembra se realizó el 02 de noviembre de 2011 a distancia entre hileras de 40 cm. Al momento de la siembra se aplicaron los tratamientos de fertilización nitrogenada (0, 50 y 100 kg N ha</w:t>
      </w:r>
      <w:r>
        <w:rPr>
          <w:color w:val="231F20"/>
          <w:position w:val="7"/>
          <w:sz w:val="12"/>
        </w:rPr>
        <w:t>-1</w:t>
      </w:r>
      <w:r>
        <w:rPr>
          <w:color w:val="231F20"/>
        </w:rPr>
        <w:t>), usando como fuente el Sulfato de Amonio</w:t>
      </w:r>
      <w:r>
        <w:rPr>
          <w:color w:val="231F20"/>
          <w:spacing w:val="-9"/>
        </w:rPr>
        <w:t> </w:t>
      </w:r>
      <w:r>
        <w:rPr>
          <w:color w:val="231F20"/>
        </w:rPr>
        <w:t>(20.5%).</w:t>
      </w:r>
      <w:r>
        <w:rPr>
          <w:color w:val="231F20"/>
          <w:spacing w:val="-9"/>
        </w:rPr>
        <w:t> </w:t>
      </w:r>
      <w:r>
        <w:rPr>
          <w:color w:val="231F20"/>
        </w:rPr>
        <w:t>El</w:t>
      </w:r>
      <w:r>
        <w:rPr>
          <w:color w:val="231F20"/>
          <w:spacing w:val="-9"/>
        </w:rPr>
        <w:t> </w:t>
      </w:r>
      <w:r>
        <w:rPr>
          <w:color w:val="231F20"/>
        </w:rPr>
        <w:t>diseño</w:t>
      </w:r>
      <w:r>
        <w:rPr>
          <w:color w:val="231F20"/>
          <w:spacing w:val="-9"/>
        </w:rPr>
        <w:t> </w:t>
      </w:r>
      <w:r>
        <w:rPr>
          <w:color w:val="231F20"/>
        </w:rPr>
        <w:t>experimental</w:t>
      </w:r>
      <w:r>
        <w:rPr>
          <w:color w:val="231F20"/>
          <w:spacing w:val="-9"/>
        </w:rPr>
        <w:t> </w:t>
      </w:r>
      <w:r>
        <w:rPr>
          <w:color w:val="231F20"/>
        </w:rPr>
        <w:t>fue</w:t>
      </w:r>
      <w:r>
        <w:rPr>
          <w:color w:val="231F20"/>
          <w:spacing w:val="-9"/>
        </w:rPr>
        <w:t> </w:t>
      </w:r>
      <w:r>
        <w:rPr>
          <w:color w:val="231F20"/>
        </w:rPr>
        <w:t>de</w:t>
      </w:r>
      <w:r>
        <w:rPr>
          <w:color w:val="231F20"/>
          <w:spacing w:val="-9"/>
        </w:rPr>
        <w:t> </w:t>
      </w:r>
      <w:r>
        <w:rPr>
          <w:color w:val="231F20"/>
        </w:rPr>
        <w:t>bloques</w:t>
      </w:r>
      <w:r>
        <w:rPr>
          <w:color w:val="231F20"/>
          <w:spacing w:val="-9"/>
        </w:rPr>
        <w:t> </w:t>
      </w:r>
      <w:r>
        <w:rPr>
          <w:color w:val="231F20"/>
        </w:rPr>
        <w:t>completos</w:t>
      </w:r>
      <w:r>
        <w:rPr>
          <w:color w:val="231F20"/>
          <w:spacing w:val="-9"/>
        </w:rPr>
        <w:t> </w:t>
      </w:r>
      <w:r>
        <w:rPr>
          <w:color w:val="231F20"/>
        </w:rPr>
        <w:t>al</w:t>
      </w:r>
      <w:r>
        <w:rPr>
          <w:color w:val="231F20"/>
          <w:spacing w:val="-9"/>
        </w:rPr>
        <w:t> </w:t>
      </w:r>
      <w:r>
        <w:rPr>
          <w:color w:val="231F20"/>
        </w:rPr>
        <w:t>azar</w:t>
      </w:r>
      <w:r>
        <w:rPr>
          <w:color w:val="231F20"/>
          <w:spacing w:val="-9"/>
        </w:rPr>
        <w:t> </w:t>
      </w:r>
      <w:r>
        <w:rPr>
          <w:color w:val="231F20"/>
        </w:rPr>
        <w:t>con</w:t>
      </w:r>
      <w:r>
        <w:rPr>
          <w:color w:val="231F20"/>
          <w:spacing w:val="-9"/>
        </w:rPr>
        <w:t> </w:t>
      </w:r>
      <w:r>
        <w:rPr>
          <w:color w:val="231F20"/>
        </w:rPr>
        <w:t>cuatro</w:t>
      </w:r>
      <w:r>
        <w:rPr>
          <w:color w:val="231F20"/>
          <w:spacing w:val="-9"/>
        </w:rPr>
        <w:t> </w:t>
      </w:r>
      <w:r>
        <w:rPr>
          <w:color w:val="231F20"/>
        </w:rPr>
        <w:t>repeticiones.</w:t>
      </w:r>
      <w:r>
        <w:rPr>
          <w:color w:val="231F20"/>
          <w:spacing w:val="-21"/>
        </w:rPr>
        <w:t> </w:t>
      </w:r>
      <w:r>
        <w:rPr>
          <w:color w:val="231F20"/>
        </w:rPr>
        <w:t>A la</w:t>
      </w:r>
      <w:r>
        <w:rPr>
          <w:color w:val="231F20"/>
          <w:spacing w:val="-4"/>
        </w:rPr>
        <w:t> </w:t>
      </w:r>
      <w:r>
        <w:rPr>
          <w:color w:val="231F20"/>
        </w:rPr>
        <w:t>cosecha</w:t>
      </w:r>
      <w:r>
        <w:rPr>
          <w:color w:val="231F20"/>
          <w:spacing w:val="-4"/>
        </w:rPr>
        <w:t> </w:t>
      </w:r>
      <w:r>
        <w:rPr>
          <w:color w:val="231F20"/>
        </w:rPr>
        <w:t>se</w:t>
      </w:r>
      <w:r>
        <w:rPr>
          <w:color w:val="231F20"/>
          <w:spacing w:val="-4"/>
        </w:rPr>
        <w:t> </w:t>
      </w:r>
      <w:r>
        <w:rPr>
          <w:color w:val="231F20"/>
        </w:rPr>
        <w:t>registró</w:t>
      </w:r>
      <w:r>
        <w:rPr>
          <w:color w:val="231F20"/>
          <w:spacing w:val="-4"/>
        </w:rPr>
        <w:t> </w:t>
      </w:r>
      <w:r>
        <w:rPr>
          <w:color w:val="231F20"/>
        </w:rPr>
        <w:t>la</w:t>
      </w:r>
      <w:r>
        <w:rPr>
          <w:color w:val="231F20"/>
          <w:spacing w:val="-4"/>
        </w:rPr>
        <w:t> </w:t>
      </w:r>
      <w:r>
        <w:rPr>
          <w:color w:val="231F20"/>
        </w:rPr>
        <w:t>biomasa</w:t>
      </w:r>
      <w:r>
        <w:rPr>
          <w:color w:val="231F20"/>
          <w:spacing w:val="-4"/>
        </w:rPr>
        <w:t> </w:t>
      </w:r>
      <w:r>
        <w:rPr>
          <w:color w:val="231F20"/>
        </w:rPr>
        <w:t>aérea</w:t>
      </w:r>
      <w:r>
        <w:rPr>
          <w:color w:val="231F20"/>
          <w:spacing w:val="-4"/>
        </w:rPr>
        <w:t> </w:t>
      </w:r>
      <w:r>
        <w:rPr>
          <w:color w:val="231F20"/>
        </w:rPr>
        <w:t>total</w:t>
      </w:r>
      <w:r>
        <w:rPr>
          <w:color w:val="231F20"/>
          <w:spacing w:val="-4"/>
        </w:rPr>
        <w:t> </w:t>
      </w:r>
      <w:r>
        <w:rPr>
          <w:color w:val="231F20"/>
        </w:rPr>
        <w:t>(BT</w:t>
      </w:r>
      <w:r>
        <w:rPr>
          <w:color w:val="231F20"/>
          <w:spacing w:val="-8"/>
        </w:rPr>
        <w:t> </w:t>
      </w:r>
      <w:r>
        <w:rPr>
          <w:color w:val="231F20"/>
        </w:rPr>
        <w:t>g</w:t>
      </w:r>
      <w:r>
        <w:rPr>
          <w:color w:val="231F20"/>
          <w:spacing w:val="-4"/>
        </w:rPr>
        <w:t> </w:t>
      </w:r>
      <w:r>
        <w:rPr>
          <w:color w:val="231F20"/>
        </w:rPr>
        <w:t>m</w:t>
      </w:r>
      <w:r>
        <w:rPr>
          <w:color w:val="231F20"/>
          <w:position w:val="7"/>
          <w:sz w:val="12"/>
        </w:rPr>
        <w:t>-2</w:t>
      </w:r>
      <w:r>
        <w:rPr>
          <w:color w:val="231F20"/>
        </w:rPr>
        <w:t>)</w:t>
      </w:r>
      <w:r>
        <w:rPr>
          <w:color w:val="231F20"/>
          <w:spacing w:val="-4"/>
        </w:rPr>
        <w:t> </w:t>
      </w:r>
      <w:r>
        <w:rPr>
          <w:color w:val="231F20"/>
        </w:rPr>
        <w:t>y</w:t>
      </w:r>
      <w:r>
        <w:rPr>
          <w:color w:val="231F20"/>
          <w:spacing w:val="-4"/>
        </w:rPr>
        <w:t> </w:t>
      </w:r>
      <w:r>
        <w:rPr>
          <w:color w:val="231F20"/>
        </w:rPr>
        <w:t>su</w:t>
      </w:r>
      <w:r>
        <w:rPr>
          <w:color w:val="231F20"/>
          <w:spacing w:val="-4"/>
        </w:rPr>
        <w:t> </w:t>
      </w:r>
      <w:r>
        <w:rPr>
          <w:color w:val="231F20"/>
        </w:rPr>
        <w:t>distribución,</w:t>
      </w:r>
      <w:r>
        <w:rPr>
          <w:color w:val="231F20"/>
          <w:spacing w:val="-4"/>
        </w:rPr>
        <w:t> </w:t>
      </w:r>
      <w:r>
        <w:rPr>
          <w:color w:val="231F20"/>
        </w:rPr>
        <w:t>rendimiento</w:t>
      </w:r>
      <w:r>
        <w:rPr>
          <w:color w:val="231F20"/>
          <w:spacing w:val="-4"/>
        </w:rPr>
        <w:t> </w:t>
      </w:r>
      <w:r>
        <w:rPr>
          <w:color w:val="231F20"/>
        </w:rPr>
        <w:t>de</w:t>
      </w:r>
      <w:r>
        <w:rPr>
          <w:color w:val="231F20"/>
          <w:spacing w:val="-4"/>
        </w:rPr>
        <w:t> </w:t>
      </w:r>
      <w:r>
        <w:rPr>
          <w:color w:val="231F20"/>
        </w:rPr>
        <w:t>grano</w:t>
      </w:r>
      <w:r>
        <w:rPr>
          <w:color w:val="231F20"/>
          <w:spacing w:val="-4"/>
        </w:rPr>
        <w:t> </w:t>
      </w:r>
      <w:r>
        <w:rPr>
          <w:color w:val="231F20"/>
        </w:rPr>
        <w:t>(RG) peso de grano al 10 % de humedad (g m</w:t>
      </w:r>
      <w:r>
        <w:rPr>
          <w:color w:val="231F20"/>
          <w:position w:val="7"/>
          <w:sz w:val="12"/>
        </w:rPr>
        <w:t>-2</w:t>
      </w:r>
      <w:r>
        <w:rPr>
          <w:color w:val="231F20"/>
        </w:rPr>
        <w:t>) y componentes de rendimiento como: número de vainas m</w:t>
      </w:r>
      <w:r>
        <w:rPr>
          <w:color w:val="231F20"/>
          <w:position w:val="7"/>
          <w:sz w:val="12"/>
        </w:rPr>
        <w:t>-2 </w:t>
      </w:r>
      <w:r>
        <w:rPr>
          <w:color w:val="231F20"/>
        </w:rPr>
        <w:t>(NV), numero de semillas por vaina (NGV), peso de 100 granos (P100G g) y numero de granos por</w:t>
      </w:r>
      <w:r>
        <w:rPr>
          <w:color w:val="231F20"/>
          <w:spacing w:val="-9"/>
        </w:rPr>
        <w:t> </w:t>
      </w:r>
      <w:r>
        <w:rPr>
          <w:color w:val="231F20"/>
        </w:rPr>
        <w:t>metro</w:t>
      </w:r>
      <w:r>
        <w:rPr>
          <w:color w:val="231F20"/>
          <w:spacing w:val="-9"/>
        </w:rPr>
        <w:t> </w:t>
      </w:r>
      <w:r>
        <w:rPr>
          <w:color w:val="231F20"/>
        </w:rPr>
        <w:t>(NG</w:t>
      </w:r>
      <w:r>
        <w:rPr>
          <w:color w:val="231F20"/>
          <w:spacing w:val="-9"/>
        </w:rPr>
        <w:t> </w:t>
      </w:r>
      <w:r>
        <w:rPr>
          <w:color w:val="231F20"/>
        </w:rPr>
        <w:t>m</w:t>
      </w:r>
      <w:r>
        <w:rPr>
          <w:color w:val="231F20"/>
          <w:position w:val="7"/>
          <w:sz w:val="12"/>
        </w:rPr>
        <w:t>-2</w:t>
      </w:r>
      <w:r>
        <w:rPr>
          <w:color w:val="231F20"/>
        </w:rPr>
        <w:t>).</w:t>
      </w:r>
      <w:r>
        <w:rPr>
          <w:color w:val="231F20"/>
          <w:spacing w:val="-9"/>
        </w:rPr>
        <w:t> </w:t>
      </w:r>
      <w:r>
        <w:rPr>
          <w:color w:val="231F20"/>
        </w:rPr>
        <w:t>Los</w:t>
      </w:r>
      <w:r>
        <w:rPr>
          <w:color w:val="231F20"/>
          <w:spacing w:val="-9"/>
        </w:rPr>
        <w:t> </w:t>
      </w:r>
      <w:r>
        <w:rPr>
          <w:color w:val="231F20"/>
        </w:rPr>
        <w:t>resultados</w:t>
      </w:r>
      <w:r>
        <w:rPr>
          <w:color w:val="231F20"/>
          <w:spacing w:val="-9"/>
        </w:rPr>
        <w:t> </w:t>
      </w:r>
      <w:r>
        <w:rPr>
          <w:color w:val="231F20"/>
        </w:rPr>
        <w:t>se</w:t>
      </w:r>
      <w:r>
        <w:rPr>
          <w:color w:val="231F20"/>
          <w:spacing w:val="-9"/>
        </w:rPr>
        <w:t> </w:t>
      </w:r>
      <w:r>
        <w:rPr>
          <w:color w:val="231F20"/>
        </w:rPr>
        <w:t>analizaron</w:t>
      </w:r>
      <w:r>
        <w:rPr>
          <w:color w:val="231F20"/>
          <w:spacing w:val="-9"/>
        </w:rPr>
        <w:t> </w:t>
      </w:r>
      <w:r>
        <w:rPr>
          <w:color w:val="231F20"/>
        </w:rPr>
        <w:t>estadísticamente</w:t>
      </w:r>
      <w:r>
        <w:rPr>
          <w:color w:val="231F20"/>
          <w:spacing w:val="-10"/>
        </w:rPr>
        <w:t> </w:t>
      </w:r>
      <w:r>
        <w:rPr>
          <w:color w:val="231F20"/>
        </w:rPr>
        <w:t>con</w:t>
      </w:r>
      <w:r>
        <w:rPr>
          <w:color w:val="231F20"/>
          <w:spacing w:val="-9"/>
        </w:rPr>
        <w:t> </w:t>
      </w:r>
      <w:r>
        <w:rPr>
          <w:color w:val="231F20"/>
        </w:rPr>
        <w:t>el</w:t>
      </w:r>
      <w:r>
        <w:rPr>
          <w:color w:val="231F20"/>
          <w:spacing w:val="-9"/>
        </w:rPr>
        <w:t> </w:t>
      </w:r>
      <w:r>
        <w:rPr>
          <w:color w:val="231F20"/>
        </w:rPr>
        <w:t>paquete</w:t>
      </w:r>
      <w:r>
        <w:rPr>
          <w:color w:val="231F20"/>
          <w:spacing w:val="-9"/>
        </w:rPr>
        <w:t> </w:t>
      </w:r>
      <w:r>
        <w:rPr>
          <w:color w:val="231F20"/>
        </w:rPr>
        <w:t>SAS</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prueba</w:t>
      </w:r>
      <w:r>
        <w:rPr>
          <w:color w:val="231F20"/>
          <w:spacing w:val="-9"/>
        </w:rPr>
        <w:t> </w:t>
      </w:r>
      <w:r>
        <w:rPr>
          <w:color w:val="231F20"/>
        </w:rPr>
        <w:t>de comparación de medias Tukey</w:t>
      </w:r>
      <w:r>
        <w:rPr>
          <w:color w:val="231F20"/>
          <w:spacing w:val="-13"/>
        </w:rPr>
        <w:t> </w:t>
      </w:r>
      <w:r>
        <w:rPr>
          <w:color w:val="231F20"/>
        </w:rPr>
        <w:t>(α=0.05).</w:t>
      </w:r>
    </w:p>
    <w:p>
      <w:pPr>
        <w:pStyle w:val="BodyText"/>
        <w:spacing w:before="6"/>
        <w:rPr>
          <w:sz w:val="22"/>
        </w:rPr>
      </w:pPr>
    </w:p>
    <w:p>
      <w:pPr>
        <w:pStyle w:val="Heading3"/>
      </w:pPr>
      <w:r>
        <w:rPr>
          <w:color w:val="010202"/>
        </w:rPr>
        <w:t>Análisis y discusión de resultados</w:t>
      </w:r>
    </w:p>
    <w:p>
      <w:pPr>
        <w:pStyle w:val="BodyText"/>
        <w:spacing w:before="10"/>
        <w:rPr>
          <w:b/>
        </w:rPr>
      </w:pPr>
    </w:p>
    <w:p>
      <w:pPr>
        <w:pStyle w:val="Heading5"/>
      </w:pPr>
      <w:r>
        <w:rPr>
          <w:color w:val="231F20"/>
        </w:rPr>
        <w:t>Rendimiento y sus componentes</w:t>
      </w:r>
    </w:p>
    <w:p>
      <w:pPr>
        <w:pStyle w:val="BodyText"/>
        <w:spacing w:line="249" w:lineRule="auto" w:before="8"/>
        <w:ind w:left="1270" w:right="1268"/>
        <w:jc w:val="both"/>
      </w:pPr>
      <w:r>
        <w:rPr>
          <w:color w:val="231F20"/>
        </w:rPr>
        <w:t>El rendimiento de grano (RG), número de vainas (NV) peso de 100 granos (P100G) y número de granos (NG) mostraron cambios significativos por efecto de dosis de nitrógeno (N). El número de granos por vaina (NGV) no se modificó por efecto de la fertilización nitrogenada. La adición de nitrógeno incrementó 65 g m</w:t>
      </w:r>
      <w:r>
        <w:rPr>
          <w:color w:val="231F20"/>
          <w:position w:val="7"/>
          <w:sz w:val="12"/>
        </w:rPr>
        <w:t>-2</w:t>
      </w:r>
      <w:r>
        <w:rPr>
          <w:color w:val="231F20"/>
        </w:rPr>
        <w:t>,186 vainas m</w:t>
      </w:r>
      <w:r>
        <w:rPr>
          <w:color w:val="231F20"/>
          <w:position w:val="7"/>
          <w:sz w:val="12"/>
        </w:rPr>
        <w:t>-2</w:t>
      </w:r>
      <w:r>
        <w:rPr>
          <w:color w:val="231F20"/>
        </w:rPr>
        <w:t>, 16 g y 30 granos m</w:t>
      </w:r>
      <w:r>
        <w:rPr>
          <w:color w:val="231F20"/>
          <w:position w:val="7"/>
          <w:sz w:val="12"/>
        </w:rPr>
        <w:t>-2</w:t>
      </w:r>
      <w:r>
        <w:rPr>
          <w:color w:val="231F20"/>
        </w:rPr>
        <w:t>, para RG, </w:t>
      </w:r>
      <w:r>
        <w:rPr>
          <w:color w:val="231F20"/>
          <w:spacing w:val="-9"/>
        </w:rPr>
        <w:t>NV, </w:t>
      </w:r>
      <w:r>
        <w:rPr>
          <w:color w:val="231F20"/>
        </w:rPr>
        <w:t>P100G y NG</w:t>
      </w:r>
      <w:r>
        <w:rPr>
          <w:color w:val="231F20"/>
          <w:spacing w:val="-11"/>
        </w:rPr>
        <w:t> </w:t>
      </w:r>
      <w:r>
        <w:rPr>
          <w:color w:val="231F20"/>
        </w:rPr>
        <w:t>res- pectivamente en relación al  testigo (Cuadro</w:t>
      </w:r>
      <w:r>
        <w:rPr>
          <w:color w:val="231F20"/>
          <w:spacing w:val="-2"/>
        </w:rPr>
        <w:t> </w:t>
      </w:r>
      <w:r>
        <w:rPr>
          <w:color w:val="231F20"/>
        </w:rPr>
        <w:t>1).</w:t>
      </w:r>
    </w:p>
    <w:p>
      <w:pPr>
        <w:spacing w:after="0" w:line="249" w:lineRule="auto"/>
        <w:jc w:val="both"/>
        <w:sectPr>
          <w:pgSz w:w="10920" w:h="13080"/>
          <w:pgMar w:header="0" w:footer="1025" w:top="420" w:bottom="1220" w:left="0" w:right="0"/>
        </w:sectPr>
      </w:pPr>
    </w:p>
    <w:p>
      <w:pPr>
        <w:pStyle w:val="BodyText"/>
        <w:rPr>
          <w:sz w:val="20"/>
        </w:rPr>
      </w:pPr>
    </w:p>
    <w:p>
      <w:pPr>
        <w:pStyle w:val="BodyText"/>
        <w:rPr>
          <w:sz w:val="20"/>
        </w:rPr>
      </w:pPr>
    </w:p>
    <w:p>
      <w:pPr>
        <w:pStyle w:val="BodyText"/>
        <w:rPr>
          <w:sz w:val="23"/>
        </w:rPr>
      </w:pPr>
    </w:p>
    <w:p>
      <w:pPr>
        <w:spacing w:line="249" w:lineRule="auto" w:before="77"/>
        <w:ind w:left="1268" w:right="1266" w:firstLine="0"/>
        <w:jc w:val="center"/>
        <w:rPr>
          <w:b/>
          <w:sz w:val="18"/>
        </w:rPr>
      </w:pPr>
      <w:r>
        <w:rPr>
          <w:b/>
          <w:color w:val="010202"/>
          <w:sz w:val="18"/>
        </w:rPr>
        <w:t>Cuadro 1. Rendimiento de grano (RG), número de vainas (NV), número de grano por vaina (NGV), peso de 100 granos (P100G) y numero de granos (NG) en función del nitrogeno. Huitzuco Gro. Otoño, 2011</w:t>
      </w:r>
    </w:p>
    <w:p>
      <w:pPr>
        <w:pStyle w:val="BodyText"/>
        <w:spacing w:before="9"/>
        <w:rPr>
          <w:b/>
          <w:sz w:val="16"/>
        </w:rPr>
      </w:pPr>
      <w:r>
        <w:rPr/>
        <w:drawing>
          <wp:anchor distT="0" distB="0" distL="0" distR="0" allowOverlap="1" layoutInCell="1" locked="0" behindDoc="0" simplePos="0" relativeHeight="3256">
            <wp:simplePos x="0" y="0"/>
            <wp:positionH relativeFrom="page">
              <wp:posOffset>1455791</wp:posOffset>
            </wp:positionH>
            <wp:positionV relativeFrom="paragraph">
              <wp:posOffset>147781</wp:posOffset>
            </wp:positionV>
            <wp:extent cx="3994784" cy="1400175"/>
            <wp:effectExtent l="0" t="0" r="0" b="0"/>
            <wp:wrapTopAndBottom/>
            <wp:docPr id="109" name="image34.jpeg" descr=""/>
            <wp:cNvGraphicFramePr>
              <a:graphicFrameLocks noChangeAspect="1"/>
            </wp:cNvGraphicFramePr>
            <a:graphic>
              <a:graphicData uri="http://schemas.openxmlformats.org/drawingml/2006/picture">
                <pic:pic>
                  <pic:nvPicPr>
                    <pic:cNvPr id="110" name="image34.jpeg"/>
                    <pic:cNvPicPr/>
                  </pic:nvPicPr>
                  <pic:blipFill>
                    <a:blip r:embed="rId54" cstate="print"/>
                    <a:stretch>
                      <a:fillRect/>
                    </a:stretch>
                  </pic:blipFill>
                  <pic:spPr>
                    <a:xfrm>
                      <a:off x="0" y="0"/>
                      <a:ext cx="3994784" cy="1400175"/>
                    </a:xfrm>
                    <a:prstGeom prst="rect">
                      <a:avLst/>
                    </a:prstGeom>
                  </pic:spPr>
                </pic:pic>
              </a:graphicData>
            </a:graphic>
          </wp:anchor>
        </w:drawing>
      </w:r>
    </w:p>
    <w:p>
      <w:pPr>
        <w:spacing w:line="307" w:lineRule="auto" w:before="77"/>
        <w:ind w:left="1270" w:right="1268" w:firstLine="0"/>
        <w:jc w:val="both"/>
        <w:rPr>
          <w:b/>
          <w:i/>
          <w:sz w:val="17"/>
        </w:rPr>
      </w:pPr>
      <w:r>
        <w:rPr>
          <w:b/>
          <w:i/>
          <w:color w:val="231F20"/>
          <w:spacing w:val="-4"/>
          <w:sz w:val="17"/>
        </w:rPr>
        <w:t>¶Valores</w:t>
      </w:r>
      <w:r>
        <w:rPr>
          <w:b/>
          <w:i/>
          <w:color w:val="231F20"/>
          <w:spacing w:val="-11"/>
          <w:sz w:val="17"/>
        </w:rPr>
        <w:t> </w:t>
      </w:r>
      <w:r>
        <w:rPr>
          <w:b/>
          <w:i/>
          <w:color w:val="231F20"/>
          <w:sz w:val="17"/>
        </w:rPr>
        <w:t>seguidos</w:t>
      </w:r>
      <w:r>
        <w:rPr>
          <w:b/>
          <w:i/>
          <w:color w:val="231F20"/>
          <w:spacing w:val="-11"/>
          <w:sz w:val="17"/>
        </w:rPr>
        <w:t> </w:t>
      </w:r>
      <w:r>
        <w:rPr>
          <w:b/>
          <w:i/>
          <w:color w:val="231F20"/>
          <w:sz w:val="17"/>
        </w:rPr>
        <w:t>de</w:t>
      </w:r>
      <w:r>
        <w:rPr>
          <w:b/>
          <w:i/>
          <w:color w:val="231F20"/>
          <w:spacing w:val="-11"/>
          <w:sz w:val="17"/>
        </w:rPr>
        <w:t> </w:t>
      </w:r>
      <w:r>
        <w:rPr>
          <w:b/>
          <w:i/>
          <w:color w:val="231F20"/>
          <w:sz w:val="17"/>
        </w:rPr>
        <w:t>la</w:t>
      </w:r>
      <w:r>
        <w:rPr>
          <w:b/>
          <w:i/>
          <w:color w:val="231F20"/>
          <w:spacing w:val="-11"/>
          <w:sz w:val="17"/>
        </w:rPr>
        <w:t> </w:t>
      </w:r>
      <w:r>
        <w:rPr>
          <w:b/>
          <w:i/>
          <w:color w:val="231F20"/>
          <w:sz w:val="17"/>
        </w:rPr>
        <w:t>misma</w:t>
      </w:r>
      <w:r>
        <w:rPr>
          <w:b/>
          <w:i/>
          <w:color w:val="231F20"/>
          <w:spacing w:val="-11"/>
          <w:sz w:val="17"/>
        </w:rPr>
        <w:t> </w:t>
      </w:r>
      <w:r>
        <w:rPr>
          <w:b/>
          <w:i/>
          <w:color w:val="231F20"/>
          <w:sz w:val="17"/>
        </w:rPr>
        <w:t>letra</w:t>
      </w:r>
      <w:r>
        <w:rPr>
          <w:b/>
          <w:i/>
          <w:color w:val="231F20"/>
          <w:spacing w:val="-11"/>
          <w:sz w:val="17"/>
        </w:rPr>
        <w:t> </w:t>
      </w:r>
      <w:r>
        <w:rPr>
          <w:b/>
          <w:i/>
          <w:color w:val="231F20"/>
          <w:sz w:val="17"/>
        </w:rPr>
        <w:t>en</w:t>
      </w:r>
      <w:r>
        <w:rPr>
          <w:b/>
          <w:i/>
          <w:color w:val="231F20"/>
          <w:spacing w:val="-11"/>
          <w:sz w:val="17"/>
        </w:rPr>
        <w:t> </w:t>
      </w:r>
      <w:r>
        <w:rPr>
          <w:b/>
          <w:i/>
          <w:color w:val="231F20"/>
          <w:sz w:val="17"/>
        </w:rPr>
        <w:t>cada</w:t>
      </w:r>
      <w:r>
        <w:rPr>
          <w:b/>
          <w:i/>
          <w:color w:val="231F20"/>
          <w:spacing w:val="-11"/>
          <w:sz w:val="17"/>
        </w:rPr>
        <w:t> </w:t>
      </w:r>
      <w:r>
        <w:rPr>
          <w:b/>
          <w:i/>
          <w:color w:val="231F20"/>
          <w:sz w:val="17"/>
        </w:rPr>
        <w:t>columna,</w:t>
      </w:r>
      <w:r>
        <w:rPr>
          <w:b/>
          <w:i/>
          <w:color w:val="231F20"/>
          <w:spacing w:val="-11"/>
          <w:sz w:val="17"/>
        </w:rPr>
        <w:t> </w:t>
      </w:r>
      <w:r>
        <w:rPr>
          <w:b/>
          <w:i/>
          <w:color w:val="231F20"/>
          <w:sz w:val="17"/>
        </w:rPr>
        <w:t>son</w:t>
      </w:r>
      <w:r>
        <w:rPr>
          <w:b/>
          <w:i/>
          <w:color w:val="231F20"/>
          <w:spacing w:val="23"/>
          <w:sz w:val="17"/>
        </w:rPr>
        <w:t> </w:t>
      </w:r>
      <w:r>
        <w:rPr>
          <w:b/>
          <w:i/>
          <w:color w:val="231F20"/>
          <w:sz w:val="17"/>
        </w:rPr>
        <w:t>estadísticamente</w:t>
      </w:r>
      <w:r>
        <w:rPr>
          <w:b/>
          <w:i/>
          <w:color w:val="231F20"/>
          <w:spacing w:val="-11"/>
          <w:sz w:val="17"/>
        </w:rPr>
        <w:t> </w:t>
      </w:r>
      <w:r>
        <w:rPr>
          <w:b/>
          <w:i/>
          <w:color w:val="231F20"/>
          <w:sz w:val="17"/>
        </w:rPr>
        <w:t>iguales,</w:t>
      </w:r>
      <w:r>
        <w:rPr>
          <w:b/>
          <w:i/>
          <w:color w:val="231F20"/>
          <w:spacing w:val="-11"/>
          <w:sz w:val="17"/>
        </w:rPr>
        <w:t> </w:t>
      </w:r>
      <w:r>
        <w:rPr>
          <w:b/>
          <w:i/>
          <w:color w:val="231F20"/>
          <w:sz w:val="17"/>
        </w:rPr>
        <w:t>según</w:t>
      </w:r>
      <w:r>
        <w:rPr>
          <w:b/>
          <w:i/>
          <w:color w:val="231F20"/>
          <w:spacing w:val="-11"/>
          <w:sz w:val="17"/>
        </w:rPr>
        <w:t> </w:t>
      </w:r>
      <w:r>
        <w:rPr>
          <w:b/>
          <w:i/>
          <w:color w:val="231F20"/>
          <w:spacing w:val="-3"/>
          <w:sz w:val="17"/>
        </w:rPr>
        <w:t>Tukey</w:t>
      </w:r>
      <w:r>
        <w:rPr>
          <w:b/>
          <w:i/>
          <w:color w:val="231F20"/>
          <w:spacing w:val="-11"/>
          <w:sz w:val="17"/>
        </w:rPr>
        <w:t> </w:t>
      </w:r>
      <w:r>
        <w:rPr>
          <w:b/>
          <w:i/>
          <w:color w:val="231F20"/>
          <w:sz w:val="17"/>
        </w:rPr>
        <w:t>(α</w:t>
      </w:r>
      <w:r>
        <w:rPr>
          <w:b/>
          <w:i/>
          <w:color w:val="231F20"/>
          <w:spacing w:val="-11"/>
          <w:sz w:val="17"/>
        </w:rPr>
        <w:t> </w:t>
      </w:r>
      <w:r>
        <w:rPr>
          <w:b/>
          <w:i/>
          <w:color w:val="231F20"/>
          <w:sz w:val="17"/>
        </w:rPr>
        <w:t>=</w:t>
      </w:r>
      <w:r>
        <w:rPr>
          <w:b/>
          <w:i/>
          <w:color w:val="231F20"/>
          <w:spacing w:val="-11"/>
          <w:sz w:val="17"/>
        </w:rPr>
        <w:t> </w:t>
      </w:r>
      <w:r>
        <w:rPr>
          <w:b/>
          <w:i/>
          <w:color w:val="231F20"/>
          <w:sz w:val="17"/>
        </w:rPr>
        <w:t>0.05)</w:t>
      </w:r>
      <w:r>
        <w:rPr>
          <w:b/>
          <w:i/>
          <w:color w:val="231F20"/>
          <w:spacing w:val="-11"/>
          <w:sz w:val="17"/>
        </w:rPr>
        <w:t> </w:t>
      </w:r>
      <w:r>
        <w:rPr>
          <w:b/>
          <w:i/>
          <w:color w:val="231F20"/>
          <w:sz w:val="17"/>
        </w:rPr>
        <w:t>***</w:t>
      </w:r>
      <w:r>
        <w:rPr>
          <w:b/>
          <w:i/>
          <w:color w:val="231F20"/>
          <w:spacing w:val="-11"/>
          <w:sz w:val="17"/>
        </w:rPr>
        <w:t> </w:t>
      </w:r>
      <w:r>
        <w:rPr>
          <w:b/>
          <w:i/>
          <w:color w:val="231F20"/>
          <w:sz w:val="17"/>
        </w:rPr>
        <w:t>=</w:t>
      </w:r>
      <w:r>
        <w:rPr>
          <w:b/>
          <w:i/>
          <w:color w:val="231F20"/>
          <w:spacing w:val="-11"/>
          <w:sz w:val="17"/>
        </w:rPr>
        <w:t> </w:t>
      </w:r>
      <w:r>
        <w:rPr>
          <w:b/>
          <w:i/>
          <w:color w:val="231F20"/>
          <w:sz w:val="17"/>
        </w:rPr>
        <w:t>P</w:t>
      </w:r>
      <w:r>
        <w:rPr>
          <w:b/>
          <w:i/>
          <w:color w:val="231F20"/>
          <w:spacing w:val="-17"/>
          <w:sz w:val="17"/>
        </w:rPr>
        <w:t> </w:t>
      </w:r>
      <w:r>
        <w:rPr>
          <w:b/>
          <w:i/>
          <w:color w:val="231F20"/>
          <w:sz w:val="17"/>
        </w:rPr>
        <w:t>≤</w:t>
      </w:r>
      <w:r>
        <w:rPr>
          <w:b/>
          <w:i/>
          <w:color w:val="231F20"/>
          <w:spacing w:val="-11"/>
          <w:sz w:val="17"/>
        </w:rPr>
        <w:t> </w:t>
      </w:r>
      <w:r>
        <w:rPr>
          <w:b/>
          <w:i/>
          <w:color w:val="231F20"/>
          <w:sz w:val="17"/>
        </w:rPr>
        <w:t>0.01 </w:t>
      </w:r>
      <w:r>
        <w:rPr>
          <w:b/>
          <w:i/>
          <w:color w:val="231F20"/>
          <w:sz w:val="17"/>
        </w:rPr>
        <w:t>y</w:t>
      </w:r>
      <w:r>
        <w:rPr>
          <w:b/>
          <w:i/>
          <w:color w:val="231F20"/>
          <w:spacing w:val="-8"/>
          <w:sz w:val="17"/>
        </w:rPr>
        <w:t> </w:t>
      </w:r>
      <w:r>
        <w:rPr>
          <w:b/>
          <w:i/>
          <w:color w:val="231F20"/>
          <w:sz w:val="17"/>
        </w:rPr>
        <w:t>0.05,</w:t>
      </w:r>
      <w:r>
        <w:rPr>
          <w:b/>
          <w:i/>
          <w:color w:val="231F20"/>
          <w:spacing w:val="-8"/>
          <w:sz w:val="17"/>
        </w:rPr>
        <w:t> </w:t>
      </w:r>
      <w:r>
        <w:rPr>
          <w:b/>
          <w:i/>
          <w:color w:val="231F20"/>
          <w:sz w:val="17"/>
        </w:rPr>
        <w:t>NS=</w:t>
      </w:r>
      <w:r>
        <w:rPr>
          <w:b/>
          <w:i/>
          <w:color w:val="231F20"/>
          <w:spacing w:val="-8"/>
          <w:sz w:val="17"/>
        </w:rPr>
        <w:t> </w:t>
      </w:r>
      <w:r>
        <w:rPr>
          <w:b/>
          <w:i/>
          <w:color w:val="231F20"/>
          <w:sz w:val="17"/>
        </w:rPr>
        <w:t>No</w:t>
      </w:r>
      <w:r>
        <w:rPr>
          <w:b/>
          <w:i/>
          <w:color w:val="231F20"/>
          <w:spacing w:val="-8"/>
          <w:sz w:val="17"/>
        </w:rPr>
        <w:t> </w:t>
      </w:r>
      <w:r>
        <w:rPr>
          <w:b/>
          <w:i/>
          <w:color w:val="231F20"/>
          <w:sz w:val="17"/>
        </w:rPr>
        <w:t>significativo,</w:t>
      </w:r>
      <w:r>
        <w:rPr>
          <w:b/>
          <w:i/>
          <w:color w:val="231F20"/>
          <w:spacing w:val="-8"/>
          <w:sz w:val="17"/>
        </w:rPr>
        <w:t> </w:t>
      </w:r>
      <w:r>
        <w:rPr>
          <w:b/>
          <w:i/>
          <w:color w:val="231F20"/>
          <w:sz w:val="17"/>
        </w:rPr>
        <w:t>DMS0.05</w:t>
      </w:r>
      <w:r>
        <w:rPr>
          <w:b/>
          <w:i/>
          <w:color w:val="231F20"/>
          <w:spacing w:val="-8"/>
          <w:sz w:val="17"/>
        </w:rPr>
        <w:t> </w:t>
      </w:r>
      <w:r>
        <w:rPr>
          <w:b/>
          <w:i/>
          <w:color w:val="231F20"/>
          <w:sz w:val="17"/>
        </w:rPr>
        <w:t>=</w:t>
      </w:r>
      <w:r>
        <w:rPr>
          <w:b/>
          <w:i/>
          <w:color w:val="231F20"/>
          <w:spacing w:val="-8"/>
          <w:sz w:val="17"/>
        </w:rPr>
        <w:t> </w:t>
      </w:r>
      <w:r>
        <w:rPr>
          <w:b/>
          <w:i/>
          <w:color w:val="231F20"/>
          <w:sz w:val="17"/>
        </w:rPr>
        <w:t>diferencia</w:t>
      </w:r>
      <w:r>
        <w:rPr>
          <w:b/>
          <w:i/>
          <w:color w:val="231F20"/>
          <w:spacing w:val="-8"/>
          <w:sz w:val="17"/>
        </w:rPr>
        <w:t> </w:t>
      </w:r>
      <w:r>
        <w:rPr>
          <w:b/>
          <w:i/>
          <w:color w:val="231F20"/>
          <w:sz w:val="17"/>
        </w:rPr>
        <w:t>mínima</w:t>
      </w:r>
      <w:r>
        <w:rPr>
          <w:b/>
          <w:i/>
          <w:color w:val="231F20"/>
          <w:spacing w:val="-8"/>
          <w:sz w:val="17"/>
        </w:rPr>
        <w:t> </w:t>
      </w:r>
      <w:r>
        <w:rPr>
          <w:b/>
          <w:i/>
          <w:color w:val="231F20"/>
          <w:sz w:val="17"/>
        </w:rPr>
        <w:t>significativa</w:t>
      </w:r>
      <w:r>
        <w:rPr>
          <w:b/>
          <w:i/>
          <w:color w:val="231F20"/>
          <w:spacing w:val="-8"/>
          <w:sz w:val="17"/>
        </w:rPr>
        <w:t> </w:t>
      </w:r>
      <w:r>
        <w:rPr>
          <w:b/>
          <w:i/>
          <w:color w:val="231F20"/>
          <w:sz w:val="17"/>
        </w:rPr>
        <w:t>al</w:t>
      </w:r>
      <w:r>
        <w:rPr>
          <w:b/>
          <w:i/>
          <w:color w:val="231F20"/>
          <w:spacing w:val="-8"/>
          <w:sz w:val="17"/>
        </w:rPr>
        <w:t> </w:t>
      </w:r>
      <w:r>
        <w:rPr>
          <w:b/>
          <w:i/>
          <w:color w:val="231F20"/>
          <w:sz w:val="17"/>
        </w:rPr>
        <w:t>5</w:t>
      </w:r>
      <w:r>
        <w:rPr>
          <w:b/>
          <w:i/>
          <w:color w:val="231F20"/>
          <w:spacing w:val="-8"/>
          <w:sz w:val="17"/>
        </w:rPr>
        <w:t> </w:t>
      </w:r>
      <w:r>
        <w:rPr>
          <w:b/>
          <w:i/>
          <w:color w:val="231F20"/>
          <w:sz w:val="17"/>
        </w:rPr>
        <w:t>%</w:t>
      </w:r>
      <w:r>
        <w:rPr>
          <w:b/>
          <w:i/>
          <w:color w:val="231F20"/>
          <w:spacing w:val="-8"/>
          <w:sz w:val="17"/>
        </w:rPr>
        <w:t> </w:t>
      </w:r>
      <w:r>
        <w:rPr>
          <w:b/>
          <w:i/>
          <w:color w:val="231F20"/>
          <w:sz w:val="17"/>
        </w:rPr>
        <w:t>de</w:t>
      </w:r>
      <w:r>
        <w:rPr>
          <w:b/>
          <w:i/>
          <w:color w:val="231F20"/>
          <w:spacing w:val="-8"/>
          <w:sz w:val="17"/>
        </w:rPr>
        <w:t> </w:t>
      </w:r>
      <w:r>
        <w:rPr>
          <w:b/>
          <w:i/>
          <w:color w:val="231F20"/>
          <w:sz w:val="17"/>
        </w:rPr>
        <w:t>probabilidad</w:t>
      </w:r>
      <w:r>
        <w:rPr>
          <w:b/>
          <w:i/>
          <w:color w:val="231F20"/>
          <w:spacing w:val="-8"/>
          <w:sz w:val="17"/>
        </w:rPr>
        <w:t> </w:t>
      </w:r>
      <w:r>
        <w:rPr>
          <w:b/>
          <w:i/>
          <w:color w:val="231F20"/>
          <w:sz w:val="17"/>
        </w:rPr>
        <w:t>de</w:t>
      </w:r>
      <w:r>
        <w:rPr>
          <w:b/>
          <w:i/>
          <w:color w:val="231F20"/>
          <w:spacing w:val="-8"/>
          <w:sz w:val="17"/>
        </w:rPr>
        <w:t> </w:t>
      </w:r>
      <w:r>
        <w:rPr>
          <w:b/>
          <w:i/>
          <w:color w:val="231F20"/>
          <w:spacing w:val="-3"/>
          <w:sz w:val="17"/>
        </w:rPr>
        <w:t>error.</w:t>
      </w:r>
    </w:p>
    <w:p>
      <w:pPr>
        <w:pStyle w:val="BodyText"/>
        <w:spacing w:before="7"/>
        <w:rPr>
          <w:b/>
          <w:i/>
          <w:sz w:val="18"/>
        </w:rPr>
      </w:pPr>
    </w:p>
    <w:p>
      <w:pPr>
        <w:pStyle w:val="BodyText"/>
        <w:spacing w:line="249" w:lineRule="auto"/>
        <w:ind w:left="1270" w:right="1267"/>
        <w:jc w:val="both"/>
      </w:pPr>
      <w:r>
        <w:rPr>
          <w:color w:val="231F20"/>
        </w:rPr>
        <w:t>La disminución en el RG con la siembra de garbanzo sin fertilización se atribuye a que el nivel ini- cial de nitrógeno en el suelo más el aporte de la fijación biológica no cubren los requerimientos del cultivo. Por lo que la aplicación a través de fuentes inorgánicas complementa adecuadamente la nu- trición.</w:t>
      </w:r>
      <w:r>
        <w:rPr>
          <w:color w:val="231F20"/>
          <w:spacing w:val="-4"/>
        </w:rPr>
        <w:t> </w:t>
      </w:r>
      <w:r>
        <w:rPr>
          <w:color w:val="231F20"/>
        </w:rPr>
        <w:t>En</w:t>
      </w:r>
      <w:r>
        <w:rPr>
          <w:color w:val="231F20"/>
          <w:spacing w:val="-4"/>
        </w:rPr>
        <w:t> </w:t>
      </w:r>
      <w:r>
        <w:rPr>
          <w:color w:val="231F20"/>
        </w:rPr>
        <w:t>este</w:t>
      </w:r>
      <w:r>
        <w:rPr>
          <w:color w:val="231F20"/>
          <w:spacing w:val="-4"/>
        </w:rPr>
        <w:t> </w:t>
      </w:r>
      <w:r>
        <w:rPr>
          <w:color w:val="231F20"/>
        </w:rPr>
        <w:t>caso,</w:t>
      </w:r>
      <w:r>
        <w:rPr>
          <w:color w:val="231F20"/>
          <w:spacing w:val="-4"/>
        </w:rPr>
        <w:t> </w:t>
      </w:r>
      <w:r>
        <w:rPr>
          <w:color w:val="231F20"/>
        </w:rPr>
        <w:t>el</w:t>
      </w:r>
      <w:r>
        <w:rPr>
          <w:color w:val="231F20"/>
          <w:spacing w:val="-4"/>
        </w:rPr>
        <w:t> </w:t>
      </w:r>
      <w:r>
        <w:rPr>
          <w:color w:val="231F20"/>
        </w:rPr>
        <w:t>nivel</w:t>
      </w:r>
      <w:r>
        <w:rPr>
          <w:color w:val="231F20"/>
          <w:spacing w:val="-4"/>
        </w:rPr>
        <w:t> </w:t>
      </w:r>
      <w:r>
        <w:rPr>
          <w:color w:val="231F20"/>
        </w:rPr>
        <w:t>más</w:t>
      </w:r>
      <w:r>
        <w:rPr>
          <w:color w:val="231F20"/>
          <w:spacing w:val="-4"/>
        </w:rPr>
        <w:t> </w:t>
      </w:r>
      <w:r>
        <w:rPr>
          <w:color w:val="231F20"/>
        </w:rPr>
        <w:t>alto</w:t>
      </w:r>
      <w:r>
        <w:rPr>
          <w:color w:val="231F20"/>
          <w:spacing w:val="-4"/>
        </w:rPr>
        <w:t> </w:t>
      </w:r>
      <w:r>
        <w:rPr>
          <w:color w:val="231F20"/>
        </w:rPr>
        <w:t>de</w:t>
      </w:r>
      <w:r>
        <w:rPr>
          <w:color w:val="231F20"/>
          <w:spacing w:val="-4"/>
        </w:rPr>
        <w:t> </w:t>
      </w:r>
      <w:r>
        <w:rPr>
          <w:color w:val="231F20"/>
        </w:rPr>
        <w:t>fertilización</w:t>
      </w:r>
      <w:r>
        <w:rPr>
          <w:color w:val="231F20"/>
          <w:spacing w:val="-4"/>
        </w:rPr>
        <w:t> </w:t>
      </w:r>
      <w:r>
        <w:rPr>
          <w:color w:val="231F20"/>
        </w:rPr>
        <w:t>(100</w:t>
      </w:r>
      <w:r>
        <w:rPr>
          <w:color w:val="231F20"/>
          <w:spacing w:val="-4"/>
        </w:rPr>
        <w:t> </w:t>
      </w:r>
      <w:r>
        <w:rPr>
          <w:color w:val="231F20"/>
        </w:rPr>
        <w:t>kg</w:t>
      </w:r>
      <w:r>
        <w:rPr>
          <w:color w:val="231F20"/>
          <w:spacing w:val="-4"/>
        </w:rPr>
        <w:t> </w:t>
      </w:r>
      <w:r>
        <w:rPr>
          <w:color w:val="231F20"/>
        </w:rPr>
        <w:t>N</w:t>
      </w:r>
      <w:r>
        <w:rPr>
          <w:color w:val="231F20"/>
          <w:spacing w:val="-4"/>
        </w:rPr>
        <w:t> </w:t>
      </w:r>
      <w:r>
        <w:rPr>
          <w:color w:val="231F20"/>
        </w:rPr>
        <w:t>ha</w:t>
      </w:r>
      <w:r>
        <w:rPr>
          <w:color w:val="231F20"/>
          <w:position w:val="7"/>
          <w:sz w:val="12"/>
        </w:rPr>
        <w:t>-1</w:t>
      </w:r>
      <w:r>
        <w:rPr>
          <w:color w:val="231F20"/>
        </w:rPr>
        <w:t>)</w:t>
      </w:r>
      <w:r>
        <w:rPr>
          <w:color w:val="231F20"/>
          <w:spacing w:val="-4"/>
        </w:rPr>
        <w:t> </w:t>
      </w:r>
      <w:r>
        <w:rPr>
          <w:color w:val="231F20"/>
        </w:rPr>
        <w:t>genera</w:t>
      </w:r>
      <w:r>
        <w:rPr>
          <w:color w:val="231F20"/>
          <w:spacing w:val="-4"/>
        </w:rPr>
        <w:t> </w:t>
      </w:r>
      <w:r>
        <w:rPr>
          <w:color w:val="231F20"/>
        </w:rPr>
        <w:t>mayor</w:t>
      </w:r>
      <w:r>
        <w:rPr>
          <w:color w:val="231F20"/>
          <w:spacing w:val="-4"/>
        </w:rPr>
        <w:t> </w:t>
      </w:r>
      <w:r>
        <w:rPr>
          <w:color w:val="231F20"/>
        </w:rPr>
        <w:t>RG</w:t>
      </w:r>
      <w:r>
        <w:rPr>
          <w:color w:val="231F20"/>
          <w:spacing w:val="-4"/>
        </w:rPr>
        <w:t> </w:t>
      </w:r>
      <w:r>
        <w:rPr>
          <w:color w:val="231F20"/>
        </w:rPr>
        <w:t>en</w:t>
      </w:r>
      <w:r>
        <w:rPr>
          <w:color w:val="231F20"/>
          <w:spacing w:val="-4"/>
        </w:rPr>
        <w:t> </w:t>
      </w:r>
      <w:r>
        <w:rPr>
          <w:color w:val="231F20"/>
        </w:rPr>
        <w:t>garbanzo para esta región. Al respecto (Danso y </w:t>
      </w:r>
      <w:r>
        <w:rPr>
          <w:color w:val="231F20"/>
          <w:spacing w:val="-3"/>
        </w:rPr>
        <w:t>Eskew, </w:t>
      </w:r>
      <w:r>
        <w:rPr>
          <w:color w:val="231F20"/>
        </w:rPr>
        <w:t>2000) mencionan que el nitrógeno es el responsable del 75.0% en el incremento del rendimiento de los cultivos agrícolas. Resultados similares fueron encontrados</w:t>
      </w:r>
      <w:r>
        <w:rPr>
          <w:color w:val="231F20"/>
          <w:spacing w:val="-9"/>
        </w:rPr>
        <w:t> </w:t>
      </w:r>
      <w:r>
        <w:rPr>
          <w:color w:val="231F20"/>
        </w:rPr>
        <w:t>por</w:t>
      </w:r>
      <w:r>
        <w:rPr>
          <w:color w:val="231F20"/>
          <w:spacing w:val="-9"/>
        </w:rPr>
        <w:t> </w:t>
      </w:r>
      <w:r>
        <w:rPr>
          <w:color w:val="231F20"/>
        </w:rPr>
        <w:t>(Roy</w:t>
      </w:r>
      <w:r>
        <w:rPr>
          <w:color w:val="231F20"/>
          <w:spacing w:val="-9"/>
        </w:rPr>
        <w:t> </w:t>
      </w:r>
      <w:r>
        <w:rPr>
          <w:color w:val="231F20"/>
        </w:rPr>
        <w:t>y</w:t>
      </w:r>
      <w:r>
        <w:rPr>
          <w:color w:val="231F20"/>
          <w:spacing w:val="-9"/>
        </w:rPr>
        <w:t> </w:t>
      </w:r>
      <w:r>
        <w:rPr>
          <w:color w:val="231F20"/>
        </w:rPr>
        <w:t>Sharma,</w:t>
      </w:r>
      <w:r>
        <w:rPr>
          <w:color w:val="231F20"/>
          <w:spacing w:val="-9"/>
        </w:rPr>
        <w:t> </w:t>
      </w:r>
      <w:r>
        <w:rPr>
          <w:color w:val="231F20"/>
        </w:rPr>
        <w:t>2006)</w:t>
      </w:r>
      <w:r>
        <w:rPr>
          <w:color w:val="231F20"/>
          <w:spacing w:val="-9"/>
        </w:rPr>
        <w:t> </w:t>
      </w:r>
      <w:r>
        <w:rPr>
          <w:color w:val="231F20"/>
        </w:rPr>
        <w:t>quien</w:t>
      </w:r>
      <w:r>
        <w:rPr>
          <w:color w:val="231F20"/>
          <w:spacing w:val="-9"/>
        </w:rPr>
        <w:t> </w:t>
      </w:r>
      <w:r>
        <w:rPr>
          <w:color w:val="231F20"/>
        </w:rPr>
        <w:t>con</w:t>
      </w:r>
      <w:r>
        <w:rPr>
          <w:color w:val="231F20"/>
          <w:spacing w:val="-9"/>
        </w:rPr>
        <w:t> </w:t>
      </w:r>
      <w:r>
        <w:rPr>
          <w:color w:val="231F20"/>
        </w:rPr>
        <w:t>aplicaciones</w:t>
      </w:r>
      <w:r>
        <w:rPr>
          <w:color w:val="231F20"/>
          <w:spacing w:val="-10"/>
        </w:rPr>
        <w:t> </w:t>
      </w:r>
      <w:r>
        <w:rPr>
          <w:color w:val="231F20"/>
        </w:rPr>
        <w:t>de</w:t>
      </w:r>
      <w:r>
        <w:rPr>
          <w:color w:val="231F20"/>
          <w:spacing w:val="-9"/>
        </w:rPr>
        <w:t> </w:t>
      </w:r>
      <w:r>
        <w:rPr>
          <w:color w:val="231F20"/>
        </w:rPr>
        <w:t>100</w:t>
      </w:r>
      <w:r>
        <w:rPr>
          <w:color w:val="231F20"/>
          <w:spacing w:val="-9"/>
        </w:rPr>
        <w:t> </w:t>
      </w:r>
      <w:r>
        <w:rPr>
          <w:color w:val="231F20"/>
        </w:rPr>
        <w:t>kg</w:t>
      </w:r>
      <w:r>
        <w:rPr>
          <w:color w:val="231F20"/>
          <w:spacing w:val="-9"/>
        </w:rPr>
        <w:t> </w:t>
      </w:r>
      <w:r>
        <w:rPr>
          <w:color w:val="231F20"/>
        </w:rPr>
        <w:t>N</w:t>
      </w:r>
      <w:r>
        <w:rPr>
          <w:color w:val="231F20"/>
          <w:spacing w:val="-9"/>
        </w:rPr>
        <w:t> </w:t>
      </w:r>
      <w:r>
        <w:rPr>
          <w:color w:val="231F20"/>
        </w:rPr>
        <w:t>ha</w:t>
      </w:r>
      <w:r>
        <w:rPr>
          <w:color w:val="231F20"/>
          <w:position w:val="7"/>
          <w:sz w:val="12"/>
        </w:rPr>
        <w:t>-1</w:t>
      </w:r>
      <w:r>
        <w:rPr>
          <w:color w:val="231F20"/>
          <w:spacing w:val="13"/>
          <w:position w:val="7"/>
          <w:sz w:val="12"/>
        </w:rPr>
        <w:t> </w:t>
      </w:r>
      <w:r>
        <w:rPr>
          <w:color w:val="231F20"/>
        </w:rPr>
        <w:t>lograron</w:t>
      </w:r>
      <w:r>
        <w:rPr>
          <w:color w:val="231F20"/>
          <w:spacing w:val="-10"/>
        </w:rPr>
        <w:t> </w:t>
      </w:r>
      <w:r>
        <w:rPr>
          <w:color w:val="231F20"/>
        </w:rPr>
        <w:t>incrementos hasta del 30.0%, respecto al testigo.</w:t>
      </w:r>
    </w:p>
    <w:p>
      <w:pPr>
        <w:pStyle w:val="BodyText"/>
        <w:spacing w:before="7"/>
      </w:pPr>
    </w:p>
    <w:p>
      <w:pPr>
        <w:pStyle w:val="BodyText"/>
        <w:spacing w:line="247" w:lineRule="auto"/>
        <w:ind w:left="1270" w:right="1268"/>
        <w:jc w:val="both"/>
      </w:pPr>
      <w:r>
        <w:rPr>
          <w:color w:val="231F20"/>
        </w:rPr>
        <w:t>La relación entre RG y el componente NV se ajusta a una regresión lineal con un coeficiente de de- terminación (R2 = 0.97), donde por cada vaina se incrementa en  0.34 g m</w:t>
      </w:r>
      <w:r>
        <w:rPr>
          <w:color w:val="231F20"/>
          <w:position w:val="7"/>
          <w:sz w:val="12"/>
        </w:rPr>
        <w:t>-2  </w:t>
      </w:r>
      <w:r>
        <w:rPr>
          <w:color w:val="231F20"/>
        </w:rPr>
        <w:t>el RG (Figura 1).</w:t>
      </w:r>
    </w:p>
    <w:p>
      <w:pPr>
        <w:pStyle w:val="BodyText"/>
        <w:spacing w:before="4"/>
      </w:pPr>
    </w:p>
    <w:p>
      <w:pPr>
        <w:spacing w:before="0"/>
        <w:ind w:left="1489" w:right="1489" w:firstLine="0"/>
        <w:jc w:val="center"/>
        <w:rPr>
          <w:b/>
          <w:sz w:val="18"/>
        </w:rPr>
      </w:pPr>
      <w:r>
        <w:rPr>
          <w:b/>
          <w:color w:val="010202"/>
          <w:sz w:val="18"/>
        </w:rPr>
        <w:t>Figura 1. Relación entre el  rendimiento de grano y numero de vainas</w:t>
      </w:r>
    </w:p>
    <w:p>
      <w:pPr>
        <w:pStyle w:val="BodyText"/>
        <w:spacing w:before="9"/>
        <w:rPr>
          <w:b/>
          <w:sz w:val="15"/>
        </w:rPr>
      </w:pPr>
      <w:r>
        <w:rPr/>
        <w:drawing>
          <wp:anchor distT="0" distB="0" distL="0" distR="0" allowOverlap="1" layoutInCell="1" locked="0" behindDoc="0" simplePos="0" relativeHeight="3280">
            <wp:simplePos x="0" y="0"/>
            <wp:positionH relativeFrom="page">
              <wp:posOffset>1707946</wp:posOffset>
            </wp:positionH>
            <wp:positionV relativeFrom="paragraph">
              <wp:posOffset>140377</wp:posOffset>
            </wp:positionV>
            <wp:extent cx="3461190" cy="1935480"/>
            <wp:effectExtent l="0" t="0" r="0" b="0"/>
            <wp:wrapTopAndBottom/>
            <wp:docPr id="111" name="image35.png" descr=""/>
            <wp:cNvGraphicFramePr>
              <a:graphicFrameLocks noChangeAspect="1"/>
            </wp:cNvGraphicFramePr>
            <a:graphic>
              <a:graphicData uri="http://schemas.openxmlformats.org/drawingml/2006/picture">
                <pic:pic>
                  <pic:nvPicPr>
                    <pic:cNvPr id="112" name="image35.png"/>
                    <pic:cNvPicPr/>
                  </pic:nvPicPr>
                  <pic:blipFill>
                    <a:blip r:embed="rId55" cstate="print"/>
                    <a:stretch>
                      <a:fillRect/>
                    </a:stretch>
                  </pic:blipFill>
                  <pic:spPr>
                    <a:xfrm>
                      <a:off x="0" y="0"/>
                      <a:ext cx="3461190" cy="1935480"/>
                    </a:xfrm>
                    <a:prstGeom prst="rect">
                      <a:avLst/>
                    </a:prstGeom>
                  </pic:spPr>
                </pic:pic>
              </a:graphicData>
            </a:graphic>
          </wp:anchor>
        </w:drawing>
      </w:r>
    </w:p>
    <w:p>
      <w:pPr>
        <w:spacing w:after="0"/>
        <w:rPr>
          <w:sz w:val="15"/>
        </w:rPr>
        <w:sectPr>
          <w:pgSz w:w="10920" w:h="13080"/>
          <w:pgMar w:header="0" w:footer="1025" w:top="420" w:bottom="1220" w:left="0" w:right="0"/>
        </w:sectPr>
      </w:pPr>
    </w:p>
    <w:p>
      <w:pPr>
        <w:pStyle w:val="BodyText"/>
        <w:rPr>
          <w:b/>
          <w:sz w:val="20"/>
        </w:rPr>
      </w:pPr>
    </w:p>
    <w:p>
      <w:pPr>
        <w:pStyle w:val="BodyText"/>
        <w:rPr>
          <w:b/>
          <w:sz w:val="20"/>
        </w:rPr>
      </w:pPr>
    </w:p>
    <w:p>
      <w:pPr>
        <w:pStyle w:val="BodyText"/>
        <w:rPr>
          <w:b/>
          <w:sz w:val="23"/>
        </w:rPr>
      </w:pPr>
    </w:p>
    <w:p>
      <w:pPr>
        <w:pStyle w:val="BodyText"/>
        <w:spacing w:before="73"/>
        <w:ind w:left="1270"/>
      </w:pPr>
      <w:r>
        <w:rPr>
          <w:color w:val="231F20"/>
        </w:rPr>
        <w:t>Respecto a la relación entre RG y P100G se ajusta a un modelo lineal con R2 = 0.99 en donde   por</w:t>
      </w:r>
    </w:p>
    <w:p>
      <w:pPr>
        <w:pStyle w:val="BodyText"/>
        <w:spacing w:before="8"/>
        <w:ind w:left="1270" w:right="1279"/>
      </w:pPr>
      <w:r>
        <w:rPr>
          <w:color w:val="231F20"/>
        </w:rPr>
        <w:t>cada g que se incrementa el P100G, el RG aumenta en 5.2 g m</w:t>
      </w:r>
      <w:r>
        <w:rPr>
          <w:color w:val="231F20"/>
          <w:position w:val="7"/>
          <w:sz w:val="12"/>
        </w:rPr>
        <w:t>-2  </w:t>
      </w:r>
      <w:r>
        <w:rPr>
          <w:color w:val="231F20"/>
        </w:rPr>
        <w:t>(Figura 2).</w:t>
      </w:r>
    </w:p>
    <w:p>
      <w:pPr>
        <w:pStyle w:val="BodyText"/>
        <w:spacing w:before="11"/>
      </w:pPr>
    </w:p>
    <w:p>
      <w:pPr>
        <w:spacing w:before="0"/>
        <w:ind w:left="1489" w:right="1489" w:firstLine="0"/>
        <w:jc w:val="center"/>
        <w:rPr>
          <w:b/>
          <w:sz w:val="18"/>
        </w:rPr>
      </w:pPr>
      <w:r>
        <w:rPr>
          <w:b/>
          <w:color w:val="010202"/>
          <w:sz w:val="18"/>
        </w:rPr>
        <w:t>Figura 2. Relación entre el rendimiento de grano y peso de 100 granos</w:t>
      </w:r>
    </w:p>
    <w:p>
      <w:pPr>
        <w:pStyle w:val="BodyText"/>
        <w:spacing w:before="9"/>
        <w:rPr>
          <w:b/>
          <w:sz w:val="18"/>
        </w:rPr>
      </w:pPr>
      <w:r>
        <w:rPr/>
        <w:drawing>
          <wp:anchor distT="0" distB="0" distL="0" distR="0" allowOverlap="1" layoutInCell="1" locked="0" behindDoc="0" simplePos="0" relativeHeight="3304">
            <wp:simplePos x="0" y="0"/>
            <wp:positionH relativeFrom="page">
              <wp:posOffset>1184706</wp:posOffset>
            </wp:positionH>
            <wp:positionV relativeFrom="paragraph">
              <wp:posOffset>161967</wp:posOffset>
            </wp:positionV>
            <wp:extent cx="4571908" cy="2066925"/>
            <wp:effectExtent l="0" t="0" r="0" b="0"/>
            <wp:wrapTopAndBottom/>
            <wp:docPr id="113" name="image36.png" descr=""/>
            <wp:cNvGraphicFramePr>
              <a:graphicFrameLocks noChangeAspect="1"/>
            </wp:cNvGraphicFramePr>
            <a:graphic>
              <a:graphicData uri="http://schemas.openxmlformats.org/drawingml/2006/picture">
                <pic:pic>
                  <pic:nvPicPr>
                    <pic:cNvPr id="114" name="image36.png"/>
                    <pic:cNvPicPr/>
                  </pic:nvPicPr>
                  <pic:blipFill>
                    <a:blip r:embed="rId56" cstate="print"/>
                    <a:stretch>
                      <a:fillRect/>
                    </a:stretch>
                  </pic:blipFill>
                  <pic:spPr>
                    <a:xfrm>
                      <a:off x="0" y="0"/>
                      <a:ext cx="4571908" cy="2066925"/>
                    </a:xfrm>
                    <a:prstGeom prst="rect">
                      <a:avLst/>
                    </a:prstGeom>
                  </pic:spPr>
                </pic:pic>
              </a:graphicData>
            </a:graphic>
          </wp:anchor>
        </w:drawing>
      </w:r>
    </w:p>
    <w:p>
      <w:pPr>
        <w:pStyle w:val="BodyText"/>
        <w:spacing w:before="5"/>
        <w:rPr>
          <w:b/>
          <w:sz w:val="23"/>
        </w:rPr>
      </w:pPr>
    </w:p>
    <w:p>
      <w:pPr>
        <w:pStyle w:val="BodyText"/>
        <w:ind w:left="1270"/>
      </w:pPr>
      <w:r>
        <w:rPr>
          <w:color w:val="231F20"/>
        </w:rPr>
        <w:t>En la Figura 3 se muestra que el RG y NG se ajustó a un modelo lineal con R2= 0.96, donde por cada</w:t>
      </w:r>
    </w:p>
    <w:p>
      <w:pPr>
        <w:pStyle w:val="BodyText"/>
        <w:spacing w:before="8"/>
        <w:ind w:left="1270" w:right="5337"/>
      </w:pPr>
      <w:r>
        <w:rPr>
          <w:color w:val="231F20"/>
        </w:rPr>
        <w:t>grano m-2 aumenta en 2.2 g m-2 el RG.</w:t>
      </w:r>
    </w:p>
    <w:p>
      <w:pPr>
        <w:pStyle w:val="BodyText"/>
        <w:spacing w:before="11"/>
      </w:pPr>
    </w:p>
    <w:p>
      <w:pPr>
        <w:spacing w:before="0"/>
        <w:ind w:left="1489" w:right="1489" w:firstLine="0"/>
        <w:jc w:val="center"/>
        <w:rPr>
          <w:b/>
          <w:sz w:val="18"/>
        </w:rPr>
      </w:pPr>
      <w:r>
        <w:rPr>
          <w:b/>
          <w:color w:val="010202"/>
          <w:sz w:val="18"/>
        </w:rPr>
        <w:t>Figura 3. Relación entre el rendimiento de grano y numero de granos por metro</w:t>
      </w:r>
    </w:p>
    <w:p>
      <w:pPr>
        <w:pStyle w:val="BodyText"/>
        <w:spacing w:before="9"/>
        <w:rPr>
          <w:b/>
          <w:sz w:val="18"/>
        </w:rPr>
      </w:pPr>
      <w:r>
        <w:rPr/>
        <w:drawing>
          <wp:anchor distT="0" distB="0" distL="0" distR="0" allowOverlap="1" layoutInCell="1" locked="0" behindDoc="0" simplePos="0" relativeHeight="3328">
            <wp:simplePos x="0" y="0"/>
            <wp:positionH relativeFrom="page">
              <wp:posOffset>1190371</wp:posOffset>
            </wp:positionH>
            <wp:positionV relativeFrom="paragraph">
              <wp:posOffset>161969</wp:posOffset>
            </wp:positionV>
            <wp:extent cx="4495169" cy="2463736"/>
            <wp:effectExtent l="0" t="0" r="0" b="0"/>
            <wp:wrapTopAndBottom/>
            <wp:docPr id="115" name="image37.png" descr=""/>
            <wp:cNvGraphicFramePr>
              <a:graphicFrameLocks noChangeAspect="1"/>
            </wp:cNvGraphicFramePr>
            <a:graphic>
              <a:graphicData uri="http://schemas.openxmlformats.org/drawingml/2006/picture">
                <pic:pic>
                  <pic:nvPicPr>
                    <pic:cNvPr id="116" name="image37.png"/>
                    <pic:cNvPicPr/>
                  </pic:nvPicPr>
                  <pic:blipFill>
                    <a:blip r:embed="rId57" cstate="print"/>
                    <a:stretch>
                      <a:fillRect/>
                    </a:stretch>
                  </pic:blipFill>
                  <pic:spPr>
                    <a:xfrm>
                      <a:off x="0" y="0"/>
                      <a:ext cx="4495169" cy="2463736"/>
                    </a:xfrm>
                    <a:prstGeom prst="rect">
                      <a:avLst/>
                    </a:prstGeom>
                  </pic:spPr>
                </pic:pic>
              </a:graphicData>
            </a:graphic>
          </wp:anchor>
        </w:drawing>
      </w:r>
    </w:p>
    <w:p>
      <w:pPr>
        <w:spacing w:after="0"/>
        <w:rPr>
          <w:sz w:val="18"/>
        </w:rPr>
        <w:sectPr>
          <w:pgSz w:w="10920" w:h="13080"/>
          <w:pgMar w:header="0" w:footer="1025" w:top="420" w:bottom="1220" w:left="0" w:right="0"/>
        </w:sectPr>
      </w:pPr>
    </w:p>
    <w:p>
      <w:pPr>
        <w:pStyle w:val="BodyText"/>
        <w:rPr>
          <w:b/>
          <w:sz w:val="20"/>
        </w:rPr>
      </w:pPr>
    </w:p>
    <w:p>
      <w:pPr>
        <w:pStyle w:val="BodyText"/>
        <w:rPr>
          <w:b/>
          <w:sz w:val="20"/>
        </w:rPr>
      </w:pPr>
    </w:p>
    <w:p>
      <w:pPr>
        <w:pStyle w:val="BodyText"/>
        <w:rPr>
          <w:b/>
          <w:sz w:val="23"/>
        </w:rPr>
      </w:pPr>
    </w:p>
    <w:p>
      <w:pPr>
        <w:pStyle w:val="Heading5"/>
        <w:spacing w:before="73"/>
      </w:pPr>
      <w:r>
        <w:rPr>
          <w:color w:val="231F20"/>
        </w:rPr>
        <w:t>Biomasa total y su distribución</w:t>
      </w:r>
    </w:p>
    <w:p>
      <w:pPr>
        <w:pStyle w:val="BodyText"/>
        <w:spacing w:before="5"/>
        <w:rPr>
          <w:b/>
          <w:sz w:val="22"/>
        </w:rPr>
      </w:pPr>
    </w:p>
    <w:p>
      <w:pPr>
        <w:pStyle w:val="BodyText"/>
        <w:spacing w:line="247" w:lineRule="auto"/>
        <w:ind w:left="1270" w:right="1267"/>
        <w:jc w:val="both"/>
      </w:pPr>
      <w:r>
        <w:rPr>
          <w:color w:val="231F20"/>
        </w:rPr>
        <w:t>La</w:t>
      </w:r>
      <w:r>
        <w:rPr>
          <w:color w:val="231F20"/>
          <w:spacing w:val="-11"/>
        </w:rPr>
        <w:t> </w:t>
      </w:r>
      <w:r>
        <w:rPr>
          <w:color w:val="231F20"/>
        </w:rPr>
        <w:t>producción</w:t>
      </w:r>
      <w:r>
        <w:rPr>
          <w:color w:val="231F20"/>
          <w:spacing w:val="-11"/>
        </w:rPr>
        <w:t> </w:t>
      </w:r>
      <w:r>
        <w:rPr>
          <w:color w:val="231F20"/>
        </w:rPr>
        <w:t>de</w:t>
      </w:r>
      <w:r>
        <w:rPr>
          <w:color w:val="231F20"/>
          <w:spacing w:val="-11"/>
        </w:rPr>
        <w:t> </w:t>
      </w:r>
      <w:r>
        <w:rPr>
          <w:color w:val="231F20"/>
        </w:rPr>
        <w:t>biomasa</w:t>
      </w:r>
      <w:r>
        <w:rPr>
          <w:color w:val="231F20"/>
          <w:spacing w:val="-11"/>
        </w:rPr>
        <w:t> </w:t>
      </w:r>
      <w:r>
        <w:rPr>
          <w:color w:val="231F20"/>
        </w:rPr>
        <w:t>total</w:t>
      </w:r>
      <w:r>
        <w:rPr>
          <w:color w:val="231F20"/>
          <w:spacing w:val="-11"/>
        </w:rPr>
        <w:t> </w:t>
      </w:r>
      <w:r>
        <w:rPr>
          <w:color w:val="231F20"/>
        </w:rPr>
        <w:t>(BT)</w:t>
      </w:r>
      <w:r>
        <w:rPr>
          <w:color w:val="231F20"/>
          <w:spacing w:val="-11"/>
        </w:rPr>
        <w:t> </w:t>
      </w:r>
      <w:r>
        <w:rPr>
          <w:color w:val="231F20"/>
        </w:rPr>
        <w:t>presentó</w:t>
      </w:r>
      <w:r>
        <w:rPr>
          <w:color w:val="231F20"/>
          <w:spacing w:val="-11"/>
        </w:rPr>
        <w:t> </w:t>
      </w:r>
      <w:r>
        <w:rPr>
          <w:color w:val="231F20"/>
        </w:rPr>
        <w:t>cambios</w:t>
      </w:r>
      <w:r>
        <w:rPr>
          <w:color w:val="231F20"/>
          <w:spacing w:val="-11"/>
        </w:rPr>
        <w:t> </w:t>
      </w:r>
      <w:r>
        <w:rPr>
          <w:color w:val="231F20"/>
        </w:rPr>
        <w:t>significativos</w:t>
      </w:r>
      <w:r>
        <w:rPr>
          <w:color w:val="231F20"/>
          <w:spacing w:val="-11"/>
        </w:rPr>
        <w:t> </w:t>
      </w:r>
      <w:r>
        <w:rPr>
          <w:color w:val="231F20"/>
        </w:rPr>
        <w:t>por</w:t>
      </w:r>
      <w:r>
        <w:rPr>
          <w:color w:val="231F20"/>
          <w:spacing w:val="-11"/>
        </w:rPr>
        <w:t> </w:t>
      </w:r>
      <w:r>
        <w:rPr>
          <w:color w:val="231F20"/>
        </w:rPr>
        <w:t>efecto</w:t>
      </w:r>
      <w:r>
        <w:rPr>
          <w:color w:val="231F20"/>
          <w:spacing w:val="-11"/>
        </w:rPr>
        <w:t> </w:t>
      </w:r>
      <w:r>
        <w:rPr>
          <w:color w:val="231F20"/>
        </w:rPr>
        <w:t>del</w:t>
      </w:r>
      <w:r>
        <w:rPr>
          <w:color w:val="231F20"/>
          <w:spacing w:val="-11"/>
        </w:rPr>
        <w:t> </w:t>
      </w:r>
      <w:r>
        <w:rPr>
          <w:color w:val="231F20"/>
        </w:rPr>
        <w:t>N,</w:t>
      </w:r>
      <w:r>
        <w:rPr>
          <w:color w:val="231F20"/>
          <w:spacing w:val="-11"/>
        </w:rPr>
        <w:t> </w:t>
      </w:r>
      <w:r>
        <w:rPr>
          <w:color w:val="231F20"/>
        </w:rPr>
        <w:t>al</w:t>
      </w:r>
      <w:r>
        <w:rPr>
          <w:color w:val="231F20"/>
          <w:spacing w:val="-11"/>
        </w:rPr>
        <w:t> </w:t>
      </w:r>
      <w:r>
        <w:rPr>
          <w:color w:val="231F20"/>
        </w:rPr>
        <w:t>igual</w:t>
      </w:r>
      <w:r>
        <w:rPr>
          <w:color w:val="231F20"/>
          <w:spacing w:val="-11"/>
        </w:rPr>
        <w:t> </w:t>
      </w:r>
      <w:r>
        <w:rPr>
          <w:color w:val="231F20"/>
        </w:rPr>
        <w:t>que</w:t>
      </w:r>
      <w:r>
        <w:rPr>
          <w:color w:val="231F20"/>
          <w:spacing w:val="-11"/>
        </w:rPr>
        <w:t> </w:t>
      </w:r>
      <w:r>
        <w:rPr>
          <w:color w:val="231F20"/>
        </w:rPr>
        <w:t>su distribución</w:t>
      </w:r>
      <w:r>
        <w:rPr>
          <w:color w:val="231F20"/>
          <w:spacing w:val="-6"/>
        </w:rPr>
        <w:t> </w:t>
      </w:r>
      <w:r>
        <w:rPr>
          <w:color w:val="231F20"/>
        </w:rPr>
        <w:t>en</w:t>
      </w:r>
      <w:r>
        <w:rPr>
          <w:color w:val="231F20"/>
          <w:spacing w:val="-6"/>
        </w:rPr>
        <w:t> </w:t>
      </w:r>
      <w:r>
        <w:rPr>
          <w:color w:val="231F20"/>
        </w:rPr>
        <w:t>los</w:t>
      </w:r>
      <w:r>
        <w:rPr>
          <w:color w:val="231F20"/>
          <w:spacing w:val="-6"/>
        </w:rPr>
        <w:t> </w:t>
      </w:r>
      <w:r>
        <w:rPr>
          <w:color w:val="231F20"/>
        </w:rPr>
        <w:t>órganos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planta.</w:t>
      </w:r>
      <w:r>
        <w:rPr>
          <w:color w:val="231F20"/>
          <w:spacing w:val="-6"/>
        </w:rPr>
        <w:t> </w:t>
      </w:r>
      <w:r>
        <w:rPr>
          <w:color w:val="231F20"/>
        </w:rPr>
        <w:t>La</w:t>
      </w:r>
      <w:r>
        <w:rPr>
          <w:color w:val="231F20"/>
          <w:spacing w:val="-6"/>
        </w:rPr>
        <w:t> </w:t>
      </w:r>
      <w:r>
        <w:rPr>
          <w:color w:val="231F20"/>
        </w:rPr>
        <w:t>mayor</w:t>
      </w:r>
      <w:r>
        <w:rPr>
          <w:color w:val="231F20"/>
          <w:spacing w:val="-6"/>
        </w:rPr>
        <w:t> </w:t>
      </w:r>
      <w:r>
        <w:rPr>
          <w:color w:val="231F20"/>
        </w:rPr>
        <w:t>BT</w:t>
      </w:r>
      <w:r>
        <w:rPr>
          <w:color w:val="231F20"/>
          <w:spacing w:val="-9"/>
        </w:rPr>
        <w:t> </w:t>
      </w:r>
      <w:r>
        <w:rPr>
          <w:color w:val="231F20"/>
        </w:rPr>
        <w:t>se</w:t>
      </w:r>
      <w:r>
        <w:rPr>
          <w:color w:val="231F20"/>
          <w:spacing w:val="-6"/>
        </w:rPr>
        <w:t> </w:t>
      </w:r>
      <w:r>
        <w:rPr>
          <w:color w:val="231F20"/>
        </w:rPr>
        <w:t>generó</w:t>
      </w:r>
      <w:r>
        <w:rPr>
          <w:color w:val="231F20"/>
          <w:spacing w:val="-6"/>
        </w:rPr>
        <w:t> </w:t>
      </w:r>
      <w:r>
        <w:rPr>
          <w:color w:val="231F20"/>
        </w:rPr>
        <w:t>con</w:t>
      </w:r>
      <w:r>
        <w:rPr>
          <w:color w:val="231F20"/>
          <w:spacing w:val="-6"/>
        </w:rPr>
        <w:t> </w:t>
      </w:r>
      <w:r>
        <w:rPr>
          <w:color w:val="231F20"/>
        </w:rPr>
        <w:t>la</w:t>
      </w:r>
      <w:r>
        <w:rPr>
          <w:color w:val="231F20"/>
          <w:spacing w:val="-6"/>
        </w:rPr>
        <w:t> </w:t>
      </w:r>
      <w:r>
        <w:rPr>
          <w:color w:val="231F20"/>
        </w:rPr>
        <w:t>aplicación</w:t>
      </w:r>
      <w:r>
        <w:rPr>
          <w:color w:val="231F20"/>
          <w:spacing w:val="-6"/>
        </w:rPr>
        <w:t> </w:t>
      </w:r>
      <w:r>
        <w:rPr>
          <w:color w:val="231F20"/>
        </w:rPr>
        <w:t>de</w:t>
      </w:r>
      <w:r>
        <w:rPr>
          <w:color w:val="231F20"/>
          <w:spacing w:val="-6"/>
        </w:rPr>
        <w:t> </w:t>
      </w:r>
      <w:r>
        <w:rPr>
          <w:color w:val="231F20"/>
        </w:rPr>
        <w:t>100</w:t>
      </w:r>
      <w:r>
        <w:rPr>
          <w:color w:val="231F20"/>
          <w:spacing w:val="43"/>
        </w:rPr>
        <w:t> </w:t>
      </w:r>
      <w:r>
        <w:rPr>
          <w:color w:val="231F20"/>
        </w:rPr>
        <w:t>kg</w:t>
      </w:r>
      <w:r>
        <w:rPr>
          <w:color w:val="231F20"/>
          <w:spacing w:val="-6"/>
        </w:rPr>
        <w:t> </w:t>
      </w:r>
      <w:r>
        <w:rPr>
          <w:color w:val="231F20"/>
        </w:rPr>
        <w:t>N</w:t>
      </w:r>
      <w:r>
        <w:rPr>
          <w:color w:val="231F20"/>
          <w:spacing w:val="-5"/>
        </w:rPr>
        <w:t> </w:t>
      </w:r>
      <w:r>
        <w:rPr>
          <w:color w:val="231F20"/>
        </w:rPr>
        <w:t>ha-1, al</w:t>
      </w:r>
      <w:r>
        <w:rPr>
          <w:color w:val="231F20"/>
          <w:spacing w:val="-11"/>
        </w:rPr>
        <w:t> </w:t>
      </w:r>
      <w:r>
        <w:rPr>
          <w:color w:val="231F20"/>
        </w:rPr>
        <w:t>presentar</w:t>
      </w:r>
      <w:r>
        <w:rPr>
          <w:color w:val="231F20"/>
          <w:spacing w:val="-11"/>
        </w:rPr>
        <w:t> </w:t>
      </w:r>
      <w:r>
        <w:rPr>
          <w:color w:val="231F20"/>
        </w:rPr>
        <w:t>409</w:t>
      </w:r>
      <w:r>
        <w:rPr>
          <w:color w:val="231F20"/>
          <w:spacing w:val="-11"/>
        </w:rPr>
        <w:t> </w:t>
      </w:r>
      <w:r>
        <w:rPr>
          <w:color w:val="231F20"/>
        </w:rPr>
        <w:t>g</w:t>
      </w:r>
      <w:r>
        <w:rPr>
          <w:color w:val="231F20"/>
          <w:spacing w:val="-11"/>
        </w:rPr>
        <w:t> </w:t>
      </w:r>
      <w:r>
        <w:rPr>
          <w:color w:val="231F20"/>
        </w:rPr>
        <w:t>m-2,</w:t>
      </w:r>
      <w:r>
        <w:rPr>
          <w:color w:val="231F20"/>
          <w:spacing w:val="-11"/>
        </w:rPr>
        <w:t> </w:t>
      </w:r>
      <w:r>
        <w:rPr>
          <w:color w:val="231F20"/>
        </w:rPr>
        <w:t>con</w:t>
      </w:r>
      <w:r>
        <w:rPr>
          <w:color w:val="231F20"/>
          <w:spacing w:val="-11"/>
        </w:rPr>
        <w:t> </w:t>
      </w:r>
      <w:r>
        <w:rPr>
          <w:color w:val="231F20"/>
        </w:rPr>
        <w:t>incrementos</w:t>
      </w:r>
      <w:r>
        <w:rPr>
          <w:color w:val="231F20"/>
          <w:spacing w:val="-11"/>
        </w:rPr>
        <w:t> </w:t>
      </w:r>
      <w:r>
        <w:rPr>
          <w:color w:val="231F20"/>
        </w:rPr>
        <w:t>respecto</w:t>
      </w:r>
      <w:r>
        <w:rPr>
          <w:color w:val="231F20"/>
          <w:spacing w:val="-11"/>
        </w:rPr>
        <w:t> </w:t>
      </w:r>
      <w:r>
        <w:rPr>
          <w:color w:val="231F20"/>
        </w:rPr>
        <w:t>al</w:t>
      </w:r>
      <w:r>
        <w:rPr>
          <w:color w:val="231F20"/>
          <w:spacing w:val="-11"/>
        </w:rPr>
        <w:t> </w:t>
      </w:r>
      <w:r>
        <w:rPr>
          <w:color w:val="231F20"/>
        </w:rPr>
        <w:t>testigo</w:t>
      </w:r>
      <w:r>
        <w:rPr>
          <w:color w:val="231F20"/>
          <w:spacing w:val="-11"/>
        </w:rPr>
        <w:t> </w:t>
      </w:r>
      <w:r>
        <w:rPr>
          <w:color w:val="231F20"/>
        </w:rPr>
        <w:t>de</w:t>
      </w:r>
      <w:r>
        <w:rPr>
          <w:color w:val="231F20"/>
          <w:spacing w:val="-11"/>
        </w:rPr>
        <w:t> </w:t>
      </w:r>
      <w:r>
        <w:rPr>
          <w:color w:val="231F20"/>
        </w:rPr>
        <w:t>54.0%.</w:t>
      </w:r>
      <w:r>
        <w:rPr>
          <w:color w:val="231F20"/>
          <w:spacing w:val="32"/>
        </w:rPr>
        <w:t> </w:t>
      </w:r>
      <w:r>
        <w:rPr>
          <w:color w:val="231F20"/>
        </w:rPr>
        <w:t>La</w:t>
      </w:r>
      <w:r>
        <w:rPr>
          <w:color w:val="231F20"/>
          <w:spacing w:val="-11"/>
        </w:rPr>
        <w:t> </w:t>
      </w:r>
      <w:r>
        <w:rPr>
          <w:color w:val="231F20"/>
        </w:rPr>
        <w:t>aplicación</w:t>
      </w:r>
      <w:r>
        <w:rPr>
          <w:color w:val="231F20"/>
          <w:spacing w:val="-11"/>
        </w:rPr>
        <w:t> </w:t>
      </w:r>
      <w:r>
        <w:rPr>
          <w:color w:val="231F20"/>
        </w:rPr>
        <w:t>de</w:t>
      </w:r>
      <w:r>
        <w:rPr>
          <w:color w:val="231F20"/>
          <w:spacing w:val="-11"/>
        </w:rPr>
        <w:t> </w:t>
      </w:r>
      <w:r>
        <w:rPr>
          <w:color w:val="231F20"/>
        </w:rPr>
        <w:t>N</w:t>
      </w:r>
      <w:r>
        <w:rPr>
          <w:color w:val="231F20"/>
          <w:spacing w:val="-11"/>
        </w:rPr>
        <w:t> </w:t>
      </w:r>
      <w:r>
        <w:rPr>
          <w:color w:val="231F20"/>
        </w:rPr>
        <w:t>modificó</w:t>
      </w:r>
      <w:r>
        <w:rPr>
          <w:color w:val="231F20"/>
          <w:spacing w:val="-11"/>
        </w:rPr>
        <w:t> </w:t>
      </w:r>
      <w:r>
        <w:rPr>
          <w:color w:val="231F20"/>
        </w:rPr>
        <w:t>la distribución</w:t>
      </w:r>
      <w:r>
        <w:rPr>
          <w:color w:val="231F20"/>
          <w:spacing w:val="-7"/>
        </w:rPr>
        <w:t> </w:t>
      </w:r>
      <w:r>
        <w:rPr>
          <w:color w:val="231F20"/>
        </w:rPr>
        <w:t>de</w:t>
      </w:r>
      <w:r>
        <w:rPr>
          <w:color w:val="231F20"/>
          <w:spacing w:val="-7"/>
        </w:rPr>
        <w:t> </w:t>
      </w:r>
      <w:r>
        <w:rPr>
          <w:color w:val="231F20"/>
        </w:rPr>
        <w:t>biomasa</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planta,</w:t>
      </w:r>
      <w:r>
        <w:rPr>
          <w:color w:val="231F20"/>
          <w:spacing w:val="-7"/>
        </w:rPr>
        <w:t> </w:t>
      </w:r>
      <w:r>
        <w:rPr>
          <w:color w:val="231F20"/>
        </w:rPr>
        <w:t>al</w:t>
      </w:r>
      <w:r>
        <w:rPr>
          <w:color w:val="231F20"/>
          <w:spacing w:val="-7"/>
        </w:rPr>
        <w:t> </w:t>
      </w:r>
      <w:r>
        <w:rPr>
          <w:color w:val="231F20"/>
        </w:rPr>
        <w:t>incrementarse</w:t>
      </w:r>
      <w:r>
        <w:rPr>
          <w:color w:val="231F20"/>
          <w:spacing w:val="-8"/>
        </w:rPr>
        <w:t> </w:t>
      </w:r>
      <w:r>
        <w:rPr>
          <w:color w:val="231F20"/>
        </w:rPr>
        <w:t>la</w:t>
      </w:r>
      <w:r>
        <w:rPr>
          <w:color w:val="231F20"/>
          <w:spacing w:val="-7"/>
        </w:rPr>
        <w:t> </w:t>
      </w:r>
      <w:r>
        <w:rPr>
          <w:color w:val="231F20"/>
        </w:rPr>
        <w:t>acumulación</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grano</w:t>
      </w:r>
      <w:r>
        <w:rPr>
          <w:color w:val="231F20"/>
          <w:spacing w:val="-7"/>
        </w:rPr>
        <w:t> </w:t>
      </w:r>
      <w:r>
        <w:rPr>
          <w:color w:val="231F20"/>
        </w:rPr>
        <w:t>conforme</w:t>
      </w:r>
      <w:r>
        <w:rPr>
          <w:color w:val="231F20"/>
          <w:spacing w:val="-8"/>
        </w:rPr>
        <w:t> </w:t>
      </w:r>
      <w:r>
        <w:rPr>
          <w:color w:val="231F20"/>
        </w:rPr>
        <w:t>aumento la dosis de N. La aplicación de 100 kg N ha-1 presentó incrementos en 2.0% en la </w:t>
      </w:r>
      <w:r>
        <w:rPr>
          <w:color w:val="231F20"/>
          <w:spacing w:val="-6"/>
        </w:rPr>
        <w:t>BT, </w:t>
      </w:r>
      <w:r>
        <w:rPr>
          <w:color w:val="231F20"/>
        </w:rPr>
        <w:t>respecto al testigo,</w:t>
      </w:r>
      <w:r>
        <w:rPr>
          <w:color w:val="231F20"/>
          <w:spacing w:val="-6"/>
        </w:rPr>
        <w:t> </w:t>
      </w:r>
      <w:r>
        <w:rPr>
          <w:color w:val="231F20"/>
        </w:rPr>
        <w:t>seguido</w:t>
      </w:r>
      <w:r>
        <w:rPr>
          <w:color w:val="231F20"/>
          <w:spacing w:val="-6"/>
        </w:rPr>
        <w:t> </w:t>
      </w:r>
      <w:r>
        <w:rPr>
          <w:color w:val="231F20"/>
        </w:rPr>
        <w:t>de</w:t>
      </w:r>
      <w:r>
        <w:rPr>
          <w:color w:val="231F20"/>
          <w:spacing w:val="-6"/>
        </w:rPr>
        <w:t> </w:t>
      </w:r>
      <w:r>
        <w:rPr>
          <w:color w:val="231F20"/>
        </w:rPr>
        <w:t>50</w:t>
      </w:r>
      <w:r>
        <w:rPr>
          <w:color w:val="231F20"/>
          <w:spacing w:val="-6"/>
        </w:rPr>
        <w:t> </w:t>
      </w:r>
      <w:r>
        <w:rPr>
          <w:color w:val="231F20"/>
        </w:rPr>
        <w:t>kg</w:t>
      </w:r>
      <w:r>
        <w:rPr>
          <w:color w:val="231F20"/>
          <w:spacing w:val="-6"/>
        </w:rPr>
        <w:t> </w:t>
      </w:r>
      <w:r>
        <w:rPr>
          <w:color w:val="231F20"/>
        </w:rPr>
        <w:t>N</w:t>
      </w:r>
      <w:r>
        <w:rPr>
          <w:color w:val="231F20"/>
          <w:spacing w:val="-6"/>
        </w:rPr>
        <w:t> </w:t>
      </w:r>
      <w:r>
        <w:rPr>
          <w:color w:val="231F20"/>
        </w:rPr>
        <w:t>ha-1</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que</w:t>
      </w:r>
      <w:r>
        <w:rPr>
          <w:color w:val="231F20"/>
          <w:spacing w:val="-6"/>
        </w:rPr>
        <w:t> </w:t>
      </w:r>
      <w:r>
        <w:rPr>
          <w:color w:val="231F20"/>
        </w:rPr>
        <w:t>el</w:t>
      </w:r>
      <w:r>
        <w:rPr>
          <w:color w:val="231F20"/>
          <w:spacing w:val="-6"/>
        </w:rPr>
        <w:t> </w:t>
      </w:r>
      <w:r>
        <w:rPr>
          <w:color w:val="231F20"/>
        </w:rPr>
        <w:t>aumento</w:t>
      </w:r>
      <w:r>
        <w:rPr>
          <w:color w:val="231F20"/>
          <w:spacing w:val="-6"/>
        </w:rPr>
        <w:t> </w:t>
      </w:r>
      <w:r>
        <w:rPr>
          <w:color w:val="231F20"/>
        </w:rPr>
        <w:t>fue</w:t>
      </w:r>
      <w:r>
        <w:rPr>
          <w:color w:val="231F20"/>
          <w:spacing w:val="-6"/>
        </w:rPr>
        <w:t> </w:t>
      </w:r>
      <w:r>
        <w:rPr>
          <w:color w:val="231F20"/>
        </w:rPr>
        <w:t>0.14%</w:t>
      </w:r>
      <w:r>
        <w:rPr>
          <w:color w:val="231F20"/>
          <w:spacing w:val="-6"/>
        </w:rPr>
        <w:t> </w:t>
      </w:r>
      <w:r>
        <w:rPr>
          <w:color w:val="231F20"/>
        </w:rPr>
        <w:t>más</w:t>
      </w:r>
      <w:r>
        <w:rPr>
          <w:color w:val="231F20"/>
          <w:spacing w:val="-6"/>
        </w:rPr>
        <w:t> </w:t>
      </w:r>
      <w:r>
        <w:rPr>
          <w:color w:val="231F20"/>
        </w:rPr>
        <w:t>que</w:t>
      </w:r>
      <w:r>
        <w:rPr>
          <w:color w:val="231F20"/>
          <w:spacing w:val="-6"/>
        </w:rPr>
        <w:t> </w:t>
      </w:r>
      <w:r>
        <w:rPr>
          <w:color w:val="231F20"/>
        </w:rPr>
        <w:t>el</w:t>
      </w:r>
      <w:r>
        <w:rPr>
          <w:color w:val="231F20"/>
          <w:spacing w:val="-6"/>
        </w:rPr>
        <w:t> </w:t>
      </w:r>
      <w:r>
        <w:rPr>
          <w:color w:val="231F20"/>
        </w:rPr>
        <w:t>testigo.</w:t>
      </w:r>
      <w:r>
        <w:rPr>
          <w:color w:val="231F20"/>
          <w:spacing w:val="-6"/>
        </w:rPr>
        <w:t> </w:t>
      </w:r>
      <w:r>
        <w:rPr>
          <w:color w:val="231F20"/>
        </w:rPr>
        <w:t>La</w:t>
      </w:r>
      <w:r>
        <w:rPr>
          <w:color w:val="231F20"/>
          <w:spacing w:val="-6"/>
        </w:rPr>
        <w:t> </w:t>
      </w:r>
      <w:r>
        <w:rPr>
          <w:color w:val="231F20"/>
        </w:rPr>
        <w:t>aplicación</w:t>
      </w:r>
      <w:r>
        <w:rPr>
          <w:color w:val="231F20"/>
          <w:spacing w:val="-6"/>
        </w:rPr>
        <w:t> </w:t>
      </w:r>
      <w:r>
        <w:rPr>
          <w:color w:val="231F20"/>
        </w:rPr>
        <w:t>de 50</w:t>
      </w:r>
      <w:r>
        <w:rPr>
          <w:color w:val="231F20"/>
          <w:spacing w:val="-4"/>
        </w:rPr>
        <w:t> </w:t>
      </w:r>
      <w:r>
        <w:rPr>
          <w:color w:val="231F20"/>
        </w:rPr>
        <w:t>y</w:t>
      </w:r>
      <w:r>
        <w:rPr>
          <w:color w:val="231F20"/>
          <w:spacing w:val="-4"/>
        </w:rPr>
        <w:t> </w:t>
      </w:r>
      <w:r>
        <w:rPr>
          <w:color w:val="231F20"/>
        </w:rPr>
        <w:t>100</w:t>
      </w:r>
      <w:r>
        <w:rPr>
          <w:color w:val="231F20"/>
          <w:spacing w:val="-4"/>
        </w:rPr>
        <w:t> </w:t>
      </w:r>
      <w:r>
        <w:rPr>
          <w:color w:val="231F20"/>
        </w:rPr>
        <w:t>kg</w:t>
      </w:r>
      <w:r>
        <w:rPr>
          <w:color w:val="231F20"/>
          <w:spacing w:val="-4"/>
        </w:rPr>
        <w:t> </w:t>
      </w:r>
      <w:r>
        <w:rPr>
          <w:color w:val="231F20"/>
        </w:rPr>
        <w:t>N</w:t>
      </w:r>
      <w:r>
        <w:rPr>
          <w:color w:val="231F20"/>
          <w:spacing w:val="-4"/>
        </w:rPr>
        <w:t> </w:t>
      </w:r>
      <w:r>
        <w:rPr>
          <w:color w:val="231F20"/>
        </w:rPr>
        <w:t>ha-1</w:t>
      </w:r>
      <w:r>
        <w:rPr>
          <w:color w:val="231F20"/>
          <w:spacing w:val="-4"/>
        </w:rPr>
        <w:t> </w:t>
      </w:r>
      <w:r>
        <w:rPr>
          <w:color w:val="231F20"/>
        </w:rPr>
        <w:t>incrementaron</w:t>
      </w:r>
      <w:r>
        <w:rPr>
          <w:color w:val="231F20"/>
          <w:spacing w:val="-4"/>
        </w:rPr>
        <w:t> </w:t>
      </w:r>
      <w:r>
        <w:rPr>
          <w:color w:val="231F20"/>
        </w:rPr>
        <w:t>en</w:t>
      </w:r>
      <w:r>
        <w:rPr>
          <w:color w:val="231F20"/>
          <w:spacing w:val="-4"/>
        </w:rPr>
        <w:t> </w:t>
      </w:r>
      <w:r>
        <w:rPr>
          <w:color w:val="231F20"/>
        </w:rPr>
        <w:t>0.2</w:t>
      </w:r>
      <w:r>
        <w:rPr>
          <w:color w:val="231F20"/>
          <w:spacing w:val="-4"/>
        </w:rPr>
        <w:t> </w:t>
      </w:r>
      <w:r>
        <w:rPr>
          <w:color w:val="231F20"/>
        </w:rPr>
        <w:t>y</w:t>
      </w:r>
      <w:r>
        <w:rPr>
          <w:color w:val="231F20"/>
          <w:spacing w:val="-4"/>
        </w:rPr>
        <w:t> </w:t>
      </w:r>
      <w:r>
        <w:rPr>
          <w:color w:val="231F20"/>
        </w:rPr>
        <w:t>0.3%,</w:t>
      </w:r>
      <w:r>
        <w:rPr>
          <w:color w:val="231F20"/>
          <w:spacing w:val="-4"/>
        </w:rPr>
        <w:t> </w:t>
      </w:r>
      <w:r>
        <w:rPr>
          <w:color w:val="231F20"/>
        </w:rPr>
        <w:t>respectivamente</w:t>
      </w:r>
      <w:r>
        <w:rPr>
          <w:color w:val="231F20"/>
          <w:spacing w:val="-4"/>
        </w:rPr>
        <w:t> </w:t>
      </w:r>
      <w:r>
        <w:rPr>
          <w:color w:val="231F20"/>
        </w:rPr>
        <w:t>la</w:t>
      </w:r>
      <w:r>
        <w:rPr>
          <w:color w:val="231F20"/>
          <w:spacing w:val="-4"/>
        </w:rPr>
        <w:t> </w:t>
      </w:r>
      <w:r>
        <w:rPr>
          <w:color w:val="231F20"/>
        </w:rPr>
        <w:t>biomasa</w:t>
      </w:r>
      <w:r>
        <w:rPr>
          <w:color w:val="231F20"/>
          <w:spacing w:val="-4"/>
        </w:rPr>
        <w:t> </w:t>
      </w:r>
      <w:r>
        <w:rPr>
          <w:color w:val="231F20"/>
        </w:rPr>
        <w:t>hacia</w:t>
      </w:r>
      <w:r>
        <w:rPr>
          <w:color w:val="231F20"/>
          <w:spacing w:val="-4"/>
        </w:rPr>
        <w:t> </w:t>
      </w:r>
      <w:r>
        <w:rPr>
          <w:color w:val="231F20"/>
        </w:rPr>
        <w:t>el</w:t>
      </w:r>
      <w:r>
        <w:rPr>
          <w:color w:val="231F20"/>
          <w:spacing w:val="-4"/>
        </w:rPr>
        <w:t> </w:t>
      </w:r>
      <w:r>
        <w:rPr>
          <w:color w:val="231F20"/>
        </w:rPr>
        <w:t>dosel</w:t>
      </w:r>
      <w:r>
        <w:rPr>
          <w:color w:val="231F20"/>
          <w:spacing w:val="-4"/>
        </w:rPr>
        <w:t> </w:t>
      </w:r>
      <w:r>
        <w:rPr>
          <w:color w:val="231F20"/>
        </w:rPr>
        <w:t>vegetal. Sin embargo, la distribución hacia el tallo disminuyó en 0.4 y 2.1% respecto al testigo (Figura</w:t>
      </w:r>
      <w:r>
        <w:rPr>
          <w:color w:val="231F20"/>
          <w:spacing w:val="-4"/>
        </w:rPr>
        <w:t> </w:t>
      </w:r>
      <w:r>
        <w:rPr>
          <w:color w:val="231F20"/>
        </w:rPr>
        <w:t>4).</w:t>
      </w:r>
    </w:p>
    <w:p>
      <w:pPr>
        <w:pStyle w:val="BodyText"/>
        <w:spacing w:before="4"/>
      </w:pPr>
    </w:p>
    <w:p>
      <w:pPr>
        <w:spacing w:before="0"/>
        <w:ind w:left="1917" w:right="1279" w:firstLine="0"/>
        <w:jc w:val="left"/>
        <w:rPr>
          <w:b/>
          <w:sz w:val="18"/>
        </w:rPr>
      </w:pPr>
      <w:r>
        <w:rPr>
          <w:b/>
          <w:color w:val="010202"/>
          <w:sz w:val="18"/>
        </w:rPr>
        <w:t>Figura 2. Biomasa total y su distribución en los órganos en función del nitrógeno, otoño 2011</w:t>
      </w:r>
    </w:p>
    <w:p>
      <w:pPr>
        <w:pStyle w:val="BodyText"/>
        <w:spacing w:before="9"/>
        <w:rPr>
          <w:b/>
          <w:sz w:val="18"/>
        </w:rPr>
      </w:pPr>
      <w:r>
        <w:rPr/>
        <w:drawing>
          <wp:anchor distT="0" distB="0" distL="0" distR="0" allowOverlap="1" layoutInCell="1" locked="0" behindDoc="0" simplePos="0" relativeHeight="3352">
            <wp:simplePos x="0" y="0"/>
            <wp:positionH relativeFrom="page">
              <wp:posOffset>1298692</wp:posOffset>
            </wp:positionH>
            <wp:positionV relativeFrom="paragraph">
              <wp:posOffset>161967</wp:posOffset>
            </wp:positionV>
            <wp:extent cx="4373881" cy="2304288"/>
            <wp:effectExtent l="0" t="0" r="0" b="0"/>
            <wp:wrapTopAndBottom/>
            <wp:docPr id="117" name="image38.png" descr=""/>
            <wp:cNvGraphicFramePr>
              <a:graphicFrameLocks noChangeAspect="1"/>
            </wp:cNvGraphicFramePr>
            <a:graphic>
              <a:graphicData uri="http://schemas.openxmlformats.org/drawingml/2006/picture">
                <pic:pic>
                  <pic:nvPicPr>
                    <pic:cNvPr id="118" name="image38.png"/>
                    <pic:cNvPicPr/>
                  </pic:nvPicPr>
                  <pic:blipFill>
                    <a:blip r:embed="rId58" cstate="print"/>
                    <a:stretch>
                      <a:fillRect/>
                    </a:stretch>
                  </pic:blipFill>
                  <pic:spPr>
                    <a:xfrm>
                      <a:off x="0" y="0"/>
                      <a:ext cx="4373881" cy="2304288"/>
                    </a:xfrm>
                    <a:prstGeom prst="rect">
                      <a:avLst/>
                    </a:prstGeom>
                  </pic:spPr>
                </pic:pic>
              </a:graphicData>
            </a:graphic>
          </wp:anchor>
        </w:drawing>
      </w:r>
    </w:p>
    <w:p>
      <w:pPr>
        <w:pStyle w:val="BodyText"/>
        <w:spacing w:before="2"/>
        <w:rPr>
          <w:b/>
        </w:rPr>
      </w:pPr>
    </w:p>
    <w:p>
      <w:pPr>
        <w:pStyle w:val="BodyText"/>
        <w:spacing w:line="247" w:lineRule="auto"/>
        <w:ind w:left="1270" w:right="1267"/>
        <w:jc w:val="both"/>
      </w:pPr>
      <w:r>
        <w:rPr>
          <w:color w:val="231F20"/>
        </w:rPr>
        <w:t>Los</w:t>
      </w:r>
      <w:r>
        <w:rPr>
          <w:color w:val="231F20"/>
          <w:spacing w:val="-12"/>
        </w:rPr>
        <w:t> </w:t>
      </w:r>
      <w:r>
        <w:rPr>
          <w:color w:val="231F20"/>
        </w:rPr>
        <w:t>resultados</w:t>
      </w:r>
      <w:r>
        <w:rPr>
          <w:color w:val="231F20"/>
          <w:spacing w:val="-12"/>
        </w:rPr>
        <w:t> </w:t>
      </w:r>
      <w:r>
        <w:rPr>
          <w:color w:val="231F20"/>
        </w:rPr>
        <w:t>obtenidos</w:t>
      </w:r>
      <w:r>
        <w:rPr>
          <w:color w:val="231F20"/>
          <w:spacing w:val="-12"/>
        </w:rPr>
        <w:t> </w:t>
      </w:r>
      <w:r>
        <w:rPr>
          <w:color w:val="231F20"/>
        </w:rPr>
        <w:t>comprueban</w:t>
      </w:r>
      <w:r>
        <w:rPr>
          <w:color w:val="231F20"/>
          <w:spacing w:val="-12"/>
        </w:rPr>
        <w:t> </w:t>
      </w:r>
      <w:r>
        <w:rPr>
          <w:color w:val="231F20"/>
        </w:rPr>
        <w:t>lo</w:t>
      </w:r>
      <w:r>
        <w:rPr>
          <w:color w:val="231F20"/>
          <w:spacing w:val="-12"/>
        </w:rPr>
        <w:t> </w:t>
      </w:r>
      <w:r>
        <w:rPr>
          <w:color w:val="231F20"/>
        </w:rPr>
        <w:t>reportado</w:t>
      </w:r>
      <w:r>
        <w:rPr>
          <w:color w:val="231F20"/>
          <w:spacing w:val="-12"/>
        </w:rPr>
        <w:t> </w:t>
      </w:r>
      <w:r>
        <w:rPr>
          <w:color w:val="231F20"/>
        </w:rPr>
        <w:t>por</w:t>
      </w:r>
      <w:r>
        <w:rPr>
          <w:color w:val="231F20"/>
          <w:spacing w:val="-23"/>
        </w:rPr>
        <w:t> </w:t>
      </w:r>
      <w:r>
        <w:rPr>
          <w:color w:val="231F20"/>
        </w:rPr>
        <w:t>Aguilar</w:t>
      </w:r>
      <w:r>
        <w:rPr>
          <w:color w:val="231F20"/>
          <w:spacing w:val="-11"/>
        </w:rPr>
        <w:t> </w:t>
      </w:r>
      <w:r>
        <w:rPr>
          <w:color w:val="231F20"/>
        </w:rPr>
        <w:t>et</w:t>
      </w:r>
      <w:r>
        <w:rPr>
          <w:color w:val="231F20"/>
          <w:spacing w:val="-12"/>
        </w:rPr>
        <w:t> </w:t>
      </w:r>
      <w:r>
        <w:rPr>
          <w:color w:val="231F20"/>
        </w:rPr>
        <w:t>al.,</w:t>
      </w:r>
      <w:r>
        <w:rPr>
          <w:color w:val="231F20"/>
          <w:spacing w:val="-12"/>
        </w:rPr>
        <w:t> </w:t>
      </w:r>
      <w:r>
        <w:rPr>
          <w:color w:val="231F20"/>
        </w:rPr>
        <w:t>2005</w:t>
      </w:r>
      <w:r>
        <w:rPr>
          <w:color w:val="231F20"/>
          <w:spacing w:val="-12"/>
        </w:rPr>
        <w:t> </w:t>
      </w:r>
      <w:r>
        <w:rPr>
          <w:color w:val="231F20"/>
        </w:rPr>
        <w:t>quienes</w:t>
      </w:r>
      <w:r>
        <w:rPr>
          <w:color w:val="231F20"/>
          <w:spacing w:val="-12"/>
        </w:rPr>
        <w:t> </w:t>
      </w:r>
      <w:r>
        <w:rPr>
          <w:color w:val="231F20"/>
        </w:rPr>
        <w:t>mencionan</w:t>
      </w:r>
      <w:r>
        <w:rPr>
          <w:color w:val="231F20"/>
          <w:spacing w:val="30"/>
        </w:rPr>
        <w:t> </w:t>
      </w:r>
      <w:r>
        <w:rPr>
          <w:color w:val="231F20"/>
        </w:rPr>
        <w:t>que</w:t>
      </w:r>
      <w:r>
        <w:rPr>
          <w:color w:val="231F20"/>
          <w:spacing w:val="-12"/>
        </w:rPr>
        <w:t> </w:t>
      </w:r>
      <w:r>
        <w:rPr>
          <w:color w:val="231F20"/>
        </w:rPr>
        <w:t>el mayor crecimiento del dosel vegetal proporciona una mayor intercepción de luz, lo cual incrementa la fotosíntesis y por tanto la producción de biomasa como resultado de un mayor aprovechamiento de los recursos hídricos y nutrimentales. Por otro lado la distribución de biomasa en los órganos de la planta está influenciado por las tasas de respiración de hojas, tallos y vainas (Villar </w:t>
      </w:r>
      <w:r>
        <w:rPr>
          <w:i/>
          <w:color w:val="231F20"/>
        </w:rPr>
        <w:t>et al.</w:t>
      </w:r>
      <w:r>
        <w:rPr>
          <w:color w:val="231F20"/>
        </w:rPr>
        <w:t>,</w:t>
      </w:r>
      <w:r>
        <w:rPr>
          <w:color w:val="231F20"/>
          <w:spacing w:val="-26"/>
        </w:rPr>
        <w:t> </w:t>
      </w:r>
      <w:r>
        <w:rPr>
          <w:color w:val="231F20"/>
        </w:rPr>
        <w:t>2004).</w:t>
      </w:r>
    </w:p>
    <w:p>
      <w:pPr>
        <w:pStyle w:val="BodyText"/>
        <w:spacing w:before="8"/>
        <w:rPr>
          <w:sz w:val="22"/>
        </w:rPr>
      </w:pPr>
    </w:p>
    <w:p>
      <w:pPr>
        <w:pStyle w:val="Heading3"/>
        <w:spacing w:before="1"/>
      </w:pPr>
      <w:r>
        <w:rPr>
          <w:color w:val="010202"/>
        </w:rPr>
        <w:t>Conclusiones</w:t>
      </w:r>
    </w:p>
    <w:p>
      <w:pPr>
        <w:pStyle w:val="BodyText"/>
        <w:spacing w:before="10"/>
        <w:rPr>
          <w:b/>
        </w:rPr>
      </w:pPr>
    </w:p>
    <w:p>
      <w:pPr>
        <w:pStyle w:val="BodyText"/>
        <w:spacing w:line="249" w:lineRule="auto"/>
        <w:ind w:left="1270" w:right="1267"/>
        <w:jc w:val="both"/>
      </w:pPr>
      <w:r>
        <w:rPr>
          <w:color w:val="231F20"/>
        </w:rPr>
        <w:t>El RG, </w:t>
      </w:r>
      <w:r>
        <w:rPr>
          <w:color w:val="231F20"/>
          <w:spacing w:val="-9"/>
        </w:rPr>
        <w:t>NV, </w:t>
      </w:r>
      <w:r>
        <w:rPr>
          <w:color w:val="231F20"/>
        </w:rPr>
        <w:t>P100G y NG presentan cambio significativos debido a la fertilización nitrogenada. El mayor RG, </w:t>
      </w:r>
      <w:r>
        <w:rPr>
          <w:color w:val="231F20"/>
          <w:spacing w:val="-9"/>
        </w:rPr>
        <w:t>NV, </w:t>
      </w:r>
      <w:r>
        <w:rPr>
          <w:color w:val="231F20"/>
        </w:rPr>
        <w:t>P100G y NG y BT se logra con la aplicación de 100 kg N ha</w:t>
      </w:r>
      <w:r>
        <w:rPr>
          <w:color w:val="231F20"/>
          <w:position w:val="7"/>
          <w:sz w:val="12"/>
        </w:rPr>
        <w:t>-1</w:t>
      </w:r>
      <w:r>
        <w:rPr>
          <w:color w:val="231F20"/>
        </w:rPr>
        <w:t>.</w:t>
      </w:r>
      <w:r>
        <w:rPr>
          <w:color w:val="231F20"/>
          <w:spacing w:val="-38"/>
        </w:rPr>
        <w:t> </w:t>
      </w:r>
      <w:r>
        <w:rPr>
          <w:color w:val="231F20"/>
        </w:rPr>
        <w:t>Así mismo, se obtie- ne el mayor porcentaje de biomasa hacia el grano. La dosis de fertilización más apropiada para esta región es de 100 kg N</w:t>
      </w:r>
      <w:r>
        <w:rPr>
          <w:color w:val="231F20"/>
          <w:spacing w:val="1"/>
        </w:rPr>
        <w:t> </w:t>
      </w:r>
      <w:r>
        <w:rPr>
          <w:color w:val="231F20"/>
        </w:rPr>
        <w:t>ha</w:t>
      </w:r>
      <w:r>
        <w:rPr>
          <w:color w:val="231F20"/>
          <w:position w:val="7"/>
          <w:sz w:val="12"/>
        </w:rPr>
        <w:t>-1</w:t>
      </w:r>
      <w:r>
        <w:rPr>
          <w:color w:val="231F20"/>
        </w:rPr>
        <w:t>.</w:t>
      </w:r>
    </w:p>
    <w:p>
      <w:pPr>
        <w:spacing w:after="0" w:line="249" w:lineRule="auto"/>
        <w:jc w:val="both"/>
        <w:sectPr>
          <w:pgSz w:w="10920" w:h="13080"/>
          <w:pgMar w:header="0" w:footer="1025" w:top="420" w:bottom="1220" w:left="0" w:right="0"/>
        </w:sectPr>
      </w:pPr>
    </w:p>
    <w:p>
      <w:pPr>
        <w:pStyle w:val="BodyText"/>
        <w:rPr>
          <w:sz w:val="20"/>
        </w:rPr>
      </w:pPr>
    </w:p>
    <w:p>
      <w:pPr>
        <w:pStyle w:val="BodyText"/>
        <w:rPr>
          <w:sz w:val="20"/>
        </w:rPr>
      </w:pPr>
    </w:p>
    <w:p>
      <w:pPr>
        <w:pStyle w:val="BodyText"/>
        <w:spacing w:before="4"/>
        <w:rPr>
          <w:sz w:val="22"/>
        </w:rPr>
      </w:pPr>
    </w:p>
    <w:p>
      <w:pPr>
        <w:pStyle w:val="Heading3"/>
        <w:spacing w:before="69"/>
      </w:pPr>
      <w:r>
        <w:rPr>
          <w:color w:val="010202"/>
        </w:rPr>
        <w:t>Literatura citada</w:t>
      </w:r>
    </w:p>
    <w:p>
      <w:pPr>
        <w:pStyle w:val="BodyText"/>
        <w:spacing w:before="7"/>
        <w:rPr>
          <w:b/>
        </w:rPr>
      </w:pPr>
    </w:p>
    <w:p>
      <w:pPr>
        <w:spacing w:before="0"/>
        <w:ind w:left="1270" w:right="0" w:firstLine="0"/>
        <w:jc w:val="both"/>
        <w:rPr>
          <w:sz w:val="19"/>
        </w:rPr>
      </w:pPr>
      <w:r>
        <w:rPr>
          <w:color w:val="231F20"/>
          <w:sz w:val="19"/>
        </w:rPr>
        <w:t>Aguilar, L., J. Escalante, L. Fucikovsky,      L. Tijerina y E. Mark. 2005. Área foliar, tasa de asimilación neta,</w:t>
      </w:r>
    </w:p>
    <w:p>
      <w:pPr>
        <w:spacing w:before="9"/>
        <w:ind w:left="1270" w:right="0" w:firstLine="0"/>
        <w:jc w:val="both"/>
        <w:rPr>
          <w:sz w:val="19"/>
        </w:rPr>
      </w:pPr>
      <w:r>
        <w:rPr>
          <w:color w:val="231F20"/>
          <w:sz w:val="19"/>
        </w:rPr>
        <w:t>rendimiento y densidad de población en girasol. Terra Latinoamericana 23(3): 303-310.</w:t>
      </w:r>
    </w:p>
    <w:p>
      <w:pPr>
        <w:pStyle w:val="BodyText"/>
        <w:spacing w:before="7"/>
        <w:rPr>
          <w:sz w:val="20"/>
        </w:rPr>
      </w:pPr>
    </w:p>
    <w:p>
      <w:pPr>
        <w:spacing w:line="249" w:lineRule="auto" w:before="0"/>
        <w:ind w:left="1270" w:right="1268" w:firstLine="0"/>
        <w:jc w:val="both"/>
        <w:rPr>
          <w:sz w:val="19"/>
        </w:rPr>
      </w:pPr>
      <w:r>
        <w:rPr>
          <w:color w:val="231F20"/>
          <w:sz w:val="19"/>
        </w:rPr>
        <w:t>Danso, S. K. A. y </w:t>
      </w:r>
      <w:r>
        <w:rPr>
          <w:color w:val="231F20"/>
          <w:spacing w:val="-3"/>
          <w:sz w:val="19"/>
        </w:rPr>
        <w:t>Eskew, </w:t>
      </w:r>
      <w:r>
        <w:rPr>
          <w:color w:val="231F20"/>
          <w:sz w:val="19"/>
        </w:rPr>
        <w:t>D. L. 2000. Aumento en la capacidad de fijación biológica de nitrógeno.</w:t>
      </w:r>
      <w:r>
        <w:rPr>
          <w:color w:val="231F20"/>
          <w:spacing w:val="-28"/>
          <w:sz w:val="19"/>
        </w:rPr>
        <w:t> </w:t>
      </w:r>
      <w:r>
        <w:rPr>
          <w:color w:val="231F20"/>
          <w:sz w:val="19"/>
        </w:rPr>
        <w:t>Agricultura y alimentación. OIEA 26(2):</w:t>
      </w:r>
      <w:r>
        <w:rPr>
          <w:color w:val="231F20"/>
          <w:spacing w:val="-11"/>
          <w:sz w:val="19"/>
        </w:rPr>
        <w:t> </w:t>
      </w:r>
      <w:r>
        <w:rPr>
          <w:color w:val="231F20"/>
          <w:sz w:val="19"/>
        </w:rPr>
        <w:t>29-33.</w:t>
      </w:r>
    </w:p>
    <w:p>
      <w:pPr>
        <w:pStyle w:val="BodyText"/>
        <w:spacing w:before="10"/>
        <w:rPr>
          <w:sz w:val="19"/>
        </w:rPr>
      </w:pPr>
    </w:p>
    <w:p>
      <w:pPr>
        <w:spacing w:line="249" w:lineRule="auto" w:before="0"/>
        <w:ind w:left="1270" w:right="1268" w:firstLine="0"/>
        <w:jc w:val="both"/>
        <w:rPr>
          <w:sz w:val="19"/>
        </w:rPr>
      </w:pPr>
      <w:r>
        <w:rPr>
          <w:color w:val="231F20"/>
          <w:sz w:val="19"/>
        </w:rPr>
        <w:t>García,</w:t>
      </w:r>
      <w:r>
        <w:rPr>
          <w:color w:val="231F20"/>
          <w:spacing w:val="-11"/>
          <w:sz w:val="19"/>
        </w:rPr>
        <w:t> </w:t>
      </w:r>
      <w:r>
        <w:rPr>
          <w:color w:val="231F20"/>
          <w:sz w:val="19"/>
        </w:rPr>
        <w:t>E.</w:t>
      </w:r>
      <w:r>
        <w:rPr>
          <w:color w:val="231F20"/>
          <w:spacing w:val="-11"/>
          <w:sz w:val="19"/>
        </w:rPr>
        <w:t> </w:t>
      </w:r>
      <w:r>
        <w:rPr>
          <w:color w:val="231F20"/>
          <w:sz w:val="19"/>
        </w:rPr>
        <w:t>2005.</w:t>
      </w:r>
      <w:r>
        <w:rPr>
          <w:color w:val="231F20"/>
          <w:spacing w:val="-11"/>
          <w:sz w:val="19"/>
        </w:rPr>
        <w:t> </w:t>
      </w:r>
      <w:r>
        <w:rPr>
          <w:color w:val="231F20"/>
          <w:sz w:val="19"/>
        </w:rPr>
        <w:t>Modificación</w:t>
      </w:r>
      <w:r>
        <w:rPr>
          <w:color w:val="231F20"/>
          <w:spacing w:val="-11"/>
          <w:sz w:val="19"/>
        </w:rPr>
        <w:t> </w:t>
      </w:r>
      <w:r>
        <w:rPr>
          <w:color w:val="231F20"/>
          <w:sz w:val="19"/>
        </w:rPr>
        <w:t>al</w:t>
      </w:r>
      <w:r>
        <w:rPr>
          <w:color w:val="231F20"/>
          <w:spacing w:val="-11"/>
          <w:sz w:val="19"/>
        </w:rPr>
        <w:t> </w:t>
      </w:r>
      <w:r>
        <w:rPr>
          <w:color w:val="231F20"/>
          <w:sz w:val="19"/>
        </w:rPr>
        <w:t>sistema</w:t>
      </w:r>
      <w:r>
        <w:rPr>
          <w:color w:val="231F20"/>
          <w:spacing w:val="-11"/>
          <w:sz w:val="19"/>
        </w:rPr>
        <w:t> </w:t>
      </w:r>
      <w:r>
        <w:rPr>
          <w:color w:val="231F20"/>
          <w:sz w:val="19"/>
        </w:rPr>
        <w:t>de</w:t>
      </w:r>
      <w:r>
        <w:rPr>
          <w:color w:val="231F20"/>
          <w:spacing w:val="-11"/>
          <w:sz w:val="19"/>
        </w:rPr>
        <w:t> </w:t>
      </w:r>
      <w:r>
        <w:rPr>
          <w:color w:val="231F20"/>
          <w:sz w:val="19"/>
        </w:rPr>
        <w:t>clasificación</w:t>
      </w:r>
      <w:r>
        <w:rPr>
          <w:color w:val="231F20"/>
          <w:spacing w:val="-11"/>
          <w:sz w:val="19"/>
        </w:rPr>
        <w:t> </w:t>
      </w:r>
      <w:r>
        <w:rPr>
          <w:color w:val="231F20"/>
          <w:sz w:val="19"/>
        </w:rPr>
        <w:t>climática</w:t>
      </w:r>
      <w:r>
        <w:rPr>
          <w:color w:val="231F20"/>
          <w:spacing w:val="-11"/>
          <w:sz w:val="19"/>
        </w:rPr>
        <w:t> </w:t>
      </w:r>
      <w:r>
        <w:rPr>
          <w:color w:val="231F20"/>
          <w:sz w:val="19"/>
        </w:rPr>
        <w:t>de</w:t>
      </w:r>
      <w:r>
        <w:rPr>
          <w:color w:val="231F20"/>
          <w:spacing w:val="-11"/>
          <w:sz w:val="19"/>
        </w:rPr>
        <w:t> </w:t>
      </w:r>
      <w:r>
        <w:rPr>
          <w:color w:val="231F20"/>
          <w:sz w:val="19"/>
        </w:rPr>
        <w:t>Köppen.</w:t>
      </w:r>
      <w:r>
        <w:rPr>
          <w:color w:val="231F20"/>
          <w:spacing w:val="-10"/>
          <w:sz w:val="19"/>
        </w:rPr>
        <w:t> </w:t>
      </w:r>
      <w:r>
        <w:rPr>
          <w:color w:val="231F20"/>
          <w:sz w:val="19"/>
        </w:rPr>
        <w:t>4ª.</w:t>
      </w:r>
      <w:r>
        <w:rPr>
          <w:color w:val="231F20"/>
          <w:spacing w:val="-11"/>
          <w:sz w:val="19"/>
        </w:rPr>
        <w:t> </w:t>
      </w:r>
      <w:r>
        <w:rPr>
          <w:color w:val="231F20"/>
          <w:sz w:val="19"/>
        </w:rPr>
        <w:t>Edición.</w:t>
      </w:r>
      <w:r>
        <w:rPr>
          <w:color w:val="231F20"/>
          <w:spacing w:val="-11"/>
          <w:sz w:val="19"/>
        </w:rPr>
        <w:t> </w:t>
      </w:r>
      <w:r>
        <w:rPr>
          <w:color w:val="231F20"/>
          <w:sz w:val="19"/>
        </w:rPr>
        <w:t>Instituto</w:t>
      </w:r>
      <w:r>
        <w:rPr>
          <w:color w:val="231F20"/>
          <w:spacing w:val="-11"/>
          <w:sz w:val="19"/>
        </w:rPr>
        <w:t> </w:t>
      </w:r>
      <w:r>
        <w:rPr>
          <w:color w:val="231F20"/>
          <w:sz w:val="19"/>
        </w:rPr>
        <w:t>de</w:t>
      </w:r>
      <w:r>
        <w:rPr>
          <w:color w:val="231F20"/>
          <w:spacing w:val="-11"/>
          <w:sz w:val="19"/>
        </w:rPr>
        <w:t> </w:t>
      </w:r>
      <w:r>
        <w:rPr>
          <w:color w:val="231F20"/>
          <w:sz w:val="19"/>
        </w:rPr>
        <w:t>Geogra- fía. Universidad Autónoma de México. 217</w:t>
      </w:r>
      <w:r>
        <w:rPr>
          <w:color w:val="231F20"/>
          <w:spacing w:val="-11"/>
          <w:sz w:val="19"/>
        </w:rPr>
        <w:t> </w:t>
      </w:r>
      <w:r>
        <w:rPr>
          <w:color w:val="231F20"/>
          <w:sz w:val="19"/>
        </w:rPr>
        <w:t>p.</w:t>
      </w:r>
    </w:p>
    <w:p>
      <w:pPr>
        <w:pStyle w:val="BodyText"/>
        <w:spacing w:before="10"/>
        <w:rPr>
          <w:sz w:val="19"/>
        </w:rPr>
      </w:pPr>
    </w:p>
    <w:p>
      <w:pPr>
        <w:spacing w:line="249" w:lineRule="auto" w:before="0"/>
        <w:ind w:left="1270" w:right="1268" w:firstLine="0"/>
        <w:jc w:val="both"/>
        <w:rPr>
          <w:sz w:val="19"/>
        </w:rPr>
      </w:pPr>
      <w:r>
        <w:rPr>
          <w:color w:val="231F20"/>
          <w:sz w:val="19"/>
        </w:rPr>
        <w:t>Rangel, M. D., </w:t>
      </w:r>
      <w:r>
        <w:rPr>
          <w:color w:val="231F20"/>
          <w:spacing w:val="-3"/>
          <w:sz w:val="19"/>
        </w:rPr>
        <w:t>Verdugo, </w:t>
      </w:r>
      <w:r>
        <w:rPr>
          <w:color w:val="231F20"/>
          <w:spacing w:val="-11"/>
          <w:sz w:val="19"/>
        </w:rPr>
        <w:t>P. </w:t>
      </w:r>
      <w:r>
        <w:rPr>
          <w:color w:val="231F20"/>
          <w:sz w:val="19"/>
        </w:rPr>
        <w:t>M., Osuna, E. </w:t>
      </w:r>
      <w:r>
        <w:rPr>
          <w:color w:val="231F20"/>
          <w:spacing w:val="-5"/>
          <w:sz w:val="19"/>
        </w:rPr>
        <w:t>T., </w:t>
      </w:r>
      <w:r>
        <w:rPr>
          <w:color w:val="231F20"/>
          <w:sz w:val="19"/>
        </w:rPr>
        <w:t>Báez, S. M. A., Basilio, H. J., </w:t>
      </w:r>
      <w:r>
        <w:rPr>
          <w:color w:val="231F20"/>
          <w:spacing w:val="-4"/>
          <w:sz w:val="19"/>
        </w:rPr>
        <w:t>Valdez, </w:t>
      </w:r>
      <w:r>
        <w:rPr>
          <w:color w:val="231F20"/>
          <w:spacing w:val="-8"/>
          <w:sz w:val="19"/>
        </w:rPr>
        <w:t>T. </w:t>
      </w:r>
      <w:r>
        <w:rPr>
          <w:color w:val="231F20"/>
          <w:sz w:val="19"/>
        </w:rPr>
        <w:t>B., Contreras, M. R., Sañudo, B. J. A., Campos, S. J. </w:t>
      </w:r>
      <w:r>
        <w:rPr>
          <w:color w:val="231F20"/>
          <w:spacing w:val="-11"/>
          <w:sz w:val="19"/>
        </w:rPr>
        <w:t>P. </w:t>
      </w:r>
      <w:r>
        <w:rPr>
          <w:color w:val="231F20"/>
          <w:sz w:val="19"/>
        </w:rPr>
        <w:t>2011. Caracterización del garbanzo verde (Cicer arietinum L.) y tecnologías poscosecha para mantener su calidad. Revista Chapingo Serie Horticultura 17: 39-45.</w:t>
      </w:r>
    </w:p>
    <w:p>
      <w:pPr>
        <w:pStyle w:val="BodyText"/>
        <w:spacing w:before="10"/>
        <w:rPr>
          <w:sz w:val="19"/>
        </w:rPr>
      </w:pPr>
    </w:p>
    <w:p>
      <w:pPr>
        <w:spacing w:line="249" w:lineRule="auto" w:before="0"/>
        <w:ind w:left="1270" w:right="1268" w:firstLine="0"/>
        <w:jc w:val="both"/>
        <w:rPr>
          <w:sz w:val="19"/>
        </w:rPr>
      </w:pPr>
      <w:r>
        <w:rPr>
          <w:color w:val="231F20"/>
          <w:spacing w:val="-4"/>
          <w:sz w:val="19"/>
        </w:rPr>
        <w:t>Roy, </w:t>
      </w:r>
      <w:r>
        <w:rPr>
          <w:color w:val="231F20"/>
          <w:sz w:val="19"/>
        </w:rPr>
        <w:t>R. K and Sharma, R. </w:t>
      </w:r>
      <w:r>
        <w:rPr>
          <w:color w:val="231F20"/>
          <w:spacing w:val="-11"/>
          <w:sz w:val="19"/>
        </w:rPr>
        <w:t>P. </w:t>
      </w:r>
      <w:r>
        <w:rPr>
          <w:color w:val="231F20"/>
          <w:sz w:val="19"/>
        </w:rPr>
        <w:t>2006. Performance of Chikpea genotypes at varying plant population and fertility levels under lat-sown conditions. International Chickpea newsletter 14:19-20.</w:t>
      </w:r>
    </w:p>
    <w:p>
      <w:pPr>
        <w:pStyle w:val="BodyText"/>
        <w:spacing w:before="10"/>
        <w:rPr>
          <w:sz w:val="19"/>
        </w:rPr>
      </w:pPr>
    </w:p>
    <w:p>
      <w:pPr>
        <w:spacing w:line="249" w:lineRule="auto" w:before="0"/>
        <w:ind w:left="1270" w:right="1268" w:firstLine="0"/>
        <w:jc w:val="both"/>
        <w:rPr>
          <w:sz w:val="19"/>
        </w:rPr>
      </w:pPr>
      <w:r>
        <w:rPr>
          <w:color w:val="231F20"/>
          <w:sz w:val="19"/>
        </w:rPr>
        <w:t>SIAP. 2010. Avance de siembras y cosechas. Obtenido de la red: </w:t>
      </w:r>
      <w:hyperlink r:id="rId59">
        <w:r>
          <w:rPr>
            <w:color w:val="231F20"/>
            <w:sz w:val="19"/>
          </w:rPr>
          <w:t>http://www.siap.gob.mx/index.</w:t>
        </w:r>
      </w:hyperlink>
      <w:r>
        <w:rPr>
          <w:color w:val="231F20"/>
          <w:sz w:val="19"/>
        </w:rPr>
        <w:t> php?option=com_wrapper&amp;view=wrapper&amp;Itemid=350.</w:t>
      </w:r>
    </w:p>
    <w:p>
      <w:pPr>
        <w:pStyle w:val="BodyText"/>
        <w:spacing w:before="10"/>
        <w:rPr>
          <w:sz w:val="19"/>
        </w:rPr>
      </w:pPr>
    </w:p>
    <w:p>
      <w:pPr>
        <w:spacing w:line="249" w:lineRule="auto" w:before="0"/>
        <w:ind w:left="1270" w:right="1268" w:firstLine="0"/>
        <w:jc w:val="both"/>
        <w:rPr>
          <w:sz w:val="19"/>
        </w:rPr>
      </w:pPr>
      <w:r>
        <w:rPr>
          <w:color w:val="231F20"/>
          <w:sz w:val="19"/>
        </w:rPr>
        <w:t>Sotelo, D. L. 2007. Reporte Anual de Investigación e Innovación Tecnológica. Campo Experimental Centro - Altos de Jalisco Km. Tepatitlán – Lagos de Moreno. México 20:50-55.</w:t>
      </w:r>
    </w:p>
    <w:p>
      <w:pPr>
        <w:pStyle w:val="BodyText"/>
        <w:spacing w:before="10"/>
        <w:rPr>
          <w:sz w:val="19"/>
        </w:rPr>
      </w:pPr>
    </w:p>
    <w:p>
      <w:pPr>
        <w:spacing w:line="261" w:lineRule="auto" w:before="0"/>
        <w:ind w:left="1270" w:right="1268" w:firstLine="0"/>
        <w:jc w:val="both"/>
        <w:rPr>
          <w:sz w:val="19"/>
        </w:rPr>
      </w:pPr>
      <w:r>
        <w:rPr>
          <w:color w:val="231F20"/>
          <w:sz w:val="19"/>
        </w:rPr>
        <w:t>Villar, R., Ruiz, J., Quero, J., Poorter, H., Valladares F. y Marañón, T. 2004. Tasas de crecimiento en especies leñosas: aspectos funcionales e implicaciones ecológicas. pp. 191-227. En: Ecología del bosque mediterráneo en un mundo cambiante. Ministerio de Medio Ambiente; EGRAF, Madrid. 2: 3-7.</w:t>
      </w:r>
    </w:p>
    <w:p>
      <w:pPr>
        <w:spacing w:after="0" w:line="261" w:lineRule="auto"/>
        <w:jc w:val="both"/>
        <w:rPr>
          <w:sz w:val="19"/>
        </w:rPr>
        <w:sectPr>
          <w:pgSz w:w="10920" w:h="13080"/>
          <w:pgMar w:header="0" w:footer="1025" w:top="420" w:bottom="1220" w:left="0" w:right="0"/>
        </w:sectPr>
      </w:pPr>
    </w:p>
    <w:p>
      <w:pPr>
        <w:pStyle w:val="BodyText"/>
        <w:rPr>
          <w:sz w:val="20"/>
        </w:rPr>
      </w:pPr>
    </w:p>
    <w:p>
      <w:pPr>
        <w:pStyle w:val="BodyText"/>
        <w:rPr>
          <w:sz w:val="20"/>
        </w:rPr>
      </w:pPr>
    </w:p>
    <w:p>
      <w:pPr>
        <w:pStyle w:val="BodyText"/>
        <w:spacing w:before="6"/>
        <w:rPr>
          <w:sz w:val="23"/>
        </w:rPr>
      </w:pPr>
    </w:p>
    <w:p>
      <w:pPr>
        <w:spacing w:line="247" w:lineRule="auto" w:before="69"/>
        <w:ind w:left="2339" w:right="2337" w:firstLine="0"/>
        <w:jc w:val="center"/>
        <w:rPr>
          <w:rFonts w:ascii="Trebuchet MS" w:hAnsi="Trebuchet MS"/>
          <w:i/>
          <w:sz w:val="14"/>
        </w:rPr>
      </w:pPr>
      <w:r>
        <w:rPr>
          <w:rFonts w:ascii="Trebuchet MS" w:hAnsi="Trebuchet MS"/>
          <w:i/>
          <w:color w:val="010202"/>
          <w:spacing w:val="-3"/>
          <w:sz w:val="24"/>
        </w:rPr>
        <w:t>Kellys Nallith Salcedo Hurtado</w:t>
      </w:r>
      <w:r>
        <w:rPr>
          <w:rFonts w:ascii="Trebuchet MS" w:hAnsi="Trebuchet MS"/>
          <w:i/>
          <w:color w:val="010202"/>
          <w:spacing w:val="-3"/>
          <w:position w:val="8"/>
          <w:sz w:val="14"/>
        </w:rPr>
        <w:t>1</w:t>
      </w:r>
      <w:r>
        <w:rPr>
          <w:rFonts w:ascii="Trebuchet MS" w:hAnsi="Trebuchet MS"/>
          <w:i/>
          <w:color w:val="010202"/>
          <w:spacing w:val="-3"/>
          <w:sz w:val="24"/>
        </w:rPr>
        <w:t>; Ranferi Maldonado </w:t>
      </w:r>
      <w:r>
        <w:rPr>
          <w:rFonts w:ascii="Trebuchet MS" w:hAnsi="Trebuchet MS"/>
          <w:i/>
          <w:color w:val="010202"/>
          <w:spacing w:val="-7"/>
          <w:sz w:val="24"/>
        </w:rPr>
        <w:t>Torres</w:t>
      </w:r>
      <w:r>
        <w:rPr>
          <w:rFonts w:ascii="Trebuchet MS" w:hAnsi="Trebuchet MS"/>
          <w:i/>
          <w:color w:val="010202"/>
          <w:spacing w:val="-7"/>
          <w:position w:val="8"/>
          <w:sz w:val="14"/>
        </w:rPr>
        <w:t>2 </w:t>
      </w:r>
      <w:r>
        <w:rPr>
          <w:rFonts w:ascii="Trebuchet MS" w:hAnsi="Trebuchet MS"/>
          <w:i/>
          <w:color w:val="010202"/>
          <w:sz w:val="24"/>
        </w:rPr>
        <w:t>y </w:t>
      </w:r>
      <w:r>
        <w:rPr>
          <w:rFonts w:ascii="Trebuchet MS" w:hAnsi="Trebuchet MS"/>
          <w:i/>
          <w:color w:val="010202"/>
          <w:spacing w:val="-3"/>
          <w:sz w:val="24"/>
        </w:rPr>
        <w:t>María Edna Álvarez Sánchez</w:t>
      </w:r>
      <w:r>
        <w:rPr>
          <w:rFonts w:ascii="Trebuchet MS" w:hAnsi="Trebuchet MS"/>
          <w:i/>
          <w:color w:val="010202"/>
          <w:spacing w:val="-3"/>
          <w:position w:val="8"/>
          <w:sz w:val="14"/>
        </w:rPr>
        <w:t>2</w:t>
      </w: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Heading1"/>
        <w:spacing w:line="247" w:lineRule="auto" w:before="213"/>
        <w:ind w:left="1735" w:right="1746"/>
      </w:pPr>
      <w:bookmarkStart w:name="_TOC_250006" w:id="5"/>
      <w:r>
        <w:rPr>
          <w:color w:val="010202"/>
          <w:spacing w:val="-10"/>
        </w:rPr>
        <w:t>DIAGNÓSTICO NUTRICIONAL </w:t>
      </w:r>
      <w:r>
        <w:rPr>
          <w:color w:val="010202"/>
          <w:spacing w:val="-6"/>
        </w:rPr>
        <w:t>DE</w:t>
      </w:r>
      <w:r>
        <w:rPr>
          <w:color w:val="010202"/>
          <w:spacing w:val="-58"/>
        </w:rPr>
        <w:t> </w:t>
      </w:r>
      <w:r>
        <w:rPr>
          <w:color w:val="010202"/>
          <w:spacing w:val="-14"/>
        </w:rPr>
        <w:t>PLANTACIONES </w:t>
      </w:r>
      <w:r>
        <w:rPr>
          <w:color w:val="010202"/>
          <w:spacing w:val="-6"/>
        </w:rPr>
        <w:t>DE </w:t>
      </w:r>
      <w:r>
        <w:rPr>
          <w:i/>
          <w:color w:val="010202"/>
          <w:spacing w:val="-10"/>
        </w:rPr>
        <w:t>Eucalipto </w:t>
      </w:r>
      <w:r>
        <w:rPr>
          <w:color w:val="010202"/>
          <w:spacing w:val="-8"/>
        </w:rPr>
        <w:t>sp. </w:t>
      </w:r>
      <w:r>
        <w:rPr>
          <w:color w:val="010202"/>
          <w:spacing w:val="-11"/>
        </w:rPr>
        <w:t>DESARROLLADOS </w:t>
      </w:r>
      <w:r>
        <w:rPr>
          <w:color w:val="010202"/>
          <w:spacing w:val="-6"/>
        </w:rPr>
        <w:t>EN </w:t>
      </w:r>
      <w:r>
        <w:rPr>
          <w:color w:val="010202"/>
          <w:spacing w:val="-11"/>
        </w:rPr>
        <w:t>SUELOS </w:t>
      </w:r>
      <w:r>
        <w:rPr>
          <w:color w:val="010202"/>
          <w:spacing w:val="-10"/>
        </w:rPr>
        <w:t>ÁCIDOS </w:t>
      </w:r>
      <w:r>
        <w:rPr>
          <w:color w:val="010202"/>
          <w:spacing w:val="-8"/>
        </w:rPr>
        <w:t>CON </w:t>
      </w:r>
      <w:r>
        <w:rPr>
          <w:color w:val="010202"/>
          <w:spacing w:val="-10"/>
        </w:rPr>
        <w:t>MANEJO </w:t>
      </w:r>
      <w:bookmarkEnd w:id="5"/>
      <w:r>
        <w:rPr>
          <w:color w:val="010202"/>
          <w:spacing w:val="-17"/>
        </w:rPr>
        <w:t>SILVOPASTORIL</w:t>
      </w:r>
    </w:p>
    <w:p>
      <w:pPr>
        <w:pStyle w:val="BodyText"/>
        <w:rPr>
          <w:rFonts w:ascii="Trebuchet MS"/>
          <w:b/>
          <w:sz w:val="36"/>
        </w:rPr>
      </w:pPr>
    </w:p>
    <w:p>
      <w:pPr>
        <w:pStyle w:val="BodyText"/>
        <w:rPr>
          <w:rFonts w:ascii="Trebuchet MS"/>
          <w:b/>
          <w:sz w:val="36"/>
        </w:rPr>
      </w:pPr>
    </w:p>
    <w:p>
      <w:pPr>
        <w:pStyle w:val="BodyText"/>
        <w:spacing w:before="2"/>
        <w:rPr>
          <w:rFonts w:ascii="Trebuchet MS"/>
          <w:b/>
          <w:sz w:val="33"/>
        </w:rPr>
      </w:pPr>
    </w:p>
    <w:p>
      <w:pPr>
        <w:spacing w:before="0"/>
        <w:ind w:left="1270" w:right="0" w:firstLine="0"/>
        <w:jc w:val="both"/>
        <w:rPr>
          <w:b/>
          <w:sz w:val="24"/>
        </w:rPr>
      </w:pPr>
      <w:r>
        <w:rPr>
          <w:b/>
          <w:color w:val="010202"/>
          <w:sz w:val="24"/>
        </w:rPr>
        <w:t>Introducción</w:t>
      </w:r>
    </w:p>
    <w:p>
      <w:pPr>
        <w:pStyle w:val="BodyText"/>
        <w:spacing w:before="10"/>
        <w:rPr>
          <w:b/>
        </w:rPr>
      </w:pPr>
    </w:p>
    <w:p>
      <w:pPr>
        <w:pStyle w:val="BodyText"/>
        <w:spacing w:line="247" w:lineRule="auto"/>
        <w:ind w:left="1270" w:right="1267"/>
        <w:jc w:val="both"/>
      </w:pPr>
      <w:r>
        <w:rPr>
          <w:color w:val="231F20"/>
        </w:rPr>
        <w:t>México</w:t>
      </w:r>
      <w:r>
        <w:rPr>
          <w:color w:val="231F20"/>
          <w:spacing w:val="-3"/>
        </w:rPr>
        <w:t> </w:t>
      </w:r>
      <w:r>
        <w:rPr>
          <w:color w:val="231F20"/>
        </w:rPr>
        <w:t>cuenta</w:t>
      </w:r>
      <w:r>
        <w:rPr>
          <w:color w:val="231F20"/>
          <w:spacing w:val="-4"/>
        </w:rPr>
        <w:t> </w:t>
      </w:r>
      <w:r>
        <w:rPr>
          <w:color w:val="231F20"/>
        </w:rPr>
        <w:t>con</w:t>
      </w:r>
      <w:r>
        <w:rPr>
          <w:color w:val="231F20"/>
          <w:spacing w:val="-4"/>
        </w:rPr>
        <w:t> </w:t>
      </w:r>
      <w:r>
        <w:rPr>
          <w:color w:val="231F20"/>
        </w:rPr>
        <w:t>22</w:t>
      </w:r>
      <w:r>
        <w:rPr>
          <w:color w:val="231F20"/>
          <w:spacing w:val="-4"/>
        </w:rPr>
        <w:t> </w:t>
      </w:r>
      <w:r>
        <w:rPr>
          <w:color w:val="231F20"/>
        </w:rPr>
        <w:t>millones</w:t>
      </w:r>
      <w:r>
        <w:rPr>
          <w:color w:val="231F20"/>
          <w:spacing w:val="-4"/>
        </w:rPr>
        <w:t> </w:t>
      </w:r>
      <w:r>
        <w:rPr>
          <w:color w:val="231F20"/>
        </w:rPr>
        <w:t>de</w:t>
      </w:r>
      <w:r>
        <w:rPr>
          <w:color w:val="231F20"/>
          <w:spacing w:val="-4"/>
        </w:rPr>
        <w:t> </w:t>
      </w:r>
      <w:r>
        <w:rPr>
          <w:color w:val="231F20"/>
        </w:rPr>
        <w:t>hectáreas</w:t>
      </w:r>
      <w:r>
        <w:rPr>
          <w:color w:val="231F20"/>
          <w:spacing w:val="-4"/>
        </w:rPr>
        <w:t> </w:t>
      </w:r>
      <w:r>
        <w:rPr>
          <w:color w:val="231F20"/>
        </w:rPr>
        <w:t>aptas</w:t>
      </w:r>
      <w:r>
        <w:rPr>
          <w:color w:val="231F20"/>
          <w:spacing w:val="-4"/>
        </w:rPr>
        <w:t> </w:t>
      </w:r>
      <w:r>
        <w:rPr>
          <w:color w:val="231F20"/>
        </w:rPr>
        <w:t>para</w:t>
      </w:r>
      <w:r>
        <w:rPr>
          <w:color w:val="231F20"/>
          <w:spacing w:val="-4"/>
        </w:rPr>
        <w:t> </w:t>
      </w:r>
      <w:r>
        <w:rPr>
          <w:color w:val="231F20"/>
        </w:rPr>
        <w:t>el</w:t>
      </w:r>
      <w:r>
        <w:rPr>
          <w:color w:val="231F20"/>
          <w:spacing w:val="-4"/>
        </w:rPr>
        <w:t> </w:t>
      </w:r>
      <w:r>
        <w:rPr>
          <w:color w:val="231F20"/>
        </w:rPr>
        <w:t>cultivo</w:t>
      </w:r>
      <w:r>
        <w:rPr>
          <w:color w:val="231F20"/>
          <w:spacing w:val="-4"/>
        </w:rPr>
        <w:t> </w:t>
      </w:r>
      <w:r>
        <w:rPr>
          <w:color w:val="231F20"/>
        </w:rPr>
        <w:t>comercial</w:t>
      </w:r>
      <w:r>
        <w:rPr>
          <w:color w:val="231F20"/>
          <w:spacing w:val="-4"/>
        </w:rPr>
        <w:t> </w:t>
      </w:r>
      <w:r>
        <w:rPr>
          <w:color w:val="231F20"/>
        </w:rPr>
        <w:t>de</w:t>
      </w:r>
      <w:r>
        <w:rPr>
          <w:color w:val="231F20"/>
          <w:spacing w:val="-4"/>
        </w:rPr>
        <w:t> </w:t>
      </w:r>
      <w:r>
        <w:rPr>
          <w:color w:val="231F20"/>
        </w:rPr>
        <w:t>eucalipto,</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cua- les 13.9 millones de hectáreas se han definido como prioritarias por contar con suelos de calidad y climas</w:t>
      </w:r>
      <w:r>
        <w:rPr>
          <w:color w:val="231F20"/>
          <w:spacing w:val="-8"/>
        </w:rPr>
        <w:t> </w:t>
      </w:r>
      <w:r>
        <w:rPr>
          <w:color w:val="231F20"/>
        </w:rPr>
        <w:t>favorables</w:t>
      </w:r>
      <w:r>
        <w:rPr>
          <w:color w:val="231F20"/>
          <w:spacing w:val="-8"/>
        </w:rPr>
        <w:t> </w:t>
      </w:r>
      <w:r>
        <w:rPr>
          <w:color w:val="231F20"/>
        </w:rPr>
        <w:t>para</w:t>
      </w:r>
      <w:r>
        <w:rPr>
          <w:color w:val="231F20"/>
          <w:spacing w:val="-8"/>
        </w:rPr>
        <w:t> </w:t>
      </w:r>
      <w:r>
        <w:rPr>
          <w:color w:val="231F20"/>
        </w:rPr>
        <w:t>obtener</w:t>
      </w:r>
      <w:r>
        <w:rPr>
          <w:color w:val="231F20"/>
          <w:spacing w:val="-8"/>
        </w:rPr>
        <w:t> </w:t>
      </w:r>
      <w:r>
        <w:rPr>
          <w:color w:val="231F20"/>
        </w:rPr>
        <w:t>un</w:t>
      </w:r>
      <w:r>
        <w:rPr>
          <w:color w:val="231F20"/>
          <w:spacing w:val="-8"/>
        </w:rPr>
        <w:t> </w:t>
      </w:r>
      <w:r>
        <w:rPr>
          <w:color w:val="231F20"/>
        </w:rPr>
        <w:t>crecimiento</w:t>
      </w:r>
      <w:r>
        <w:rPr>
          <w:color w:val="231F20"/>
          <w:spacing w:val="-9"/>
        </w:rPr>
        <w:t> </w:t>
      </w:r>
      <w:r>
        <w:rPr>
          <w:color w:val="231F20"/>
        </w:rPr>
        <w:t>rápido,</w:t>
      </w:r>
      <w:r>
        <w:rPr>
          <w:color w:val="231F20"/>
          <w:spacing w:val="-8"/>
        </w:rPr>
        <w:t> </w:t>
      </w:r>
      <w:r>
        <w:rPr>
          <w:color w:val="231F20"/>
        </w:rPr>
        <w:t>mano</w:t>
      </w:r>
      <w:r>
        <w:rPr>
          <w:color w:val="231F20"/>
          <w:spacing w:val="-8"/>
        </w:rPr>
        <w:t> </w:t>
      </w:r>
      <w:r>
        <w:rPr>
          <w:color w:val="231F20"/>
        </w:rPr>
        <w:t>de</w:t>
      </w:r>
      <w:r>
        <w:rPr>
          <w:color w:val="231F20"/>
          <w:spacing w:val="-8"/>
        </w:rPr>
        <w:t> </w:t>
      </w:r>
      <w:r>
        <w:rPr>
          <w:color w:val="231F20"/>
        </w:rPr>
        <w:t>obra</w:t>
      </w:r>
      <w:r>
        <w:rPr>
          <w:color w:val="231F20"/>
          <w:spacing w:val="-8"/>
        </w:rPr>
        <w:t> </w:t>
      </w:r>
      <w:r>
        <w:rPr>
          <w:color w:val="231F20"/>
        </w:rPr>
        <w:t>disponible</w:t>
      </w:r>
      <w:r>
        <w:rPr>
          <w:color w:val="231F20"/>
          <w:spacing w:val="-8"/>
        </w:rPr>
        <w:t> </w:t>
      </w:r>
      <w:r>
        <w:rPr>
          <w:color w:val="231F20"/>
        </w:rPr>
        <w:t>y</w:t>
      </w:r>
      <w:r>
        <w:rPr>
          <w:color w:val="231F20"/>
          <w:spacing w:val="-8"/>
        </w:rPr>
        <w:t> </w:t>
      </w:r>
      <w:r>
        <w:rPr>
          <w:color w:val="231F20"/>
        </w:rPr>
        <w:t>un</w:t>
      </w:r>
      <w:r>
        <w:rPr>
          <w:color w:val="231F20"/>
          <w:spacing w:val="-8"/>
        </w:rPr>
        <w:t> </w:t>
      </w:r>
      <w:r>
        <w:rPr>
          <w:color w:val="231F20"/>
        </w:rPr>
        <w:t>mercado</w:t>
      </w:r>
      <w:r>
        <w:rPr>
          <w:color w:val="231F20"/>
          <w:spacing w:val="-8"/>
        </w:rPr>
        <w:t> </w:t>
      </w:r>
      <w:r>
        <w:rPr>
          <w:color w:val="231F20"/>
        </w:rPr>
        <w:t>interno que demanda más materias primas forestales cada día. Sin embargo, en México solo existen 34 mil ha</w:t>
      </w:r>
      <w:r>
        <w:rPr>
          <w:color w:val="231F20"/>
          <w:spacing w:val="-9"/>
        </w:rPr>
        <w:t> </w:t>
      </w:r>
      <w:r>
        <w:rPr>
          <w:color w:val="231F20"/>
        </w:rPr>
        <w:t>de</w:t>
      </w:r>
      <w:r>
        <w:rPr>
          <w:color w:val="231F20"/>
          <w:spacing w:val="-9"/>
        </w:rPr>
        <w:t> </w:t>
      </w:r>
      <w:r>
        <w:rPr>
          <w:color w:val="231F20"/>
        </w:rPr>
        <w:t>plantaciones</w:t>
      </w:r>
      <w:r>
        <w:rPr>
          <w:color w:val="231F20"/>
          <w:spacing w:val="-9"/>
        </w:rPr>
        <w:t> </w:t>
      </w:r>
      <w:r>
        <w:rPr>
          <w:color w:val="231F20"/>
        </w:rPr>
        <w:t>comerciales</w:t>
      </w:r>
      <w:r>
        <w:rPr>
          <w:color w:val="231F20"/>
          <w:spacing w:val="-9"/>
        </w:rPr>
        <w:t> </w:t>
      </w:r>
      <w:r>
        <w:rPr>
          <w:color w:val="231F20"/>
        </w:rPr>
        <w:t>de</w:t>
      </w:r>
      <w:r>
        <w:rPr>
          <w:color w:val="231F20"/>
          <w:spacing w:val="-9"/>
        </w:rPr>
        <w:t> </w:t>
      </w:r>
      <w:r>
        <w:rPr>
          <w:color w:val="231F20"/>
        </w:rPr>
        <w:t>eucalipto,</w:t>
      </w:r>
      <w:r>
        <w:rPr>
          <w:color w:val="231F20"/>
          <w:spacing w:val="35"/>
        </w:rPr>
        <w:t> </w:t>
      </w:r>
      <w:r>
        <w:rPr>
          <w:color w:val="231F20"/>
        </w:rPr>
        <w:t>considerada</w:t>
      </w:r>
      <w:r>
        <w:rPr>
          <w:color w:val="231F20"/>
          <w:spacing w:val="-9"/>
        </w:rPr>
        <w:t> </w:t>
      </w:r>
      <w:r>
        <w:rPr>
          <w:color w:val="231F20"/>
        </w:rPr>
        <w:t>como</w:t>
      </w:r>
      <w:r>
        <w:rPr>
          <w:color w:val="231F20"/>
          <w:spacing w:val="-9"/>
        </w:rPr>
        <w:t> </w:t>
      </w:r>
      <w:r>
        <w:rPr>
          <w:color w:val="231F20"/>
        </w:rPr>
        <w:t>una</w:t>
      </w:r>
      <w:r>
        <w:rPr>
          <w:color w:val="231F20"/>
          <w:spacing w:val="-9"/>
        </w:rPr>
        <w:t> </w:t>
      </w:r>
      <w:r>
        <w:rPr>
          <w:color w:val="231F20"/>
        </w:rPr>
        <w:t>superficie</w:t>
      </w:r>
      <w:r>
        <w:rPr>
          <w:color w:val="231F20"/>
          <w:spacing w:val="-9"/>
        </w:rPr>
        <w:t> </w:t>
      </w:r>
      <w:r>
        <w:rPr>
          <w:color w:val="231F20"/>
        </w:rPr>
        <w:t>pequeña.</w:t>
      </w:r>
      <w:r>
        <w:rPr>
          <w:color w:val="231F20"/>
          <w:spacing w:val="-9"/>
        </w:rPr>
        <w:t> </w:t>
      </w:r>
      <w:r>
        <w:rPr>
          <w:color w:val="231F20"/>
        </w:rPr>
        <w:t>Esta</w:t>
      </w:r>
      <w:r>
        <w:rPr>
          <w:color w:val="231F20"/>
          <w:spacing w:val="-9"/>
        </w:rPr>
        <w:t> </w:t>
      </w:r>
      <w:r>
        <w:rPr>
          <w:color w:val="231F20"/>
        </w:rPr>
        <w:t>especie representa el 39% de las plantaciones comerciales establecidas en el territorio nacional, siendo el principal</w:t>
      </w:r>
      <w:r>
        <w:rPr>
          <w:color w:val="231F20"/>
          <w:spacing w:val="-12"/>
        </w:rPr>
        <w:t> </w:t>
      </w:r>
      <w:r>
        <w:rPr>
          <w:color w:val="231F20"/>
        </w:rPr>
        <w:t>exponente</w:t>
      </w:r>
      <w:r>
        <w:rPr>
          <w:color w:val="231F20"/>
          <w:spacing w:val="-12"/>
        </w:rPr>
        <w:t> </w:t>
      </w:r>
      <w:r>
        <w:rPr>
          <w:color w:val="231F20"/>
        </w:rPr>
        <w:t>el</w:t>
      </w:r>
      <w:r>
        <w:rPr>
          <w:color w:val="231F20"/>
          <w:spacing w:val="-12"/>
        </w:rPr>
        <w:t> </w:t>
      </w:r>
      <w:r>
        <w:rPr>
          <w:i/>
          <w:color w:val="231F20"/>
        </w:rPr>
        <w:t>Eucalyptus</w:t>
      </w:r>
      <w:r>
        <w:rPr>
          <w:i/>
          <w:color w:val="231F20"/>
          <w:spacing w:val="-12"/>
        </w:rPr>
        <w:t> </w:t>
      </w:r>
      <w:r>
        <w:rPr>
          <w:i/>
          <w:color w:val="231F20"/>
        </w:rPr>
        <w:t>Urophylla</w:t>
      </w:r>
      <w:r>
        <w:rPr>
          <w:i/>
          <w:color w:val="231F20"/>
          <w:spacing w:val="-12"/>
        </w:rPr>
        <w:t> </w:t>
      </w:r>
      <w:r>
        <w:rPr>
          <w:i/>
          <w:color w:val="231F20"/>
          <w:spacing w:val="-4"/>
        </w:rPr>
        <w:t>S.T.</w:t>
      </w:r>
      <w:r>
        <w:rPr>
          <w:i/>
          <w:color w:val="231F20"/>
          <w:spacing w:val="-12"/>
        </w:rPr>
        <w:t> </w:t>
      </w:r>
      <w:r>
        <w:rPr>
          <w:i/>
          <w:color w:val="231F20"/>
        </w:rPr>
        <w:t>Blake</w:t>
      </w:r>
      <w:r>
        <w:rPr>
          <w:i/>
          <w:color w:val="231F20"/>
          <w:spacing w:val="-12"/>
        </w:rPr>
        <w:t> </w:t>
      </w:r>
      <w:r>
        <w:rPr>
          <w:color w:val="231F20"/>
        </w:rPr>
        <w:t>y</w:t>
      </w:r>
      <w:r>
        <w:rPr>
          <w:color w:val="231F20"/>
          <w:spacing w:val="-12"/>
        </w:rPr>
        <w:t> </w:t>
      </w:r>
      <w:r>
        <w:rPr>
          <w:i/>
          <w:color w:val="231F20"/>
        </w:rPr>
        <w:t>Eucalyptus</w:t>
      </w:r>
      <w:r>
        <w:rPr>
          <w:i/>
          <w:color w:val="231F20"/>
          <w:spacing w:val="-12"/>
        </w:rPr>
        <w:t> </w:t>
      </w:r>
      <w:r>
        <w:rPr>
          <w:i/>
          <w:color w:val="231F20"/>
        </w:rPr>
        <w:t>grandis</w:t>
      </w:r>
      <w:r>
        <w:rPr>
          <w:i/>
          <w:color w:val="231F20"/>
          <w:spacing w:val="-12"/>
        </w:rPr>
        <w:t> </w:t>
      </w:r>
      <w:r>
        <w:rPr>
          <w:i/>
          <w:color w:val="231F20"/>
        </w:rPr>
        <w:t>Hill</w:t>
      </w:r>
      <w:r>
        <w:rPr>
          <w:i/>
          <w:color w:val="231F20"/>
          <w:spacing w:val="-12"/>
        </w:rPr>
        <w:t> </w:t>
      </w:r>
      <w:r>
        <w:rPr>
          <w:i/>
          <w:color w:val="231F20"/>
        </w:rPr>
        <w:t>ex</w:t>
      </w:r>
      <w:r>
        <w:rPr>
          <w:i/>
          <w:color w:val="231F20"/>
          <w:spacing w:val="-12"/>
        </w:rPr>
        <w:t> </w:t>
      </w:r>
      <w:r>
        <w:rPr>
          <w:i/>
          <w:color w:val="231F20"/>
        </w:rPr>
        <w:t>Maiden</w:t>
      </w:r>
      <w:r>
        <w:rPr>
          <w:color w:val="231F20"/>
        </w:rPr>
        <w:t>,</w:t>
      </w:r>
      <w:r>
        <w:rPr>
          <w:color w:val="231F20"/>
          <w:spacing w:val="-12"/>
        </w:rPr>
        <w:t> </w:t>
      </w:r>
      <w:r>
        <w:rPr>
          <w:color w:val="231F20"/>
        </w:rPr>
        <w:t>por</w:t>
      </w:r>
      <w:r>
        <w:rPr>
          <w:color w:val="231F20"/>
          <w:spacing w:val="-12"/>
        </w:rPr>
        <w:t> </w:t>
      </w:r>
      <w:r>
        <w:rPr>
          <w:color w:val="231F20"/>
        </w:rPr>
        <w:t>sus características especificas de crecimiento y adaptabilidad a condiciones de suelos degradados (Sosa y</w:t>
      </w:r>
      <w:r>
        <w:rPr>
          <w:color w:val="231F20"/>
          <w:spacing w:val="-6"/>
        </w:rPr>
        <w:t> </w:t>
      </w:r>
      <w:r>
        <w:rPr>
          <w:color w:val="231F20"/>
        </w:rPr>
        <w:t>Fierros,</w:t>
      </w:r>
      <w:r>
        <w:rPr>
          <w:color w:val="231F20"/>
          <w:spacing w:val="-6"/>
        </w:rPr>
        <w:t> </w:t>
      </w:r>
      <w:r>
        <w:rPr>
          <w:color w:val="231F20"/>
        </w:rPr>
        <w:t>2001;</w:t>
      </w:r>
      <w:r>
        <w:rPr>
          <w:color w:val="231F20"/>
          <w:spacing w:val="-6"/>
        </w:rPr>
        <w:t> </w:t>
      </w:r>
      <w:r>
        <w:rPr>
          <w:color w:val="231F20"/>
          <w:spacing w:val="-3"/>
        </w:rPr>
        <w:t>SEMARNAP,</w:t>
      </w:r>
      <w:r>
        <w:rPr>
          <w:color w:val="231F20"/>
          <w:spacing w:val="-6"/>
        </w:rPr>
        <w:t> </w:t>
      </w:r>
      <w:r>
        <w:rPr>
          <w:color w:val="231F20"/>
        </w:rPr>
        <w:t>2003).</w:t>
      </w:r>
      <w:r>
        <w:rPr>
          <w:color w:val="231F20"/>
          <w:spacing w:val="-6"/>
        </w:rPr>
        <w:t> </w:t>
      </w:r>
      <w:r>
        <w:rPr>
          <w:color w:val="231F20"/>
        </w:rPr>
        <w:t>El</w:t>
      </w:r>
      <w:r>
        <w:rPr>
          <w:color w:val="231F20"/>
          <w:spacing w:val="-6"/>
        </w:rPr>
        <w:t> </w:t>
      </w:r>
      <w:r>
        <w:rPr>
          <w:color w:val="231F20"/>
        </w:rPr>
        <w:t>uso</w:t>
      </w:r>
      <w:r>
        <w:rPr>
          <w:color w:val="231F20"/>
          <w:spacing w:val="-6"/>
        </w:rPr>
        <w:t> </w:t>
      </w:r>
      <w:r>
        <w:rPr>
          <w:color w:val="231F20"/>
        </w:rPr>
        <w:t>principal</w:t>
      </w:r>
      <w:r>
        <w:rPr>
          <w:color w:val="231F20"/>
          <w:spacing w:val="-7"/>
        </w:rPr>
        <w:t> </w:t>
      </w:r>
      <w:r>
        <w:rPr>
          <w:color w:val="231F20"/>
        </w:rPr>
        <w:t>de</w:t>
      </w:r>
      <w:r>
        <w:rPr>
          <w:color w:val="231F20"/>
          <w:spacing w:val="-6"/>
        </w:rPr>
        <w:t> </w:t>
      </w:r>
      <w:r>
        <w:rPr>
          <w:color w:val="231F20"/>
        </w:rPr>
        <w:t>esta</w:t>
      </w:r>
      <w:r>
        <w:rPr>
          <w:color w:val="231F20"/>
          <w:spacing w:val="-6"/>
        </w:rPr>
        <w:t> </w:t>
      </w:r>
      <w:r>
        <w:rPr>
          <w:color w:val="231F20"/>
        </w:rPr>
        <w:t>madera</w:t>
      </w:r>
      <w:r>
        <w:rPr>
          <w:color w:val="231F20"/>
          <w:spacing w:val="-7"/>
        </w:rPr>
        <w:t> </w:t>
      </w:r>
      <w:r>
        <w:rPr>
          <w:color w:val="231F20"/>
        </w:rPr>
        <w:t>es</w:t>
      </w:r>
      <w:r>
        <w:rPr>
          <w:color w:val="231F20"/>
          <w:spacing w:val="-6"/>
        </w:rPr>
        <w:t> </w:t>
      </w:r>
      <w:r>
        <w:rPr>
          <w:color w:val="231F20"/>
        </w:rPr>
        <w:t>para</w:t>
      </w:r>
      <w:r>
        <w:rPr>
          <w:color w:val="231F20"/>
          <w:spacing w:val="-6"/>
        </w:rPr>
        <w:t> </w:t>
      </w:r>
      <w:r>
        <w:rPr>
          <w:color w:val="231F20"/>
        </w:rPr>
        <w:t>producción</w:t>
      </w:r>
      <w:r>
        <w:rPr>
          <w:color w:val="231F20"/>
          <w:spacing w:val="-7"/>
        </w:rPr>
        <w:t> </w:t>
      </w:r>
      <w:r>
        <w:rPr>
          <w:color w:val="231F20"/>
        </w:rPr>
        <w:t>de</w:t>
      </w:r>
      <w:r>
        <w:rPr>
          <w:color w:val="231F20"/>
          <w:spacing w:val="-6"/>
        </w:rPr>
        <w:t> </w:t>
      </w:r>
      <w:r>
        <w:rPr>
          <w:color w:val="231F20"/>
        </w:rPr>
        <w:t>celulosa (63%) y madera para aserrío (33%).</w:t>
      </w:r>
    </w:p>
    <w:p>
      <w:pPr>
        <w:pStyle w:val="BodyText"/>
        <w:spacing w:before="10"/>
      </w:pPr>
    </w:p>
    <w:p>
      <w:pPr>
        <w:pStyle w:val="BodyText"/>
        <w:spacing w:line="247" w:lineRule="auto"/>
        <w:ind w:left="1270" w:right="1267"/>
        <w:jc w:val="both"/>
      </w:pPr>
      <w:r>
        <w:rPr>
          <w:color w:val="231F20"/>
        </w:rPr>
        <w:t>A </w:t>
      </w:r>
      <w:r>
        <w:rPr>
          <w:color w:val="231F20"/>
          <w:spacing w:val="-3"/>
        </w:rPr>
        <w:t>pesar </w:t>
      </w:r>
      <w:r>
        <w:rPr>
          <w:color w:val="231F20"/>
        </w:rPr>
        <w:t>de que </w:t>
      </w:r>
      <w:r>
        <w:rPr>
          <w:color w:val="231F20"/>
          <w:spacing w:val="-3"/>
        </w:rPr>
        <w:t>esta especie tiene muchos usos </w:t>
      </w:r>
      <w:r>
        <w:rPr>
          <w:color w:val="231F20"/>
        </w:rPr>
        <w:t>e </w:t>
      </w:r>
      <w:r>
        <w:rPr>
          <w:color w:val="231F20"/>
          <w:spacing w:val="-3"/>
        </w:rPr>
        <w:t>importancia industrial, </w:t>
      </w:r>
      <w:r>
        <w:rPr>
          <w:color w:val="231F20"/>
        </w:rPr>
        <w:t>las </w:t>
      </w:r>
      <w:r>
        <w:rPr>
          <w:color w:val="231F20"/>
          <w:spacing w:val="-3"/>
        </w:rPr>
        <w:t>técnicas </w:t>
      </w:r>
      <w:r>
        <w:rPr>
          <w:color w:val="231F20"/>
        </w:rPr>
        <w:t>de </w:t>
      </w:r>
      <w:r>
        <w:rPr>
          <w:color w:val="231F20"/>
          <w:spacing w:val="-3"/>
        </w:rPr>
        <w:t>cultivo </w:t>
      </w:r>
      <w:r>
        <w:rPr>
          <w:color w:val="231F20"/>
        </w:rPr>
        <w:t>son </w:t>
      </w:r>
      <w:r>
        <w:rPr>
          <w:color w:val="231F20"/>
          <w:spacing w:val="-3"/>
        </w:rPr>
        <w:t>tra- dicionales,</w:t>
      </w:r>
      <w:r>
        <w:rPr>
          <w:color w:val="231F20"/>
          <w:spacing w:val="-14"/>
        </w:rPr>
        <w:t> </w:t>
      </w:r>
      <w:r>
        <w:rPr>
          <w:color w:val="231F20"/>
          <w:spacing w:val="-3"/>
        </w:rPr>
        <w:t>siendo</w:t>
      </w:r>
      <w:r>
        <w:rPr>
          <w:color w:val="231F20"/>
          <w:spacing w:val="-14"/>
        </w:rPr>
        <w:t> </w:t>
      </w:r>
      <w:r>
        <w:rPr>
          <w:color w:val="231F20"/>
          <w:spacing w:val="-3"/>
        </w:rPr>
        <w:t>necesario</w:t>
      </w:r>
      <w:r>
        <w:rPr>
          <w:color w:val="231F20"/>
          <w:spacing w:val="-14"/>
        </w:rPr>
        <w:t> </w:t>
      </w:r>
      <w:r>
        <w:rPr>
          <w:color w:val="231F20"/>
          <w:spacing w:val="-3"/>
        </w:rPr>
        <w:t>realizar</w:t>
      </w:r>
      <w:r>
        <w:rPr>
          <w:color w:val="231F20"/>
          <w:spacing w:val="-14"/>
        </w:rPr>
        <w:t> </w:t>
      </w:r>
      <w:r>
        <w:rPr>
          <w:color w:val="231F20"/>
          <w:spacing w:val="-3"/>
        </w:rPr>
        <w:t>investigación</w:t>
      </w:r>
      <w:r>
        <w:rPr>
          <w:color w:val="231F20"/>
          <w:spacing w:val="-14"/>
        </w:rPr>
        <w:t> </w:t>
      </w:r>
      <w:r>
        <w:rPr>
          <w:color w:val="231F20"/>
          <w:spacing w:val="-3"/>
        </w:rPr>
        <w:t>científica</w:t>
      </w:r>
      <w:r>
        <w:rPr>
          <w:color w:val="231F20"/>
          <w:spacing w:val="-14"/>
        </w:rPr>
        <w:t> </w:t>
      </w:r>
      <w:r>
        <w:rPr>
          <w:color w:val="231F20"/>
          <w:spacing w:val="-3"/>
        </w:rPr>
        <w:t>sobre</w:t>
      </w:r>
      <w:r>
        <w:rPr>
          <w:color w:val="231F20"/>
          <w:spacing w:val="-14"/>
        </w:rPr>
        <w:t> </w:t>
      </w:r>
      <w:r>
        <w:rPr>
          <w:color w:val="231F20"/>
        </w:rPr>
        <w:t>la</w:t>
      </w:r>
      <w:r>
        <w:rPr>
          <w:color w:val="231F20"/>
          <w:spacing w:val="-14"/>
        </w:rPr>
        <w:t> </w:t>
      </w:r>
      <w:r>
        <w:rPr>
          <w:color w:val="231F20"/>
          <w:spacing w:val="-3"/>
        </w:rPr>
        <w:t>preparación</w:t>
      </w:r>
      <w:r>
        <w:rPr>
          <w:color w:val="231F20"/>
          <w:spacing w:val="-14"/>
        </w:rPr>
        <w:t> </w:t>
      </w:r>
      <w:r>
        <w:rPr>
          <w:color w:val="231F20"/>
        </w:rPr>
        <w:t>del</w:t>
      </w:r>
      <w:r>
        <w:rPr>
          <w:color w:val="231F20"/>
          <w:spacing w:val="-14"/>
        </w:rPr>
        <w:t> </w:t>
      </w:r>
      <w:r>
        <w:rPr>
          <w:color w:val="231F20"/>
          <w:spacing w:val="-3"/>
        </w:rPr>
        <w:t>terreno,</w:t>
      </w:r>
      <w:r>
        <w:rPr>
          <w:color w:val="231F20"/>
          <w:spacing w:val="-14"/>
        </w:rPr>
        <w:t> </w:t>
      </w:r>
      <w:r>
        <w:rPr>
          <w:color w:val="231F20"/>
          <w:spacing w:val="-3"/>
        </w:rPr>
        <w:t>adecuadas prácticas </w:t>
      </w:r>
      <w:r>
        <w:rPr>
          <w:color w:val="231F20"/>
        </w:rPr>
        <w:t>de </w:t>
      </w:r>
      <w:r>
        <w:rPr>
          <w:color w:val="231F20"/>
          <w:spacing w:val="-3"/>
        </w:rPr>
        <w:t>labranza, dosis </w:t>
      </w:r>
      <w:r>
        <w:rPr>
          <w:color w:val="231F20"/>
        </w:rPr>
        <w:t>de </w:t>
      </w:r>
      <w:r>
        <w:rPr>
          <w:color w:val="231F20"/>
          <w:spacing w:val="-3"/>
        </w:rPr>
        <w:t>fertilización, programas </w:t>
      </w:r>
      <w:r>
        <w:rPr>
          <w:color w:val="231F20"/>
        </w:rPr>
        <w:t>de </w:t>
      </w:r>
      <w:r>
        <w:rPr>
          <w:color w:val="231F20"/>
          <w:spacing w:val="-3"/>
        </w:rPr>
        <w:t>prevención </w:t>
      </w:r>
      <w:r>
        <w:rPr>
          <w:color w:val="231F20"/>
        </w:rPr>
        <w:t>de </w:t>
      </w:r>
      <w:r>
        <w:rPr>
          <w:color w:val="231F20"/>
          <w:spacing w:val="-3"/>
        </w:rPr>
        <w:t>plagas </w:t>
      </w:r>
      <w:r>
        <w:rPr>
          <w:color w:val="231F20"/>
        </w:rPr>
        <w:t>y </w:t>
      </w:r>
      <w:r>
        <w:rPr>
          <w:color w:val="231F20"/>
          <w:spacing w:val="-3"/>
        </w:rPr>
        <w:t>enfermedades, que permitan alcanzar </w:t>
      </w:r>
      <w:r>
        <w:rPr>
          <w:color w:val="231F20"/>
        </w:rPr>
        <w:t>los </w:t>
      </w:r>
      <w:r>
        <w:rPr>
          <w:color w:val="231F20"/>
          <w:spacing w:val="-3"/>
        </w:rPr>
        <w:t>rendimientos máximos </w:t>
      </w:r>
      <w:r>
        <w:rPr>
          <w:color w:val="231F20"/>
        </w:rPr>
        <w:t>y </w:t>
      </w:r>
      <w:r>
        <w:rPr>
          <w:color w:val="231F20"/>
          <w:spacing w:val="-3"/>
        </w:rPr>
        <w:t>calidad </w:t>
      </w:r>
      <w:r>
        <w:rPr>
          <w:color w:val="231F20"/>
        </w:rPr>
        <w:t>de </w:t>
      </w:r>
      <w:r>
        <w:rPr>
          <w:color w:val="231F20"/>
          <w:spacing w:val="-3"/>
        </w:rPr>
        <w:t>madera </w:t>
      </w:r>
      <w:r>
        <w:rPr>
          <w:color w:val="231F20"/>
        </w:rPr>
        <w:t>de </w:t>
      </w:r>
      <w:r>
        <w:rPr>
          <w:color w:val="231F20"/>
          <w:spacing w:val="-3"/>
        </w:rPr>
        <w:t>acuerdo </w:t>
      </w:r>
      <w:r>
        <w:rPr>
          <w:color w:val="231F20"/>
        </w:rPr>
        <w:t>a al </w:t>
      </w:r>
      <w:r>
        <w:rPr>
          <w:color w:val="231F20"/>
          <w:spacing w:val="-3"/>
        </w:rPr>
        <w:t>sitio </w:t>
      </w:r>
      <w:r>
        <w:rPr>
          <w:color w:val="231F20"/>
        </w:rPr>
        <w:t>de </w:t>
      </w:r>
      <w:r>
        <w:rPr>
          <w:color w:val="231F20"/>
          <w:spacing w:val="-3"/>
        </w:rPr>
        <w:t>cultivo. Para ello, resulta necesario hacer estudios sobre </w:t>
      </w:r>
      <w:r>
        <w:rPr>
          <w:color w:val="231F20"/>
        </w:rPr>
        <w:t>el </w:t>
      </w:r>
      <w:r>
        <w:rPr>
          <w:color w:val="231F20"/>
          <w:spacing w:val="-3"/>
        </w:rPr>
        <w:t>estado nutrimental </w:t>
      </w:r>
      <w:r>
        <w:rPr>
          <w:color w:val="231F20"/>
        </w:rPr>
        <w:t>del </w:t>
      </w:r>
      <w:r>
        <w:rPr>
          <w:color w:val="231F20"/>
          <w:spacing w:val="-3"/>
        </w:rPr>
        <w:t>suelo </w:t>
      </w:r>
      <w:r>
        <w:rPr>
          <w:color w:val="231F20"/>
        </w:rPr>
        <w:t>en los </w:t>
      </w:r>
      <w:r>
        <w:rPr>
          <w:color w:val="231F20"/>
          <w:spacing w:val="-3"/>
        </w:rPr>
        <w:t>sistemas </w:t>
      </w:r>
      <w:r>
        <w:rPr>
          <w:color w:val="231F20"/>
        </w:rPr>
        <w:t>de </w:t>
      </w:r>
      <w:r>
        <w:rPr>
          <w:color w:val="231F20"/>
          <w:spacing w:val="-3"/>
        </w:rPr>
        <w:t>produc- ción </w:t>
      </w:r>
      <w:r>
        <w:rPr>
          <w:color w:val="231F20"/>
        </w:rPr>
        <w:t>de </w:t>
      </w:r>
      <w:r>
        <w:rPr>
          <w:color w:val="231F20"/>
          <w:spacing w:val="-3"/>
        </w:rPr>
        <w:t>eucalipto, debido </w:t>
      </w:r>
      <w:r>
        <w:rPr>
          <w:color w:val="231F20"/>
        </w:rPr>
        <w:t>a que por su </w:t>
      </w:r>
      <w:r>
        <w:rPr>
          <w:color w:val="231F20"/>
          <w:spacing w:val="-3"/>
        </w:rPr>
        <w:t>rápido crecimiento causa importantes traslados </w:t>
      </w:r>
      <w:r>
        <w:rPr>
          <w:color w:val="231F20"/>
        </w:rPr>
        <w:t>de </w:t>
      </w:r>
      <w:r>
        <w:rPr>
          <w:color w:val="231F20"/>
          <w:spacing w:val="-3"/>
        </w:rPr>
        <w:t>nutrientes del suelo</w:t>
      </w:r>
      <w:r>
        <w:rPr>
          <w:color w:val="231F20"/>
          <w:spacing w:val="-4"/>
        </w:rPr>
        <w:t> </w:t>
      </w:r>
      <w:r>
        <w:rPr>
          <w:color w:val="231F20"/>
        </w:rPr>
        <w:t>a</w:t>
      </w:r>
      <w:r>
        <w:rPr>
          <w:color w:val="231F20"/>
          <w:spacing w:val="-5"/>
        </w:rPr>
        <w:t> </w:t>
      </w:r>
      <w:r>
        <w:rPr>
          <w:color w:val="231F20"/>
        </w:rPr>
        <w:t>la</w:t>
      </w:r>
      <w:r>
        <w:rPr>
          <w:color w:val="231F20"/>
          <w:spacing w:val="-5"/>
        </w:rPr>
        <w:t> </w:t>
      </w:r>
      <w:r>
        <w:rPr>
          <w:color w:val="231F20"/>
          <w:spacing w:val="-3"/>
        </w:rPr>
        <w:t>biomasa</w:t>
      </w:r>
      <w:r>
        <w:rPr>
          <w:color w:val="231F20"/>
          <w:spacing w:val="-5"/>
        </w:rPr>
        <w:t> </w:t>
      </w:r>
      <w:r>
        <w:rPr>
          <w:color w:val="231F20"/>
          <w:spacing w:val="-3"/>
        </w:rPr>
        <w:t>aérea</w:t>
      </w:r>
      <w:r>
        <w:rPr>
          <w:color w:val="231F20"/>
          <w:spacing w:val="-5"/>
        </w:rPr>
        <w:t> </w:t>
      </w:r>
      <w:r>
        <w:rPr>
          <w:color w:val="231F20"/>
        </w:rPr>
        <w:t>y</w:t>
      </w:r>
      <w:r>
        <w:rPr>
          <w:color w:val="231F20"/>
          <w:spacing w:val="-5"/>
        </w:rPr>
        <w:t> </w:t>
      </w:r>
      <w:r>
        <w:rPr>
          <w:color w:val="231F20"/>
          <w:spacing w:val="-3"/>
        </w:rPr>
        <w:t>radical,</w:t>
      </w:r>
      <w:r>
        <w:rPr>
          <w:color w:val="231F20"/>
          <w:spacing w:val="-4"/>
        </w:rPr>
        <w:t> </w:t>
      </w:r>
      <w:r>
        <w:rPr>
          <w:color w:val="231F20"/>
        </w:rPr>
        <w:t>que</w:t>
      </w:r>
      <w:r>
        <w:rPr>
          <w:color w:val="231F20"/>
          <w:spacing w:val="-5"/>
        </w:rPr>
        <w:t> </w:t>
      </w:r>
      <w:r>
        <w:rPr>
          <w:color w:val="231F20"/>
        </w:rPr>
        <w:t>es</w:t>
      </w:r>
      <w:r>
        <w:rPr>
          <w:color w:val="231F20"/>
          <w:spacing w:val="-5"/>
        </w:rPr>
        <w:t> </w:t>
      </w:r>
      <w:r>
        <w:rPr>
          <w:color w:val="231F20"/>
          <w:spacing w:val="-3"/>
        </w:rPr>
        <w:t>retirada</w:t>
      </w:r>
      <w:r>
        <w:rPr>
          <w:color w:val="231F20"/>
          <w:spacing w:val="-4"/>
        </w:rPr>
        <w:t> </w:t>
      </w:r>
      <w:r>
        <w:rPr>
          <w:color w:val="231F20"/>
        </w:rPr>
        <w:t>del</w:t>
      </w:r>
      <w:r>
        <w:rPr>
          <w:color w:val="231F20"/>
          <w:spacing w:val="-5"/>
        </w:rPr>
        <w:t> </w:t>
      </w:r>
      <w:r>
        <w:rPr>
          <w:color w:val="231F20"/>
          <w:spacing w:val="-3"/>
        </w:rPr>
        <w:t>suelo</w:t>
      </w:r>
      <w:r>
        <w:rPr>
          <w:color w:val="231F20"/>
          <w:spacing w:val="-4"/>
        </w:rPr>
        <w:t> </w:t>
      </w:r>
      <w:r>
        <w:rPr>
          <w:color w:val="231F20"/>
          <w:spacing w:val="-3"/>
        </w:rPr>
        <w:t>durante</w:t>
      </w:r>
      <w:r>
        <w:rPr>
          <w:color w:val="231F20"/>
          <w:spacing w:val="-5"/>
        </w:rPr>
        <w:t> </w:t>
      </w:r>
      <w:r>
        <w:rPr>
          <w:color w:val="231F20"/>
        </w:rPr>
        <w:t>la</w:t>
      </w:r>
      <w:r>
        <w:rPr>
          <w:color w:val="231F20"/>
          <w:spacing w:val="-5"/>
        </w:rPr>
        <w:t> </w:t>
      </w:r>
      <w:r>
        <w:rPr>
          <w:color w:val="231F20"/>
          <w:spacing w:val="-3"/>
        </w:rPr>
        <w:t>cosecha</w:t>
      </w:r>
      <w:r>
        <w:rPr>
          <w:color w:val="231F20"/>
          <w:spacing w:val="-5"/>
        </w:rPr>
        <w:t> </w:t>
      </w:r>
      <w:r>
        <w:rPr>
          <w:color w:val="231F20"/>
          <w:spacing w:val="-3"/>
        </w:rPr>
        <w:t>(Aparicio,</w:t>
      </w:r>
      <w:r>
        <w:rPr>
          <w:color w:val="231F20"/>
          <w:spacing w:val="-5"/>
        </w:rPr>
        <w:t> </w:t>
      </w:r>
      <w:r>
        <w:rPr>
          <w:color w:val="231F20"/>
          <w:spacing w:val="-3"/>
        </w:rPr>
        <w:t>2001).</w:t>
      </w:r>
    </w:p>
    <w:p>
      <w:pPr>
        <w:pStyle w:val="BodyText"/>
        <w:rPr>
          <w:sz w:val="20"/>
        </w:rPr>
      </w:pPr>
    </w:p>
    <w:p>
      <w:pPr>
        <w:spacing w:line="247" w:lineRule="auto" w:before="145"/>
        <w:ind w:left="1590" w:right="1279" w:firstLine="0"/>
        <w:jc w:val="left"/>
        <w:rPr>
          <w:rFonts w:ascii="Trebuchet MS" w:hAnsi="Trebuchet MS"/>
          <w:sz w:val="16"/>
        </w:rPr>
      </w:pPr>
      <w:r>
        <w:rPr>
          <w:rFonts w:ascii="Trebuchet MS" w:hAnsi="Trebuchet MS"/>
          <w:color w:val="231F20"/>
          <w:position w:val="5"/>
          <w:sz w:val="9"/>
        </w:rPr>
        <w:t>1</w:t>
      </w:r>
      <w:r>
        <w:rPr>
          <w:rFonts w:ascii="Trebuchet MS" w:hAnsi="Trebuchet MS"/>
          <w:color w:val="231F20"/>
          <w:sz w:val="16"/>
        </w:rPr>
        <w:t>Programa</w:t>
      </w:r>
      <w:r>
        <w:rPr>
          <w:rFonts w:ascii="Trebuchet MS" w:hAnsi="Trebuchet MS"/>
          <w:color w:val="231F20"/>
          <w:spacing w:val="-12"/>
          <w:sz w:val="16"/>
        </w:rPr>
        <w:t> </w:t>
      </w:r>
      <w:r>
        <w:rPr>
          <w:rFonts w:ascii="Trebuchet MS" w:hAnsi="Trebuchet MS"/>
          <w:color w:val="231F20"/>
          <w:sz w:val="16"/>
        </w:rPr>
        <w:t>de</w:t>
      </w:r>
      <w:r>
        <w:rPr>
          <w:rFonts w:ascii="Trebuchet MS" w:hAnsi="Trebuchet MS"/>
          <w:color w:val="231F20"/>
          <w:spacing w:val="-19"/>
          <w:sz w:val="16"/>
        </w:rPr>
        <w:t> </w:t>
      </w:r>
      <w:r>
        <w:rPr>
          <w:rFonts w:ascii="Trebuchet MS" w:hAnsi="Trebuchet MS"/>
          <w:color w:val="231F20"/>
          <w:sz w:val="16"/>
        </w:rPr>
        <w:t>Agroforestería,</w:t>
      </w:r>
      <w:r>
        <w:rPr>
          <w:rFonts w:ascii="Trebuchet MS" w:hAnsi="Trebuchet MS"/>
          <w:color w:val="231F20"/>
          <w:spacing w:val="-12"/>
          <w:sz w:val="16"/>
        </w:rPr>
        <w:t> </w:t>
      </w:r>
      <w:r>
        <w:rPr>
          <w:rFonts w:ascii="Trebuchet MS" w:hAnsi="Trebuchet MS"/>
          <w:color w:val="231F20"/>
          <w:sz w:val="16"/>
        </w:rPr>
        <w:t>Universidad</w:t>
      </w:r>
      <w:r>
        <w:rPr>
          <w:rFonts w:ascii="Trebuchet MS" w:hAnsi="Trebuchet MS"/>
          <w:color w:val="231F20"/>
          <w:spacing w:val="-18"/>
          <w:sz w:val="16"/>
        </w:rPr>
        <w:t> </w:t>
      </w:r>
      <w:r>
        <w:rPr>
          <w:rFonts w:ascii="Trebuchet MS" w:hAnsi="Trebuchet MS"/>
          <w:color w:val="231F20"/>
          <w:sz w:val="16"/>
        </w:rPr>
        <w:t>Autónoma</w:t>
      </w:r>
      <w:r>
        <w:rPr>
          <w:rFonts w:ascii="Trebuchet MS" w:hAnsi="Trebuchet MS"/>
          <w:color w:val="231F20"/>
          <w:spacing w:val="-12"/>
          <w:sz w:val="16"/>
        </w:rPr>
        <w:t> </w:t>
      </w:r>
      <w:r>
        <w:rPr>
          <w:rFonts w:ascii="Trebuchet MS" w:hAnsi="Trebuchet MS"/>
          <w:color w:val="231F20"/>
          <w:sz w:val="16"/>
        </w:rPr>
        <w:t>Chapingo;</w:t>
      </w:r>
      <w:r>
        <w:rPr>
          <w:rFonts w:ascii="Trebuchet MS" w:hAnsi="Trebuchet MS"/>
          <w:color w:val="231F20"/>
          <w:spacing w:val="-11"/>
          <w:sz w:val="16"/>
        </w:rPr>
        <w:t> </w:t>
      </w:r>
      <w:r>
        <w:rPr>
          <w:rFonts w:ascii="Trebuchet MS" w:hAnsi="Trebuchet MS"/>
          <w:color w:val="231F20"/>
          <w:position w:val="5"/>
          <w:sz w:val="9"/>
        </w:rPr>
        <w:t>2</w:t>
      </w:r>
      <w:r>
        <w:rPr>
          <w:rFonts w:ascii="Trebuchet MS" w:hAnsi="Trebuchet MS"/>
          <w:color w:val="231F20"/>
          <w:sz w:val="16"/>
        </w:rPr>
        <w:t>Departamento</w:t>
      </w:r>
      <w:r>
        <w:rPr>
          <w:rFonts w:ascii="Trebuchet MS" w:hAnsi="Trebuchet MS"/>
          <w:color w:val="231F20"/>
          <w:spacing w:val="-11"/>
          <w:sz w:val="16"/>
        </w:rPr>
        <w:t> </w:t>
      </w:r>
      <w:r>
        <w:rPr>
          <w:rFonts w:ascii="Trebuchet MS" w:hAnsi="Trebuchet MS"/>
          <w:color w:val="231F20"/>
          <w:sz w:val="16"/>
        </w:rPr>
        <w:t>de</w:t>
      </w:r>
      <w:r>
        <w:rPr>
          <w:rFonts w:ascii="Trebuchet MS" w:hAnsi="Trebuchet MS"/>
          <w:color w:val="231F20"/>
          <w:spacing w:val="-11"/>
          <w:sz w:val="16"/>
        </w:rPr>
        <w:t> </w:t>
      </w:r>
      <w:r>
        <w:rPr>
          <w:rFonts w:ascii="Trebuchet MS" w:hAnsi="Trebuchet MS"/>
          <w:color w:val="231F20"/>
          <w:sz w:val="16"/>
        </w:rPr>
        <w:t>Suelos,</w:t>
      </w:r>
      <w:r>
        <w:rPr>
          <w:rFonts w:ascii="Trebuchet MS" w:hAnsi="Trebuchet MS"/>
          <w:color w:val="231F20"/>
          <w:spacing w:val="-11"/>
          <w:sz w:val="16"/>
        </w:rPr>
        <w:t> </w:t>
      </w:r>
      <w:r>
        <w:rPr>
          <w:rFonts w:ascii="Trebuchet MS" w:hAnsi="Trebuchet MS"/>
          <w:color w:val="231F20"/>
          <w:sz w:val="16"/>
        </w:rPr>
        <w:t>Universidad</w:t>
      </w:r>
      <w:r>
        <w:rPr>
          <w:rFonts w:ascii="Trebuchet MS" w:hAnsi="Trebuchet MS"/>
          <w:color w:val="231F20"/>
          <w:spacing w:val="-18"/>
          <w:sz w:val="16"/>
        </w:rPr>
        <w:t> </w:t>
      </w:r>
      <w:r>
        <w:rPr>
          <w:rFonts w:ascii="Trebuchet MS" w:hAnsi="Trebuchet MS"/>
          <w:color w:val="231F20"/>
          <w:sz w:val="16"/>
        </w:rPr>
        <w:t>Autónoma Chapingo.</w:t>
      </w:r>
    </w:p>
    <w:p>
      <w:pPr>
        <w:spacing w:after="0" w:line="247" w:lineRule="auto"/>
        <w:jc w:val="left"/>
        <w:rPr>
          <w:rFonts w:ascii="Trebuchet MS" w:hAnsi="Trebuchet MS"/>
          <w:sz w:val="16"/>
        </w:rPr>
        <w:sectPr>
          <w:pgSz w:w="10920" w:h="13080"/>
          <w:pgMar w:header="0" w:footer="1025" w:top="420" w:bottom="1220" w:left="0" w:right="0"/>
        </w:sectPr>
      </w:pPr>
    </w:p>
    <w:p>
      <w:pPr>
        <w:pStyle w:val="BodyText"/>
        <w:rPr>
          <w:rFonts w:ascii="Trebuchet MS"/>
          <w:sz w:val="20"/>
        </w:rPr>
      </w:pPr>
    </w:p>
    <w:p>
      <w:pPr>
        <w:pStyle w:val="BodyText"/>
        <w:rPr>
          <w:rFonts w:ascii="Trebuchet MS"/>
          <w:sz w:val="20"/>
        </w:rPr>
      </w:pPr>
    </w:p>
    <w:p>
      <w:pPr>
        <w:pStyle w:val="BodyText"/>
        <w:spacing w:before="4"/>
        <w:rPr>
          <w:rFonts w:ascii="Trebuchet MS"/>
          <w:sz w:val="22"/>
        </w:rPr>
      </w:pPr>
    </w:p>
    <w:p>
      <w:pPr>
        <w:pStyle w:val="BodyText"/>
        <w:spacing w:line="247" w:lineRule="auto" w:before="73"/>
        <w:ind w:left="1270" w:right="1268"/>
        <w:jc w:val="both"/>
      </w:pPr>
      <w:r>
        <w:rPr>
          <w:color w:val="231F20"/>
        </w:rPr>
        <w:t>En</w:t>
      </w:r>
      <w:r>
        <w:rPr>
          <w:color w:val="231F20"/>
          <w:spacing w:val="-6"/>
        </w:rPr>
        <w:t> </w:t>
      </w:r>
      <w:r>
        <w:rPr>
          <w:color w:val="231F20"/>
        </w:rPr>
        <w:t>plantaciones</w:t>
      </w:r>
      <w:r>
        <w:rPr>
          <w:color w:val="231F20"/>
          <w:spacing w:val="-5"/>
        </w:rPr>
        <w:t> </w:t>
      </w:r>
      <w:r>
        <w:rPr>
          <w:color w:val="231F20"/>
        </w:rPr>
        <w:t>de</w:t>
      </w:r>
      <w:r>
        <w:rPr>
          <w:color w:val="231F20"/>
          <w:spacing w:val="-6"/>
        </w:rPr>
        <w:t> </w:t>
      </w:r>
      <w:r>
        <w:rPr>
          <w:color w:val="231F20"/>
        </w:rPr>
        <w:t>rotaciones</w:t>
      </w:r>
      <w:r>
        <w:rPr>
          <w:color w:val="231F20"/>
          <w:spacing w:val="-6"/>
        </w:rPr>
        <w:t> </w:t>
      </w:r>
      <w:r>
        <w:rPr>
          <w:color w:val="231F20"/>
        </w:rPr>
        <w:t>cortas</w:t>
      </w:r>
      <w:r>
        <w:rPr>
          <w:color w:val="231F20"/>
          <w:spacing w:val="-6"/>
        </w:rPr>
        <w:t> </w:t>
      </w:r>
      <w:r>
        <w:rPr>
          <w:color w:val="231F20"/>
        </w:rPr>
        <w:t>e</w:t>
      </w:r>
      <w:r>
        <w:rPr>
          <w:color w:val="231F20"/>
          <w:spacing w:val="-6"/>
        </w:rPr>
        <w:t> </w:t>
      </w:r>
      <w:r>
        <w:rPr>
          <w:color w:val="231F20"/>
        </w:rPr>
        <w:t>intensivas,</w:t>
      </w:r>
      <w:r>
        <w:rPr>
          <w:color w:val="231F20"/>
          <w:spacing w:val="-6"/>
        </w:rPr>
        <w:t> </w:t>
      </w:r>
      <w:r>
        <w:rPr>
          <w:color w:val="231F20"/>
        </w:rPr>
        <w:t>la</w:t>
      </w:r>
      <w:r>
        <w:rPr>
          <w:color w:val="231F20"/>
          <w:spacing w:val="-6"/>
        </w:rPr>
        <w:t> </w:t>
      </w:r>
      <w:r>
        <w:rPr>
          <w:color w:val="231F20"/>
        </w:rPr>
        <w:t>remoción</w:t>
      </w:r>
      <w:r>
        <w:rPr>
          <w:color w:val="231F20"/>
          <w:spacing w:val="-5"/>
        </w:rPr>
        <w:t> </w:t>
      </w:r>
      <w:r>
        <w:rPr>
          <w:color w:val="231F20"/>
        </w:rPr>
        <w:t>de</w:t>
      </w:r>
      <w:r>
        <w:rPr>
          <w:color w:val="231F20"/>
          <w:spacing w:val="-6"/>
        </w:rPr>
        <w:t> </w:t>
      </w:r>
      <w:r>
        <w:rPr>
          <w:color w:val="231F20"/>
        </w:rPr>
        <w:t>elementos</w:t>
      </w:r>
      <w:r>
        <w:rPr>
          <w:color w:val="231F20"/>
          <w:spacing w:val="-6"/>
        </w:rPr>
        <w:t> </w:t>
      </w:r>
      <w:r>
        <w:rPr>
          <w:color w:val="231F20"/>
        </w:rPr>
        <w:t>nutritivos</w:t>
      </w:r>
      <w:r>
        <w:rPr>
          <w:color w:val="231F20"/>
          <w:spacing w:val="-6"/>
        </w:rPr>
        <w:t> </w:t>
      </w:r>
      <w:r>
        <w:rPr>
          <w:color w:val="231F20"/>
        </w:rPr>
        <w:t>puede</w:t>
      </w:r>
      <w:r>
        <w:rPr>
          <w:color w:val="231F20"/>
          <w:spacing w:val="-6"/>
        </w:rPr>
        <w:t> </w:t>
      </w:r>
      <w:r>
        <w:rPr>
          <w:color w:val="231F20"/>
        </w:rPr>
        <w:t>superar a los aportes que recibe el suelo, disminuyendo el estatus nutricional de éste y por consiguiente la producción de madera, siendo necesario el suministro de fertilizantes. Khouri y Canga (2008) seña- lan que las propiedades del suelo contribuyen de manera importante al crecimiento en volumen del eucalipto, siendo muy común en esta especie que se presenten deficiencias de N, P y K. </w:t>
      </w:r>
      <w:r>
        <w:rPr>
          <w:color w:val="231F20"/>
          <w:spacing w:val="-3"/>
        </w:rPr>
        <w:t>También </w:t>
      </w:r>
      <w:r>
        <w:rPr>
          <w:color w:val="231F20"/>
        </w:rPr>
        <w:t>estos autores han observado que el eucalipto desarrolla mejor en suelos con pH ácido, muy ricos en materia</w:t>
      </w:r>
      <w:r>
        <w:rPr>
          <w:color w:val="231F20"/>
          <w:spacing w:val="-4"/>
        </w:rPr>
        <w:t> </w:t>
      </w:r>
      <w:r>
        <w:rPr>
          <w:color w:val="231F20"/>
        </w:rPr>
        <w:t>orgánica,</w:t>
      </w:r>
      <w:r>
        <w:rPr>
          <w:color w:val="231F20"/>
          <w:spacing w:val="-3"/>
        </w:rPr>
        <w:t> </w:t>
      </w:r>
      <w:r>
        <w:rPr>
          <w:color w:val="231F20"/>
        </w:rPr>
        <w:t>alto</w:t>
      </w:r>
      <w:r>
        <w:rPr>
          <w:color w:val="231F20"/>
          <w:spacing w:val="-3"/>
        </w:rPr>
        <w:t> </w:t>
      </w:r>
      <w:r>
        <w:rPr>
          <w:color w:val="231F20"/>
        </w:rPr>
        <w:t>concentración</w:t>
      </w:r>
      <w:r>
        <w:rPr>
          <w:color w:val="231F20"/>
          <w:spacing w:val="-3"/>
        </w:rPr>
        <w:t> </w:t>
      </w:r>
      <w:r>
        <w:rPr>
          <w:color w:val="231F20"/>
        </w:rPr>
        <w:t>de</w:t>
      </w:r>
      <w:r>
        <w:rPr>
          <w:color w:val="231F20"/>
          <w:spacing w:val="-3"/>
        </w:rPr>
        <w:t> </w:t>
      </w:r>
      <w:r>
        <w:rPr>
          <w:color w:val="231F20"/>
        </w:rPr>
        <w:t>bases</w:t>
      </w:r>
      <w:r>
        <w:rPr>
          <w:color w:val="231F20"/>
          <w:spacing w:val="-3"/>
        </w:rPr>
        <w:t> </w:t>
      </w:r>
      <w:r>
        <w:rPr>
          <w:color w:val="231F20"/>
        </w:rPr>
        <w:t>intercambiables,</w:t>
      </w:r>
      <w:r>
        <w:rPr>
          <w:color w:val="231F20"/>
          <w:spacing w:val="-3"/>
        </w:rPr>
        <w:t> </w:t>
      </w:r>
      <w:r>
        <w:rPr>
          <w:color w:val="231F20"/>
        </w:rPr>
        <w:t>P</w:t>
      </w:r>
      <w:r>
        <w:rPr>
          <w:color w:val="231F20"/>
          <w:spacing w:val="-11"/>
        </w:rPr>
        <w:t> </w:t>
      </w:r>
      <w:r>
        <w:rPr>
          <w:color w:val="231F20"/>
        </w:rPr>
        <w:t>y</w:t>
      </w:r>
      <w:r>
        <w:rPr>
          <w:color w:val="231F20"/>
          <w:spacing w:val="-3"/>
        </w:rPr>
        <w:t> </w:t>
      </w:r>
      <w:r>
        <w:rPr>
          <w:color w:val="231F20"/>
        </w:rPr>
        <w:t>la</w:t>
      </w:r>
      <w:r>
        <w:rPr>
          <w:color w:val="231F20"/>
          <w:spacing w:val="-3"/>
        </w:rPr>
        <w:t> </w:t>
      </w:r>
      <w:r>
        <w:rPr>
          <w:color w:val="231F20"/>
        </w:rPr>
        <w:t>concentración</w:t>
      </w:r>
      <w:r>
        <w:rPr>
          <w:color w:val="231F20"/>
          <w:spacing w:val="-4"/>
        </w:rPr>
        <w:t> </w:t>
      </w:r>
      <w:r>
        <w:rPr>
          <w:color w:val="231F20"/>
        </w:rPr>
        <w:t>de</w:t>
      </w:r>
      <w:r>
        <w:rPr>
          <w:color w:val="231F20"/>
          <w:spacing w:val="-3"/>
        </w:rPr>
        <w:t> </w:t>
      </w:r>
      <w:r>
        <w:rPr>
          <w:color w:val="231F20"/>
        </w:rPr>
        <w:t>Ca,</w:t>
      </w:r>
      <w:r>
        <w:rPr>
          <w:color w:val="231F20"/>
          <w:spacing w:val="-3"/>
        </w:rPr>
        <w:t> </w:t>
      </w:r>
      <w:r>
        <w:rPr>
          <w:color w:val="231F20"/>
        </w:rPr>
        <w:t>tiene</w:t>
      </w:r>
      <w:r>
        <w:rPr>
          <w:color w:val="231F20"/>
          <w:spacing w:val="-3"/>
        </w:rPr>
        <w:t> </w:t>
      </w:r>
      <w:r>
        <w:rPr>
          <w:color w:val="231F20"/>
        </w:rPr>
        <w:t>una relación directa positiva con el crecimiento en volumen de la</w:t>
      </w:r>
      <w:r>
        <w:rPr>
          <w:color w:val="231F20"/>
          <w:spacing w:val="-3"/>
        </w:rPr>
        <w:t> </w:t>
      </w:r>
      <w:r>
        <w:rPr>
          <w:color w:val="231F20"/>
        </w:rPr>
        <w:t>corteza.</w:t>
      </w:r>
    </w:p>
    <w:p>
      <w:pPr>
        <w:pStyle w:val="BodyText"/>
        <w:spacing w:before="10"/>
      </w:pPr>
    </w:p>
    <w:p>
      <w:pPr>
        <w:pStyle w:val="BodyText"/>
        <w:spacing w:line="247" w:lineRule="auto"/>
        <w:ind w:left="1270" w:right="1267"/>
        <w:jc w:val="both"/>
      </w:pPr>
      <w:r>
        <w:rPr>
          <w:color w:val="231F20"/>
        </w:rPr>
        <w:t>De Oliveira (2008) encontró que los factores ambientales, las características del suelo y del clima están</w:t>
      </w:r>
      <w:r>
        <w:rPr>
          <w:color w:val="231F20"/>
          <w:spacing w:val="-5"/>
        </w:rPr>
        <w:t> </w:t>
      </w:r>
      <w:r>
        <w:rPr>
          <w:color w:val="231F20"/>
        </w:rPr>
        <w:t>en</w:t>
      </w:r>
      <w:r>
        <w:rPr>
          <w:color w:val="231F20"/>
          <w:spacing w:val="-5"/>
        </w:rPr>
        <w:t> </w:t>
      </w:r>
      <w:r>
        <w:rPr>
          <w:color w:val="231F20"/>
        </w:rPr>
        <w:t>relación</w:t>
      </w:r>
      <w:r>
        <w:rPr>
          <w:color w:val="231F20"/>
          <w:spacing w:val="-5"/>
        </w:rPr>
        <w:t> </w:t>
      </w:r>
      <w:r>
        <w:rPr>
          <w:color w:val="231F20"/>
        </w:rPr>
        <w:t>estrecha</w:t>
      </w:r>
      <w:r>
        <w:rPr>
          <w:color w:val="231F20"/>
          <w:spacing w:val="-5"/>
        </w:rPr>
        <w:t> </w:t>
      </w:r>
      <w:r>
        <w:rPr>
          <w:color w:val="231F20"/>
        </w:rPr>
        <w:t>con</w:t>
      </w:r>
      <w:r>
        <w:rPr>
          <w:color w:val="231F20"/>
          <w:spacing w:val="-5"/>
        </w:rPr>
        <w:t> </w:t>
      </w:r>
      <w:r>
        <w:rPr>
          <w:color w:val="231F20"/>
        </w:rPr>
        <w:t>la</w:t>
      </w:r>
      <w:r>
        <w:rPr>
          <w:color w:val="231F20"/>
          <w:spacing w:val="-5"/>
        </w:rPr>
        <w:t> </w:t>
      </w:r>
      <w:r>
        <w:rPr>
          <w:color w:val="231F20"/>
        </w:rPr>
        <w:t>disponibilidad</w:t>
      </w:r>
      <w:r>
        <w:rPr>
          <w:color w:val="231F20"/>
          <w:spacing w:val="-5"/>
        </w:rPr>
        <w:t> </w:t>
      </w:r>
      <w:r>
        <w:rPr>
          <w:color w:val="231F20"/>
        </w:rPr>
        <w:t>y</w:t>
      </w:r>
      <w:r>
        <w:rPr>
          <w:color w:val="231F20"/>
          <w:spacing w:val="-5"/>
        </w:rPr>
        <w:t> </w:t>
      </w:r>
      <w:r>
        <w:rPr>
          <w:color w:val="231F20"/>
        </w:rPr>
        <w:t>adquisición</w:t>
      </w:r>
      <w:r>
        <w:rPr>
          <w:color w:val="231F20"/>
          <w:spacing w:val="-5"/>
        </w:rPr>
        <w:t> </w:t>
      </w:r>
      <w:r>
        <w:rPr>
          <w:color w:val="231F20"/>
        </w:rPr>
        <w:t>de</w:t>
      </w:r>
      <w:r>
        <w:rPr>
          <w:color w:val="231F20"/>
          <w:spacing w:val="-5"/>
        </w:rPr>
        <w:t> </w:t>
      </w:r>
      <w:r>
        <w:rPr>
          <w:color w:val="231F20"/>
        </w:rPr>
        <w:t>nutrientes</w:t>
      </w:r>
      <w:r>
        <w:rPr>
          <w:color w:val="231F20"/>
          <w:spacing w:val="-5"/>
        </w:rPr>
        <w:t> </w:t>
      </w:r>
      <w:r>
        <w:rPr>
          <w:color w:val="231F20"/>
        </w:rPr>
        <w:t>por</w:t>
      </w:r>
      <w:r>
        <w:rPr>
          <w:color w:val="231F20"/>
          <w:spacing w:val="-5"/>
        </w:rPr>
        <w:t> </w:t>
      </w:r>
      <w:r>
        <w:rPr>
          <w:color w:val="231F20"/>
        </w:rPr>
        <w:t>el</w:t>
      </w:r>
      <w:r>
        <w:rPr>
          <w:color w:val="231F20"/>
          <w:spacing w:val="-5"/>
        </w:rPr>
        <w:t> </w:t>
      </w:r>
      <w:r>
        <w:rPr>
          <w:color w:val="231F20"/>
        </w:rPr>
        <w:t>sistema</w:t>
      </w:r>
      <w:r>
        <w:rPr>
          <w:color w:val="231F20"/>
          <w:spacing w:val="-4"/>
        </w:rPr>
        <w:t> </w:t>
      </w:r>
      <w:r>
        <w:rPr>
          <w:color w:val="231F20"/>
        </w:rPr>
        <w:t>radical</w:t>
      </w:r>
      <w:r>
        <w:rPr>
          <w:color w:val="231F20"/>
          <w:spacing w:val="-5"/>
        </w:rPr>
        <w:t> </w:t>
      </w:r>
      <w:r>
        <w:rPr>
          <w:color w:val="231F20"/>
        </w:rPr>
        <w:t>del eucalipto.</w:t>
      </w:r>
      <w:r>
        <w:rPr>
          <w:color w:val="231F20"/>
          <w:spacing w:val="-15"/>
        </w:rPr>
        <w:t> </w:t>
      </w:r>
      <w:r>
        <w:rPr>
          <w:color w:val="231F20"/>
          <w:spacing w:val="-3"/>
        </w:rPr>
        <w:t>También</w:t>
      </w:r>
      <w:r>
        <w:rPr>
          <w:color w:val="231F20"/>
          <w:spacing w:val="-11"/>
        </w:rPr>
        <w:t> </w:t>
      </w:r>
      <w:r>
        <w:rPr>
          <w:color w:val="231F20"/>
        </w:rPr>
        <w:t>expresa</w:t>
      </w:r>
      <w:r>
        <w:rPr>
          <w:color w:val="231F20"/>
          <w:spacing w:val="-11"/>
        </w:rPr>
        <w:t> </w:t>
      </w:r>
      <w:r>
        <w:rPr>
          <w:color w:val="231F20"/>
        </w:rPr>
        <w:t>que</w:t>
      </w:r>
      <w:r>
        <w:rPr>
          <w:color w:val="231F20"/>
          <w:spacing w:val="-11"/>
        </w:rPr>
        <w:t> </w:t>
      </w:r>
      <w:r>
        <w:rPr>
          <w:color w:val="231F20"/>
        </w:rPr>
        <w:t>existen</w:t>
      </w:r>
      <w:r>
        <w:rPr>
          <w:color w:val="231F20"/>
          <w:spacing w:val="-11"/>
        </w:rPr>
        <w:t> </w:t>
      </w:r>
      <w:r>
        <w:rPr>
          <w:color w:val="231F20"/>
        </w:rPr>
        <w:t>diferencias</w:t>
      </w:r>
      <w:r>
        <w:rPr>
          <w:color w:val="231F20"/>
          <w:spacing w:val="-11"/>
        </w:rPr>
        <w:t> </w:t>
      </w:r>
      <w:r>
        <w:rPr>
          <w:color w:val="231F20"/>
        </w:rPr>
        <w:t>en</w:t>
      </w:r>
      <w:r>
        <w:rPr>
          <w:color w:val="231F20"/>
          <w:spacing w:val="-11"/>
        </w:rPr>
        <w:t> </w:t>
      </w:r>
      <w:r>
        <w:rPr>
          <w:color w:val="231F20"/>
        </w:rPr>
        <w:t>las</w:t>
      </w:r>
      <w:r>
        <w:rPr>
          <w:color w:val="231F20"/>
          <w:spacing w:val="-11"/>
        </w:rPr>
        <w:t> </w:t>
      </w:r>
      <w:r>
        <w:rPr>
          <w:color w:val="231F20"/>
        </w:rPr>
        <w:t>concentraciones</w:t>
      </w:r>
      <w:r>
        <w:rPr>
          <w:color w:val="231F20"/>
          <w:spacing w:val="-11"/>
        </w:rPr>
        <w:t> </w:t>
      </w:r>
      <w:r>
        <w:rPr>
          <w:color w:val="231F20"/>
        </w:rPr>
        <w:t>de</w:t>
      </w:r>
      <w:r>
        <w:rPr>
          <w:color w:val="231F20"/>
          <w:spacing w:val="-11"/>
        </w:rPr>
        <w:t> </w:t>
      </w:r>
      <w:r>
        <w:rPr>
          <w:color w:val="231F20"/>
        </w:rPr>
        <w:t>elementos</w:t>
      </w:r>
      <w:r>
        <w:rPr>
          <w:color w:val="231F20"/>
          <w:spacing w:val="-11"/>
        </w:rPr>
        <w:t> </w:t>
      </w:r>
      <w:r>
        <w:rPr>
          <w:color w:val="231F20"/>
        </w:rPr>
        <w:t>entre</w:t>
      </w:r>
      <w:r>
        <w:rPr>
          <w:color w:val="231F20"/>
          <w:spacing w:val="-11"/>
        </w:rPr>
        <w:t> </w:t>
      </w:r>
      <w:r>
        <w:rPr>
          <w:color w:val="231F20"/>
        </w:rPr>
        <w:t>árboles adultos en diferentes localidades, lo que es contrario a lo que presupone que una norma puede ser usada u obtenida independientemente del cultivo o región como lo afirmó Beaufils (1973) y Payne </w:t>
      </w:r>
      <w:r>
        <w:rPr>
          <w:i/>
          <w:color w:val="231F20"/>
        </w:rPr>
        <w:t>et al</w:t>
      </w:r>
      <w:r>
        <w:rPr>
          <w:color w:val="231F20"/>
        </w:rPr>
        <w:t>., (1990). Evidenció que hay diferencia entre normas específicas y generales por lo que es</w:t>
      </w:r>
      <w:r>
        <w:rPr>
          <w:color w:val="231F20"/>
          <w:spacing w:val="-28"/>
        </w:rPr>
        <w:t> </w:t>
      </w:r>
      <w:r>
        <w:rPr>
          <w:color w:val="231F20"/>
        </w:rPr>
        <w:t>nece- sario</w:t>
      </w:r>
      <w:r>
        <w:rPr>
          <w:color w:val="231F20"/>
          <w:spacing w:val="-4"/>
        </w:rPr>
        <w:t> </w:t>
      </w:r>
      <w:r>
        <w:rPr>
          <w:color w:val="231F20"/>
        </w:rPr>
        <w:t>establecer</w:t>
      </w:r>
      <w:r>
        <w:rPr>
          <w:color w:val="231F20"/>
          <w:spacing w:val="-5"/>
        </w:rPr>
        <w:t> </w:t>
      </w:r>
      <w:r>
        <w:rPr>
          <w:color w:val="231F20"/>
        </w:rPr>
        <w:t>normas</w:t>
      </w:r>
      <w:r>
        <w:rPr>
          <w:color w:val="231F20"/>
          <w:spacing w:val="-4"/>
        </w:rPr>
        <w:t> </w:t>
      </w:r>
      <w:r>
        <w:rPr>
          <w:color w:val="231F20"/>
        </w:rPr>
        <w:t>de</w:t>
      </w:r>
      <w:r>
        <w:rPr>
          <w:color w:val="231F20"/>
          <w:spacing w:val="-4"/>
        </w:rPr>
        <w:t> </w:t>
      </w:r>
      <w:r>
        <w:rPr>
          <w:color w:val="231F20"/>
        </w:rPr>
        <w:t>abastecimiento</w:t>
      </w:r>
      <w:r>
        <w:rPr>
          <w:color w:val="231F20"/>
          <w:spacing w:val="-5"/>
        </w:rPr>
        <w:t> </w:t>
      </w:r>
      <w:r>
        <w:rPr>
          <w:color w:val="231F20"/>
        </w:rPr>
        <w:t>a</w:t>
      </w:r>
      <w:r>
        <w:rPr>
          <w:color w:val="231F20"/>
          <w:spacing w:val="-4"/>
        </w:rPr>
        <w:t> </w:t>
      </w:r>
      <w:r>
        <w:rPr>
          <w:color w:val="231F20"/>
        </w:rPr>
        <w:t>partir</w:t>
      </w:r>
      <w:r>
        <w:rPr>
          <w:color w:val="231F20"/>
          <w:spacing w:val="-4"/>
        </w:rPr>
        <w:t> </w:t>
      </w:r>
      <w:r>
        <w:rPr>
          <w:color w:val="231F20"/>
        </w:rPr>
        <w:t>de</w:t>
      </w:r>
      <w:r>
        <w:rPr>
          <w:color w:val="231F20"/>
          <w:spacing w:val="-4"/>
        </w:rPr>
        <w:t> </w:t>
      </w:r>
      <w:r>
        <w:rPr>
          <w:color w:val="231F20"/>
        </w:rPr>
        <w:t>patrones</w:t>
      </w:r>
      <w:r>
        <w:rPr>
          <w:color w:val="231F20"/>
          <w:spacing w:val="-4"/>
        </w:rPr>
        <w:t> </w:t>
      </w:r>
      <w:r>
        <w:rPr>
          <w:color w:val="231F20"/>
        </w:rPr>
        <w:t>generales,</w:t>
      </w:r>
      <w:r>
        <w:rPr>
          <w:color w:val="231F20"/>
          <w:spacing w:val="-4"/>
        </w:rPr>
        <w:t> </w:t>
      </w:r>
      <w:r>
        <w:rPr>
          <w:color w:val="231F20"/>
        </w:rPr>
        <w:t>pero</w:t>
      </w:r>
      <w:r>
        <w:rPr>
          <w:color w:val="231F20"/>
          <w:spacing w:val="-4"/>
        </w:rPr>
        <w:t> </w:t>
      </w:r>
      <w:r>
        <w:rPr>
          <w:color w:val="231F20"/>
        </w:rPr>
        <w:t>usando</w:t>
      </w:r>
      <w:r>
        <w:rPr>
          <w:color w:val="231F20"/>
          <w:spacing w:val="-4"/>
        </w:rPr>
        <w:t> </w:t>
      </w:r>
      <w:r>
        <w:rPr>
          <w:color w:val="231F20"/>
        </w:rPr>
        <w:t>características especificas de un lugar y de la especie. Con la aplicación de las técnicas DRIS y Kenworthy se ha encontrado que la media en el orden de requerimiento de nutrientes para plantaciones jóvenes de eucalipto es N, </w:t>
      </w:r>
      <w:r>
        <w:rPr>
          <w:color w:val="231F20"/>
          <w:spacing w:val="-12"/>
        </w:rPr>
        <w:t>P, </w:t>
      </w:r>
      <w:r>
        <w:rPr>
          <w:color w:val="231F20"/>
        </w:rPr>
        <w:t>K, Ca, Mg, S, Cu, Fe, Zn, Mn y</w:t>
      </w:r>
      <w:r>
        <w:rPr>
          <w:color w:val="231F20"/>
          <w:spacing w:val="12"/>
        </w:rPr>
        <w:t> </w:t>
      </w:r>
      <w:r>
        <w:rPr>
          <w:color w:val="231F20"/>
        </w:rPr>
        <w:t>B.</w:t>
      </w:r>
    </w:p>
    <w:p>
      <w:pPr>
        <w:pStyle w:val="BodyText"/>
        <w:spacing w:before="10"/>
      </w:pPr>
    </w:p>
    <w:p>
      <w:pPr>
        <w:pStyle w:val="BodyText"/>
        <w:spacing w:line="247" w:lineRule="auto"/>
        <w:ind w:left="1270" w:right="1267"/>
        <w:jc w:val="both"/>
      </w:pPr>
      <w:r>
        <w:rPr>
          <w:color w:val="231F20"/>
        </w:rPr>
        <w:t>Árboles de eucalipto provenientes de clones entre </w:t>
      </w:r>
      <w:r>
        <w:rPr>
          <w:i/>
          <w:color w:val="231F20"/>
        </w:rPr>
        <w:t>Eucalyptus Urophylla </w:t>
      </w:r>
      <w:r>
        <w:rPr>
          <w:i/>
          <w:color w:val="231F20"/>
          <w:spacing w:val="-4"/>
        </w:rPr>
        <w:t>S.T. </w:t>
      </w:r>
      <w:r>
        <w:rPr>
          <w:i/>
          <w:color w:val="231F20"/>
        </w:rPr>
        <w:t>Blake </w:t>
      </w:r>
      <w:r>
        <w:rPr>
          <w:color w:val="231F20"/>
        </w:rPr>
        <w:t>y </w:t>
      </w:r>
      <w:r>
        <w:rPr>
          <w:i/>
          <w:color w:val="231F20"/>
        </w:rPr>
        <w:t>Eucalyptus </w:t>
      </w:r>
      <w:r>
        <w:rPr>
          <w:i/>
          <w:color w:val="231F20"/>
        </w:rPr>
        <w:t>grandis Hill ex Maiden</w:t>
      </w:r>
      <w:r>
        <w:rPr>
          <w:color w:val="231F20"/>
        </w:rPr>
        <w:t>, requieren condiciones de temperatura que oscile entre 5ºC y 35ºC, precipi- tación anual mínima de 700 mm y máxima de 4000 mm con un periodos de lluvia bien distribuido, suelos de pH entre 5.0 - 6.5, húmedos con buen drenaje, con una profundidad que va desde 50 a  100 cm y texturas de media fina a franco arcillosa. La obtención de volumen de madera por sitio, el número</w:t>
      </w:r>
      <w:r>
        <w:rPr>
          <w:color w:val="231F20"/>
          <w:spacing w:val="-10"/>
        </w:rPr>
        <w:t> </w:t>
      </w:r>
      <w:r>
        <w:rPr>
          <w:color w:val="231F20"/>
        </w:rPr>
        <w:t>de</w:t>
      </w:r>
      <w:r>
        <w:rPr>
          <w:color w:val="231F20"/>
          <w:spacing w:val="-10"/>
        </w:rPr>
        <w:t> </w:t>
      </w:r>
      <w:r>
        <w:rPr>
          <w:color w:val="231F20"/>
        </w:rPr>
        <w:t>árboles</w:t>
      </w:r>
      <w:r>
        <w:rPr>
          <w:color w:val="231F20"/>
          <w:spacing w:val="-10"/>
        </w:rPr>
        <w:t> </w:t>
      </w:r>
      <w:r>
        <w:rPr>
          <w:color w:val="231F20"/>
        </w:rPr>
        <w:t>caídos</w:t>
      </w:r>
      <w:r>
        <w:rPr>
          <w:color w:val="231F20"/>
          <w:spacing w:val="-10"/>
        </w:rPr>
        <w:t> </w:t>
      </w:r>
      <w:r>
        <w:rPr>
          <w:color w:val="231F20"/>
        </w:rPr>
        <w:t>por</w:t>
      </w:r>
      <w:r>
        <w:rPr>
          <w:color w:val="231F20"/>
          <w:spacing w:val="-10"/>
        </w:rPr>
        <w:t> </w:t>
      </w:r>
      <w:r>
        <w:rPr>
          <w:color w:val="231F20"/>
        </w:rPr>
        <w:t>efecto</w:t>
      </w:r>
      <w:r>
        <w:rPr>
          <w:color w:val="231F20"/>
          <w:spacing w:val="-10"/>
        </w:rPr>
        <w:t> </w:t>
      </w:r>
      <w:r>
        <w:rPr>
          <w:color w:val="231F20"/>
        </w:rPr>
        <w:t>de</w:t>
      </w:r>
      <w:r>
        <w:rPr>
          <w:color w:val="231F20"/>
          <w:spacing w:val="-10"/>
        </w:rPr>
        <w:t> </w:t>
      </w:r>
      <w:r>
        <w:rPr>
          <w:color w:val="231F20"/>
        </w:rPr>
        <w:t>raíz</w:t>
      </w:r>
      <w:r>
        <w:rPr>
          <w:color w:val="231F20"/>
          <w:spacing w:val="-10"/>
        </w:rPr>
        <w:t> </w:t>
      </w:r>
      <w:r>
        <w:rPr>
          <w:color w:val="231F20"/>
        </w:rPr>
        <w:t>y</w:t>
      </w:r>
      <w:r>
        <w:rPr>
          <w:color w:val="231F20"/>
          <w:spacing w:val="-10"/>
        </w:rPr>
        <w:t> </w:t>
      </w:r>
      <w:r>
        <w:rPr>
          <w:color w:val="231F20"/>
        </w:rPr>
        <w:t>los</w:t>
      </w:r>
      <w:r>
        <w:rPr>
          <w:color w:val="231F20"/>
          <w:spacing w:val="-10"/>
        </w:rPr>
        <w:t> </w:t>
      </w:r>
      <w:r>
        <w:rPr>
          <w:color w:val="231F20"/>
        </w:rPr>
        <w:t>afectados</w:t>
      </w:r>
      <w:r>
        <w:rPr>
          <w:color w:val="231F20"/>
          <w:spacing w:val="-10"/>
        </w:rPr>
        <w:t> </w:t>
      </w:r>
      <w:r>
        <w:rPr>
          <w:color w:val="231F20"/>
        </w:rPr>
        <w:t>por</w:t>
      </w:r>
      <w:r>
        <w:rPr>
          <w:color w:val="231F20"/>
          <w:spacing w:val="-10"/>
        </w:rPr>
        <w:t> </w:t>
      </w:r>
      <w:r>
        <w:rPr>
          <w:color w:val="231F20"/>
        </w:rPr>
        <w:t>plagas</w:t>
      </w:r>
      <w:r>
        <w:rPr>
          <w:color w:val="231F20"/>
          <w:spacing w:val="-10"/>
        </w:rPr>
        <w:t> </w:t>
      </w:r>
      <w:r>
        <w:rPr>
          <w:color w:val="231F20"/>
        </w:rPr>
        <w:t>y</w:t>
      </w:r>
      <w:r>
        <w:rPr>
          <w:color w:val="231F20"/>
          <w:spacing w:val="-10"/>
        </w:rPr>
        <w:t> </w:t>
      </w:r>
      <w:r>
        <w:rPr>
          <w:color w:val="231F20"/>
        </w:rPr>
        <w:t>enfermedades</w:t>
      </w:r>
      <w:r>
        <w:rPr>
          <w:color w:val="231F20"/>
          <w:spacing w:val="-10"/>
        </w:rPr>
        <w:t> </w:t>
      </w:r>
      <w:r>
        <w:rPr>
          <w:color w:val="231F20"/>
        </w:rPr>
        <w:t>se</w:t>
      </w:r>
      <w:r>
        <w:rPr>
          <w:color w:val="231F20"/>
          <w:spacing w:val="-10"/>
        </w:rPr>
        <w:t> </w:t>
      </w:r>
      <w:r>
        <w:rPr>
          <w:color w:val="231F20"/>
        </w:rPr>
        <w:t>asocian</w:t>
      </w:r>
      <w:r>
        <w:rPr>
          <w:color w:val="231F20"/>
          <w:spacing w:val="-10"/>
        </w:rPr>
        <w:t> </w:t>
      </w:r>
      <w:r>
        <w:rPr>
          <w:color w:val="231F20"/>
        </w:rPr>
        <w:t>con inundaciones</w:t>
      </w:r>
      <w:r>
        <w:rPr>
          <w:color w:val="231F20"/>
          <w:spacing w:val="-9"/>
        </w:rPr>
        <w:t> </w:t>
      </w:r>
      <w:r>
        <w:rPr>
          <w:color w:val="231F20"/>
        </w:rPr>
        <w:t>frecuentes</w:t>
      </w:r>
      <w:r>
        <w:rPr>
          <w:color w:val="231F20"/>
          <w:spacing w:val="-9"/>
        </w:rPr>
        <w:t> </w:t>
      </w:r>
      <w:r>
        <w:rPr>
          <w:color w:val="231F20"/>
        </w:rPr>
        <w:t>durante</w:t>
      </w:r>
      <w:r>
        <w:rPr>
          <w:color w:val="231F20"/>
          <w:spacing w:val="-9"/>
        </w:rPr>
        <w:t> </w:t>
      </w:r>
      <w:r>
        <w:rPr>
          <w:color w:val="231F20"/>
        </w:rPr>
        <w:t>el</w:t>
      </w:r>
      <w:r>
        <w:rPr>
          <w:color w:val="231F20"/>
          <w:spacing w:val="-9"/>
        </w:rPr>
        <w:t> </w:t>
      </w:r>
      <w:r>
        <w:rPr>
          <w:color w:val="231F20"/>
        </w:rPr>
        <w:t>año</w:t>
      </w:r>
      <w:r>
        <w:rPr>
          <w:color w:val="231F20"/>
          <w:spacing w:val="-9"/>
        </w:rPr>
        <w:t> </w:t>
      </w:r>
      <w:r>
        <w:rPr>
          <w:color w:val="231F20"/>
        </w:rPr>
        <w:t>y</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baja</w:t>
      </w:r>
      <w:r>
        <w:rPr>
          <w:color w:val="231F20"/>
          <w:spacing w:val="-9"/>
        </w:rPr>
        <w:t> </w:t>
      </w:r>
      <w:r>
        <w:rPr>
          <w:color w:val="231F20"/>
        </w:rPr>
        <w:t>fertilidad</w:t>
      </w:r>
      <w:r>
        <w:rPr>
          <w:color w:val="231F20"/>
          <w:spacing w:val="-9"/>
        </w:rPr>
        <w:t> </w:t>
      </w:r>
      <w:r>
        <w:rPr>
          <w:color w:val="231F20"/>
        </w:rPr>
        <w:t>del</w:t>
      </w:r>
      <w:r>
        <w:rPr>
          <w:color w:val="231F20"/>
          <w:spacing w:val="-9"/>
        </w:rPr>
        <w:t> </w:t>
      </w:r>
      <w:r>
        <w:rPr>
          <w:color w:val="231F20"/>
        </w:rPr>
        <w:t>suelo.</w:t>
      </w:r>
      <w:r>
        <w:rPr>
          <w:color w:val="231F20"/>
          <w:spacing w:val="-8"/>
        </w:rPr>
        <w:t> </w:t>
      </w:r>
      <w:r>
        <w:rPr>
          <w:color w:val="231F20"/>
        </w:rPr>
        <w:t>En</w:t>
      </w:r>
      <w:r>
        <w:rPr>
          <w:color w:val="231F20"/>
          <w:spacing w:val="-9"/>
        </w:rPr>
        <w:t> </w:t>
      </w:r>
      <w:r>
        <w:rPr>
          <w:color w:val="231F20"/>
        </w:rPr>
        <w:t>la</w:t>
      </w:r>
      <w:r>
        <w:rPr>
          <w:color w:val="231F20"/>
          <w:spacing w:val="-9"/>
        </w:rPr>
        <w:t> </w:t>
      </w:r>
      <w:r>
        <w:rPr>
          <w:color w:val="231F20"/>
        </w:rPr>
        <w:t>presente</w:t>
      </w:r>
      <w:r>
        <w:rPr>
          <w:color w:val="231F20"/>
          <w:spacing w:val="-9"/>
        </w:rPr>
        <w:t> </w:t>
      </w:r>
      <w:r>
        <w:rPr>
          <w:color w:val="231F20"/>
        </w:rPr>
        <w:t>investigación</w:t>
      </w:r>
      <w:r>
        <w:rPr>
          <w:color w:val="231F20"/>
          <w:spacing w:val="-10"/>
        </w:rPr>
        <w:t> </w:t>
      </w:r>
      <w:r>
        <w:rPr>
          <w:color w:val="231F20"/>
        </w:rPr>
        <w:t>se evaluó</w:t>
      </w:r>
      <w:r>
        <w:rPr>
          <w:color w:val="231F20"/>
          <w:spacing w:val="-5"/>
        </w:rPr>
        <w:t> </w:t>
      </w:r>
      <w:r>
        <w:rPr>
          <w:color w:val="231F20"/>
        </w:rPr>
        <w:t>la</w:t>
      </w:r>
      <w:r>
        <w:rPr>
          <w:color w:val="231F20"/>
          <w:spacing w:val="-5"/>
        </w:rPr>
        <w:t> </w:t>
      </w:r>
      <w:r>
        <w:rPr>
          <w:color w:val="231F20"/>
        </w:rPr>
        <w:t>extracción</w:t>
      </w:r>
      <w:r>
        <w:rPr>
          <w:color w:val="231F20"/>
          <w:spacing w:val="-5"/>
        </w:rPr>
        <w:t> </w:t>
      </w:r>
      <w:r>
        <w:rPr>
          <w:color w:val="231F20"/>
        </w:rPr>
        <w:t>nutrimental</w:t>
      </w:r>
      <w:r>
        <w:rPr>
          <w:color w:val="231F20"/>
          <w:spacing w:val="-5"/>
        </w:rPr>
        <w:t> </w:t>
      </w:r>
      <w:r>
        <w:rPr>
          <w:color w:val="231F20"/>
        </w:rPr>
        <w:t>de</w:t>
      </w:r>
      <w:r>
        <w:rPr>
          <w:color w:val="231F20"/>
          <w:spacing w:val="-5"/>
        </w:rPr>
        <w:t> </w:t>
      </w:r>
      <w:r>
        <w:rPr>
          <w:color w:val="231F20"/>
        </w:rPr>
        <w:t>árboles</w:t>
      </w:r>
      <w:r>
        <w:rPr>
          <w:color w:val="231F20"/>
          <w:spacing w:val="-5"/>
        </w:rPr>
        <w:t> </w:t>
      </w:r>
      <w:r>
        <w:rPr>
          <w:color w:val="231F20"/>
        </w:rPr>
        <w:t>de</w:t>
      </w:r>
      <w:r>
        <w:rPr>
          <w:color w:val="231F20"/>
          <w:spacing w:val="-5"/>
        </w:rPr>
        <w:t> </w:t>
      </w:r>
      <w:r>
        <w:rPr>
          <w:color w:val="231F20"/>
        </w:rPr>
        <w:t>eucaliptos</w:t>
      </w:r>
      <w:r>
        <w:rPr>
          <w:color w:val="231F20"/>
          <w:spacing w:val="-5"/>
        </w:rPr>
        <w:t> </w:t>
      </w:r>
      <w:r>
        <w:rPr>
          <w:color w:val="231F20"/>
        </w:rPr>
        <w:t>instalados</w:t>
      </w:r>
      <w:r>
        <w:rPr>
          <w:color w:val="231F20"/>
          <w:spacing w:val="-5"/>
        </w:rPr>
        <w:t> </w:t>
      </w:r>
      <w:r>
        <w:rPr>
          <w:color w:val="231F20"/>
        </w:rPr>
        <w:t>en</w:t>
      </w:r>
      <w:r>
        <w:rPr>
          <w:color w:val="231F20"/>
          <w:spacing w:val="-5"/>
        </w:rPr>
        <w:t> </w:t>
      </w:r>
      <w:r>
        <w:rPr>
          <w:color w:val="231F20"/>
        </w:rPr>
        <w:t>suelos</w:t>
      </w:r>
      <w:r>
        <w:rPr>
          <w:color w:val="231F20"/>
          <w:spacing w:val="-5"/>
        </w:rPr>
        <w:t> </w:t>
      </w:r>
      <w:r>
        <w:rPr>
          <w:color w:val="231F20"/>
        </w:rPr>
        <w:t>ácidos</w:t>
      </w:r>
      <w:r>
        <w:rPr>
          <w:color w:val="231F20"/>
          <w:spacing w:val="-5"/>
        </w:rPr>
        <w:t> </w:t>
      </w:r>
      <w:r>
        <w:rPr>
          <w:color w:val="231F20"/>
        </w:rPr>
        <w:t>con</w:t>
      </w:r>
      <w:r>
        <w:rPr>
          <w:color w:val="231F20"/>
          <w:spacing w:val="-5"/>
        </w:rPr>
        <w:t> </w:t>
      </w:r>
      <w:r>
        <w:rPr>
          <w:color w:val="231F20"/>
        </w:rPr>
        <w:t>la</w:t>
      </w:r>
      <w:r>
        <w:rPr>
          <w:color w:val="231F20"/>
          <w:spacing w:val="-5"/>
        </w:rPr>
        <w:t> </w:t>
      </w:r>
      <w:r>
        <w:rPr>
          <w:color w:val="231F20"/>
        </w:rPr>
        <w:t>finalidad de diagnosticar el estado nutrimental del suelo, mediante análisis químicos del suelo y de la planta, para proponer prácticas de manejo y nutrición más</w:t>
      </w:r>
      <w:r>
        <w:rPr>
          <w:color w:val="231F20"/>
          <w:spacing w:val="-11"/>
        </w:rPr>
        <w:t> </w:t>
      </w:r>
      <w:r>
        <w:rPr>
          <w:color w:val="231F20"/>
        </w:rPr>
        <w:t>eficientes.</w:t>
      </w:r>
    </w:p>
    <w:p>
      <w:pPr>
        <w:pStyle w:val="BodyText"/>
        <w:spacing w:before="11"/>
        <w:rPr>
          <w:sz w:val="22"/>
        </w:rPr>
      </w:pPr>
    </w:p>
    <w:p>
      <w:pPr>
        <w:pStyle w:val="Heading3"/>
      </w:pPr>
      <w:r>
        <w:rPr>
          <w:color w:val="010202"/>
        </w:rPr>
        <w:t>Materiales y métodos</w:t>
      </w:r>
    </w:p>
    <w:p>
      <w:pPr>
        <w:pStyle w:val="BodyText"/>
        <w:spacing w:before="10"/>
        <w:rPr>
          <w:b/>
        </w:rPr>
      </w:pPr>
    </w:p>
    <w:p>
      <w:pPr>
        <w:pStyle w:val="BodyText"/>
        <w:spacing w:line="247" w:lineRule="auto"/>
        <w:ind w:left="1270" w:right="1268"/>
        <w:jc w:val="both"/>
      </w:pPr>
      <w:r>
        <w:rPr>
          <w:color w:val="231F20"/>
        </w:rPr>
        <w:t>Esta</w:t>
      </w:r>
      <w:r>
        <w:rPr>
          <w:color w:val="231F20"/>
          <w:spacing w:val="-7"/>
        </w:rPr>
        <w:t> </w:t>
      </w:r>
      <w:r>
        <w:rPr>
          <w:color w:val="231F20"/>
        </w:rPr>
        <w:t>investigación</w:t>
      </w:r>
      <w:r>
        <w:rPr>
          <w:color w:val="231F20"/>
          <w:spacing w:val="-7"/>
        </w:rPr>
        <w:t> </w:t>
      </w:r>
      <w:r>
        <w:rPr>
          <w:color w:val="231F20"/>
        </w:rPr>
        <w:t>se</w:t>
      </w:r>
      <w:r>
        <w:rPr>
          <w:color w:val="231F20"/>
          <w:spacing w:val="-7"/>
        </w:rPr>
        <w:t> </w:t>
      </w:r>
      <w:r>
        <w:rPr>
          <w:color w:val="231F20"/>
        </w:rPr>
        <w:t>realizó</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empresa</w:t>
      </w:r>
      <w:r>
        <w:rPr>
          <w:color w:val="231F20"/>
          <w:spacing w:val="-7"/>
        </w:rPr>
        <w:t> </w:t>
      </w:r>
      <w:r>
        <w:rPr>
          <w:color w:val="231F20"/>
        </w:rPr>
        <w:t>“Plantaciones</w:t>
      </w:r>
      <w:r>
        <w:rPr>
          <w:color w:val="231F20"/>
          <w:spacing w:val="-7"/>
        </w:rPr>
        <w:t> </w:t>
      </w:r>
      <w:r>
        <w:rPr>
          <w:color w:val="231F20"/>
        </w:rPr>
        <w:t>Forestales</w:t>
      </w:r>
      <w:r>
        <w:rPr>
          <w:color w:val="231F20"/>
          <w:spacing w:val="-7"/>
        </w:rPr>
        <w:t> </w:t>
      </w:r>
      <w:r>
        <w:rPr>
          <w:color w:val="231F20"/>
        </w:rPr>
        <w:t>S.A.</w:t>
      </w:r>
      <w:r>
        <w:rPr>
          <w:color w:val="231F20"/>
          <w:spacing w:val="-7"/>
        </w:rPr>
        <w:t> </w:t>
      </w:r>
      <w:r>
        <w:rPr>
          <w:color w:val="231F20"/>
        </w:rPr>
        <w:t>de</w:t>
      </w:r>
      <w:r>
        <w:rPr>
          <w:color w:val="231F20"/>
          <w:spacing w:val="-7"/>
        </w:rPr>
        <w:t> </w:t>
      </w:r>
      <w:r>
        <w:rPr>
          <w:color w:val="231F20"/>
        </w:rPr>
        <w:t>C.V”,</w:t>
      </w:r>
      <w:r>
        <w:rPr>
          <w:color w:val="231F20"/>
          <w:spacing w:val="-7"/>
        </w:rPr>
        <w:t> </w:t>
      </w:r>
      <w:r>
        <w:rPr>
          <w:color w:val="231F20"/>
        </w:rPr>
        <w:t>ubicada</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mu- nicipio</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Choapas,</w:t>
      </w:r>
      <w:r>
        <w:rPr>
          <w:color w:val="231F20"/>
          <w:spacing w:val="-13"/>
        </w:rPr>
        <w:t> </w:t>
      </w:r>
      <w:r>
        <w:rPr>
          <w:color w:val="231F20"/>
          <w:spacing w:val="-3"/>
        </w:rPr>
        <w:t>Veracruz,</w:t>
      </w:r>
      <w:r>
        <w:rPr>
          <w:color w:val="231F20"/>
          <w:spacing w:val="-10"/>
        </w:rPr>
        <w:t> </w:t>
      </w:r>
      <w:r>
        <w:rPr>
          <w:color w:val="231F20"/>
        </w:rPr>
        <w:t>la</w:t>
      </w:r>
      <w:r>
        <w:rPr>
          <w:color w:val="231F20"/>
          <w:spacing w:val="-10"/>
        </w:rPr>
        <w:t> </w:t>
      </w:r>
      <w:r>
        <w:rPr>
          <w:color w:val="231F20"/>
        </w:rPr>
        <w:t>cual</w:t>
      </w:r>
      <w:r>
        <w:rPr>
          <w:color w:val="231F20"/>
          <w:spacing w:val="-10"/>
        </w:rPr>
        <w:t> </w:t>
      </w:r>
      <w:r>
        <w:rPr>
          <w:color w:val="231F20"/>
        </w:rPr>
        <w:t>cuenta</w:t>
      </w:r>
      <w:r>
        <w:rPr>
          <w:color w:val="231F20"/>
          <w:spacing w:val="-10"/>
        </w:rPr>
        <w:t> </w:t>
      </w:r>
      <w:r>
        <w:rPr>
          <w:color w:val="231F20"/>
        </w:rPr>
        <w:t>con</w:t>
      </w:r>
      <w:r>
        <w:rPr>
          <w:color w:val="231F20"/>
          <w:spacing w:val="-10"/>
        </w:rPr>
        <w:t> </w:t>
      </w:r>
      <w:r>
        <w:rPr>
          <w:color w:val="231F20"/>
        </w:rPr>
        <w:t>10</w:t>
      </w:r>
      <w:r>
        <w:rPr>
          <w:color w:val="231F20"/>
          <w:spacing w:val="-10"/>
        </w:rPr>
        <w:t> </w:t>
      </w:r>
      <w:r>
        <w:rPr>
          <w:color w:val="231F20"/>
        </w:rPr>
        <w:t>mil</w:t>
      </w:r>
      <w:r>
        <w:rPr>
          <w:color w:val="231F20"/>
          <w:spacing w:val="-10"/>
        </w:rPr>
        <w:t> </w:t>
      </w:r>
      <w:r>
        <w:rPr>
          <w:color w:val="231F20"/>
        </w:rPr>
        <w:t>hectáreas</w:t>
      </w:r>
      <w:r>
        <w:rPr>
          <w:color w:val="231F20"/>
          <w:spacing w:val="-10"/>
        </w:rPr>
        <w:t> </w:t>
      </w:r>
      <w:r>
        <w:rPr>
          <w:color w:val="231F20"/>
        </w:rPr>
        <w:t>de</w:t>
      </w:r>
      <w:r>
        <w:rPr>
          <w:color w:val="231F20"/>
          <w:spacing w:val="-10"/>
        </w:rPr>
        <w:t> </w:t>
      </w:r>
      <w:r>
        <w:rPr>
          <w:color w:val="231F20"/>
        </w:rPr>
        <w:t>plantaciones</w:t>
      </w:r>
      <w:r>
        <w:rPr>
          <w:color w:val="231F20"/>
          <w:spacing w:val="-10"/>
        </w:rPr>
        <w:t> </w:t>
      </w:r>
      <w:r>
        <w:rPr>
          <w:color w:val="231F20"/>
        </w:rPr>
        <w:t>comerciales</w:t>
      </w:r>
      <w:r>
        <w:rPr>
          <w:color w:val="231F20"/>
          <w:spacing w:val="-10"/>
        </w:rPr>
        <w:t> </w:t>
      </w:r>
      <w:r>
        <w:rPr>
          <w:color w:val="231F20"/>
        </w:rPr>
        <w:t>de eucalipto. En el mes de junio del 2012, fueron seleccionados y geo-referenciados con GPS (Global Positioning System, marca GARMIN modelo 12 XCL), 10 predios con plantaciones de eucalipto</w:t>
      </w:r>
      <w:r>
        <w:rPr>
          <w:color w:val="231F20"/>
          <w:spacing w:val="-30"/>
        </w:rPr>
        <w:t> </w:t>
      </w:r>
      <w:r>
        <w:rPr>
          <w:color w:val="231F20"/>
        </w:rPr>
        <w:t>de diferentes edades, que abarcaron desde 1.5 hasta 13.9 años de crecimiento (Cuadro 1), para colectar muestras de suelo y de tejido</w:t>
      </w:r>
      <w:r>
        <w:rPr>
          <w:color w:val="231F20"/>
          <w:spacing w:val="-6"/>
        </w:rPr>
        <w:t> </w:t>
      </w:r>
      <w:r>
        <w:rPr>
          <w:color w:val="231F20"/>
        </w:rPr>
        <w:t>vegetal.</w:t>
      </w:r>
    </w:p>
    <w:p>
      <w:pPr>
        <w:spacing w:after="0" w:line="247" w:lineRule="auto"/>
        <w:jc w:val="both"/>
        <w:sectPr>
          <w:pgSz w:w="10920" w:h="13080"/>
          <w:pgMar w:header="0" w:footer="1025" w:top="420" w:bottom="1220" w:left="0" w:right="0"/>
        </w:sectPr>
      </w:pPr>
    </w:p>
    <w:p>
      <w:pPr>
        <w:pStyle w:val="BodyText"/>
        <w:rPr>
          <w:sz w:val="20"/>
        </w:rPr>
      </w:pPr>
    </w:p>
    <w:p>
      <w:pPr>
        <w:pStyle w:val="BodyText"/>
        <w:rPr>
          <w:sz w:val="20"/>
        </w:rPr>
      </w:pPr>
    </w:p>
    <w:p>
      <w:pPr>
        <w:pStyle w:val="BodyText"/>
        <w:rPr>
          <w:sz w:val="23"/>
        </w:rPr>
      </w:pPr>
    </w:p>
    <w:p>
      <w:pPr>
        <w:spacing w:before="77"/>
        <w:ind w:left="2338" w:right="1279" w:firstLine="0"/>
        <w:jc w:val="left"/>
        <w:rPr>
          <w:b/>
          <w:sz w:val="18"/>
        </w:rPr>
      </w:pPr>
      <w:r>
        <w:rPr>
          <w:b/>
          <w:color w:val="010202"/>
          <w:sz w:val="18"/>
        </w:rPr>
        <w:t>Cuadro 1. Ubicación geográfica de los sitios de muestreo de suelos y tejido vegetal</w:t>
      </w:r>
    </w:p>
    <w:p>
      <w:pPr>
        <w:pStyle w:val="BodyText"/>
        <w:spacing w:before="9"/>
        <w:rPr>
          <w:b/>
          <w:sz w:val="19"/>
        </w:rPr>
      </w:pPr>
    </w:p>
    <w:tbl>
      <w:tblPr>
        <w:tblW w:w="0" w:type="auto"/>
        <w:jc w:val="left"/>
        <w:tblInd w:w="1270" w:type="dxa"/>
        <w:tblBorders>
          <w:top w:val="single" w:sz="4" w:space="0" w:color="010202"/>
          <w:left w:val="single" w:sz="4" w:space="0" w:color="010202"/>
          <w:bottom w:val="single" w:sz="4" w:space="0" w:color="010202"/>
          <w:right w:val="single" w:sz="4" w:space="0" w:color="010202"/>
          <w:insideH w:val="single" w:sz="4" w:space="0" w:color="010202"/>
          <w:insideV w:val="single" w:sz="4" w:space="0" w:color="010202"/>
        </w:tblBorders>
        <w:tblLayout w:type="fixed"/>
        <w:tblCellMar>
          <w:top w:w="0" w:type="dxa"/>
          <w:left w:w="0" w:type="dxa"/>
          <w:bottom w:w="0" w:type="dxa"/>
          <w:right w:w="0" w:type="dxa"/>
        </w:tblCellMar>
        <w:tblLook w:val="01E0"/>
      </w:tblPr>
      <w:tblGrid>
        <w:gridCol w:w="505"/>
        <w:gridCol w:w="3373"/>
        <w:gridCol w:w="3107"/>
        <w:gridCol w:w="1385"/>
      </w:tblGrid>
      <w:tr>
        <w:trPr>
          <w:trHeight w:val="402" w:hRule="exact"/>
        </w:trPr>
        <w:tc>
          <w:tcPr>
            <w:tcW w:w="505" w:type="dxa"/>
          </w:tcPr>
          <w:p>
            <w:pPr>
              <w:pStyle w:val="TableParagraph"/>
              <w:spacing w:before="21"/>
              <w:ind w:left="35"/>
              <w:rPr>
                <w:sz w:val="18"/>
              </w:rPr>
            </w:pPr>
            <w:r>
              <w:rPr>
                <w:color w:val="231F20"/>
                <w:sz w:val="18"/>
              </w:rPr>
              <w:t>Sitio</w:t>
            </w:r>
          </w:p>
        </w:tc>
        <w:tc>
          <w:tcPr>
            <w:tcW w:w="3373" w:type="dxa"/>
          </w:tcPr>
          <w:p>
            <w:pPr>
              <w:pStyle w:val="TableParagraph"/>
              <w:spacing w:before="21"/>
              <w:ind w:left="204" w:right="666"/>
              <w:rPr>
                <w:sz w:val="18"/>
              </w:rPr>
            </w:pPr>
            <w:r>
              <w:rPr>
                <w:color w:val="231F20"/>
                <w:sz w:val="18"/>
              </w:rPr>
              <w:t>Identificación del Sitio</w:t>
            </w:r>
          </w:p>
        </w:tc>
        <w:tc>
          <w:tcPr>
            <w:tcW w:w="3107" w:type="dxa"/>
          </w:tcPr>
          <w:p>
            <w:pPr>
              <w:pStyle w:val="TableParagraph"/>
              <w:spacing w:before="21"/>
              <w:ind w:left="1197"/>
              <w:rPr>
                <w:sz w:val="18"/>
              </w:rPr>
            </w:pPr>
            <w:r>
              <w:rPr>
                <w:color w:val="231F20"/>
                <w:sz w:val="18"/>
              </w:rPr>
              <w:t>Coordenadas</w:t>
            </w:r>
          </w:p>
        </w:tc>
        <w:tc>
          <w:tcPr>
            <w:tcW w:w="1385" w:type="dxa"/>
          </w:tcPr>
          <w:p>
            <w:pPr>
              <w:pStyle w:val="TableParagraph"/>
              <w:spacing w:before="21"/>
              <w:ind w:left="205"/>
              <w:rPr>
                <w:sz w:val="18"/>
              </w:rPr>
            </w:pPr>
            <w:r>
              <w:rPr>
                <w:color w:val="231F20"/>
                <w:sz w:val="18"/>
              </w:rPr>
              <w:t>Edad (años)</w:t>
            </w:r>
          </w:p>
        </w:tc>
      </w:tr>
      <w:tr>
        <w:trPr>
          <w:trHeight w:val="2653" w:hRule="exact"/>
        </w:trPr>
        <w:tc>
          <w:tcPr>
            <w:tcW w:w="505" w:type="dxa"/>
          </w:tcPr>
          <w:p>
            <w:pPr>
              <w:pStyle w:val="TableParagraph"/>
              <w:spacing w:before="119"/>
              <w:ind w:left="80"/>
              <w:rPr>
                <w:sz w:val="18"/>
              </w:rPr>
            </w:pPr>
            <w:r>
              <w:rPr>
                <w:color w:val="231F20"/>
                <w:sz w:val="18"/>
              </w:rPr>
              <w:t>1</w:t>
            </w:r>
          </w:p>
          <w:p>
            <w:pPr>
              <w:pStyle w:val="TableParagraph"/>
              <w:spacing w:before="43"/>
              <w:ind w:left="80"/>
              <w:rPr>
                <w:sz w:val="18"/>
              </w:rPr>
            </w:pPr>
            <w:r>
              <w:rPr>
                <w:color w:val="231F20"/>
                <w:sz w:val="18"/>
              </w:rPr>
              <w:t>2</w:t>
            </w:r>
          </w:p>
          <w:p>
            <w:pPr>
              <w:pStyle w:val="TableParagraph"/>
              <w:spacing w:before="43"/>
              <w:ind w:left="80"/>
              <w:rPr>
                <w:sz w:val="18"/>
              </w:rPr>
            </w:pPr>
            <w:r>
              <w:rPr>
                <w:color w:val="231F20"/>
                <w:sz w:val="18"/>
              </w:rPr>
              <w:t>3</w:t>
            </w:r>
          </w:p>
          <w:p>
            <w:pPr>
              <w:pStyle w:val="TableParagraph"/>
              <w:spacing w:before="43"/>
              <w:ind w:left="80"/>
              <w:rPr>
                <w:sz w:val="18"/>
              </w:rPr>
            </w:pPr>
            <w:r>
              <w:rPr>
                <w:color w:val="231F20"/>
                <w:sz w:val="18"/>
              </w:rPr>
              <w:t>4</w:t>
            </w:r>
          </w:p>
          <w:p>
            <w:pPr>
              <w:pStyle w:val="TableParagraph"/>
              <w:spacing w:before="43"/>
              <w:ind w:left="80"/>
              <w:rPr>
                <w:sz w:val="18"/>
              </w:rPr>
            </w:pPr>
            <w:r>
              <w:rPr>
                <w:color w:val="231F20"/>
                <w:sz w:val="18"/>
              </w:rPr>
              <w:t>5</w:t>
            </w:r>
          </w:p>
          <w:p>
            <w:pPr>
              <w:pStyle w:val="TableParagraph"/>
              <w:spacing w:before="43"/>
              <w:ind w:left="80"/>
              <w:rPr>
                <w:sz w:val="18"/>
              </w:rPr>
            </w:pPr>
            <w:r>
              <w:rPr>
                <w:color w:val="231F20"/>
                <w:sz w:val="18"/>
              </w:rPr>
              <w:t>6</w:t>
            </w:r>
          </w:p>
          <w:p>
            <w:pPr>
              <w:pStyle w:val="TableParagraph"/>
              <w:spacing w:before="43"/>
              <w:ind w:left="80"/>
              <w:rPr>
                <w:sz w:val="18"/>
              </w:rPr>
            </w:pPr>
            <w:r>
              <w:rPr>
                <w:color w:val="231F20"/>
                <w:sz w:val="18"/>
              </w:rPr>
              <w:t>7</w:t>
            </w:r>
          </w:p>
          <w:p>
            <w:pPr>
              <w:pStyle w:val="TableParagraph"/>
              <w:spacing w:before="43"/>
              <w:ind w:left="80"/>
              <w:rPr>
                <w:sz w:val="18"/>
              </w:rPr>
            </w:pPr>
            <w:r>
              <w:rPr>
                <w:color w:val="231F20"/>
                <w:sz w:val="18"/>
              </w:rPr>
              <w:t>8</w:t>
            </w:r>
          </w:p>
          <w:p>
            <w:pPr>
              <w:pStyle w:val="TableParagraph"/>
              <w:spacing w:before="43"/>
              <w:ind w:left="80"/>
              <w:rPr>
                <w:sz w:val="18"/>
              </w:rPr>
            </w:pPr>
            <w:r>
              <w:rPr>
                <w:color w:val="231F20"/>
                <w:sz w:val="18"/>
              </w:rPr>
              <w:t>9</w:t>
            </w:r>
          </w:p>
          <w:p>
            <w:pPr>
              <w:pStyle w:val="TableParagraph"/>
              <w:spacing w:before="43"/>
              <w:ind w:left="35"/>
              <w:rPr>
                <w:sz w:val="18"/>
              </w:rPr>
            </w:pPr>
            <w:r>
              <w:rPr>
                <w:color w:val="231F20"/>
                <w:sz w:val="18"/>
              </w:rPr>
              <w:t>10</w:t>
            </w:r>
          </w:p>
        </w:tc>
        <w:tc>
          <w:tcPr>
            <w:tcW w:w="3373" w:type="dxa"/>
          </w:tcPr>
          <w:p>
            <w:pPr>
              <w:pStyle w:val="TableParagraph"/>
              <w:spacing w:line="290" w:lineRule="auto" w:before="119"/>
              <w:ind w:left="204" w:right="666"/>
              <w:rPr>
                <w:sz w:val="18"/>
              </w:rPr>
            </w:pPr>
            <w:r>
              <w:rPr>
                <w:color w:val="231F20"/>
                <w:sz w:val="18"/>
              </w:rPr>
              <w:t>ID 10003 Carlos Mario Ramos. ID 96029 Hermanos Morales Ruiz ID 09004 Saúl Aragón</w:t>
            </w:r>
            <w:r>
              <w:rPr>
                <w:color w:val="231F20"/>
                <w:spacing w:val="-10"/>
                <w:sz w:val="18"/>
              </w:rPr>
              <w:t> </w:t>
            </w:r>
            <w:r>
              <w:rPr>
                <w:color w:val="231F20"/>
                <w:sz w:val="18"/>
              </w:rPr>
              <w:t>Félix</w:t>
            </w:r>
          </w:p>
          <w:p>
            <w:pPr>
              <w:pStyle w:val="TableParagraph"/>
              <w:spacing w:line="290" w:lineRule="auto" w:before="1"/>
              <w:ind w:left="204" w:right="1261"/>
              <w:rPr>
                <w:sz w:val="18"/>
              </w:rPr>
            </w:pPr>
            <w:r>
              <w:rPr>
                <w:color w:val="231F20"/>
                <w:sz w:val="18"/>
              </w:rPr>
              <w:t>ID 08005 Loida Orama R ID 02003 Manuel Pérez ID 980017 Tomás Padrón</w:t>
            </w:r>
          </w:p>
          <w:p>
            <w:pPr>
              <w:pStyle w:val="TableParagraph"/>
              <w:spacing w:line="290" w:lineRule="auto" w:before="1"/>
              <w:ind w:left="204" w:right="984"/>
              <w:rPr>
                <w:sz w:val="18"/>
              </w:rPr>
            </w:pPr>
            <w:r>
              <w:rPr>
                <w:color w:val="231F20"/>
                <w:sz w:val="18"/>
              </w:rPr>
              <w:t>ID 06024 Tomás Candelero ID 96035 Alberto Márquez</w:t>
            </w:r>
          </w:p>
          <w:p>
            <w:pPr>
              <w:pStyle w:val="TableParagraph"/>
              <w:spacing w:line="290" w:lineRule="auto" w:before="1"/>
              <w:ind w:left="204" w:right="359"/>
              <w:rPr>
                <w:sz w:val="18"/>
              </w:rPr>
            </w:pPr>
            <w:r>
              <w:rPr>
                <w:color w:val="231F20"/>
                <w:sz w:val="18"/>
              </w:rPr>
              <w:t>ID 98003 Aristeo Embuiz Santander ID 98005 Santiago Wilson</w:t>
            </w:r>
          </w:p>
        </w:tc>
        <w:tc>
          <w:tcPr>
            <w:tcW w:w="3107" w:type="dxa"/>
          </w:tcPr>
          <w:p>
            <w:pPr>
              <w:pStyle w:val="TableParagraph"/>
              <w:spacing w:line="290" w:lineRule="auto" w:before="119"/>
              <w:ind w:left="432" w:right="212"/>
              <w:jc w:val="both"/>
              <w:rPr>
                <w:sz w:val="18"/>
              </w:rPr>
            </w:pPr>
            <w:r>
              <w:rPr>
                <w:color w:val="231F20"/>
                <w:sz w:val="18"/>
              </w:rPr>
              <w:t>N 17° 49´ 48.1´´ W093° 37´</w:t>
            </w:r>
            <w:r>
              <w:rPr>
                <w:color w:val="231F20"/>
                <w:spacing w:val="-4"/>
                <w:sz w:val="18"/>
              </w:rPr>
              <w:t> </w:t>
            </w:r>
            <w:r>
              <w:rPr>
                <w:color w:val="231F20"/>
                <w:sz w:val="18"/>
              </w:rPr>
              <w:t>04.0¨ N 17° 47´ 19.2´´ W093° 37´</w:t>
            </w:r>
            <w:r>
              <w:rPr>
                <w:color w:val="231F20"/>
                <w:spacing w:val="-4"/>
                <w:sz w:val="18"/>
              </w:rPr>
              <w:t> </w:t>
            </w:r>
            <w:r>
              <w:rPr>
                <w:color w:val="231F20"/>
                <w:sz w:val="18"/>
              </w:rPr>
              <w:t>58.8¨ N 17° 50´ 07.8´´ W093° 55´</w:t>
            </w:r>
            <w:r>
              <w:rPr>
                <w:color w:val="231F20"/>
                <w:spacing w:val="-4"/>
                <w:sz w:val="18"/>
              </w:rPr>
              <w:t> </w:t>
            </w:r>
            <w:r>
              <w:rPr>
                <w:color w:val="231F20"/>
                <w:sz w:val="18"/>
              </w:rPr>
              <w:t>0.77¨ N 17° 46´ 07.9´´ W093° 48´</w:t>
            </w:r>
            <w:r>
              <w:rPr>
                <w:color w:val="231F20"/>
                <w:spacing w:val="-4"/>
                <w:sz w:val="18"/>
              </w:rPr>
              <w:t> </w:t>
            </w:r>
            <w:r>
              <w:rPr>
                <w:color w:val="231F20"/>
                <w:sz w:val="18"/>
              </w:rPr>
              <w:t>05.4¨ N 17° 46´ 38.3´´ W093° 48´</w:t>
            </w:r>
            <w:r>
              <w:rPr>
                <w:color w:val="231F20"/>
                <w:spacing w:val="-4"/>
                <w:sz w:val="18"/>
              </w:rPr>
              <w:t> </w:t>
            </w:r>
            <w:r>
              <w:rPr>
                <w:color w:val="231F20"/>
                <w:sz w:val="18"/>
              </w:rPr>
              <w:t>54.1¨ N 17° 48´ 04.9´´ W093° 52´</w:t>
            </w:r>
            <w:r>
              <w:rPr>
                <w:color w:val="231F20"/>
                <w:spacing w:val="-4"/>
                <w:sz w:val="18"/>
              </w:rPr>
              <w:t> </w:t>
            </w:r>
            <w:r>
              <w:rPr>
                <w:color w:val="231F20"/>
                <w:sz w:val="18"/>
              </w:rPr>
              <w:t>31.8¨ N 17° 46´ 41.3´´ W093° 49´</w:t>
            </w:r>
            <w:r>
              <w:rPr>
                <w:color w:val="231F20"/>
                <w:spacing w:val="-4"/>
                <w:sz w:val="18"/>
              </w:rPr>
              <w:t> </w:t>
            </w:r>
            <w:r>
              <w:rPr>
                <w:color w:val="231F20"/>
                <w:sz w:val="18"/>
              </w:rPr>
              <w:t>29.7¨ N 17° 43´ 46.8´´ W093° 39´</w:t>
            </w:r>
            <w:r>
              <w:rPr>
                <w:color w:val="231F20"/>
                <w:spacing w:val="-4"/>
                <w:sz w:val="18"/>
              </w:rPr>
              <w:t> </w:t>
            </w:r>
            <w:r>
              <w:rPr>
                <w:color w:val="231F20"/>
                <w:sz w:val="18"/>
              </w:rPr>
              <w:t>37.3¨ N 17° 47´ 22.2´´ W093° 50´</w:t>
            </w:r>
            <w:r>
              <w:rPr>
                <w:color w:val="231F20"/>
                <w:spacing w:val="-4"/>
                <w:sz w:val="18"/>
              </w:rPr>
              <w:t> </w:t>
            </w:r>
            <w:r>
              <w:rPr>
                <w:color w:val="231F20"/>
                <w:sz w:val="18"/>
              </w:rPr>
              <w:t>47.6¨ N 17° 44´ 23.0´´ W093° 45´</w:t>
            </w:r>
            <w:r>
              <w:rPr>
                <w:color w:val="231F20"/>
                <w:spacing w:val="-4"/>
                <w:sz w:val="18"/>
              </w:rPr>
              <w:t> </w:t>
            </w:r>
            <w:r>
              <w:rPr>
                <w:color w:val="231F20"/>
                <w:sz w:val="18"/>
              </w:rPr>
              <w:t>54.1¨</w:t>
            </w:r>
          </w:p>
        </w:tc>
        <w:tc>
          <w:tcPr>
            <w:tcW w:w="1385" w:type="dxa"/>
          </w:tcPr>
          <w:p>
            <w:pPr>
              <w:pStyle w:val="TableParagraph"/>
              <w:spacing w:before="119"/>
              <w:ind w:left="411" w:right="517"/>
              <w:jc w:val="center"/>
              <w:rPr>
                <w:sz w:val="18"/>
              </w:rPr>
            </w:pPr>
            <w:r>
              <w:rPr>
                <w:color w:val="231F20"/>
                <w:sz w:val="18"/>
              </w:rPr>
              <w:t>1.0</w:t>
            </w:r>
          </w:p>
          <w:p>
            <w:pPr>
              <w:pStyle w:val="TableParagraph"/>
              <w:spacing w:before="43"/>
              <w:ind w:left="411" w:right="517"/>
              <w:jc w:val="center"/>
              <w:rPr>
                <w:sz w:val="18"/>
              </w:rPr>
            </w:pPr>
            <w:r>
              <w:rPr>
                <w:color w:val="231F20"/>
                <w:sz w:val="18"/>
              </w:rPr>
              <w:t>1.5</w:t>
            </w:r>
          </w:p>
          <w:p>
            <w:pPr>
              <w:pStyle w:val="TableParagraph"/>
              <w:spacing w:before="43"/>
              <w:ind w:left="411" w:right="517"/>
              <w:jc w:val="center"/>
              <w:rPr>
                <w:sz w:val="18"/>
              </w:rPr>
            </w:pPr>
            <w:r>
              <w:rPr>
                <w:color w:val="231F20"/>
                <w:sz w:val="18"/>
              </w:rPr>
              <w:t>3.0</w:t>
            </w:r>
          </w:p>
          <w:p>
            <w:pPr>
              <w:pStyle w:val="TableParagraph"/>
              <w:spacing w:before="43"/>
              <w:ind w:left="411" w:right="517"/>
              <w:jc w:val="center"/>
              <w:rPr>
                <w:sz w:val="18"/>
              </w:rPr>
            </w:pPr>
            <w:r>
              <w:rPr>
                <w:color w:val="231F20"/>
                <w:sz w:val="18"/>
              </w:rPr>
              <w:t>3.5</w:t>
            </w:r>
          </w:p>
          <w:p>
            <w:pPr>
              <w:pStyle w:val="TableParagraph"/>
              <w:spacing w:before="43"/>
              <w:ind w:left="411" w:right="517"/>
              <w:jc w:val="center"/>
              <w:rPr>
                <w:sz w:val="18"/>
              </w:rPr>
            </w:pPr>
            <w:r>
              <w:rPr>
                <w:color w:val="231F20"/>
                <w:sz w:val="18"/>
              </w:rPr>
              <w:t>3.5</w:t>
            </w:r>
          </w:p>
          <w:p>
            <w:pPr>
              <w:pStyle w:val="TableParagraph"/>
              <w:spacing w:before="43"/>
              <w:ind w:left="411" w:right="517"/>
              <w:jc w:val="center"/>
              <w:rPr>
                <w:sz w:val="18"/>
              </w:rPr>
            </w:pPr>
            <w:r>
              <w:rPr>
                <w:color w:val="231F20"/>
                <w:sz w:val="18"/>
              </w:rPr>
              <w:t>4.0</w:t>
            </w:r>
          </w:p>
          <w:p>
            <w:pPr>
              <w:pStyle w:val="TableParagraph"/>
              <w:spacing w:before="43"/>
              <w:ind w:left="411" w:right="517"/>
              <w:jc w:val="center"/>
              <w:rPr>
                <w:sz w:val="18"/>
              </w:rPr>
            </w:pPr>
            <w:r>
              <w:rPr>
                <w:color w:val="231F20"/>
                <w:sz w:val="18"/>
              </w:rPr>
              <w:t>5.0</w:t>
            </w:r>
          </w:p>
          <w:p>
            <w:pPr>
              <w:pStyle w:val="TableParagraph"/>
              <w:spacing w:before="43"/>
              <w:ind w:left="411" w:right="517"/>
              <w:jc w:val="center"/>
              <w:rPr>
                <w:sz w:val="18"/>
              </w:rPr>
            </w:pPr>
            <w:r>
              <w:rPr>
                <w:color w:val="231F20"/>
                <w:sz w:val="18"/>
              </w:rPr>
              <w:t>6.6</w:t>
            </w:r>
          </w:p>
          <w:p>
            <w:pPr>
              <w:pStyle w:val="TableParagraph"/>
              <w:spacing w:before="43"/>
              <w:ind w:left="411" w:right="517"/>
              <w:jc w:val="center"/>
              <w:rPr>
                <w:sz w:val="18"/>
              </w:rPr>
            </w:pPr>
            <w:r>
              <w:rPr>
                <w:color w:val="231F20"/>
                <w:sz w:val="18"/>
              </w:rPr>
              <w:t>7.0</w:t>
            </w:r>
          </w:p>
          <w:p>
            <w:pPr>
              <w:pStyle w:val="TableParagraph"/>
              <w:spacing w:before="43"/>
              <w:ind w:left="411" w:right="607"/>
              <w:jc w:val="center"/>
              <w:rPr>
                <w:sz w:val="18"/>
              </w:rPr>
            </w:pPr>
            <w:r>
              <w:rPr>
                <w:color w:val="231F20"/>
                <w:sz w:val="18"/>
              </w:rPr>
              <w:t>13.9</w:t>
            </w:r>
          </w:p>
        </w:tc>
      </w:tr>
    </w:tbl>
    <w:p>
      <w:pPr>
        <w:pStyle w:val="BodyText"/>
        <w:spacing w:before="11"/>
        <w:rPr>
          <w:b/>
          <w:sz w:val="9"/>
        </w:rPr>
      </w:pPr>
    </w:p>
    <w:p>
      <w:pPr>
        <w:pStyle w:val="BodyText"/>
        <w:spacing w:line="247" w:lineRule="auto" w:before="73"/>
        <w:ind w:left="1270" w:right="1268"/>
        <w:jc w:val="both"/>
      </w:pPr>
      <w:r>
        <w:rPr>
          <w:color w:val="231F20"/>
        </w:rPr>
        <w:t>En la región de Las Choapas, estado de </w:t>
      </w:r>
      <w:r>
        <w:rPr>
          <w:color w:val="231F20"/>
          <w:spacing w:val="-3"/>
        </w:rPr>
        <w:t>Veracruz, </w:t>
      </w:r>
      <w:r>
        <w:rPr>
          <w:color w:val="231F20"/>
        </w:rPr>
        <w:t>el clima es cálido-regular con una temperatura promedio de 27° C y una lámina de lluvia promedio de 2,900 mm (Silvestre y </w:t>
      </w:r>
      <w:r>
        <w:rPr>
          <w:color w:val="231F20"/>
          <w:spacing w:val="-3"/>
        </w:rPr>
        <w:t>Torres, </w:t>
      </w:r>
      <w:r>
        <w:rPr>
          <w:color w:val="231F20"/>
        </w:rPr>
        <w:t>2003, Medi- na, 2003). Los suelos predominantes, son gleysols y acrisols, donde el primero se caracteriza por tener mal drenaje y por ello se encuentra saturado de humedad en forma casi permanente</w:t>
      </w:r>
      <w:r>
        <w:rPr>
          <w:color w:val="231F20"/>
          <w:spacing w:val="-34"/>
        </w:rPr>
        <w:t> </w:t>
      </w:r>
      <w:r>
        <w:rPr>
          <w:color w:val="231F20"/>
        </w:rPr>
        <w:t>(INAFED, 2005b), mientras que el segundo es de tipo ácido, rico en aluminio activo y materia orgánica, defi- ciente en </w:t>
      </w:r>
      <w:r>
        <w:rPr>
          <w:color w:val="231F20"/>
          <w:spacing w:val="-12"/>
        </w:rPr>
        <w:t>P, </w:t>
      </w:r>
      <w:r>
        <w:rPr>
          <w:color w:val="231F20"/>
        </w:rPr>
        <w:t>Ca, Mg, Zn, B y Mo (INAFED, 2005a; Aguirre, 2001).</w:t>
      </w:r>
    </w:p>
    <w:p>
      <w:pPr>
        <w:pStyle w:val="BodyText"/>
        <w:spacing w:before="10"/>
      </w:pPr>
    </w:p>
    <w:p>
      <w:pPr>
        <w:pStyle w:val="BodyText"/>
        <w:ind w:left="1270"/>
        <w:jc w:val="both"/>
      </w:pPr>
      <w:r>
        <w:rPr>
          <w:color w:val="231F20"/>
        </w:rPr>
        <w:t>En cada sitio se colectaron 25 submuestras de suelo de 50 g a una profundidad de 0 a 30 cm y proce-</w:t>
      </w:r>
    </w:p>
    <w:p>
      <w:pPr>
        <w:pStyle w:val="BodyText"/>
        <w:spacing w:before="8"/>
        <w:ind w:left="1270"/>
        <w:jc w:val="both"/>
      </w:pPr>
      <w:r>
        <w:rPr>
          <w:color w:val="231F20"/>
        </w:rPr>
        <w:t>sada en cuarterones para formar una muestra compuesta de solo 0.5 kg.</w:t>
      </w:r>
    </w:p>
    <w:p>
      <w:pPr>
        <w:pStyle w:val="BodyText"/>
        <w:spacing w:line="247" w:lineRule="auto" w:before="8"/>
        <w:ind w:left="1270" w:right="1268"/>
        <w:jc w:val="both"/>
      </w:pPr>
      <w:r>
        <w:rPr>
          <w:color w:val="231F20"/>
        </w:rPr>
        <w:t>En el laboratorio de Nutrición </w:t>
      </w:r>
      <w:r>
        <w:rPr>
          <w:color w:val="231F20"/>
          <w:spacing w:val="-4"/>
        </w:rPr>
        <w:t>Vegetal </w:t>
      </w:r>
      <w:r>
        <w:rPr>
          <w:color w:val="231F20"/>
        </w:rPr>
        <w:t>de la Universidad Autónoma Chapingo, el suelo fue secado, molido y tamizado con un tamiz de acero inoxidable malla 200 micras. Una vez preparado el suelo, se</w:t>
      </w:r>
      <w:r>
        <w:rPr>
          <w:color w:val="231F20"/>
          <w:spacing w:val="-9"/>
        </w:rPr>
        <w:t> </w:t>
      </w:r>
      <w:r>
        <w:rPr>
          <w:color w:val="231F20"/>
        </w:rPr>
        <w:t>le</w:t>
      </w:r>
      <w:r>
        <w:rPr>
          <w:color w:val="231F20"/>
          <w:spacing w:val="-9"/>
        </w:rPr>
        <w:t> </w:t>
      </w:r>
      <w:r>
        <w:rPr>
          <w:color w:val="231F20"/>
        </w:rPr>
        <w:t>determinó</w:t>
      </w:r>
      <w:r>
        <w:rPr>
          <w:color w:val="231F20"/>
          <w:spacing w:val="-9"/>
        </w:rPr>
        <w:t> </w:t>
      </w:r>
      <w:r>
        <w:rPr>
          <w:color w:val="231F20"/>
        </w:rPr>
        <w:t>el</w:t>
      </w:r>
      <w:r>
        <w:rPr>
          <w:color w:val="231F20"/>
          <w:spacing w:val="-9"/>
        </w:rPr>
        <w:t> </w:t>
      </w:r>
      <w:r>
        <w:rPr>
          <w:color w:val="231F20"/>
        </w:rPr>
        <w:t>pH</w:t>
      </w:r>
      <w:r>
        <w:rPr>
          <w:color w:val="231F20"/>
          <w:spacing w:val="-9"/>
        </w:rPr>
        <w:t> </w:t>
      </w:r>
      <w:r>
        <w:rPr>
          <w:color w:val="231F20"/>
        </w:rPr>
        <w:t>en</w:t>
      </w:r>
      <w:r>
        <w:rPr>
          <w:color w:val="231F20"/>
          <w:spacing w:val="-9"/>
        </w:rPr>
        <w:t> </w:t>
      </w:r>
      <w:r>
        <w:rPr>
          <w:color w:val="231F20"/>
        </w:rPr>
        <w:t>agua</w:t>
      </w:r>
      <w:r>
        <w:rPr>
          <w:color w:val="231F20"/>
          <w:spacing w:val="-9"/>
        </w:rPr>
        <w:t> </w:t>
      </w:r>
      <w:r>
        <w:rPr>
          <w:color w:val="231F20"/>
        </w:rPr>
        <w:t>(relación</w:t>
      </w:r>
      <w:r>
        <w:rPr>
          <w:color w:val="231F20"/>
          <w:spacing w:val="-9"/>
        </w:rPr>
        <w:t> </w:t>
      </w:r>
      <w:r>
        <w:rPr>
          <w:color w:val="231F20"/>
        </w:rPr>
        <w:t>1:2),</w:t>
      </w:r>
      <w:r>
        <w:rPr>
          <w:color w:val="231F20"/>
          <w:spacing w:val="-9"/>
        </w:rPr>
        <w:t> </w:t>
      </w:r>
      <w:r>
        <w:rPr>
          <w:color w:val="231F20"/>
        </w:rPr>
        <w:t>materia</w:t>
      </w:r>
      <w:r>
        <w:rPr>
          <w:color w:val="231F20"/>
          <w:spacing w:val="-9"/>
        </w:rPr>
        <w:t> </w:t>
      </w:r>
      <w:r>
        <w:rPr>
          <w:color w:val="231F20"/>
        </w:rPr>
        <w:t>orgánica</w:t>
      </w:r>
      <w:r>
        <w:rPr>
          <w:color w:val="231F20"/>
          <w:spacing w:val="-9"/>
        </w:rPr>
        <w:t> </w:t>
      </w:r>
      <w:r>
        <w:rPr>
          <w:color w:val="231F20"/>
          <w:spacing w:val="-3"/>
        </w:rPr>
        <w:t>(Walkley</w:t>
      </w:r>
      <w:r>
        <w:rPr>
          <w:color w:val="231F20"/>
          <w:spacing w:val="-9"/>
        </w:rPr>
        <w:t> </w:t>
      </w:r>
      <w:r>
        <w:rPr>
          <w:color w:val="231F20"/>
        </w:rPr>
        <w:t>y</w:t>
      </w:r>
      <w:r>
        <w:rPr>
          <w:color w:val="231F20"/>
          <w:spacing w:val="-9"/>
        </w:rPr>
        <w:t> </w:t>
      </w:r>
      <w:r>
        <w:rPr>
          <w:color w:val="231F20"/>
        </w:rPr>
        <w:t>Black),</w:t>
      </w:r>
      <w:r>
        <w:rPr>
          <w:color w:val="231F20"/>
          <w:spacing w:val="-9"/>
        </w:rPr>
        <w:t> </w:t>
      </w:r>
      <w:r>
        <w:rPr>
          <w:color w:val="231F20"/>
        </w:rPr>
        <w:t>nitrógeno</w:t>
      </w:r>
      <w:r>
        <w:rPr>
          <w:color w:val="231F20"/>
          <w:spacing w:val="-9"/>
        </w:rPr>
        <w:t> </w:t>
      </w:r>
      <w:r>
        <w:rPr>
          <w:color w:val="231F20"/>
        </w:rPr>
        <w:t>inorgáni-</w:t>
      </w:r>
    </w:p>
    <w:p>
      <w:pPr>
        <w:pStyle w:val="BodyText"/>
        <w:spacing w:line="167" w:lineRule="exact" w:before="2"/>
        <w:ind w:left="1270"/>
        <w:jc w:val="both"/>
      </w:pPr>
      <w:r>
        <w:rPr>
          <w:color w:val="231F20"/>
        </w:rPr>
        <w:t>co (N-NO </w:t>
      </w:r>
      <w:r>
        <w:rPr>
          <w:color w:val="231F20"/>
          <w:position w:val="7"/>
          <w:sz w:val="12"/>
        </w:rPr>
        <w:t>- </w:t>
      </w:r>
      <w:r>
        <w:rPr>
          <w:color w:val="231F20"/>
        </w:rPr>
        <w:t>+ N-NH </w:t>
      </w:r>
      <w:r>
        <w:rPr>
          <w:color w:val="231F20"/>
          <w:position w:val="7"/>
          <w:sz w:val="12"/>
        </w:rPr>
        <w:t>+</w:t>
      </w:r>
      <w:r>
        <w:rPr>
          <w:color w:val="231F20"/>
        </w:rPr>
        <w:t>, extraído con KCl 2N), fósforo disponible (Bray-1) y determinado en espectro-</w:t>
      </w:r>
    </w:p>
    <w:p>
      <w:pPr>
        <w:tabs>
          <w:tab w:pos="2939" w:val="left" w:leader="none"/>
        </w:tabs>
        <w:spacing w:line="110" w:lineRule="exact" w:before="0"/>
        <w:ind w:left="2107" w:right="5337" w:firstLine="0"/>
        <w:jc w:val="left"/>
        <w:rPr>
          <w:sz w:val="12"/>
        </w:rPr>
      </w:pPr>
      <w:r>
        <w:rPr>
          <w:color w:val="231F20"/>
          <w:sz w:val="12"/>
        </w:rPr>
        <w:t>3</w:t>
        <w:tab/>
        <w:t>4</w:t>
      </w:r>
    </w:p>
    <w:p>
      <w:pPr>
        <w:pStyle w:val="BodyText"/>
        <w:spacing w:line="214" w:lineRule="exact"/>
        <w:ind w:left="1270" w:right="1279"/>
      </w:pPr>
      <w:r>
        <w:rPr/>
        <w:pict>
          <v:shape style="position:absolute;margin-left:439.024414pt;margin-top:7.024764pt;width:3.1pt;height:6.15pt;mso-position-horizontal-relative:page;mso-position-vertical-relative:paragraph;z-index:-209440" type="#_x0000_t202" filled="false" stroked="false">
            <v:textbox inset="0,0,0,0">
              <w:txbxContent>
                <w:p>
                  <w:pPr>
                    <w:spacing w:line="122" w:lineRule="exact" w:before="0"/>
                    <w:ind w:left="0" w:right="0" w:firstLine="0"/>
                    <w:jc w:val="left"/>
                    <w:rPr>
                      <w:sz w:val="12"/>
                    </w:rPr>
                  </w:pPr>
                  <w:r>
                    <w:rPr>
                      <w:color w:val="231F20"/>
                      <w:w w:val="102"/>
                      <w:sz w:val="12"/>
                    </w:rPr>
                    <w:t>3</w:t>
                  </w:r>
                </w:p>
              </w:txbxContent>
            </v:textbox>
            <w10:wrap type="none"/>
          </v:shape>
        </w:pict>
      </w:r>
      <w:r>
        <w:rPr/>
        <w:pict>
          <v:shape style="position:absolute;margin-left:479.419586pt;margin-top:7.024764pt;width:3.1pt;height:6.15pt;mso-position-horizontal-relative:page;mso-position-vertical-relative:paragraph;z-index:-209392" type="#_x0000_t202" filled="false" stroked="false">
            <v:textbox inset="0,0,0,0">
              <w:txbxContent>
                <w:p>
                  <w:pPr>
                    <w:spacing w:line="122" w:lineRule="exact" w:before="0"/>
                    <w:ind w:left="0" w:right="0" w:firstLine="0"/>
                    <w:jc w:val="left"/>
                    <w:rPr>
                      <w:sz w:val="12"/>
                    </w:rPr>
                  </w:pPr>
                  <w:r>
                    <w:rPr>
                      <w:color w:val="231F20"/>
                      <w:w w:val="102"/>
                      <w:sz w:val="12"/>
                    </w:rPr>
                    <w:t>4</w:t>
                  </w:r>
                </w:p>
              </w:txbxContent>
            </v:textbox>
            <w10:wrap type="none"/>
          </v:shape>
        </w:pict>
      </w:r>
      <w:r>
        <w:rPr>
          <w:color w:val="231F20"/>
        </w:rPr>
        <w:t>fotómetro de luz, capacidad de intercambio catiónico y cationes intercambiables (con CH COONH</w:t>
      </w:r>
    </w:p>
    <w:p>
      <w:pPr>
        <w:pStyle w:val="BodyText"/>
        <w:spacing w:line="247" w:lineRule="auto" w:before="8"/>
        <w:ind w:left="1270" w:right="1267" w:hanging="1"/>
        <w:jc w:val="both"/>
      </w:pPr>
      <w:r>
        <w:rPr/>
        <w:pict>
          <v:shape style="position:absolute;margin-left:375.138702pt;margin-top:8.778427pt;width:3.1pt;height:6.15pt;mso-position-horizontal-relative:page;mso-position-vertical-relative:paragraph;z-index:-209416" type="#_x0000_t202" filled="false" stroked="false">
            <v:textbox inset="0,0,0,0">
              <w:txbxContent>
                <w:p>
                  <w:pPr>
                    <w:spacing w:line="122" w:lineRule="exact" w:before="0"/>
                    <w:ind w:left="0" w:right="0" w:firstLine="0"/>
                    <w:jc w:val="left"/>
                    <w:rPr>
                      <w:sz w:val="12"/>
                    </w:rPr>
                  </w:pPr>
                  <w:r>
                    <w:rPr>
                      <w:color w:val="231F20"/>
                      <w:w w:val="102"/>
                      <w:sz w:val="12"/>
                    </w:rPr>
                    <w:t>2</w:t>
                  </w:r>
                </w:p>
              </w:txbxContent>
            </v:textbox>
            <w10:wrap type="none"/>
          </v:shape>
        </w:pict>
      </w:r>
      <w:r>
        <w:rPr>
          <w:color w:val="231F20"/>
        </w:rPr>
        <w:t>1N pH=7), Fe, Mn, Cu y Zn (extraídos con </w:t>
      </w:r>
      <w:r>
        <w:rPr>
          <w:color w:val="231F20"/>
          <w:spacing w:val="-4"/>
        </w:rPr>
        <w:t>DTPA); </w:t>
      </w:r>
      <w:r>
        <w:rPr>
          <w:color w:val="231F20"/>
        </w:rPr>
        <w:t>B (extraído con CaCl ); textura (hidrómetro de Bouyoucos), densidad aparente (probeta) y conductividad eléctrica (pasta de saturación y determi- nado con puente de conductividad) mediante los procedimientos descritos en la NOM-021-2000 para</w:t>
      </w:r>
      <w:r>
        <w:rPr>
          <w:color w:val="231F20"/>
          <w:spacing w:val="-4"/>
        </w:rPr>
        <w:t> </w:t>
      </w:r>
      <w:r>
        <w:rPr>
          <w:color w:val="231F20"/>
        </w:rPr>
        <w:t>el</w:t>
      </w:r>
      <w:r>
        <w:rPr>
          <w:color w:val="231F20"/>
          <w:spacing w:val="-4"/>
        </w:rPr>
        <w:t> </w:t>
      </w:r>
      <w:r>
        <w:rPr>
          <w:color w:val="231F20"/>
        </w:rPr>
        <w:t>análisis</w:t>
      </w:r>
      <w:r>
        <w:rPr>
          <w:color w:val="231F20"/>
          <w:spacing w:val="-4"/>
        </w:rPr>
        <w:t> </w:t>
      </w:r>
      <w:r>
        <w:rPr>
          <w:color w:val="231F20"/>
        </w:rPr>
        <w:t>de</w:t>
      </w:r>
      <w:r>
        <w:rPr>
          <w:color w:val="231F20"/>
          <w:spacing w:val="-4"/>
        </w:rPr>
        <w:t> </w:t>
      </w:r>
      <w:r>
        <w:rPr>
          <w:color w:val="231F20"/>
        </w:rPr>
        <w:t>fertilidad</w:t>
      </w:r>
      <w:r>
        <w:rPr>
          <w:color w:val="231F20"/>
          <w:spacing w:val="-4"/>
        </w:rPr>
        <w:t> </w:t>
      </w:r>
      <w:r>
        <w:rPr>
          <w:color w:val="231F20"/>
        </w:rPr>
        <w:t>de</w:t>
      </w:r>
      <w:r>
        <w:rPr>
          <w:color w:val="231F20"/>
          <w:spacing w:val="-4"/>
        </w:rPr>
        <w:t> </w:t>
      </w:r>
      <w:r>
        <w:rPr>
          <w:color w:val="231F20"/>
        </w:rPr>
        <w:t>suelos</w:t>
      </w:r>
      <w:r>
        <w:rPr>
          <w:color w:val="231F20"/>
          <w:spacing w:val="-4"/>
        </w:rPr>
        <w:t> (SEMARNAT, </w:t>
      </w:r>
      <w:r>
        <w:rPr>
          <w:color w:val="231F20"/>
        </w:rPr>
        <w:t>2002).</w:t>
      </w:r>
      <w:r>
        <w:rPr>
          <w:color w:val="231F20"/>
          <w:spacing w:val="-4"/>
        </w:rPr>
        <w:t> </w:t>
      </w:r>
      <w:r>
        <w:rPr>
          <w:color w:val="231F20"/>
        </w:rPr>
        <w:t>Los</w:t>
      </w:r>
      <w:r>
        <w:rPr>
          <w:color w:val="231F20"/>
          <w:spacing w:val="-4"/>
        </w:rPr>
        <w:t> </w:t>
      </w:r>
      <w:r>
        <w:rPr>
          <w:color w:val="231F20"/>
        </w:rPr>
        <w:t>resultados</w:t>
      </w:r>
      <w:r>
        <w:rPr>
          <w:color w:val="231F20"/>
          <w:spacing w:val="-4"/>
        </w:rPr>
        <w:t> </w:t>
      </w:r>
      <w:r>
        <w:rPr>
          <w:color w:val="231F20"/>
        </w:rPr>
        <w:t>de</w:t>
      </w:r>
      <w:r>
        <w:rPr>
          <w:color w:val="231F20"/>
          <w:spacing w:val="-4"/>
        </w:rPr>
        <w:t> </w:t>
      </w:r>
      <w:r>
        <w:rPr>
          <w:color w:val="231F20"/>
        </w:rPr>
        <w:t>fertilidad</w:t>
      </w:r>
      <w:r>
        <w:rPr>
          <w:color w:val="231F20"/>
          <w:spacing w:val="-4"/>
        </w:rPr>
        <w:t> </w:t>
      </w:r>
      <w:r>
        <w:rPr>
          <w:color w:val="231F20"/>
        </w:rPr>
        <w:t>de</w:t>
      </w:r>
      <w:r>
        <w:rPr>
          <w:color w:val="231F20"/>
          <w:spacing w:val="-4"/>
        </w:rPr>
        <w:t> </w:t>
      </w:r>
      <w:r>
        <w:rPr>
          <w:color w:val="231F20"/>
        </w:rPr>
        <w:t>suelos</w:t>
      </w:r>
      <w:r>
        <w:rPr>
          <w:color w:val="231F20"/>
          <w:spacing w:val="-4"/>
        </w:rPr>
        <w:t> </w:t>
      </w:r>
      <w:r>
        <w:rPr>
          <w:color w:val="231F20"/>
        </w:rPr>
        <w:t>se agruparon</w:t>
      </w:r>
      <w:r>
        <w:rPr>
          <w:color w:val="231F20"/>
          <w:spacing w:val="-11"/>
        </w:rPr>
        <w:t> </w:t>
      </w:r>
      <w:r>
        <w:rPr>
          <w:color w:val="231F20"/>
        </w:rPr>
        <w:t>en</w:t>
      </w:r>
      <w:r>
        <w:rPr>
          <w:color w:val="231F20"/>
          <w:spacing w:val="-10"/>
        </w:rPr>
        <w:t> </w:t>
      </w:r>
      <w:r>
        <w:rPr>
          <w:color w:val="231F20"/>
        </w:rPr>
        <w:t>cinco</w:t>
      </w:r>
      <w:r>
        <w:rPr>
          <w:color w:val="231F20"/>
          <w:spacing w:val="-10"/>
        </w:rPr>
        <w:t> </w:t>
      </w:r>
      <w:r>
        <w:rPr>
          <w:color w:val="231F20"/>
        </w:rPr>
        <w:t>categorías:</w:t>
      </w:r>
      <w:r>
        <w:rPr>
          <w:color w:val="231F20"/>
          <w:spacing w:val="-11"/>
        </w:rPr>
        <w:t> </w:t>
      </w:r>
      <w:r>
        <w:rPr>
          <w:color w:val="231F20"/>
        </w:rPr>
        <w:t>muy</w:t>
      </w:r>
      <w:r>
        <w:rPr>
          <w:color w:val="231F20"/>
          <w:spacing w:val="-10"/>
        </w:rPr>
        <w:t> </w:t>
      </w:r>
      <w:r>
        <w:rPr>
          <w:color w:val="231F20"/>
        </w:rPr>
        <w:t>bajo,</w:t>
      </w:r>
      <w:r>
        <w:rPr>
          <w:color w:val="231F20"/>
          <w:spacing w:val="-10"/>
        </w:rPr>
        <w:t> </w:t>
      </w:r>
      <w:r>
        <w:rPr>
          <w:color w:val="231F20"/>
        </w:rPr>
        <w:t>bajo,</w:t>
      </w:r>
      <w:r>
        <w:rPr>
          <w:color w:val="231F20"/>
          <w:spacing w:val="-10"/>
        </w:rPr>
        <w:t> </w:t>
      </w:r>
      <w:r>
        <w:rPr>
          <w:color w:val="231F20"/>
        </w:rPr>
        <w:t>medio,</w:t>
      </w:r>
      <w:r>
        <w:rPr>
          <w:color w:val="231F20"/>
          <w:spacing w:val="-10"/>
        </w:rPr>
        <w:t> </w:t>
      </w:r>
      <w:r>
        <w:rPr>
          <w:color w:val="231F20"/>
        </w:rPr>
        <w:t>alto</w:t>
      </w:r>
      <w:r>
        <w:rPr>
          <w:color w:val="231F20"/>
          <w:spacing w:val="-10"/>
        </w:rPr>
        <w:t> </w:t>
      </w:r>
      <w:r>
        <w:rPr>
          <w:color w:val="231F20"/>
        </w:rPr>
        <w:t>y</w:t>
      </w:r>
      <w:r>
        <w:rPr>
          <w:color w:val="231F20"/>
          <w:spacing w:val="-10"/>
        </w:rPr>
        <w:t> </w:t>
      </w:r>
      <w:r>
        <w:rPr>
          <w:color w:val="231F20"/>
        </w:rPr>
        <w:t>muy</w:t>
      </w:r>
      <w:r>
        <w:rPr>
          <w:color w:val="231F20"/>
          <w:spacing w:val="-10"/>
        </w:rPr>
        <w:t> </w:t>
      </w:r>
      <w:r>
        <w:rPr>
          <w:color w:val="231F20"/>
        </w:rPr>
        <w:t>alto,</w:t>
      </w:r>
      <w:r>
        <w:rPr>
          <w:color w:val="231F20"/>
          <w:spacing w:val="-10"/>
        </w:rPr>
        <w:t> </w:t>
      </w:r>
      <w:r>
        <w:rPr>
          <w:color w:val="231F20"/>
        </w:rPr>
        <w:t>de</w:t>
      </w:r>
      <w:r>
        <w:rPr>
          <w:color w:val="231F20"/>
          <w:spacing w:val="-10"/>
        </w:rPr>
        <w:t> </w:t>
      </w:r>
      <w:r>
        <w:rPr>
          <w:color w:val="231F20"/>
        </w:rPr>
        <w:t>acuerdo</w:t>
      </w:r>
      <w:r>
        <w:rPr>
          <w:color w:val="231F20"/>
          <w:spacing w:val="-10"/>
        </w:rPr>
        <w:t> </w:t>
      </w:r>
      <w:r>
        <w:rPr>
          <w:color w:val="231F20"/>
        </w:rPr>
        <w:t>a</w:t>
      </w:r>
      <w:r>
        <w:rPr>
          <w:color w:val="231F20"/>
          <w:spacing w:val="-10"/>
        </w:rPr>
        <w:t> </w:t>
      </w:r>
      <w:r>
        <w:rPr>
          <w:color w:val="231F20"/>
        </w:rPr>
        <w:t>los</w:t>
      </w:r>
      <w:r>
        <w:rPr>
          <w:color w:val="231F20"/>
          <w:spacing w:val="-10"/>
        </w:rPr>
        <w:t> </w:t>
      </w:r>
      <w:r>
        <w:rPr>
          <w:color w:val="231F20"/>
        </w:rPr>
        <w:t>valores</w:t>
      </w:r>
      <w:r>
        <w:rPr>
          <w:color w:val="231F20"/>
          <w:spacing w:val="-10"/>
        </w:rPr>
        <w:t> </w:t>
      </w:r>
      <w:r>
        <w:rPr>
          <w:color w:val="231F20"/>
        </w:rPr>
        <w:t>límite presentados por Ankerman y Large (1980) y </w:t>
      </w:r>
      <w:r>
        <w:rPr>
          <w:color w:val="231F20"/>
          <w:spacing w:val="-3"/>
        </w:rPr>
        <w:t>SEMARNAT</w:t>
      </w:r>
      <w:r>
        <w:rPr>
          <w:color w:val="231F20"/>
          <w:spacing w:val="-20"/>
        </w:rPr>
        <w:t> </w:t>
      </w:r>
      <w:r>
        <w:rPr>
          <w:color w:val="231F20"/>
        </w:rPr>
        <w:t>(2002).</w:t>
      </w:r>
    </w:p>
    <w:p>
      <w:pPr>
        <w:pStyle w:val="BodyText"/>
        <w:spacing w:before="10"/>
      </w:pPr>
    </w:p>
    <w:p>
      <w:pPr>
        <w:pStyle w:val="BodyText"/>
        <w:spacing w:line="247" w:lineRule="auto"/>
        <w:ind w:left="1270" w:right="1267"/>
        <w:jc w:val="both"/>
      </w:pPr>
      <w:r>
        <w:rPr>
          <w:color w:val="231F20"/>
        </w:rPr>
        <w:t>La</w:t>
      </w:r>
      <w:r>
        <w:rPr>
          <w:color w:val="231F20"/>
          <w:spacing w:val="-11"/>
        </w:rPr>
        <w:t> </w:t>
      </w:r>
      <w:r>
        <w:rPr>
          <w:color w:val="231F20"/>
        </w:rPr>
        <w:t>colecta</w:t>
      </w:r>
      <w:r>
        <w:rPr>
          <w:color w:val="231F20"/>
          <w:spacing w:val="-11"/>
        </w:rPr>
        <w:t> </w:t>
      </w:r>
      <w:r>
        <w:rPr>
          <w:color w:val="231F20"/>
        </w:rPr>
        <w:t>del</w:t>
      </w:r>
      <w:r>
        <w:rPr>
          <w:color w:val="231F20"/>
          <w:spacing w:val="-11"/>
        </w:rPr>
        <w:t> </w:t>
      </w:r>
      <w:r>
        <w:rPr>
          <w:color w:val="231F20"/>
        </w:rPr>
        <w:t>tejido</w:t>
      </w:r>
      <w:r>
        <w:rPr>
          <w:color w:val="231F20"/>
          <w:spacing w:val="-11"/>
        </w:rPr>
        <w:t> </w:t>
      </w:r>
      <w:r>
        <w:rPr>
          <w:color w:val="231F20"/>
        </w:rPr>
        <w:t>vegetal</w:t>
      </w:r>
      <w:r>
        <w:rPr>
          <w:color w:val="231F20"/>
          <w:spacing w:val="-11"/>
        </w:rPr>
        <w:t> </w:t>
      </w:r>
      <w:r>
        <w:rPr>
          <w:color w:val="231F20"/>
        </w:rPr>
        <w:t>se</w:t>
      </w:r>
      <w:r>
        <w:rPr>
          <w:color w:val="231F20"/>
          <w:spacing w:val="-11"/>
        </w:rPr>
        <w:t> </w:t>
      </w:r>
      <w:r>
        <w:rPr>
          <w:color w:val="231F20"/>
        </w:rPr>
        <w:t>realizó</w:t>
      </w:r>
      <w:r>
        <w:rPr>
          <w:color w:val="231F20"/>
          <w:spacing w:val="-11"/>
        </w:rPr>
        <w:t> </w:t>
      </w:r>
      <w:r>
        <w:rPr>
          <w:color w:val="231F20"/>
        </w:rPr>
        <w:t>por</w:t>
      </w:r>
      <w:r>
        <w:rPr>
          <w:color w:val="231F20"/>
          <w:spacing w:val="-11"/>
        </w:rPr>
        <w:t> </w:t>
      </w:r>
      <w:r>
        <w:rPr>
          <w:color w:val="231F20"/>
        </w:rPr>
        <w:t>cada</w:t>
      </w:r>
      <w:r>
        <w:rPr>
          <w:color w:val="231F20"/>
          <w:spacing w:val="-11"/>
        </w:rPr>
        <w:t> </w:t>
      </w:r>
      <w:r>
        <w:rPr>
          <w:color w:val="231F20"/>
        </w:rPr>
        <w:t>sitio</w:t>
      </w:r>
      <w:r>
        <w:rPr>
          <w:color w:val="231F20"/>
          <w:spacing w:val="-10"/>
        </w:rPr>
        <w:t> </w:t>
      </w:r>
      <w:r>
        <w:rPr>
          <w:color w:val="231F20"/>
        </w:rPr>
        <w:t>de</w:t>
      </w:r>
      <w:r>
        <w:rPr>
          <w:color w:val="231F20"/>
          <w:spacing w:val="-11"/>
        </w:rPr>
        <w:t> </w:t>
      </w:r>
      <w:r>
        <w:rPr>
          <w:color w:val="231F20"/>
        </w:rPr>
        <w:t>muestreo,</w:t>
      </w:r>
      <w:r>
        <w:rPr>
          <w:color w:val="231F20"/>
          <w:spacing w:val="-11"/>
        </w:rPr>
        <w:t> </w:t>
      </w:r>
      <w:r>
        <w:rPr>
          <w:color w:val="231F20"/>
        </w:rPr>
        <w:t>seleccionando</w:t>
      </w:r>
      <w:r>
        <w:rPr>
          <w:color w:val="231F20"/>
          <w:spacing w:val="-10"/>
        </w:rPr>
        <w:t> </w:t>
      </w:r>
      <w:r>
        <w:rPr>
          <w:color w:val="231F20"/>
        </w:rPr>
        <w:t>hojas</w:t>
      </w:r>
      <w:r>
        <w:rPr>
          <w:color w:val="231F20"/>
          <w:spacing w:val="-11"/>
        </w:rPr>
        <w:t> </w:t>
      </w:r>
      <w:r>
        <w:rPr>
          <w:color w:val="231F20"/>
        </w:rPr>
        <w:t>recientemente desarrolladas, bien soleadas, fotosintéticamente activas, de la parte media de la planta, de los cuatro puntos cardinales de seis árboles, de la misma edad, sanos y de tamaño </w:t>
      </w:r>
      <w:r>
        <w:rPr>
          <w:color w:val="231F20"/>
          <w:spacing w:val="-3"/>
        </w:rPr>
        <w:t>similar. </w:t>
      </w:r>
      <w:r>
        <w:rPr>
          <w:color w:val="231F20"/>
        </w:rPr>
        <w:t>El proceso de lim- pieza</w:t>
      </w:r>
      <w:r>
        <w:rPr>
          <w:color w:val="231F20"/>
          <w:spacing w:val="-5"/>
        </w:rPr>
        <w:t> </w:t>
      </w:r>
      <w:r>
        <w:rPr>
          <w:color w:val="231F20"/>
        </w:rPr>
        <w:t>previo</w:t>
      </w:r>
      <w:r>
        <w:rPr>
          <w:color w:val="231F20"/>
          <w:spacing w:val="-5"/>
        </w:rPr>
        <w:t> </w:t>
      </w:r>
      <w:r>
        <w:rPr>
          <w:color w:val="231F20"/>
        </w:rPr>
        <w:t>al</w:t>
      </w:r>
      <w:r>
        <w:rPr>
          <w:color w:val="231F20"/>
          <w:spacing w:val="-5"/>
        </w:rPr>
        <w:t> </w:t>
      </w:r>
      <w:r>
        <w:rPr>
          <w:color w:val="231F20"/>
        </w:rPr>
        <w:t>análisis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muestra</w:t>
      </w:r>
      <w:r>
        <w:rPr>
          <w:color w:val="231F20"/>
          <w:spacing w:val="-5"/>
        </w:rPr>
        <w:t> </w:t>
      </w:r>
      <w:r>
        <w:rPr>
          <w:color w:val="231F20"/>
        </w:rPr>
        <w:t>consistió</w:t>
      </w:r>
      <w:r>
        <w:rPr>
          <w:color w:val="231F20"/>
          <w:spacing w:val="-5"/>
        </w:rPr>
        <w:t> </w:t>
      </w:r>
      <w:r>
        <w:rPr>
          <w:color w:val="231F20"/>
        </w:rPr>
        <w:t>en:</w:t>
      </w:r>
      <w:r>
        <w:rPr>
          <w:color w:val="231F20"/>
          <w:spacing w:val="-5"/>
        </w:rPr>
        <w:t> </w:t>
      </w:r>
      <w:r>
        <w:rPr>
          <w:color w:val="231F20"/>
        </w:rPr>
        <w:t>lavado</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hojas</w:t>
      </w:r>
      <w:r>
        <w:rPr>
          <w:color w:val="231F20"/>
          <w:spacing w:val="-5"/>
        </w:rPr>
        <w:t> </w:t>
      </w:r>
      <w:r>
        <w:rPr>
          <w:color w:val="231F20"/>
        </w:rPr>
        <w:t>con</w:t>
      </w:r>
      <w:r>
        <w:rPr>
          <w:color w:val="231F20"/>
          <w:spacing w:val="-5"/>
        </w:rPr>
        <w:t> </w:t>
      </w:r>
      <w:r>
        <w:rPr>
          <w:color w:val="231F20"/>
        </w:rPr>
        <w:t>agua</w:t>
      </w:r>
      <w:r>
        <w:rPr>
          <w:color w:val="231F20"/>
          <w:spacing w:val="-5"/>
        </w:rPr>
        <w:t> </w:t>
      </w:r>
      <w:r>
        <w:rPr>
          <w:color w:val="231F20"/>
        </w:rPr>
        <w:t>y</w:t>
      </w:r>
      <w:r>
        <w:rPr>
          <w:color w:val="231F20"/>
          <w:spacing w:val="-5"/>
        </w:rPr>
        <w:t> </w:t>
      </w:r>
      <w:r>
        <w:rPr>
          <w:color w:val="231F20"/>
        </w:rPr>
        <w:t>detergente,</w:t>
      </w:r>
      <w:r>
        <w:rPr>
          <w:color w:val="231F20"/>
          <w:spacing w:val="-8"/>
        </w:rPr>
        <w:t> </w:t>
      </w:r>
      <w:r>
        <w:rPr>
          <w:color w:val="231F20"/>
          <w:spacing w:val="-3"/>
        </w:rPr>
        <w:t>Teepol, </w:t>
      </w:r>
      <w:r>
        <w:rPr>
          <w:color w:val="231F20"/>
        </w:rPr>
        <w:t>agua</w:t>
      </w:r>
      <w:r>
        <w:rPr>
          <w:color w:val="231F20"/>
          <w:spacing w:val="-10"/>
        </w:rPr>
        <w:t> </w:t>
      </w:r>
      <w:r>
        <w:rPr>
          <w:color w:val="231F20"/>
        </w:rPr>
        <w:t>destilada</w:t>
      </w:r>
      <w:r>
        <w:rPr>
          <w:color w:val="231F20"/>
          <w:spacing w:val="-10"/>
        </w:rPr>
        <w:t> </w:t>
      </w:r>
      <w:r>
        <w:rPr>
          <w:color w:val="231F20"/>
        </w:rPr>
        <w:t>y</w:t>
      </w:r>
      <w:r>
        <w:rPr>
          <w:color w:val="231F20"/>
          <w:spacing w:val="-10"/>
        </w:rPr>
        <w:t> </w:t>
      </w:r>
      <w:r>
        <w:rPr>
          <w:color w:val="231F20"/>
        </w:rPr>
        <w:t>agua</w:t>
      </w:r>
      <w:r>
        <w:rPr>
          <w:color w:val="231F20"/>
          <w:spacing w:val="-10"/>
        </w:rPr>
        <w:t> </w:t>
      </w:r>
      <w:r>
        <w:rPr>
          <w:color w:val="231F20"/>
        </w:rPr>
        <w:t>deionizada,</w:t>
      </w:r>
      <w:r>
        <w:rPr>
          <w:color w:val="231F20"/>
          <w:spacing w:val="-10"/>
        </w:rPr>
        <w:t> </w:t>
      </w:r>
      <w:r>
        <w:rPr>
          <w:color w:val="231F20"/>
        </w:rPr>
        <w:t>secadas</w:t>
      </w:r>
      <w:r>
        <w:rPr>
          <w:color w:val="231F20"/>
          <w:spacing w:val="-10"/>
        </w:rPr>
        <w:t> </w:t>
      </w:r>
      <w:r>
        <w:rPr>
          <w:color w:val="231F20"/>
        </w:rPr>
        <w:t>con</w:t>
      </w:r>
      <w:r>
        <w:rPr>
          <w:color w:val="231F20"/>
          <w:spacing w:val="-10"/>
        </w:rPr>
        <w:t> </w:t>
      </w:r>
      <w:r>
        <w:rPr>
          <w:color w:val="231F20"/>
        </w:rPr>
        <w:t>papel</w:t>
      </w:r>
      <w:r>
        <w:rPr>
          <w:color w:val="231F20"/>
          <w:spacing w:val="-10"/>
        </w:rPr>
        <w:t> </w:t>
      </w:r>
      <w:r>
        <w:rPr>
          <w:color w:val="231F20"/>
        </w:rPr>
        <w:t>absorbente</w:t>
      </w:r>
      <w:r>
        <w:rPr>
          <w:color w:val="231F20"/>
          <w:spacing w:val="-11"/>
        </w:rPr>
        <w:t> </w:t>
      </w:r>
      <w:r>
        <w:rPr>
          <w:color w:val="231F20"/>
        </w:rPr>
        <w:t>y</w:t>
      </w:r>
      <w:r>
        <w:rPr>
          <w:color w:val="231F20"/>
          <w:spacing w:val="-10"/>
        </w:rPr>
        <w:t> </w:t>
      </w:r>
      <w:r>
        <w:rPr>
          <w:color w:val="231F20"/>
        </w:rPr>
        <w:t>llevadas</w:t>
      </w:r>
      <w:r>
        <w:rPr>
          <w:color w:val="231F20"/>
          <w:spacing w:val="-11"/>
        </w:rPr>
        <w:t> </w:t>
      </w:r>
      <w:r>
        <w:rPr>
          <w:color w:val="231F20"/>
        </w:rPr>
        <w:t>a</w:t>
      </w:r>
      <w:r>
        <w:rPr>
          <w:color w:val="231F20"/>
          <w:spacing w:val="-10"/>
        </w:rPr>
        <w:t> </w:t>
      </w:r>
      <w:r>
        <w:rPr>
          <w:color w:val="231F20"/>
        </w:rPr>
        <w:t>la</w:t>
      </w:r>
      <w:r>
        <w:rPr>
          <w:color w:val="231F20"/>
          <w:spacing w:val="-10"/>
        </w:rPr>
        <w:t> </w:t>
      </w:r>
      <w:r>
        <w:rPr>
          <w:color w:val="231F20"/>
        </w:rPr>
        <w:t>estufa</w:t>
      </w:r>
      <w:r>
        <w:rPr>
          <w:color w:val="231F20"/>
          <w:spacing w:val="-10"/>
        </w:rPr>
        <w:t> </w:t>
      </w:r>
      <w:r>
        <w:rPr>
          <w:color w:val="231F20"/>
        </w:rPr>
        <w:t>para</w:t>
      </w:r>
      <w:r>
        <w:rPr>
          <w:color w:val="231F20"/>
          <w:spacing w:val="-10"/>
        </w:rPr>
        <w:t> </w:t>
      </w:r>
      <w:r>
        <w:rPr>
          <w:color w:val="231F20"/>
        </w:rPr>
        <w:t>ser</w:t>
      </w:r>
      <w:r>
        <w:rPr>
          <w:color w:val="231F20"/>
          <w:spacing w:val="-10"/>
        </w:rPr>
        <w:t> </w:t>
      </w:r>
      <w:r>
        <w:rPr>
          <w:color w:val="231F20"/>
        </w:rPr>
        <w:t>coloca-</w:t>
      </w:r>
    </w:p>
    <w:p>
      <w:pPr>
        <w:spacing w:after="0" w:line="247" w:lineRule="auto"/>
        <w:jc w:val="both"/>
        <w:sectPr>
          <w:pgSz w:w="10920" w:h="13080"/>
          <w:pgMar w:header="0" w:footer="1025" w:top="420" w:bottom="1220" w:left="0" w:right="0"/>
        </w:sectPr>
      </w:pPr>
    </w:p>
    <w:p>
      <w:pPr>
        <w:pStyle w:val="BodyText"/>
        <w:rPr>
          <w:sz w:val="20"/>
        </w:rPr>
      </w:pPr>
    </w:p>
    <w:p>
      <w:pPr>
        <w:pStyle w:val="BodyText"/>
        <w:rPr>
          <w:sz w:val="20"/>
        </w:rPr>
      </w:pPr>
    </w:p>
    <w:p>
      <w:pPr>
        <w:pStyle w:val="BodyText"/>
        <w:rPr>
          <w:sz w:val="23"/>
        </w:rPr>
      </w:pPr>
    </w:p>
    <w:p>
      <w:pPr>
        <w:pStyle w:val="BodyText"/>
        <w:spacing w:line="247" w:lineRule="auto" w:before="73"/>
        <w:ind w:left="1270" w:right="1268"/>
        <w:jc w:val="both"/>
      </w:pPr>
      <w:r>
        <w:rPr>
          <w:color w:val="231F20"/>
        </w:rPr>
        <w:t>das</w:t>
      </w:r>
      <w:r>
        <w:rPr>
          <w:color w:val="231F20"/>
          <w:spacing w:val="-2"/>
        </w:rPr>
        <w:t> </w:t>
      </w:r>
      <w:r>
        <w:rPr>
          <w:color w:val="231F20"/>
        </w:rPr>
        <w:t>a</w:t>
      </w:r>
      <w:r>
        <w:rPr>
          <w:color w:val="231F20"/>
          <w:spacing w:val="-3"/>
        </w:rPr>
        <w:t> </w:t>
      </w:r>
      <w:r>
        <w:rPr>
          <w:color w:val="231F20"/>
        </w:rPr>
        <w:t>una</w:t>
      </w:r>
      <w:r>
        <w:rPr>
          <w:color w:val="231F20"/>
          <w:spacing w:val="-3"/>
        </w:rPr>
        <w:t> </w:t>
      </w:r>
      <w:r>
        <w:rPr>
          <w:color w:val="231F20"/>
        </w:rPr>
        <w:t>temperatura</w:t>
      </w:r>
      <w:r>
        <w:rPr>
          <w:color w:val="231F20"/>
          <w:spacing w:val="-3"/>
        </w:rPr>
        <w:t> </w:t>
      </w:r>
      <w:r>
        <w:rPr>
          <w:color w:val="231F20"/>
        </w:rPr>
        <w:t>de</w:t>
      </w:r>
      <w:r>
        <w:rPr>
          <w:color w:val="231F20"/>
          <w:spacing w:val="-3"/>
        </w:rPr>
        <w:t> </w:t>
      </w:r>
      <w:r>
        <w:rPr>
          <w:color w:val="231F20"/>
        </w:rPr>
        <w:t>70°C</w:t>
      </w:r>
      <w:r>
        <w:rPr>
          <w:color w:val="231F20"/>
          <w:spacing w:val="-2"/>
        </w:rPr>
        <w:t> </w:t>
      </w:r>
      <w:r>
        <w:rPr>
          <w:color w:val="231F20"/>
        </w:rPr>
        <w:t>durante</w:t>
      </w:r>
      <w:r>
        <w:rPr>
          <w:color w:val="231F20"/>
          <w:spacing w:val="-3"/>
        </w:rPr>
        <w:t> </w:t>
      </w:r>
      <w:r>
        <w:rPr>
          <w:color w:val="231F20"/>
        </w:rPr>
        <w:t>72</w:t>
      </w:r>
      <w:r>
        <w:rPr>
          <w:color w:val="231F20"/>
          <w:spacing w:val="-2"/>
        </w:rPr>
        <w:t> </w:t>
      </w:r>
      <w:r>
        <w:rPr>
          <w:color w:val="231F20"/>
        </w:rPr>
        <w:t>horas.</w:t>
      </w:r>
      <w:r>
        <w:rPr>
          <w:color w:val="231F20"/>
          <w:spacing w:val="-2"/>
        </w:rPr>
        <w:t> </w:t>
      </w:r>
      <w:r>
        <w:rPr>
          <w:color w:val="231F20"/>
        </w:rPr>
        <w:t>Posteriormente,</w:t>
      </w:r>
      <w:r>
        <w:rPr>
          <w:color w:val="231F20"/>
          <w:spacing w:val="-3"/>
        </w:rPr>
        <w:t> </w:t>
      </w:r>
      <w:r>
        <w:rPr>
          <w:color w:val="231F20"/>
        </w:rPr>
        <w:t>se</w:t>
      </w:r>
      <w:r>
        <w:rPr>
          <w:color w:val="231F20"/>
          <w:spacing w:val="-2"/>
        </w:rPr>
        <w:t> </w:t>
      </w:r>
      <w:r>
        <w:rPr>
          <w:color w:val="231F20"/>
        </w:rPr>
        <w:t>molieron</w:t>
      </w:r>
      <w:r>
        <w:rPr>
          <w:color w:val="231F20"/>
          <w:spacing w:val="-3"/>
        </w:rPr>
        <w:t> </w:t>
      </w:r>
      <w:r>
        <w:rPr>
          <w:color w:val="231F20"/>
        </w:rPr>
        <w:t>en</w:t>
      </w:r>
      <w:r>
        <w:rPr>
          <w:color w:val="231F20"/>
          <w:spacing w:val="-3"/>
        </w:rPr>
        <w:t> </w:t>
      </w:r>
      <w:r>
        <w:rPr>
          <w:color w:val="231F20"/>
        </w:rPr>
        <w:t>un</w:t>
      </w:r>
      <w:r>
        <w:rPr>
          <w:color w:val="231F20"/>
          <w:spacing w:val="-2"/>
        </w:rPr>
        <w:t> </w:t>
      </w:r>
      <w:r>
        <w:rPr>
          <w:color w:val="231F20"/>
        </w:rPr>
        <w:t>molino</w:t>
      </w:r>
      <w:r>
        <w:rPr>
          <w:color w:val="231F20"/>
          <w:spacing w:val="-3"/>
        </w:rPr>
        <w:t> </w:t>
      </w:r>
      <w:r>
        <w:rPr>
          <w:color w:val="231F20"/>
        </w:rPr>
        <w:t>de</w:t>
      </w:r>
      <w:r>
        <w:rPr>
          <w:color w:val="231F20"/>
          <w:spacing w:val="-3"/>
        </w:rPr>
        <w:t> </w:t>
      </w:r>
      <w:r>
        <w:rPr>
          <w:color w:val="231F20"/>
        </w:rPr>
        <w:t>acero inoxidable provisto de una malla 40. Los nutrimentos analizados fueron digeridos vía húmeda, con una</w:t>
      </w:r>
      <w:r>
        <w:rPr>
          <w:color w:val="231F20"/>
          <w:spacing w:val="-6"/>
        </w:rPr>
        <w:t> </w:t>
      </w:r>
      <w:r>
        <w:rPr>
          <w:color w:val="231F20"/>
        </w:rPr>
        <w:t>mezcla</w:t>
      </w:r>
      <w:r>
        <w:rPr>
          <w:color w:val="231F20"/>
          <w:spacing w:val="-7"/>
        </w:rPr>
        <w:t> </w:t>
      </w:r>
      <w:r>
        <w:rPr>
          <w:color w:val="231F20"/>
        </w:rPr>
        <w:t>de</w:t>
      </w:r>
      <w:r>
        <w:rPr>
          <w:color w:val="231F20"/>
          <w:spacing w:val="-6"/>
        </w:rPr>
        <w:t> </w:t>
      </w:r>
      <w:r>
        <w:rPr>
          <w:color w:val="231F20"/>
        </w:rPr>
        <w:t>ácido</w:t>
      </w:r>
      <w:r>
        <w:rPr>
          <w:color w:val="231F20"/>
          <w:spacing w:val="-7"/>
        </w:rPr>
        <w:t> </w:t>
      </w:r>
      <w:r>
        <w:rPr>
          <w:color w:val="231F20"/>
        </w:rPr>
        <w:t>sulfúrico,</w:t>
      </w:r>
      <w:r>
        <w:rPr>
          <w:color w:val="231F20"/>
          <w:spacing w:val="-6"/>
        </w:rPr>
        <w:t> </w:t>
      </w:r>
      <w:r>
        <w:rPr>
          <w:color w:val="231F20"/>
        </w:rPr>
        <w:t>ácido</w:t>
      </w:r>
      <w:r>
        <w:rPr>
          <w:color w:val="231F20"/>
          <w:spacing w:val="-7"/>
        </w:rPr>
        <w:t> </w:t>
      </w:r>
      <w:r>
        <w:rPr>
          <w:color w:val="231F20"/>
        </w:rPr>
        <w:t>perclórico</w:t>
      </w:r>
      <w:r>
        <w:rPr>
          <w:color w:val="231F20"/>
          <w:spacing w:val="-6"/>
        </w:rPr>
        <w:t> </w:t>
      </w:r>
      <w:r>
        <w:rPr>
          <w:color w:val="231F20"/>
        </w:rPr>
        <w:t>y</w:t>
      </w:r>
      <w:r>
        <w:rPr>
          <w:color w:val="231F20"/>
          <w:spacing w:val="-7"/>
        </w:rPr>
        <w:t> </w:t>
      </w:r>
      <w:r>
        <w:rPr>
          <w:color w:val="231F20"/>
        </w:rPr>
        <w:t>peróxido</w:t>
      </w:r>
      <w:r>
        <w:rPr>
          <w:color w:val="231F20"/>
          <w:spacing w:val="-6"/>
        </w:rPr>
        <w:t> </w:t>
      </w:r>
      <w:r>
        <w:rPr>
          <w:color w:val="231F20"/>
        </w:rPr>
        <w:t>de</w:t>
      </w:r>
      <w:r>
        <w:rPr>
          <w:color w:val="231F20"/>
          <w:spacing w:val="-6"/>
        </w:rPr>
        <w:t> </w:t>
      </w:r>
      <w:r>
        <w:rPr>
          <w:color w:val="231F20"/>
        </w:rPr>
        <w:t>hidrógeno,</w:t>
      </w:r>
      <w:r>
        <w:rPr>
          <w:color w:val="231F20"/>
          <w:spacing w:val="-6"/>
        </w:rPr>
        <w:t> </w:t>
      </w:r>
      <w:r>
        <w:rPr>
          <w:color w:val="231F20"/>
        </w:rPr>
        <w:t>concentrados.</w:t>
      </w:r>
      <w:r>
        <w:rPr>
          <w:color w:val="231F20"/>
          <w:spacing w:val="-7"/>
        </w:rPr>
        <w:t> </w:t>
      </w:r>
      <w:r>
        <w:rPr>
          <w:color w:val="231F20"/>
        </w:rPr>
        <w:t>El</w:t>
      </w:r>
      <w:r>
        <w:rPr>
          <w:color w:val="231F20"/>
          <w:spacing w:val="-7"/>
        </w:rPr>
        <w:t> </w:t>
      </w:r>
      <w:r>
        <w:rPr>
          <w:color w:val="231F20"/>
        </w:rPr>
        <w:t>nitrógeno total</w:t>
      </w:r>
      <w:r>
        <w:rPr>
          <w:color w:val="231F20"/>
          <w:spacing w:val="-11"/>
        </w:rPr>
        <w:t> </w:t>
      </w:r>
      <w:r>
        <w:rPr>
          <w:color w:val="231F20"/>
        </w:rPr>
        <w:t>foliar</w:t>
      </w:r>
      <w:r>
        <w:rPr>
          <w:color w:val="231F20"/>
          <w:spacing w:val="-11"/>
        </w:rPr>
        <w:t> </w:t>
      </w:r>
      <w:r>
        <w:rPr>
          <w:color w:val="231F20"/>
        </w:rPr>
        <w:t>se</w:t>
      </w:r>
      <w:r>
        <w:rPr>
          <w:color w:val="231F20"/>
          <w:spacing w:val="-11"/>
        </w:rPr>
        <w:t> </w:t>
      </w:r>
      <w:r>
        <w:rPr>
          <w:color w:val="231F20"/>
        </w:rPr>
        <w:t>determinó</w:t>
      </w:r>
      <w:r>
        <w:rPr>
          <w:color w:val="231F20"/>
          <w:spacing w:val="-11"/>
        </w:rPr>
        <w:t> </w:t>
      </w:r>
      <w:r>
        <w:rPr>
          <w:color w:val="231F20"/>
        </w:rPr>
        <w:t>por</w:t>
      </w:r>
      <w:r>
        <w:rPr>
          <w:color w:val="231F20"/>
          <w:spacing w:val="-11"/>
        </w:rPr>
        <w:t> </w:t>
      </w:r>
      <w:r>
        <w:rPr>
          <w:color w:val="231F20"/>
        </w:rPr>
        <w:t>el</w:t>
      </w:r>
      <w:r>
        <w:rPr>
          <w:color w:val="231F20"/>
          <w:spacing w:val="-11"/>
        </w:rPr>
        <w:t> </w:t>
      </w:r>
      <w:r>
        <w:rPr>
          <w:color w:val="231F20"/>
        </w:rPr>
        <w:t>método</w:t>
      </w:r>
      <w:r>
        <w:rPr>
          <w:color w:val="231F20"/>
          <w:spacing w:val="-11"/>
        </w:rPr>
        <w:t> </w:t>
      </w:r>
      <w:r>
        <w:rPr>
          <w:color w:val="231F20"/>
        </w:rPr>
        <w:t>semimicro-Kjeldahl,</w:t>
      </w:r>
      <w:r>
        <w:rPr>
          <w:color w:val="231F20"/>
          <w:spacing w:val="-11"/>
        </w:rPr>
        <w:t> </w:t>
      </w:r>
      <w:r>
        <w:rPr>
          <w:color w:val="231F20"/>
        </w:rPr>
        <w:t>el</w:t>
      </w:r>
      <w:r>
        <w:rPr>
          <w:color w:val="231F20"/>
          <w:spacing w:val="-11"/>
        </w:rPr>
        <w:t> </w:t>
      </w:r>
      <w:r>
        <w:rPr>
          <w:color w:val="231F20"/>
        </w:rPr>
        <w:t>fósforo</w:t>
      </w:r>
      <w:r>
        <w:rPr>
          <w:color w:val="231F20"/>
          <w:spacing w:val="-11"/>
        </w:rPr>
        <w:t> </w:t>
      </w:r>
      <w:r>
        <w:rPr>
          <w:color w:val="231F20"/>
        </w:rPr>
        <w:t>(complejo</w:t>
      </w:r>
      <w:r>
        <w:rPr>
          <w:color w:val="231F20"/>
          <w:spacing w:val="-11"/>
        </w:rPr>
        <w:t> </w:t>
      </w:r>
      <w:r>
        <w:rPr>
          <w:color w:val="231F20"/>
        </w:rPr>
        <w:t>amarillo</w:t>
      </w:r>
      <w:r>
        <w:rPr>
          <w:color w:val="231F20"/>
          <w:spacing w:val="-11"/>
        </w:rPr>
        <w:t> </w:t>
      </w:r>
      <w:r>
        <w:rPr>
          <w:color w:val="231F20"/>
        </w:rPr>
        <w:t>de</w:t>
      </w:r>
      <w:r>
        <w:rPr>
          <w:color w:val="231F20"/>
          <w:spacing w:val="-11"/>
        </w:rPr>
        <w:t> </w:t>
      </w:r>
      <w:r>
        <w:rPr>
          <w:color w:val="231F20"/>
        </w:rPr>
        <w:t>vanado- molibdato),</w:t>
      </w:r>
      <w:r>
        <w:rPr>
          <w:color w:val="231F20"/>
          <w:spacing w:val="-6"/>
        </w:rPr>
        <w:t> </w:t>
      </w:r>
      <w:r>
        <w:rPr>
          <w:color w:val="231F20"/>
        </w:rPr>
        <w:t>el</w:t>
      </w:r>
      <w:r>
        <w:rPr>
          <w:color w:val="231F20"/>
          <w:spacing w:val="-6"/>
        </w:rPr>
        <w:t> </w:t>
      </w:r>
      <w:r>
        <w:rPr>
          <w:color w:val="231F20"/>
        </w:rPr>
        <w:t>potasio</w:t>
      </w:r>
      <w:r>
        <w:rPr>
          <w:color w:val="231F20"/>
          <w:spacing w:val="-6"/>
        </w:rPr>
        <w:t> </w:t>
      </w:r>
      <w:r>
        <w:rPr>
          <w:color w:val="231F20"/>
        </w:rPr>
        <w:t>por</w:t>
      </w:r>
      <w:r>
        <w:rPr>
          <w:color w:val="231F20"/>
          <w:spacing w:val="-5"/>
        </w:rPr>
        <w:t> </w:t>
      </w:r>
      <w:r>
        <w:rPr>
          <w:color w:val="231F20"/>
        </w:rPr>
        <w:t>(flamometría).</w:t>
      </w:r>
      <w:r>
        <w:rPr>
          <w:color w:val="231F20"/>
          <w:spacing w:val="-6"/>
        </w:rPr>
        <w:t> </w:t>
      </w:r>
      <w:r>
        <w:rPr>
          <w:color w:val="231F20"/>
        </w:rPr>
        <w:t>Los</w:t>
      </w:r>
      <w:r>
        <w:rPr>
          <w:color w:val="231F20"/>
          <w:spacing w:val="-6"/>
        </w:rPr>
        <w:t> </w:t>
      </w:r>
      <w:r>
        <w:rPr>
          <w:color w:val="231F20"/>
        </w:rPr>
        <w:t>micronutrimentos</w:t>
      </w:r>
      <w:r>
        <w:rPr>
          <w:color w:val="231F20"/>
          <w:spacing w:val="-5"/>
        </w:rPr>
        <w:t> </w:t>
      </w:r>
      <w:r>
        <w:rPr>
          <w:color w:val="231F20"/>
        </w:rPr>
        <w:t>se</w:t>
      </w:r>
      <w:r>
        <w:rPr>
          <w:color w:val="231F20"/>
          <w:spacing w:val="-6"/>
        </w:rPr>
        <w:t> </w:t>
      </w:r>
      <w:r>
        <w:rPr>
          <w:color w:val="231F20"/>
        </w:rPr>
        <w:t>evaluaron</w:t>
      </w:r>
      <w:r>
        <w:rPr>
          <w:color w:val="231F20"/>
          <w:spacing w:val="-6"/>
        </w:rPr>
        <w:t> </w:t>
      </w:r>
      <w:r>
        <w:rPr>
          <w:color w:val="231F20"/>
        </w:rPr>
        <w:t>por</w:t>
      </w:r>
      <w:r>
        <w:rPr>
          <w:color w:val="231F20"/>
          <w:spacing w:val="-6"/>
        </w:rPr>
        <w:t> </w:t>
      </w:r>
      <w:r>
        <w:rPr>
          <w:color w:val="231F20"/>
        </w:rPr>
        <w:t>espectrofotometría de absorción atómica y boro por fotocolorimetría y Azometina-H). La interpretación de los análisis foliares de eucalipto se realizó por la técnica Kenworthy (1961), con los estándares generados para la región Sur Bahia, Brasil (De Oliveira (2008).</w:t>
      </w:r>
    </w:p>
    <w:p>
      <w:pPr>
        <w:pStyle w:val="BodyText"/>
        <w:spacing w:before="9"/>
        <w:rPr>
          <w:sz w:val="22"/>
        </w:rPr>
      </w:pPr>
    </w:p>
    <w:p>
      <w:pPr>
        <w:pStyle w:val="Heading3"/>
      </w:pPr>
      <w:r>
        <w:rPr>
          <w:color w:val="010202"/>
        </w:rPr>
        <w:t>Análisis y discusión de resultados</w:t>
      </w:r>
    </w:p>
    <w:p>
      <w:pPr>
        <w:pStyle w:val="BodyText"/>
        <w:spacing w:before="10"/>
        <w:rPr>
          <w:b/>
        </w:rPr>
      </w:pPr>
    </w:p>
    <w:p>
      <w:pPr>
        <w:pStyle w:val="BodyText"/>
        <w:spacing w:line="247" w:lineRule="auto"/>
        <w:ind w:left="1270" w:right="1268"/>
        <w:jc w:val="both"/>
      </w:pPr>
      <w:r>
        <w:rPr>
          <w:color w:val="231F20"/>
        </w:rPr>
        <w:t>En el cuadro 3 se indican los resultados de los análisis químicos de pH, materia orgánica, N-inorgá- nico, </w:t>
      </w:r>
      <w:r>
        <w:rPr>
          <w:color w:val="231F20"/>
          <w:spacing w:val="-12"/>
        </w:rPr>
        <w:t>P, </w:t>
      </w:r>
      <w:r>
        <w:rPr>
          <w:color w:val="231F20"/>
        </w:rPr>
        <w:t>K, Ca, Mg, Fe, Mn, Zn, Cu, CIC, Da y textura, realizados a los suelos donde desarrollan las plantaciones de eucalipto de acuerdo con el tiempo de desallollo.</w:t>
      </w:r>
    </w:p>
    <w:p>
      <w:pPr>
        <w:pStyle w:val="BodyText"/>
        <w:spacing w:before="9"/>
      </w:pPr>
    </w:p>
    <w:p>
      <w:pPr>
        <w:pStyle w:val="BodyText"/>
        <w:spacing w:line="247" w:lineRule="auto" w:before="1"/>
        <w:ind w:left="1270" w:right="1267"/>
        <w:jc w:val="both"/>
      </w:pPr>
      <w:r>
        <w:rPr>
          <w:color w:val="231F20"/>
        </w:rPr>
        <w:t>Los análisis de suelos fueron interpretados de acuerdo con los intervalos de concentración propues- tos por Ankerman (1980), presentándose los porcentajes que corresponden a cada categoría de cla- sificación (Cuadro 4). En los resultados obtenidos se puede observar, que el 100% de los sitios muestreados presentaron un valor de pH fuertemente ácido (entre 4.6 y 5.4), propiedad que influye de manera importante en la disponibilidad de algunos nutrientes, especialmente en mantener altos niveles de Al activo y bajos niveles de </w:t>
      </w:r>
      <w:r>
        <w:rPr>
          <w:color w:val="231F20"/>
          <w:spacing w:val="-12"/>
        </w:rPr>
        <w:t>P, </w:t>
      </w:r>
      <w:r>
        <w:rPr>
          <w:color w:val="231F20"/>
        </w:rPr>
        <w:t>K, Ca, Mg, en las propiedades físicas y en una incipiente actividad</w:t>
      </w:r>
      <w:r>
        <w:rPr>
          <w:color w:val="231F20"/>
          <w:spacing w:val="-10"/>
        </w:rPr>
        <w:t> </w:t>
      </w:r>
      <w:r>
        <w:rPr>
          <w:color w:val="231F20"/>
        </w:rPr>
        <w:t>microbiana.Los</w:t>
      </w:r>
      <w:r>
        <w:rPr>
          <w:color w:val="231F20"/>
          <w:spacing w:val="-9"/>
        </w:rPr>
        <w:t> </w:t>
      </w:r>
      <w:r>
        <w:rPr>
          <w:color w:val="231F20"/>
        </w:rPr>
        <w:t>altos</w:t>
      </w:r>
      <w:r>
        <w:rPr>
          <w:color w:val="231F20"/>
          <w:spacing w:val="-9"/>
        </w:rPr>
        <w:t> </w:t>
      </w:r>
      <w:r>
        <w:rPr>
          <w:color w:val="231F20"/>
        </w:rPr>
        <w:t>nivels</w:t>
      </w:r>
      <w:r>
        <w:rPr>
          <w:color w:val="231F20"/>
          <w:spacing w:val="-9"/>
        </w:rPr>
        <w:t> </w:t>
      </w:r>
      <w:r>
        <w:rPr>
          <w:color w:val="231F20"/>
        </w:rPr>
        <w:t>de</w:t>
      </w:r>
      <w:r>
        <w:rPr>
          <w:color w:val="231F20"/>
          <w:spacing w:val="-21"/>
        </w:rPr>
        <w:t> </w:t>
      </w:r>
      <w:r>
        <w:rPr>
          <w:color w:val="231F20"/>
        </w:rPr>
        <w:t>Al</w:t>
      </w:r>
      <w:r>
        <w:rPr>
          <w:color w:val="231F20"/>
          <w:spacing w:val="-9"/>
        </w:rPr>
        <w:t> </w:t>
      </w:r>
      <w:r>
        <w:rPr>
          <w:color w:val="231F20"/>
        </w:rPr>
        <w:t>activo,</w:t>
      </w:r>
      <w:r>
        <w:rPr>
          <w:color w:val="231F20"/>
          <w:spacing w:val="-10"/>
        </w:rPr>
        <w:t> </w:t>
      </w:r>
      <w:r>
        <w:rPr>
          <w:color w:val="231F20"/>
        </w:rPr>
        <w:t>restringen</w:t>
      </w:r>
      <w:r>
        <w:rPr>
          <w:color w:val="231F20"/>
          <w:spacing w:val="-9"/>
        </w:rPr>
        <w:t> </w:t>
      </w:r>
      <w:r>
        <w:rPr>
          <w:color w:val="231F20"/>
        </w:rPr>
        <w:t>el</w:t>
      </w:r>
      <w:r>
        <w:rPr>
          <w:color w:val="231F20"/>
          <w:spacing w:val="-9"/>
        </w:rPr>
        <w:t> </w:t>
      </w:r>
      <w:r>
        <w:rPr>
          <w:color w:val="231F20"/>
        </w:rPr>
        <w:t>desarrollo</w:t>
      </w:r>
      <w:r>
        <w:rPr>
          <w:color w:val="231F20"/>
          <w:spacing w:val="-9"/>
        </w:rPr>
        <w:t> </w:t>
      </w:r>
      <w:r>
        <w:rPr>
          <w:color w:val="231F20"/>
        </w:rPr>
        <w:t>radical,</w:t>
      </w:r>
      <w:r>
        <w:rPr>
          <w:color w:val="231F20"/>
          <w:spacing w:val="-9"/>
        </w:rPr>
        <w:t> </w:t>
      </w:r>
      <w:r>
        <w:rPr>
          <w:color w:val="231F20"/>
        </w:rPr>
        <w:t>originando</w:t>
      </w:r>
      <w:r>
        <w:rPr>
          <w:color w:val="231F20"/>
          <w:spacing w:val="-9"/>
        </w:rPr>
        <w:t> </w:t>
      </w:r>
      <w:r>
        <w:rPr>
          <w:color w:val="231F20"/>
        </w:rPr>
        <w:t>escasa exploración y absorción de nutrientes. A nivel celular, afecta la estructura de la membrana celular, síntesis de DNA, mitosis y el metabolismo general  (Azcón-Bieto y </w:t>
      </w:r>
      <w:r>
        <w:rPr>
          <w:color w:val="231F20"/>
          <w:spacing w:val="-3"/>
        </w:rPr>
        <w:t>Talon,</w:t>
      </w:r>
      <w:r>
        <w:rPr>
          <w:color w:val="231F20"/>
          <w:spacing w:val="-2"/>
        </w:rPr>
        <w:t> </w:t>
      </w:r>
      <w:r>
        <w:rPr>
          <w:color w:val="231F20"/>
        </w:rPr>
        <w:t>2008).</w:t>
      </w:r>
    </w:p>
    <w:p>
      <w:pPr>
        <w:pStyle w:val="BodyText"/>
        <w:spacing w:before="4"/>
        <w:rPr>
          <w:sz w:val="24"/>
        </w:rPr>
      </w:pPr>
    </w:p>
    <w:p>
      <w:pPr>
        <w:spacing w:before="1"/>
        <w:ind w:left="2877" w:right="1279" w:firstLine="0"/>
        <w:jc w:val="left"/>
        <w:rPr>
          <w:b/>
          <w:sz w:val="18"/>
        </w:rPr>
      </w:pPr>
      <w:r>
        <w:rPr/>
        <w:drawing>
          <wp:anchor distT="0" distB="0" distL="0" distR="0" allowOverlap="1" layoutInCell="1" locked="0" behindDoc="0" simplePos="0" relativeHeight="3448">
            <wp:simplePos x="0" y="0"/>
            <wp:positionH relativeFrom="page">
              <wp:posOffset>1096436</wp:posOffset>
            </wp:positionH>
            <wp:positionV relativeFrom="paragraph">
              <wp:posOffset>187502</wp:posOffset>
            </wp:positionV>
            <wp:extent cx="4732593" cy="2303145"/>
            <wp:effectExtent l="0" t="0" r="0" b="0"/>
            <wp:wrapTopAndBottom/>
            <wp:docPr id="119" name="image39.png" descr=""/>
            <wp:cNvGraphicFramePr>
              <a:graphicFrameLocks noChangeAspect="1"/>
            </wp:cNvGraphicFramePr>
            <a:graphic>
              <a:graphicData uri="http://schemas.openxmlformats.org/drawingml/2006/picture">
                <pic:pic>
                  <pic:nvPicPr>
                    <pic:cNvPr id="120" name="image39.png"/>
                    <pic:cNvPicPr/>
                  </pic:nvPicPr>
                  <pic:blipFill>
                    <a:blip r:embed="rId60" cstate="print"/>
                    <a:stretch>
                      <a:fillRect/>
                    </a:stretch>
                  </pic:blipFill>
                  <pic:spPr>
                    <a:xfrm>
                      <a:off x="0" y="0"/>
                      <a:ext cx="4732593" cy="2303145"/>
                    </a:xfrm>
                    <a:prstGeom prst="rect">
                      <a:avLst/>
                    </a:prstGeom>
                  </pic:spPr>
                </pic:pic>
              </a:graphicData>
            </a:graphic>
          </wp:anchor>
        </w:drawing>
      </w:r>
      <w:r>
        <w:rPr>
          <w:b/>
          <w:color w:val="010202"/>
          <w:sz w:val="18"/>
        </w:rPr>
        <w:t>Cuadro 3. Análisis químico de los suelos de los predios muestreados</w:t>
      </w:r>
    </w:p>
    <w:p>
      <w:pPr>
        <w:spacing w:after="0"/>
        <w:jc w:val="left"/>
        <w:rPr>
          <w:sz w:val="18"/>
        </w:rPr>
        <w:sectPr>
          <w:pgSz w:w="10920" w:h="13080"/>
          <w:pgMar w:header="0" w:footer="1025" w:top="420" w:bottom="1220" w:left="0" w:right="0"/>
        </w:sectPr>
      </w:pPr>
    </w:p>
    <w:p>
      <w:pPr>
        <w:pStyle w:val="BodyText"/>
        <w:rPr>
          <w:b/>
          <w:sz w:val="20"/>
        </w:rPr>
      </w:pPr>
    </w:p>
    <w:p>
      <w:pPr>
        <w:pStyle w:val="BodyText"/>
        <w:rPr>
          <w:b/>
          <w:sz w:val="20"/>
        </w:rPr>
      </w:pPr>
    </w:p>
    <w:p>
      <w:pPr>
        <w:pStyle w:val="BodyText"/>
        <w:rPr>
          <w:b/>
          <w:sz w:val="23"/>
        </w:rPr>
      </w:pPr>
    </w:p>
    <w:p>
      <w:pPr>
        <w:pStyle w:val="BodyText"/>
        <w:spacing w:before="73"/>
        <w:ind w:left="1270"/>
        <w:jc w:val="both"/>
      </w:pPr>
      <w:r>
        <w:rPr>
          <w:color w:val="231F20"/>
        </w:rPr>
        <w:t>Continuación…</w:t>
      </w:r>
    </w:p>
    <w:p>
      <w:pPr>
        <w:pStyle w:val="BodyText"/>
        <w:rPr>
          <w:sz w:val="17"/>
        </w:rPr>
      </w:pPr>
      <w:r>
        <w:rPr/>
        <w:drawing>
          <wp:anchor distT="0" distB="0" distL="0" distR="0" allowOverlap="1" layoutInCell="1" locked="0" behindDoc="0" simplePos="0" relativeHeight="3472">
            <wp:simplePos x="0" y="0"/>
            <wp:positionH relativeFrom="page">
              <wp:posOffset>1077406</wp:posOffset>
            </wp:positionH>
            <wp:positionV relativeFrom="paragraph">
              <wp:posOffset>149294</wp:posOffset>
            </wp:positionV>
            <wp:extent cx="4757737" cy="2193131"/>
            <wp:effectExtent l="0" t="0" r="0" b="0"/>
            <wp:wrapTopAndBottom/>
            <wp:docPr id="121" name="image40.png" descr=""/>
            <wp:cNvGraphicFramePr>
              <a:graphicFrameLocks noChangeAspect="1"/>
            </wp:cNvGraphicFramePr>
            <a:graphic>
              <a:graphicData uri="http://schemas.openxmlformats.org/drawingml/2006/picture">
                <pic:pic>
                  <pic:nvPicPr>
                    <pic:cNvPr id="122" name="image40.png"/>
                    <pic:cNvPicPr/>
                  </pic:nvPicPr>
                  <pic:blipFill>
                    <a:blip r:embed="rId61" cstate="print"/>
                    <a:stretch>
                      <a:fillRect/>
                    </a:stretch>
                  </pic:blipFill>
                  <pic:spPr>
                    <a:xfrm>
                      <a:off x="0" y="0"/>
                      <a:ext cx="4757737" cy="2193131"/>
                    </a:xfrm>
                    <a:prstGeom prst="rect">
                      <a:avLst/>
                    </a:prstGeom>
                  </pic:spPr>
                </pic:pic>
              </a:graphicData>
            </a:graphic>
          </wp:anchor>
        </w:drawing>
      </w:r>
    </w:p>
    <w:p>
      <w:pPr>
        <w:spacing w:before="78"/>
        <w:ind w:left="1270" w:right="0" w:firstLine="0"/>
        <w:jc w:val="both"/>
        <w:rPr>
          <w:b/>
          <w:i/>
          <w:sz w:val="17"/>
        </w:rPr>
      </w:pPr>
      <w:r>
        <w:rPr>
          <w:b/>
          <w:i/>
          <w:color w:val="231F20"/>
          <w:sz w:val="17"/>
        </w:rPr>
        <w:t>M.O.= materia orgánica. Da: Densidad aparente.</w:t>
      </w:r>
    </w:p>
    <w:p>
      <w:pPr>
        <w:pStyle w:val="BodyText"/>
        <w:spacing w:before="2"/>
        <w:rPr>
          <w:b/>
          <w:i/>
          <w:sz w:val="23"/>
        </w:rPr>
      </w:pPr>
    </w:p>
    <w:p>
      <w:pPr>
        <w:pStyle w:val="BodyText"/>
        <w:spacing w:line="247" w:lineRule="auto"/>
        <w:ind w:left="1270" w:right="1268"/>
        <w:jc w:val="both"/>
      </w:pPr>
      <w:r>
        <w:rPr>
          <w:color w:val="231F20"/>
        </w:rPr>
        <w:t>Aunque el eucalipto tolera suelos muy ácidos, con relaciones C/N elevadas (mineralización lenta) y niveles</w:t>
      </w:r>
      <w:r>
        <w:rPr>
          <w:color w:val="231F20"/>
          <w:spacing w:val="-4"/>
        </w:rPr>
        <w:t> </w:t>
      </w:r>
      <w:r>
        <w:rPr>
          <w:color w:val="231F20"/>
        </w:rPr>
        <w:t>de</w:t>
      </w:r>
      <w:r>
        <w:rPr>
          <w:color w:val="231F20"/>
          <w:spacing w:val="-4"/>
        </w:rPr>
        <w:t> </w:t>
      </w:r>
      <w:r>
        <w:rPr>
          <w:color w:val="231F20"/>
        </w:rPr>
        <w:t>nutrientes</w:t>
      </w:r>
      <w:r>
        <w:rPr>
          <w:color w:val="231F20"/>
          <w:spacing w:val="-4"/>
        </w:rPr>
        <w:t> </w:t>
      </w:r>
      <w:r>
        <w:rPr>
          <w:color w:val="231F20"/>
        </w:rPr>
        <w:t>muy</w:t>
      </w:r>
      <w:r>
        <w:rPr>
          <w:color w:val="231F20"/>
          <w:spacing w:val="-4"/>
        </w:rPr>
        <w:t> </w:t>
      </w:r>
      <w:r>
        <w:rPr>
          <w:color w:val="231F20"/>
        </w:rPr>
        <w:t>bajos,</w:t>
      </w:r>
      <w:r>
        <w:rPr>
          <w:color w:val="231F20"/>
          <w:spacing w:val="-4"/>
        </w:rPr>
        <w:t> </w:t>
      </w:r>
      <w:r>
        <w:rPr>
          <w:color w:val="231F20"/>
        </w:rPr>
        <w:t>su</w:t>
      </w:r>
      <w:r>
        <w:rPr>
          <w:color w:val="231F20"/>
          <w:spacing w:val="-4"/>
        </w:rPr>
        <w:t> </w:t>
      </w:r>
      <w:r>
        <w:rPr>
          <w:color w:val="231F20"/>
        </w:rPr>
        <w:t>desarrollo</w:t>
      </w:r>
      <w:r>
        <w:rPr>
          <w:color w:val="231F20"/>
          <w:spacing w:val="-4"/>
        </w:rPr>
        <w:t> </w:t>
      </w:r>
      <w:r>
        <w:rPr>
          <w:color w:val="231F20"/>
        </w:rPr>
        <w:t>puede</w:t>
      </w:r>
      <w:r>
        <w:rPr>
          <w:color w:val="231F20"/>
          <w:spacing w:val="-4"/>
        </w:rPr>
        <w:t> </w:t>
      </w:r>
      <w:r>
        <w:rPr>
          <w:color w:val="231F20"/>
        </w:rPr>
        <w:t>verse</w:t>
      </w:r>
      <w:r>
        <w:rPr>
          <w:color w:val="231F20"/>
          <w:spacing w:val="-4"/>
        </w:rPr>
        <w:t> </w:t>
      </w:r>
      <w:r>
        <w:rPr>
          <w:color w:val="231F20"/>
        </w:rPr>
        <w:t>negativamente</w:t>
      </w:r>
      <w:r>
        <w:rPr>
          <w:color w:val="231F20"/>
          <w:spacing w:val="-4"/>
        </w:rPr>
        <w:t> </w:t>
      </w:r>
      <w:r>
        <w:rPr>
          <w:color w:val="231F20"/>
        </w:rPr>
        <w:t>afectado</w:t>
      </w:r>
      <w:r>
        <w:rPr>
          <w:color w:val="231F20"/>
          <w:spacing w:val="-4"/>
        </w:rPr>
        <w:t> </w:t>
      </w:r>
      <w:r>
        <w:rPr>
          <w:color w:val="231F20"/>
        </w:rPr>
        <w:t>(Lugo,</w:t>
      </w:r>
      <w:r>
        <w:rPr>
          <w:color w:val="231F20"/>
          <w:spacing w:val="-4"/>
        </w:rPr>
        <w:t> </w:t>
      </w:r>
      <w:r>
        <w:rPr>
          <w:color w:val="231F20"/>
        </w:rPr>
        <w:t>1986).</w:t>
      </w:r>
      <w:r>
        <w:rPr>
          <w:color w:val="231F20"/>
          <w:spacing w:val="-4"/>
        </w:rPr>
        <w:t> </w:t>
      </w:r>
      <w:r>
        <w:rPr>
          <w:color w:val="231F20"/>
        </w:rPr>
        <w:t>En cuanto a la materia orgánica determinada, se encontró en una concentración muy alta en el 100%</w:t>
      </w:r>
      <w:r>
        <w:rPr>
          <w:color w:val="231F20"/>
          <w:spacing w:val="-20"/>
        </w:rPr>
        <w:t> </w:t>
      </w:r>
      <w:r>
        <w:rPr>
          <w:color w:val="231F20"/>
        </w:rPr>
        <w:t>de los predios, influyendo positivamente en la textura del suelo, haciéndolo suelto, poroso y con buen drenaje. Además, la materia orgánica contiene importantes cantidades de nutrientes, entre los que sobresale</w:t>
      </w:r>
      <w:r>
        <w:rPr>
          <w:color w:val="231F20"/>
          <w:spacing w:val="-6"/>
        </w:rPr>
        <w:t> </w:t>
      </w:r>
      <w:r>
        <w:rPr>
          <w:color w:val="231F20"/>
        </w:rPr>
        <w:t>el</w:t>
      </w:r>
      <w:r>
        <w:rPr>
          <w:color w:val="231F20"/>
          <w:spacing w:val="-6"/>
        </w:rPr>
        <w:t> </w:t>
      </w:r>
      <w:r>
        <w:rPr>
          <w:color w:val="231F20"/>
        </w:rPr>
        <w:t>aporte</w:t>
      </w:r>
      <w:r>
        <w:rPr>
          <w:color w:val="231F20"/>
          <w:spacing w:val="-6"/>
        </w:rPr>
        <w:t> </w:t>
      </w:r>
      <w:r>
        <w:rPr>
          <w:color w:val="231F20"/>
        </w:rPr>
        <w:t>de</w:t>
      </w:r>
      <w:r>
        <w:rPr>
          <w:color w:val="231F20"/>
          <w:spacing w:val="-6"/>
        </w:rPr>
        <w:t> </w:t>
      </w:r>
      <w:r>
        <w:rPr>
          <w:color w:val="231F20"/>
        </w:rPr>
        <w:t>N</w:t>
      </w:r>
      <w:r>
        <w:rPr>
          <w:color w:val="231F20"/>
          <w:spacing w:val="-6"/>
        </w:rPr>
        <w:t> </w:t>
      </w:r>
      <w:r>
        <w:rPr>
          <w:color w:val="231F20"/>
        </w:rPr>
        <w:t>y</w:t>
      </w:r>
      <w:r>
        <w:rPr>
          <w:color w:val="231F20"/>
          <w:spacing w:val="-6"/>
        </w:rPr>
        <w:t> </w:t>
      </w:r>
      <w:r>
        <w:rPr>
          <w:color w:val="231F20"/>
          <w:spacing w:val="-12"/>
        </w:rPr>
        <w:t>P,</w:t>
      </w:r>
      <w:r>
        <w:rPr>
          <w:color w:val="231F20"/>
          <w:spacing w:val="-6"/>
        </w:rPr>
        <w:t> </w:t>
      </w:r>
      <w:r>
        <w:rPr>
          <w:color w:val="231F20"/>
        </w:rPr>
        <w:t>los</w:t>
      </w:r>
      <w:r>
        <w:rPr>
          <w:color w:val="231F20"/>
          <w:spacing w:val="-6"/>
        </w:rPr>
        <w:t> </w:t>
      </w:r>
      <w:r>
        <w:rPr>
          <w:color w:val="231F20"/>
        </w:rPr>
        <w:t>cuales</w:t>
      </w:r>
      <w:r>
        <w:rPr>
          <w:color w:val="231F20"/>
          <w:spacing w:val="-6"/>
        </w:rPr>
        <w:t> </w:t>
      </w:r>
      <w:r>
        <w:rPr>
          <w:color w:val="231F20"/>
        </w:rPr>
        <w:t>necesitan</w:t>
      </w:r>
      <w:r>
        <w:rPr>
          <w:color w:val="231F20"/>
          <w:spacing w:val="-6"/>
        </w:rPr>
        <w:t> </w:t>
      </w:r>
      <w:r>
        <w:rPr>
          <w:color w:val="231F20"/>
        </w:rPr>
        <w:t>mineralizarse</w:t>
      </w:r>
      <w:r>
        <w:rPr>
          <w:color w:val="231F20"/>
          <w:spacing w:val="-7"/>
        </w:rPr>
        <w:t> </w:t>
      </w:r>
      <w:r>
        <w:rPr>
          <w:color w:val="231F20"/>
        </w:rPr>
        <w:t>para</w:t>
      </w:r>
      <w:r>
        <w:rPr>
          <w:color w:val="231F20"/>
          <w:spacing w:val="-6"/>
        </w:rPr>
        <w:t> </w:t>
      </w:r>
      <w:r>
        <w:rPr>
          <w:color w:val="231F20"/>
        </w:rPr>
        <w:t>ser</w:t>
      </w:r>
      <w:r>
        <w:rPr>
          <w:color w:val="231F20"/>
          <w:spacing w:val="-6"/>
        </w:rPr>
        <w:t> </w:t>
      </w:r>
      <w:r>
        <w:rPr>
          <w:color w:val="231F20"/>
        </w:rPr>
        <w:t>liberado</w:t>
      </w:r>
      <w:r>
        <w:rPr>
          <w:color w:val="231F20"/>
          <w:spacing w:val="-6"/>
        </w:rPr>
        <w:t> </w:t>
      </w:r>
      <w:r>
        <w:rPr>
          <w:color w:val="231F20"/>
        </w:rPr>
        <w:t>e</w:t>
      </w:r>
      <w:r>
        <w:rPr>
          <w:color w:val="231F20"/>
          <w:spacing w:val="-6"/>
        </w:rPr>
        <w:t> </w:t>
      </w:r>
      <w:r>
        <w:rPr>
          <w:color w:val="231F20"/>
        </w:rPr>
        <w:t>incorporado</w:t>
      </w:r>
      <w:r>
        <w:rPr>
          <w:color w:val="231F20"/>
          <w:spacing w:val="-6"/>
        </w:rPr>
        <w:t> </w:t>
      </w:r>
      <w:r>
        <w:rPr>
          <w:color w:val="231F20"/>
        </w:rPr>
        <w:t>a</w:t>
      </w:r>
      <w:r>
        <w:rPr>
          <w:color w:val="231F20"/>
          <w:spacing w:val="-6"/>
        </w:rPr>
        <w:t> </w:t>
      </w:r>
      <w:r>
        <w:rPr>
          <w:color w:val="231F20"/>
        </w:rPr>
        <w:t>pro- cesos</w:t>
      </w:r>
      <w:r>
        <w:rPr>
          <w:color w:val="231F20"/>
          <w:spacing w:val="-3"/>
        </w:rPr>
        <w:t> </w:t>
      </w:r>
      <w:r>
        <w:rPr>
          <w:color w:val="231F20"/>
        </w:rPr>
        <w:t>biológicos</w:t>
      </w:r>
      <w:r>
        <w:rPr>
          <w:color w:val="231F20"/>
          <w:spacing w:val="-3"/>
        </w:rPr>
        <w:t> </w:t>
      </w:r>
      <w:r>
        <w:rPr>
          <w:color w:val="231F20"/>
        </w:rPr>
        <w:t>de</w:t>
      </w:r>
      <w:r>
        <w:rPr>
          <w:color w:val="231F20"/>
          <w:spacing w:val="-3"/>
        </w:rPr>
        <w:t> </w:t>
      </w:r>
      <w:r>
        <w:rPr>
          <w:color w:val="231F20"/>
        </w:rPr>
        <w:t>los</w:t>
      </w:r>
      <w:r>
        <w:rPr>
          <w:color w:val="231F20"/>
          <w:spacing w:val="-3"/>
        </w:rPr>
        <w:t> </w:t>
      </w:r>
      <w:r>
        <w:rPr>
          <w:color w:val="231F20"/>
        </w:rPr>
        <w:t>árboles</w:t>
      </w:r>
      <w:r>
        <w:rPr>
          <w:color w:val="231F20"/>
          <w:spacing w:val="-3"/>
        </w:rPr>
        <w:t> </w:t>
      </w:r>
      <w:r>
        <w:rPr>
          <w:color w:val="231F20"/>
        </w:rPr>
        <w:t>de</w:t>
      </w:r>
      <w:r>
        <w:rPr>
          <w:color w:val="231F20"/>
          <w:spacing w:val="-3"/>
        </w:rPr>
        <w:t> </w:t>
      </w:r>
      <w:r>
        <w:rPr>
          <w:color w:val="231F20"/>
        </w:rPr>
        <w:t>eucalipto</w:t>
      </w:r>
      <w:r>
        <w:rPr>
          <w:color w:val="231F20"/>
          <w:spacing w:val="-3"/>
        </w:rPr>
        <w:t> </w:t>
      </w:r>
      <w:r>
        <w:rPr>
          <w:color w:val="231F20"/>
        </w:rPr>
        <w:t>(Lugo,</w:t>
      </w:r>
      <w:r>
        <w:rPr>
          <w:color w:val="231F20"/>
          <w:spacing w:val="-3"/>
        </w:rPr>
        <w:t> </w:t>
      </w:r>
      <w:r>
        <w:rPr>
          <w:color w:val="231F20"/>
        </w:rPr>
        <w:t>1986).</w:t>
      </w:r>
      <w:r>
        <w:rPr>
          <w:color w:val="231F20"/>
          <w:spacing w:val="-3"/>
        </w:rPr>
        <w:t> </w:t>
      </w:r>
      <w:r>
        <w:rPr>
          <w:color w:val="231F20"/>
        </w:rPr>
        <w:t>Sin</w:t>
      </w:r>
      <w:r>
        <w:rPr>
          <w:color w:val="231F20"/>
          <w:spacing w:val="-3"/>
        </w:rPr>
        <w:t> </w:t>
      </w:r>
      <w:r>
        <w:rPr>
          <w:color w:val="231F20"/>
        </w:rPr>
        <w:t>embargo,</w:t>
      </w:r>
      <w:r>
        <w:rPr>
          <w:color w:val="231F20"/>
          <w:spacing w:val="-3"/>
        </w:rPr>
        <w:t> </w:t>
      </w:r>
      <w:r>
        <w:rPr>
          <w:color w:val="231F20"/>
        </w:rPr>
        <w:t>tanto</w:t>
      </w:r>
      <w:r>
        <w:rPr>
          <w:color w:val="231F20"/>
          <w:spacing w:val="-3"/>
        </w:rPr>
        <w:t> </w:t>
      </w:r>
      <w:r>
        <w:rPr>
          <w:color w:val="231F20"/>
        </w:rPr>
        <w:t>el</w:t>
      </w:r>
      <w:r>
        <w:rPr>
          <w:color w:val="231F20"/>
          <w:spacing w:val="-3"/>
        </w:rPr>
        <w:t> </w:t>
      </w:r>
      <w:r>
        <w:rPr>
          <w:color w:val="231F20"/>
        </w:rPr>
        <w:t>N</w:t>
      </w:r>
      <w:r>
        <w:rPr>
          <w:color w:val="231F20"/>
          <w:spacing w:val="-3"/>
        </w:rPr>
        <w:t> </w:t>
      </w:r>
      <w:r>
        <w:rPr>
          <w:color w:val="231F20"/>
        </w:rPr>
        <w:t>como</w:t>
      </w:r>
      <w:r>
        <w:rPr>
          <w:color w:val="231F20"/>
          <w:spacing w:val="-3"/>
        </w:rPr>
        <w:t> </w:t>
      </w:r>
      <w:r>
        <w:rPr>
          <w:color w:val="231F20"/>
        </w:rPr>
        <w:t>el</w:t>
      </w:r>
      <w:r>
        <w:rPr>
          <w:color w:val="231F20"/>
          <w:spacing w:val="-3"/>
        </w:rPr>
        <w:t> </w:t>
      </w:r>
      <w:r>
        <w:rPr>
          <w:color w:val="231F20"/>
        </w:rPr>
        <w:t>P</w:t>
      </w:r>
      <w:r>
        <w:rPr>
          <w:color w:val="231F20"/>
          <w:spacing w:val="-11"/>
        </w:rPr>
        <w:t> </w:t>
      </w:r>
      <w:r>
        <w:rPr>
          <w:color w:val="231F20"/>
        </w:rPr>
        <w:t>fueron determinados en muy bajas concentraciones en el 100% de los predios.</w:t>
      </w:r>
    </w:p>
    <w:p>
      <w:pPr>
        <w:pStyle w:val="BodyText"/>
        <w:spacing w:before="10"/>
      </w:pPr>
    </w:p>
    <w:p>
      <w:pPr>
        <w:pStyle w:val="BodyText"/>
        <w:spacing w:line="247" w:lineRule="auto"/>
        <w:ind w:left="1270" w:right="1268"/>
        <w:jc w:val="both"/>
      </w:pPr>
      <w:r>
        <w:rPr>
          <w:color w:val="231F20"/>
        </w:rPr>
        <w:t>El N participa en la síntesis de proteínas, enzimas y clorofilas, indispensable en la fotosíntesis. Se ha determinado que las masas forestales absorben de 30-55 kg de N/ha/año, quedando el 20% en la madera y retornando al suelo el 80% de esta cantidad por la caída de las hojas (Lugo, 1986).</w:t>
      </w:r>
    </w:p>
    <w:p>
      <w:pPr>
        <w:pStyle w:val="BodyText"/>
        <w:spacing w:before="10"/>
      </w:pPr>
    </w:p>
    <w:p>
      <w:pPr>
        <w:pStyle w:val="BodyText"/>
        <w:spacing w:line="247" w:lineRule="auto"/>
        <w:ind w:left="1270" w:right="1268"/>
        <w:jc w:val="both"/>
      </w:pPr>
      <w:r>
        <w:rPr>
          <w:color w:val="231F20"/>
        </w:rPr>
        <w:t>En el estudio el 80% de los predios fue encontrado con bajas concentraciones de N y solo un 10% con muy bajas, lo que puede afectar negativamente el desarrollo de las plantaciones. Mientras que el </w:t>
      </w:r>
      <w:r>
        <w:rPr>
          <w:color w:val="231F20"/>
          <w:spacing w:val="-12"/>
        </w:rPr>
        <w:t>P, </w:t>
      </w:r>
      <w:r>
        <w:rPr>
          <w:color w:val="231F20"/>
        </w:rPr>
        <w:t>resultó muy bajo en el 100% de los predios. Aunque se ha determinado que los árboles pueden absorber</w:t>
      </w:r>
      <w:r>
        <w:rPr>
          <w:color w:val="231F20"/>
          <w:spacing w:val="-7"/>
        </w:rPr>
        <w:t> </w:t>
      </w:r>
      <w:r>
        <w:rPr>
          <w:color w:val="231F20"/>
        </w:rPr>
        <w:t>de</w:t>
      </w:r>
      <w:r>
        <w:rPr>
          <w:color w:val="231F20"/>
          <w:spacing w:val="-7"/>
        </w:rPr>
        <w:t> </w:t>
      </w:r>
      <w:r>
        <w:rPr>
          <w:color w:val="231F20"/>
        </w:rPr>
        <w:t>4-12</w:t>
      </w:r>
      <w:r>
        <w:rPr>
          <w:color w:val="231F20"/>
          <w:spacing w:val="-7"/>
        </w:rPr>
        <w:t> </w:t>
      </w:r>
      <w:r>
        <w:rPr>
          <w:color w:val="231F20"/>
        </w:rPr>
        <w:t>kg/ha/año</w:t>
      </w:r>
      <w:r>
        <w:rPr>
          <w:color w:val="231F20"/>
          <w:spacing w:val="-7"/>
        </w:rPr>
        <w:t> </w:t>
      </w:r>
      <w:r>
        <w:rPr>
          <w:color w:val="231F20"/>
        </w:rPr>
        <w:t>de</w:t>
      </w:r>
      <w:r>
        <w:rPr>
          <w:color w:val="231F20"/>
          <w:spacing w:val="-7"/>
        </w:rPr>
        <w:t> </w:t>
      </w:r>
      <w:r>
        <w:rPr>
          <w:color w:val="231F20"/>
        </w:rPr>
        <w:t>P</w:t>
      </w:r>
      <w:r>
        <w:rPr>
          <w:color w:val="231F20"/>
          <w:spacing w:val="-15"/>
        </w:rPr>
        <w:t> </w:t>
      </w:r>
      <w:r>
        <w:rPr>
          <w:color w:val="231F20"/>
        </w:rPr>
        <w:t>y</w:t>
      </w:r>
      <w:r>
        <w:rPr>
          <w:color w:val="231F20"/>
          <w:spacing w:val="-7"/>
        </w:rPr>
        <w:t> </w:t>
      </w:r>
      <w:r>
        <w:rPr>
          <w:color w:val="231F20"/>
        </w:rPr>
        <w:t>retornar</w:t>
      </w:r>
      <w:r>
        <w:rPr>
          <w:color w:val="231F20"/>
          <w:spacing w:val="-7"/>
        </w:rPr>
        <w:t> </w:t>
      </w:r>
      <w:r>
        <w:rPr>
          <w:color w:val="231F20"/>
        </w:rPr>
        <w:t>el</w:t>
      </w:r>
      <w:r>
        <w:rPr>
          <w:color w:val="231F20"/>
          <w:spacing w:val="-7"/>
        </w:rPr>
        <w:t> </w:t>
      </w:r>
      <w:r>
        <w:rPr>
          <w:color w:val="231F20"/>
        </w:rPr>
        <w:t>80%</w:t>
      </w:r>
      <w:r>
        <w:rPr>
          <w:color w:val="231F20"/>
          <w:spacing w:val="-7"/>
        </w:rPr>
        <w:t> </w:t>
      </w:r>
      <w:r>
        <w:rPr>
          <w:color w:val="231F20"/>
        </w:rPr>
        <w:t>de</w:t>
      </w:r>
      <w:r>
        <w:rPr>
          <w:color w:val="231F20"/>
          <w:spacing w:val="-7"/>
        </w:rPr>
        <w:t> </w:t>
      </w:r>
      <w:r>
        <w:rPr>
          <w:color w:val="231F20"/>
        </w:rPr>
        <w:t>este</w:t>
      </w:r>
      <w:r>
        <w:rPr>
          <w:color w:val="231F20"/>
          <w:spacing w:val="-7"/>
        </w:rPr>
        <w:t> </w:t>
      </w:r>
      <w:r>
        <w:rPr>
          <w:color w:val="231F20"/>
        </w:rPr>
        <w:t>elemento</w:t>
      </w:r>
      <w:r>
        <w:rPr>
          <w:color w:val="231F20"/>
          <w:spacing w:val="-7"/>
        </w:rPr>
        <w:t> </w:t>
      </w:r>
      <w:r>
        <w:rPr>
          <w:color w:val="231F20"/>
        </w:rPr>
        <w:t>al</w:t>
      </w:r>
      <w:r>
        <w:rPr>
          <w:color w:val="231F20"/>
          <w:spacing w:val="-7"/>
        </w:rPr>
        <w:t> </w:t>
      </w:r>
      <w:r>
        <w:rPr>
          <w:color w:val="231F20"/>
        </w:rPr>
        <w:t>suelo,</w:t>
      </w:r>
      <w:r>
        <w:rPr>
          <w:color w:val="231F20"/>
          <w:spacing w:val="-7"/>
        </w:rPr>
        <w:t> </w:t>
      </w:r>
      <w:r>
        <w:rPr>
          <w:color w:val="231F20"/>
        </w:rPr>
        <w:t>con</w:t>
      </w:r>
      <w:r>
        <w:rPr>
          <w:color w:val="231F20"/>
          <w:spacing w:val="-7"/>
        </w:rPr>
        <w:t> </w:t>
      </w:r>
      <w:r>
        <w:rPr>
          <w:color w:val="231F20"/>
        </w:rPr>
        <w:t>la</w:t>
      </w:r>
      <w:r>
        <w:rPr>
          <w:color w:val="231F20"/>
          <w:spacing w:val="-7"/>
        </w:rPr>
        <w:t> </w:t>
      </w:r>
      <w:r>
        <w:rPr>
          <w:color w:val="231F20"/>
        </w:rPr>
        <w:t>caída</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hojas de eucalipto, su deficiencia puede causar un bajo porte de la planta, reducido y lento crecimiento de raíces (Lugo, 1986). Un bajo nivel de P se asocia de manera directa con la acidez del suelo, siendo esto un indicador de baja fertilidad y productividad (Mclaughlin, 1996).</w:t>
      </w:r>
    </w:p>
    <w:p>
      <w:pPr>
        <w:spacing w:after="0" w:line="247" w:lineRule="auto"/>
        <w:jc w:val="both"/>
        <w:sectPr>
          <w:pgSz w:w="10920" w:h="13080"/>
          <w:pgMar w:header="0" w:footer="1025" w:top="420" w:bottom="1220" w:left="0" w:right="0"/>
        </w:sectPr>
      </w:pPr>
    </w:p>
    <w:p>
      <w:pPr>
        <w:pStyle w:val="BodyText"/>
        <w:rPr>
          <w:sz w:val="20"/>
        </w:rPr>
      </w:pPr>
    </w:p>
    <w:p>
      <w:pPr>
        <w:pStyle w:val="BodyText"/>
        <w:rPr>
          <w:sz w:val="20"/>
        </w:rPr>
      </w:pPr>
    </w:p>
    <w:p>
      <w:pPr>
        <w:pStyle w:val="BodyText"/>
        <w:spacing w:before="1"/>
        <w:rPr>
          <w:sz w:val="25"/>
        </w:rPr>
      </w:pPr>
    </w:p>
    <w:p>
      <w:pPr>
        <w:spacing w:before="77"/>
        <w:ind w:left="2045" w:right="1279" w:firstLine="0"/>
        <w:jc w:val="left"/>
        <w:rPr>
          <w:b/>
          <w:sz w:val="18"/>
        </w:rPr>
      </w:pPr>
      <w:r>
        <w:rPr>
          <w:b/>
          <w:color w:val="010202"/>
          <w:sz w:val="18"/>
        </w:rPr>
        <w:t>Cuadro 4. Porcentaje de sitios clasificados por categorías de acuerdo al nivel de fertilidad</w:t>
      </w:r>
    </w:p>
    <w:p>
      <w:pPr>
        <w:pStyle w:val="BodyText"/>
        <w:spacing w:before="4"/>
        <w:rPr>
          <w:b/>
          <w:sz w:val="12"/>
        </w:rPr>
      </w:pPr>
      <w:r>
        <w:rPr/>
        <w:drawing>
          <wp:anchor distT="0" distB="0" distL="0" distR="0" allowOverlap="1" layoutInCell="1" locked="0" behindDoc="0" simplePos="0" relativeHeight="3496">
            <wp:simplePos x="0" y="0"/>
            <wp:positionH relativeFrom="page">
              <wp:posOffset>1112700</wp:posOffset>
            </wp:positionH>
            <wp:positionV relativeFrom="paragraph">
              <wp:posOffset>115261</wp:posOffset>
            </wp:positionV>
            <wp:extent cx="4723256" cy="2412968"/>
            <wp:effectExtent l="0" t="0" r="0" b="0"/>
            <wp:wrapTopAndBottom/>
            <wp:docPr id="123" name="image41.png" descr=""/>
            <wp:cNvGraphicFramePr>
              <a:graphicFrameLocks noChangeAspect="1"/>
            </wp:cNvGraphicFramePr>
            <a:graphic>
              <a:graphicData uri="http://schemas.openxmlformats.org/drawingml/2006/picture">
                <pic:pic>
                  <pic:nvPicPr>
                    <pic:cNvPr id="124" name="image41.png"/>
                    <pic:cNvPicPr/>
                  </pic:nvPicPr>
                  <pic:blipFill>
                    <a:blip r:embed="rId62" cstate="print"/>
                    <a:stretch>
                      <a:fillRect/>
                    </a:stretch>
                  </pic:blipFill>
                  <pic:spPr>
                    <a:xfrm>
                      <a:off x="0" y="0"/>
                      <a:ext cx="4723256" cy="2412968"/>
                    </a:xfrm>
                    <a:prstGeom prst="rect">
                      <a:avLst/>
                    </a:prstGeom>
                  </pic:spPr>
                </pic:pic>
              </a:graphicData>
            </a:graphic>
          </wp:anchor>
        </w:drawing>
      </w:r>
    </w:p>
    <w:p>
      <w:pPr>
        <w:pStyle w:val="BodyText"/>
        <w:spacing w:before="1"/>
        <w:rPr>
          <w:b/>
          <w:sz w:val="22"/>
        </w:rPr>
      </w:pPr>
    </w:p>
    <w:p>
      <w:pPr>
        <w:pStyle w:val="BodyText"/>
        <w:spacing w:line="247" w:lineRule="auto"/>
        <w:ind w:left="1270" w:right="1267"/>
        <w:jc w:val="both"/>
      </w:pPr>
      <w:r>
        <w:rPr>
          <w:color w:val="231F20"/>
        </w:rPr>
        <w:t>Por</w:t>
      </w:r>
      <w:r>
        <w:rPr>
          <w:color w:val="231F20"/>
          <w:spacing w:val="-8"/>
        </w:rPr>
        <w:t> </w:t>
      </w:r>
      <w:r>
        <w:rPr>
          <w:color w:val="231F20"/>
        </w:rPr>
        <w:t>su</w:t>
      </w:r>
      <w:r>
        <w:rPr>
          <w:color w:val="231F20"/>
          <w:spacing w:val="-8"/>
        </w:rPr>
        <w:t> </w:t>
      </w:r>
      <w:r>
        <w:rPr>
          <w:color w:val="231F20"/>
        </w:rPr>
        <w:t>parte,</w:t>
      </w:r>
      <w:r>
        <w:rPr>
          <w:color w:val="231F20"/>
          <w:spacing w:val="-8"/>
        </w:rPr>
        <w:t> </w:t>
      </w:r>
      <w:r>
        <w:rPr>
          <w:color w:val="231F20"/>
        </w:rPr>
        <w:t>la</w:t>
      </w:r>
      <w:r>
        <w:rPr>
          <w:color w:val="231F20"/>
          <w:spacing w:val="-8"/>
        </w:rPr>
        <w:t> </w:t>
      </w:r>
      <w:r>
        <w:rPr>
          <w:color w:val="231F20"/>
        </w:rPr>
        <w:t>concentración</w:t>
      </w:r>
      <w:r>
        <w:rPr>
          <w:color w:val="231F20"/>
          <w:spacing w:val="-8"/>
        </w:rPr>
        <w:t> </w:t>
      </w:r>
      <w:r>
        <w:rPr>
          <w:color w:val="231F20"/>
        </w:rPr>
        <w:t>de</w:t>
      </w:r>
      <w:r>
        <w:rPr>
          <w:color w:val="231F20"/>
          <w:spacing w:val="-8"/>
        </w:rPr>
        <w:t> </w:t>
      </w:r>
      <w:r>
        <w:rPr>
          <w:color w:val="231F20"/>
        </w:rPr>
        <w:t>K,</w:t>
      </w:r>
      <w:r>
        <w:rPr>
          <w:color w:val="231F20"/>
          <w:spacing w:val="-8"/>
        </w:rPr>
        <w:t> </w:t>
      </w:r>
      <w:r>
        <w:rPr>
          <w:color w:val="231F20"/>
        </w:rPr>
        <w:t>Ca,</w:t>
      </w:r>
      <w:r>
        <w:rPr>
          <w:color w:val="231F20"/>
          <w:spacing w:val="-8"/>
        </w:rPr>
        <w:t> </w:t>
      </w:r>
      <w:r>
        <w:rPr>
          <w:color w:val="231F20"/>
        </w:rPr>
        <w:t>Mg,</w:t>
      </w:r>
      <w:r>
        <w:rPr>
          <w:color w:val="231F20"/>
          <w:spacing w:val="-8"/>
        </w:rPr>
        <w:t> </w:t>
      </w:r>
      <w:r>
        <w:rPr>
          <w:color w:val="231F20"/>
        </w:rPr>
        <w:t>resultaron</w:t>
      </w:r>
      <w:r>
        <w:rPr>
          <w:color w:val="231F20"/>
          <w:spacing w:val="-8"/>
        </w:rPr>
        <w:t> </w:t>
      </w:r>
      <w:r>
        <w:rPr>
          <w:color w:val="231F20"/>
        </w:rPr>
        <w:t>bajas</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100,</w:t>
      </w:r>
      <w:r>
        <w:rPr>
          <w:color w:val="231F20"/>
          <w:spacing w:val="-8"/>
        </w:rPr>
        <w:t> </w:t>
      </w:r>
      <w:r>
        <w:rPr>
          <w:color w:val="231F20"/>
        </w:rPr>
        <w:t>90</w:t>
      </w:r>
      <w:r>
        <w:rPr>
          <w:color w:val="231F20"/>
          <w:spacing w:val="-8"/>
        </w:rPr>
        <w:t> </w:t>
      </w:r>
      <w:r>
        <w:rPr>
          <w:color w:val="231F20"/>
        </w:rPr>
        <w:t>y</w:t>
      </w:r>
      <w:r>
        <w:rPr>
          <w:color w:val="231F20"/>
          <w:spacing w:val="-8"/>
        </w:rPr>
        <w:t> </w:t>
      </w:r>
      <w:r>
        <w:rPr>
          <w:color w:val="231F20"/>
        </w:rPr>
        <w:t>80</w:t>
      </w:r>
      <w:r>
        <w:rPr>
          <w:color w:val="231F20"/>
          <w:spacing w:val="-8"/>
        </w:rPr>
        <w:t> </w:t>
      </w:r>
      <w:r>
        <w:rPr>
          <w:color w:val="231F20"/>
        </w:rPr>
        <w:t>%</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predios,</w:t>
      </w:r>
      <w:r>
        <w:rPr>
          <w:color w:val="231F20"/>
          <w:spacing w:val="-8"/>
        </w:rPr>
        <w:t> </w:t>
      </w:r>
      <w:r>
        <w:rPr>
          <w:color w:val="231F20"/>
        </w:rPr>
        <w:t>res- pectivamente.</w:t>
      </w:r>
      <w:r>
        <w:rPr>
          <w:color w:val="231F20"/>
          <w:spacing w:val="-8"/>
        </w:rPr>
        <w:t> </w:t>
      </w:r>
      <w:r>
        <w:rPr>
          <w:color w:val="231F20"/>
        </w:rPr>
        <w:t>Estos</w:t>
      </w:r>
      <w:r>
        <w:rPr>
          <w:color w:val="231F20"/>
          <w:spacing w:val="-8"/>
        </w:rPr>
        <w:t> </w:t>
      </w:r>
      <w:r>
        <w:rPr>
          <w:color w:val="231F20"/>
        </w:rPr>
        <w:t>nutrientes</w:t>
      </w:r>
      <w:r>
        <w:rPr>
          <w:color w:val="231F20"/>
          <w:spacing w:val="-8"/>
        </w:rPr>
        <w:t> </w:t>
      </w:r>
      <w:r>
        <w:rPr>
          <w:color w:val="231F20"/>
        </w:rPr>
        <w:t>son</w:t>
      </w:r>
      <w:r>
        <w:rPr>
          <w:color w:val="231F20"/>
          <w:spacing w:val="-8"/>
        </w:rPr>
        <w:t> </w:t>
      </w:r>
      <w:r>
        <w:rPr>
          <w:color w:val="231F20"/>
        </w:rPr>
        <w:t>de</w:t>
      </w:r>
      <w:r>
        <w:rPr>
          <w:color w:val="231F20"/>
          <w:spacing w:val="-8"/>
        </w:rPr>
        <w:t> </w:t>
      </w:r>
      <w:r>
        <w:rPr>
          <w:color w:val="231F20"/>
        </w:rPr>
        <w:t>gran</w:t>
      </w:r>
      <w:r>
        <w:rPr>
          <w:color w:val="231F20"/>
          <w:spacing w:val="-8"/>
        </w:rPr>
        <w:t> </w:t>
      </w:r>
      <w:r>
        <w:rPr>
          <w:color w:val="231F20"/>
        </w:rPr>
        <w:t>importancia</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desarrollo</w:t>
      </w:r>
      <w:r>
        <w:rPr>
          <w:color w:val="231F20"/>
          <w:spacing w:val="-8"/>
        </w:rPr>
        <w:t> </w:t>
      </w:r>
      <w:r>
        <w:rPr>
          <w:color w:val="231F20"/>
        </w:rPr>
        <w:t>de</w:t>
      </w:r>
      <w:r>
        <w:rPr>
          <w:color w:val="231F20"/>
          <w:spacing w:val="-8"/>
        </w:rPr>
        <w:t> </w:t>
      </w:r>
      <w:r>
        <w:rPr>
          <w:color w:val="231F20"/>
        </w:rPr>
        <w:t>plantaciones</w:t>
      </w:r>
      <w:r>
        <w:rPr>
          <w:color w:val="231F20"/>
          <w:spacing w:val="-8"/>
        </w:rPr>
        <w:t> </w:t>
      </w:r>
      <w:r>
        <w:rPr>
          <w:color w:val="231F20"/>
        </w:rPr>
        <w:t>de</w:t>
      </w:r>
      <w:r>
        <w:rPr>
          <w:color w:val="231F20"/>
          <w:spacing w:val="-8"/>
        </w:rPr>
        <w:t> </w:t>
      </w:r>
      <w:r>
        <w:rPr>
          <w:color w:val="231F20"/>
        </w:rPr>
        <w:t>eucalipto. Los árboles pueden absorber entre 6 y 30 kg/ha/año de K, retornando un 50% con las hojas caídas. Mientras que de Ca, el eucalipto puede absorber entre 30 y 100 kg/ha por año, reincorporándose hasta</w:t>
      </w:r>
      <w:r>
        <w:rPr>
          <w:color w:val="231F20"/>
          <w:spacing w:val="-6"/>
        </w:rPr>
        <w:t> </w:t>
      </w:r>
      <w:r>
        <w:rPr>
          <w:color w:val="231F20"/>
        </w:rPr>
        <w:t>el</w:t>
      </w:r>
      <w:r>
        <w:rPr>
          <w:color w:val="231F20"/>
          <w:spacing w:val="-6"/>
        </w:rPr>
        <w:t> </w:t>
      </w:r>
      <w:r>
        <w:rPr>
          <w:color w:val="231F20"/>
        </w:rPr>
        <w:t>75%</w:t>
      </w:r>
      <w:r>
        <w:rPr>
          <w:color w:val="231F20"/>
          <w:spacing w:val="-6"/>
        </w:rPr>
        <w:t> </w:t>
      </w:r>
      <w:r>
        <w:rPr>
          <w:color w:val="231F20"/>
        </w:rPr>
        <w:t>al</w:t>
      </w:r>
      <w:r>
        <w:rPr>
          <w:color w:val="231F20"/>
          <w:spacing w:val="-6"/>
        </w:rPr>
        <w:t> </w:t>
      </w:r>
      <w:r>
        <w:rPr>
          <w:color w:val="231F20"/>
        </w:rPr>
        <w:t>caer</w:t>
      </w:r>
      <w:r>
        <w:rPr>
          <w:color w:val="231F20"/>
          <w:spacing w:val="-6"/>
        </w:rPr>
        <w:t> </w:t>
      </w:r>
      <w:r>
        <w:rPr>
          <w:color w:val="231F20"/>
        </w:rPr>
        <w:t>las</w:t>
      </w:r>
      <w:r>
        <w:rPr>
          <w:color w:val="231F20"/>
          <w:spacing w:val="-6"/>
        </w:rPr>
        <w:t> </w:t>
      </w:r>
      <w:r>
        <w:rPr>
          <w:color w:val="231F20"/>
        </w:rPr>
        <w:t>hojas</w:t>
      </w:r>
      <w:r>
        <w:rPr>
          <w:color w:val="231F20"/>
          <w:spacing w:val="-6"/>
        </w:rPr>
        <w:t> </w:t>
      </w:r>
      <w:r>
        <w:rPr>
          <w:color w:val="231F20"/>
        </w:rPr>
        <w:t>(Lugo,</w:t>
      </w:r>
      <w:r>
        <w:rPr>
          <w:color w:val="231F20"/>
          <w:spacing w:val="-6"/>
        </w:rPr>
        <w:t> </w:t>
      </w:r>
      <w:r>
        <w:rPr>
          <w:color w:val="231F20"/>
        </w:rPr>
        <w:t>1986).</w:t>
      </w:r>
      <w:r>
        <w:rPr>
          <w:color w:val="231F20"/>
          <w:spacing w:val="-6"/>
        </w:rPr>
        <w:t> </w:t>
      </w:r>
      <w:r>
        <w:rPr>
          <w:color w:val="231F20"/>
        </w:rPr>
        <w:t>La</w:t>
      </w:r>
      <w:r>
        <w:rPr>
          <w:color w:val="231F20"/>
          <w:spacing w:val="-6"/>
        </w:rPr>
        <w:t> </w:t>
      </w:r>
      <w:r>
        <w:rPr>
          <w:color w:val="231F20"/>
        </w:rPr>
        <w:t>deficiencia</w:t>
      </w:r>
      <w:r>
        <w:rPr>
          <w:color w:val="231F20"/>
          <w:spacing w:val="-6"/>
        </w:rPr>
        <w:t> </w:t>
      </w:r>
      <w:r>
        <w:rPr>
          <w:color w:val="231F20"/>
        </w:rPr>
        <w:t>de</w:t>
      </w:r>
      <w:r>
        <w:rPr>
          <w:color w:val="231F20"/>
          <w:spacing w:val="-6"/>
        </w:rPr>
        <w:t> </w:t>
      </w:r>
      <w:r>
        <w:rPr>
          <w:color w:val="231F20"/>
        </w:rPr>
        <w:t>K</w:t>
      </w:r>
      <w:r>
        <w:rPr>
          <w:color w:val="231F20"/>
          <w:spacing w:val="-6"/>
        </w:rPr>
        <w:t> </w:t>
      </w:r>
      <w:r>
        <w:rPr>
          <w:color w:val="231F20"/>
        </w:rPr>
        <w:t>tiene</w:t>
      </w:r>
      <w:r>
        <w:rPr>
          <w:color w:val="231F20"/>
          <w:spacing w:val="-6"/>
        </w:rPr>
        <w:t> </w:t>
      </w:r>
      <w:r>
        <w:rPr>
          <w:color w:val="231F20"/>
        </w:rPr>
        <w:t>efectos</w:t>
      </w:r>
      <w:r>
        <w:rPr>
          <w:color w:val="231F20"/>
          <w:spacing w:val="-6"/>
        </w:rPr>
        <w:t> </w:t>
      </w:r>
      <w:r>
        <w:rPr>
          <w:color w:val="231F20"/>
        </w:rPr>
        <w:t>negativos</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síntesis de azúcares y resistencia de las plantas contra enfermedades, mientras que el Ca es importante en la estructura de la pared celular e impacta en la resistencia de la madera (Azcón-Bieto y </w:t>
      </w:r>
      <w:r>
        <w:rPr>
          <w:color w:val="231F20"/>
          <w:spacing w:val="-3"/>
        </w:rPr>
        <w:t>Talon, </w:t>
      </w:r>
      <w:r>
        <w:rPr>
          <w:color w:val="231F20"/>
        </w:rPr>
        <w:t>2008). Es de observar que se presentaron pequeñas diferencias en plantaciones de 1.0 a 1.5 años debido al proceso</w:t>
      </w:r>
      <w:r>
        <w:rPr>
          <w:color w:val="231F20"/>
          <w:spacing w:val="-12"/>
        </w:rPr>
        <w:t> </w:t>
      </w:r>
      <w:r>
        <w:rPr>
          <w:color w:val="231F20"/>
        </w:rPr>
        <w:t>de</w:t>
      </w:r>
      <w:r>
        <w:rPr>
          <w:color w:val="231F20"/>
          <w:spacing w:val="-12"/>
        </w:rPr>
        <w:t> </w:t>
      </w:r>
      <w:r>
        <w:rPr>
          <w:color w:val="231F20"/>
        </w:rPr>
        <w:t>fertilización</w:t>
      </w:r>
      <w:r>
        <w:rPr>
          <w:color w:val="231F20"/>
          <w:spacing w:val="-12"/>
        </w:rPr>
        <w:t> </w:t>
      </w:r>
      <w:r>
        <w:rPr>
          <w:color w:val="231F20"/>
        </w:rPr>
        <w:t>que</w:t>
      </w:r>
      <w:r>
        <w:rPr>
          <w:color w:val="231F20"/>
          <w:spacing w:val="-11"/>
        </w:rPr>
        <w:t> </w:t>
      </w:r>
      <w:r>
        <w:rPr>
          <w:color w:val="231F20"/>
        </w:rPr>
        <w:t>se</w:t>
      </w:r>
      <w:r>
        <w:rPr>
          <w:color w:val="231F20"/>
          <w:spacing w:val="-12"/>
        </w:rPr>
        <w:t> </w:t>
      </w:r>
      <w:r>
        <w:rPr>
          <w:color w:val="231F20"/>
        </w:rPr>
        <w:t>realiza</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vivero</w:t>
      </w:r>
      <w:r>
        <w:rPr>
          <w:color w:val="231F20"/>
          <w:spacing w:val="-12"/>
        </w:rPr>
        <w:t> </w:t>
      </w:r>
      <w:r>
        <w:rPr>
          <w:color w:val="231F20"/>
        </w:rPr>
        <w:t>antes</w:t>
      </w:r>
      <w:r>
        <w:rPr>
          <w:color w:val="231F20"/>
          <w:spacing w:val="-12"/>
        </w:rPr>
        <w:t> </w:t>
      </w:r>
      <w:r>
        <w:rPr>
          <w:color w:val="231F20"/>
        </w:rPr>
        <w:t>de</w:t>
      </w:r>
      <w:r>
        <w:rPr>
          <w:color w:val="231F20"/>
          <w:spacing w:val="-12"/>
        </w:rPr>
        <w:t> </w:t>
      </w:r>
      <w:r>
        <w:rPr>
          <w:color w:val="231F20"/>
        </w:rPr>
        <w:t>llevar</w:t>
      </w:r>
      <w:r>
        <w:rPr>
          <w:color w:val="231F20"/>
          <w:spacing w:val="-12"/>
        </w:rPr>
        <w:t> </w:t>
      </w:r>
      <w:r>
        <w:rPr>
          <w:color w:val="231F20"/>
        </w:rPr>
        <w:t>la</w:t>
      </w:r>
      <w:r>
        <w:rPr>
          <w:color w:val="231F20"/>
          <w:spacing w:val="-12"/>
        </w:rPr>
        <w:t> </w:t>
      </w:r>
      <w:r>
        <w:rPr>
          <w:color w:val="231F20"/>
        </w:rPr>
        <w:t>planta</w:t>
      </w:r>
      <w:r>
        <w:rPr>
          <w:color w:val="231F20"/>
          <w:spacing w:val="-12"/>
        </w:rPr>
        <w:t> </w:t>
      </w:r>
      <w:r>
        <w:rPr>
          <w:color w:val="231F20"/>
        </w:rPr>
        <w:t>al</w:t>
      </w:r>
      <w:r>
        <w:rPr>
          <w:color w:val="231F20"/>
          <w:spacing w:val="-12"/>
        </w:rPr>
        <w:t> </w:t>
      </w:r>
      <w:r>
        <w:rPr>
          <w:color w:val="231F20"/>
        </w:rPr>
        <w:t>terreno.</w:t>
      </w:r>
      <w:r>
        <w:rPr>
          <w:color w:val="231F20"/>
          <w:spacing w:val="-12"/>
        </w:rPr>
        <w:t> </w:t>
      </w:r>
      <w:r>
        <w:rPr>
          <w:color w:val="231F20"/>
        </w:rPr>
        <w:t>Un</w:t>
      </w:r>
      <w:r>
        <w:rPr>
          <w:color w:val="231F20"/>
          <w:spacing w:val="-12"/>
        </w:rPr>
        <w:t> </w:t>
      </w:r>
      <w:r>
        <w:rPr>
          <w:color w:val="231F20"/>
        </w:rPr>
        <w:t>efecto</w:t>
      </w:r>
      <w:r>
        <w:rPr>
          <w:color w:val="231F20"/>
          <w:spacing w:val="-12"/>
        </w:rPr>
        <w:t> </w:t>
      </w:r>
      <w:r>
        <w:rPr>
          <w:color w:val="231F20"/>
        </w:rPr>
        <w:t>direc- to</w:t>
      </w:r>
      <w:r>
        <w:rPr>
          <w:color w:val="231F20"/>
          <w:spacing w:val="-10"/>
        </w:rPr>
        <w:t> </w:t>
      </w:r>
      <w:r>
        <w:rPr>
          <w:color w:val="231F20"/>
        </w:rPr>
        <w:t>a</w:t>
      </w:r>
      <w:r>
        <w:rPr>
          <w:color w:val="231F20"/>
          <w:spacing w:val="-10"/>
        </w:rPr>
        <w:t> </w:t>
      </w:r>
      <w:r>
        <w:rPr>
          <w:color w:val="231F20"/>
        </w:rPr>
        <w:t>causa</w:t>
      </w:r>
      <w:r>
        <w:rPr>
          <w:color w:val="231F20"/>
          <w:spacing w:val="-10"/>
        </w:rPr>
        <w:t> </w:t>
      </w:r>
      <w:r>
        <w:rPr>
          <w:color w:val="231F20"/>
        </w:rPr>
        <w:t>del</w:t>
      </w:r>
      <w:r>
        <w:rPr>
          <w:color w:val="231F20"/>
          <w:spacing w:val="-10"/>
        </w:rPr>
        <w:t> </w:t>
      </w:r>
      <w:r>
        <w:rPr>
          <w:color w:val="231F20"/>
        </w:rPr>
        <w:t>muy</w:t>
      </w:r>
      <w:r>
        <w:rPr>
          <w:color w:val="231F20"/>
          <w:spacing w:val="-10"/>
        </w:rPr>
        <w:t> </w:t>
      </w:r>
      <w:r>
        <w:rPr>
          <w:color w:val="231F20"/>
        </w:rPr>
        <w:t>bajo</w:t>
      </w:r>
      <w:r>
        <w:rPr>
          <w:color w:val="231F20"/>
          <w:spacing w:val="-10"/>
        </w:rPr>
        <w:t> </w:t>
      </w:r>
      <w:r>
        <w:rPr>
          <w:color w:val="231F20"/>
        </w:rPr>
        <w:t>contenido</w:t>
      </w:r>
      <w:r>
        <w:rPr>
          <w:color w:val="231F20"/>
          <w:spacing w:val="-10"/>
        </w:rPr>
        <w:t> </w:t>
      </w:r>
      <w:r>
        <w:rPr>
          <w:color w:val="231F20"/>
        </w:rPr>
        <w:t>de</w:t>
      </w:r>
      <w:r>
        <w:rPr>
          <w:color w:val="231F20"/>
          <w:spacing w:val="-10"/>
        </w:rPr>
        <w:t> </w:t>
      </w:r>
      <w:r>
        <w:rPr>
          <w:color w:val="231F20"/>
        </w:rPr>
        <w:t>potasio</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suelo</w:t>
      </w:r>
      <w:r>
        <w:rPr>
          <w:color w:val="231F20"/>
          <w:spacing w:val="-10"/>
        </w:rPr>
        <w:t> </w:t>
      </w:r>
      <w:r>
        <w:rPr>
          <w:color w:val="231F20"/>
        </w:rPr>
        <w:t>es</w:t>
      </w:r>
      <w:r>
        <w:rPr>
          <w:color w:val="231F20"/>
          <w:spacing w:val="-10"/>
        </w:rPr>
        <w:t> </w:t>
      </w:r>
      <w:r>
        <w:rPr>
          <w:color w:val="231F20"/>
        </w:rPr>
        <w:t>el</w:t>
      </w:r>
      <w:r>
        <w:rPr>
          <w:color w:val="231F20"/>
          <w:spacing w:val="-10"/>
        </w:rPr>
        <w:t> </w:t>
      </w:r>
      <w:r>
        <w:rPr>
          <w:color w:val="231F20"/>
        </w:rPr>
        <w:t>ataque</w:t>
      </w:r>
      <w:r>
        <w:rPr>
          <w:color w:val="231F20"/>
          <w:spacing w:val="-10"/>
        </w:rPr>
        <w:t> </w:t>
      </w:r>
      <w:r>
        <w:rPr>
          <w:color w:val="231F20"/>
        </w:rPr>
        <w:t>de</w:t>
      </w:r>
      <w:r>
        <w:rPr>
          <w:color w:val="231F20"/>
          <w:spacing w:val="-10"/>
        </w:rPr>
        <w:t> </w:t>
      </w:r>
      <w:r>
        <w:rPr>
          <w:color w:val="231F20"/>
        </w:rPr>
        <w:t>plagas</w:t>
      </w:r>
      <w:r>
        <w:rPr>
          <w:color w:val="231F20"/>
          <w:spacing w:val="-10"/>
        </w:rPr>
        <w:t> </w:t>
      </w:r>
      <w:r>
        <w:rPr>
          <w:color w:val="231F20"/>
        </w:rPr>
        <w:t>y</w:t>
      </w:r>
      <w:r>
        <w:rPr>
          <w:color w:val="231F20"/>
          <w:spacing w:val="-10"/>
        </w:rPr>
        <w:t> </w:t>
      </w:r>
      <w:r>
        <w:rPr>
          <w:color w:val="231F20"/>
        </w:rPr>
        <w:t>enfermedades</w:t>
      </w:r>
      <w:r>
        <w:rPr>
          <w:color w:val="231F20"/>
          <w:spacing w:val="-11"/>
        </w:rPr>
        <w:t> </w:t>
      </w:r>
      <w:r>
        <w:rPr>
          <w:color w:val="231F20"/>
        </w:rPr>
        <w:t>que</w:t>
      </w:r>
      <w:r>
        <w:rPr>
          <w:color w:val="231F20"/>
          <w:spacing w:val="-10"/>
        </w:rPr>
        <w:t> </w:t>
      </w:r>
      <w:r>
        <w:rPr>
          <w:color w:val="231F20"/>
        </w:rPr>
        <w:t>se evidenció</w:t>
      </w:r>
      <w:r>
        <w:rPr>
          <w:color w:val="231F20"/>
          <w:spacing w:val="-5"/>
        </w:rPr>
        <w:t> </w:t>
      </w:r>
      <w:r>
        <w:rPr>
          <w:color w:val="231F20"/>
        </w:rPr>
        <w:t>en</w:t>
      </w:r>
      <w:r>
        <w:rPr>
          <w:color w:val="231F20"/>
          <w:spacing w:val="-4"/>
        </w:rPr>
        <w:t> </w:t>
      </w:r>
      <w:r>
        <w:rPr>
          <w:color w:val="231F20"/>
        </w:rPr>
        <w:t>el</w:t>
      </w:r>
      <w:r>
        <w:rPr>
          <w:color w:val="231F20"/>
          <w:spacing w:val="-4"/>
        </w:rPr>
        <w:t> </w:t>
      </w:r>
      <w:r>
        <w:rPr>
          <w:color w:val="231F20"/>
        </w:rPr>
        <w:t>campo,</w:t>
      </w:r>
      <w:r>
        <w:rPr>
          <w:color w:val="231F20"/>
          <w:spacing w:val="-5"/>
        </w:rPr>
        <w:t> </w:t>
      </w:r>
      <w:r>
        <w:rPr>
          <w:color w:val="231F20"/>
        </w:rPr>
        <w:t>el</w:t>
      </w:r>
      <w:r>
        <w:rPr>
          <w:color w:val="231F20"/>
          <w:spacing w:val="-4"/>
        </w:rPr>
        <w:t> </w:t>
      </w:r>
      <w:r>
        <w:rPr>
          <w:color w:val="231F20"/>
        </w:rPr>
        <w:t>potasio</w:t>
      </w:r>
      <w:r>
        <w:rPr>
          <w:color w:val="231F20"/>
          <w:spacing w:val="-4"/>
        </w:rPr>
        <w:t> </w:t>
      </w:r>
      <w:r>
        <w:rPr>
          <w:color w:val="231F20"/>
        </w:rPr>
        <w:t>en</w:t>
      </w:r>
      <w:r>
        <w:rPr>
          <w:color w:val="231F20"/>
          <w:spacing w:val="-4"/>
        </w:rPr>
        <w:t> </w:t>
      </w:r>
      <w:r>
        <w:rPr>
          <w:color w:val="231F20"/>
        </w:rPr>
        <w:t>los</w:t>
      </w:r>
      <w:r>
        <w:rPr>
          <w:color w:val="231F20"/>
          <w:spacing w:val="-5"/>
        </w:rPr>
        <w:t> </w:t>
      </w:r>
      <w:r>
        <w:rPr>
          <w:color w:val="231F20"/>
        </w:rPr>
        <w:t>cultivos</w:t>
      </w:r>
      <w:r>
        <w:rPr>
          <w:color w:val="231F20"/>
          <w:spacing w:val="-5"/>
        </w:rPr>
        <w:t> </w:t>
      </w:r>
      <w:r>
        <w:rPr>
          <w:color w:val="231F20"/>
        </w:rPr>
        <w:t>de</w:t>
      </w:r>
      <w:r>
        <w:rPr>
          <w:color w:val="231F20"/>
          <w:spacing w:val="-4"/>
        </w:rPr>
        <w:t> </w:t>
      </w:r>
      <w:r>
        <w:rPr>
          <w:color w:val="231F20"/>
        </w:rPr>
        <w:t>eucalipto</w:t>
      </w:r>
      <w:r>
        <w:rPr>
          <w:color w:val="231F20"/>
          <w:spacing w:val="-5"/>
        </w:rPr>
        <w:t> </w:t>
      </w:r>
      <w:r>
        <w:rPr>
          <w:color w:val="231F20"/>
        </w:rPr>
        <w:t>favorecen</w:t>
      </w:r>
      <w:r>
        <w:rPr>
          <w:color w:val="231F20"/>
          <w:spacing w:val="-4"/>
        </w:rPr>
        <w:t> </w:t>
      </w:r>
      <w:r>
        <w:rPr>
          <w:color w:val="231F20"/>
        </w:rPr>
        <w:t>la</w:t>
      </w:r>
      <w:r>
        <w:rPr>
          <w:color w:val="231F20"/>
          <w:spacing w:val="-4"/>
        </w:rPr>
        <w:t> </w:t>
      </w:r>
      <w:r>
        <w:rPr>
          <w:color w:val="231F20"/>
        </w:rPr>
        <w:t>síntesis</w:t>
      </w:r>
      <w:r>
        <w:rPr>
          <w:color w:val="231F20"/>
          <w:spacing w:val="-4"/>
        </w:rPr>
        <w:t> </w:t>
      </w:r>
      <w:r>
        <w:rPr>
          <w:color w:val="231F20"/>
        </w:rPr>
        <w:t>y</w:t>
      </w:r>
      <w:r>
        <w:rPr>
          <w:color w:val="231F20"/>
          <w:spacing w:val="-4"/>
        </w:rPr>
        <w:t> </w:t>
      </w:r>
      <w:r>
        <w:rPr>
          <w:color w:val="231F20"/>
        </w:rPr>
        <w:t>acumulación</w:t>
      </w:r>
      <w:r>
        <w:rPr>
          <w:color w:val="231F20"/>
          <w:spacing w:val="-5"/>
        </w:rPr>
        <w:t> </w:t>
      </w:r>
      <w:r>
        <w:rPr>
          <w:color w:val="231F20"/>
        </w:rPr>
        <w:t>de compuestos</w:t>
      </w:r>
      <w:r>
        <w:rPr>
          <w:color w:val="231F20"/>
          <w:spacing w:val="-6"/>
        </w:rPr>
        <w:t> </w:t>
      </w:r>
      <w:r>
        <w:rPr>
          <w:color w:val="231F20"/>
        </w:rPr>
        <w:t>fenólicos</w:t>
      </w:r>
      <w:r>
        <w:rPr>
          <w:color w:val="231F20"/>
          <w:spacing w:val="-6"/>
        </w:rPr>
        <w:t> </w:t>
      </w:r>
      <w:r>
        <w:rPr>
          <w:color w:val="231F20"/>
        </w:rPr>
        <w:t>los</w:t>
      </w:r>
      <w:r>
        <w:rPr>
          <w:color w:val="231F20"/>
          <w:spacing w:val="-6"/>
        </w:rPr>
        <w:t> </w:t>
      </w:r>
      <w:r>
        <w:rPr>
          <w:color w:val="231F20"/>
        </w:rPr>
        <w:t>cuales</w:t>
      </w:r>
      <w:r>
        <w:rPr>
          <w:color w:val="231F20"/>
          <w:spacing w:val="-6"/>
        </w:rPr>
        <w:t> </w:t>
      </w:r>
      <w:r>
        <w:rPr>
          <w:color w:val="231F20"/>
        </w:rPr>
        <w:t>actúan</w:t>
      </w:r>
      <w:r>
        <w:rPr>
          <w:color w:val="231F20"/>
          <w:spacing w:val="-6"/>
        </w:rPr>
        <w:t> </w:t>
      </w:r>
      <w:r>
        <w:rPr>
          <w:color w:val="231F20"/>
        </w:rPr>
        <w:t>como</w:t>
      </w:r>
      <w:r>
        <w:rPr>
          <w:color w:val="231F20"/>
          <w:spacing w:val="-6"/>
        </w:rPr>
        <w:t> </w:t>
      </w:r>
      <w:r>
        <w:rPr>
          <w:color w:val="231F20"/>
        </w:rPr>
        <w:t>inhibidores</w:t>
      </w:r>
      <w:r>
        <w:rPr>
          <w:color w:val="231F20"/>
          <w:spacing w:val="-6"/>
        </w:rPr>
        <w:t> </w:t>
      </w:r>
      <w:r>
        <w:rPr>
          <w:color w:val="231F20"/>
        </w:rPr>
        <w:t>de</w:t>
      </w:r>
      <w:r>
        <w:rPr>
          <w:color w:val="231F20"/>
          <w:spacing w:val="-6"/>
        </w:rPr>
        <w:t> </w:t>
      </w:r>
      <w:r>
        <w:rPr>
          <w:color w:val="231F20"/>
        </w:rPr>
        <w:t>insectos</w:t>
      </w:r>
      <w:r>
        <w:rPr>
          <w:color w:val="231F20"/>
          <w:spacing w:val="-6"/>
        </w:rPr>
        <w:t> </w:t>
      </w:r>
      <w:r>
        <w:rPr>
          <w:color w:val="231F20"/>
        </w:rPr>
        <w:t>y</w:t>
      </w:r>
      <w:r>
        <w:rPr>
          <w:color w:val="231F20"/>
          <w:spacing w:val="-6"/>
        </w:rPr>
        <w:t> </w:t>
      </w:r>
      <w:r>
        <w:rPr>
          <w:color w:val="231F20"/>
        </w:rPr>
        <w:t>hongos</w:t>
      </w:r>
      <w:r>
        <w:rPr>
          <w:color w:val="231F20"/>
          <w:spacing w:val="-6"/>
        </w:rPr>
        <w:t> </w:t>
      </w:r>
      <w:r>
        <w:rPr>
          <w:color w:val="231F20"/>
        </w:rPr>
        <w:t>(Arruda</w:t>
      </w:r>
      <w:r>
        <w:rPr>
          <w:color w:val="231F20"/>
          <w:spacing w:val="-6"/>
        </w:rPr>
        <w:t> </w:t>
      </w:r>
      <w:r>
        <w:rPr>
          <w:color w:val="231F20"/>
        </w:rPr>
        <w:t>y</w:t>
      </w:r>
      <w:r>
        <w:rPr>
          <w:color w:val="231F20"/>
          <w:spacing w:val="-6"/>
        </w:rPr>
        <w:t> </w:t>
      </w:r>
      <w:r>
        <w:rPr>
          <w:color w:val="231F20"/>
        </w:rPr>
        <w:t>Malavolta, 2001). El K a la profundidad muestreada de 0-30 cm no se encontró en la concentración suficiente para</w:t>
      </w:r>
      <w:r>
        <w:rPr>
          <w:color w:val="231F20"/>
          <w:spacing w:val="-11"/>
        </w:rPr>
        <w:t> </w:t>
      </w:r>
      <w:r>
        <w:rPr>
          <w:color w:val="231F20"/>
        </w:rPr>
        <w:t>satisfacer</w:t>
      </w:r>
      <w:r>
        <w:rPr>
          <w:color w:val="231F20"/>
          <w:spacing w:val="-10"/>
        </w:rPr>
        <w:t> </w:t>
      </w:r>
      <w:r>
        <w:rPr>
          <w:color w:val="231F20"/>
        </w:rPr>
        <w:t>la</w:t>
      </w:r>
      <w:r>
        <w:rPr>
          <w:color w:val="231F20"/>
          <w:spacing w:val="-11"/>
        </w:rPr>
        <w:t> </w:t>
      </w:r>
      <w:r>
        <w:rPr>
          <w:color w:val="231F20"/>
        </w:rPr>
        <w:t>demanda</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especie</w:t>
      </w:r>
      <w:r>
        <w:rPr>
          <w:color w:val="231F20"/>
          <w:spacing w:val="-12"/>
        </w:rPr>
        <w:t> </w:t>
      </w:r>
      <w:r>
        <w:rPr>
          <w:color w:val="231F20"/>
        </w:rPr>
        <w:t>de</w:t>
      </w:r>
      <w:r>
        <w:rPr>
          <w:color w:val="231F20"/>
          <w:spacing w:val="-11"/>
        </w:rPr>
        <w:t> </w:t>
      </w:r>
      <w:r>
        <w:rPr>
          <w:color w:val="231F20"/>
        </w:rPr>
        <w:t>eucalipto</w:t>
      </w:r>
      <w:r>
        <w:rPr>
          <w:color w:val="231F20"/>
          <w:spacing w:val="-12"/>
        </w:rPr>
        <w:t> </w:t>
      </w:r>
      <w:r>
        <w:rPr>
          <w:color w:val="231F20"/>
        </w:rPr>
        <w:t>durante</w:t>
      </w:r>
      <w:r>
        <w:rPr>
          <w:color w:val="231F20"/>
          <w:spacing w:val="-11"/>
        </w:rPr>
        <w:t> </w:t>
      </w:r>
      <w:r>
        <w:rPr>
          <w:color w:val="231F20"/>
        </w:rPr>
        <w:t>el</w:t>
      </w:r>
      <w:r>
        <w:rPr>
          <w:color w:val="231F20"/>
          <w:spacing w:val="-11"/>
        </w:rPr>
        <w:t> </w:t>
      </w:r>
      <w:r>
        <w:rPr>
          <w:color w:val="231F20"/>
        </w:rPr>
        <w:t>ciclo</w:t>
      </w:r>
      <w:r>
        <w:rPr>
          <w:color w:val="231F20"/>
          <w:spacing w:val="-11"/>
        </w:rPr>
        <w:t> </w:t>
      </w:r>
      <w:r>
        <w:rPr>
          <w:color w:val="231F20"/>
        </w:rPr>
        <w:t>de</w:t>
      </w:r>
      <w:r>
        <w:rPr>
          <w:color w:val="231F20"/>
          <w:spacing w:val="-11"/>
        </w:rPr>
        <w:t> </w:t>
      </w:r>
      <w:r>
        <w:rPr>
          <w:color w:val="231F20"/>
        </w:rPr>
        <w:t>producción.</w:t>
      </w:r>
      <w:r>
        <w:rPr>
          <w:color w:val="231F20"/>
          <w:spacing w:val="-11"/>
        </w:rPr>
        <w:t> </w:t>
      </w:r>
      <w:r>
        <w:rPr>
          <w:color w:val="231F20"/>
        </w:rPr>
        <w:t>Las</w:t>
      </w:r>
      <w:r>
        <w:rPr>
          <w:color w:val="231F20"/>
          <w:spacing w:val="-11"/>
        </w:rPr>
        <w:t> </w:t>
      </w:r>
      <w:r>
        <w:rPr>
          <w:color w:val="231F20"/>
        </w:rPr>
        <w:t>plantaciones jóvenes requieren menor cantidad de K que las de mayor edad y esto es porque éste requerimiento está relacionado con la acumulación de biomasa en el árbol a través de la activación de 50 enzimas (sintetasas, oxireductasas, deshidrogenasas, transferasas, quinasas y aldolasas), está involucrado en la</w:t>
      </w:r>
      <w:r>
        <w:rPr>
          <w:color w:val="231F20"/>
          <w:spacing w:val="-7"/>
        </w:rPr>
        <w:t> </w:t>
      </w:r>
      <w:r>
        <w:rPr>
          <w:color w:val="231F20"/>
        </w:rPr>
        <w:t>síntesis</w:t>
      </w:r>
      <w:r>
        <w:rPr>
          <w:color w:val="231F20"/>
          <w:spacing w:val="-7"/>
        </w:rPr>
        <w:t> </w:t>
      </w:r>
      <w:r>
        <w:rPr>
          <w:color w:val="231F20"/>
        </w:rPr>
        <w:t>de</w:t>
      </w:r>
      <w:r>
        <w:rPr>
          <w:color w:val="231F20"/>
          <w:spacing w:val="-7"/>
        </w:rPr>
        <w:t> </w:t>
      </w:r>
      <w:r>
        <w:rPr>
          <w:color w:val="231F20"/>
        </w:rPr>
        <w:t>proteínas,</w:t>
      </w:r>
      <w:r>
        <w:rPr>
          <w:color w:val="231F20"/>
          <w:spacing w:val="-7"/>
        </w:rPr>
        <w:t> </w:t>
      </w:r>
      <w:r>
        <w:rPr>
          <w:color w:val="231F20"/>
        </w:rPr>
        <w:t>el</w:t>
      </w:r>
      <w:r>
        <w:rPr>
          <w:color w:val="231F20"/>
          <w:spacing w:val="-7"/>
        </w:rPr>
        <w:t> </w:t>
      </w:r>
      <w:r>
        <w:rPr>
          <w:color w:val="231F20"/>
        </w:rPr>
        <w:t>control</w:t>
      </w:r>
      <w:r>
        <w:rPr>
          <w:color w:val="231F20"/>
          <w:spacing w:val="-7"/>
        </w:rPr>
        <w:t> </w:t>
      </w:r>
      <w:r>
        <w:rPr>
          <w:color w:val="231F20"/>
        </w:rPr>
        <w:t>osmótico</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células</w:t>
      </w:r>
      <w:r>
        <w:rPr>
          <w:color w:val="231F20"/>
          <w:spacing w:val="-7"/>
        </w:rPr>
        <w:t> </w:t>
      </w:r>
      <w:r>
        <w:rPr>
          <w:color w:val="231F20"/>
        </w:rPr>
        <w:t>que</w:t>
      </w:r>
      <w:r>
        <w:rPr>
          <w:color w:val="231F20"/>
          <w:spacing w:val="-7"/>
        </w:rPr>
        <w:t> </w:t>
      </w:r>
      <w:r>
        <w:rPr>
          <w:color w:val="231F20"/>
        </w:rPr>
        <w:t>confiere</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planta</w:t>
      </w:r>
      <w:r>
        <w:rPr>
          <w:color w:val="231F20"/>
          <w:spacing w:val="-7"/>
        </w:rPr>
        <w:t> </w:t>
      </w:r>
      <w:r>
        <w:rPr>
          <w:color w:val="231F20"/>
        </w:rPr>
        <w:t>resistencia</w:t>
      </w:r>
      <w:r>
        <w:rPr>
          <w:color w:val="231F20"/>
          <w:spacing w:val="-7"/>
        </w:rPr>
        <w:t> </w:t>
      </w:r>
      <w:r>
        <w:rPr>
          <w:color w:val="231F20"/>
        </w:rPr>
        <w:t>a</w:t>
      </w:r>
      <w:r>
        <w:rPr>
          <w:color w:val="231F20"/>
          <w:spacing w:val="-7"/>
        </w:rPr>
        <w:t> </w:t>
      </w:r>
      <w:r>
        <w:rPr>
          <w:color w:val="231F20"/>
        </w:rPr>
        <w:t>sequía y heladas (Arruda y Malavolta,</w:t>
      </w:r>
      <w:r>
        <w:rPr>
          <w:color w:val="231F20"/>
          <w:spacing w:val="-9"/>
        </w:rPr>
        <w:t> </w:t>
      </w:r>
      <w:r>
        <w:rPr>
          <w:color w:val="231F20"/>
        </w:rPr>
        <w:t>2001).</w:t>
      </w:r>
    </w:p>
    <w:p>
      <w:pPr>
        <w:pStyle w:val="BodyText"/>
        <w:spacing w:before="10"/>
      </w:pPr>
    </w:p>
    <w:p>
      <w:pPr>
        <w:pStyle w:val="BodyText"/>
        <w:spacing w:line="247" w:lineRule="auto"/>
        <w:ind w:left="1270" w:right="1267"/>
        <w:jc w:val="both"/>
      </w:pPr>
      <w:r>
        <w:rPr>
          <w:color w:val="231F20"/>
        </w:rPr>
        <w:t>En suelos ácidos la solubilidad del aluminio aumenta velozmente y puede sustituir al Ca, Mg o K, debilitando las funciones fisiológicas de éstos (Macedo </w:t>
      </w:r>
      <w:r>
        <w:rPr>
          <w:i/>
          <w:color w:val="231F20"/>
        </w:rPr>
        <w:t>et al</w:t>
      </w:r>
      <w:r>
        <w:rPr>
          <w:color w:val="231F20"/>
        </w:rPr>
        <w:t>., 1996). Este efecto negativo puede ser corregido aplicando carbonato de calcio, el cual disminuye la posible toxicidad producida por la ac-</w:t>
      </w:r>
    </w:p>
    <w:p>
      <w:pPr>
        <w:spacing w:after="0" w:line="247" w:lineRule="auto"/>
        <w:jc w:val="both"/>
        <w:sectPr>
          <w:pgSz w:w="10920" w:h="13080"/>
          <w:pgMar w:header="0" w:footer="1025" w:top="420" w:bottom="1220" w:left="0" w:right="0"/>
        </w:sectPr>
      </w:pPr>
    </w:p>
    <w:p>
      <w:pPr>
        <w:pStyle w:val="BodyText"/>
        <w:rPr>
          <w:sz w:val="20"/>
        </w:rPr>
      </w:pPr>
    </w:p>
    <w:p>
      <w:pPr>
        <w:pStyle w:val="BodyText"/>
        <w:rPr>
          <w:sz w:val="20"/>
        </w:rPr>
      </w:pPr>
    </w:p>
    <w:p>
      <w:pPr>
        <w:pStyle w:val="BodyText"/>
        <w:rPr>
          <w:sz w:val="23"/>
        </w:rPr>
      </w:pPr>
    </w:p>
    <w:p>
      <w:pPr>
        <w:pStyle w:val="BodyText"/>
        <w:spacing w:line="247" w:lineRule="auto" w:before="73"/>
        <w:ind w:left="1270" w:right="1268"/>
        <w:jc w:val="both"/>
      </w:pPr>
      <w:r>
        <w:rPr>
          <w:color w:val="231F20"/>
        </w:rPr>
        <w:t>tividad</w:t>
      </w:r>
      <w:r>
        <w:rPr>
          <w:color w:val="231F20"/>
          <w:spacing w:val="-8"/>
        </w:rPr>
        <w:t> </w:t>
      </w:r>
      <w:r>
        <w:rPr>
          <w:color w:val="231F20"/>
        </w:rPr>
        <w:t>de</w:t>
      </w:r>
      <w:r>
        <w:rPr>
          <w:color w:val="231F20"/>
          <w:spacing w:val="-19"/>
        </w:rPr>
        <w:t> </w:t>
      </w:r>
      <w:r>
        <w:rPr>
          <w:color w:val="231F20"/>
        </w:rPr>
        <w:t>Al</w:t>
      </w:r>
      <w:r>
        <w:rPr>
          <w:color w:val="231F20"/>
          <w:position w:val="7"/>
          <w:sz w:val="12"/>
        </w:rPr>
        <w:t>3+</w:t>
      </w:r>
      <w:r>
        <w:rPr>
          <w:color w:val="231F20"/>
        </w:rPr>
        <w:t>,</w:t>
      </w:r>
      <w:r>
        <w:rPr>
          <w:color w:val="231F20"/>
          <w:spacing w:val="-7"/>
        </w:rPr>
        <w:t> </w:t>
      </w:r>
      <w:r>
        <w:rPr>
          <w:color w:val="231F20"/>
        </w:rPr>
        <w:t>Fe</w:t>
      </w:r>
      <w:r>
        <w:rPr>
          <w:color w:val="231F20"/>
          <w:position w:val="7"/>
          <w:sz w:val="12"/>
        </w:rPr>
        <w:t>3+o</w:t>
      </w:r>
      <w:r>
        <w:rPr>
          <w:color w:val="231F20"/>
          <w:spacing w:val="15"/>
          <w:position w:val="7"/>
          <w:sz w:val="12"/>
        </w:rPr>
        <w:t> </w:t>
      </w:r>
      <w:r>
        <w:rPr>
          <w:color w:val="231F20"/>
        </w:rPr>
        <w:t>y</w:t>
      </w:r>
      <w:r>
        <w:rPr>
          <w:color w:val="231F20"/>
          <w:spacing w:val="-7"/>
        </w:rPr>
        <w:t> </w:t>
      </w:r>
      <w:r>
        <w:rPr>
          <w:color w:val="231F20"/>
        </w:rPr>
        <w:t>Mn;</w:t>
      </w:r>
      <w:r>
        <w:rPr>
          <w:color w:val="231F20"/>
          <w:spacing w:val="-7"/>
        </w:rPr>
        <w:t> </w:t>
      </w:r>
      <w:r>
        <w:rPr>
          <w:color w:val="231F20"/>
        </w:rPr>
        <w:t>neutralizando</w:t>
      </w:r>
      <w:r>
        <w:rPr>
          <w:color w:val="231F20"/>
          <w:spacing w:val="-8"/>
        </w:rPr>
        <w:t> </w:t>
      </w:r>
      <w:r>
        <w:rPr>
          <w:color w:val="231F20"/>
        </w:rPr>
        <w:t>la</w:t>
      </w:r>
      <w:r>
        <w:rPr>
          <w:color w:val="231F20"/>
          <w:spacing w:val="-8"/>
        </w:rPr>
        <w:t> </w:t>
      </w:r>
      <w:r>
        <w:rPr>
          <w:color w:val="231F20"/>
        </w:rPr>
        <w:t>acidez</w:t>
      </w:r>
      <w:r>
        <w:rPr>
          <w:color w:val="231F20"/>
          <w:spacing w:val="-8"/>
        </w:rPr>
        <w:t> </w:t>
      </w:r>
      <w:r>
        <w:rPr>
          <w:color w:val="231F20"/>
        </w:rPr>
        <w:t>del</w:t>
      </w:r>
      <w:r>
        <w:rPr>
          <w:color w:val="231F20"/>
          <w:spacing w:val="-7"/>
        </w:rPr>
        <w:t> </w:t>
      </w:r>
      <w:r>
        <w:rPr>
          <w:color w:val="231F20"/>
        </w:rPr>
        <w:t>suelo</w:t>
      </w:r>
      <w:r>
        <w:rPr>
          <w:color w:val="231F20"/>
          <w:spacing w:val="-7"/>
        </w:rPr>
        <w:t> </w:t>
      </w:r>
      <w:r>
        <w:rPr>
          <w:color w:val="231F20"/>
        </w:rPr>
        <w:t>y</w:t>
      </w:r>
      <w:r>
        <w:rPr>
          <w:color w:val="231F20"/>
          <w:spacing w:val="-7"/>
        </w:rPr>
        <w:t> </w:t>
      </w:r>
      <w:r>
        <w:rPr>
          <w:color w:val="231F20"/>
        </w:rPr>
        <w:t>ayudando</w:t>
      </w:r>
      <w:r>
        <w:rPr>
          <w:color w:val="231F20"/>
          <w:spacing w:val="-8"/>
        </w:rPr>
        <w:t> </w:t>
      </w:r>
      <w:r>
        <w:rPr>
          <w:color w:val="231F20"/>
        </w:rPr>
        <w:t>a</w:t>
      </w:r>
      <w:r>
        <w:rPr>
          <w:color w:val="231F20"/>
          <w:spacing w:val="-7"/>
        </w:rPr>
        <w:t> </w:t>
      </w:r>
      <w:r>
        <w:rPr>
          <w:color w:val="231F20"/>
        </w:rPr>
        <w:t>incrementar</w:t>
      </w:r>
      <w:r>
        <w:rPr>
          <w:color w:val="231F20"/>
          <w:spacing w:val="-8"/>
        </w:rPr>
        <w:t> </w:t>
      </w:r>
      <w:r>
        <w:rPr>
          <w:color w:val="231F20"/>
        </w:rPr>
        <w:t>los</w:t>
      </w:r>
      <w:r>
        <w:rPr>
          <w:color w:val="231F20"/>
          <w:spacing w:val="-7"/>
        </w:rPr>
        <w:t> </w:t>
      </w:r>
      <w:r>
        <w:rPr>
          <w:color w:val="231F20"/>
        </w:rPr>
        <w:t>niveles</w:t>
      </w:r>
      <w:r>
        <w:rPr>
          <w:color w:val="231F20"/>
          <w:spacing w:val="-8"/>
        </w:rPr>
        <w:t> </w:t>
      </w:r>
      <w:r>
        <w:rPr>
          <w:color w:val="231F20"/>
        </w:rPr>
        <w:t>de </w:t>
      </w:r>
      <w:r>
        <w:rPr>
          <w:color w:val="231F20"/>
          <w:spacing w:val="-12"/>
        </w:rPr>
        <w:t>P,</w:t>
      </w:r>
      <w:r>
        <w:rPr>
          <w:color w:val="231F20"/>
          <w:spacing w:val="-4"/>
        </w:rPr>
        <w:t> </w:t>
      </w:r>
      <w:r>
        <w:rPr>
          <w:color w:val="231F20"/>
        </w:rPr>
        <w:t>K,</w:t>
      </w:r>
      <w:r>
        <w:rPr>
          <w:color w:val="231F20"/>
          <w:spacing w:val="-4"/>
        </w:rPr>
        <w:t> </w:t>
      </w:r>
      <w:r>
        <w:rPr>
          <w:color w:val="231F20"/>
        </w:rPr>
        <w:t>Ca</w:t>
      </w:r>
      <w:r>
        <w:rPr>
          <w:color w:val="231F20"/>
          <w:spacing w:val="-4"/>
        </w:rPr>
        <w:t> </w:t>
      </w:r>
      <w:r>
        <w:rPr>
          <w:color w:val="231F20"/>
        </w:rPr>
        <w:t>y</w:t>
      </w:r>
      <w:r>
        <w:rPr>
          <w:color w:val="231F20"/>
          <w:spacing w:val="-4"/>
        </w:rPr>
        <w:t> </w:t>
      </w:r>
      <w:r>
        <w:rPr>
          <w:color w:val="231F20"/>
        </w:rPr>
        <w:t>Mg</w:t>
      </w:r>
      <w:r>
        <w:rPr>
          <w:color w:val="231F20"/>
          <w:spacing w:val="-4"/>
        </w:rPr>
        <w:t> </w:t>
      </w:r>
      <w:r>
        <w:rPr>
          <w:color w:val="231F20"/>
        </w:rPr>
        <w:t>(Gerding</w:t>
      </w:r>
      <w:r>
        <w:rPr>
          <w:color w:val="231F20"/>
          <w:spacing w:val="-4"/>
        </w:rPr>
        <w:t> </w:t>
      </w:r>
      <w:r>
        <w:rPr>
          <w:i/>
          <w:color w:val="231F20"/>
        </w:rPr>
        <w:t>et</w:t>
      </w:r>
      <w:r>
        <w:rPr>
          <w:i/>
          <w:color w:val="231F20"/>
          <w:spacing w:val="-4"/>
        </w:rPr>
        <w:t> </w:t>
      </w:r>
      <w:r>
        <w:rPr>
          <w:i/>
          <w:color w:val="231F20"/>
        </w:rPr>
        <w:t>al.</w:t>
      </w:r>
      <w:r>
        <w:rPr>
          <w:color w:val="231F20"/>
        </w:rPr>
        <w:t>,</w:t>
      </w:r>
      <w:r>
        <w:rPr>
          <w:color w:val="231F20"/>
          <w:spacing w:val="-4"/>
        </w:rPr>
        <w:t> </w:t>
      </w:r>
      <w:r>
        <w:rPr>
          <w:color w:val="231F20"/>
        </w:rPr>
        <w:t>2001).</w:t>
      </w:r>
      <w:r>
        <w:rPr>
          <w:color w:val="231F20"/>
          <w:spacing w:val="-16"/>
        </w:rPr>
        <w:t> </w:t>
      </w:r>
      <w:r>
        <w:rPr>
          <w:color w:val="231F20"/>
        </w:rPr>
        <w:t>A</w:t>
      </w:r>
      <w:r>
        <w:rPr>
          <w:color w:val="231F20"/>
          <w:spacing w:val="-16"/>
        </w:rPr>
        <w:t> </w:t>
      </w:r>
      <w:r>
        <w:rPr>
          <w:color w:val="231F20"/>
        </w:rPr>
        <w:t>pesar</w:t>
      </w:r>
      <w:r>
        <w:rPr>
          <w:color w:val="231F20"/>
          <w:spacing w:val="-4"/>
        </w:rPr>
        <w:t> </w:t>
      </w:r>
      <w:r>
        <w:rPr>
          <w:color w:val="231F20"/>
        </w:rPr>
        <w:t>que</w:t>
      </w:r>
      <w:r>
        <w:rPr>
          <w:color w:val="231F20"/>
          <w:spacing w:val="-4"/>
        </w:rPr>
        <w:t> </w:t>
      </w:r>
      <w:r>
        <w:rPr>
          <w:color w:val="231F20"/>
        </w:rPr>
        <w:t>los</w:t>
      </w:r>
      <w:r>
        <w:rPr>
          <w:color w:val="231F20"/>
          <w:spacing w:val="-4"/>
        </w:rPr>
        <w:t> </w:t>
      </w:r>
      <w:r>
        <w:rPr>
          <w:color w:val="231F20"/>
        </w:rPr>
        <w:t>suelos</w:t>
      </w:r>
      <w:r>
        <w:rPr>
          <w:color w:val="231F20"/>
          <w:spacing w:val="-4"/>
        </w:rPr>
        <w:t> </w:t>
      </w:r>
      <w:r>
        <w:rPr>
          <w:color w:val="231F20"/>
        </w:rPr>
        <w:t>ácidos</w:t>
      </w:r>
      <w:r>
        <w:rPr>
          <w:color w:val="231F20"/>
          <w:spacing w:val="-5"/>
        </w:rPr>
        <w:t> </w:t>
      </w:r>
      <w:r>
        <w:rPr>
          <w:color w:val="231F20"/>
        </w:rPr>
        <w:t>presentan</w:t>
      </w:r>
      <w:r>
        <w:rPr>
          <w:color w:val="231F20"/>
          <w:spacing w:val="-4"/>
        </w:rPr>
        <w:t> </w:t>
      </w:r>
      <w:r>
        <w:rPr>
          <w:color w:val="231F20"/>
        </w:rPr>
        <w:t>una</w:t>
      </w:r>
      <w:r>
        <w:rPr>
          <w:color w:val="231F20"/>
          <w:spacing w:val="-4"/>
        </w:rPr>
        <w:t> </w:t>
      </w:r>
      <w:r>
        <w:rPr>
          <w:color w:val="231F20"/>
        </w:rPr>
        <w:t>mayor</w:t>
      </w:r>
      <w:r>
        <w:rPr>
          <w:color w:val="231F20"/>
          <w:spacing w:val="-5"/>
        </w:rPr>
        <w:t> </w:t>
      </w:r>
      <w:r>
        <w:rPr>
          <w:color w:val="231F20"/>
        </w:rPr>
        <w:t>cantidad</w:t>
      </w:r>
      <w:r>
        <w:rPr>
          <w:color w:val="231F20"/>
          <w:spacing w:val="-5"/>
        </w:rPr>
        <w:t> </w:t>
      </w:r>
      <w:r>
        <w:rPr>
          <w:color w:val="231F20"/>
        </w:rPr>
        <w:t>de Al,</w:t>
      </w:r>
      <w:r>
        <w:rPr>
          <w:color w:val="231F20"/>
          <w:spacing w:val="-6"/>
        </w:rPr>
        <w:t> </w:t>
      </w:r>
      <w:r>
        <w:rPr>
          <w:color w:val="231F20"/>
        </w:rPr>
        <w:t>el</w:t>
      </w:r>
      <w:r>
        <w:rPr>
          <w:color w:val="231F20"/>
          <w:spacing w:val="-6"/>
        </w:rPr>
        <w:t> </w:t>
      </w:r>
      <w:r>
        <w:rPr>
          <w:color w:val="231F20"/>
        </w:rPr>
        <w:t>eucalipto</w:t>
      </w:r>
      <w:r>
        <w:rPr>
          <w:color w:val="231F20"/>
          <w:spacing w:val="-6"/>
        </w:rPr>
        <w:t> </w:t>
      </w:r>
      <w:r>
        <w:rPr>
          <w:color w:val="231F20"/>
        </w:rPr>
        <w:t>tiene</w:t>
      </w:r>
      <w:r>
        <w:rPr>
          <w:color w:val="231F20"/>
          <w:spacing w:val="-6"/>
        </w:rPr>
        <w:t> </w:t>
      </w:r>
      <w:r>
        <w:rPr>
          <w:color w:val="231F20"/>
        </w:rPr>
        <w:t>una</w:t>
      </w:r>
      <w:r>
        <w:rPr>
          <w:color w:val="231F20"/>
          <w:spacing w:val="-6"/>
        </w:rPr>
        <w:t> </w:t>
      </w:r>
      <w:r>
        <w:rPr>
          <w:color w:val="231F20"/>
        </w:rPr>
        <w:t>tolerancia</w:t>
      </w:r>
      <w:r>
        <w:rPr>
          <w:color w:val="231F20"/>
          <w:spacing w:val="-6"/>
        </w:rPr>
        <w:t> </w:t>
      </w:r>
      <w:r>
        <w:rPr>
          <w:color w:val="231F20"/>
        </w:rPr>
        <w:t>mayor</w:t>
      </w:r>
      <w:r>
        <w:rPr>
          <w:color w:val="231F20"/>
          <w:spacing w:val="-6"/>
        </w:rPr>
        <w:t> </w:t>
      </w:r>
      <w:r>
        <w:rPr>
          <w:color w:val="231F20"/>
        </w:rPr>
        <w:t>frente</w:t>
      </w:r>
      <w:r>
        <w:rPr>
          <w:color w:val="231F20"/>
          <w:spacing w:val="-6"/>
        </w:rPr>
        <w:t> </w:t>
      </w:r>
      <w:r>
        <w:rPr>
          <w:color w:val="231F20"/>
        </w:rPr>
        <w:t>a</w:t>
      </w:r>
      <w:r>
        <w:rPr>
          <w:color w:val="231F20"/>
          <w:spacing w:val="-6"/>
        </w:rPr>
        <w:t> </w:t>
      </w:r>
      <w:r>
        <w:rPr>
          <w:color w:val="231F20"/>
        </w:rPr>
        <w:t>otras</w:t>
      </w:r>
      <w:r>
        <w:rPr>
          <w:color w:val="231F20"/>
          <w:spacing w:val="-6"/>
        </w:rPr>
        <w:t> </w:t>
      </w:r>
      <w:r>
        <w:rPr>
          <w:color w:val="231F20"/>
        </w:rPr>
        <w:t>especies</w:t>
      </w:r>
      <w:r>
        <w:rPr>
          <w:color w:val="231F20"/>
          <w:spacing w:val="-6"/>
        </w:rPr>
        <w:t> </w:t>
      </w:r>
      <w:r>
        <w:rPr>
          <w:color w:val="231F20"/>
        </w:rPr>
        <w:t>y</w:t>
      </w:r>
      <w:r>
        <w:rPr>
          <w:color w:val="231F20"/>
          <w:spacing w:val="-6"/>
        </w:rPr>
        <w:t> </w:t>
      </w:r>
      <w:r>
        <w:rPr>
          <w:color w:val="231F20"/>
        </w:rPr>
        <w:t>una</w:t>
      </w:r>
      <w:r>
        <w:rPr>
          <w:color w:val="231F20"/>
          <w:spacing w:val="-6"/>
        </w:rPr>
        <w:t> </w:t>
      </w:r>
      <w:r>
        <w:rPr>
          <w:color w:val="231F20"/>
        </w:rPr>
        <w:t>mayor</w:t>
      </w:r>
      <w:r>
        <w:rPr>
          <w:color w:val="231F20"/>
          <w:spacing w:val="-6"/>
        </w:rPr>
        <w:t> </w:t>
      </w:r>
      <w:r>
        <w:rPr>
          <w:color w:val="231F20"/>
        </w:rPr>
        <w:t>capacidad</w:t>
      </w:r>
      <w:r>
        <w:rPr>
          <w:color w:val="231F20"/>
          <w:spacing w:val="-6"/>
        </w:rPr>
        <w:t> </w:t>
      </w:r>
      <w:r>
        <w:rPr>
          <w:color w:val="231F20"/>
        </w:rPr>
        <w:t>para</w:t>
      </w:r>
      <w:r>
        <w:rPr>
          <w:color w:val="231F20"/>
          <w:spacing w:val="-6"/>
        </w:rPr>
        <w:t> </w:t>
      </w:r>
      <w:r>
        <w:rPr>
          <w:color w:val="231F20"/>
        </w:rPr>
        <w:t>captar N y P (Barros y Novais,</w:t>
      </w:r>
      <w:r>
        <w:rPr>
          <w:color w:val="231F20"/>
          <w:spacing w:val="-9"/>
        </w:rPr>
        <w:t> </w:t>
      </w:r>
      <w:r>
        <w:rPr>
          <w:color w:val="231F20"/>
        </w:rPr>
        <w:t>1996).</w:t>
      </w:r>
    </w:p>
    <w:p>
      <w:pPr>
        <w:pStyle w:val="BodyText"/>
        <w:spacing w:before="10"/>
      </w:pPr>
    </w:p>
    <w:p>
      <w:pPr>
        <w:pStyle w:val="BodyText"/>
        <w:spacing w:line="247" w:lineRule="auto"/>
        <w:ind w:left="1270" w:right="1267"/>
        <w:jc w:val="both"/>
      </w:pPr>
      <w:r>
        <w:rPr>
          <w:color w:val="231F20"/>
          <w:spacing w:val="-4"/>
        </w:rPr>
        <w:t>Por</w:t>
      </w:r>
      <w:r>
        <w:rPr>
          <w:color w:val="231F20"/>
          <w:spacing w:val="-18"/>
        </w:rPr>
        <w:t> </w:t>
      </w:r>
      <w:r>
        <w:rPr>
          <w:color w:val="231F20"/>
          <w:spacing w:val="-3"/>
        </w:rPr>
        <w:t>su</w:t>
      </w:r>
      <w:r>
        <w:rPr>
          <w:color w:val="231F20"/>
          <w:spacing w:val="-18"/>
        </w:rPr>
        <w:t> </w:t>
      </w:r>
      <w:r>
        <w:rPr>
          <w:color w:val="231F20"/>
          <w:spacing w:val="-5"/>
        </w:rPr>
        <w:t>parte,</w:t>
      </w:r>
      <w:r>
        <w:rPr>
          <w:color w:val="231F20"/>
          <w:spacing w:val="-18"/>
        </w:rPr>
        <w:t> </w:t>
      </w:r>
      <w:r>
        <w:rPr>
          <w:color w:val="231F20"/>
          <w:spacing w:val="-3"/>
        </w:rPr>
        <w:t>el</w:t>
      </w:r>
      <w:r>
        <w:rPr>
          <w:color w:val="231F20"/>
          <w:spacing w:val="-18"/>
        </w:rPr>
        <w:t> </w:t>
      </w:r>
      <w:r>
        <w:rPr>
          <w:color w:val="231F20"/>
          <w:spacing w:val="-4"/>
        </w:rPr>
        <w:t>Mn,</w:t>
      </w:r>
      <w:r>
        <w:rPr>
          <w:color w:val="231F20"/>
          <w:spacing w:val="-18"/>
        </w:rPr>
        <w:t> </w:t>
      </w:r>
      <w:r>
        <w:rPr>
          <w:color w:val="231F20"/>
          <w:spacing w:val="-3"/>
        </w:rPr>
        <w:t>Zn</w:t>
      </w:r>
      <w:r>
        <w:rPr>
          <w:color w:val="231F20"/>
          <w:spacing w:val="-18"/>
        </w:rPr>
        <w:t> </w:t>
      </w:r>
      <w:r>
        <w:rPr>
          <w:color w:val="231F20"/>
        </w:rPr>
        <w:t>y</w:t>
      </w:r>
      <w:r>
        <w:rPr>
          <w:color w:val="231F20"/>
          <w:spacing w:val="-18"/>
        </w:rPr>
        <w:t> </w:t>
      </w:r>
      <w:r>
        <w:rPr>
          <w:color w:val="231F20"/>
          <w:spacing w:val="-3"/>
        </w:rPr>
        <w:t>Cu</w:t>
      </w:r>
      <w:r>
        <w:rPr>
          <w:color w:val="231F20"/>
          <w:spacing w:val="-18"/>
        </w:rPr>
        <w:t> </w:t>
      </w:r>
      <w:r>
        <w:rPr>
          <w:color w:val="231F20"/>
          <w:spacing w:val="-3"/>
        </w:rPr>
        <w:t>en</w:t>
      </w:r>
      <w:r>
        <w:rPr>
          <w:color w:val="231F20"/>
          <w:spacing w:val="-18"/>
        </w:rPr>
        <w:t> </w:t>
      </w:r>
      <w:r>
        <w:rPr>
          <w:color w:val="231F20"/>
          <w:spacing w:val="-3"/>
        </w:rPr>
        <w:t>el</w:t>
      </w:r>
      <w:r>
        <w:rPr>
          <w:color w:val="231F20"/>
          <w:spacing w:val="-18"/>
        </w:rPr>
        <w:t> </w:t>
      </w:r>
      <w:r>
        <w:rPr>
          <w:color w:val="231F20"/>
          <w:spacing w:val="-5"/>
        </w:rPr>
        <w:t>100%</w:t>
      </w:r>
      <w:r>
        <w:rPr>
          <w:color w:val="231F20"/>
          <w:spacing w:val="-18"/>
        </w:rPr>
        <w:t> </w:t>
      </w:r>
      <w:r>
        <w:rPr>
          <w:color w:val="231F20"/>
          <w:spacing w:val="-3"/>
        </w:rPr>
        <w:t>de</w:t>
      </w:r>
      <w:r>
        <w:rPr>
          <w:color w:val="231F20"/>
          <w:spacing w:val="-18"/>
        </w:rPr>
        <w:t> </w:t>
      </w:r>
      <w:r>
        <w:rPr>
          <w:color w:val="231F20"/>
          <w:spacing w:val="-4"/>
        </w:rPr>
        <w:t>los</w:t>
      </w:r>
      <w:r>
        <w:rPr>
          <w:color w:val="231F20"/>
          <w:spacing w:val="-18"/>
        </w:rPr>
        <w:t> </w:t>
      </w:r>
      <w:r>
        <w:rPr>
          <w:color w:val="231F20"/>
          <w:spacing w:val="-6"/>
        </w:rPr>
        <w:t>predios</w:t>
      </w:r>
      <w:r>
        <w:rPr>
          <w:color w:val="231F20"/>
          <w:spacing w:val="-18"/>
        </w:rPr>
        <w:t> </w:t>
      </w:r>
      <w:r>
        <w:rPr>
          <w:color w:val="231F20"/>
          <w:spacing w:val="-3"/>
        </w:rPr>
        <w:t>se</w:t>
      </w:r>
      <w:r>
        <w:rPr>
          <w:color w:val="231F20"/>
          <w:spacing w:val="-18"/>
        </w:rPr>
        <w:t> </w:t>
      </w:r>
      <w:r>
        <w:rPr>
          <w:color w:val="231F20"/>
          <w:spacing w:val="-6"/>
        </w:rPr>
        <w:t>encontraron</w:t>
      </w:r>
      <w:r>
        <w:rPr>
          <w:color w:val="231F20"/>
          <w:spacing w:val="-18"/>
        </w:rPr>
        <w:t> </w:t>
      </w:r>
      <w:r>
        <w:rPr>
          <w:color w:val="231F20"/>
          <w:spacing w:val="-3"/>
        </w:rPr>
        <w:t>en</w:t>
      </w:r>
      <w:r>
        <w:rPr>
          <w:color w:val="231F20"/>
          <w:spacing w:val="-18"/>
        </w:rPr>
        <w:t> </w:t>
      </w:r>
      <w:r>
        <w:rPr>
          <w:color w:val="231F20"/>
          <w:spacing w:val="-6"/>
        </w:rPr>
        <w:t>concentraciones</w:t>
      </w:r>
      <w:r>
        <w:rPr>
          <w:color w:val="231F20"/>
          <w:spacing w:val="-18"/>
        </w:rPr>
        <w:t> </w:t>
      </w:r>
      <w:r>
        <w:rPr>
          <w:color w:val="231F20"/>
          <w:spacing w:val="-4"/>
        </w:rPr>
        <w:t>muy</w:t>
      </w:r>
      <w:r>
        <w:rPr>
          <w:color w:val="231F20"/>
          <w:spacing w:val="-18"/>
        </w:rPr>
        <w:t> </w:t>
      </w:r>
      <w:r>
        <w:rPr>
          <w:color w:val="231F20"/>
          <w:spacing w:val="-5"/>
        </w:rPr>
        <w:t>bajas,</w:t>
      </w:r>
      <w:r>
        <w:rPr>
          <w:color w:val="231F20"/>
          <w:spacing w:val="-18"/>
        </w:rPr>
        <w:t> </w:t>
      </w:r>
      <w:r>
        <w:rPr>
          <w:color w:val="231F20"/>
          <w:spacing w:val="-3"/>
        </w:rPr>
        <w:t>lo</w:t>
      </w:r>
      <w:r>
        <w:rPr>
          <w:color w:val="231F20"/>
          <w:spacing w:val="-18"/>
        </w:rPr>
        <w:t> </w:t>
      </w:r>
      <w:r>
        <w:rPr>
          <w:color w:val="231F20"/>
          <w:spacing w:val="-6"/>
        </w:rPr>
        <w:t>que </w:t>
      </w:r>
      <w:r>
        <w:rPr>
          <w:color w:val="231F20"/>
          <w:spacing w:val="-5"/>
        </w:rPr>
        <w:t>puede </w:t>
      </w:r>
      <w:r>
        <w:rPr>
          <w:color w:val="231F20"/>
          <w:spacing w:val="-6"/>
        </w:rPr>
        <w:t>impactar </w:t>
      </w:r>
      <w:r>
        <w:rPr>
          <w:color w:val="231F20"/>
          <w:spacing w:val="-3"/>
        </w:rPr>
        <w:t>la </w:t>
      </w:r>
      <w:r>
        <w:rPr>
          <w:color w:val="231F20"/>
          <w:spacing w:val="-6"/>
        </w:rPr>
        <w:t>síntesis </w:t>
      </w:r>
      <w:r>
        <w:rPr>
          <w:color w:val="231F20"/>
          <w:spacing w:val="-3"/>
        </w:rPr>
        <w:t>de </w:t>
      </w:r>
      <w:r>
        <w:rPr>
          <w:color w:val="231F20"/>
          <w:spacing w:val="-6"/>
        </w:rPr>
        <w:t>proteínas, enzimas, hormonas, reduciendo </w:t>
      </w:r>
      <w:r>
        <w:rPr>
          <w:color w:val="231F20"/>
          <w:spacing w:val="-3"/>
        </w:rPr>
        <w:t>el </w:t>
      </w:r>
      <w:r>
        <w:rPr>
          <w:color w:val="231F20"/>
          <w:spacing w:val="-6"/>
        </w:rPr>
        <w:t>transporte </w:t>
      </w:r>
      <w:r>
        <w:rPr>
          <w:color w:val="231F20"/>
          <w:spacing w:val="-3"/>
        </w:rPr>
        <w:t>de </w:t>
      </w:r>
      <w:r>
        <w:rPr>
          <w:color w:val="231F20"/>
          <w:spacing w:val="-6"/>
        </w:rPr>
        <w:t>electrones, </w:t>
      </w:r>
      <w:r>
        <w:rPr>
          <w:color w:val="231F20"/>
          <w:spacing w:val="-5"/>
        </w:rPr>
        <w:t>lignifi- cación</w:t>
      </w:r>
      <w:r>
        <w:rPr>
          <w:color w:val="231F20"/>
          <w:spacing w:val="-14"/>
        </w:rPr>
        <w:t> </w:t>
      </w:r>
      <w:r>
        <w:rPr>
          <w:color w:val="231F20"/>
          <w:spacing w:val="-3"/>
        </w:rPr>
        <w:t>de</w:t>
      </w:r>
      <w:r>
        <w:rPr>
          <w:color w:val="231F20"/>
          <w:spacing w:val="-14"/>
        </w:rPr>
        <w:t> </w:t>
      </w:r>
      <w:r>
        <w:rPr>
          <w:color w:val="231F20"/>
          <w:spacing w:val="-3"/>
        </w:rPr>
        <w:t>la</w:t>
      </w:r>
      <w:r>
        <w:rPr>
          <w:color w:val="231F20"/>
          <w:spacing w:val="-14"/>
        </w:rPr>
        <w:t> </w:t>
      </w:r>
      <w:r>
        <w:rPr>
          <w:color w:val="231F20"/>
          <w:spacing w:val="-6"/>
        </w:rPr>
        <w:t>madera,</w:t>
      </w:r>
      <w:r>
        <w:rPr>
          <w:color w:val="231F20"/>
          <w:spacing w:val="-14"/>
        </w:rPr>
        <w:t> </w:t>
      </w:r>
      <w:r>
        <w:rPr>
          <w:color w:val="231F20"/>
          <w:spacing w:val="-6"/>
        </w:rPr>
        <w:t>resistencia</w:t>
      </w:r>
      <w:r>
        <w:rPr>
          <w:color w:val="231F20"/>
          <w:spacing w:val="-14"/>
        </w:rPr>
        <w:t> </w:t>
      </w:r>
      <w:r>
        <w:rPr>
          <w:color w:val="231F20"/>
        </w:rPr>
        <w:t>a</w:t>
      </w:r>
      <w:r>
        <w:rPr>
          <w:color w:val="231F20"/>
          <w:spacing w:val="-14"/>
        </w:rPr>
        <w:t> </w:t>
      </w:r>
      <w:r>
        <w:rPr>
          <w:color w:val="231F20"/>
          <w:spacing w:val="-5"/>
        </w:rPr>
        <w:t>plagas</w:t>
      </w:r>
      <w:r>
        <w:rPr>
          <w:color w:val="231F20"/>
          <w:spacing w:val="-14"/>
        </w:rPr>
        <w:t> </w:t>
      </w:r>
      <w:r>
        <w:rPr>
          <w:color w:val="231F20"/>
        </w:rPr>
        <w:t>y</w:t>
      </w:r>
      <w:r>
        <w:rPr>
          <w:color w:val="231F20"/>
          <w:spacing w:val="-14"/>
        </w:rPr>
        <w:t> </w:t>
      </w:r>
      <w:r>
        <w:rPr>
          <w:color w:val="231F20"/>
          <w:spacing w:val="-6"/>
        </w:rPr>
        <w:t>enfermedades,</w:t>
      </w:r>
      <w:r>
        <w:rPr>
          <w:color w:val="231F20"/>
          <w:spacing w:val="-14"/>
        </w:rPr>
        <w:t> </w:t>
      </w:r>
      <w:r>
        <w:rPr>
          <w:color w:val="231F20"/>
        </w:rPr>
        <w:t>y</w:t>
      </w:r>
      <w:r>
        <w:rPr>
          <w:color w:val="231F20"/>
          <w:spacing w:val="-14"/>
        </w:rPr>
        <w:t> </w:t>
      </w:r>
      <w:r>
        <w:rPr>
          <w:color w:val="231F20"/>
          <w:spacing w:val="-3"/>
        </w:rPr>
        <w:t>en</w:t>
      </w:r>
      <w:r>
        <w:rPr>
          <w:color w:val="231F20"/>
          <w:spacing w:val="-14"/>
        </w:rPr>
        <w:t> </w:t>
      </w:r>
      <w:r>
        <w:rPr>
          <w:color w:val="231F20"/>
          <w:spacing w:val="-6"/>
        </w:rPr>
        <w:t>especial</w:t>
      </w:r>
      <w:r>
        <w:rPr>
          <w:color w:val="231F20"/>
          <w:spacing w:val="-14"/>
        </w:rPr>
        <w:t> </w:t>
      </w:r>
      <w:r>
        <w:rPr>
          <w:color w:val="231F20"/>
          <w:spacing w:val="-3"/>
        </w:rPr>
        <w:t>la</w:t>
      </w:r>
      <w:r>
        <w:rPr>
          <w:color w:val="231F20"/>
          <w:spacing w:val="-14"/>
        </w:rPr>
        <w:t> </w:t>
      </w:r>
      <w:r>
        <w:rPr>
          <w:color w:val="231F20"/>
          <w:spacing w:val="-6"/>
        </w:rPr>
        <w:t>fotosíntesis</w:t>
      </w:r>
      <w:r>
        <w:rPr>
          <w:color w:val="231F20"/>
          <w:spacing w:val="-14"/>
        </w:rPr>
        <w:t> </w:t>
      </w:r>
      <w:r>
        <w:rPr>
          <w:color w:val="231F20"/>
          <w:spacing w:val="-6"/>
        </w:rPr>
        <w:t>(Azcon-Bieto,</w:t>
      </w:r>
      <w:r>
        <w:rPr>
          <w:color w:val="231F20"/>
          <w:spacing w:val="-14"/>
        </w:rPr>
        <w:t> </w:t>
      </w:r>
      <w:r>
        <w:rPr>
          <w:color w:val="231F20"/>
          <w:spacing w:val="-6"/>
        </w:rPr>
        <w:t>2008).</w:t>
      </w:r>
    </w:p>
    <w:p>
      <w:pPr>
        <w:pStyle w:val="BodyText"/>
        <w:spacing w:before="10"/>
      </w:pPr>
    </w:p>
    <w:p>
      <w:pPr>
        <w:pStyle w:val="BodyText"/>
        <w:spacing w:line="247" w:lineRule="auto"/>
        <w:ind w:left="1270" w:right="1268"/>
        <w:jc w:val="both"/>
      </w:pPr>
      <w:r>
        <w:rPr>
          <w:color w:val="231F20"/>
        </w:rPr>
        <w:t>La</w:t>
      </w:r>
      <w:r>
        <w:rPr>
          <w:color w:val="231F20"/>
          <w:spacing w:val="-7"/>
        </w:rPr>
        <w:t> </w:t>
      </w:r>
      <w:r>
        <w:rPr>
          <w:color w:val="231F20"/>
        </w:rPr>
        <w:t>capacidad</w:t>
      </w:r>
      <w:r>
        <w:rPr>
          <w:color w:val="231F20"/>
          <w:spacing w:val="-8"/>
        </w:rPr>
        <w:t> </w:t>
      </w:r>
      <w:r>
        <w:rPr>
          <w:color w:val="231F20"/>
        </w:rPr>
        <w:t>de</w:t>
      </w:r>
      <w:r>
        <w:rPr>
          <w:color w:val="231F20"/>
          <w:spacing w:val="-7"/>
        </w:rPr>
        <w:t> </w:t>
      </w:r>
      <w:r>
        <w:rPr>
          <w:color w:val="231F20"/>
        </w:rPr>
        <w:t>intercambio</w:t>
      </w:r>
      <w:r>
        <w:rPr>
          <w:color w:val="231F20"/>
          <w:spacing w:val="-8"/>
        </w:rPr>
        <w:t> </w:t>
      </w:r>
      <w:r>
        <w:rPr>
          <w:color w:val="231F20"/>
        </w:rPr>
        <w:t>catiónico</w:t>
      </w:r>
      <w:r>
        <w:rPr>
          <w:color w:val="231F20"/>
          <w:spacing w:val="-8"/>
        </w:rPr>
        <w:t> </w:t>
      </w:r>
      <w:r>
        <w:rPr>
          <w:color w:val="231F20"/>
        </w:rPr>
        <w:t>resultó</w:t>
      </w:r>
      <w:r>
        <w:rPr>
          <w:color w:val="231F20"/>
          <w:spacing w:val="-7"/>
        </w:rPr>
        <w:t> </w:t>
      </w:r>
      <w:r>
        <w:rPr>
          <w:color w:val="231F20"/>
        </w:rPr>
        <w:t>muy</w:t>
      </w:r>
      <w:r>
        <w:rPr>
          <w:color w:val="231F20"/>
          <w:spacing w:val="-7"/>
        </w:rPr>
        <w:t> </w:t>
      </w:r>
      <w:r>
        <w:rPr>
          <w:color w:val="231F20"/>
        </w:rPr>
        <w:t>baja</w:t>
      </w:r>
      <w:r>
        <w:rPr>
          <w:color w:val="231F20"/>
          <w:spacing w:val="-7"/>
        </w:rPr>
        <w:t> </w:t>
      </w:r>
      <w:r>
        <w:rPr>
          <w:color w:val="231F20"/>
        </w:rPr>
        <w:t>a</w:t>
      </w:r>
      <w:r>
        <w:rPr>
          <w:color w:val="231F20"/>
          <w:spacing w:val="-7"/>
        </w:rPr>
        <w:t> </w:t>
      </w:r>
      <w:r>
        <w:rPr>
          <w:color w:val="231F20"/>
        </w:rPr>
        <w:t>baja</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50</w:t>
      </w:r>
      <w:r>
        <w:rPr>
          <w:color w:val="231F20"/>
          <w:spacing w:val="-7"/>
        </w:rPr>
        <w:t> </w:t>
      </w:r>
      <w:r>
        <w:rPr>
          <w:color w:val="231F20"/>
        </w:rPr>
        <w:t>y</w:t>
      </w:r>
      <w:r>
        <w:rPr>
          <w:color w:val="231F20"/>
          <w:spacing w:val="-7"/>
        </w:rPr>
        <w:t> </w:t>
      </w:r>
      <w:r>
        <w:rPr>
          <w:color w:val="231F20"/>
        </w:rPr>
        <w:t>50%,</w:t>
      </w:r>
      <w:r>
        <w:rPr>
          <w:color w:val="231F20"/>
          <w:spacing w:val="-7"/>
        </w:rPr>
        <w:t> </w:t>
      </w:r>
      <w:r>
        <w:rPr>
          <w:color w:val="231F20"/>
        </w:rPr>
        <w:t>respectivamente.</w:t>
      </w:r>
      <w:r>
        <w:rPr>
          <w:color w:val="231F20"/>
          <w:spacing w:val="-8"/>
        </w:rPr>
        <w:t> </w:t>
      </w:r>
      <w:r>
        <w:rPr>
          <w:color w:val="231F20"/>
        </w:rPr>
        <w:t>Esta propiedad se asocia con la concentración de arcillas y materia orgánica, que determinan cantidad de cationes</w:t>
      </w:r>
      <w:r>
        <w:rPr>
          <w:color w:val="231F20"/>
          <w:spacing w:val="-10"/>
        </w:rPr>
        <w:t> </w:t>
      </w:r>
      <w:r>
        <w:rPr>
          <w:color w:val="231F20"/>
        </w:rPr>
        <w:t>que</w:t>
      </w:r>
      <w:r>
        <w:rPr>
          <w:color w:val="231F20"/>
          <w:spacing w:val="-9"/>
        </w:rPr>
        <w:t> </w:t>
      </w:r>
      <w:r>
        <w:rPr>
          <w:color w:val="231F20"/>
        </w:rPr>
        <w:t>pueden</w:t>
      </w:r>
      <w:r>
        <w:rPr>
          <w:color w:val="231F20"/>
          <w:spacing w:val="-9"/>
        </w:rPr>
        <w:t> </w:t>
      </w:r>
      <w:r>
        <w:rPr>
          <w:color w:val="231F20"/>
        </w:rPr>
        <w:t>ser</w:t>
      </w:r>
      <w:r>
        <w:rPr>
          <w:color w:val="231F20"/>
          <w:spacing w:val="-9"/>
        </w:rPr>
        <w:t> </w:t>
      </w:r>
      <w:r>
        <w:rPr>
          <w:color w:val="231F20"/>
        </w:rPr>
        <w:t>absorbidos</w:t>
      </w:r>
      <w:r>
        <w:rPr>
          <w:color w:val="231F20"/>
          <w:spacing w:val="-10"/>
        </w:rPr>
        <w:t> </w:t>
      </w:r>
      <w:r>
        <w:rPr>
          <w:color w:val="231F20"/>
        </w:rPr>
        <w:t>o</w:t>
      </w:r>
      <w:r>
        <w:rPr>
          <w:color w:val="231F20"/>
          <w:spacing w:val="-9"/>
        </w:rPr>
        <w:t> </w:t>
      </w:r>
      <w:r>
        <w:rPr>
          <w:color w:val="231F20"/>
        </w:rPr>
        <w:t>retenidos</w:t>
      </w:r>
      <w:r>
        <w:rPr>
          <w:color w:val="231F20"/>
          <w:spacing w:val="-9"/>
        </w:rPr>
        <w:t> </w:t>
      </w:r>
      <w:r>
        <w:rPr>
          <w:color w:val="231F20"/>
        </w:rPr>
        <w:t>por</w:t>
      </w:r>
      <w:r>
        <w:rPr>
          <w:color w:val="231F20"/>
          <w:spacing w:val="-9"/>
        </w:rPr>
        <w:t> </w:t>
      </w:r>
      <w:r>
        <w:rPr>
          <w:color w:val="231F20"/>
        </w:rPr>
        <w:t>un</w:t>
      </w:r>
      <w:r>
        <w:rPr>
          <w:color w:val="231F20"/>
          <w:spacing w:val="-9"/>
        </w:rPr>
        <w:t> </w:t>
      </w:r>
      <w:r>
        <w:rPr>
          <w:color w:val="231F20"/>
        </w:rPr>
        <w:t>suelo,</w:t>
      </w:r>
      <w:r>
        <w:rPr>
          <w:color w:val="231F20"/>
          <w:spacing w:val="-9"/>
        </w:rPr>
        <w:t> </w:t>
      </w:r>
      <w:r>
        <w:rPr>
          <w:color w:val="231F20"/>
        </w:rPr>
        <w:t>el</w:t>
      </w:r>
      <w:r>
        <w:rPr>
          <w:color w:val="231F20"/>
          <w:spacing w:val="-9"/>
        </w:rPr>
        <w:t> </w:t>
      </w:r>
      <w:r>
        <w:rPr>
          <w:color w:val="231F20"/>
        </w:rPr>
        <w:t>nivel</w:t>
      </w:r>
      <w:r>
        <w:rPr>
          <w:color w:val="231F20"/>
          <w:spacing w:val="-9"/>
        </w:rPr>
        <w:t> </w:t>
      </w:r>
      <w:r>
        <w:rPr>
          <w:color w:val="231F20"/>
        </w:rPr>
        <w:t>de</w:t>
      </w:r>
      <w:r>
        <w:rPr>
          <w:color w:val="231F20"/>
          <w:spacing w:val="-9"/>
        </w:rPr>
        <w:t> </w:t>
      </w:r>
      <w:r>
        <w:rPr>
          <w:color w:val="231F20"/>
        </w:rPr>
        <w:t>fertilidad</w:t>
      </w:r>
      <w:r>
        <w:rPr>
          <w:color w:val="231F20"/>
          <w:spacing w:val="-9"/>
        </w:rPr>
        <w:t> </w:t>
      </w:r>
      <w:r>
        <w:rPr>
          <w:color w:val="231F20"/>
        </w:rPr>
        <w:t>y</w:t>
      </w:r>
      <w:r>
        <w:rPr>
          <w:color w:val="231F20"/>
          <w:spacing w:val="35"/>
        </w:rPr>
        <w:t> </w:t>
      </w:r>
      <w:r>
        <w:rPr>
          <w:color w:val="231F20"/>
        </w:rPr>
        <w:t>de</w:t>
      </w:r>
      <w:r>
        <w:rPr>
          <w:color w:val="231F20"/>
          <w:spacing w:val="-9"/>
        </w:rPr>
        <w:t> </w:t>
      </w:r>
      <w:r>
        <w:rPr>
          <w:color w:val="231F20"/>
        </w:rPr>
        <w:t>productividad potencial de los suelos (Tisdale,</w:t>
      </w:r>
      <w:r>
        <w:rPr>
          <w:color w:val="231F20"/>
          <w:spacing w:val="-8"/>
        </w:rPr>
        <w:t> </w:t>
      </w:r>
      <w:r>
        <w:rPr>
          <w:color w:val="231F20"/>
        </w:rPr>
        <w:t>1991).</w:t>
      </w:r>
    </w:p>
    <w:p>
      <w:pPr>
        <w:pStyle w:val="BodyText"/>
        <w:spacing w:before="10"/>
      </w:pPr>
    </w:p>
    <w:p>
      <w:pPr>
        <w:pStyle w:val="BodyText"/>
        <w:spacing w:line="247" w:lineRule="auto"/>
        <w:ind w:left="1270" w:right="1267"/>
        <w:jc w:val="both"/>
      </w:pPr>
      <w:r>
        <w:rPr>
          <w:color w:val="231F20"/>
        </w:rPr>
        <w:t>Debido</w:t>
      </w:r>
      <w:r>
        <w:rPr>
          <w:color w:val="231F20"/>
          <w:spacing w:val="-3"/>
        </w:rPr>
        <w:t> </w:t>
      </w:r>
      <w:r>
        <w:rPr>
          <w:color w:val="231F20"/>
        </w:rPr>
        <w:t>al</w:t>
      </w:r>
      <w:r>
        <w:rPr>
          <w:color w:val="231F20"/>
          <w:spacing w:val="-3"/>
        </w:rPr>
        <w:t> </w:t>
      </w:r>
      <w:r>
        <w:rPr>
          <w:color w:val="231F20"/>
        </w:rPr>
        <w:t>proceso</w:t>
      </w:r>
      <w:r>
        <w:rPr>
          <w:color w:val="231F20"/>
          <w:spacing w:val="-3"/>
        </w:rPr>
        <w:t> </w:t>
      </w:r>
      <w:r>
        <w:rPr>
          <w:color w:val="231F20"/>
        </w:rPr>
        <w:t>de</w:t>
      </w:r>
      <w:r>
        <w:rPr>
          <w:color w:val="231F20"/>
          <w:spacing w:val="-3"/>
        </w:rPr>
        <w:t> </w:t>
      </w:r>
      <w:r>
        <w:rPr>
          <w:color w:val="231F20"/>
        </w:rPr>
        <w:t>lavado</w:t>
      </w:r>
      <w:r>
        <w:rPr>
          <w:color w:val="231F20"/>
          <w:spacing w:val="-3"/>
        </w:rPr>
        <w:t> </w:t>
      </w:r>
      <w:r>
        <w:rPr>
          <w:color w:val="231F20"/>
        </w:rPr>
        <w:t>que</w:t>
      </w:r>
      <w:r>
        <w:rPr>
          <w:color w:val="231F20"/>
          <w:spacing w:val="-3"/>
        </w:rPr>
        <w:t> </w:t>
      </w:r>
      <w:r>
        <w:rPr>
          <w:color w:val="231F20"/>
        </w:rPr>
        <w:t>sufre</w:t>
      </w:r>
      <w:r>
        <w:rPr>
          <w:color w:val="231F20"/>
          <w:spacing w:val="-3"/>
        </w:rPr>
        <w:t> </w:t>
      </w:r>
      <w:r>
        <w:rPr>
          <w:color w:val="231F20"/>
        </w:rPr>
        <w:t>el</w:t>
      </w:r>
      <w:r>
        <w:rPr>
          <w:color w:val="231F20"/>
          <w:spacing w:val="-3"/>
        </w:rPr>
        <w:t> </w:t>
      </w:r>
      <w:r>
        <w:rPr>
          <w:color w:val="231F20"/>
        </w:rPr>
        <w:t>suelo</w:t>
      </w:r>
      <w:r>
        <w:rPr>
          <w:color w:val="231F20"/>
          <w:spacing w:val="-3"/>
        </w:rPr>
        <w:t> </w:t>
      </w:r>
      <w:r>
        <w:rPr>
          <w:color w:val="231F20"/>
        </w:rPr>
        <w:t>en</w:t>
      </w:r>
      <w:r>
        <w:rPr>
          <w:color w:val="231F20"/>
          <w:spacing w:val="-3"/>
        </w:rPr>
        <w:t> </w:t>
      </w:r>
      <w:r>
        <w:rPr>
          <w:color w:val="231F20"/>
        </w:rPr>
        <w:t>las</w:t>
      </w:r>
      <w:r>
        <w:rPr>
          <w:color w:val="231F20"/>
          <w:spacing w:val="-3"/>
        </w:rPr>
        <w:t> </w:t>
      </w:r>
      <w:r>
        <w:rPr>
          <w:color w:val="231F20"/>
        </w:rPr>
        <w:t>épocas</w:t>
      </w:r>
      <w:r>
        <w:rPr>
          <w:color w:val="231F20"/>
          <w:spacing w:val="-3"/>
        </w:rPr>
        <w:t> </w:t>
      </w:r>
      <w:r>
        <w:rPr>
          <w:color w:val="231F20"/>
        </w:rPr>
        <w:t>de</w:t>
      </w:r>
      <w:r>
        <w:rPr>
          <w:color w:val="231F20"/>
          <w:spacing w:val="-3"/>
        </w:rPr>
        <w:t> </w:t>
      </w:r>
      <w:r>
        <w:rPr>
          <w:color w:val="231F20"/>
        </w:rPr>
        <w:t>invierno</w:t>
      </w:r>
      <w:r>
        <w:rPr>
          <w:color w:val="231F20"/>
          <w:spacing w:val="-3"/>
        </w:rPr>
        <w:t> </w:t>
      </w:r>
      <w:r>
        <w:rPr>
          <w:color w:val="231F20"/>
        </w:rPr>
        <w:t>se</w:t>
      </w:r>
      <w:r>
        <w:rPr>
          <w:color w:val="231F20"/>
          <w:spacing w:val="-3"/>
        </w:rPr>
        <w:t> </w:t>
      </w:r>
      <w:r>
        <w:rPr>
          <w:color w:val="231F20"/>
        </w:rPr>
        <w:t>condiciona</w:t>
      </w:r>
      <w:r>
        <w:rPr>
          <w:color w:val="231F20"/>
          <w:spacing w:val="-3"/>
        </w:rPr>
        <w:t> </w:t>
      </w:r>
      <w:r>
        <w:rPr>
          <w:color w:val="231F20"/>
        </w:rPr>
        <w:t>la</w:t>
      </w:r>
      <w:r>
        <w:rPr>
          <w:color w:val="231F20"/>
          <w:spacing w:val="-3"/>
        </w:rPr>
        <w:t> </w:t>
      </w:r>
      <w:r>
        <w:rPr>
          <w:color w:val="231F20"/>
        </w:rPr>
        <w:t>concentra- ción de nitrógeno en las zonas de máximo desarrollo radicular del eucalipto, y por otra parte el bajo contenido</w:t>
      </w:r>
      <w:r>
        <w:rPr>
          <w:color w:val="231F20"/>
          <w:spacing w:val="-7"/>
        </w:rPr>
        <w:t> </w:t>
      </w:r>
      <w:r>
        <w:rPr>
          <w:color w:val="231F20"/>
        </w:rPr>
        <w:t>de</w:t>
      </w:r>
      <w:r>
        <w:rPr>
          <w:color w:val="231F20"/>
          <w:spacing w:val="-7"/>
        </w:rPr>
        <w:t> </w:t>
      </w:r>
      <w:r>
        <w:rPr>
          <w:color w:val="231F20"/>
        </w:rPr>
        <w:t>arcillas</w:t>
      </w:r>
      <w:r>
        <w:rPr>
          <w:color w:val="231F20"/>
          <w:spacing w:val="-7"/>
        </w:rPr>
        <w:t> </w:t>
      </w:r>
      <w:r>
        <w:rPr>
          <w:color w:val="231F20"/>
        </w:rPr>
        <w:t>como</w:t>
      </w:r>
      <w:r>
        <w:rPr>
          <w:color w:val="231F20"/>
          <w:spacing w:val="-7"/>
        </w:rPr>
        <w:t> </w:t>
      </w:r>
      <w:r>
        <w:rPr>
          <w:color w:val="231F20"/>
        </w:rPr>
        <w:t>la</w:t>
      </w:r>
      <w:r>
        <w:rPr>
          <w:color w:val="231F20"/>
          <w:spacing w:val="-7"/>
        </w:rPr>
        <w:t> </w:t>
      </w:r>
      <w:r>
        <w:rPr>
          <w:color w:val="231F20"/>
        </w:rPr>
        <w:t>illita</w:t>
      </w:r>
      <w:r>
        <w:rPr>
          <w:color w:val="231F20"/>
          <w:spacing w:val="-7"/>
        </w:rPr>
        <w:t> </w:t>
      </w:r>
      <w:r>
        <w:rPr>
          <w:color w:val="231F20"/>
        </w:rPr>
        <w:t>donde</w:t>
      </w:r>
      <w:r>
        <w:rPr>
          <w:color w:val="231F20"/>
          <w:spacing w:val="-7"/>
        </w:rPr>
        <w:t> </w:t>
      </w:r>
      <w:r>
        <w:rPr>
          <w:color w:val="231F20"/>
        </w:rPr>
        <w:t>el</w:t>
      </w:r>
      <w:r>
        <w:rPr>
          <w:color w:val="231F20"/>
          <w:spacing w:val="-7"/>
        </w:rPr>
        <w:t> </w:t>
      </w:r>
      <w:r>
        <w:rPr>
          <w:color w:val="231F20"/>
        </w:rPr>
        <w:t>potasio</w:t>
      </w:r>
      <w:r>
        <w:rPr>
          <w:color w:val="231F20"/>
          <w:spacing w:val="-7"/>
        </w:rPr>
        <w:t> </w:t>
      </w:r>
      <w:r>
        <w:rPr>
          <w:color w:val="231F20"/>
        </w:rPr>
        <w:t>queda</w:t>
      </w:r>
      <w:r>
        <w:rPr>
          <w:color w:val="231F20"/>
          <w:spacing w:val="-7"/>
        </w:rPr>
        <w:t> </w:t>
      </w:r>
      <w:r>
        <w:rPr>
          <w:color w:val="231F20"/>
        </w:rPr>
        <w:t>fijado</w:t>
      </w:r>
      <w:r>
        <w:rPr>
          <w:color w:val="231F20"/>
          <w:spacing w:val="-7"/>
        </w:rPr>
        <w:t> </w:t>
      </w:r>
      <w:r>
        <w:rPr>
          <w:color w:val="231F20"/>
        </w:rPr>
        <w:t>en</w:t>
      </w:r>
      <w:r>
        <w:rPr>
          <w:color w:val="231F20"/>
          <w:spacing w:val="-7"/>
        </w:rPr>
        <w:t> </w:t>
      </w:r>
      <w:r>
        <w:rPr>
          <w:color w:val="231F20"/>
        </w:rPr>
        <w:t>posición</w:t>
      </w:r>
      <w:r>
        <w:rPr>
          <w:color w:val="231F20"/>
          <w:spacing w:val="-7"/>
        </w:rPr>
        <w:t> </w:t>
      </w:r>
      <w:r>
        <w:rPr>
          <w:color w:val="231F20"/>
        </w:rPr>
        <w:t>interlaminar,</w:t>
      </w:r>
      <w:r>
        <w:rPr>
          <w:color w:val="231F20"/>
          <w:spacing w:val="-7"/>
        </w:rPr>
        <w:t> </w:t>
      </w:r>
      <w:r>
        <w:rPr>
          <w:color w:val="231F20"/>
        </w:rPr>
        <w:t>por</w:t>
      </w:r>
      <w:r>
        <w:rPr>
          <w:color w:val="231F20"/>
          <w:spacing w:val="-7"/>
        </w:rPr>
        <w:t> </w:t>
      </w:r>
      <w:r>
        <w:rPr>
          <w:color w:val="231F20"/>
        </w:rPr>
        <w:t>lo</w:t>
      </w:r>
      <w:r>
        <w:rPr>
          <w:color w:val="231F20"/>
          <w:spacing w:val="-7"/>
        </w:rPr>
        <w:t> </w:t>
      </w:r>
      <w:r>
        <w:rPr>
          <w:color w:val="231F20"/>
        </w:rPr>
        <w:t>que no es intercambiable y no está a disposición del árbol (Khouri y Canga, 2008). Los resultados en- contrados en el nivel de fertilidad de los suelos concuerdan con lo reportado por otros autores como Khouri y Canga (2008) para suelos ácidos cultivados con eucalipto.</w:t>
      </w:r>
    </w:p>
    <w:p>
      <w:pPr>
        <w:pStyle w:val="BodyText"/>
        <w:spacing w:before="1"/>
        <w:ind w:left="1270"/>
        <w:jc w:val="both"/>
      </w:pPr>
      <w:r>
        <w:rPr>
          <w:color w:val="231F20"/>
        </w:rPr>
        <w:t>En el Cuadro 5, se muestras las concentraciones nutrimentales foliares de las plantaciones de eucalipto.</w:t>
      </w:r>
    </w:p>
    <w:p>
      <w:pPr>
        <w:pStyle w:val="BodyText"/>
        <w:rPr>
          <w:sz w:val="25"/>
        </w:rPr>
      </w:pPr>
    </w:p>
    <w:p>
      <w:pPr>
        <w:spacing w:before="0"/>
        <w:ind w:left="1489" w:right="1489" w:firstLine="0"/>
        <w:jc w:val="center"/>
        <w:rPr>
          <w:b/>
          <w:sz w:val="18"/>
        </w:rPr>
      </w:pPr>
      <w:r>
        <w:rPr/>
        <w:drawing>
          <wp:anchor distT="0" distB="0" distL="0" distR="0" allowOverlap="1" layoutInCell="1" locked="0" behindDoc="0" simplePos="0" relativeHeight="3520">
            <wp:simplePos x="0" y="0"/>
            <wp:positionH relativeFrom="page">
              <wp:posOffset>1051499</wp:posOffset>
            </wp:positionH>
            <wp:positionV relativeFrom="paragraph">
              <wp:posOffset>198680</wp:posOffset>
            </wp:positionV>
            <wp:extent cx="4845938" cy="2137029"/>
            <wp:effectExtent l="0" t="0" r="0" b="0"/>
            <wp:wrapTopAndBottom/>
            <wp:docPr id="125" name="image42.png" descr=""/>
            <wp:cNvGraphicFramePr>
              <a:graphicFrameLocks noChangeAspect="1"/>
            </wp:cNvGraphicFramePr>
            <a:graphic>
              <a:graphicData uri="http://schemas.openxmlformats.org/drawingml/2006/picture">
                <pic:pic>
                  <pic:nvPicPr>
                    <pic:cNvPr id="126" name="image42.png"/>
                    <pic:cNvPicPr/>
                  </pic:nvPicPr>
                  <pic:blipFill>
                    <a:blip r:embed="rId63" cstate="print"/>
                    <a:stretch>
                      <a:fillRect/>
                    </a:stretch>
                  </pic:blipFill>
                  <pic:spPr>
                    <a:xfrm>
                      <a:off x="0" y="0"/>
                      <a:ext cx="4845938" cy="2137029"/>
                    </a:xfrm>
                    <a:prstGeom prst="rect">
                      <a:avLst/>
                    </a:prstGeom>
                  </pic:spPr>
                </pic:pic>
              </a:graphicData>
            </a:graphic>
          </wp:anchor>
        </w:drawing>
      </w:r>
      <w:r>
        <w:rPr>
          <w:b/>
          <w:color w:val="010202"/>
          <w:sz w:val="18"/>
        </w:rPr>
        <w:t>Cuadro 5. Análisis del tejido vegetal de árboles de eucalipto en diferentes edades</w:t>
      </w:r>
    </w:p>
    <w:p>
      <w:pPr>
        <w:pStyle w:val="BodyText"/>
        <w:rPr>
          <w:b/>
          <w:sz w:val="23"/>
        </w:rPr>
      </w:pPr>
    </w:p>
    <w:p>
      <w:pPr>
        <w:pStyle w:val="BodyText"/>
        <w:spacing w:line="247" w:lineRule="auto"/>
        <w:ind w:left="1270" w:right="1267"/>
        <w:jc w:val="both"/>
      </w:pPr>
      <w:r>
        <w:rPr>
          <w:color w:val="231F20"/>
        </w:rPr>
        <w:t>El</w:t>
      </w:r>
      <w:r>
        <w:rPr>
          <w:color w:val="231F20"/>
          <w:spacing w:val="-5"/>
        </w:rPr>
        <w:t> </w:t>
      </w:r>
      <w:r>
        <w:rPr>
          <w:color w:val="231F20"/>
        </w:rPr>
        <w:t>diagnostico</w:t>
      </w:r>
      <w:r>
        <w:rPr>
          <w:color w:val="231F20"/>
          <w:spacing w:val="-5"/>
        </w:rPr>
        <w:t> </w:t>
      </w:r>
      <w:r>
        <w:rPr>
          <w:color w:val="231F20"/>
        </w:rPr>
        <w:t>foliar</w:t>
      </w:r>
      <w:r>
        <w:rPr>
          <w:color w:val="231F20"/>
          <w:spacing w:val="-5"/>
        </w:rPr>
        <w:t> </w:t>
      </w:r>
      <w:r>
        <w:rPr>
          <w:color w:val="231F20"/>
        </w:rPr>
        <w:t>mediante</w:t>
      </w:r>
      <w:r>
        <w:rPr>
          <w:color w:val="231F20"/>
          <w:spacing w:val="-5"/>
        </w:rPr>
        <w:t> </w:t>
      </w:r>
      <w:r>
        <w:rPr>
          <w:color w:val="231F20"/>
        </w:rPr>
        <w:t>los</w:t>
      </w:r>
      <w:r>
        <w:rPr>
          <w:color w:val="231F20"/>
          <w:spacing w:val="-5"/>
        </w:rPr>
        <w:t> </w:t>
      </w:r>
      <w:r>
        <w:rPr>
          <w:color w:val="231F20"/>
        </w:rPr>
        <w:t>índices</w:t>
      </w:r>
      <w:r>
        <w:rPr>
          <w:color w:val="231F20"/>
          <w:spacing w:val="-5"/>
        </w:rPr>
        <w:t> </w:t>
      </w:r>
      <w:r>
        <w:rPr>
          <w:color w:val="231F20"/>
        </w:rPr>
        <w:t>de</w:t>
      </w:r>
      <w:r>
        <w:rPr>
          <w:color w:val="231F20"/>
          <w:spacing w:val="-5"/>
        </w:rPr>
        <w:t> </w:t>
      </w:r>
      <w:r>
        <w:rPr>
          <w:color w:val="231F20"/>
        </w:rPr>
        <w:t>balance</w:t>
      </w:r>
      <w:r>
        <w:rPr>
          <w:color w:val="231F20"/>
          <w:spacing w:val="-5"/>
        </w:rPr>
        <w:t> </w:t>
      </w:r>
      <w:r>
        <w:rPr>
          <w:color w:val="231F20"/>
        </w:rPr>
        <w:t>Kenworthy</w:t>
      </w:r>
      <w:r>
        <w:rPr>
          <w:color w:val="231F20"/>
          <w:spacing w:val="-5"/>
        </w:rPr>
        <w:t> </w:t>
      </w:r>
      <w:r>
        <w:rPr>
          <w:color w:val="231F20"/>
        </w:rPr>
        <w:t>se</w:t>
      </w:r>
      <w:r>
        <w:rPr>
          <w:color w:val="231F20"/>
          <w:spacing w:val="-5"/>
        </w:rPr>
        <w:t> </w:t>
      </w:r>
      <w:r>
        <w:rPr>
          <w:color w:val="231F20"/>
        </w:rPr>
        <w:t>muestra</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Cuadro</w:t>
      </w:r>
      <w:r>
        <w:rPr>
          <w:color w:val="231F20"/>
          <w:spacing w:val="-5"/>
        </w:rPr>
        <w:t> </w:t>
      </w:r>
      <w:r>
        <w:rPr>
          <w:color w:val="231F20"/>
        </w:rPr>
        <w:t>6,</w:t>
      </w:r>
      <w:r>
        <w:rPr>
          <w:color w:val="231F20"/>
          <w:spacing w:val="-5"/>
        </w:rPr>
        <w:t> </w:t>
      </w:r>
      <w:r>
        <w:rPr>
          <w:color w:val="231F20"/>
        </w:rPr>
        <w:t>indican- do la concentración, el índice de balance y el orden de requerimiento nutrimental (ORN) para cada edad</w:t>
      </w:r>
      <w:r>
        <w:rPr>
          <w:color w:val="231F20"/>
          <w:spacing w:val="20"/>
        </w:rPr>
        <w:t> </w:t>
      </w:r>
      <w:r>
        <w:rPr>
          <w:color w:val="231F20"/>
        </w:rPr>
        <w:t>de</w:t>
      </w:r>
      <w:r>
        <w:rPr>
          <w:color w:val="231F20"/>
          <w:spacing w:val="20"/>
        </w:rPr>
        <w:t> </w:t>
      </w:r>
      <w:r>
        <w:rPr>
          <w:color w:val="231F20"/>
        </w:rPr>
        <w:t>las</w:t>
      </w:r>
      <w:r>
        <w:rPr>
          <w:color w:val="231F20"/>
          <w:spacing w:val="20"/>
        </w:rPr>
        <w:t> </w:t>
      </w:r>
      <w:r>
        <w:rPr>
          <w:color w:val="231F20"/>
        </w:rPr>
        <w:t>plantaciones</w:t>
      </w:r>
      <w:r>
        <w:rPr>
          <w:color w:val="231F20"/>
          <w:spacing w:val="20"/>
        </w:rPr>
        <w:t> </w:t>
      </w:r>
      <w:r>
        <w:rPr>
          <w:color w:val="231F20"/>
        </w:rPr>
        <w:t>de</w:t>
      </w:r>
      <w:r>
        <w:rPr>
          <w:color w:val="231F20"/>
          <w:spacing w:val="20"/>
        </w:rPr>
        <w:t> </w:t>
      </w:r>
      <w:r>
        <w:rPr>
          <w:color w:val="231F20"/>
        </w:rPr>
        <w:t>eucalipto.</w:t>
      </w:r>
      <w:r>
        <w:rPr>
          <w:color w:val="231F20"/>
          <w:spacing w:val="20"/>
        </w:rPr>
        <w:t> </w:t>
      </w:r>
      <w:r>
        <w:rPr>
          <w:color w:val="231F20"/>
        </w:rPr>
        <w:t>Los</w:t>
      </w:r>
      <w:r>
        <w:rPr>
          <w:color w:val="231F20"/>
          <w:spacing w:val="20"/>
        </w:rPr>
        <w:t> </w:t>
      </w:r>
      <w:r>
        <w:rPr>
          <w:color w:val="231F20"/>
        </w:rPr>
        <w:t>resultados</w:t>
      </w:r>
      <w:r>
        <w:rPr>
          <w:color w:val="231F20"/>
          <w:spacing w:val="20"/>
        </w:rPr>
        <w:t> </w:t>
      </w:r>
      <w:r>
        <w:rPr>
          <w:color w:val="231F20"/>
        </w:rPr>
        <w:t>permiten</w:t>
      </w:r>
      <w:r>
        <w:rPr>
          <w:color w:val="231F20"/>
          <w:spacing w:val="20"/>
        </w:rPr>
        <w:t> </w:t>
      </w:r>
      <w:r>
        <w:rPr>
          <w:color w:val="231F20"/>
        </w:rPr>
        <w:t>observar</w:t>
      </w:r>
      <w:r>
        <w:rPr>
          <w:color w:val="231F20"/>
          <w:spacing w:val="20"/>
        </w:rPr>
        <w:t> </w:t>
      </w:r>
      <w:r>
        <w:rPr>
          <w:color w:val="231F20"/>
        </w:rPr>
        <w:t>que</w:t>
      </w:r>
      <w:r>
        <w:rPr>
          <w:color w:val="231F20"/>
          <w:spacing w:val="20"/>
        </w:rPr>
        <w:t> </w:t>
      </w:r>
      <w:r>
        <w:rPr>
          <w:color w:val="231F20"/>
        </w:rPr>
        <w:t>en</w:t>
      </w:r>
      <w:r>
        <w:rPr>
          <w:color w:val="231F20"/>
          <w:spacing w:val="20"/>
        </w:rPr>
        <w:t> </w:t>
      </w:r>
      <w:r>
        <w:rPr>
          <w:color w:val="231F20"/>
        </w:rPr>
        <w:t>todos</w:t>
      </w:r>
      <w:r>
        <w:rPr>
          <w:color w:val="231F20"/>
          <w:spacing w:val="20"/>
        </w:rPr>
        <w:t> </w:t>
      </w:r>
      <w:r>
        <w:rPr>
          <w:color w:val="231F20"/>
        </w:rPr>
        <w:t>los</w:t>
      </w:r>
      <w:r>
        <w:rPr>
          <w:color w:val="231F20"/>
          <w:spacing w:val="20"/>
        </w:rPr>
        <w:t> </w:t>
      </w:r>
      <w:r>
        <w:rPr>
          <w:color w:val="231F20"/>
        </w:rPr>
        <w:t>predios</w:t>
      </w:r>
    </w:p>
    <w:p>
      <w:pPr>
        <w:spacing w:after="0" w:line="247" w:lineRule="auto"/>
        <w:jc w:val="both"/>
        <w:sectPr>
          <w:pgSz w:w="10920" w:h="13080"/>
          <w:pgMar w:header="0" w:footer="1025" w:top="420" w:bottom="1220" w:left="0" w:right="0"/>
        </w:sectPr>
      </w:pPr>
    </w:p>
    <w:p>
      <w:pPr>
        <w:pStyle w:val="BodyText"/>
        <w:rPr>
          <w:sz w:val="20"/>
        </w:rPr>
      </w:pPr>
    </w:p>
    <w:p>
      <w:pPr>
        <w:pStyle w:val="BodyText"/>
        <w:rPr>
          <w:sz w:val="20"/>
        </w:rPr>
      </w:pPr>
    </w:p>
    <w:p>
      <w:pPr>
        <w:pStyle w:val="BodyText"/>
        <w:rPr>
          <w:sz w:val="23"/>
        </w:rPr>
      </w:pPr>
    </w:p>
    <w:p>
      <w:pPr>
        <w:pStyle w:val="BodyText"/>
        <w:spacing w:line="247" w:lineRule="auto" w:before="73"/>
        <w:ind w:left="1270" w:right="1268"/>
        <w:jc w:val="both"/>
      </w:pPr>
      <w:r>
        <w:rPr>
          <w:color w:val="231F20"/>
        </w:rPr>
        <w:t>muestreados, el orden de requerimiento nutrimental determinó que los tres elementos más defici- tarios en orden de importancia fueron el N, K y </w:t>
      </w:r>
      <w:r>
        <w:rPr>
          <w:color w:val="231F20"/>
          <w:spacing w:val="-12"/>
        </w:rPr>
        <w:t>P, </w:t>
      </w:r>
      <w:r>
        <w:rPr>
          <w:color w:val="231F20"/>
        </w:rPr>
        <w:t>los de suficiencia media fueron el Fe, Mn y B, mientras</w:t>
      </w:r>
      <w:r>
        <w:rPr>
          <w:color w:val="231F20"/>
          <w:spacing w:val="-6"/>
        </w:rPr>
        <w:t> </w:t>
      </w:r>
      <w:r>
        <w:rPr>
          <w:color w:val="231F20"/>
        </w:rPr>
        <w:t>que</w:t>
      </w:r>
      <w:r>
        <w:rPr>
          <w:color w:val="231F20"/>
          <w:spacing w:val="-5"/>
        </w:rPr>
        <w:t> </w:t>
      </w:r>
      <w:r>
        <w:rPr>
          <w:color w:val="231F20"/>
        </w:rPr>
        <w:t>los</w:t>
      </w:r>
      <w:r>
        <w:rPr>
          <w:color w:val="231F20"/>
          <w:spacing w:val="-5"/>
        </w:rPr>
        <w:t> </w:t>
      </w:r>
      <w:r>
        <w:rPr>
          <w:color w:val="231F20"/>
        </w:rPr>
        <w:t>menos</w:t>
      </w:r>
      <w:r>
        <w:rPr>
          <w:color w:val="231F20"/>
          <w:spacing w:val="-5"/>
        </w:rPr>
        <w:t> </w:t>
      </w:r>
      <w:r>
        <w:rPr>
          <w:color w:val="231F20"/>
        </w:rPr>
        <w:t>deficitarios</w:t>
      </w:r>
      <w:r>
        <w:rPr>
          <w:color w:val="231F20"/>
          <w:spacing w:val="-5"/>
        </w:rPr>
        <w:t> </w:t>
      </w:r>
      <w:r>
        <w:rPr>
          <w:color w:val="231F20"/>
        </w:rPr>
        <w:t>fueron</w:t>
      </w:r>
      <w:r>
        <w:rPr>
          <w:color w:val="231F20"/>
          <w:spacing w:val="-5"/>
        </w:rPr>
        <w:t> </w:t>
      </w:r>
      <w:r>
        <w:rPr>
          <w:color w:val="231F20"/>
        </w:rPr>
        <w:t>Cu,</w:t>
      </w:r>
      <w:r>
        <w:rPr>
          <w:color w:val="231F20"/>
          <w:spacing w:val="-5"/>
        </w:rPr>
        <w:t> </w:t>
      </w:r>
      <w:r>
        <w:rPr>
          <w:color w:val="231F20"/>
        </w:rPr>
        <w:t>Ca</w:t>
      </w:r>
      <w:r>
        <w:rPr>
          <w:color w:val="231F20"/>
          <w:spacing w:val="-5"/>
        </w:rPr>
        <w:t> </w:t>
      </w:r>
      <w:r>
        <w:rPr>
          <w:color w:val="231F20"/>
        </w:rPr>
        <w:t>y</w:t>
      </w:r>
      <w:r>
        <w:rPr>
          <w:color w:val="231F20"/>
          <w:spacing w:val="-5"/>
        </w:rPr>
        <w:t> </w:t>
      </w:r>
      <w:r>
        <w:rPr>
          <w:color w:val="231F20"/>
        </w:rPr>
        <w:t>Mg.</w:t>
      </w:r>
      <w:r>
        <w:rPr>
          <w:color w:val="231F20"/>
          <w:spacing w:val="-5"/>
        </w:rPr>
        <w:t> </w:t>
      </w:r>
      <w:r>
        <w:rPr>
          <w:color w:val="231F20"/>
        </w:rPr>
        <w:t>Los</w:t>
      </w:r>
      <w:r>
        <w:rPr>
          <w:color w:val="231F20"/>
          <w:spacing w:val="-5"/>
        </w:rPr>
        <w:t> </w:t>
      </w:r>
      <w:r>
        <w:rPr>
          <w:color w:val="231F20"/>
        </w:rPr>
        <w:t>resultados</w:t>
      </w:r>
      <w:r>
        <w:rPr>
          <w:color w:val="231F20"/>
          <w:spacing w:val="-6"/>
        </w:rPr>
        <w:t> </w:t>
      </w:r>
      <w:r>
        <w:rPr>
          <w:color w:val="231F20"/>
        </w:rPr>
        <w:t>de</w:t>
      </w:r>
      <w:r>
        <w:rPr>
          <w:color w:val="231F20"/>
          <w:spacing w:val="-5"/>
        </w:rPr>
        <w:t> </w:t>
      </w:r>
      <w:r>
        <w:rPr>
          <w:color w:val="231F20"/>
        </w:rPr>
        <w:t>concentración</w:t>
      </w:r>
      <w:r>
        <w:rPr>
          <w:color w:val="231F20"/>
          <w:spacing w:val="-6"/>
        </w:rPr>
        <w:t> </w:t>
      </w:r>
      <w:r>
        <w:rPr>
          <w:color w:val="231F20"/>
        </w:rPr>
        <w:t>foliares</w:t>
      </w:r>
      <w:r>
        <w:rPr>
          <w:color w:val="231F20"/>
          <w:spacing w:val="-6"/>
        </w:rPr>
        <w:t> </w:t>
      </w:r>
      <w:r>
        <w:rPr>
          <w:color w:val="231F20"/>
        </w:rPr>
        <w:t>de N,</w:t>
      </w:r>
      <w:r>
        <w:rPr>
          <w:color w:val="231F20"/>
          <w:spacing w:val="-2"/>
        </w:rPr>
        <w:t> </w:t>
      </w:r>
      <w:r>
        <w:rPr>
          <w:color w:val="231F20"/>
        </w:rPr>
        <w:t>K</w:t>
      </w:r>
      <w:r>
        <w:rPr>
          <w:color w:val="231F20"/>
          <w:spacing w:val="-2"/>
        </w:rPr>
        <w:t> </w:t>
      </w:r>
      <w:r>
        <w:rPr>
          <w:color w:val="231F20"/>
        </w:rPr>
        <w:t>y</w:t>
      </w:r>
      <w:r>
        <w:rPr>
          <w:color w:val="231F20"/>
          <w:spacing w:val="-2"/>
        </w:rPr>
        <w:t> </w:t>
      </w:r>
      <w:r>
        <w:rPr>
          <w:color w:val="231F20"/>
        </w:rPr>
        <w:t>P</w:t>
      </w:r>
      <w:r>
        <w:rPr>
          <w:color w:val="231F20"/>
          <w:spacing w:val="-10"/>
        </w:rPr>
        <w:t> </w:t>
      </w:r>
      <w:r>
        <w:rPr>
          <w:color w:val="231F20"/>
        </w:rPr>
        <w:t>fueron</w:t>
      </w:r>
      <w:r>
        <w:rPr>
          <w:color w:val="231F20"/>
          <w:spacing w:val="-2"/>
        </w:rPr>
        <w:t> </w:t>
      </w:r>
      <w:r>
        <w:rPr>
          <w:color w:val="231F20"/>
        </w:rPr>
        <w:t>congruentes</w:t>
      </w:r>
      <w:r>
        <w:rPr>
          <w:color w:val="231F20"/>
          <w:spacing w:val="-2"/>
        </w:rPr>
        <w:t> </w:t>
      </w:r>
      <w:r>
        <w:rPr>
          <w:color w:val="231F20"/>
        </w:rPr>
        <w:t>con</w:t>
      </w:r>
      <w:r>
        <w:rPr>
          <w:color w:val="231F20"/>
          <w:spacing w:val="-2"/>
        </w:rPr>
        <w:t> </w:t>
      </w:r>
      <w:r>
        <w:rPr>
          <w:color w:val="231F20"/>
        </w:rPr>
        <w:t>la</w:t>
      </w:r>
      <w:r>
        <w:rPr>
          <w:color w:val="231F20"/>
          <w:spacing w:val="-2"/>
        </w:rPr>
        <w:t> </w:t>
      </w:r>
      <w:r>
        <w:rPr>
          <w:color w:val="231F20"/>
        </w:rPr>
        <w:t>disponibilidad</w:t>
      </w:r>
      <w:r>
        <w:rPr>
          <w:color w:val="231F20"/>
          <w:spacing w:val="-3"/>
        </w:rPr>
        <w:t> </w:t>
      </w:r>
      <w:r>
        <w:rPr>
          <w:color w:val="231F20"/>
        </w:rPr>
        <w:t>de</w:t>
      </w:r>
      <w:r>
        <w:rPr>
          <w:color w:val="231F20"/>
          <w:spacing w:val="-2"/>
        </w:rPr>
        <w:t> </w:t>
      </w:r>
      <w:r>
        <w:rPr>
          <w:color w:val="231F20"/>
        </w:rPr>
        <w:t>los</w:t>
      </w:r>
      <w:r>
        <w:rPr>
          <w:color w:val="231F20"/>
          <w:spacing w:val="-2"/>
        </w:rPr>
        <w:t> </w:t>
      </w:r>
      <w:r>
        <w:rPr>
          <w:color w:val="231F20"/>
        </w:rPr>
        <w:t>nutrientes</w:t>
      </w:r>
      <w:r>
        <w:rPr>
          <w:color w:val="231F20"/>
          <w:spacing w:val="-2"/>
        </w:rPr>
        <w:t> </w:t>
      </w:r>
      <w:r>
        <w:rPr>
          <w:color w:val="231F20"/>
        </w:rPr>
        <w:t>en</w:t>
      </w:r>
      <w:r>
        <w:rPr>
          <w:color w:val="231F20"/>
          <w:spacing w:val="-2"/>
        </w:rPr>
        <w:t> </w:t>
      </w:r>
      <w:r>
        <w:rPr>
          <w:color w:val="231F20"/>
        </w:rPr>
        <w:t>el</w:t>
      </w:r>
      <w:r>
        <w:rPr>
          <w:color w:val="231F20"/>
          <w:spacing w:val="-2"/>
        </w:rPr>
        <w:t> </w:t>
      </w:r>
      <w:r>
        <w:rPr>
          <w:color w:val="231F20"/>
        </w:rPr>
        <w:t>suelo,</w:t>
      </w:r>
      <w:r>
        <w:rPr>
          <w:color w:val="231F20"/>
          <w:spacing w:val="-2"/>
        </w:rPr>
        <w:t> </w:t>
      </w:r>
      <w:r>
        <w:rPr>
          <w:color w:val="231F20"/>
        </w:rPr>
        <w:t>es</w:t>
      </w:r>
      <w:r>
        <w:rPr>
          <w:color w:val="231F20"/>
          <w:spacing w:val="-2"/>
        </w:rPr>
        <w:t> </w:t>
      </w:r>
      <w:r>
        <w:rPr>
          <w:color w:val="231F20"/>
        </w:rPr>
        <w:t>decir</w:t>
      </w:r>
      <w:r>
        <w:rPr>
          <w:color w:val="231F20"/>
          <w:spacing w:val="-2"/>
        </w:rPr>
        <w:t> </w:t>
      </w:r>
      <w:r>
        <w:rPr>
          <w:color w:val="231F20"/>
        </w:rPr>
        <w:t>se</w:t>
      </w:r>
      <w:r>
        <w:rPr>
          <w:color w:val="231F20"/>
          <w:spacing w:val="-2"/>
        </w:rPr>
        <w:t> </w:t>
      </w:r>
      <w:r>
        <w:rPr>
          <w:color w:val="231F20"/>
        </w:rPr>
        <w:t>encontra- ron</w:t>
      </w:r>
      <w:r>
        <w:rPr>
          <w:color w:val="231F20"/>
          <w:spacing w:val="-3"/>
        </w:rPr>
        <w:t> </w:t>
      </w:r>
      <w:r>
        <w:rPr>
          <w:color w:val="231F20"/>
        </w:rPr>
        <w:t>entre</w:t>
      </w:r>
      <w:r>
        <w:rPr>
          <w:color w:val="231F20"/>
          <w:spacing w:val="-3"/>
        </w:rPr>
        <w:t> </w:t>
      </w:r>
      <w:r>
        <w:rPr>
          <w:color w:val="231F20"/>
        </w:rPr>
        <w:t>los</w:t>
      </w:r>
      <w:r>
        <w:rPr>
          <w:color w:val="231F20"/>
          <w:spacing w:val="-3"/>
        </w:rPr>
        <w:t> </w:t>
      </w:r>
      <w:r>
        <w:rPr>
          <w:color w:val="231F20"/>
        </w:rPr>
        <w:t>más</w:t>
      </w:r>
      <w:r>
        <w:rPr>
          <w:color w:val="231F20"/>
          <w:spacing w:val="-3"/>
        </w:rPr>
        <w:t> </w:t>
      </w:r>
      <w:r>
        <w:rPr>
          <w:color w:val="231F20"/>
        </w:rPr>
        <w:t>deficitarios</w:t>
      </w:r>
      <w:r>
        <w:rPr>
          <w:color w:val="231F20"/>
          <w:spacing w:val="-3"/>
        </w:rPr>
        <w:t> </w:t>
      </w:r>
      <w:r>
        <w:rPr>
          <w:color w:val="231F20"/>
        </w:rPr>
        <w:t>tanto</w:t>
      </w:r>
      <w:r>
        <w:rPr>
          <w:color w:val="231F20"/>
          <w:spacing w:val="-3"/>
        </w:rPr>
        <w:t> </w:t>
      </w:r>
      <w:r>
        <w:rPr>
          <w:color w:val="231F20"/>
        </w:rPr>
        <w:t>en</w:t>
      </w:r>
      <w:r>
        <w:rPr>
          <w:color w:val="231F20"/>
          <w:spacing w:val="-3"/>
        </w:rPr>
        <w:t> </w:t>
      </w:r>
      <w:r>
        <w:rPr>
          <w:color w:val="231F20"/>
        </w:rPr>
        <w:t>el</w:t>
      </w:r>
      <w:r>
        <w:rPr>
          <w:color w:val="231F20"/>
          <w:spacing w:val="-3"/>
        </w:rPr>
        <w:t> </w:t>
      </w:r>
      <w:r>
        <w:rPr>
          <w:color w:val="231F20"/>
        </w:rPr>
        <w:t>suelo</w:t>
      </w:r>
      <w:r>
        <w:rPr>
          <w:color w:val="231F20"/>
          <w:spacing w:val="-3"/>
        </w:rPr>
        <w:t> </w:t>
      </w:r>
      <w:r>
        <w:rPr>
          <w:color w:val="231F20"/>
        </w:rPr>
        <w:t>como</w:t>
      </w:r>
      <w:r>
        <w:rPr>
          <w:color w:val="231F20"/>
          <w:spacing w:val="-3"/>
        </w:rPr>
        <w:t> </w:t>
      </w:r>
      <w:r>
        <w:rPr>
          <w:color w:val="231F20"/>
        </w:rPr>
        <w:t>en</w:t>
      </w:r>
      <w:r>
        <w:rPr>
          <w:color w:val="231F20"/>
          <w:spacing w:val="-3"/>
        </w:rPr>
        <w:t> </w:t>
      </w:r>
      <w:r>
        <w:rPr>
          <w:color w:val="231F20"/>
        </w:rPr>
        <w:t>las</w:t>
      </w:r>
      <w:r>
        <w:rPr>
          <w:color w:val="231F20"/>
          <w:spacing w:val="-3"/>
        </w:rPr>
        <w:t> </w:t>
      </w:r>
      <w:r>
        <w:rPr>
          <w:color w:val="231F20"/>
        </w:rPr>
        <w:t>plantaciones</w:t>
      </w:r>
      <w:r>
        <w:rPr>
          <w:color w:val="231F20"/>
          <w:spacing w:val="-3"/>
        </w:rPr>
        <w:t> </w:t>
      </w:r>
      <w:r>
        <w:rPr>
          <w:color w:val="231F20"/>
        </w:rPr>
        <w:t>de</w:t>
      </w:r>
      <w:r>
        <w:rPr>
          <w:color w:val="231F20"/>
          <w:spacing w:val="-3"/>
        </w:rPr>
        <w:t> </w:t>
      </w:r>
      <w:r>
        <w:rPr>
          <w:color w:val="231F20"/>
        </w:rPr>
        <w:t>eucalipto.</w:t>
      </w:r>
      <w:r>
        <w:rPr>
          <w:color w:val="231F20"/>
          <w:spacing w:val="-3"/>
        </w:rPr>
        <w:t> </w:t>
      </w:r>
      <w:r>
        <w:rPr>
          <w:color w:val="231F20"/>
        </w:rPr>
        <w:t>Los</w:t>
      </w:r>
      <w:r>
        <w:rPr>
          <w:color w:val="231F20"/>
          <w:spacing w:val="-3"/>
        </w:rPr>
        <w:t> </w:t>
      </w:r>
      <w:r>
        <w:rPr>
          <w:color w:val="231F20"/>
        </w:rPr>
        <w:t>resultados mostraron que a pesar de que los elementos son los de mayor concentración en el tejido foliar del eucalipto, fueron encontrados debajo de lo normal en un 40% de los predios.</w:t>
      </w:r>
    </w:p>
    <w:p>
      <w:pPr>
        <w:pStyle w:val="BodyText"/>
        <w:spacing w:before="4"/>
      </w:pPr>
    </w:p>
    <w:p>
      <w:pPr>
        <w:spacing w:before="0"/>
        <w:ind w:left="2114" w:right="1279" w:firstLine="0"/>
        <w:jc w:val="left"/>
        <w:rPr>
          <w:b/>
          <w:sz w:val="18"/>
        </w:rPr>
      </w:pPr>
      <w:r>
        <w:rPr>
          <w:b/>
          <w:color w:val="010202"/>
          <w:sz w:val="18"/>
        </w:rPr>
        <w:t>Cuadro 6. Carta balance nutrimental mediante índices Kenworthy para el </w:t>
      </w:r>
      <w:r>
        <w:rPr>
          <w:i/>
          <w:color w:val="010202"/>
          <w:sz w:val="18"/>
        </w:rPr>
        <w:t>Eucalipto </w:t>
      </w:r>
      <w:r>
        <w:rPr>
          <w:b/>
          <w:color w:val="010202"/>
          <w:sz w:val="18"/>
        </w:rPr>
        <w:t>sp.</w:t>
      </w:r>
    </w:p>
    <w:p>
      <w:pPr>
        <w:pStyle w:val="BodyText"/>
        <w:spacing w:before="8"/>
        <w:rPr>
          <w:b/>
          <w:sz w:val="8"/>
        </w:rPr>
      </w:pPr>
      <w:r>
        <w:rPr/>
        <w:drawing>
          <wp:anchor distT="0" distB="0" distL="0" distR="0" allowOverlap="1" layoutInCell="1" locked="0" behindDoc="0" simplePos="0" relativeHeight="3544">
            <wp:simplePos x="0" y="0"/>
            <wp:positionH relativeFrom="page">
              <wp:posOffset>1395905</wp:posOffset>
            </wp:positionH>
            <wp:positionV relativeFrom="paragraph">
              <wp:posOffset>88751</wp:posOffset>
            </wp:positionV>
            <wp:extent cx="4119946" cy="4738782"/>
            <wp:effectExtent l="0" t="0" r="0" b="0"/>
            <wp:wrapTopAndBottom/>
            <wp:docPr id="127" name="image43.png" descr=""/>
            <wp:cNvGraphicFramePr>
              <a:graphicFrameLocks noChangeAspect="1"/>
            </wp:cNvGraphicFramePr>
            <a:graphic>
              <a:graphicData uri="http://schemas.openxmlformats.org/drawingml/2006/picture">
                <pic:pic>
                  <pic:nvPicPr>
                    <pic:cNvPr id="128" name="image43.png"/>
                    <pic:cNvPicPr/>
                  </pic:nvPicPr>
                  <pic:blipFill>
                    <a:blip r:embed="rId64" cstate="print"/>
                    <a:stretch>
                      <a:fillRect/>
                    </a:stretch>
                  </pic:blipFill>
                  <pic:spPr>
                    <a:xfrm>
                      <a:off x="0" y="0"/>
                      <a:ext cx="4119946" cy="4738782"/>
                    </a:xfrm>
                    <a:prstGeom prst="rect">
                      <a:avLst/>
                    </a:prstGeom>
                  </pic:spPr>
                </pic:pic>
              </a:graphicData>
            </a:graphic>
          </wp:anchor>
        </w:drawing>
      </w:r>
    </w:p>
    <w:p>
      <w:pPr>
        <w:spacing w:before="103"/>
        <w:ind w:left="1270" w:right="0" w:firstLine="0"/>
        <w:jc w:val="both"/>
        <w:rPr>
          <w:b/>
          <w:i/>
          <w:sz w:val="17"/>
        </w:rPr>
      </w:pPr>
      <w:r>
        <w:rPr>
          <w:b/>
          <w:i/>
          <w:color w:val="231F20"/>
          <w:sz w:val="17"/>
        </w:rPr>
        <w:t>C: Concentración; IB: Índice de balance; ORN: Orden de Requerimiento Nutricional.</w:t>
      </w:r>
    </w:p>
    <w:p>
      <w:pPr>
        <w:spacing w:after="0"/>
        <w:jc w:val="both"/>
        <w:rPr>
          <w:sz w:val="17"/>
        </w:rPr>
        <w:sectPr>
          <w:pgSz w:w="10920" w:h="13080"/>
          <w:pgMar w:header="0" w:footer="1025" w:top="420" w:bottom="1220" w:left="0" w:right="0"/>
        </w:sectPr>
      </w:pPr>
    </w:p>
    <w:p>
      <w:pPr>
        <w:pStyle w:val="BodyText"/>
        <w:rPr>
          <w:b/>
          <w:i/>
          <w:sz w:val="20"/>
        </w:rPr>
      </w:pPr>
    </w:p>
    <w:p>
      <w:pPr>
        <w:pStyle w:val="BodyText"/>
        <w:rPr>
          <w:b/>
          <w:i/>
          <w:sz w:val="20"/>
        </w:rPr>
      </w:pPr>
    </w:p>
    <w:p>
      <w:pPr>
        <w:pStyle w:val="BodyText"/>
        <w:rPr>
          <w:b/>
          <w:i/>
          <w:sz w:val="23"/>
        </w:rPr>
      </w:pPr>
    </w:p>
    <w:p>
      <w:pPr>
        <w:pStyle w:val="BodyText"/>
        <w:spacing w:line="247" w:lineRule="auto" w:before="73"/>
        <w:ind w:left="1270" w:right="1268"/>
        <w:jc w:val="both"/>
      </w:pPr>
      <w:r>
        <w:rPr>
          <w:color w:val="231F20"/>
        </w:rPr>
        <w:t>Los</w:t>
      </w:r>
      <w:r>
        <w:rPr>
          <w:color w:val="231F20"/>
          <w:spacing w:val="-10"/>
        </w:rPr>
        <w:t> </w:t>
      </w:r>
      <w:r>
        <w:rPr>
          <w:color w:val="231F20"/>
        </w:rPr>
        <w:t>elementos</w:t>
      </w:r>
      <w:r>
        <w:rPr>
          <w:color w:val="231F20"/>
          <w:spacing w:val="-10"/>
        </w:rPr>
        <w:t> </w:t>
      </w:r>
      <w:r>
        <w:rPr>
          <w:color w:val="231F20"/>
        </w:rPr>
        <w:t>que</w:t>
      </w:r>
      <w:r>
        <w:rPr>
          <w:color w:val="231F20"/>
          <w:spacing w:val="-9"/>
        </w:rPr>
        <w:t> </w:t>
      </w:r>
      <w:r>
        <w:rPr>
          <w:color w:val="231F20"/>
        </w:rPr>
        <w:t>se</w:t>
      </w:r>
      <w:r>
        <w:rPr>
          <w:color w:val="231F20"/>
          <w:spacing w:val="-9"/>
        </w:rPr>
        <w:t> </w:t>
      </w:r>
      <w:r>
        <w:rPr>
          <w:color w:val="231F20"/>
        </w:rPr>
        <w:t>presentaron</w:t>
      </w:r>
      <w:r>
        <w:rPr>
          <w:color w:val="231F20"/>
          <w:spacing w:val="-9"/>
        </w:rPr>
        <w:t> </w:t>
      </w:r>
      <w:r>
        <w:rPr>
          <w:color w:val="231F20"/>
        </w:rPr>
        <w:t>en</w:t>
      </w:r>
      <w:r>
        <w:rPr>
          <w:color w:val="231F20"/>
          <w:spacing w:val="-9"/>
        </w:rPr>
        <w:t> </w:t>
      </w:r>
      <w:r>
        <w:rPr>
          <w:color w:val="231F20"/>
        </w:rPr>
        <w:t>una</w:t>
      </w:r>
      <w:r>
        <w:rPr>
          <w:color w:val="231F20"/>
          <w:spacing w:val="-9"/>
        </w:rPr>
        <w:t> </w:t>
      </w:r>
      <w:r>
        <w:rPr>
          <w:color w:val="231F20"/>
        </w:rPr>
        <w:t>concentración</w:t>
      </w:r>
      <w:r>
        <w:rPr>
          <w:color w:val="231F20"/>
          <w:spacing w:val="-10"/>
        </w:rPr>
        <w:t> </w:t>
      </w:r>
      <w:r>
        <w:rPr>
          <w:color w:val="231F20"/>
        </w:rPr>
        <w:t>abajo</w:t>
      </w:r>
      <w:r>
        <w:rPr>
          <w:color w:val="231F20"/>
          <w:spacing w:val="-10"/>
        </w:rPr>
        <w:t> </w:t>
      </w:r>
      <w:r>
        <w:rPr>
          <w:color w:val="231F20"/>
        </w:rPr>
        <w:t>delo</w:t>
      </w:r>
      <w:r>
        <w:rPr>
          <w:color w:val="231F20"/>
          <w:spacing w:val="-9"/>
        </w:rPr>
        <w:t> </w:t>
      </w:r>
      <w:r>
        <w:rPr>
          <w:color w:val="231F20"/>
        </w:rPr>
        <w:t>normal</w:t>
      </w:r>
      <w:r>
        <w:rPr>
          <w:color w:val="231F20"/>
          <w:spacing w:val="-9"/>
        </w:rPr>
        <w:t> </w:t>
      </w:r>
      <w:r>
        <w:rPr>
          <w:color w:val="231F20"/>
        </w:rPr>
        <w:t>en</w:t>
      </w:r>
      <w:r>
        <w:rPr>
          <w:color w:val="231F20"/>
          <w:spacing w:val="-9"/>
        </w:rPr>
        <w:t> </w:t>
      </w:r>
      <w:r>
        <w:rPr>
          <w:color w:val="231F20"/>
        </w:rPr>
        <w:t>orden</w:t>
      </w:r>
      <w:r>
        <w:rPr>
          <w:color w:val="231F20"/>
          <w:spacing w:val="-9"/>
        </w:rPr>
        <w:t> </w:t>
      </w:r>
      <w:r>
        <w:rPr>
          <w:color w:val="231F20"/>
        </w:rPr>
        <w:t>limitativo</w:t>
      </w:r>
      <w:r>
        <w:rPr>
          <w:color w:val="231F20"/>
          <w:spacing w:val="-10"/>
        </w:rPr>
        <w:t> </w:t>
      </w:r>
      <w:r>
        <w:rPr>
          <w:color w:val="231F20"/>
        </w:rPr>
        <w:t>fueron el</w:t>
      </w:r>
      <w:r>
        <w:rPr>
          <w:color w:val="231F20"/>
          <w:spacing w:val="-2"/>
        </w:rPr>
        <w:t> </w:t>
      </w:r>
      <w:r>
        <w:rPr>
          <w:color w:val="231F20"/>
        </w:rPr>
        <w:t>Fe,</w:t>
      </w:r>
      <w:r>
        <w:rPr>
          <w:color w:val="231F20"/>
          <w:spacing w:val="-2"/>
        </w:rPr>
        <w:t> </w:t>
      </w:r>
      <w:r>
        <w:rPr>
          <w:color w:val="231F20"/>
        </w:rPr>
        <w:t>K,</w:t>
      </w:r>
      <w:r>
        <w:rPr>
          <w:color w:val="231F20"/>
          <w:spacing w:val="-2"/>
        </w:rPr>
        <w:t> </w:t>
      </w:r>
      <w:r>
        <w:rPr>
          <w:color w:val="231F20"/>
        </w:rPr>
        <w:t>P</w:t>
      </w:r>
      <w:r>
        <w:rPr>
          <w:color w:val="231F20"/>
          <w:spacing w:val="-10"/>
        </w:rPr>
        <w:t> </w:t>
      </w:r>
      <w:r>
        <w:rPr>
          <w:color w:val="231F20"/>
        </w:rPr>
        <w:t>y</w:t>
      </w:r>
      <w:r>
        <w:rPr>
          <w:color w:val="231F20"/>
          <w:spacing w:val="-2"/>
        </w:rPr>
        <w:t> </w:t>
      </w:r>
      <w:r>
        <w:rPr>
          <w:color w:val="231F20"/>
        </w:rPr>
        <w:t>N.</w:t>
      </w:r>
      <w:r>
        <w:rPr>
          <w:color w:val="231F20"/>
          <w:spacing w:val="-2"/>
        </w:rPr>
        <w:t> </w:t>
      </w:r>
      <w:r>
        <w:rPr>
          <w:color w:val="231F20"/>
        </w:rPr>
        <w:t>Por</w:t>
      </w:r>
      <w:r>
        <w:rPr>
          <w:color w:val="231F20"/>
          <w:spacing w:val="-2"/>
        </w:rPr>
        <w:t> </w:t>
      </w:r>
      <w:r>
        <w:rPr>
          <w:color w:val="231F20"/>
        </w:rPr>
        <w:t>su</w:t>
      </w:r>
      <w:r>
        <w:rPr>
          <w:color w:val="231F20"/>
          <w:spacing w:val="-2"/>
        </w:rPr>
        <w:t> </w:t>
      </w:r>
      <w:r>
        <w:rPr>
          <w:color w:val="231F20"/>
        </w:rPr>
        <w:t>parte,</w:t>
      </w:r>
      <w:r>
        <w:rPr>
          <w:color w:val="231F20"/>
          <w:spacing w:val="-2"/>
        </w:rPr>
        <w:t> </w:t>
      </w:r>
      <w:r>
        <w:rPr>
          <w:color w:val="231F20"/>
        </w:rPr>
        <w:t>los</w:t>
      </w:r>
      <w:r>
        <w:rPr>
          <w:color w:val="231F20"/>
          <w:spacing w:val="-2"/>
        </w:rPr>
        <w:t> </w:t>
      </w:r>
      <w:r>
        <w:rPr>
          <w:color w:val="231F20"/>
        </w:rPr>
        <w:t>nutrientes</w:t>
      </w:r>
      <w:r>
        <w:rPr>
          <w:color w:val="231F20"/>
          <w:spacing w:val="-2"/>
        </w:rPr>
        <w:t> </w:t>
      </w:r>
      <w:r>
        <w:rPr>
          <w:color w:val="231F20"/>
        </w:rPr>
        <w:t>que</w:t>
      </w:r>
      <w:r>
        <w:rPr>
          <w:color w:val="231F20"/>
          <w:spacing w:val="-2"/>
        </w:rPr>
        <w:t> </w:t>
      </w:r>
      <w:r>
        <w:rPr>
          <w:color w:val="231F20"/>
        </w:rPr>
        <w:t>se</w:t>
      </w:r>
      <w:r>
        <w:rPr>
          <w:color w:val="231F20"/>
          <w:spacing w:val="-2"/>
        </w:rPr>
        <w:t> </w:t>
      </w:r>
      <w:r>
        <w:rPr>
          <w:color w:val="231F20"/>
        </w:rPr>
        <w:t>encontraron</w:t>
      </w:r>
      <w:r>
        <w:rPr>
          <w:color w:val="231F20"/>
          <w:spacing w:val="-2"/>
        </w:rPr>
        <w:t> </w:t>
      </w:r>
      <w:r>
        <w:rPr>
          <w:color w:val="231F20"/>
        </w:rPr>
        <w:t>en</w:t>
      </w:r>
      <w:r>
        <w:rPr>
          <w:color w:val="231F20"/>
          <w:spacing w:val="-2"/>
        </w:rPr>
        <w:t> </w:t>
      </w:r>
      <w:r>
        <w:rPr>
          <w:color w:val="231F20"/>
        </w:rPr>
        <w:t>un</w:t>
      </w:r>
      <w:r>
        <w:rPr>
          <w:color w:val="231F20"/>
          <w:spacing w:val="-2"/>
        </w:rPr>
        <w:t> </w:t>
      </w:r>
      <w:r>
        <w:rPr>
          <w:color w:val="231F20"/>
        </w:rPr>
        <w:t>nivel</w:t>
      </w:r>
      <w:r>
        <w:rPr>
          <w:color w:val="231F20"/>
          <w:spacing w:val="-2"/>
        </w:rPr>
        <w:t> </w:t>
      </w:r>
      <w:r>
        <w:rPr>
          <w:color w:val="231F20"/>
        </w:rPr>
        <w:t>medio</w:t>
      </w:r>
      <w:r>
        <w:rPr>
          <w:color w:val="231F20"/>
          <w:spacing w:val="-2"/>
        </w:rPr>
        <w:t> </w:t>
      </w:r>
      <w:r>
        <w:rPr>
          <w:color w:val="231F20"/>
        </w:rPr>
        <w:t>o</w:t>
      </w:r>
      <w:r>
        <w:rPr>
          <w:color w:val="231F20"/>
          <w:spacing w:val="-2"/>
        </w:rPr>
        <w:t> </w:t>
      </w:r>
      <w:r>
        <w:rPr>
          <w:color w:val="231F20"/>
        </w:rPr>
        <w:t>de</w:t>
      </w:r>
      <w:r>
        <w:rPr>
          <w:color w:val="231F20"/>
          <w:spacing w:val="-2"/>
        </w:rPr>
        <w:t> </w:t>
      </w:r>
      <w:r>
        <w:rPr>
          <w:color w:val="231F20"/>
        </w:rPr>
        <w:t>suficiencia</w:t>
      </w:r>
      <w:r>
        <w:rPr>
          <w:color w:val="231F20"/>
          <w:spacing w:val="-2"/>
        </w:rPr>
        <w:t> </w:t>
      </w:r>
      <w:r>
        <w:rPr>
          <w:color w:val="231F20"/>
        </w:rPr>
        <w:t>de concentración fueron Mn, Ca, B, Mg y Zn. En el caso del Cu éste se encontró en un nivel por arriba del normal.</w:t>
      </w:r>
    </w:p>
    <w:p>
      <w:pPr>
        <w:pStyle w:val="BodyText"/>
        <w:spacing w:before="10"/>
      </w:pPr>
    </w:p>
    <w:p>
      <w:pPr>
        <w:pStyle w:val="BodyText"/>
        <w:spacing w:line="247" w:lineRule="auto"/>
        <w:ind w:left="1270" w:right="1268"/>
        <w:jc w:val="both"/>
      </w:pPr>
      <w:r>
        <w:rPr>
          <w:color w:val="231F20"/>
        </w:rPr>
        <w:t>En el Cuadro 7 se presenta en términos porcentuales, por categoría y por elemento, el nivel de sufi- ciencia de los análisis foliares. Los resultados permiten observar que el N, </w:t>
      </w:r>
      <w:r>
        <w:rPr>
          <w:color w:val="231F20"/>
          <w:spacing w:val="-12"/>
        </w:rPr>
        <w:t>P, </w:t>
      </w:r>
      <w:r>
        <w:rPr>
          <w:color w:val="231F20"/>
        </w:rPr>
        <w:t>K, Fe y Mn se encon- traron en un 80, 70, 100, 100 y 90%, respectivamente. Por su parte, Ca, Mg y B, se ubicaron en un nivel de 70, 70 y 100% en un nivel normal, mientras que Zn y Cu se ubicaron en un nivel normal</w:t>
      </w:r>
      <w:r>
        <w:rPr>
          <w:color w:val="231F20"/>
          <w:spacing w:val="-35"/>
        </w:rPr>
        <w:t> </w:t>
      </w:r>
      <w:r>
        <w:rPr>
          <w:color w:val="231F20"/>
        </w:rPr>
        <w:t>en el 50% de los predios.</w:t>
      </w:r>
    </w:p>
    <w:p>
      <w:pPr>
        <w:pStyle w:val="BodyText"/>
        <w:spacing w:before="4"/>
      </w:pPr>
    </w:p>
    <w:p>
      <w:pPr>
        <w:spacing w:before="0"/>
        <w:ind w:left="2128" w:right="1279" w:firstLine="0"/>
        <w:jc w:val="left"/>
        <w:rPr>
          <w:b/>
          <w:sz w:val="18"/>
        </w:rPr>
      </w:pPr>
      <w:r>
        <w:rPr/>
        <w:drawing>
          <wp:anchor distT="0" distB="0" distL="0" distR="0" allowOverlap="1" layoutInCell="1" locked="0" behindDoc="0" simplePos="0" relativeHeight="3568">
            <wp:simplePos x="0" y="0"/>
            <wp:positionH relativeFrom="page">
              <wp:posOffset>857917</wp:posOffset>
            </wp:positionH>
            <wp:positionV relativeFrom="paragraph">
              <wp:posOffset>209250</wp:posOffset>
            </wp:positionV>
            <wp:extent cx="5242558" cy="2129790"/>
            <wp:effectExtent l="0" t="0" r="0" b="0"/>
            <wp:wrapTopAndBottom/>
            <wp:docPr id="129" name="image44.png" descr=""/>
            <wp:cNvGraphicFramePr>
              <a:graphicFrameLocks noChangeAspect="1"/>
            </wp:cNvGraphicFramePr>
            <a:graphic>
              <a:graphicData uri="http://schemas.openxmlformats.org/drawingml/2006/picture">
                <pic:pic>
                  <pic:nvPicPr>
                    <pic:cNvPr id="130" name="image44.png"/>
                    <pic:cNvPicPr/>
                  </pic:nvPicPr>
                  <pic:blipFill>
                    <a:blip r:embed="rId65" cstate="print"/>
                    <a:stretch>
                      <a:fillRect/>
                    </a:stretch>
                  </pic:blipFill>
                  <pic:spPr>
                    <a:xfrm>
                      <a:off x="0" y="0"/>
                      <a:ext cx="5242558" cy="2129790"/>
                    </a:xfrm>
                    <a:prstGeom prst="rect">
                      <a:avLst/>
                    </a:prstGeom>
                  </pic:spPr>
                </pic:pic>
              </a:graphicData>
            </a:graphic>
          </wp:anchor>
        </w:drawing>
      </w:r>
      <w:r>
        <w:rPr>
          <w:b/>
          <w:color w:val="010202"/>
          <w:sz w:val="18"/>
        </w:rPr>
        <w:t>Cuadro 8. Porcentajes de nutrientes acorde al orden de requerimiento en tejido vegetal</w:t>
      </w:r>
    </w:p>
    <w:p>
      <w:pPr>
        <w:pStyle w:val="BodyText"/>
        <w:spacing w:before="6"/>
        <w:rPr>
          <w:b/>
          <w:sz w:val="22"/>
        </w:rPr>
      </w:pPr>
    </w:p>
    <w:p>
      <w:pPr>
        <w:pStyle w:val="BodyText"/>
        <w:spacing w:line="247" w:lineRule="auto"/>
        <w:ind w:left="1270" w:right="1267"/>
        <w:jc w:val="both"/>
      </w:pPr>
      <w:r>
        <w:rPr>
          <w:color w:val="231F20"/>
        </w:rPr>
        <w:t>En el caso de los bajos niveles de N, K y P los árboles de eucalipto pueden mostrar mayor</w:t>
      </w:r>
      <w:r>
        <w:rPr>
          <w:color w:val="231F20"/>
          <w:spacing w:val="-15"/>
        </w:rPr>
        <w:t> </w:t>
      </w:r>
      <w:r>
        <w:rPr>
          <w:color w:val="231F20"/>
        </w:rPr>
        <w:t>actividad de las enzimas amilasa, sacarosa, glucosa y proteasa y como consecuencia acumulación de</w:t>
      </w:r>
      <w:r>
        <w:rPr>
          <w:color w:val="231F20"/>
          <w:spacing w:val="-25"/>
        </w:rPr>
        <w:t> </w:t>
      </w:r>
      <w:r>
        <w:rPr>
          <w:color w:val="231F20"/>
        </w:rPr>
        <w:t>azúcares solubles,</w:t>
      </w:r>
      <w:r>
        <w:rPr>
          <w:color w:val="231F20"/>
          <w:spacing w:val="-3"/>
        </w:rPr>
        <w:t> </w:t>
      </w:r>
      <w:r>
        <w:rPr>
          <w:color w:val="231F20"/>
        </w:rPr>
        <w:t>aminoácidos</w:t>
      </w:r>
      <w:r>
        <w:rPr>
          <w:color w:val="231F20"/>
          <w:spacing w:val="-3"/>
        </w:rPr>
        <w:t> </w:t>
      </w:r>
      <w:r>
        <w:rPr>
          <w:color w:val="231F20"/>
        </w:rPr>
        <w:t>y</w:t>
      </w:r>
      <w:r>
        <w:rPr>
          <w:color w:val="231F20"/>
          <w:spacing w:val="-3"/>
        </w:rPr>
        <w:t> </w:t>
      </w:r>
      <w:r>
        <w:rPr>
          <w:color w:val="231F20"/>
        </w:rPr>
        <w:t>N</w:t>
      </w:r>
      <w:r>
        <w:rPr>
          <w:color w:val="231F20"/>
          <w:spacing w:val="-3"/>
        </w:rPr>
        <w:t> </w:t>
      </w:r>
      <w:r>
        <w:rPr>
          <w:color w:val="231F20"/>
        </w:rPr>
        <w:t>soluble,</w:t>
      </w:r>
      <w:r>
        <w:rPr>
          <w:color w:val="231F20"/>
          <w:spacing w:val="-3"/>
        </w:rPr>
        <w:t> </w:t>
      </w:r>
      <w:r>
        <w:rPr>
          <w:color w:val="231F20"/>
        </w:rPr>
        <w:t>en</w:t>
      </w:r>
      <w:r>
        <w:rPr>
          <w:color w:val="231F20"/>
          <w:spacing w:val="-3"/>
        </w:rPr>
        <w:t> </w:t>
      </w:r>
      <w:r>
        <w:rPr>
          <w:color w:val="231F20"/>
        </w:rPr>
        <w:t>detrimento</w:t>
      </w:r>
      <w:r>
        <w:rPr>
          <w:color w:val="231F20"/>
          <w:spacing w:val="-3"/>
        </w:rPr>
        <w:t> </w:t>
      </w:r>
      <w:r>
        <w:rPr>
          <w:color w:val="231F20"/>
        </w:rPr>
        <w:t>de</w:t>
      </w:r>
      <w:r>
        <w:rPr>
          <w:color w:val="231F20"/>
          <w:spacing w:val="-3"/>
        </w:rPr>
        <w:t> </w:t>
      </w:r>
      <w:r>
        <w:rPr>
          <w:color w:val="231F20"/>
        </w:rPr>
        <w:t>proteína,</w:t>
      </w:r>
      <w:r>
        <w:rPr>
          <w:color w:val="231F20"/>
          <w:spacing w:val="-3"/>
        </w:rPr>
        <w:t> </w:t>
      </w:r>
      <w:r>
        <w:rPr>
          <w:color w:val="231F20"/>
        </w:rPr>
        <w:t>amida</w:t>
      </w:r>
      <w:r>
        <w:rPr>
          <w:color w:val="231F20"/>
          <w:spacing w:val="-3"/>
        </w:rPr>
        <w:t> </w:t>
      </w:r>
      <w:r>
        <w:rPr>
          <w:color w:val="231F20"/>
        </w:rPr>
        <w:t>y</w:t>
      </w:r>
      <w:r>
        <w:rPr>
          <w:color w:val="231F20"/>
          <w:spacing w:val="-3"/>
        </w:rPr>
        <w:t> </w:t>
      </w:r>
      <w:r>
        <w:rPr>
          <w:color w:val="231F20"/>
        </w:rPr>
        <w:t>celulosa,</w:t>
      </w:r>
      <w:r>
        <w:rPr>
          <w:color w:val="231F20"/>
          <w:spacing w:val="-3"/>
        </w:rPr>
        <w:t> </w:t>
      </w:r>
      <w:r>
        <w:rPr>
          <w:color w:val="231F20"/>
        </w:rPr>
        <w:t>haciendo</w:t>
      </w:r>
      <w:r>
        <w:rPr>
          <w:color w:val="231F20"/>
          <w:spacing w:val="-3"/>
        </w:rPr>
        <w:t> </w:t>
      </w:r>
      <w:r>
        <w:rPr>
          <w:color w:val="231F20"/>
        </w:rPr>
        <w:t>a</w:t>
      </w:r>
      <w:r>
        <w:rPr>
          <w:color w:val="231F20"/>
          <w:spacing w:val="-3"/>
        </w:rPr>
        <w:t> </w:t>
      </w:r>
      <w:r>
        <w:rPr>
          <w:color w:val="231F20"/>
        </w:rPr>
        <w:t>la</w:t>
      </w:r>
      <w:r>
        <w:rPr>
          <w:color w:val="231F20"/>
          <w:spacing w:val="-3"/>
        </w:rPr>
        <w:t> </w:t>
      </w:r>
      <w:r>
        <w:rPr>
          <w:color w:val="231F20"/>
        </w:rPr>
        <w:t>célula susceptible al ataque de plagas y enfermedades. En el caso de Ca, Mg y B, que fueron encontrados en niveles adecuados se favorece la formación de la pared celular y síntesis de pectinas (Andrade et al., 1995; HU et al. 1996; Sgarbi y Silveira, 1999).</w:t>
      </w:r>
    </w:p>
    <w:p>
      <w:pPr>
        <w:pStyle w:val="BodyText"/>
        <w:spacing w:before="9"/>
        <w:rPr>
          <w:sz w:val="22"/>
        </w:rPr>
      </w:pPr>
    </w:p>
    <w:p>
      <w:pPr>
        <w:pStyle w:val="Heading3"/>
      </w:pPr>
      <w:r>
        <w:rPr>
          <w:color w:val="010202"/>
        </w:rPr>
        <w:t>Conclusiones</w:t>
      </w:r>
    </w:p>
    <w:p>
      <w:pPr>
        <w:pStyle w:val="BodyText"/>
        <w:spacing w:before="10"/>
        <w:rPr>
          <w:b/>
        </w:rPr>
      </w:pPr>
    </w:p>
    <w:p>
      <w:pPr>
        <w:pStyle w:val="BodyText"/>
        <w:spacing w:line="247" w:lineRule="auto"/>
        <w:ind w:left="1270" w:right="1268"/>
        <w:jc w:val="both"/>
      </w:pPr>
      <w:r>
        <w:rPr>
          <w:color w:val="231F20"/>
        </w:rPr>
        <w:t>Los resultados encontrados permiten concluir que el suelo presentó un pH fuertemente ácido, alta concentración de materia orgánica, capacidad de intercambio catiónico de baja a muy baja y densi- dad</w:t>
      </w:r>
      <w:r>
        <w:rPr>
          <w:color w:val="231F20"/>
          <w:spacing w:val="-4"/>
        </w:rPr>
        <w:t> </w:t>
      </w:r>
      <w:r>
        <w:rPr>
          <w:color w:val="231F20"/>
        </w:rPr>
        <w:t>aparente</w:t>
      </w:r>
      <w:r>
        <w:rPr>
          <w:color w:val="231F20"/>
          <w:spacing w:val="-4"/>
        </w:rPr>
        <w:t> </w:t>
      </w:r>
      <w:r>
        <w:rPr>
          <w:color w:val="231F20"/>
        </w:rPr>
        <w:t>baja,</w:t>
      </w:r>
      <w:r>
        <w:rPr>
          <w:color w:val="231F20"/>
          <w:spacing w:val="-4"/>
        </w:rPr>
        <w:t> </w:t>
      </w:r>
      <w:r>
        <w:rPr>
          <w:color w:val="231F20"/>
        </w:rPr>
        <w:t>lo</w:t>
      </w:r>
      <w:r>
        <w:rPr>
          <w:color w:val="231F20"/>
          <w:spacing w:val="-4"/>
        </w:rPr>
        <w:t> </w:t>
      </w:r>
      <w:r>
        <w:rPr>
          <w:color w:val="231F20"/>
        </w:rPr>
        <w:t>que</w:t>
      </w:r>
      <w:r>
        <w:rPr>
          <w:color w:val="231F20"/>
          <w:spacing w:val="-4"/>
        </w:rPr>
        <w:t> </w:t>
      </w:r>
      <w:r>
        <w:rPr>
          <w:color w:val="231F20"/>
        </w:rPr>
        <w:t>provocó</w:t>
      </w:r>
      <w:r>
        <w:rPr>
          <w:color w:val="231F20"/>
          <w:spacing w:val="-4"/>
        </w:rPr>
        <w:t> </w:t>
      </w:r>
      <w:r>
        <w:rPr>
          <w:color w:val="231F20"/>
        </w:rPr>
        <w:t>que</w:t>
      </w:r>
      <w:r>
        <w:rPr>
          <w:color w:val="231F20"/>
          <w:spacing w:val="-4"/>
        </w:rPr>
        <w:t> </w:t>
      </w:r>
      <w:r>
        <w:rPr>
          <w:color w:val="231F20"/>
        </w:rPr>
        <w:t>los</w:t>
      </w:r>
      <w:r>
        <w:rPr>
          <w:color w:val="231F20"/>
          <w:spacing w:val="-4"/>
        </w:rPr>
        <w:t> </w:t>
      </w:r>
      <w:r>
        <w:rPr>
          <w:color w:val="231F20"/>
        </w:rPr>
        <w:t>niveles</w:t>
      </w:r>
      <w:r>
        <w:rPr>
          <w:color w:val="231F20"/>
          <w:spacing w:val="-4"/>
        </w:rPr>
        <w:t> </w:t>
      </w:r>
      <w:r>
        <w:rPr>
          <w:color w:val="231F20"/>
        </w:rPr>
        <w:t>nutrimentales</w:t>
      </w:r>
      <w:r>
        <w:rPr>
          <w:color w:val="231F20"/>
          <w:spacing w:val="-4"/>
        </w:rPr>
        <w:t> </w:t>
      </w:r>
      <w:r>
        <w:rPr>
          <w:color w:val="231F20"/>
        </w:rPr>
        <w:t>en</w:t>
      </w:r>
      <w:r>
        <w:rPr>
          <w:color w:val="231F20"/>
          <w:spacing w:val="-4"/>
        </w:rPr>
        <w:t> </w:t>
      </w:r>
      <w:r>
        <w:rPr>
          <w:color w:val="231F20"/>
        </w:rPr>
        <w:t>orden</w:t>
      </w:r>
      <w:r>
        <w:rPr>
          <w:color w:val="231F20"/>
          <w:spacing w:val="-4"/>
        </w:rPr>
        <w:t> </w:t>
      </w:r>
      <w:r>
        <w:rPr>
          <w:color w:val="231F20"/>
        </w:rPr>
        <w:t>de</w:t>
      </w:r>
      <w:r>
        <w:rPr>
          <w:color w:val="231F20"/>
          <w:spacing w:val="-4"/>
        </w:rPr>
        <w:t> </w:t>
      </w:r>
      <w:r>
        <w:rPr>
          <w:color w:val="231F20"/>
        </w:rPr>
        <w:t>deficiencia</w:t>
      </w:r>
      <w:r>
        <w:rPr>
          <w:color w:val="231F20"/>
          <w:spacing w:val="-4"/>
        </w:rPr>
        <w:t> </w:t>
      </w:r>
      <w:r>
        <w:rPr>
          <w:color w:val="231F20"/>
        </w:rPr>
        <w:t>mostraran</w:t>
      </w:r>
      <w:r>
        <w:rPr>
          <w:color w:val="231F20"/>
          <w:spacing w:val="-4"/>
        </w:rPr>
        <w:t> </w:t>
      </w:r>
      <w:r>
        <w:rPr>
          <w:color w:val="231F20"/>
        </w:rPr>
        <w:t>la secuencia siguiente: K&gt;P&gt;N&gt;Mn&gt;Zn&gt;Ca&gt;Mg&gt;B&gt;Fe.</w:t>
      </w:r>
    </w:p>
    <w:p>
      <w:pPr>
        <w:spacing w:after="0" w:line="247" w:lineRule="auto"/>
        <w:jc w:val="both"/>
        <w:sectPr>
          <w:pgSz w:w="10920" w:h="13080"/>
          <w:pgMar w:header="0" w:footer="1025" w:top="420" w:bottom="1220" w:left="0" w:right="0"/>
        </w:sectPr>
      </w:pPr>
    </w:p>
    <w:p>
      <w:pPr>
        <w:pStyle w:val="BodyText"/>
        <w:rPr>
          <w:sz w:val="20"/>
        </w:rPr>
      </w:pPr>
    </w:p>
    <w:p>
      <w:pPr>
        <w:pStyle w:val="BodyText"/>
        <w:rPr>
          <w:sz w:val="20"/>
        </w:rPr>
      </w:pPr>
    </w:p>
    <w:p>
      <w:pPr>
        <w:pStyle w:val="BodyText"/>
        <w:rPr>
          <w:sz w:val="23"/>
        </w:rPr>
      </w:pPr>
    </w:p>
    <w:p>
      <w:pPr>
        <w:pStyle w:val="BodyText"/>
        <w:spacing w:line="247" w:lineRule="auto" w:before="73"/>
        <w:ind w:left="1270" w:right="1268"/>
        <w:jc w:val="both"/>
      </w:pPr>
      <w:r>
        <w:rPr>
          <w:color w:val="231F20"/>
        </w:rPr>
        <w:t>Debido a los bajos niveles nutrimentales en el suelo se determinaron en niveles de abajo del normal a</w:t>
      </w:r>
      <w:r>
        <w:rPr>
          <w:color w:val="231F20"/>
          <w:spacing w:val="-6"/>
        </w:rPr>
        <w:t> </w:t>
      </w:r>
      <w:r>
        <w:rPr>
          <w:color w:val="231F20"/>
        </w:rPr>
        <w:t>deficientes</w:t>
      </w:r>
      <w:r>
        <w:rPr>
          <w:color w:val="231F20"/>
          <w:spacing w:val="-6"/>
        </w:rPr>
        <w:t> </w:t>
      </w:r>
      <w:r>
        <w:rPr>
          <w:color w:val="231F20"/>
        </w:rPr>
        <w:t>K,</w:t>
      </w:r>
      <w:r>
        <w:rPr>
          <w:color w:val="231F20"/>
          <w:spacing w:val="-6"/>
        </w:rPr>
        <w:t> </w:t>
      </w:r>
      <w:r>
        <w:rPr>
          <w:color w:val="231F20"/>
          <w:spacing w:val="-12"/>
        </w:rPr>
        <w:t>P,</w:t>
      </w:r>
      <w:r>
        <w:rPr>
          <w:color w:val="231F20"/>
          <w:spacing w:val="-6"/>
        </w:rPr>
        <w:t> </w:t>
      </w:r>
      <w:r>
        <w:rPr>
          <w:color w:val="231F20"/>
        </w:rPr>
        <w:t>N,</w:t>
      </w:r>
      <w:r>
        <w:rPr>
          <w:color w:val="231F20"/>
          <w:spacing w:val="-6"/>
        </w:rPr>
        <w:t> </w:t>
      </w:r>
      <w:r>
        <w:rPr>
          <w:color w:val="231F20"/>
        </w:rPr>
        <w:t>Mn</w:t>
      </w:r>
      <w:r>
        <w:rPr>
          <w:color w:val="231F20"/>
          <w:spacing w:val="-6"/>
        </w:rPr>
        <w:t> </w:t>
      </w:r>
      <w:r>
        <w:rPr>
          <w:color w:val="231F20"/>
        </w:rPr>
        <w:t>y</w:t>
      </w:r>
      <w:r>
        <w:rPr>
          <w:color w:val="231F20"/>
          <w:spacing w:val="-6"/>
        </w:rPr>
        <w:t> </w:t>
      </w:r>
      <w:r>
        <w:rPr>
          <w:color w:val="231F20"/>
        </w:rPr>
        <w:t>Fe,</w:t>
      </w:r>
      <w:r>
        <w:rPr>
          <w:color w:val="231F20"/>
          <w:spacing w:val="-6"/>
        </w:rPr>
        <w:t> </w:t>
      </w:r>
      <w:r>
        <w:rPr>
          <w:color w:val="231F20"/>
        </w:rPr>
        <w:t>mientras</w:t>
      </w:r>
      <w:r>
        <w:rPr>
          <w:color w:val="231F20"/>
          <w:spacing w:val="-6"/>
        </w:rPr>
        <w:t> </w:t>
      </w:r>
      <w:r>
        <w:rPr>
          <w:color w:val="231F20"/>
        </w:rPr>
        <w:t>que</w:t>
      </w:r>
      <w:r>
        <w:rPr>
          <w:color w:val="231F20"/>
          <w:spacing w:val="-6"/>
        </w:rPr>
        <w:t> </w:t>
      </w:r>
      <w:r>
        <w:rPr>
          <w:color w:val="231F20"/>
        </w:rPr>
        <w:t>los</w:t>
      </w:r>
      <w:r>
        <w:rPr>
          <w:color w:val="231F20"/>
          <w:spacing w:val="-6"/>
        </w:rPr>
        <w:t> </w:t>
      </w:r>
      <w:r>
        <w:rPr>
          <w:color w:val="231F20"/>
        </w:rPr>
        <w:t>elementos</w:t>
      </w:r>
      <w:r>
        <w:rPr>
          <w:color w:val="231F20"/>
          <w:spacing w:val="-6"/>
        </w:rPr>
        <w:t> </w:t>
      </w:r>
      <w:r>
        <w:rPr>
          <w:color w:val="231F20"/>
        </w:rPr>
        <w:t>B,</w:t>
      </w:r>
      <w:r>
        <w:rPr>
          <w:color w:val="231F20"/>
          <w:spacing w:val="-6"/>
        </w:rPr>
        <w:t> </w:t>
      </w:r>
      <w:r>
        <w:rPr>
          <w:color w:val="231F20"/>
        </w:rPr>
        <w:t>Ca,</w:t>
      </w:r>
      <w:r>
        <w:rPr>
          <w:color w:val="231F20"/>
          <w:spacing w:val="-6"/>
        </w:rPr>
        <w:t> </w:t>
      </w:r>
      <w:r>
        <w:rPr>
          <w:color w:val="231F20"/>
        </w:rPr>
        <w:t>Mg</w:t>
      </w:r>
      <w:r>
        <w:rPr>
          <w:color w:val="231F20"/>
          <w:spacing w:val="-6"/>
        </w:rPr>
        <w:t> </w:t>
      </w:r>
      <w:r>
        <w:rPr>
          <w:color w:val="231F20"/>
        </w:rPr>
        <w:t>y</w:t>
      </w:r>
      <w:r>
        <w:rPr>
          <w:color w:val="231F20"/>
          <w:spacing w:val="-6"/>
        </w:rPr>
        <w:t> </w:t>
      </w:r>
      <w:r>
        <w:rPr>
          <w:color w:val="231F20"/>
        </w:rPr>
        <w:t>Zn</w:t>
      </w:r>
      <w:r>
        <w:rPr>
          <w:color w:val="231F20"/>
          <w:spacing w:val="-6"/>
        </w:rPr>
        <w:t> </w:t>
      </w:r>
      <w:r>
        <w:rPr>
          <w:color w:val="231F20"/>
        </w:rPr>
        <w:t>fueron</w:t>
      </w:r>
      <w:r>
        <w:rPr>
          <w:color w:val="231F20"/>
          <w:spacing w:val="-6"/>
        </w:rPr>
        <w:t> </w:t>
      </w:r>
      <w:r>
        <w:rPr>
          <w:color w:val="231F20"/>
        </w:rPr>
        <w:t>absorbidos</w:t>
      </w:r>
      <w:r>
        <w:rPr>
          <w:color w:val="231F20"/>
          <w:spacing w:val="-6"/>
        </w:rPr>
        <w:t> </w:t>
      </w:r>
      <w:r>
        <w:rPr>
          <w:color w:val="231F20"/>
        </w:rPr>
        <w:t>por</w:t>
      </w:r>
      <w:r>
        <w:rPr>
          <w:color w:val="231F20"/>
          <w:spacing w:val="-6"/>
        </w:rPr>
        <w:t> </w:t>
      </w:r>
      <w:r>
        <w:rPr>
          <w:color w:val="231F20"/>
        </w:rPr>
        <w:t>los árboles en un nivel normal, siendo el Cu el que se encontró en niveles de normales a</w:t>
      </w:r>
      <w:r>
        <w:rPr>
          <w:color w:val="231F20"/>
          <w:spacing w:val="-10"/>
        </w:rPr>
        <w:t> </w:t>
      </w:r>
      <w:r>
        <w:rPr>
          <w:color w:val="231F20"/>
        </w:rPr>
        <w:t>altos.</w:t>
      </w:r>
    </w:p>
    <w:p>
      <w:pPr>
        <w:pStyle w:val="BodyText"/>
        <w:spacing w:before="10"/>
      </w:pPr>
    </w:p>
    <w:p>
      <w:pPr>
        <w:pStyle w:val="BodyText"/>
        <w:spacing w:line="247" w:lineRule="auto"/>
        <w:ind w:left="1270" w:right="1268"/>
        <w:jc w:val="both"/>
      </w:pPr>
      <w:r>
        <w:rPr>
          <w:color w:val="231F20"/>
        </w:rPr>
        <w:t>En</w:t>
      </w:r>
      <w:r>
        <w:rPr>
          <w:color w:val="231F20"/>
          <w:spacing w:val="-6"/>
        </w:rPr>
        <w:t> </w:t>
      </w:r>
      <w:r>
        <w:rPr>
          <w:color w:val="231F20"/>
        </w:rPr>
        <w:t>general</w:t>
      </w:r>
      <w:r>
        <w:rPr>
          <w:color w:val="231F20"/>
          <w:spacing w:val="-6"/>
        </w:rPr>
        <w:t> </w:t>
      </w:r>
      <w:r>
        <w:rPr>
          <w:color w:val="231F20"/>
        </w:rPr>
        <w:t>hubo</w:t>
      </w:r>
      <w:r>
        <w:rPr>
          <w:color w:val="231F20"/>
          <w:spacing w:val="-6"/>
        </w:rPr>
        <w:t> </w:t>
      </w:r>
      <w:r>
        <w:rPr>
          <w:color w:val="231F20"/>
        </w:rPr>
        <w:t>coincidencia</w:t>
      </w:r>
      <w:r>
        <w:rPr>
          <w:color w:val="231F20"/>
          <w:spacing w:val="-6"/>
        </w:rPr>
        <w:t> </w:t>
      </w:r>
      <w:r>
        <w:rPr>
          <w:color w:val="231F20"/>
        </w:rPr>
        <w:t>en</w:t>
      </w:r>
      <w:r>
        <w:rPr>
          <w:color w:val="231F20"/>
          <w:spacing w:val="-6"/>
        </w:rPr>
        <w:t> </w:t>
      </w:r>
      <w:r>
        <w:rPr>
          <w:color w:val="231F20"/>
        </w:rPr>
        <w:t>los</w:t>
      </w:r>
      <w:r>
        <w:rPr>
          <w:color w:val="231F20"/>
          <w:spacing w:val="-6"/>
        </w:rPr>
        <w:t> </w:t>
      </w:r>
      <w:r>
        <w:rPr>
          <w:color w:val="231F20"/>
        </w:rPr>
        <w:t>niveles</w:t>
      </w:r>
      <w:r>
        <w:rPr>
          <w:color w:val="231F20"/>
          <w:spacing w:val="-6"/>
        </w:rPr>
        <w:t> </w:t>
      </w:r>
      <w:r>
        <w:rPr>
          <w:color w:val="231F20"/>
        </w:rPr>
        <w:t>de</w:t>
      </w:r>
      <w:r>
        <w:rPr>
          <w:color w:val="231F20"/>
          <w:spacing w:val="-6"/>
        </w:rPr>
        <w:t> </w:t>
      </w:r>
      <w:r>
        <w:rPr>
          <w:color w:val="231F20"/>
        </w:rPr>
        <w:t>deficiencia</w:t>
      </w:r>
      <w:r>
        <w:rPr>
          <w:color w:val="231F20"/>
          <w:spacing w:val="-6"/>
        </w:rPr>
        <w:t> </w:t>
      </w:r>
      <w:r>
        <w:rPr>
          <w:color w:val="231F20"/>
        </w:rPr>
        <w:t>en</w:t>
      </w:r>
      <w:r>
        <w:rPr>
          <w:color w:val="231F20"/>
          <w:spacing w:val="-6"/>
        </w:rPr>
        <w:t> </w:t>
      </w:r>
      <w:r>
        <w:rPr>
          <w:color w:val="231F20"/>
        </w:rPr>
        <w:t>los</w:t>
      </w:r>
      <w:r>
        <w:rPr>
          <w:color w:val="231F20"/>
          <w:spacing w:val="-6"/>
        </w:rPr>
        <w:t> </w:t>
      </w:r>
      <w:r>
        <w:rPr>
          <w:color w:val="231F20"/>
        </w:rPr>
        <w:t>niveles</w:t>
      </w:r>
      <w:r>
        <w:rPr>
          <w:color w:val="231F20"/>
          <w:spacing w:val="-6"/>
        </w:rPr>
        <w:t> </w:t>
      </w:r>
      <w:r>
        <w:rPr>
          <w:color w:val="231F20"/>
        </w:rPr>
        <w:t>nutrimentales</w:t>
      </w:r>
      <w:r>
        <w:rPr>
          <w:color w:val="231F20"/>
          <w:spacing w:val="-6"/>
        </w:rPr>
        <w:t> </w:t>
      </w:r>
      <w:r>
        <w:rPr>
          <w:color w:val="231F20"/>
        </w:rPr>
        <w:t>del</w:t>
      </w:r>
      <w:r>
        <w:rPr>
          <w:color w:val="231F20"/>
          <w:spacing w:val="-6"/>
        </w:rPr>
        <w:t> </w:t>
      </w:r>
      <w:r>
        <w:rPr>
          <w:color w:val="231F20"/>
        </w:rPr>
        <w:t>suelo</w:t>
      </w:r>
      <w:r>
        <w:rPr>
          <w:color w:val="231F20"/>
          <w:spacing w:val="-6"/>
        </w:rPr>
        <w:t> </w:t>
      </w:r>
      <w:r>
        <w:rPr>
          <w:color w:val="231F20"/>
        </w:rPr>
        <w:t>con los determinados en el tejido vegetal de los árboles de eucalipto, con pequeñas variaciones debidas a la alta concentración de materia orgánica, la cual puede modificar las propiedades del suelo y en consecuencia la absorción de nutrientes por las</w:t>
      </w:r>
      <w:r>
        <w:rPr>
          <w:color w:val="231F20"/>
          <w:spacing w:val="-3"/>
        </w:rPr>
        <w:t> </w:t>
      </w:r>
      <w:r>
        <w:rPr>
          <w:color w:val="231F20"/>
        </w:rPr>
        <w:t>plantas.</w:t>
      </w:r>
    </w:p>
    <w:p>
      <w:pPr>
        <w:pStyle w:val="BodyText"/>
        <w:spacing w:before="9"/>
        <w:rPr>
          <w:sz w:val="22"/>
        </w:rPr>
      </w:pPr>
    </w:p>
    <w:p>
      <w:pPr>
        <w:pStyle w:val="Heading3"/>
      </w:pPr>
      <w:r>
        <w:rPr>
          <w:color w:val="010202"/>
        </w:rPr>
        <w:t>Literatura citada</w:t>
      </w:r>
    </w:p>
    <w:p>
      <w:pPr>
        <w:pStyle w:val="BodyText"/>
        <w:spacing w:before="7"/>
        <w:rPr>
          <w:b/>
        </w:rPr>
      </w:pPr>
    </w:p>
    <w:p>
      <w:pPr>
        <w:spacing w:before="0"/>
        <w:ind w:left="1270" w:right="0" w:firstLine="0"/>
        <w:jc w:val="both"/>
        <w:rPr>
          <w:sz w:val="19"/>
        </w:rPr>
      </w:pPr>
      <w:r>
        <w:rPr>
          <w:color w:val="231F20"/>
          <w:sz w:val="19"/>
        </w:rPr>
        <w:t>Aguirre G., A. 2001. Química de los suelos ácidos, templados y tropicales. FES-Cuatitlán-UNAM. Estado  de</w:t>
      </w:r>
    </w:p>
    <w:p>
      <w:pPr>
        <w:spacing w:before="9"/>
        <w:ind w:left="1270" w:right="0" w:firstLine="0"/>
        <w:jc w:val="both"/>
        <w:rPr>
          <w:sz w:val="19"/>
        </w:rPr>
      </w:pPr>
      <w:r>
        <w:rPr>
          <w:color w:val="231F20"/>
          <w:sz w:val="19"/>
        </w:rPr>
        <w:t>México, México.</w:t>
      </w:r>
    </w:p>
    <w:p>
      <w:pPr>
        <w:pStyle w:val="BodyText"/>
        <w:spacing w:before="7"/>
        <w:rPr>
          <w:sz w:val="20"/>
        </w:rPr>
      </w:pPr>
    </w:p>
    <w:p>
      <w:pPr>
        <w:spacing w:before="0"/>
        <w:ind w:left="1270" w:right="0" w:firstLine="0"/>
        <w:jc w:val="both"/>
        <w:rPr>
          <w:sz w:val="19"/>
        </w:rPr>
      </w:pPr>
      <w:r>
        <w:rPr>
          <w:color w:val="231F20"/>
          <w:sz w:val="19"/>
        </w:rPr>
        <w:t>Anckerman, R.L. (1980). Soil and plant analysis. Agricultural Laboratories. Memphis, Tenn., USA.</w:t>
      </w:r>
    </w:p>
    <w:p>
      <w:pPr>
        <w:pStyle w:val="BodyText"/>
        <w:spacing w:before="7"/>
        <w:rPr>
          <w:sz w:val="20"/>
        </w:rPr>
      </w:pPr>
    </w:p>
    <w:p>
      <w:pPr>
        <w:spacing w:line="249" w:lineRule="auto" w:before="0"/>
        <w:ind w:left="1270" w:right="1268" w:firstLine="0"/>
        <w:jc w:val="both"/>
        <w:rPr>
          <w:sz w:val="19"/>
        </w:rPr>
      </w:pPr>
      <w:r>
        <w:rPr>
          <w:color w:val="231F20"/>
          <w:sz w:val="19"/>
        </w:rPr>
        <w:t>Andrade,</w:t>
      </w:r>
      <w:r>
        <w:rPr>
          <w:color w:val="231F20"/>
          <w:spacing w:val="-9"/>
          <w:sz w:val="19"/>
        </w:rPr>
        <w:t> </w:t>
      </w:r>
      <w:r>
        <w:rPr>
          <w:color w:val="231F20"/>
          <w:sz w:val="19"/>
        </w:rPr>
        <w:t>S.C.;</w:t>
      </w:r>
      <w:r>
        <w:rPr>
          <w:color w:val="231F20"/>
          <w:spacing w:val="-9"/>
          <w:sz w:val="19"/>
        </w:rPr>
        <w:t> </w:t>
      </w:r>
      <w:r>
        <w:rPr>
          <w:color w:val="231F20"/>
          <w:sz w:val="19"/>
        </w:rPr>
        <w:t>N.</w:t>
      </w:r>
      <w:r>
        <w:rPr>
          <w:color w:val="231F20"/>
          <w:spacing w:val="-9"/>
          <w:sz w:val="19"/>
        </w:rPr>
        <w:t> </w:t>
      </w:r>
      <w:r>
        <w:rPr>
          <w:color w:val="231F20"/>
          <w:spacing w:val="-8"/>
          <w:sz w:val="19"/>
        </w:rPr>
        <w:t>F.</w:t>
      </w:r>
      <w:r>
        <w:rPr>
          <w:color w:val="231F20"/>
          <w:spacing w:val="-9"/>
          <w:sz w:val="19"/>
        </w:rPr>
        <w:t> </w:t>
      </w:r>
      <w:r>
        <w:rPr>
          <w:color w:val="231F20"/>
          <w:sz w:val="19"/>
        </w:rPr>
        <w:t>de</w:t>
      </w:r>
      <w:r>
        <w:rPr>
          <w:color w:val="231F20"/>
          <w:spacing w:val="-9"/>
          <w:sz w:val="19"/>
        </w:rPr>
        <w:t> </w:t>
      </w:r>
      <w:r>
        <w:rPr>
          <w:color w:val="231F20"/>
          <w:sz w:val="19"/>
        </w:rPr>
        <w:t>Barros.;</w:t>
      </w:r>
      <w:r>
        <w:rPr>
          <w:color w:val="231F20"/>
          <w:spacing w:val="-9"/>
          <w:sz w:val="19"/>
        </w:rPr>
        <w:t> </w:t>
      </w:r>
      <w:r>
        <w:rPr>
          <w:color w:val="231F20"/>
          <w:sz w:val="19"/>
        </w:rPr>
        <w:t>R.</w:t>
      </w:r>
      <w:r>
        <w:rPr>
          <w:color w:val="231F20"/>
          <w:spacing w:val="-9"/>
          <w:sz w:val="19"/>
        </w:rPr>
        <w:t> </w:t>
      </w:r>
      <w:r>
        <w:rPr>
          <w:color w:val="231F20"/>
          <w:sz w:val="19"/>
        </w:rPr>
        <w:t>Fereira.;</w:t>
      </w:r>
      <w:r>
        <w:rPr>
          <w:color w:val="231F20"/>
          <w:spacing w:val="-9"/>
          <w:sz w:val="19"/>
        </w:rPr>
        <w:t> </w:t>
      </w:r>
      <w:r>
        <w:rPr>
          <w:color w:val="231F20"/>
          <w:sz w:val="19"/>
        </w:rPr>
        <w:t>J.</w:t>
      </w:r>
      <w:r>
        <w:rPr>
          <w:color w:val="231F20"/>
          <w:spacing w:val="-9"/>
          <w:sz w:val="19"/>
        </w:rPr>
        <w:t> </w:t>
      </w:r>
      <w:r>
        <w:rPr>
          <w:color w:val="231F20"/>
          <w:sz w:val="19"/>
        </w:rPr>
        <w:t>L.</w:t>
      </w:r>
      <w:r>
        <w:rPr>
          <w:color w:val="231F20"/>
          <w:spacing w:val="-13"/>
          <w:sz w:val="19"/>
        </w:rPr>
        <w:t> </w:t>
      </w:r>
      <w:r>
        <w:rPr>
          <w:color w:val="231F20"/>
          <w:sz w:val="19"/>
        </w:rPr>
        <w:t>Teixeira</w:t>
      </w:r>
      <w:r>
        <w:rPr>
          <w:color w:val="231F20"/>
          <w:spacing w:val="-9"/>
          <w:sz w:val="19"/>
        </w:rPr>
        <w:t> </w:t>
      </w:r>
      <w:r>
        <w:rPr>
          <w:color w:val="231F20"/>
          <w:sz w:val="19"/>
        </w:rPr>
        <w:t>y</w:t>
      </w:r>
      <w:r>
        <w:rPr>
          <w:color w:val="231F20"/>
          <w:spacing w:val="-9"/>
          <w:sz w:val="19"/>
        </w:rPr>
        <w:t> </w:t>
      </w:r>
      <w:r>
        <w:rPr>
          <w:color w:val="231F20"/>
          <w:spacing w:val="-11"/>
          <w:sz w:val="19"/>
        </w:rPr>
        <w:t>P.</w:t>
      </w:r>
      <w:r>
        <w:rPr>
          <w:color w:val="231F20"/>
          <w:spacing w:val="-9"/>
          <w:sz w:val="19"/>
        </w:rPr>
        <w:t> </w:t>
      </w:r>
      <w:r>
        <w:rPr>
          <w:color w:val="231F20"/>
          <w:sz w:val="19"/>
        </w:rPr>
        <w:t>G.L.</w:t>
      </w:r>
      <w:r>
        <w:rPr>
          <w:color w:val="231F20"/>
          <w:spacing w:val="-9"/>
          <w:sz w:val="19"/>
        </w:rPr>
        <w:t> </w:t>
      </w:r>
      <w:r>
        <w:rPr>
          <w:color w:val="231F20"/>
          <w:sz w:val="19"/>
        </w:rPr>
        <w:t>Leal,</w:t>
      </w:r>
      <w:r>
        <w:rPr>
          <w:color w:val="231F20"/>
          <w:spacing w:val="-9"/>
          <w:sz w:val="19"/>
        </w:rPr>
        <w:t> </w:t>
      </w:r>
      <w:r>
        <w:rPr>
          <w:color w:val="231F20"/>
          <w:sz w:val="19"/>
        </w:rPr>
        <w:t>1995.</w:t>
      </w:r>
      <w:r>
        <w:rPr>
          <w:color w:val="231F20"/>
          <w:spacing w:val="-9"/>
          <w:sz w:val="19"/>
        </w:rPr>
        <w:t> </w:t>
      </w:r>
      <w:r>
        <w:rPr>
          <w:color w:val="231F20"/>
          <w:sz w:val="19"/>
        </w:rPr>
        <w:t>Exigencia</w:t>
      </w:r>
      <w:r>
        <w:rPr>
          <w:color w:val="231F20"/>
          <w:spacing w:val="-9"/>
          <w:sz w:val="19"/>
        </w:rPr>
        <w:t> </w:t>
      </w:r>
      <w:r>
        <w:rPr>
          <w:color w:val="231F20"/>
          <w:sz w:val="19"/>
        </w:rPr>
        <w:t>y</w:t>
      </w:r>
      <w:r>
        <w:rPr>
          <w:color w:val="231F20"/>
          <w:spacing w:val="-9"/>
          <w:sz w:val="19"/>
        </w:rPr>
        <w:t> </w:t>
      </w:r>
      <w:r>
        <w:rPr>
          <w:color w:val="231F20"/>
          <w:sz w:val="19"/>
        </w:rPr>
        <w:t>distribución</w:t>
      </w:r>
      <w:r>
        <w:rPr>
          <w:color w:val="231F20"/>
          <w:spacing w:val="-9"/>
          <w:sz w:val="19"/>
        </w:rPr>
        <w:t> </w:t>
      </w:r>
      <w:r>
        <w:rPr>
          <w:color w:val="231F20"/>
          <w:sz w:val="19"/>
        </w:rPr>
        <w:t>de</w:t>
      </w:r>
      <w:r>
        <w:rPr>
          <w:color w:val="231F20"/>
          <w:spacing w:val="-9"/>
          <w:sz w:val="19"/>
        </w:rPr>
        <w:t> </w:t>
      </w:r>
      <w:r>
        <w:rPr>
          <w:color w:val="231F20"/>
          <w:sz w:val="19"/>
        </w:rPr>
        <w:t>boro en plantas de eucalipto. Bosques. 16(1):53-59.</w:t>
      </w:r>
    </w:p>
    <w:p>
      <w:pPr>
        <w:pStyle w:val="BodyText"/>
        <w:spacing w:before="10"/>
        <w:rPr>
          <w:sz w:val="19"/>
        </w:rPr>
      </w:pPr>
    </w:p>
    <w:p>
      <w:pPr>
        <w:spacing w:line="249" w:lineRule="auto" w:before="0"/>
        <w:ind w:left="1270" w:right="1267" w:firstLine="0"/>
        <w:jc w:val="both"/>
        <w:rPr>
          <w:sz w:val="19"/>
        </w:rPr>
      </w:pPr>
      <w:r>
        <w:rPr>
          <w:color w:val="231F20"/>
          <w:sz w:val="19"/>
        </w:rPr>
        <w:t>Aparicio, J. L. 2001. Rendimiento y biomasa de Eucalyptus nitens con alternativas nutricionales para una silvicultura sustentable en un suelo rojo arcilloso. Tesis para optar al título de Maestría en Ciencias mención Silvicultura. Universidad Austral de chile. Facultad de ciencias forestales.</w:t>
      </w:r>
    </w:p>
    <w:p>
      <w:pPr>
        <w:pStyle w:val="BodyText"/>
        <w:spacing w:before="10"/>
        <w:rPr>
          <w:sz w:val="19"/>
        </w:rPr>
      </w:pPr>
    </w:p>
    <w:p>
      <w:pPr>
        <w:spacing w:line="249" w:lineRule="auto" w:before="0"/>
        <w:ind w:left="1270" w:right="1268" w:firstLine="0"/>
        <w:jc w:val="both"/>
        <w:rPr>
          <w:sz w:val="19"/>
        </w:rPr>
      </w:pPr>
      <w:r>
        <w:rPr>
          <w:color w:val="231F20"/>
          <w:sz w:val="19"/>
        </w:rPr>
        <w:t>Arruda, S. R., y E. Malavolta. 2001. Nutricao e adubacao potassica em Eucalyptus. Informaciones Agronómi- cas, POTAFOS. N 43. Encarte Técnico 91:1-10.</w:t>
      </w:r>
    </w:p>
    <w:p>
      <w:pPr>
        <w:pStyle w:val="BodyText"/>
        <w:spacing w:before="10"/>
        <w:rPr>
          <w:sz w:val="19"/>
        </w:rPr>
      </w:pPr>
    </w:p>
    <w:p>
      <w:pPr>
        <w:spacing w:before="0"/>
        <w:ind w:left="1270" w:right="0" w:firstLine="0"/>
        <w:jc w:val="both"/>
        <w:rPr>
          <w:sz w:val="19"/>
        </w:rPr>
      </w:pPr>
      <w:r>
        <w:rPr>
          <w:color w:val="231F20"/>
          <w:sz w:val="19"/>
        </w:rPr>
        <w:t>Azcón-Bieto, J. y Talón, M. (2008). Fundamentos de Fisiología Vegetal. Interamericana-McGraw-Hill, Madrid.</w:t>
      </w:r>
    </w:p>
    <w:p>
      <w:pPr>
        <w:spacing w:before="9"/>
        <w:ind w:left="1270" w:right="0" w:firstLine="0"/>
        <w:jc w:val="both"/>
        <w:rPr>
          <w:sz w:val="19"/>
        </w:rPr>
      </w:pPr>
      <w:r>
        <w:rPr>
          <w:color w:val="231F20"/>
          <w:sz w:val="19"/>
        </w:rPr>
        <w:t>España.</w:t>
      </w:r>
    </w:p>
    <w:p>
      <w:pPr>
        <w:pStyle w:val="BodyText"/>
        <w:spacing w:before="7"/>
        <w:rPr>
          <w:sz w:val="20"/>
        </w:rPr>
      </w:pPr>
    </w:p>
    <w:p>
      <w:pPr>
        <w:spacing w:line="249" w:lineRule="auto" w:before="0"/>
        <w:ind w:left="1270" w:right="1268" w:firstLine="0"/>
        <w:jc w:val="both"/>
        <w:rPr>
          <w:sz w:val="19"/>
        </w:rPr>
      </w:pPr>
      <w:r>
        <w:rPr>
          <w:color w:val="231F20"/>
          <w:sz w:val="19"/>
        </w:rPr>
        <w:t>Beaufils,</w:t>
      </w:r>
      <w:r>
        <w:rPr>
          <w:color w:val="231F20"/>
          <w:spacing w:val="-4"/>
          <w:sz w:val="19"/>
        </w:rPr>
        <w:t> </w:t>
      </w:r>
      <w:r>
        <w:rPr>
          <w:color w:val="231F20"/>
          <w:sz w:val="19"/>
        </w:rPr>
        <w:t>E.R.</w:t>
      </w:r>
      <w:r>
        <w:rPr>
          <w:color w:val="231F20"/>
          <w:spacing w:val="-4"/>
          <w:sz w:val="19"/>
        </w:rPr>
        <w:t> </w:t>
      </w:r>
      <w:r>
        <w:rPr>
          <w:color w:val="231F20"/>
          <w:sz w:val="19"/>
        </w:rPr>
        <w:t>1973.</w:t>
      </w:r>
      <w:r>
        <w:rPr>
          <w:color w:val="231F20"/>
          <w:spacing w:val="-4"/>
          <w:sz w:val="19"/>
        </w:rPr>
        <w:t> </w:t>
      </w:r>
      <w:r>
        <w:rPr>
          <w:color w:val="231F20"/>
          <w:sz w:val="19"/>
        </w:rPr>
        <w:t>Diagnosis</w:t>
      </w:r>
      <w:r>
        <w:rPr>
          <w:color w:val="231F20"/>
          <w:spacing w:val="-4"/>
          <w:sz w:val="19"/>
        </w:rPr>
        <w:t> </w:t>
      </w:r>
      <w:r>
        <w:rPr>
          <w:color w:val="231F20"/>
          <w:sz w:val="19"/>
        </w:rPr>
        <w:t>and</w:t>
      </w:r>
      <w:r>
        <w:rPr>
          <w:color w:val="231F20"/>
          <w:spacing w:val="-4"/>
          <w:sz w:val="19"/>
        </w:rPr>
        <w:t> </w:t>
      </w:r>
      <w:r>
        <w:rPr>
          <w:color w:val="231F20"/>
          <w:sz w:val="19"/>
        </w:rPr>
        <w:t>Recommendation</w:t>
      </w:r>
      <w:r>
        <w:rPr>
          <w:color w:val="231F20"/>
          <w:spacing w:val="-5"/>
          <w:sz w:val="19"/>
        </w:rPr>
        <w:t> </w:t>
      </w:r>
      <w:r>
        <w:rPr>
          <w:color w:val="231F20"/>
          <w:sz w:val="19"/>
        </w:rPr>
        <w:t>Integrated</w:t>
      </w:r>
      <w:r>
        <w:rPr>
          <w:color w:val="231F20"/>
          <w:spacing w:val="-4"/>
          <w:sz w:val="19"/>
        </w:rPr>
        <w:t> </w:t>
      </w:r>
      <w:r>
        <w:rPr>
          <w:color w:val="231F20"/>
          <w:sz w:val="19"/>
        </w:rPr>
        <w:t>System</w:t>
      </w:r>
      <w:r>
        <w:rPr>
          <w:color w:val="231F20"/>
          <w:spacing w:val="-4"/>
          <w:sz w:val="19"/>
        </w:rPr>
        <w:t> </w:t>
      </w:r>
      <w:r>
        <w:rPr>
          <w:color w:val="231F20"/>
          <w:sz w:val="19"/>
        </w:rPr>
        <w:t>(DRIS).</w:t>
      </w:r>
      <w:r>
        <w:rPr>
          <w:color w:val="231F20"/>
          <w:spacing w:val="-4"/>
          <w:sz w:val="19"/>
        </w:rPr>
        <w:t> </w:t>
      </w:r>
      <w:r>
        <w:rPr>
          <w:color w:val="231F20"/>
          <w:sz w:val="19"/>
        </w:rPr>
        <w:t>Pietermaritizburg,</w:t>
      </w:r>
      <w:r>
        <w:rPr>
          <w:color w:val="231F20"/>
          <w:spacing w:val="-4"/>
          <w:sz w:val="19"/>
        </w:rPr>
        <w:t> </w:t>
      </w:r>
      <w:r>
        <w:rPr>
          <w:color w:val="231F20"/>
          <w:sz w:val="19"/>
        </w:rPr>
        <w:t>University of Natal, South Africa. Soil Science Bulletin, 1.</w:t>
      </w:r>
      <w:r>
        <w:rPr>
          <w:color w:val="231F20"/>
          <w:spacing w:val="-11"/>
          <w:sz w:val="19"/>
        </w:rPr>
        <w:t> </w:t>
      </w:r>
      <w:r>
        <w:rPr>
          <w:color w:val="231F20"/>
          <w:sz w:val="19"/>
        </w:rPr>
        <w:t>132p.</w:t>
      </w:r>
    </w:p>
    <w:p>
      <w:pPr>
        <w:pStyle w:val="BodyText"/>
        <w:spacing w:before="10"/>
        <w:rPr>
          <w:sz w:val="19"/>
        </w:rPr>
      </w:pPr>
    </w:p>
    <w:p>
      <w:pPr>
        <w:spacing w:line="249" w:lineRule="auto" w:before="0"/>
        <w:ind w:left="1270" w:right="1268" w:firstLine="0"/>
        <w:jc w:val="both"/>
        <w:rPr>
          <w:sz w:val="19"/>
        </w:rPr>
      </w:pPr>
      <w:r>
        <w:rPr>
          <w:color w:val="231F20"/>
          <w:sz w:val="19"/>
        </w:rPr>
        <w:t>De Oliveira, J.B. 2008. Diagnosis nutricional de plantíos jóvenes de eucalipto en la región litoral do Espíritu Santo e sul da Bahia. Tesis para optar al título de Maestro en Ciencias. Viscosa. Minas Gerais. Brasil.</w:t>
      </w:r>
    </w:p>
    <w:p>
      <w:pPr>
        <w:pStyle w:val="BodyText"/>
        <w:spacing w:before="10"/>
        <w:rPr>
          <w:sz w:val="19"/>
        </w:rPr>
      </w:pPr>
    </w:p>
    <w:p>
      <w:pPr>
        <w:spacing w:line="249" w:lineRule="auto" w:before="0"/>
        <w:ind w:left="1270" w:right="1267" w:firstLine="0"/>
        <w:jc w:val="both"/>
        <w:rPr>
          <w:sz w:val="19"/>
        </w:rPr>
      </w:pPr>
      <w:r>
        <w:rPr>
          <w:color w:val="231F20"/>
          <w:sz w:val="19"/>
        </w:rPr>
        <w:t>González</w:t>
      </w:r>
      <w:r>
        <w:rPr>
          <w:color w:val="231F20"/>
          <w:spacing w:val="-10"/>
          <w:sz w:val="19"/>
        </w:rPr>
        <w:t> </w:t>
      </w:r>
      <w:r>
        <w:rPr>
          <w:color w:val="231F20"/>
          <w:sz w:val="19"/>
        </w:rPr>
        <w:t>E.,</w:t>
      </w:r>
      <w:r>
        <w:rPr>
          <w:color w:val="231F20"/>
          <w:spacing w:val="-10"/>
          <w:sz w:val="19"/>
        </w:rPr>
        <w:t> </w:t>
      </w:r>
      <w:r>
        <w:rPr>
          <w:color w:val="231F20"/>
          <w:spacing w:val="-7"/>
          <w:sz w:val="19"/>
        </w:rPr>
        <w:t>P.A.</w:t>
      </w:r>
      <w:r>
        <w:rPr>
          <w:color w:val="231F20"/>
          <w:spacing w:val="-10"/>
          <w:sz w:val="19"/>
        </w:rPr>
        <w:t> </w:t>
      </w:r>
      <w:r>
        <w:rPr>
          <w:color w:val="231F20"/>
          <w:sz w:val="19"/>
        </w:rPr>
        <w:t>1982.</w:t>
      </w:r>
      <w:r>
        <w:rPr>
          <w:color w:val="231F20"/>
          <w:spacing w:val="-10"/>
          <w:sz w:val="19"/>
        </w:rPr>
        <w:t> </w:t>
      </w:r>
      <w:r>
        <w:rPr>
          <w:color w:val="231F20"/>
          <w:sz w:val="19"/>
        </w:rPr>
        <w:t>Respuesta</w:t>
      </w:r>
      <w:r>
        <w:rPr>
          <w:color w:val="231F20"/>
          <w:spacing w:val="-10"/>
          <w:sz w:val="19"/>
        </w:rPr>
        <w:t> </w:t>
      </w:r>
      <w:r>
        <w:rPr>
          <w:color w:val="231F20"/>
          <w:sz w:val="19"/>
        </w:rPr>
        <w:t>de</w:t>
      </w:r>
      <w:r>
        <w:rPr>
          <w:color w:val="231F20"/>
          <w:spacing w:val="-10"/>
          <w:sz w:val="19"/>
        </w:rPr>
        <w:t> </w:t>
      </w:r>
      <w:r>
        <w:rPr>
          <w:color w:val="231F20"/>
          <w:sz w:val="19"/>
        </w:rPr>
        <w:t>plantaciones</w:t>
      </w:r>
      <w:r>
        <w:rPr>
          <w:color w:val="231F20"/>
          <w:spacing w:val="-10"/>
          <w:sz w:val="19"/>
        </w:rPr>
        <w:t> </w:t>
      </w:r>
      <w:r>
        <w:rPr>
          <w:color w:val="231F20"/>
          <w:sz w:val="19"/>
        </w:rPr>
        <w:t>de</w:t>
      </w:r>
      <w:r>
        <w:rPr>
          <w:color w:val="231F20"/>
          <w:spacing w:val="-10"/>
          <w:sz w:val="19"/>
        </w:rPr>
        <w:t> </w:t>
      </w:r>
      <w:r>
        <w:rPr>
          <w:color w:val="231F20"/>
          <w:sz w:val="19"/>
        </w:rPr>
        <w:t>Pinus</w:t>
      </w:r>
      <w:r>
        <w:rPr>
          <w:color w:val="231F20"/>
          <w:spacing w:val="-10"/>
          <w:sz w:val="19"/>
        </w:rPr>
        <w:t> </w:t>
      </w:r>
      <w:r>
        <w:rPr>
          <w:color w:val="231F20"/>
          <w:sz w:val="19"/>
        </w:rPr>
        <w:t>radiata</w:t>
      </w:r>
      <w:r>
        <w:rPr>
          <w:color w:val="231F20"/>
          <w:spacing w:val="-10"/>
          <w:sz w:val="19"/>
        </w:rPr>
        <w:t> </w:t>
      </w:r>
      <w:r>
        <w:rPr>
          <w:color w:val="231F20"/>
          <w:sz w:val="19"/>
        </w:rPr>
        <w:t>D.</w:t>
      </w:r>
      <w:r>
        <w:rPr>
          <w:color w:val="231F20"/>
          <w:spacing w:val="-10"/>
          <w:sz w:val="19"/>
        </w:rPr>
        <w:t> </w:t>
      </w:r>
      <w:r>
        <w:rPr>
          <w:color w:val="231F20"/>
          <w:sz w:val="19"/>
        </w:rPr>
        <w:t>Don</w:t>
      </w:r>
      <w:r>
        <w:rPr>
          <w:color w:val="231F20"/>
          <w:spacing w:val="-10"/>
          <w:sz w:val="19"/>
        </w:rPr>
        <w:t> </w:t>
      </w:r>
      <w:r>
        <w:rPr>
          <w:color w:val="231F20"/>
          <w:sz w:val="19"/>
        </w:rPr>
        <w:t>a</w:t>
      </w:r>
      <w:r>
        <w:rPr>
          <w:color w:val="231F20"/>
          <w:spacing w:val="-10"/>
          <w:sz w:val="19"/>
        </w:rPr>
        <w:t> </w:t>
      </w:r>
      <w:r>
        <w:rPr>
          <w:color w:val="231F20"/>
          <w:sz w:val="19"/>
        </w:rPr>
        <w:t>la</w:t>
      </w:r>
      <w:r>
        <w:rPr>
          <w:color w:val="231F20"/>
          <w:spacing w:val="-10"/>
          <w:sz w:val="19"/>
        </w:rPr>
        <w:t> </w:t>
      </w:r>
      <w:r>
        <w:rPr>
          <w:color w:val="231F20"/>
          <w:sz w:val="19"/>
        </w:rPr>
        <w:t>fertilización</w:t>
      </w:r>
      <w:r>
        <w:rPr>
          <w:color w:val="231F20"/>
          <w:spacing w:val="-10"/>
          <w:sz w:val="19"/>
        </w:rPr>
        <w:t> </w:t>
      </w:r>
      <w:r>
        <w:rPr>
          <w:color w:val="231F20"/>
          <w:sz w:val="19"/>
        </w:rPr>
        <w:t>con</w:t>
      </w:r>
      <w:r>
        <w:rPr>
          <w:color w:val="231F20"/>
          <w:spacing w:val="-10"/>
          <w:sz w:val="19"/>
        </w:rPr>
        <w:t> </w:t>
      </w:r>
      <w:r>
        <w:rPr>
          <w:color w:val="231F20"/>
          <w:sz w:val="19"/>
        </w:rPr>
        <w:t>boro,</w:t>
      </w:r>
      <w:r>
        <w:rPr>
          <w:color w:val="231F20"/>
          <w:spacing w:val="-10"/>
          <w:sz w:val="19"/>
        </w:rPr>
        <w:t> </w:t>
      </w:r>
      <w:r>
        <w:rPr>
          <w:color w:val="231F20"/>
          <w:sz w:val="19"/>
        </w:rPr>
        <w:t>en</w:t>
      </w:r>
      <w:r>
        <w:rPr>
          <w:color w:val="231F20"/>
          <w:spacing w:val="-10"/>
          <w:sz w:val="19"/>
        </w:rPr>
        <w:t> </w:t>
      </w:r>
      <w:r>
        <w:rPr>
          <w:color w:val="231F20"/>
          <w:sz w:val="19"/>
        </w:rPr>
        <w:t>la</w:t>
      </w:r>
      <w:r>
        <w:rPr>
          <w:color w:val="231F20"/>
          <w:spacing w:val="-10"/>
          <w:sz w:val="19"/>
        </w:rPr>
        <w:t> </w:t>
      </w:r>
      <w:r>
        <w:rPr>
          <w:color w:val="231F20"/>
          <w:sz w:val="19"/>
        </w:rPr>
        <w:t>pro- vincia</w:t>
      </w:r>
      <w:r>
        <w:rPr>
          <w:color w:val="231F20"/>
          <w:spacing w:val="-14"/>
          <w:sz w:val="19"/>
        </w:rPr>
        <w:t> </w:t>
      </w:r>
      <w:r>
        <w:rPr>
          <w:color w:val="231F20"/>
          <w:sz w:val="19"/>
        </w:rPr>
        <w:t>de</w:t>
      </w:r>
      <w:r>
        <w:rPr>
          <w:color w:val="231F20"/>
          <w:spacing w:val="-14"/>
          <w:sz w:val="19"/>
        </w:rPr>
        <w:t> </w:t>
      </w:r>
      <w:r>
        <w:rPr>
          <w:color w:val="231F20"/>
          <w:sz w:val="19"/>
        </w:rPr>
        <w:t>Malleco,</w:t>
      </w:r>
      <w:r>
        <w:rPr>
          <w:color w:val="231F20"/>
          <w:spacing w:val="-14"/>
          <w:sz w:val="19"/>
        </w:rPr>
        <w:t> </w:t>
      </w:r>
      <w:r>
        <w:rPr>
          <w:color w:val="231F20"/>
          <w:sz w:val="19"/>
        </w:rPr>
        <w:t>IX</w:t>
      </w:r>
      <w:r>
        <w:rPr>
          <w:color w:val="231F20"/>
          <w:spacing w:val="-14"/>
          <w:sz w:val="19"/>
        </w:rPr>
        <w:t> </w:t>
      </w:r>
      <w:r>
        <w:rPr>
          <w:color w:val="231F20"/>
          <w:sz w:val="19"/>
        </w:rPr>
        <w:t>Región.</w:t>
      </w:r>
      <w:r>
        <w:rPr>
          <w:color w:val="231F20"/>
          <w:spacing w:val="-16"/>
          <w:sz w:val="19"/>
        </w:rPr>
        <w:t> </w:t>
      </w:r>
      <w:r>
        <w:rPr>
          <w:color w:val="231F20"/>
          <w:spacing w:val="-5"/>
          <w:sz w:val="19"/>
        </w:rPr>
        <w:t>Tesis</w:t>
      </w:r>
      <w:r>
        <w:rPr>
          <w:color w:val="231F20"/>
          <w:spacing w:val="-14"/>
          <w:sz w:val="19"/>
        </w:rPr>
        <w:t> </w:t>
      </w:r>
      <w:r>
        <w:rPr>
          <w:color w:val="231F20"/>
          <w:sz w:val="19"/>
        </w:rPr>
        <w:t>Ing.</w:t>
      </w:r>
      <w:r>
        <w:rPr>
          <w:color w:val="231F20"/>
          <w:spacing w:val="-14"/>
          <w:sz w:val="19"/>
        </w:rPr>
        <w:t> </w:t>
      </w:r>
      <w:r>
        <w:rPr>
          <w:color w:val="231F20"/>
          <w:spacing w:val="-5"/>
          <w:sz w:val="19"/>
        </w:rPr>
        <w:t>For.</w:t>
      </w:r>
      <w:r>
        <w:rPr>
          <w:color w:val="231F20"/>
          <w:spacing w:val="-16"/>
          <w:sz w:val="19"/>
        </w:rPr>
        <w:t> </w:t>
      </w:r>
      <w:r>
        <w:rPr>
          <w:color w:val="231F20"/>
          <w:spacing w:val="-5"/>
          <w:sz w:val="19"/>
        </w:rPr>
        <w:t>Valdivia,</w:t>
      </w:r>
      <w:r>
        <w:rPr>
          <w:color w:val="231F20"/>
          <w:spacing w:val="-14"/>
          <w:sz w:val="19"/>
        </w:rPr>
        <w:t> </w:t>
      </w:r>
      <w:r>
        <w:rPr>
          <w:color w:val="231F20"/>
          <w:sz w:val="19"/>
        </w:rPr>
        <w:t>Universidad</w:t>
      </w:r>
      <w:r>
        <w:rPr>
          <w:color w:val="231F20"/>
          <w:spacing w:val="-22"/>
          <w:sz w:val="19"/>
        </w:rPr>
        <w:t> </w:t>
      </w:r>
      <w:r>
        <w:rPr>
          <w:color w:val="231F20"/>
          <w:sz w:val="19"/>
        </w:rPr>
        <w:t>Austral</w:t>
      </w:r>
      <w:r>
        <w:rPr>
          <w:color w:val="231F20"/>
          <w:spacing w:val="-14"/>
          <w:sz w:val="19"/>
        </w:rPr>
        <w:t> </w:t>
      </w:r>
      <w:r>
        <w:rPr>
          <w:color w:val="231F20"/>
          <w:sz w:val="19"/>
        </w:rPr>
        <w:t>de</w:t>
      </w:r>
      <w:r>
        <w:rPr>
          <w:color w:val="231F20"/>
          <w:spacing w:val="-14"/>
          <w:sz w:val="19"/>
        </w:rPr>
        <w:t> </w:t>
      </w:r>
      <w:r>
        <w:rPr>
          <w:color w:val="231F20"/>
          <w:sz w:val="19"/>
        </w:rPr>
        <w:t>Chile,</w:t>
      </w:r>
      <w:r>
        <w:rPr>
          <w:color w:val="231F20"/>
          <w:spacing w:val="-14"/>
          <w:sz w:val="19"/>
        </w:rPr>
        <w:t> </w:t>
      </w:r>
      <w:r>
        <w:rPr>
          <w:color w:val="231F20"/>
          <w:sz w:val="19"/>
        </w:rPr>
        <w:t>Fac.</w:t>
      </w:r>
      <w:r>
        <w:rPr>
          <w:color w:val="231F20"/>
          <w:spacing w:val="-14"/>
          <w:sz w:val="19"/>
        </w:rPr>
        <w:t> </w:t>
      </w:r>
      <w:r>
        <w:rPr>
          <w:color w:val="231F20"/>
          <w:sz w:val="19"/>
        </w:rPr>
        <w:t>de</w:t>
      </w:r>
      <w:r>
        <w:rPr>
          <w:color w:val="231F20"/>
          <w:spacing w:val="-14"/>
          <w:sz w:val="19"/>
        </w:rPr>
        <w:t> </w:t>
      </w:r>
      <w:r>
        <w:rPr>
          <w:color w:val="231F20"/>
          <w:sz w:val="19"/>
        </w:rPr>
        <w:t>Cs.</w:t>
      </w:r>
      <w:r>
        <w:rPr>
          <w:color w:val="231F20"/>
          <w:spacing w:val="-14"/>
          <w:sz w:val="19"/>
        </w:rPr>
        <w:t> </w:t>
      </w:r>
      <w:r>
        <w:rPr>
          <w:color w:val="231F20"/>
          <w:sz w:val="19"/>
        </w:rPr>
        <w:t>Forestales.</w:t>
      </w:r>
      <w:r>
        <w:rPr>
          <w:color w:val="231F20"/>
          <w:spacing w:val="-14"/>
          <w:sz w:val="19"/>
        </w:rPr>
        <w:t> </w:t>
      </w:r>
      <w:r>
        <w:rPr>
          <w:color w:val="231F20"/>
          <w:sz w:val="19"/>
        </w:rPr>
        <w:t>55</w:t>
      </w:r>
      <w:r>
        <w:rPr>
          <w:color w:val="231F20"/>
          <w:spacing w:val="-14"/>
          <w:sz w:val="19"/>
        </w:rPr>
        <w:t> </w:t>
      </w:r>
      <w:r>
        <w:rPr>
          <w:color w:val="231F20"/>
          <w:sz w:val="19"/>
        </w:rPr>
        <w:t>p.</w:t>
      </w:r>
    </w:p>
    <w:p>
      <w:pPr>
        <w:pStyle w:val="BodyText"/>
        <w:spacing w:before="10"/>
        <w:rPr>
          <w:sz w:val="19"/>
        </w:rPr>
      </w:pPr>
    </w:p>
    <w:p>
      <w:pPr>
        <w:spacing w:line="249" w:lineRule="auto" w:before="0"/>
        <w:ind w:left="1270" w:right="1268" w:firstLine="0"/>
        <w:jc w:val="both"/>
        <w:rPr>
          <w:sz w:val="19"/>
        </w:rPr>
      </w:pPr>
      <w:r>
        <w:rPr>
          <w:color w:val="231F20"/>
          <w:sz w:val="19"/>
        </w:rPr>
        <w:t>Hu, H.; </w:t>
      </w:r>
      <w:r>
        <w:rPr>
          <w:color w:val="231F20"/>
          <w:spacing w:val="-11"/>
          <w:sz w:val="19"/>
        </w:rPr>
        <w:t>P. </w:t>
      </w:r>
      <w:r>
        <w:rPr>
          <w:color w:val="231F20"/>
          <w:sz w:val="19"/>
        </w:rPr>
        <w:t>H. Brown y J.M. Labavitch. 1996. Variabilidad de especies en los requisitos de boro se</w:t>
      </w:r>
      <w:r>
        <w:rPr>
          <w:color w:val="231F20"/>
          <w:spacing w:val="-15"/>
          <w:sz w:val="19"/>
        </w:rPr>
        <w:t> </w:t>
      </w:r>
      <w:r>
        <w:rPr>
          <w:color w:val="231F20"/>
          <w:sz w:val="19"/>
        </w:rPr>
        <w:t>correlaciona con la pectina de la pared celular. Revista de Botánica Experimental,</w:t>
      </w:r>
      <w:r>
        <w:rPr>
          <w:color w:val="231F20"/>
          <w:spacing w:val="-10"/>
          <w:sz w:val="19"/>
        </w:rPr>
        <w:t> </w:t>
      </w:r>
      <w:r>
        <w:rPr>
          <w:color w:val="231F20"/>
          <w:sz w:val="19"/>
        </w:rPr>
        <w:t>47:227-232.</w:t>
      </w:r>
    </w:p>
    <w:p>
      <w:pPr>
        <w:pStyle w:val="BodyText"/>
        <w:spacing w:before="10"/>
        <w:rPr>
          <w:sz w:val="19"/>
        </w:rPr>
      </w:pPr>
    </w:p>
    <w:p>
      <w:pPr>
        <w:spacing w:line="249" w:lineRule="auto" w:before="0"/>
        <w:ind w:left="1270" w:right="1267" w:firstLine="0"/>
        <w:jc w:val="both"/>
        <w:rPr>
          <w:sz w:val="19"/>
        </w:rPr>
      </w:pPr>
      <w:r>
        <w:rPr>
          <w:color w:val="231F20"/>
          <w:sz w:val="19"/>
        </w:rPr>
        <w:t>INAFED.</w:t>
      </w:r>
      <w:r>
        <w:rPr>
          <w:color w:val="231F20"/>
          <w:spacing w:val="-2"/>
          <w:sz w:val="19"/>
        </w:rPr>
        <w:t> </w:t>
      </w:r>
      <w:r>
        <w:rPr>
          <w:color w:val="231F20"/>
          <w:sz w:val="19"/>
        </w:rPr>
        <w:t>2005a.</w:t>
      </w:r>
      <w:r>
        <w:rPr>
          <w:color w:val="231F20"/>
          <w:spacing w:val="-2"/>
          <w:sz w:val="19"/>
        </w:rPr>
        <w:t> </w:t>
      </w:r>
      <w:r>
        <w:rPr>
          <w:color w:val="231F20"/>
          <w:sz w:val="19"/>
        </w:rPr>
        <w:t>Huimanguillo,</w:t>
      </w:r>
      <w:r>
        <w:rPr>
          <w:color w:val="231F20"/>
          <w:spacing w:val="-3"/>
          <w:sz w:val="19"/>
        </w:rPr>
        <w:t> </w:t>
      </w:r>
      <w:r>
        <w:rPr>
          <w:color w:val="231F20"/>
          <w:sz w:val="19"/>
        </w:rPr>
        <w:t>Enciclopedia</w:t>
      </w:r>
      <w:r>
        <w:rPr>
          <w:color w:val="231F20"/>
          <w:spacing w:val="-3"/>
          <w:sz w:val="19"/>
        </w:rPr>
        <w:t> </w:t>
      </w:r>
      <w:r>
        <w:rPr>
          <w:color w:val="231F20"/>
          <w:sz w:val="19"/>
        </w:rPr>
        <w:t>de</w:t>
      </w:r>
      <w:r>
        <w:rPr>
          <w:color w:val="231F20"/>
          <w:spacing w:val="-3"/>
          <w:sz w:val="19"/>
        </w:rPr>
        <w:t> </w:t>
      </w:r>
      <w:r>
        <w:rPr>
          <w:color w:val="231F20"/>
          <w:sz w:val="19"/>
        </w:rPr>
        <w:t>los</w:t>
      </w:r>
      <w:r>
        <w:rPr>
          <w:color w:val="231F20"/>
          <w:spacing w:val="-3"/>
          <w:sz w:val="19"/>
        </w:rPr>
        <w:t> </w:t>
      </w:r>
      <w:r>
        <w:rPr>
          <w:color w:val="231F20"/>
          <w:sz w:val="19"/>
        </w:rPr>
        <w:t>Municipios</w:t>
      </w:r>
      <w:r>
        <w:rPr>
          <w:color w:val="231F20"/>
          <w:spacing w:val="-3"/>
          <w:sz w:val="19"/>
        </w:rPr>
        <w:t> </w:t>
      </w:r>
      <w:r>
        <w:rPr>
          <w:color w:val="231F20"/>
          <w:sz w:val="19"/>
        </w:rPr>
        <w:t>de</w:t>
      </w:r>
      <w:r>
        <w:rPr>
          <w:color w:val="231F20"/>
          <w:spacing w:val="-3"/>
          <w:sz w:val="19"/>
        </w:rPr>
        <w:t> </w:t>
      </w:r>
      <w:r>
        <w:rPr>
          <w:color w:val="231F20"/>
          <w:sz w:val="19"/>
        </w:rPr>
        <w:t>México.</w:t>
      </w:r>
      <w:r>
        <w:rPr>
          <w:color w:val="231F20"/>
          <w:spacing w:val="-3"/>
          <w:sz w:val="19"/>
        </w:rPr>
        <w:t> </w:t>
      </w:r>
      <w:r>
        <w:rPr>
          <w:color w:val="231F20"/>
          <w:sz w:val="19"/>
        </w:rPr>
        <w:t>Instituto</w:t>
      </w:r>
      <w:r>
        <w:rPr>
          <w:color w:val="231F20"/>
          <w:spacing w:val="-3"/>
          <w:sz w:val="19"/>
        </w:rPr>
        <w:t> </w:t>
      </w:r>
      <w:r>
        <w:rPr>
          <w:color w:val="231F20"/>
          <w:sz w:val="19"/>
        </w:rPr>
        <w:t>Nacional</w:t>
      </w:r>
      <w:r>
        <w:rPr>
          <w:color w:val="231F20"/>
          <w:spacing w:val="-3"/>
          <w:sz w:val="19"/>
        </w:rPr>
        <w:t> </w:t>
      </w:r>
      <w:r>
        <w:rPr>
          <w:color w:val="231F20"/>
          <w:sz w:val="19"/>
        </w:rPr>
        <w:t>para</w:t>
      </w:r>
      <w:r>
        <w:rPr>
          <w:color w:val="231F20"/>
          <w:spacing w:val="-3"/>
          <w:sz w:val="19"/>
        </w:rPr>
        <w:t> </w:t>
      </w:r>
      <w:r>
        <w:rPr>
          <w:color w:val="231F20"/>
          <w:sz w:val="19"/>
        </w:rPr>
        <w:t>el</w:t>
      </w:r>
      <w:r>
        <w:rPr>
          <w:color w:val="231F20"/>
          <w:spacing w:val="-3"/>
          <w:sz w:val="19"/>
        </w:rPr>
        <w:t> </w:t>
      </w:r>
      <w:r>
        <w:rPr>
          <w:color w:val="231F20"/>
          <w:sz w:val="19"/>
        </w:rPr>
        <w:t>Federa- lismo</w:t>
      </w:r>
      <w:r>
        <w:rPr>
          <w:color w:val="231F20"/>
          <w:spacing w:val="-4"/>
          <w:sz w:val="19"/>
        </w:rPr>
        <w:t> </w:t>
      </w:r>
      <w:r>
        <w:rPr>
          <w:color w:val="231F20"/>
          <w:sz w:val="19"/>
        </w:rPr>
        <w:t>y</w:t>
      </w:r>
      <w:r>
        <w:rPr>
          <w:color w:val="231F20"/>
          <w:spacing w:val="-4"/>
          <w:sz w:val="19"/>
        </w:rPr>
        <w:t> </w:t>
      </w:r>
      <w:r>
        <w:rPr>
          <w:color w:val="231F20"/>
          <w:sz w:val="19"/>
        </w:rPr>
        <w:t>el</w:t>
      </w:r>
      <w:r>
        <w:rPr>
          <w:color w:val="231F20"/>
          <w:spacing w:val="-4"/>
          <w:sz w:val="19"/>
        </w:rPr>
        <w:t> </w:t>
      </w:r>
      <w:r>
        <w:rPr>
          <w:color w:val="231F20"/>
          <w:sz w:val="19"/>
        </w:rPr>
        <w:t>Desarrollo</w:t>
      </w:r>
      <w:r>
        <w:rPr>
          <w:color w:val="231F20"/>
          <w:spacing w:val="-4"/>
          <w:sz w:val="19"/>
        </w:rPr>
        <w:t> </w:t>
      </w:r>
      <w:r>
        <w:rPr>
          <w:color w:val="231F20"/>
          <w:sz w:val="19"/>
        </w:rPr>
        <w:t>Municipal,</w:t>
      </w:r>
      <w:r>
        <w:rPr>
          <w:color w:val="231F20"/>
          <w:spacing w:val="-4"/>
          <w:sz w:val="19"/>
        </w:rPr>
        <w:t> </w:t>
      </w:r>
      <w:r>
        <w:rPr>
          <w:color w:val="231F20"/>
          <w:sz w:val="19"/>
        </w:rPr>
        <w:t>Gobierno</w:t>
      </w:r>
      <w:r>
        <w:rPr>
          <w:color w:val="231F20"/>
          <w:spacing w:val="-4"/>
          <w:sz w:val="19"/>
        </w:rPr>
        <w:t> </w:t>
      </w:r>
      <w:r>
        <w:rPr>
          <w:color w:val="231F20"/>
          <w:sz w:val="19"/>
        </w:rPr>
        <w:t>del</w:t>
      </w:r>
      <w:r>
        <w:rPr>
          <w:color w:val="231F20"/>
          <w:spacing w:val="-4"/>
          <w:sz w:val="19"/>
        </w:rPr>
        <w:t> </w:t>
      </w:r>
      <w:r>
        <w:rPr>
          <w:color w:val="231F20"/>
          <w:sz w:val="19"/>
        </w:rPr>
        <w:t>Estado</w:t>
      </w:r>
      <w:r>
        <w:rPr>
          <w:color w:val="231F20"/>
          <w:spacing w:val="-4"/>
          <w:sz w:val="19"/>
        </w:rPr>
        <w:t> </w:t>
      </w:r>
      <w:r>
        <w:rPr>
          <w:color w:val="231F20"/>
          <w:sz w:val="19"/>
        </w:rPr>
        <w:t>de</w:t>
      </w:r>
      <w:r>
        <w:rPr>
          <w:color w:val="231F20"/>
          <w:spacing w:val="-8"/>
          <w:sz w:val="19"/>
        </w:rPr>
        <w:t> </w:t>
      </w:r>
      <w:r>
        <w:rPr>
          <w:color w:val="231F20"/>
          <w:sz w:val="19"/>
        </w:rPr>
        <w:t>Tabasco.</w:t>
      </w:r>
      <w:r>
        <w:rPr>
          <w:color w:val="231F20"/>
          <w:spacing w:val="-4"/>
          <w:sz w:val="19"/>
        </w:rPr>
        <w:t> </w:t>
      </w:r>
      <w:hyperlink r:id="rId66">
        <w:r>
          <w:rPr>
            <w:color w:val="231F20"/>
            <w:sz w:val="19"/>
          </w:rPr>
          <w:t>http://www.e-local.gob.mx/work/templates/</w:t>
        </w:r>
      </w:hyperlink>
      <w:r>
        <w:rPr>
          <w:color w:val="231F20"/>
          <w:sz w:val="19"/>
        </w:rPr>
        <w:t> enciclo/tabasco/mpios/27008a.htm</w:t>
      </w:r>
      <w:r>
        <w:rPr>
          <w:color w:val="231F20"/>
          <w:spacing w:val="-16"/>
          <w:sz w:val="19"/>
        </w:rPr>
        <w:t> </w:t>
      </w:r>
      <w:r>
        <w:rPr>
          <w:color w:val="231F20"/>
          <w:sz w:val="19"/>
        </w:rPr>
        <w:t>(28/11/2011).</w:t>
      </w:r>
    </w:p>
    <w:p>
      <w:pPr>
        <w:spacing w:after="0" w:line="249" w:lineRule="auto"/>
        <w:jc w:val="both"/>
        <w:rPr>
          <w:sz w:val="19"/>
        </w:rPr>
        <w:sectPr>
          <w:pgSz w:w="10920" w:h="13080"/>
          <w:pgMar w:header="0" w:footer="1025" w:top="420" w:bottom="1220" w:left="0" w:right="0"/>
        </w:sectPr>
      </w:pPr>
    </w:p>
    <w:p>
      <w:pPr>
        <w:pStyle w:val="BodyText"/>
        <w:rPr>
          <w:sz w:val="20"/>
        </w:rPr>
      </w:pPr>
    </w:p>
    <w:p>
      <w:pPr>
        <w:pStyle w:val="BodyText"/>
        <w:rPr>
          <w:sz w:val="20"/>
        </w:rPr>
      </w:pPr>
    </w:p>
    <w:p>
      <w:pPr>
        <w:pStyle w:val="BodyText"/>
        <w:spacing w:before="2"/>
        <w:rPr>
          <w:sz w:val="23"/>
        </w:rPr>
      </w:pPr>
    </w:p>
    <w:p>
      <w:pPr>
        <w:spacing w:before="76"/>
        <w:ind w:left="1270" w:right="0" w:firstLine="0"/>
        <w:jc w:val="both"/>
        <w:rPr>
          <w:sz w:val="19"/>
        </w:rPr>
      </w:pPr>
      <w:r>
        <w:rPr>
          <w:color w:val="231F20"/>
          <w:sz w:val="19"/>
        </w:rPr>
        <w:t>Kenworthy, A. L. 1961. Interpreting the balance of nutrient-elements in leaves of fruit trees. In:   REUTHER,</w:t>
      </w:r>
    </w:p>
    <w:p>
      <w:pPr>
        <w:pStyle w:val="ListParagraph"/>
        <w:numPr>
          <w:ilvl w:val="0"/>
          <w:numId w:val="4"/>
        </w:numPr>
        <w:tabs>
          <w:tab w:pos="1528" w:val="left" w:leader="none"/>
        </w:tabs>
        <w:spacing w:line="240" w:lineRule="auto" w:before="9" w:after="0"/>
        <w:ind w:left="1527" w:right="0" w:hanging="257"/>
        <w:jc w:val="both"/>
        <w:rPr>
          <w:sz w:val="19"/>
        </w:rPr>
      </w:pPr>
      <w:r>
        <w:rPr>
          <w:color w:val="231F20"/>
          <w:sz w:val="19"/>
        </w:rPr>
        <w:t>Plant</w:t>
      </w:r>
      <w:r>
        <w:rPr>
          <w:color w:val="231F20"/>
          <w:spacing w:val="-12"/>
          <w:sz w:val="19"/>
        </w:rPr>
        <w:t> </w:t>
      </w:r>
      <w:r>
        <w:rPr>
          <w:color w:val="231F20"/>
          <w:sz w:val="19"/>
        </w:rPr>
        <w:t>Analysis</w:t>
      </w:r>
      <w:r>
        <w:rPr>
          <w:color w:val="231F20"/>
          <w:spacing w:val="-2"/>
          <w:sz w:val="19"/>
        </w:rPr>
        <w:t> </w:t>
      </w:r>
      <w:r>
        <w:rPr>
          <w:color w:val="231F20"/>
          <w:sz w:val="19"/>
        </w:rPr>
        <w:t>and</w:t>
      </w:r>
      <w:r>
        <w:rPr>
          <w:color w:val="231F20"/>
          <w:spacing w:val="-2"/>
          <w:sz w:val="19"/>
        </w:rPr>
        <w:t> </w:t>
      </w:r>
      <w:r>
        <w:rPr>
          <w:color w:val="231F20"/>
          <w:sz w:val="19"/>
        </w:rPr>
        <w:t>fertilizers</w:t>
      </w:r>
      <w:r>
        <w:rPr>
          <w:color w:val="231F20"/>
          <w:spacing w:val="-2"/>
          <w:sz w:val="19"/>
        </w:rPr>
        <w:t> </w:t>
      </w:r>
      <w:r>
        <w:rPr>
          <w:color w:val="231F20"/>
          <w:sz w:val="19"/>
        </w:rPr>
        <w:t>problems.</w:t>
      </w:r>
      <w:r>
        <w:rPr>
          <w:color w:val="231F20"/>
          <w:spacing w:val="-6"/>
          <w:sz w:val="19"/>
        </w:rPr>
        <w:t> </w:t>
      </w:r>
      <w:r>
        <w:rPr>
          <w:color w:val="231F20"/>
          <w:sz w:val="19"/>
        </w:rPr>
        <w:t>Washington,</w:t>
      </w:r>
      <w:r>
        <w:rPr>
          <w:color w:val="231F20"/>
          <w:spacing w:val="-12"/>
          <w:sz w:val="19"/>
        </w:rPr>
        <w:t> </w:t>
      </w:r>
      <w:r>
        <w:rPr>
          <w:color w:val="231F20"/>
          <w:sz w:val="19"/>
        </w:rPr>
        <w:t>American</w:t>
      </w:r>
      <w:r>
        <w:rPr>
          <w:color w:val="231F20"/>
          <w:spacing w:val="-2"/>
          <w:sz w:val="19"/>
        </w:rPr>
        <w:t> </w:t>
      </w:r>
      <w:r>
        <w:rPr>
          <w:color w:val="231F20"/>
          <w:sz w:val="19"/>
        </w:rPr>
        <w:t>Institute</w:t>
      </w:r>
      <w:r>
        <w:rPr>
          <w:color w:val="231F20"/>
          <w:spacing w:val="-2"/>
          <w:sz w:val="19"/>
        </w:rPr>
        <w:t> </w:t>
      </w:r>
      <w:r>
        <w:rPr>
          <w:color w:val="231F20"/>
          <w:sz w:val="19"/>
        </w:rPr>
        <w:t>of</w:t>
      </w:r>
      <w:r>
        <w:rPr>
          <w:color w:val="231F20"/>
          <w:spacing w:val="-2"/>
          <w:sz w:val="19"/>
        </w:rPr>
        <w:t> </w:t>
      </w:r>
      <w:r>
        <w:rPr>
          <w:color w:val="231F20"/>
          <w:sz w:val="19"/>
        </w:rPr>
        <w:t>Biological</w:t>
      </w:r>
      <w:r>
        <w:rPr>
          <w:color w:val="231F20"/>
          <w:spacing w:val="-2"/>
          <w:sz w:val="19"/>
        </w:rPr>
        <w:t> </w:t>
      </w:r>
      <w:r>
        <w:rPr>
          <w:color w:val="231F20"/>
          <w:sz w:val="19"/>
        </w:rPr>
        <w:t>Science.</w:t>
      </w:r>
      <w:r>
        <w:rPr>
          <w:color w:val="231F20"/>
          <w:spacing w:val="-2"/>
          <w:sz w:val="19"/>
        </w:rPr>
        <w:t> </w:t>
      </w:r>
      <w:r>
        <w:rPr>
          <w:color w:val="231F20"/>
          <w:sz w:val="19"/>
        </w:rPr>
        <w:t>28</w:t>
      </w:r>
      <w:r>
        <w:rPr>
          <w:color w:val="231F20"/>
          <w:spacing w:val="-2"/>
          <w:sz w:val="19"/>
        </w:rPr>
        <w:t> </w:t>
      </w:r>
      <w:r>
        <w:rPr>
          <w:color w:val="231F20"/>
          <w:sz w:val="19"/>
        </w:rPr>
        <w:t>–</w:t>
      </w:r>
      <w:r>
        <w:rPr>
          <w:color w:val="231F20"/>
          <w:spacing w:val="-2"/>
          <w:sz w:val="19"/>
        </w:rPr>
        <w:t> </w:t>
      </w:r>
      <w:r>
        <w:rPr>
          <w:color w:val="231F20"/>
          <w:sz w:val="19"/>
        </w:rPr>
        <w:t>43p.</w:t>
      </w:r>
    </w:p>
    <w:p>
      <w:pPr>
        <w:pStyle w:val="BodyText"/>
        <w:spacing w:before="7"/>
        <w:rPr>
          <w:sz w:val="20"/>
        </w:rPr>
      </w:pPr>
    </w:p>
    <w:p>
      <w:pPr>
        <w:spacing w:line="249" w:lineRule="auto" w:before="0"/>
        <w:ind w:left="1270" w:right="1268" w:firstLine="0"/>
        <w:jc w:val="both"/>
        <w:rPr>
          <w:sz w:val="19"/>
        </w:rPr>
      </w:pPr>
      <w:r>
        <w:rPr>
          <w:color w:val="231F20"/>
          <w:sz w:val="19"/>
        </w:rPr>
        <w:t>Khouri, A. y E. Canga L. 2008. Relación entre las propiedades del suelo, incremento en volumen anual y es- tado nutricional de Eucalyptus globulus y Pinus radiata D. Don en Asturias (Noroeste de España). Ponencia presentada en: V Simposio Internacional sobre Manejo de los Recursos Forestales. SIMFOR. 26 al 28 abril. Universidad de Pinar del Río “ Hnos. Saiz Montes de Oca”.</w:t>
      </w:r>
    </w:p>
    <w:p>
      <w:pPr>
        <w:pStyle w:val="BodyText"/>
        <w:spacing w:before="10"/>
        <w:rPr>
          <w:sz w:val="19"/>
        </w:rPr>
      </w:pPr>
    </w:p>
    <w:p>
      <w:pPr>
        <w:spacing w:line="249" w:lineRule="auto" w:before="0"/>
        <w:ind w:left="1270" w:right="1268" w:firstLine="0"/>
        <w:jc w:val="both"/>
        <w:rPr>
          <w:sz w:val="19"/>
        </w:rPr>
      </w:pPr>
      <w:r>
        <w:rPr>
          <w:color w:val="231F20"/>
          <w:sz w:val="19"/>
        </w:rPr>
        <w:t>Lugo, 1986. Solos, interpretación físico-química [en línea]. Cátedra de Química Xeral e Agrícola, E.U.I.T.A. </w:t>
      </w:r>
      <w:hyperlink r:id="rId67">
        <w:r>
          <w:rPr>
            <w:color w:val="231F20"/>
            <w:sz w:val="19"/>
          </w:rPr>
          <w:t>España. In website: http://www.geocities.com/Yosemite/8300/anexo1_2.htm</w:t>
        </w:r>
      </w:hyperlink>
      <w:r>
        <w:rPr>
          <w:color w:val="231F20"/>
          <w:sz w:val="19"/>
        </w:rPr>
        <w:t> [consulta: 26 mayo 2012].</w:t>
      </w:r>
    </w:p>
    <w:p>
      <w:pPr>
        <w:pStyle w:val="BodyText"/>
        <w:spacing w:before="10"/>
        <w:rPr>
          <w:sz w:val="19"/>
        </w:rPr>
      </w:pPr>
    </w:p>
    <w:p>
      <w:pPr>
        <w:spacing w:line="249" w:lineRule="auto" w:before="0"/>
        <w:ind w:left="1270" w:right="1268" w:firstLine="0"/>
        <w:jc w:val="both"/>
        <w:rPr>
          <w:sz w:val="19"/>
        </w:rPr>
      </w:pPr>
      <w:r>
        <w:rPr>
          <w:color w:val="231F20"/>
          <w:sz w:val="19"/>
        </w:rPr>
        <w:t>Mclaughlin, M.J. 1996. Phosphorus in Australian forest soil. En: Nutrition of Eucalyptus. Attiwill P. M. y Adams M.A. (Eds.). CSIRO Publishing. Collingwood, Autralia, 1 – 30 p.</w:t>
      </w:r>
    </w:p>
    <w:p>
      <w:pPr>
        <w:pStyle w:val="BodyText"/>
        <w:spacing w:before="10"/>
        <w:rPr>
          <w:sz w:val="19"/>
        </w:rPr>
      </w:pPr>
    </w:p>
    <w:p>
      <w:pPr>
        <w:spacing w:line="249" w:lineRule="auto" w:before="0"/>
        <w:ind w:left="1270" w:right="1268" w:firstLine="0"/>
        <w:jc w:val="both"/>
        <w:rPr>
          <w:sz w:val="19"/>
        </w:rPr>
      </w:pPr>
      <w:r>
        <w:rPr>
          <w:color w:val="231F20"/>
          <w:sz w:val="19"/>
        </w:rPr>
        <w:t>Payne. G. G.; J. E. Rechcigl and R.L. Stephenson. 1990. Development of Diagnosis and Recommendation Integrated System norms for Bahiagrass. Agron. J. 82:930-934.</w:t>
      </w:r>
    </w:p>
    <w:p>
      <w:pPr>
        <w:pStyle w:val="BodyText"/>
        <w:spacing w:before="10"/>
        <w:rPr>
          <w:sz w:val="19"/>
        </w:rPr>
      </w:pPr>
    </w:p>
    <w:p>
      <w:pPr>
        <w:spacing w:line="249" w:lineRule="auto" w:before="0"/>
        <w:ind w:left="1270" w:right="1269" w:firstLine="0"/>
        <w:jc w:val="both"/>
        <w:rPr>
          <w:sz w:val="19"/>
        </w:rPr>
      </w:pPr>
      <w:r>
        <w:rPr>
          <w:color w:val="231F20"/>
          <w:sz w:val="19"/>
        </w:rPr>
        <w:t>SEMARNAT. 2003. Comisión Nacional Forestal, Coordinación General de Producción y Productividad. Mé- xico. Disponible: http://148.223.105.188:2222/gif/snif_portal/secciones/ demas/compendio2006/Reportes/ D3FORESTAL/D3RFORESTA09/D3RFORESTA0902.htm (11 septiembre 2012).</w:t>
      </w:r>
    </w:p>
    <w:p>
      <w:pPr>
        <w:pStyle w:val="BodyText"/>
        <w:spacing w:before="10"/>
        <w:rPr>
          <w:sz w:val="19"/>
        </w:rPr>
      </w:pPr>
    </w:p>
    <w:p>
      <w:pPr>
        <w:spacing w:line="249" w:lineRule="auto" w:before="0"/>
        <w:ind w:left="1270" w:right="1268" w:firstLine="0"/>
        <w:jc w:val="both"/>
        <w:rPr>
          <w:sz w:val="19"/>
        </w:rPr>
      </w:pPr>
      <w:r>
        <w:rPr>
          <w:color w:val="231F20"/>
          <w:sz w:val="19"/>
        </w:rPr>
        <w:t>SEMARNAP (Secretaría de Medio Ambiente y Recursos Naturales), 2002. Norma Oficial Mexicana NOM- 021- </w:t>
      </w:r>
      <w:r>
        <w:rPr>
          <w:color w:val="231F20"/>
          <w:spacing w:val="-3"/>
          <w:sz w:val="19"/>
        </w:rPr>
        <w:t>SEMARNAT-2000, </w:t>
      </w:r>
      <w:r>
        <w:rPr>
          <w:color w:val="231F20"/>
          <w:sz w:val="19"/>
        </w:rPr>
        <w:t>que establece las especificaciones de fertilidad, salinidad y clasificación de suelos, estudio, muestreo y análisis. Diario Oficial, martes 31 de diciembre 2002, primera sección 7-74. México, D.</w:t>
      </w:r>
      <w:r>
        <w:rPr>
          <w:color w:val="231F20"/>
          <w:spacing w:val="-26"/>
          <w:sz w:val="19"/>
        </w:rPr>
        <w:t> </w:t>
      </w:r>
      <w:r>
        <w:rPr>
          <w:color w:val="231F20"/>
          <w:spacing w:val="-8"/>
          <w:sz w:val="19"/>
        </w:rPr>
        <w:t>F.</w:t>
      </w:r>
    </w:p>
    <w:p>
      <w:pPr>
        <w:pStyle w:val="BodyText"/>
        <w:spacing w:before="10"/>
        <w:rPr>
          <w:sz w:val="19"/>
        </w:rPr>
      </w:pPr>
    </w:p>
    <w:p>
      <w:pPr>
        <w:spacing w:line="249" w:lineRule="auto" w:before="0"/>
        <w:ind w:left="1270" w:right="1268" w:firstLine="0"/>
        <w:jc w:val="both"/>
        <w:rPr>
          <w:sz w:val="19"/>
        </w:rPr>
      </w:pPr>
      <w:r>
        <w:rPr>
          <w:color w:val="231F20"/>
          <w:sz w:val="19"/>
        </w:rPr>
        <w:t>Sgarbi, F. y R.L. Silveira, 1999. Eucalyptus respuesta a la aplicación de boro y potasio en el área de Tres Marías, MG. En: Simposio sobre el uso del boro en los bosques de eucalipto 2 1998. Anais .Piracicaba: IPEF; ESALQ. 89-105p.</w:t>
      </w:r>
    </w:p>
    <w:p>
      <w:pPr>
        <w:pStyle w:val="BodyText"/>
        <w:spacing w:before="10"/>
        <w:rPr>
          <w:sz w:val="19"/>
        </w:rPr>
      </w:pPr>
    </w:p>
    <w:p>
      <w:pPr>
        <w:spacing w:line="249" w:lineRule="auto" w:before="0"/>
        <w:ind w:left="1270" w:right="1268" w:firstLine="0"/>
        <w:jc w:val="both"/>
        <w:rPr>
          <w:sz w:val="19"/>
        </w:rPr>
      </w:pPr>
      <w:r>
        <w:rPr>
          <w:color w:val="231F20"/>
          <w:sz w:val="19"/>
        </w:rPr>
        <w:t>Sosa</w:t>
      </w:r>
      <w:r>
        <w:rPr>
          <w:color w:val="231F20"/>
          <w:spacing w:val="-3"/>
          <w:sz w:val="19"/>
        </w:rPr>
        <w:t> </w:t>
      </w:r>
      <w:r>
        <w:rPr>
          <w:color w:val="231F20"/>
          <w:spacing w:val="-5"/>
          <w:sz w:val="19"/>
        </w:rPr>
        <w:t>C.V.,</w:t>
      </w:r>
      <w:r>
        <w:rPr>
          <w:color w:val="231F20"/>
          <w:spacing w:val="-3"/>
          <w:sz w:val="19"/>
        </w:rPr>
        <w:t> </w:t>
      </w:r>
      <w:r>
        <w:rPr>
          <w:color w:val="231F20"/>
          <w:sz w:val="19"/>
        </w:rPr>
        <w:t>y</w:t>
      </w:r>
      <w:r>
        <w:rPr>
          <w:color w:val="231F20"/>
          <w:spacing w:val="-3"/>
          <w:sz w:val="19"/>
        </w:rPr>
        <w:t> </w:t>
      </w:r>
      <w:r>
        <w:rPr>
          <w:color w:val="231F20"/>
          <w:sz w:val="19"/>
        </w:rPr>
        <w:t>G.A.</w:t>
      </w:r>
      <w:r>
        <w:rPr>
          <w:color w:val="231F20"/>
          <w:spacing w:val="-3"/>
          <w:sz w:val="19"/>
        </w:rPr>
        <w:t> </w:t>
      </w:r>
      <w:r>
        <w:rPr>
          <w:color w:val="231F20"/>
          <w:sz w:val="19"/>
        </w:rPr>
        <w:t>M.</w:t>
      </w:r>
      <w:r>
        <w:rPr>
          <w:color w:val="231F20"/>
          <w:spacing w:val="-3"/>
          <w:sz w:val="19"/>
        </w:rPr>
        <w:t> </w:t>
      </w:r>
      <w:r>
        <w:rPr>
          <w:color w:val="231F20"/>
          <w:sz w:val="19"/>
        </w:rPr>
        <w:t>Fierros.</w:t>
      </w:r>
      <w:r>
        <w:rPr>
          <w:color w:val="231F20"/>
          <w:spacing w:val="-3"/>
          <w:sz w:val="19"/>
        </w:rPr>
        <w:t> </w:t>
      </w:r>
      <w:r>
        <w:rPr>
          <w:color w:val="231F20"/>
          <w:sz w:val="19"/>
        </w:rPr>
        <w:t>2001.</w:t>
      </w:r>
      <w:r>
        <w:rPr>
          <w:color w:val="231F20"/>
          <w:spacing w:val="-3"/>
          <w:sz w:val="19"/>
        </w:rPr>
        <w:t> </w:t>
      </w:r>
      <w:r>
        <w:rPr>
          <w:color w:val="231F20"/>
          <w:sz w:val="19"/>
        </w:rPr>
        <w:t>Introducción</w:t>
      </w:r>
      <w:r>
        <w:rPr>
          <w:color w:val="231F20"/>
          <w:spacing w:val="-4"/>
          <w:sz w:val="19"/>
        </w:rPr>
        <w:t> </w:t>
      </w:r>
      <w:r>
        <w:rPr>
          <w:color w:val="231F20"/>
          <w:sz w:val="19"/>
        </w:rPr>
        <w:t>a</w:t>
      </w:r>
      <w:r>
        <w:rPr>
          <w:color w:val="231F20"/>
          <w:spacing w:val="-4"/>
          <w:sz w:val="19"/>
        </w:rPr>
        <w:t> </w:t>
      </w:r>
      <w:r>
        <w:rPr>
          <w:color w:val="231F20"/>
          <w:sz w:val="19"/>
        </w:rPr>
        <w:t>las</w:t>
      </w:r>
      <w:r>
        <w:rPr>
          <w:color w:val="231F20"/>
          <w:spacing w:val="-4"/>
          <w:sz w:val="19"/>
        </w:rPr>
        <w:t> </w:t>
      </w:r>
      <w:r>
        <w:rPr>
          <w:color w:val="231F20"/>
          <w:sz w:val="19"/>
        </w:rPr>
        <w:t>plantaciones</w:t>
      </w:r>
      <w:r>
        <w:rPr>
          <w:color w:val="231F20"/>
          <w:spacing w:val="-4"/>
          <w:sz w:val="19"/>
        </w:rPr>
        <w:t> </w:t>
      </w:r>
      <w:r>
        <w:rPr>
          <w:color w:val="231F20"/>
          <w:sz w:val="19"/>
        </w:rPr>
        <w:t>forestales</w:t>
      </w:r>
      <w:r>
        <w:rPr>
          <w:color w:val="231F20"/>
          <w:spacing w:val="-4"/>
          <w:sz w:val="19"/>
        </w:rPr>
        <w:t> </w:t>
      </w:r>
      <w:r>
        <w:rPr>
          <w:color w:val="231F20"/>
          <w:sz w:val="19"/>
        </w:rPr>
        <w:t>comerciales.</w:t>
      </w:r>
      <w:r>
        <w:rPr>
          <w:color w:val="231F20"/>
          <w:spacing w:val="-4"/>
          <w:sz w:val="19"/>
        </w:rPr>
        <w:t> </w:t>
      </w:r>
      <w:r>
        <w:rPr>
          <w:color w:val="231F20"/>
          <w:sz w:val="19"/>
        </w:rPr>
        <w:t>En</w:t>
      </w:r>
      <w:r>
        <w:rPr>
          <w:color w:val="231F20"/>
          <w:spacing w:val="-4"/>
          <w:sz w:val="19"/>
        </w:rPr>
        <w:t> </w:t>
      </w:r>
      <w:r>
        <w:rPr>
          <w:color w:val="231F20"/>
          <w:sz w:val="19"/>
        </w:rPr>
        <w:t>Sosa</w:t>
      </w:r>
      <w:r>
        <w:rPr>
          <w:color w:val="231F20"/>
          <w:spacing w:val="-3"/>
          <w:sz w:val="19"/>
        </w:rPr>
        <w:t> </w:t>
      </w:r>
      <w:r>
        <w:rPr>
          <w:color w:val="231F20"/>
          <w:sz w:val="19"/>
        </w:rPr>
        <w:t>Cedillo,</w:t>
      </w:r>
      <w:r>
        <w:rPr>
          <w:color w:val="231F20"/>
          <w:spacing w:val="-7"/>
          <w:sz w:val="19"/>
        </w:rPr>
        <w:t> </w:t>
      </w:r>
      <w:r>
        <w:rPr>
          <w:color w:val="231F20"/>
          <w:spacing w:val="-13"/>
          <w:sz w:val="19"/>
        </w:rPr>
        <w:t>V. </w:t>
      </w:r>
      <w:r>
        <w:rPr>
          <w:color w:val="231F20"/>
          <w:sz w:val="19"/>
        </w:rPr>
        <w:t>y</w:t>
      </w:r>
      <w:r>
        <w:rPr>
          <w:color w:val="231F20"/>
          <w:spacing w:val="-7"/>
          <w:sz w:val="19"/>
        </w:rPr>
        <w:t> </w:t>
      </w:r>
      <w:r>
        <w:rPr>
          <w:color w:val="231F20"/>
          <w:sz w:val="19"/>
        </w:rPr>
        <w:t>Fierros</w:t>
      </w:r>
      <w:r>
        <w:rPr>
          <w:color w:val="231F20"/>
          <w:spacing w:val="-7"/>
          <w:sz w:val="19"/>
        </w:rPr>
        <w:t> </w:t>
      </w:r>
      <w:r>
        <w:rPr>
          <w:color w:val="231F20"/>
          <w:sz w:val="19"/>
        </w:rPr>
        <w:t>González,</w:t>
      </w:r>
      <w:r>
        <w:rPr>
          <w:color w:val="231F20"/>
          <w:spacing w:val="-18"/>
          <w:sz w:val="19"/>
        </w:rPr>
        <w:t> </w:t>
      </w:r>
      <w:r>
        <w:rPr>
          <w:color w:val="231F20"/>
          <w:sz w:val="19"/>
        </w:rPr>
        <w:t>A.</w:t>
      </w:r>
      <w:r>
        <w:rPr>
          <w:color w:val="231F20"/>
          <w:spacing w:val="-7"/>
          <w:sz w:val="19"/>
        </w:rPr>
        <w:t> </w:t>
      </w:r>
      <w:r>
        <w:rPr>
          <w:color w:val="231F20"/>
          <w:sz w:val="19"/>
        </w:rPr>
        <w:t>M.,</w:t>
      </w:r>
      <w:r>
        <w:rPr>
          <w:color w:val="231F20"/>
          <w:spacing w:val="-7"/>
          <w:sz w:val="19"/>
        </w:rPr>
        <w:t> </w:t>
      </w:r>
      <w:r>
        <w:rPr>
          <w:color w:val="231F20"/>
          <w:sz w:val="19"/>
        </w:rPr>
        <w:t>Coords.</w:t>
      </w:r>
      <w:r>
        <w:rPr>
          <w:color w:val="231F20"/>
          <w:spacing w:val="-7"/>
          <w:sz w:val="19"/>
        </w:rPr>
        <w:t> </w:t>
      </w:r>
      <w:r>
        <w:rPr>
          <w:color w:val="231F20"/>
          <w:sz w:val="19"/>
        </w:rPr>
        <w:t>Manual</w:t>
      </w:r>
      <w:r>
        <w:rPr>
          <w:color w:val="231F20"/>
          <w:spacing w:val="-7"/>
          <w:sz w:val="19"/>
        </w:rPr>
        <w:t> </w:t>
      </w:r>
      <w:r>
        <w:rPr>
          <w:color w:val="231F20"/>
          <w:sz w:val="19"/>
        </w:rPr>
        <w:t>del</w:t>
      </w:r>
      <w:r>
        <w:rPr>
          <w:color w:val="231F20"/>
          <w:spacing w:val="-7"/>
          <w:sz w:val="19"/>
        </w:rPr>
        <w:t> </w:t>
      </w:r>
      <w:r>
        <w:rPr>
          <w:color w:val="231F20"/>
          <w:sz w:val="19"/>
        </w:rPr>
        <w:t>curso</w:t>
      </w:r>
      <w:r>
        <w:rPr>
          <w:color w:val="231F20"/>
          <w:spacing w:val="-7"/>
          <w:sz w:val="19"/>
        </w:rPr>
        <w:t> </w:t>
      </w:r>
      <w:r>
        <w:rPr>
          <w:color w:val="231F20"/>
          <w:sz w:val="19"/>
        </w:rPr>
        <w:t>de</w:t>
      </w:r>
      <w:r>
        <w:rPr>
          <w:color w:val="231F20"/>
          <w:spacing w:val="-7"/>
          <w:sz w:val="19"/>
        </w:rPr>
        <w:t> </w:t>
      </w:r>
      <w:r>
        <w:rPr>
          <w:color w:val="231F20"/>
          <w:sz w:val="19"/>
        </w:rPr>
        <w:t>especialización</w:t>
      </w:r>
      <w:r>
        <w:rPr>
          <w:color w:val="231F20"/>
          <w:spacing w:val="-7"/>
          <w:sz w:val="19"/>
        </w:rPr>
        <w:t> </w:t>
      </w:r>
      <w:r>
        <w:rPr>
          <w:color w:val="231F20"/>
          <w:sz w:val="19"/>
        </w:rPr>
        <w:t>en</w:t>
      </w:r>
      <w:r>
        <w:rPr>
          <w:color w:val="231F20"/>
          <w:spacing w:val="-7"/>
          <w:sz w:val="19"/>
        </w:rPr>
        <w:t> </w:t>
      </w:r>
      <w:r>
        <w:rPr>
          <w:color w:val="231F20"/>
          <w:sz w:val="19"/>
        </w:rPr>
        <w:t>plantaciones</w:t>
      </w:r>
      <w:r>
        <w:rPr>
          <w:color w:val="231F20"/>
          <w:spacing w:val="-7"/>
          <w:sz w:val="19"/>
        </w:rPr>
        <w:t> </w:t>
      </w:r>
      <w:r>
        <w:rPr>
          <w:color w:val="231F20"/>
          <w:sz w:val="19"/>
        </w:rPr>
        <w:t>forestales</w:t>
      </w:r>
      <w:r>
        <w:rPr>
          <w:color w:val="231F20"/>
          <w:spacing w:val="-7"/>
          <w:sz w:val="19"/>
        </w:rPr>
        <w:t> </w:t>
      </w:r>
      <w:r>
        <w:rPr>
          <w:color w:val="231F20"/>
          <w:sz w:val="19"/>
        </w:rPr>
        <w:t>comerciales. Confora. México, D. </w:t>
      </w:r>
      <w:r>
        <w:rPr>
          <w:color w:val="231F20"/>
          <w:spacing w:val="-8"/>
          <w:sz w:val="19"/>
        </w:rPr>
        <w:t>F. </w:t>
      </w:r>
      <w:r>
        <w:rPr>
          <w:color w:val="231F20"/>
          <w:sz w:val="19"/>
        </w:rPr>
        <w:t>1-45</w:t>
      </w:r>
      <w:r>
        <w:rPr>
          <w:color w:val="231F20"/>
          <w:spacing w:val="8"/>
          <w:sz w:val="19"/>
        </w:rPr>
        <w:t> </w:t>
      </w:r>
      <w:r>
        <w:rPr>
          <w:color w:val="231F20"/>
          <w:sz w:val="19"/>
        </w:rPr>
        <w:t>p.</w:t>
      </w:r>
    </w:p>
    <w:p>
      <w:pPr>
        <w:pStyle w:val="BodyText"/>
        <w:spacing w:before="10"/>
        <w:rPr>
          <w:sz w:val="19"/>
        </w:rPr>
      </w:pPr>
    </w:p>
    <w:p>
      <w:pPr>
        <w:spacing w:line="273" w:lineRule="auto" w:before="0"/>
        <w:ind w:left="1270" w:right="1268" w:firstLine="0"/>
        <w:jc w:val="both"/>
        <w:rPr>
          <w:sz w:val="19"/>
        </w:rPr>
      </w:pPr>
      <w:r>
        <w:rPr>
          <w:color w:val="231F20"/>
          <w:sz w:val="19"/>
        </w:rPr>
        <w:t>Tisdale, Samuel L. y Werner L., Nelson (1991).Fertilidad de los suelos y fertilizantes. Editor: México: UTE- HA, 760 p.</w:t>
      </w:r>
    </w:p>
    <w:p>
      <w:pPr>
        <w:spacing w:after="0" w:line="273" w:lineRule="auto"/>
        <w:jc w:val="both"/>
        <w:rPr>
          <w:sz w:val="19"/>
        </w:rPr>
        <w:sectPr>
          <w:pgSz w:w="10920" w:h="13080"/>
          <w:pgMar w:header="0" w:footer="1025" w:top="420" w:bottom="1220" w:left="0" w:right="0"/>
        </w:sectPr>
      </w:pPr>
    </w:p>
    <w:p>
      <w:pPr>
        <w:pStyle w:val="BodyText"/>
        <w:rPr>
          <w:sz w:val="20"/>
        </w:rPr>
      </w:pPr>
    </w:p>
    <w:p>
      <w:pPr>
        <w:pStyle w:val="BodyText"/>
        <w:rPr>
          <w:sz w:val="20"/>
        </w:rPr>
      </w:pPr>
    </w:p>
    <w:p>
      <w:pPr>
        <w:pStyle w:val="BodyText"/>
        <w:spacing w:before="6"/>
        <w:rPr>
          <w:sz w:val="23"/>
        </w:rPr>
      </w:pPr>
    </w:p>
    <w:p>
      <w:pPr>
        <w:spacing w:before="69"/>
        <w:ind w:left="1489" w:right="1489" w:firstLine="0"/>
        <w:jc w:val="center"/>
        <w:rPr>
          <w:rFonts w:ascii="Trebuchet MS" w:hAnsi="Trebuchet MS"/>
          <w:i/>
          <w:sz w:val="14"/>
        </w:rPr>
      </w:pPr>
      <w:r>
        <w:rPr>
          <w:rFonts w:ascii="Trebuchet MS" w:hAnsi="Trebuchet MS"/>
          <w:i/>
          <w:color w:val="010202"/>
          <w:sz w:val="24"/>
        </w:rPr>
        <w:t>José Luis Ríos Flores</w:t>
      </w:r>
      <w:r>
        <w:rPr>
          <w:rFonts w:ascii="Trebuchet MS" w:hAnsi="Trebuchet MS"/>
          <w:i/>
          <w:color w:val="010202"/>
          <w:position w:val="8"/>
          <w:sz w:val="14"/>
        </w:rPr>
        <w:t>1*</w:t>
      </w:r>
      <w:r>
        <w:rPr>
          <w:rFonts w:ascii="Trebuchet MS" w:hAnsi="Trebuchet MS"/>
          <w:i/>
          <w:color w:val="010202"/>
          <w:sz w:val="24"/>
        </w:rPr>
        <w:t>; Miriam Torres Moreno</w:t>
      </w:r>
      <w:r>
        <w:rPr>
          <w:rFonts w:ascii="Trebuchet MS" w:hAnsi="Trebuchet MS"/>
          <w:i/>
          <w:color w:val="010202"/>
          <w:position w:val="8"/>
          <w:sz w:val="14"/>
        </w:rPr>
        <w:t>2  </w:t>
      </w:r>
      <w:r>
        <w:rPr>
          <w:rFonts w:ascii="Trebuchet MS" w:hAnsi="Trebuchet MS"/>
          <w:i/>
          <w:color w:val="010202"/>
          <w:sz w:val="24"/>
        </w:rPr>
        <w:t>y José Ruiz Torres</w:t>
      </w:r>
      <w:r>
        <w:rPr>
          <w:rFonts w:ascii="Trebuchet MS" w:hAnsi="Trebuchet MS"/>
          <w:i/>
          <w:color w:val="010202"/>
          <w:position w:val="8"/>
          <w:sz w:val="14"/>
        </w:rPr>
        <w:t>1</w:t>
      </w: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spacing w:before="1"/>
        <w:rPr>
          <w:rFonts w:ascii="Trebuchet MS"/>
          <w:i/>
          <w:sz w:val="19"/>
        </w:rPr>
      </w:pPr>
    </w:p>
    <w:p>
      <w:pPr>
        <w:pStyle w:val="Heading1"/>
        <w:spacing w:line="247" w:lineRule="auto"/>
        <w:ind w:left="2033" w:right="2041" w:firstLine="11"/>
      </w:pPr>
      <w:bookmarkStart w:name="_TOC_250005" w:id="6"/>
      <w:r>
        <w:rPr>
          <w:color w:val="010202"/>
          <w:spacing w:val="-10"/>
        </w:rPr>
        <w:t>EFICIENCIA FÍSICA, ECONÓMICA </w:t>
      </w:r>
      <w:r>
        <w:rPr>
          <w:color w:val="010202"/>
        </w:rPr>
        <w:t>Y </w:t>
      </w:r>
      <w:r>
        <w:rPr>
          <w:color w:val="010202"/>
          <w:spacing w:val="-11"/>
        </w:rPr>
        <w:t>SOCIAL </w:t>
      </w:r>
      <w:r>
        <w:rPr>
          <w:color w:val="010202"/>
          <w:spacing w:val="-8"/>
        </w:rPr>
        <w:t>DEL </w:t>
      </w:r>
      <w:r>
        <w:rPr>
          <w:color w:val="010202"/>
          <w:spacing w:val="-9"/>
        </w:rPr>
        <w:t>AGUA </w:t>
      </w:r>
      <w:r>
        <w:rPr>
          <w:color w:val="010202"/>
          <w:spacing w:val="-10"/>
        </w:rPr>
        <w:t>SUBTERRÁNEA </w:t>
      </w:r>
      <w:r>
        <w:rPr>
          <w:color w:val="010202"/>
          <w:spacing w:val="-15"/>
        </w:rPr>
        <w:t>PARA </w:t>
      </w:r>
      <w:r>
        <w:rPr>
          <w:color w:val="010202"/>
          <w:spacing w:val="-9"/>
        </w:rPr>
        <w:t>RIEGO </w:t>
      </w:r>
      <w:r>
        <w:rPr>
          <w:color w:val="010202"/>
          <w:spacing w:val="-11"/>
        </w:rPr>
        <w:t>EN </w:t>
      </w:r>
      <w:r>
        <w:rPr>
          <w:color w:val="010202"/>
          <w:spacing w:val="-9"/>
        </w:rPr>
        <w:t>CHILE</w:t>
      </w:r>
      <w:r>
        <w:rPr>
          <w:color w:val="010202"/>
          <w:spacing w:val="-20"/>
        </w:rPr>
        <w:t> </w:t>
      </w:r>
      <w:r>
        <w:rPr>
          <w:color w:val="010202"/>
          <w:spacing w:val="-6"/>
        </w:rPr>
        <w:t>EN</w:t>
      </w:r>
      <w:r>
        <w:rPr>
          <w:color w:val="010202"/>
          <w:spacing w:val="-20"/>
        </w:rPr>
        <w:t> </w:t>
      </w:r>
      <w:r>
        <w:rPr>
          <w:color w:val="010202"/>
          <w:spacing w:val="-6"/>
        </w:rPr>
        <w:t>EL</w:t>
      </w:r>
      <w:r>
        <w:rPr>
          <w:color w:val="010202"/>
          <w:spacing w:val="-34"/>
        </w:rPr>
        <w:t> </w:t>
      </w:r>
      <w:r>
        <w:rPr>
          <w:color w:val="010202"/>
          <w:spacing w:val="-8"/>
        </w:rPr>
        <w:t>DR-</w:t>
      </w:r>
      <w:r>
        <w:rPr>
          <w:color w:val="010202"/>
          <w:spacing w:val="-20"/>
        </w:rPr>
        <w:t> </w:t>
      </w:r>
      <w:r>
        <w:rPr>
          <w:color w:val="010202"/>
          <w:spacing w:val="-9"/>
        </w:rPr>
        <w:t>017,</w:t>
      </w:r>
      <w:r>
        <w:rPr>
          <w:color w:val="010202"/>
          <w:spacing w:val="-20"/>
        </w:rPr>
        <w:t> </w:t>
      </w:r>
      <w:r>
        <w:rPr>
          <w:color w:val="010202"/>
          <w:spacing w:val="-10"/>
        </w:rPr>
        <w:t>COMARCA</w:t>
      </w:r>
      <w:r>
        <w:rPr>
          <w:color w:val="010202"/>
          <w:spacing w:val="-41"/>
        </w:rPr>
        <w:t> </w:t>
      </w:r>
      <w:bookmarkEnd w:id="6"/>
      <w:r>
        <w:rPr>
          <w:color w:val="010202"/>
          <w:spacing w:val="-11"/>
        </w:rPr>
        <w:t>LAGUNERA</w:t>
      </w:r>
    </w:p>
    <w:p>
      <w:pPr>
        <w:pStyle w:val="BodyText"/>
        <w:rPr>
          <w:rFonts w:ascii="Trebuchet MS"/>
          <w:b/>
          <w:sz w:val="36"/>
        </w:rPr>
      </w:pPr>
    </w:p>
    <w:p>
      <w:pPr>
        <w:pStyle w:val="BodyText"/>
        <w:spacing w:before="7"/>
        <w:rPr>
          <w:rFonts w:ascii="Trebuchet MS"/>
          <w:b/>
          <w:sz w:val="47"/>
        </w:rPr>
      </w:pPr>
    </w:p>
    <w:p>
      <w:pPr>
        <w:spacing w:before="0"/>
        <w:ind w:left="1270" w:right="0" w:firstLine="0"/>
        <w:jc w:val="both"/>
        <w:rPr>
          <w:b/>
          <w:sz w:val="24"/>
        </w:rPr>
      </w:pPr>
      <w:r>
        <w:rPr>
          <w:b/>
          <w:color w:val="010202"/>
          <w:sz w:val="24"/>
        </w:rPr>
        <w:t>Introducción</w:t>
      </w:r>
    </w:p>
    <w:p>
      <w:pPr>
        <w:pStyle w:val="BodyText"/>
        <w:spacing w:before="10"/>
        <w:rPr>
          <w:b/>
        </w:rPr>
      </w:pPr>
    </w:p>
    <w:p>
      <w:pPr>
        <w:pStyle w:val="BodyText"/>
        <w:spacing w:line="247" w:lineRule="auto"/>
        <w:ind w:left="1270" w:right="1268"/>
        <w:jc w:val="both"/>
      </w:pPr>
      <w:r>
        <w:rPr>
          <w:color w:val="231F20"/>
          <w:spacing w:val="-3"/>
        </w:rPr>
        <w:t>La </w:t>
      </w:r>
      <w:r>
        <w:rPr>
          <w:color w:val="231F20"/>
          <w:spacing w:val="-5"/>
        </w:rPr>
        <w:t>producción </w:t>
      </w:r>
      <w:r>
        <w:rPr>
          <w:color w:val="231F20"/>
          <w:spacing w:val="-3"/>
        </w:rPr>
        <w:t>de </w:t>
      </w:r>
      <w:r>
        <w:rPr>
          <w:color w:val="231F20"/>
          <w:spacing w:val="-5"/>
        </w:rPr>
        <w:t>alimentos </w:t>
      </w:r>
      <w:r>
        <w:rPr>
          <w:color w:val="231F20"/>
        </w:rPr>
        <w:t>y </w:t>
      </w:r>
      <w:r>
        <w:rPr>
          <w:color w:val="231F20"/>
          <w:spacing w:val="-3"/>
        </w:rPr>
        <w:t>el </w:t>
      </w:r>
      <w:r>
        <w:rPr>
          <w:color w:val="231F20"/>
          <w:spacing w:val="-4"/>
        </w:rPr>
        <w:t>uso del agua son dos </w:t>
      </w:r>
      <w:r>
        <w:rPr>
          <w:color w:val="231F20"/>
          <w:spacing w:val="-5"/>
        </w:rPr>
        <w:t>procesos estrechamente vinculados. </w:t>
      </w:r>
      <w:r>
        <w:rPr>
          <w:color w:val="231F20"/>
        </w:rPr>
        <w:t>A </w:t>
      </w:r>
      <w:r>
        <w:rPr>
          <w:color w:val="231F20"/>
          <w:spacing w:val="-5"/>
        </w:rPr>
        <w:t>medida que </w:t>
      </w:r>
      <w:r>
        <w:rPr>
          <w:color w:val="231F20"/>
          <w:spacing w:val="-3"/>
        </w:rPr>
        <w:t>la</w:t>
      </w:r>
      <w:r>
        <w:rPr>
          <w:color w:val="231F20"/>
          <w:spacing w:val="-14"/>
        </w:rPr>
        <w:t> </w:t>
      </w:r>
      <w:r>
        <w:rPr>
          <w:color w:val="231F20"/>
          <w:spacing w:val="-5"/>
        </w:rPr>
        <w:t>competencia</w:t>
      </w:r>
      <w:r>
        <w:rPr>
          <w:color w:val="231F20"/>
          <w:spacing w:val="-14"/>
        </w:rPr>
        <w:t> </w:t>
      </w:r>
      <w:r>
        <w:rPr>
          <w:color w:val="231F20"/>
          <w:spacing w:val="-4"/>
        </w:rPr>
        <w:t>por</w:t>
      </w:r>
      <w:r>
        <w:rPr>
          <w:color w:val="231F20"/>
          <w:spacing w:val="-14"/>
        </w:rPr>
        <w:t> </w:t>
      </w:r>
      <w:r>
        <w:rPr>
          <w:color w:val="231F20"/>
          <w:spacing w:val="-3"/>
        </w:rPr>
        <w:t>el</w:t>
      </w:r>
      <w:r>
        <w:rPr>
          <w:color w:val="231F20"/>
          <w:spacing w:val="-14"/>
        </w:rPr>
        <w:t> </w:t>
      </w:r>
      <w:r>
        <w:rPr>
          <w:color w:val="231F20"/>
          <w:spacing w:val="-4"/>
        </w:rPr>
        <w:t>agua</w:t>
      </w:r>
      <w:r>
        <w:rPr>
          <w:color w:val="231F20"/>
          <w:spacing w:val="-14"/>
        </w:rPr>
        <w:t> </w:t>
      </w:r>
      <w:r>
        <w:rPr>
          <w:color w:val="231F20"/>
          <w:spacing w:val="-3"/>
        </w:rPr>
        <w:t>se</w:t>
      </w:r>
      <w:r>
        <w:rPr>
          <w:color w:val="231F20"/>
          <w:spacing w:val="-14"/>
        </w:rPr>
        <w:t> </w:t>
      </w:r>
      <w:r>
        <w:rPr>
          <w:color w:val="231F20"/>
          <w:spacing w:val="-5"/>
        </w:rPr>
        <w:t>intensifica</w:t>
      </w:r>
      <w:r>
        <w:rPr>
          <w:color w:val="231F20"/>
          <w:spacing w:val="-14"/>
        </w:rPr>
        <w:t> </w:t>
      </w:r>
      <w:r>
        <w:rPr>
          <w:color w:val="231F20"/>
          <w:spacing w:val="-3"/>
        </w:rPr>
        <w:t>en</w:t>
      </w:r>
      <w:r>
        <w:rPr>
          <w:color w:val="231F20"/>
          <w:spacing w:val="-14"/>
        </w:rPr>
        <w:t> </w:t>
      </w:r>
      <w:r>
        <w:rPr>
          <w:color w:val="231F20"/>
          <w:spacing w:val="-4"/>
        </w:rPr>
        <w:t>todo</w:t>
      </w:r>
      <w:r>
        <w:rPr>
          <w:color w:val="231F20"/>
          <w:spacing w:val="-14"/>
        </w:rPr>
        <w:t> </w:t>
      </w:r>
      <w:r>
        <w:rPr>
          <w:color w:val="231F20"/>
          <w:spacing w:val="-3"/>
        </w:rPr>
        <w:t>el</w:t>
      </w:r>
      <w:r>
        <w:rPr>
          <w:color w:val="231F20"/>
          <w:spacing w:val="-14"/>
        </w:rPr>
        <w:t> </w:t>
      </w:r>
      <w:r>
        <w:rPr>
          <w:color w:val="231F20"/>
          <w:spacing w:val="-5"/>
        </w:rPr>
        <w:t>mundo,</w:t>
      </w:r>
      <w:r>
        <w:rPr>
          <w:color w:val="231F20"/>
          <w:spacing w:val="-14"/>
        </w:rPr>
        <w:t> </w:t>
      </w:r>
      <w:r>
        <w:rPr>
          <w:color w:val="231F20"/>
          <w:spacing w:val="-3"/>
        </w:rPr>
        <w:t>el</w:t>
      </w:r>
      <w:r>
        <w:rPr>
          <w:color w:val="231F20"/>
          <w:spacing w:val="-14"/>
        </w:rPr>
        <w:t> </w:t>
      </w:r>
      <w:r>
        <w:rPr>
          <w:color w:val="231F20"/>
          <w:spacing w:val="-4"/>
        </w:rPr>
        <w:t>agua</w:t>
      </w:r>
      <w:r>
        <w:rPr>
          <w:color w:val="231F20"/>
          <w:spacing w:val="-14"/>
        </w:rPr>
        <w:t> </w:t>
      </w:r>
      <w:r>
        <w:rPr>
          <w:color w:val="231F20"/>
          <w:spacing w:val="-3"/>
        </w:rPr>
        <w:t>en</w:t>
      </w:r>
      <w:r>
        <w:rPr>
          <w:color w:val="231F20"/>
          <w:spacing w:val="-14"/>
        </w:rPr>
        <w:t> </w:t>
      </w:r>
      <w:r>
        <w:rPr>
          <w:color w:val="231F20"/>
          <w:spacing w:val="-3"/>
        </w:rPr>
        <w:t>la</w:t>
      </w:r>
      <w:r>
        <w:rPr>
          <w:color w:val="231F20"/>
          <w:spacing w:val="-14"/>
        </w:rPr>
        <w:t> </w:t>
      </w:r>
      <w:r>
        <w:rPr>
          <w:color w:val="231F20"/>
          <w:spacing w:val="-5"/>
        </w:rPr>
        <w:t>producción</w:t>
      </w:r>
      <w:r>
        <w:rPr>
          <w:color w:val="231F20"/>
          <w:spacing w:val="-14"/>
        </w:rPr>
        <w:t> </w:t>
      </w:r>
      <w:r>
        <w:rPr>
          <w:color w:val="231F20"/>
          <w:spacing w:val="-3"/>
        </w:rPr>
        <w:t>de</w:t>
      </w:r>
      <w:r>
        <w:rPr>
          <w:color w:val="231F20"/>
          <w:spacing w:val="-14"/>
        </w:rPr>
        <w:t> </w:t>
      </w:r>
      <w:r>
        <w:rPr>
          <w:color w:val="231F20"/>
          <w:spacing w:val="-5"/>
        </w:rPr>
        <w:t>alimentos</w:t>
      </w:r>
      <w:r>
        <w:rPr>
          <w:color w:val="231F20"/>
          <w:spacing w:val="-14"/>
        </w:rPr>
        <w:t> </w:t>
      </w:r>
      <w:r>
        <w:rPr>
          <w:color w:val="231F20"/>
          <w:spacing w:val="-4"/>
        </w:rPr>
        <w:t>debe</w:t>
      </w:r>
      <w:r>
        <w:rPr>
          <w:color w:val="231F20"/>
          <w:spacing w:val="-14"/>
        </w:rPr>
        <w:t> </w:t>
      </w:r>
      <w:r>
        <w:rPr>
          <w:color w:val="231F20"/>
          <w:spacing w:val="-5"/>
        </w:rPr>
        <w:t>ser utilizada </w:t>
      </w:r>
      <w:r>
        <w:rPr>
          <w:color w:val="231F20"/>
          <w:spacing w:val="-3"/>
        </w:rPr>
        <w:t>de </w:t>
      </w:r>
      <w:r>
        <w:rPr>
          <w:color w:val="231F20"/>
          <w:spacing w:val="-5"/>
        </w:rPr>
        <w:t>manera </w:t>
      </w:r>
      <w:r>
        <w:rPr>
          <w:color w:val="231F20"/>
          <w:spacing w:val="-4"/>
        </w:rPr>
        <w:t>más eficiente </w:t>
      </w:r>
      <w:r>
        <w:rPr>
          <w:color w:val="231F20"/>
          <w:spacing w:val="-5"/>
        </w:rPr>
        <w:t>(Pasquale, </w:t>
      </w:r>
      <w:r>
        <w:rPr>
          <w:color w:val="231F20"/>
          <w:spacing w:val="-4"/>
        </w:rPr>
        <w:t>Hsiao </w:t>
      </w:r>
      <w:r>
        <w:rPr>
          <w:color w:val="231F20"/>
        </w:rPr>
        <w:t>y </w:t>
      </w:r>
      <w:r>
        <w:rPr>
          <w:color w:val="231F20"/>
          <w:spacing w:val="-5"/>
        </w:rPr>
        <w:t>Federes, 2007). </w:t>
      </w:r>
      <w:r>
        <w:rPr>
          <w:color w:val="231F20"/>
          <w:spacing w:val="-3"/>
        </w:rPr>
        <w:t>El </w:t>
      </w:r>
      <w:r>
        <w:rPr>
          <w:color w:val="231F20"/>
          <w:spacing w:val="-5"/>
        </w:rPr>
        <w:t>concepto </w:t>
      </w:r>
      <w:r>
        <w:rPr>
          <w:color w:val="231F20"/>
          <w:spacing w:val="-3"/>
        </w:rPr>
        <w:t>de la </w:t>
      </w:r>
      <w:r>
        <w:rPr>
          <w:color w:val="231F20"/>
          <w:spacing w:val="-5"/>
        </w:rPr>
        <w:t>productividad del </w:t>
      </w:r>
      <w:r>
        <w:rPr>
          <w:color w:val="231F20"/>
          <w:spacing w:val="-4"/>
        </w:rPr>
        <w:t>agua fue </w:t>
      </w:r>
      <w:r>
        <w:rPr>
          <w:color w:val="231F20"/>
          <w:spacing w:val="-5"/>
        </w:rPr>
        <w:t>establecido </w:t>
      </w:r>
      <w:r>
        <w:rPr>
          <w:color w:val="231F20"/>
          <w:spacing w:val="-4"/>
        </w:rPr>
        <w:t>por Kijne </w:t>
      </w:r>
      <w:r>
        <w:rPr>
          <w:i/>
          <w:color w:val="231F20"/>
          <w:spacing w:val="-3"/>
        </w:rPr>
        <w:t>et </w:t>
      </w:r>
      <w:r>
        <w:rPr>
          <w:i/>
          <w:color w:val="231F20"/>
          <w:spacing w:val="-4"/>
        </w:rPr>
        <w:t>al. </w:t>
      </w:r>
      <w:r>
        <w:rPr>
          <w:color w:val="231F20"/>
          <w:spacing w:val="-5"/>
        </w:rPr>
        <w:t>(2003) </w:t>
      </w:r>
      <w:r>
        <w:rPr>
          <w:color w:val="231F20"/>
          <w:spacing w:val="-4"/>
        </w:rPr>
        <w:t>como una </w:t>
      </w:r>
      <w:r>
        <w:rPr>
          <w:color w:val="231F20"/>
          <w:spacing w:val="-5"/>
        </w:rPr>
        <w:t>medida sólida </w:t>
      </w:r>
      <w:r>
        <w:rPr>
          <w:color w:val="231F20"/>
          <w:spacing w:val="-4"/>
        </w:rPr>
        <w:t>para </w:t>
      </w:r>
      <w:r>
        <w:rPr>
          <w:color w:val="231F20"/>
          <w:spacing w:val="-5"/>
        </w:rPr>
        <w:t>determinar </w:t>
      </w:r>
      <w:r>
        <w:rPr>
          <w:color w:val="231F20"/>
          <w:spacing w:val="-3"/>
        </w:rPr>
        <w:t>la </w:t>
      </w:r>
      <w:r>
        <w:rPr>
          <w:color w:val="231F20"/>
          <w:spacing w:val="-5"/>
        </w:rPr>
        <w:t>capacidad </w:t>
      </w:r>
      <w:r>
        <w:rPr>
          <w:color w:val="231F20"/>
          <w:spacing w:val="-3"/>
        </w:rPr>
        <w:t>de </w:t>
      </w:r>
      <w:r>
        <w:rPr>
          <w:color w:val="231F20"/>
          <w:spacing w:val="-5"/>
        </w:rPr>
        <w:t>los sistemas agrícolas </w:t>
      </w:r>
      <w:r>
        <w:rPr>
          <w:color w:val="231F20"/>
          <w:spacing w:val="-3"/>
        </w:rPr>
        <w:t>de </w:t>
      </w:r>
      <w:r>
        <w:rPr>
          <w:color w:val="231F20"/>
          <w:spacing w:val="-5"/>
        </w:rPr>
        <w:t>convertir </w:t>
      </w:r>
      <w:r>
        <w:rPr>
          <w:color w:val="231F20"/>
          <w:spacing w:val="-3"/>
        </w:rPr>
        <w:t>el </w:t>
      </w:r>
      <w:r>
        <w:rPr>
          <w:color w:val="231F20"/>
          <w:spacing w:val="-4"/>
        </w:rPr>
        <w:t>agua </w:t>
      </w:r>
      <w:r>
        <w:rPr>
          <w:color w:val="231F20"/>
          <w:spacing w:val="-3"/>
        </w:rPr>
        <w:t>en </w:t>
      </w:r>
      <w:r>
        <w:rPr>
          <w:color w:val="231F20"/>
          <w:spacing w:val="-5"/>
        </w:rPr>
        <w:t>alimento. </w:t>
      </w:r>
      <w:r>
        <w:rPr>
          <w:color w:val="231F20"/>
          <w:spacing w:val="-4"/>
        </w:rPr>
        <w:t>Sin </w:t>
      </w:r>
      <w:r>
        <w:rPr>
          <w:color w:val="231F20"/>
          <w:spacing w:val="-5"/>
        </w:rPr>
        <w:t>embargo </w:t>
      </w:r>
      <w:r>
        <w:rPr>
          <w:color w:val="231F20"/>
          <w:spacing w:val="-3"/>
        </w:rPr>
        <w:t>la </w:t>
      </w:r>
      <w:r>
        <w:rPr>
          <w:color w:val="231F20"/>
          <w:spacing w:val="-5"/>
        </w:rPr>
        <w:t>determinación </w:t>
      </w:r>
      <w:r>
        <w:rPr>
          <w:color w:val="231F20"/>
          <w:spacing w:val="-3"/>
        </w:rPr>
        <w:t>de </w:t>
      </w:r>
      <w:r>
        <w:rPr>
          <w:color w:val="231F20"/>
          <w:spacing w:val="-4"/>
        </w:rPr>
        <w:t>tal </w:t>
      </w:r>
      <w:r>
        <w:rPr>
          <w:color w:val="231F20"/>
          <w:spacing w:val="-5"/>
        </w:rPr>
        <w:t>concepto </w:t>
      </w:r>
      <w:r>
        <w:rPr>
          <w:color w:val="231F20"/>
          <w:spacing w:val="-3"/>
        </w:rPr>
        <w:t>en </w:t>
      </w:r>
      <w:r>
        <w:rPr>
          <w:color w:val="231F20"/>
          <w:spacing w:val="-5"/>
        </w:rPr>
        <w:t>la práctica</w:t>
      </w:r>
      <w:r>
        <w:rPr>
          <w:color w:val="231F20"/>
          <w:spacing w:val="-14"/>
        </w:rPr>
        <w:t> </w:t>
      </w:r>
      <w:r>
        <w:rPr>
          <w:color w:val="231F20"/>
          <w:spacing w:val="-3"/>
        </w:rPr>
        <w:t>se</w:t>
      </w:r>
      <w:r>
        <w:rPr>
          <w:color w:val="231F20"/>
          <w:spacing w:val="-14"/>
        </w:rPr>
        <w:t> </w:t>
      </w:r>
      <w:r>
        <w:rPr>
          <w:color w:val="231F20"/>
          <w:spacing w:val="-5"/>
        </w:rPr>
        <w:t>utilizara</w:t>
      </w:r>
      <w:r>
        <w:rPr>
          <w:color w:val="231F20"/>
          <w:spacing w:val="-14"/>
        </w:rPr>
        <w:t> </w:t>
      </w:r>
      <w:r>
        <w:rPr>
          <w:color w:val="231F20"/>
          <w:spacing w:val="-4"/>
        </w:rPr>
        <w:t>como</w:t>
      </w:r>
      <w:r>
        <w:rPr>
          <w:color w:val="231F20"/>
          <w:spacing w:val="-14"/>
        </w:rPr>
        <w:t> </w:t>
      </w:r>
      <w:r>
        <w:rPr>
          <w:color w:val="231F20"/>
          <w:spacing w:val="-4"/>
        </w:rPr>
        <w:t>una</w:t>
      </w:r>
      <w:r>
        <w:rPr>
          <w:color w:val="231F20"/>
          <w:spacing w:val="-14"/>
        </w:rPr>
        <w:t> </w:t>
      </w:r>
      <w:r>
        <w:rPr>
          <w:color w:val="231F20"/>
          <w:spacing w:val="-5"/>
        </w:rPr>
        <w:t>herramienta</w:t>
      </w:r>
      <w:r>
        <w:rPr>
          <w:color w:val="231F20"/>
          <w:spacing w:val="-14"/>
        </w:rPr>
        <w:t> </w:t>
      </w:r>
      <w:r>
        <w:rPr>
          <w:color w:val="231F20"/>
          <w:spacing w:val="-3"/>
        </w:rPr>
        <w:t>de</w:t>
      </w:r>
      <w:r>
        <w:rPr>
          <w:color w:val="231F20"/>
          <w:spacing w:val="-14"/>
        </w:rPr>
        <w:t> </w:t>
      </w:r>
      <w:r>
        <w:rPr>
          <w:color w:val="231F20"/>
          <w:spacing w:val="-5"/>
        </w:rPr>
        <w:t>diagnóstico</w:t>
      </w:r>
      <w:r>
        <w:rPr>
          <w:color w:val="231F20"/>
          <w:spacing w:val="-14"/>
        </w:rPr>
        <w:t> </w:t>
      </w:r>
      <w:r>
        <w:rPr>
          <w:color w:val="231F20"/>
          <w:spacing w:val="-4"/>
        </w:rPr>
        <w:t>para</w:t>
      </w:r>
      <w:r>
        <w:rPr>
          <w:color w:val="231F20"/>
          <w:spacing w:val="-14"/>
        </w:rPr>
        <w:t> </w:t>
      </w:r>
      <w:r>
        <w:rPr>
          <w:color w:val="231F20"/>
          <w:spacing w:val="-5"/>
        </w:rPr>
        <w:t>determinar</w:t>
      </w:r>
      <w:r>
        <w:rPr>
          <w:color w:val="231F20"/>
          <w:spacing w:val="-14"/>
        </w:rPr>
        <w:t> </w:t>
      </w:r>
      <w:r>
        <w:rPr>
          <w:color w:val="231F20"/>
          <w:spacing w:val="-3"/>
        </w:rPr>
        <w:t>la</w:t>
      </w:r>
      <w:r>
        <w:rPr>
          <w:color w:val="231F20"/>
          <w:spacing w:val="-14"/>
        </w:rPr>
        <w:t> </w:t>
      </w:r>
      <w:r>
        <w:rPr>
          <w:color w:val="231F20"/>
          <w:spacing w:val="-5"/>
        </w:rPr>
        <w:t>eficiencia</w:t>
      </w:r>
      <w:r>
        <w:rPr>
          <w:color w:val="231F20"/>
          <w:spacing w:val="-14"/>
        </w:rPr>
        <w:t> </w:t>
      </w:r>
      <w:r>
        <w:rPr>
          <w:color w:val="231F20"/>
          <w:spacing w:val="-4"/>
        </w:rPr>
        <w:t>del</w:t>
      </w:r>
      <w:r>
        <w:rPr>
          <w:color w:val="231F20"/>
          <w:spacing w:val="-14"/>
        </w:rPr>
        <w:t> </w:t>
      </w:r>
      <w:r>
        <w:rPr>
          <w:color w:val="231F20"/>
          <w:spacing w:val="-4"/>
        </w:rPr>
        <w:t>uso</w:t>
      </w:r>
      <w:r>
        <w:rPr>
          <w:color w:val="231F20"/>
          <w:spacing w:val="-14"/>
        </w:rPr>
        <w:t> </w:t>
      </w:r>
      <w:r>
        <w:rPr>
          <w:color w:val="231F20"/>
          <w:spacing w:val="-4"/>
        </w:rPr>
        <w:t>del</w:t>
      </w:r>
      <w:r>
        <w:rPr>
          <w:color w:val="231F20"/>
          <w:spacing w:val="-14"/>
        </w:rPr>
        <w:t> </w:t>
      </w:r>
      <w:r>
        <w:rPr>
          <w:color w:val="231F20"/>
          <w:spacing w:val="-4"/>
        </w:rPr>
        <w:t>agua</w:t>
      </w:r>
      <w:r>
        <w:rPr>
          <w:color w:val="231F20"/>
          <w:spacing w:val="-14"/>
        </w:rPr>
        <w:t> </w:t>
      </w:r>
      <w:r>
        <w:rPr>
          <w:color w:val="231F20"/>
          <w:spacing w:val="-5"/>
        </w:rPr>
        <w:t>ya </w:t>
      </w:r>
      <w:r>
        <w:rPr>
          <w:color w:val="231F20"/>
          <w:spacing w:val="-4"/>
        </w:rPr>
        <w:t>sea alta </w:t>
      </w:r>
      <w:r>
        <w:rPr>
          <w:color w:val="231F20"/>
        </w:rPr>
        <w:t>o </w:t>
      </w:r>
      <w:r>
        <w:rPr>
          <w:color w:val="231F20"/>
          <w:spacing w:val="-4"/>
        </w:rPr>
        <w:t>baja </w:t>
      </w:r>
      <w:r>
        <w:rPr>
          <w:color w:val="231F20"/>
          <w:spacing w:val="-3"/>
        </w:rPr>
        <w:t>en </w:t>
      </w:r>
      <w:r>
        <w:rPr>
          <w:color w:val="231F20"/>
          <w:spacing w:val="-4"/>
        </w:rPr>
        <w:t>los </w:t>
      </w:r>
      <w:r>
        <w:rPr>
          <w:color w:val="231F20"/>
          <w:spacing w:val="-5"/>
        </w:rPr>
        <w:t>sistemas agrícolas </w:t>
      </w:r>
      <w:r>
        <w:rPr>
          <w:color w:val="231F20"/>
        </w:rPr>
        <w:t>o </w:t>
      </w:r>
      <w:r>
        <w:rPr>
          <w:color w:val="231F20"/>
          <w:spacing w:val="-5"/>
        </w:rPr>
        <w:t>subsistemas; </w:t>
      </w:r>
      <w:r>
        <w:rPr>
          <w:color w:val="231F20"/>
        </w:rPr>
        <w:t>y </w:t>
      </w:r>
      <w:r>
        <w:rPr>
          <w:color w:val="231F20"/>
          <w:spacing w:val="-3"/>
        </w:rPr>
        <w:t>en </w:t>
      </w:r>
      <w:r>
        <w:rPr>
          <w:color w:val="231F20"/>
          <w:spacing w:val="-5"/>
        </w:rPr>
        <w:t>segundo </w:t>
      </w:r>
      <w:r>
        <w:rPr>
          <w:color w:val="231F20"/>
          <w:spacing w:val="-6"/>
        </w:rPr>
        <w:t>lugar, </w:t>
      </w:r>
      <w:r>
        <w:rPr>
          <w:color w:val="231F20"/>
          <w:spacing w:val="-5"/>
        </w:rPr>
        <w:t>proporciona </w:t>
      </w:r>
      <w:r>
        <w:rPr>
          <w:color w:val="231F20"/>
          <w:spacing w:val="-4"/>
        </w:rPr>
        <w:t>una </w:t>
      </w:r>
      <w:r>
        <w:rPr>
          <w:color w:val="231F20"/>
          <w:spacing w:val="-5"/>
        </w:rPr>
        <w:t>visión sólida </w:t>
      </w:r>
      <w:r>
        <w:rPr>
          <w:color w:val="231F20"/>
          <w:spacing w:val="-4"/>
        </w:rPr>
        <w:t>para </w:t>
      </w:r>
      <w:r>
        <w:rPr>
          <w:color w:val="231F20"/>
          <w:spacing w:val="-3"/>
        </w:rPr>
        <w:t>la </w:t>
      </w:r>
      <w:r>
        <w:rPr>
          <w:color w:val="231F20"/>
          <w:spacing w:val="-5"/>
        </w:rPr>
        <w:t>determinación </w:t>
      </w:r>
      <w:r>
        <w:rPr>
          <w:color w:val="231F20"/>
          <w:spacing w:val="-3"/>
        </w:rPr>
        <w:t>en </w:t>
      </w:r>
      <w:r>
        <w:rPr>
          <w:color w:val="231F20"/>
          <w:spacing w:val="-4"/>
        </w:rPr>
        <w:t>las </w:t>
      </w:r>
      <w:r>
        <w:rPr>
          <w:color w:val="231F20"/>
          <w:spacing w:val="-5"/>
        </w:rPr>
        <w:t>oportunidades </w:t>
      </w:r>
      <w:r>
        <w:rPr>
          <w:color w:val="231F20"/>
          <w:spacing w:val="-3"/>
        </w:rPr>
        <w:t>de </w:t>
      </w:r>
      <w:r>
        <w:rPr>
          <w:color w:val="231F20"/>
          <w:spacing w:val="-5"/>
        </w:rPr>
        <w:t>redistribución </w:t>
      </w:r>
      <w:r>
        <w:rPr>
          <w:color w:val="231F20"/>
          <w:spacing w:val="-3"/>
        </w:rPr>
        <w:t>de </w:t>
      </w:r>
      <w:r>
        <w:rPr>
          <w:color w:val="231F20"/>
          <w:spacing w:val="-4"/>
        </w:rPr>
        <w:t>agua </w:t>
      </w:r>
      <w:r>
        <w:rPr>
          <w:color w:val="231F20"/>
          <w:spacing w:val="-3"/>
        </w:rPr>
        <w:t>en </w:t>
      </w:r>
      <w:r>
        <w:rPr>
          <w:color w:val="231F20"/>
          <w:spacing w:val="-4"/>
        </w:rPr>
        <w:t>las </w:t>
      </w:r>
      <w:r>
        <w:rPr>
          <w:color w:val="231F20"/>
          <w:spacing w:val="-5"/>
        </w:rPr>
        <w:t>cuencas </w:t>
      </w:r>
      <w:r>
        <w:rPr>
          <w:color w:val="231F20"/>
          <w:spacing w:val="-4"/>
        </w:rPr>
        <w:t>hacia </w:t>
      </w:r>
      <w:r>
        <w:rPr>
          <w:color w:val="231F20"/>
          <w:spacing w:val="-3"/>
        </w:rPr>
        <w:t>un </w:t>
      </w:r>
      <w:r>
        <w:rPr>
          <w:color w:val="231F20"/>
          <w:spacing w:val="-5"/>
        </w:rPr>
        <w:t>objetivo    </w:t>
      </w:r>
      <w:r>
        <w:rPr>
          <w:color w:val="231F20"/>
          <w:spacing w:val="-3"/>
        </w:rPr>
        <w:t>de </w:t>
      </w:r>
      <w:r>
        <w:rPr>
          <w:color w:val="231F20"/>
          <w:spacing w:val="-5"/>
        </w:rPr>
        <w:t>aumento </w:t>
      </w:r>
      <w:r>
        <w:rPr>
          <w:color w:val="231F20"/>
          <w:spacing w:val="-3"/>
        </w:rPr>
        <w:t>de la </w:t>
      </w:r>
      <w:r>
        <w:rPr>
          <w:color w:val="231F20"/>
          <w:spacing w:val="-5"/>
        </w:rPr>
        <w:t>productividad </w:t>
      </w:r>
      <w:r>
        <w:rPr>
          <w:color w:val="231F20"/>
          <w:spacing w:val="-4"/>
        </w:rPr>
        <w:t>del agua </w:t>
      </w:r>
      <w:r>
        <w:rPr>
          <w:color w:val="231F20"/>
        </w:rPr>
        <w:t>a </w:t>
      </w:r>
      <w:r>
        <w:rPr>
          <w:color w:val="231F20"/>
          <w:spacing w:val="-5"/>
        </w:rPr>
        <w:t>escala </w:t>
      </w:r>
      <w:r>
        <w:rPr>
          <w:color w:val="231F20"/>
          <w:spacing w:val="-3"/>
        </w:rPr>
        <w:t>de </w:t>
      </w:r>
      <w:r>
        <w:rPr>
          <w:color w:val="231F20"/>
          <w:spacing w:val="-5"/>
        </w:rPr>
        <w:t>cuenca </w:t>
      </w:r>
      <w:r>
        <w:rPr>
          <w:color w:val="231F20"/>
        </w:rPr>
        <w:t>y </w:t>
      </w:r>
      <w:r>
        <w:rPr>
          <w:color w:val="231F20"/>
          <w:spacing w:val="-5"/>
        </w:rPr>
        <w:t>global. </w:t>
      </w:r>
      <w:r>
        <w:rPr>
          <w:color w:val="231F20"/>
          <w:spacing w:val="-3"/>
        </w:rPr>
        <w:t>Lo </w:t>
      </w:r>
      <w:r>
        <w:rPr>
          <w:color w:val="231F20"/>
          <w:spacing w:val="-4"/>
        </w:rPr>
        <w:t>que </w:t>
      </w:r>
      <w:r>
        <w:rPr>
          <w:color w:val="231F20"/>
          <w:spacing w:val="-5"/>
        </w:rPr>
        <w:t>finalmente permitirá </w:t>
      </w:r>
      <w:r>
        <w:rPr>
          <w:color w:val="231F20"/>
        </w:rPr>
        <w:t>a </w:t>
      </w:r>
      <w:r>
        <w:rPr>
          <w:color w:val="231F20"/>
          <w:spacing w:val="-5"/>
        </w:rPr>
        <w:t>los tomadores </w:t>
      </w:r>
      <w:r>
        <w:rPr>
          <w:color w:val="231F20"/>
          <w:spacing w:val="-3"/>
        </w:rPr>
        <w:t>de </w:t>
      </w:r>
      <w:r>
        <w:rPr>
          <w:color w:val="231F20"/>
          <w:spacing w:val="-5"/>
        </w:rPr>
        <w:t>decisiones </w:t>
      </w:r>
      <w:r>
        <w:rPr>
          <w:color w:val="231F20"/>
          <w:spacing w:val="-4"/>
        </w:rPr>
        <w:t>hacer </w:t>
      </w:r>
      <w:r>
        <w:rPr>
          <w:color w:val="231F20"/>
          <w:spacing w:val="-5"/>
        </w:rPr>
        <w:t>juicios acerca </w:t>
      </w:r>
      <w:r>
        <w:rPr>
          <w:color w:val="231F20"/>
          <w:spacing w:val="-3"/>
        </w:rPr>
        <w:t>de </w:t>
      </w:r>
      <w:r>
        <w:rPr>
          <w:color w:val="231F20"/>
          <w:spacing w:val="-4"/>
        </w:rPr>
        <w:t>qué </w:t>
      </w:r>
      <w:r>
        <w:rPr>
          <w:color w:val="231F20"/>
          <w:spacing w:val="-5"/>
        </w:rPr>
        <w:t>alternativas </w:t>
      </w:r>
      <w:r>
        <w:rPr>
          <w:color w:val="231F20"/>
          <w:spacing w:val="-4"/>
        </w:rPr>
        <w:t>puede haber para </w:t>
      </w:r>
      <w:r>
        <w:rPr>
          <w:color w:val="231F20"/>
          <w:spacing w:val="-5"/>
        </w:rPr>
        <w:t>resolver </w:t>
      </w:r>
      <w:r>
        <w:rPr>
          <w:color w:val="231F20"/>
          <w:spacing w:val="-4"/>
        </w:rPr>
        <w:t>los </w:t>
      </w:r>
      <w:r>
        <w:rPr>
          <w:color w:val="231F20"/>
          <w:spacing w:val="-5"/>
        </w:rPr>
        <w:t>problemas técnicos,</w:t>
      </w:r>
      <w:r>
        <w:rPr>
          <w:color w:val="231F20"/>
          <w:spacing w:val="-9"/>
        </w:rPr>
        <w:t> </w:t>
      </w:r>
      <w:r>
        <w:rPr>
          <w:color w:val="231F20"/>
          <w:spacing w:val="-3"/>
        </w:rPr>
        <w:t>de</w:t>
      </w:r>
      <w:r>
        <w:rPr>
          <w:color w:val="231F20"/>
          <w:spacing w:val="-9"/>
        </w:rPr>
        <w:t> </w:t>
      </w:r>
      <w:r>
        <w:rPr>
          <w:color w:val="231F20"/>
          <w:spacing w:val="-3"/>
        </w:rPr>
        <w:t>la</w:t>
      </w:r>
      <w:r>
        <w:rPr>
          <w:color w:val="231F20"/>
          <w:spacing w:val="-9"/>
        </w:rPr>
        <w:t> </w:t>
      </w:r>
      <w:r>
        <w:rPr>
          <w:color w:val="231F20"/>
          <w:spacing w:val="-5"/>
        </w:rPr>
        <w:t>productividad</w:t>
      </w:r>
      <w:r>
        <w:rPr>
          <w:color w:val="231F20"/>
          <w:spacing w:val="-9"/>
        </w:rPr>
        <w:t> </w:t>
      </w:r>
      <w:r>
        <w:rPr>
          <w:color w:val="231F20"/>
          <w:spacing w:val="-4"/>
        </w:rPr>
        <w:t>del</w:t>
      </w:r>
      <w:r>
        <w:rPr>
          <w:color w:val="231F20"/>
          <w:spacing w:val="-9"/>
        </w:rPr>
        <w:t> </w:t>
      </w:r>
      <w:r>
        <w:rPr>
          <w:color w:val="231F20"/>
          <w:spacing w:val="-4"/>
        </w:rPr>
        <w:t>agua,</w:t>
      </w:r>
      <w:r>
        <w:rPr>
          <w:color w:val="231F20"/>
          <w:spacing w:val="-9"/>
        </w:rPr>
        <w:t> </w:t>
      </w:r>
      <w:r>
        <w:rPr>
          <w:color w:val="231F20"/>
          <w:spacing w:val="-5"/>
        </w:rPr>
        <w:t>acerca</w:t>
      </w:r>
      <w:r>
        <w:rPr>
          <w:color w:val="231F20"/>
          <w:spacing w:val="-9"/>
        </w:rPr>
        <w:t> </w:t>
      </w:r>
      <w:r>
        <w:rPr>
          <w:color w:val="231F20"/>
          <w:spacing w:val="-3"/>
        </w:rPr>
        <w:t>de</w:t>
      </w:r>
      <w:r>
        <w:rPr>
          <w:color w:val="231F20"/>
          <w:spacing w:val="-9"/>
        </w:rPr>
        <w:t> </w:t>
      </w:r>
      <w:r>
        <w:rPr>
          <w:color w:val="231F20"/>
          <w:spacing w:val="-3"/>
        </w:rPr>
        <w:t>si</w:t>
      </w:r>
      <w:r>
        <w:rPr>
          <w:color w:val="231F20"/>
          <w:spacing w:val="-9"/>
        </w:rPr>
        <w:t> </w:t>
      </w:r>
      <w:r>
        <w:rPr>
          <w:color w:val="231F20"/>
          <w:spacing w:val="-4"/>
        </w:rPr>
        <w:t>una</w:t>
      </w:r>
      <w:r>
        <w:rPr>
          <w:color w:val="231F20"/>
          <w:spacing w:val="-9"/>
        </w:rPr>
        <w:t> </w:t>
      </w:r>
      <w:r>
        <w:rPr>
          <w:color w:val="231F20"/>
          <w:spacing w:val="-5"/>
        </w:rPr>
        <w:t>región</w:t>
      </w:r>
      <w:r>
        <w:rPr>
          <w:color w:val="231F20"/>
          <w:spacing w:val="-9"/>
        </w:rPr>
        <w:t> </w:t>
      </w:r>
      <w:r>
        <w:rPr>
          <w:color w:val="231F20"/>
          <w:spacing w:val="-3"/>
        </w:rPr>
        <w:t>es</w:t>
      </w:r>
      <w:r>
        <w:rPr>
          <w:color w:val="231F20"/>
          <w:spacing w:val="-9"/>
        </w:rPr>
        <w:t> </w:t>
      </w:r>
      <w:r>
        <w:rPr>
          <w:color w:val="231F20"/>
        </w:rPr>
        <w:t>o</w:t>
      </w:r>
      <w:r>
        <w:rPr>
          <w:color w:val="231F20"/>
          <w:spacing w:val="-9"/>
        </w:rPr>
        <w:t> </w:t>
      </w:r>
      <w:r>
        <w:rPr>
          <w:color w:val="231F20"/>
          <w:spacing w:val="-3"/>
        </w:rPr>
        <w:t>no</w:t>
      </w:r>
      <w:r>
        <w:rPr>
          <w:color w:val="231F20"/>
          <w:spacing w:val="-9"/>
        </w:rPr>
        <w:t> </w:t>
      </w:r>
      <w:r>
        <w:rPr>
          <w:color w:val="231F20"/>
          <w:spacing w:val="-4"/>
        </w:rPr>
        <w:t>eficiente</w:t>
      </w:r>
      <w:r>
        <w:rPr>
          <w:color w:val="231F20"/>
          <w:spacing w:val="-9"/>
        </w:rPr>
        <w:t> </w:t>
      </w:r>
      <w:r>
        <w:rPr>
          <w:color w:val="231F20"/>
          <w:spacing w:val="-3"/>
        </w:rPr>
        <w:t>en</w:t>
      </w:r>
      <w:r>
        <w:rPr>
          <w:color w:val="231F20"/>
          <w:spacing w:val="-9"/>
        </w:rPr>
        <w:t> </w:t>
      </w:r>
      <w:r>
        <w:rPr>
          <w:color w:val="231F20"/>
          <w:spacing w:val="-3"/>
        </w:rPr>
        <w:t>la</w:t>
      </w:r>
      <w:r>
        <w:rPr>
          <w:color w:val="231F20"/>
          <w:spacing w:val="-9"/>
        </w:rPr>
        <w:t> </w:t>
      </w:r>
      <w:r>
        <w:rPr>
          <w:color w:val="231F20"/>
          <w:spacing w:val="-5"/>
        </w:rPr>
        <w:t>producción</w:t>
      </w:r>
      <w:r>
        <w:rPr>
          <w:color w:val="231F20"/>
          <w:spacing w:val="-9"/>
        </w:rPr>
        <w:t> </w:t>
      </w:r>
      <w:r>
        <w:rPr>
          <w:color w:val="231F20"/>
          <w:spacing w:val="-5"/>
        </w:rPr>
        <w:t>agrícola.</w:t>
      </w:r>
    </w:p>
    <w:p>
      <w:pPr>
        <w:pStyle w:val="BodyText"/>
        <w:spacing w:before="10"/>
      </w:pPr>
    </w:p>
    <w:p>
      <w:pPr>
        <w:pStyle w:val="BodyText"/>
        <w:spacing w:line="247" w:lineRule="auto"/>
        <w:ind w:left="1270" w:right="1267"/>
        <w:jc w:val="both"/>
      </w:pPr>
      <w:r>
        <w:rPr>
          <w:color w:val="231F20"/>
        </w:rPr>
        <w:t>De acuerdo con la </w:t>
      </w:r>
      <w:r>
        <w:rPr>
          <w:color w:val="231F20"/>
          <w:spacing w:val="-6"/>
        </w:rPr>
        <w:t>FAO </w:t>
      </w:r>
      <w:r>
        <w:rPr>
          <w:color w:val="231F20"/>
        </w:rPr>
        <w:t>(2002), la productividad del agua se denomina eficiencia y esta no es más que</w:t>
      </w:r>
      <w:r>
        <w:rPr>
          <w:color w:val="231F20"/>
          <w:spacing w:val="-7"/>
        </w:rPr>
        <w:t> </w:t>
      </w:r>
      <w:r>
        <w:rPr>
          <w:color w:val="231F20"/>
        </w:rPr>
        <w:t>la</w:t>
      </w:r>
      <w:r>
        <w:rPr>
          <w:color w:val="231F20"/>
          <w:spacing w:val="-7"/>
        </w:rPr>
        <w:t> </w:t>
      </w:r>
      <w:r>
        <w:rPr>
          <w:color w:val="231F20"/>
        </w:rPr>
        <w:t>cantidad</w:t>
      </w:r>
      <w:r>
        <w:rPr>
          <w:color w:val="231F20"/>
          <w:spacing w:val="-7"/>
        </w:rPr>
        <w:t> </w:t>
      </w:r>
      <w:r>
        <w:rPr>
          <w:color w:val="231F20"/>
        </w:rPr>
        <w:t>o</w:t>
      </w:r>
      <w:r>
        <w:rPr>
          <w:color w:val="231F20"/>
          <w:spacing w:val="-7"/>
        </w:rPr>
        <w:t> </w:t>
      </w:r>
      <w:r>
        <w:rPr>
          <w:color w:val="231F20"/>
        </w:rPr>
        <w:t>relación</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cantidad</w:t>
      </w:r>
      <w:r>
        <w:rPr>
          <w:color w:val="231F20"/>
          <w:spacing w:val="-7"/>
        </w:rPr>
        <w:t> </w:t>
      </w:r>
      <w:r>
        <w:rPr>
          <w:color w:val="231F20"/>
        </w:rPr>
        <w:t>de</w:t>
      </w:r>
      <w:r>
        <w:rPr>
          <w:color w:val="231F20"/>
          <w:spacing w:val="-7"/>
        </w:rPr>
        <w:t> </w:t>
      </w:r>
      <w:r>
        <w:rPr>
          <w:color w:val="231F20"/>
        </w:rPr>
        <w:t>producto</w:t>
      </w:r>
      <w:r>
        <w:rPr>
          <w:color w:val="231F20"/>
          <w:spacing w:val="-7"/>
        </w:rPr>
        <w:t> </w:t>
      </w:r>
      <w:r>
        <w:rPr>
          <w:color w:val="231F20"/>
        </w:rPr>
        <w:t>obtenido</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genera</w:t>
      </w:r>
      <w:r>
        <w:rPr>
          <w:color w:val="231F20"/>
          <w:spacing w:val="-7"/>
        </w:rPr>
        <w:t> </w:t>
      </w:r>
      <w:r>
        <w:rPr>
          <w:color w:val="231F20"/>
        </w:rPr>
        <w:t>o</w:t>
      </w:r>
      <w:r>
        <w:rPr>
          <w:color w:val="231F20"/>
          <w:spacing w:val="-7"/>
        </w:rPr>
        <w:t> </w:t>
      </w:r>
      <w:r>
        <w:rPr>
          <w:color w:val="231F20"/>
        </w:rPr>
        <w:t>“salidas”</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cantidad de agua que se utiliza o “entradas” para producir tal producto. Estas “salidas” podrían</w:t>
      </w:r>
      <w:r>
        <w:rPr>
          <w:color w:val="231F20"/>
          <w:spacing w:val="-36"/>
        </w:rPr>
        <w:t> </w:t>
      </w:r>
      <w:r>
        <w:rPr>
          <w:color w:val="231F20"/>
        </w:rPr>
        <w:t>ser biológicas tales</w:t>
      </w:r>
      <w:r>
        <w:rPr>
          <w:color w:val="231F20"/>
          <w:spacing w:val="-10"/>
        </w:rPr>
        <w:t> </w:t>
      </w:r>
      <w:r>
        <w:rPr>
          <w:color w:val="231F20"/>
        </w:rPr>
        <w:t>como</w:t>
      </w:r>
      <w:r>
        <w:rPr>
          <w:color w:val="231F20"/>
          <w:spacing w:val="-10"/>
        </w:rPr>
        <w:t> </w:t>
      </w:r>
      <w:r>
        <w:rPr>
          <w:color w:val="231F20"/>
        </w:rPr>
        <w:t>cultivos</w:t>
      </w:r>
      <w:r>
        <w:rPr>
          <w:color w:val="231F20"/>
          <w:spacing w:val="-11"/>
        </w:rPr>
        <w:t> </w:t>
      </w:r>
      <w:r>
        <w:rPr>
          <w:color w:val="231F20"/>
        </w:rPr>
        <w:t>(granos,</w:t>
      </w:r>
      <w:r>
        <w:rPr>
          <w:color w:val="231F20"/>
          <w:spacing w:val="-10"/>
        </w:rPr>
        <w:t> </w:t>
      </w:r>
      <w:r>
        <w:rPr>
          <w:color w:val="231F20"/>
        </w:rPr>
        <w:t>frutas</w:t>
      </w:r>
      <w:r>
        <w:rPr>
          <w:color w:val="231F20"/>
          <w:spacing w:val="-10"/>
        </w:rPr>
        <w:t> </w:t>
      </w:r>
      <w:r>
        <w:rPr>
          <w:color w:val="231F20"/>
        </w:rPr>
        <w:t>o</w:t>
      </w:r>
      <w:r>
        <w:rPr>
          <w:color w:val="231F20"/>
          <w:spacing w:val="-10"/>
        </w:rPr>
        <w:t> </w:t>
      </w:r>
      <w:r>
        <w:rPr>
          <w:color w:val="231F20"/>
        </w:rPr>
        <w:t>verduras),</w:t>
      </w:r>
      <w:r>
        <w:rPr>
          <w:color w:val="231F20"/>
          <w:spacing w:val="-10"/>
        </w:rPr>
        <w:t> </w:t>
      </w:r>
      <w:r>
        <w:rPr>
          <w:color w:val="231F20"/>
        </w:rPr>
        <w:t>o</w:t>
      </w:r>
      <w:r>
        <w:rPr>
          <w:color w:val="231F20"/>
          <w:spacing w:val="-10"/>
        </w:rPr>
        <w:t> </w:t>
      </w:r>
      <w:r>
        <w:rPr>
          <w:color w:val="231F20"/>
        </w:rPr>
        <w:t>animales</w:t>
      </w:r>
      <w:r>
        <w:rPr>
          <w:color w:val="231F20"/>
          <w:spacing w:val="-11"/>
        </w:rPr>
        <w:t> </w:t>
      </w:r>
      <w:r>
        <w:rPr>
          <w:color w:val="231F20"/>
        </w:rPr>
        <w:t>(carne,</w:t>
      </w:r>
      <w:r>
        <w:rPr>
          <w:color w:val="231F20"/>
          <w:spacing w:val="-10"/>
        </w:rPr>
        <w:t> </w:t>
      </w:r>
      <w:r>
        <w:rPr>
          <w:color w:val="231F20"/>
        </w:rPr>
        <w:t>leche,</w:t>
      </w:r>
      <w:r>
        <w:rPr>
          <w:color w:val="231F20"/>
          <w:spacing w:val="-11"/>
        </w:rPr>
        <w:t> </w:t>
      </w:r>
      <w:r>
        <w:rPr>
          <w:color w:val="231F20"/>
        </w:rPr>
        <w:t>huevo,</w:t>
      </w:r>
      <w:r>
        <w:rPr>
          <w:color w:val="231F20"/>
          <w:spacing w:val="-10"/>
        </w:rPr>
        <w:t> </w:t>
      </w:r>
      <w:r>
        <w:rPr>
          <w:color w:val="231F20"/>
        </w:rPr>
        <w:t>pescado,</w:t>
      </w:r>
      <w:r>
        <w:rPr>
          <w:color w:val="231F20"/>
          <w:spacing w:val="-10"/>
        </w:rPr>
        <w:t> </w:t>
      </w:r>
      <w:r>
        <w:rPr>
          <w:color w:val="231F20"/>
        </w:rPr>
        <w:t>piel,</w:t>
      </w:r>
      <w:r>
        <w:rPr>
          <w:color w:val="231F20"/>
          <w:spacing w:val="-10"/>
        </w:rPr>
        <w:t> </w:t>
      </w:r>
      <w:r>
        <w:rPr>
          <w:color w:val="231F20"/>
        </w:rPr>
        <w:t>o</w:t>
      </w:r>
      <w:r>
        <w:rPr>
          <w:color w:val="231F20"/>
          <w:spacing w:val="-10"/>
        </w:rPr>
        <w:t> </w:t>
      </w:r>
      <w:r>
        <w:rPr>
          <w:color w:val="231F20"/>
        </w:rPr>
        <w:t>lana) y se puede expresar en términos de rendimiento productivo, rendimiento nutricional, o valor econó- mico. Por ello el objetivo de este trabajo fue la determinación de la productividad física, monetaria y social del nogal pecadero en el Distrito de Riego–017, producido a escala comercial, por ser estas dos las dos zonas importantes a nivel nacional en la producción de chile</w:t>
      </w:r>
      <w:r>
        <w:rPr>
          <w:color w:val="231F20"/>
          <w:spacing w:val="-7"/>
        </w:rPr>
        <w:t> </w:t>
      </w:r>
      <w:r>
        <w:rPr>
          <w:color w:val="231F20"/>
        </w:rPr>
        <w:t>verde.</w:t>
      </w:r>
    </w:p>
    <w:p>
      <w:pPr>
        <w:pStyle w:val="BodyText"/>
        <w:spacing w:before="11"/>
        <w:rPr>
          <w:sz w:val="20"/>
        </w:rPr>
      </w:pPr>
    </w:p>
    <w:p>
      <w:pPr>
        <w:spacing w:line="247" w:lineRule="auto" w:before="0"/>
        <w:ind w:left="1590" w:right="1279" w:firstLine="0"/>
        <w:jc w:val="left"/>
        <w:rPr>
          <w:rFonts w:ascii="Trebuchet MS" w:hAnsi="Trebuchet MS"/>
          <w:sz w:val="16"/>
        </w:rPr>
      </w:pPr>
      <w:r>
        <w:rPr>
          <w:rFonts w:ascii="Trebuchet MS" w:hAnsi="Trebuchet MS"/>
          <w:color w:val="231F20"/>
          <w:position w:val="5"/>
          <w:sz w:val="9"/>
        </w:rPr>
        <w:t>1</w:t>
      </w:r>
      <w:r>
        <w:rPr>
          <w:rFonts w:ascii="Trebuchet MS" w:hAnsi="Trebuchet MS"/>
          <w:color w:val="231F20"/>
          <w:sz w:val="16"/>
        </w:rPr>
        <w:t>Universidad</w:t>
      </w:r>
      <w:r>
        <w:rPr>
          <w:rFonts w:ascii="Trebuchet MS" w:hAnsi="Trebuchet MS"/>
          <w:color w:val="231F20"/>
          <w:spacing w:val="-18"/>
          <w:sz w:val="16"/>
        </w:rPr>
        <w:t> </w:t>
      </w:r>
      <w:r>
        <w:rPr>
          <w:rFonts w:ascii="Trebuchet MS" w:hAnsi="Trebuchet MS"/>
          <w:color w:val="231F20"/>
          <w:sz w:val="16"/>
        </w:rPr>
        <w:t>Autónoma</w:t>
      </w:r>
      <w:r>
        <w:rPr>
          <w:rFonts w:ascii="Trebuchet MS" w:hAnsi="Trebuchet MS"/>
          <w:color w:val="231F20"/>
          <w:spacing w:val="-12"/>
          <w:sz w:val="16"/>
        </w:rPr>
        <w:t> </w:t>
      </w:r>
      <w:r>
        <w:rPr>
          <w:rFonts w:ascii="Trebuchet MS" w:hAnsi="Trebuchet MS"/>
          <w:color w:val="231F20"/>
          <w:sz w:val="16"/>
        </w:rPr>
        <w:t>Chapingo-Unidad</w:t>
      </w:r>
      <w:r>
        <w:rPr>
          <w:rFonts w:ascii="Trebuchet MS" w:hAnsi="Trebuchet MS"/>
          <w:color w:val="231F20"/>
          <w:spacing w:val="-11"/>
          <w:sz w:val="16"/>
        </w:rPr>
        <w:t> </w:t>
      </w:r>
      <w:r>
        <w:rPr>
          <w:rFonts w:ascii="Trebuchet MS" w:hAnsi="Trebuchet MS"/>
          <w:color w:val="231F20"/>
          <w:sz w:val="16"/>
        </w:rPr>
        <w:t>Regional</w:t>
      </w:r>
      <w:r>
        <w:rPr>
          <w:rFonts w:ascii="Trebuchet MS" w:hAnsi="Trebuchet MS"/>
          <w:color w:val="231F20"/>
          <w:spacing w:val="-11"/>
          <w:sz w:val="16"/>
        </w:rPr>
        <w:t> </w:t>
      </w:r>
      <w:r>
        <w:rPr>
          <w:rFonts w:ascii="Trebuchet MS" w:hAnsi="Trebuchet MS"/>
          <w:color w:val="231F20"/>
          <w:sz w:val="16"/>
        </w:rPr>
        <w:t>Universitaria</w:t>
      </w:r>
      <w:r>
        <w:rPr>
          <w:rFonts w:ascii="Trebuchet MS" w:hAnsi="Trebuchet MS"/>
          <w:color w:val="231F20"/>
          <w:spacing w:val="-11"/>
          <w:sz w:val="16"/>
        </w:rPr>
        <w:t> </w:t>
      </w:r>
      <w:r>
        <w:rPr>
          <w:rFonts w:ascii="Trebuchet MS" w:hAnsi="Trebuchet MS"/>
          <w:color w:val="231F20"/>
          <w:sz w:val="16"/>
        </w:rPr>
        <w:t>de</w:t>
      </w:r>
      <w:r>
        <w:rPr>
          <w:rFonts w:ascii="Trebuchet MS" w:hAnsi="Trebuchet MS"/>
          <w:color w:val="231F20"/>
          <w:spacing w:val="-11"/>
          <w:sz w:val="16"/>
        </w:rPr>
        <w:t> </w:t>
      </w:r>
      <w:r>
        <w:rPr>
          <w:rFonts w:ascii="Trebuchet MS" w:hAnsi="Trebuchet MS"/>
          <w:color w:val="231F20"/>
          <w:sz w:val="16"/>
        </w:rPr>
        <w:t>Zonas</w:t>
      </w:r>
      <w:r>
        <w:rPr>
          <w:rFonts w:ascii="Trebuchet MS" w:hAnsi="Trebuchet MS"/>
          <w:color w:val="231F20"/>
          <w:spacing w:val="-11"/>
          <w:sz w:val="16"/>
        </w:rPr>
        <w:t> </w:t>
      </w:r>
      <w:r>
        <w:rPr>
          <w:rFonts w:ascii="Trebuchet MS" w:hAnsi="Trebuchet MS"/>
          <w:color w:val="231F20"/>
          <w:sz w:val="16"/>
        </w:rPr>
        <w:t>Áridas,</w:t>
      </w:r>
      <w:r>
        <w:rPr>
          <w:rFonts w:ascii="Trebuchet MS" w:hAnsi="Trebuchet MS"/>
          <w:color w:val="231F20"/>
          <w:spacing w:val="-11"/>
          <w:sz w:val="16"/>
        </w:rPr>
        <w:t> </w:t>
      </w:r>
      <w:r>
        <w:rPr>
          <w:rFonts w:ascii="Trebuchet MS" w:hAnsi="Trebuchet MS"/>
          <w:color w:val="231F20"/>
          <w:sz w:val="16"/>
        </w:rPr>
        <w:t>Universidad</w:t>
      </w:r>
      <w:r>
        <w:rPr>
          <w:rFonts w:ascii="Trebuchet MS" w:hAnsi="Trebuchet MS"/>
          <w:color w:val="231F20"/>
          <w:spacing w:val="-18"/>
          <w:sz w:val="16"/>
        </w:rPr>
        <w:t> </w:t>
      </w:r>
      <w:r>
        <w:rPr>
          <w:rFonts w:ascii="Trebuchet MS" w:hAnsi="Trebuchet MS"/>
          <w:color w:val="231F20"/>
          <w:sz w:val="16"/>
        </w:rPr>
        <w:t>Autónoma</w:t>
      </w:r>
      <w:r>
        <w:rPr>
          <w:rFonts w:ascii="Trebuchet MS" w:hAnsi="Trebuchet MS"/>
          <w:color w:val="231F20"/>
          <w:spacing w:val="-12"/>
          <w:sz w:val="16"/>
        </w:rPr>
        <w:t> </w:t>
      </w:r>
      <w:r>
        <w:rPr>
          <w:rFonts w:ascii="Trebuchet MS" w:hAnsi="Trebuchet MS"/>
          <w:color w:val="231F20"/>
          <w:sz w:val="16"/>
        </w:rPr>
        <w:t>Chapin- go. Bermejillo, Durango, </w:t>
      </w:r>
      <w:r>
        <w:rPr>
          <w:rFonts w:ascii="Trebuchet MS" w:hAnsi="Trebuchet MS"/>
          <w:color w:val="231F20"/>
          <w:spacing w:val="-9"/>
          <w:sz w:val="16"/>
        </w:rPr>
        <w:t>C.P. </w:t>
      </w:r>
      <w:r>
        <w:rPr>
          <w:rFonts w:ascii="Trebuchet MS" w:hAnsi="Trebuchet MS"/>
          <w:color w:val="231F20"/>
          <w:sz w:val="16"/>
        </w:rPr>
        <w:t>35230. E-mail: </w:t>
      </w:r>
      <w:hyperlink r:id="rId68">
        <w:r>
          <w:rPr>
            <w:rFonts w:ascii="Trebuchet MS" w:hAnsi="Trebuchet MS"/>
            <w:color w:val="231F20"/>
            <w:sz w:val="16"/>
          </w:rPr>
          <w:t>j.rf2005@hotmail.com.</w:t>
        </w:r>
      </w:hyperlink>
      <w:r>
        <w:rPr>
          <w:rFonts w:ascii="Trebuchet MS" w:hAnsi="Trebuchet MS"/>
          <w:color w:val="231F20"/>
          <w:sz w:val="16"/>
        </w:rPr>
        <w:t> </w:t>
      </w:r>
      <w:r>
        <w:rPr>
          <w:rFonts w:ascii="Trebuchet MS" w:hAnsi="Trebuchet MS"/>
          <w:color w:val="231F20"/>
          <w:spacing w:val="-3"/>
          <w:position w:val="5"/>
          <w:sz w:val="9"/>
        </w:rPr>
        <w:t>2</w:t>
      </w:r>
      <w:r>
        <w:rPr>
          <w:rFonts w:ascii="Trebuchet MS" w:hAnsi="Trebuchet MS"/>
          <w:color w:val="231F20"/>
          <w:spacing w:val="-3"/>
          <w:sz w:val="16"/>
        </w:rPr>
        <w:t>SAGARPA, </w:t>
      </w:r>
      <w:r>
        <w:rPr>
          <w:rFonts w:ascii="Trebuchet MS" w:hAnsi="Trebuchet MS"/>
          <w:color w:val="231F20"/>
          <w:sz w:val="16"/>
        </w:rPr>
        <w:t>Delegación-Región Lagunera- Subdelegación</w:t>
      </w:r>
      <w:r>
        <w:rPr>
          <w:rFonts w:ascii="Trebuchet MS" w:hAnsi="Trebuchet MS"/>
          <w:color w:val="231F20"/>
          <w:spacing w:val="-10"/>
          <w:sz w:val="16"/>
        </w:rPr>
        <w:t> </w:t>
      </w:r>
      <w:r>
        <w:rPr>
          <w:rFonts w:ascii="Trebuchet MS" w:hAnsi="Trebuchet MS"/>
          <w:color w:val="231F20"/>
          <w:sz w:val="16"/>
        </w:rPr>
        <w:t>de</w:t>
      </w:r>
      <w:r>
        <w:rPr>
          <w:rFonts w:ascii="Trebuchet MS" w:hAnsi="Trebuchet MS"/>
          <w:color w:val="231F20"/>
          <w:spacing w:val="-9"/>
          <w:sz w:val="16"/>
        </w:rPr>
        <w:t> </w:t>
      </w:r>
      <w:r>
        <w:rPr>
          <w:rFonts w:ascii="Trebuchet MS" w:hAnsi="Trebuchet MS"/>
          <w:color w:val="231F20"/>
          <w:sz w:val="16"/>
        </w:rPr>
        <w:t>Planeación</w:t>
      </w:r>
      <w:r>
        <w:rPr>
          <w:rFonts w:ascii="Trebuchet MS" w:hAnsi="Trebuchet MS"/>
          <w:color w:val="231F20"/>
          <w:spacing w:val="-10"/>
          <w:sz w:val="16"/>
        </w:rPr>
        <w:t> </w:t>
      </w:r>
      <w:r>
        <w:rPr>
          <w:rFonts w:ascii="Trebuchet MS" w:hAnsi="Trebuchet MS"/>
          <w:color w:val="231F20"/>
          <w:sz w:val="16"/>
        </w:rPr>
        <w:t>y</w:t>
      </w:r>
      <w:r>
        <w:rPr>
          <w:rFonts w:ascii="Trebuchet MS" w:hAnsi="Trebuchet MS"/>
          <w:color w:val="231F20"/>
          <w:spacing w:val="-9"/>
          <w:sz w:val="16"/>
        </w:rPr>
        <w:t> </w:t>
      </w:r>
      <w:r>
        <w:rPr>
          <w:rFonts w:ascii="Trebuchet MS" w:hAnsi="Trebuchet MS"/>
          <w:color w:val="231F20"/>
          <w:sz w:val="16"/>
        </w:rPr>
        <w:t>Desarrollo</w:t>
      </w:r>
      <w:r>
        <w:rPr>
          <w:rFonts w:ascii="Trebuchet MS" w:hAnsi="Trebuchet MS"/>
          <w:color w:val="231F20"/>
          <w:spacing w:val="-8"/>
          <w:sz w:val="16"/>
        </w:rPr>
        <w:t> </w:t>
      </w:r>
      <w:r>
        <w:rPr>
          <w:rFonts w:ascii="Trebuchet MS" w:hAnsi="Trebuchet MS"/>
          <w:color w:val="231F20"/>
          <w:sz w:val="16"/>
        </w:rPr>
        <w:t>Rural,</w:t>
      </w:r>
      <w:r>
        <w:rPr>
          <w:rFonts w:ascii="Trebuchet MS" w:hAnsi="Trebuchet MS"/>
          <w:color w:val="231F20"/>
          <w:spacing w:val="-9"/>
          <w:sz w:val="16"/>
        </w:rPr>
        <w:t> </w:t>
      </w:r>
      <w:r>
        <w:rPr>
          <w:rFonts w:ascii="Trebuchet MS" w:hAnsi="Trebuchet MS"/>
          <w:color w:val="231F20"/>
          <w:sz w:val="16"/>
        </w:rPr>
        <w:t>Cd.</w:t>
      </w:r>
      <w:r>
        <w:rPr>
          <w:rFonts w:ascii="Trebuchet MS" w:hAnsi="Trebuchet MS"/>
          <w:color w:val="231F20"/>
          <w:spacing w:val="-9"/>
          <w:sz w:val="16"/>
        </w:rPr>
        <w:t> </w:t>
      </w:r>
      <w:r>
        <w:rPr>
          <w:rFonts w:ascii="Trebuchet MS" w:hAnsi="Trebuchet MS"/>
          <w:color w:val="231F20"/>
          <w:sz w:val="16"/>
        </w:rPr>
        <w:t>Lerdo,</w:t>
      </w:r>
      <w:r>
        <w:rPr>
          <w:rFonts w:ascii="Trebuchet MS" w:hAnsi="Trebuchet MS"/>
          <w:color w:val="231F20"/>
          <w:spacing w:val="-9"/>
          <w:sz w:val="16"/>
        </w:rPr>
        <w:t> </w:t>
      </w:r>
      <w:r>
        <w:rPr>
          <w:rFonts w:ascii="Trebuchet MS" w:hAnsi="Trebuchet MS"/>
          <w:color w:val="231F20"/>
          <w:sz w:val="16"/>
        </w:rPr>
        <w:t>Dgo.,</w:t>
      </w:r>
      <w:r>
        <w:rPr>
          <w:rFonts w:ascii="Trebuchet MS" w:hAnsi="Trebuchet MS"/>
          <w:color w:val="231F20"/>
          <w:spacing w:val="-9"/>
          <w:sz w:val="16"/>
        </w:rPr>
        <w:t> </w:t>
      </w:r>
      <w:r>
        <w:rPr>
          <w:rFonts w:ascii="Trebuchet MS" w:hAnsi="Trebuchet MS"/>
          <w:color w:val="231F20"/>
          <w:sz w:val="16"/>
        </w:rPr>
        <w:t>México.</w:t>
      </w:r>
    </w:p>
    <w:p>
      <w:pPr>
        <w:spacing w:after="0" w:line="247" w:lineRule="auto"/>
        <w:jc w:val="left"/>
        <w:rPr>
          <w:rFonts w:ascii="Trebuchet MS" w:hAnsi="Trebuchet MS"/>
          <w:sz w:val="16"/>
        </w:rPr>
        <w:sectPr>
          <w:pgSz w:w="10920" w:h="13080"/>
          <w:pgMar w:header="0" w:footer="1025" w:top="420" w:bottom="1220" w:left="0" w:right="0"/>
        </w:sectPr>
      </w:pPr>
    </w:p>
    <w:p>
      <w:pPr>
        <w:pStyle w:val="BodyText"/>
        <w:rPr>
          <w:rFonts w:ascii="Trebuchet MS"/>
          <w:sz w:val="20"/>
        </w:rPr>
      </w:pPr>
    </w:p>
    <w:p>
      <w:pPr>
        <w:pStyle w:val="BodyText"/>
        <w:rPr>
          <w:rFonts w:ascii="Trebuchet MS"/>
          <w:sz w:val="20"/>
        </w:rPr>
      </w:pPr>
    </w:p>
    <w:p>
      <w:pPr>
        <w:pStyle w:val="BodyText"/>
        <w:spacing w:before="9"/>
        <w:rPr>
          <w:rFonts w:ascii="Trebuchet MS"/>
        </w:rPr>
      </w:pPr>
    </w:p>
    <w:p>
      <w:pPr>
        <w:pStyle w:val="Heading3"/>
        <w:spacing w:before="69"/>
      </w:pPr>
      <w:r>
        <w:rPr>
          <w:color w:val="010202"/>
        </w:rPr>
        <w:t>Materiales y métodos</w:t>
      </w:r>
    </w:p>
    <w:p>
      <w:pPr>
        <w:pStyle w:val="BodyText"/>
        <w:spacing w:before="10"/>
        <w:rPr>
          <w:b/>
        </w:rPr>
      </w:pPr>
    </w:p>
    <w:p>
      <w:pPr>
        <w:pStyle w:val="Heading5"/>
      </w:pPr>
      <w:r>
        <w:rPr>
          <w:color w:val="231F20"/>
        </w:rPr>
        <w:t>Fuentes de información</w:t>
      </w:r>
    </w:p>
    <w:p>
      <w:pPr>
        <w:pStyle w:val="BodyText"/>
        <w:spacing w:line="247" w:lineRule="auto" w:before="8"/>
        <w:ind w:left="1270" w:right="1267"/>
        <w:jc w:val="both"/>
      </w:pPr>
      <w:r>
        <w:rPr>
          <w:color w:val="231F20"/>
        </w:rPr>
        <w:t>Para</w:t>
      </w:r>
      <w:r>
        <w:rPr>
          <w:color w:val="231F20"/>
          <w:spacing w:val="-16"/>
        </w:rPr>
        <w:t> </w:t>
      </w:r>
      <w:r>
        <w:rPr>
          <w:color w:val="231F20"/>
        </w:rPr>
        <w:t>el</w:t>
      </w:r>
      <w:r>
        <w:rPr>
          <w:color w:val="231F20"/>
          <w:spacing w:val="-16"/>
        </w:rPr>
        <w:t> </w:t>
      </w:r>
      <w:r>
        <w:rPr>
          <w:color w:val="231F20"/>
        </w:rPr>
        <w:t>Distrito</w:t>
      </w:r>
      <w:r>
        <w:rPr>
          <w:color w:val="231F20"/>
          <w:spacing w:val="-16"/>
        </w:rPr>
        <w:t> </w:t>
      </w:r>
      <w:r>
        <w:rPr>
          <w:color w:val="231F20"/>
        </w:rPr>
        <w:t>de</w:t>
      </w:r>
      <w:r>
        <w:rPr>
          <w:color w:val="231F20"/>
          <w:spacing w:val="-16"/>
        </w:rPr>
        <w:t> </w:t>
      </w:r>
      <w:r>
        <w:rPr>
          <w:color w:val="231F20"/>
        </w:rPr>
        <w:t>Riego</w:t>
      </w:r>
      <w:r>
        <w:rPr>
          <w:color w:val="231F20"/>
          <w:spacing w:val="-16"/>
        </w:rPr>
        <w:t> </w:t>
      </w:r>
      <w:r>
        <w:rPr>
          <w:color w:val="231F20"/>
        </w:rPr>
        <w:t>(DR)</w:t>
      </w:r>
      <w:r>
        <w:rPr>
          <w:color w:val="231F20"/>
          <w:spacing w:val="-16"/>
        </w:rPr>
        <w:t> </w:t>
      </w:r>
      <w:r>
        <w:rPr>
          <w:color w:val="231F20"/>
        </w:rPr>
        <w:t>017</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Comarca</w:t>
      </w:r>
      <w:r>
        <w:rPr>
          <w:color w:val="231F20"/>
          <w:spacing w:val="-16"/>
        </w:rPr>
        <w:t> </w:t>
      </w:r>
      <w:r>
        <w:rPr>
          <w:color w:val="231F20"/>
        </w:rPr>
        <w:t>Lagunera,</w:t>
      </w:r>
      <w:r>
        <w:rPr>
          <w:color w:val="231F20"/>
          <w:spacing w:val="-16"/>
        </w:rPr>
        <w:t> </w:t>
      </w:r>
      <w:r>
        <w:rPr>
          <w:color w:val="231F20"/>
        </w:rPr>
        <w:t>se</w:t>
      </w:r>
      <w:r>
        <w:rPr>
          <w:color w:val="231F20"/>
          <w:spacing w:val="-16"/>
        </w:rPr>
        <w:t> </w:t>
      </w:r>
      <w:r>
        <w:rPr>
          <w:color w:val="231F20"/>
        </w:rPr>
        <w:t>utilizaron</w:t>
      </w:r>
      <w:r>
        <w:rPr>
          <w:color w:val="231F20"/>
          <w:spacing w:val="-16"/>
        </w:rPr>
        <w:t> </w:t>
      </w:r>
      <w:r>
        <w:rPr>
          <w:color w:val="231F20"/>
        </w:rPr>
        <w:t>como</w:t>
      </w:r>
      <w:r>
        <w:rPr>
          <w:color w:val="231F20"/>
          <w:spacing w:val="-16"/>
        </w:rPr>
        <w:t> </w:t>
      </w:r>
      <w:r>
        <w:rPr>
          <w:color w:val="231F20"/>
        </w:rPr>
        <w:t>datos</w:t>
      </w:r>
      <w:r>
        <w:rPr>
          <w:color w:val="231F20"/>
          <w:spacing w:val="-16"/>
        </w:rPr>
        <w:t> </w:t>
      </w:r>
      <w:r>
        <w:rPr>
          <w:color w:val="231F20"/>
        </w:rPr>
        <w:t>base,</w:t>
      </w:r>
      <w:r>
        <w:rPr>
          <w:color w:val="231F20"/>
          <w:spacing w:val="-16"/>
        </w:rPr>
        <w:t> </w:t>
      </w:r>
      <w:r>
        <w:rPr>
          <w:color w:val="231F20"/>
        </w:rPr>
        <w:t>mediante los cuales se obtuvieron todas y cada una de las demás variables, fueron las cifras de superficie co- sechada,</w:t>
      </w:r>
      <w:r>
        <w:rPr>
          <w:color w:val="231F20"/>
          <w:spacing w:val="-8"/>
        </w:rPr>
        <w:t> </w:t>
      </w:r>
      <w:r>
        <w:rPr>
          <w:color w:val="231F20"/>
        </w:rPr>
        <w:t>producción</w:t>
      </w:r>
      <w:r>
        <w:rPr>
          <w:color w:val="231F20"/>
          <w:spacing w:val="-8"/>
        </w:rPr>
        <w:t> </w:t>
      </w:r>
      <w:r>
        <w:rPr>
          <w:color w:val="231F20"/>
        </w:rPr>
        <w:t>física</w:t>
      </w:r>
      <w:r>
        <w:rPr>
          <w:color w:val="231F20"/>
          <w:spacing w:val="-8"/>
        </w:rPr>
        <w:t> </w:t>
      </w:r>
      <w:r>
        <w:rPr>
          <w:color w:val="231F20"/>
        </w:rPr>
        <w:t>anual,</w:t>
      </w:r>
      <w:r>
        <w:rPr>
          <w:color w:val="231F20"/>
          <w:spacing w:val="-11"/>
        </w:rPr>
        <w:t> </w:t>
      </w:r>
      <w:r>
        <w:rPr>
          <w:color w:val="231F20"/>
          <w:spacing w:val="-7"/>
        </w:rPr>
        <w:t>Valor</w:t>
      </w:r>
      <w:r>
        <w:rPr>
          <w:color w:val="231F20"/>
          <w:spacing w:val="-8"/>
        </w:rPr>
        <w:t> </w:t>
      </w:r>
      <w:r>
        <w:rPr>
          <w:color w:val="231F20"/>
        </w:rPr>
        <w:t>Bruto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Producción</w:t>
      </w:r>
      <w:r>
        <w:rPr>
          <w:color w:val="231F20"/>
          <w:spacing w:val="-8"/>
        </w:rPr>
        <w:t> </w:t>
      </w:r>
      <w:r>
        <w:rPr>
          <w:color w:val="231F20"/>
        </w:rPr>
        <w:t>(VBP),</w:t>
      </w:r>
      <w:r>
        <w:rPr>
          <w:color w:val="231F20"/>
          <w:spacing w:val="-8"/>
        </w:rPr>
        <w:t> </w:t>
      </w:r>
      <w:r>
        <w:rPr>
          <w:color w:val="231F20"/>
        </w:rPr>
        <w:t>costos</w:t>
      </w:r>
      <w:r>
        <w:rPr>
          <w:color w:val="231F20"/>
          <w:spacing w:val="-8"/>
        </w:rPr>
        <w:t> </w:t>
      </w:r>
      <w:r>
        <w:rPr>
          <w:color w:val="231F20"/>
        </w:rPr>
        <w:t>por</w:t>
      </w:r>
      <w:r>
        <w:rPr>
          <w:color w:val="231F20"/>
          <w:spacing w:val="-8"/>
        </w:rPr>
        <w:t> </w:t>
      </w:r>
      <w:r>
        <w:rPr>
          <w:color w:val="231F20"/>
        </w:rPr>
        <w:t>hectárea</w:t>
      </w:r>
      <w:r>
        <w:rPr>
          <w:color w:val="231F20"/>
          <w:spacing w:val="-8"/>
        </w:rPr>
        <w:t> </w:t>
      </w:r>
      <w:r>
        <w:rPr>
          <w:color w:val="231F20"/>
        </w:rPr>
        <w:t>y</w:t>
      </w:r>
      <w:r>
        <w:rPr>
          <w:color w:val="231F20"/>
          <w:spacing w:val="-8"/>
        </w:rPr>
        <w:t> </w:t>
      </w:r>
      <w:r>
        <w:rPr>
          <w:color w:val="231F20"/>
          <w:spacing w:val="-2"/>
        </w:rPr>
        <w:t>número </w:t>
      </w:r>
      <w:r>
        <w:rPr>
          <w:color w:val="231F20"/>
        </w:rPr>
        <w:t>de jornales por hectárea reportados por los Anuarios Estadísticos de la Producción Agropecuaria de </w:t>
      </w:r>
      <w:r>
        <w:rPr>
          <w:color w:val="231F20"/>
          <w:spacing w:val="-5"/>
        </w:rPr>
        <w:t>SAGARPA,</w:t>
      </w:r>
      <w:r>
        <w:rPr>
          <w:color w:val="231F20"/>
          <w:spacing w:val="-16"/>
        </w:rPr>
        <w:t> </w:t>
      </w:r>
      <w:r>
        <w:rPr>
          <w:color w:val="231F20"/>
        </w:rPr>
        <w:t>Delegación</w:t>
      </w:r>
      <w:r>
        <w:rPr>
          <w:color w:val="231F20"/>
          <w:spacing w:val="-16"/>
        </w:rPr>
        <w:t> </w:t>
      </w:r>
      <w:r>
        <w:rPr>
          <w:color w:val="231F20"/>
        </w:rPr>
        <w:t>La</w:t>
      </w:r>
      <w:r>
        <w:rPr>
          <w:color w:val="231F20"/>
          <w:spacing w:val="-16"/>
        </w:rPr>
        <w:t> </w:t>
      </w:r>
      <w:r>
        <w:rPr>
          <w:color w:val="231F20"/>
        </w:rPr>
        <w:t>Laguna,</w:t>
      </w:r>
      <w:r>
        <w:rPr>
          <w:color w:val="231F20"/>
          <w:spacing w:val="-16"/>
        </w:rPr>
        <w:t> </w:t>
      </w:r>
      <w:r>
        <w:rPr>
          <w:color w:val="231F20"/>
        </w:rPr>
        <w:t>Ciudad</w:t>
      </w:r>
      <w:r>
        <w:rPr>
          <w:color w:val="231F20"/>
          <w:spacing w:val="-16"/>
        </w:rPr>
        <w:t> </w:t>
      </w:r>
      <w:r>
        <w:rPr>
          <w:color w:val="231F20"/>
        </w:rPr>
        <w:t>Lerdo,</w:t>
      </w:r>
      <w:r>
        <w:rPr>
          <w:color w:val="231F20"/>
          <w:spacing w:val="-16"/>
        </w:rPr>
        <w:t> </w:t>
      </w:r>
      <w:r>
        <w:rPr>
          <w:color w:val="231F20"/>
        </w:rPr>
        <w:t>Durango,</w:t>
      </w:r>
      <w:r>
        <w:rPr>
          <w:color w:val="231F20"/>
          <w:spacing w:val="-16"/>
        </w:rPr>
        <w:t> </w:t>
      </w:r>
      <w:r>
        <w:rPr>
          <w:color w:val="231F20"/>
        </w:rPr>
        <w:t>México.</w:t>
      </w:r>
      <w:r>
        <w:rPr>
          <w:color w:val="231F20"/>
          <w:spacing w:val="-16"/>
        </w:rPr>
        <w:t> </w:t>
      </w:r>
      <w:r>
        <w:rPr>
          <w:color w:val="231F20"/>
        </w:rPr>
        <w:t>Como</w:t>
      </w:r>
      <w:r>
        <w:rPr>
          <w:color w:val="231F20"/>
          <w:spacing w:val="-16"/>
        </w:rPr>
        <w:t> </w:t>
      </w:r>
      <w:r>
        <w:rPr>
          <w:color w:val="231F20"/>
        </w:rPr>
        <w:t>segunda</w:t>
      </w:r>
      <w:r>
        <w:rPr>
          <w:color w:val="231F20"/>
          <w:spacing w:val="-16"/>
        </w:rPr>
        <w:t> </w:t>
      </w:r>
      <w:r>
        <w:rPr>
          <w:color w:val="231F20"/>
        </w:rPr>
        <w:t>fuente</w:t>
      </w:r>
      <w:r>
        <w:rPr>
          <w:color w:val="231F20"/>
          <w:spacing w:val="-16"/>
        </w:rPr>
        <w:t> </w:t>
      </w:r>
      <w:r>
        <w:rPr>
          <w:color w:val="231F20"/>
        </w:rPr>
        <w:t>de</w:t>
      </w:r>
      <w:r>
        <w:rPr>
          <w:color w:val="231F20"/>
          <w:spacing w:val="-16"/>
        </w:rPr>
        <w:t> </w:t>
      </w:r>
      <w:r>
        <w:rPr>
          <w:color w:val="231F20"/>
          <w:spacing w:val="-3"/>
        </w:rPr>
        <w:t>infor- </w:t>
      </w:r>
      <w:r>
        <w:rPr>
          <w:color w:val="231F20"/>
        </w:rPr>
        <w:t>mación,</w:t>
      </w:r>
      <w:r>
        <w:rPr>
          <w:color w:val="231F20"/>
          <w:spacing w:val="-10"/>
        </w:rPr>
        <w:t> </w:t>
      </w:r>
      <w:r>
        <w:rPr>
          <w:color w:val="231F20"/>
        </w:rPr>
        <w:t>se</w:t>
      </w:r>
      <w:r>
        <w:rPr>
          <w:color w:val="231F20"/>
          <w:spacing w:val="-10"/>
        </w:rPr>
        <w:t> </w:t>
      </w:r>
      <w:r>
        <w:rPr>
          <w:color w:val="231F20"/>
        </w:rPr>
        <w:t>obtuvieron</w:t>
      </w:r>
      <w:r>
        <w:rPr>
          <w:color w:val="231F20"/>
          <w:spacing w:val="-10"/>
        </w:rPr>
        <w:t> </w:t>
      </w:r>
      <w:r>
        <w:rPr>
          <w:color w:val="231F20"/>
        </w:rPr>
        <w:t>las</w:t>
      </w:r>
      <w:r>
        <w:rPr>
          <w:color w:val="231F20"/>
          <w:spacing w:val="-10"/>
        </w:rPr>
        <w:t> </w:t>
      </w:r>
      <w:r>
        <w:rPr>
          <w:color w:val="231F20"/>
        </w:rPr>
        <w:t>láminas</w:t>
      </w:r>
      <w:r>
        <w:rPr>
          <w:color w:val="231F20"/>
          <w:spacing w:val="-10"/>
        </w:rPr>
        <w:t> </w:t>
      </w:r>
      <w:r>
        <w:rPr>
          <w:color w:val="231F20"/>
        </w:rPr>
        <w:t>de</w:t>
      </w:r>
      <w:r>
        <w:rPr>
          <w:color w:val="231F20"/>
          <w:spacing w:val="-10"/>
        </w:rPr>
        <w:t> </w:t>
      </w:r>
      <w:r>
        <w:rPr>
          <w:color w:val="231F20"/>
        </w:rPr>
        <w:t>riego</w:t>
      </w:r>
      <w:r>
        <w:rPr>
          <w:color w:val="231F20"/>
          <w:spacing w:val="-10"/>
        </w:rPr>
        <w:t> </w:t>
      </w:r>
      <w:r>
        <w:rPr>
          <w:color w:val="231F20"/>
        </w:rPr>
        <w:t>usuales</w:t>
      </w:r>
      <w:r>
        <w:rPr>
          <w:color w:val="231F20"/>
          <w:spacing w:val="-10"/>
        </w:rPr>
        <w:t> </w:t>
      </w:r>
      <w:r>
        <w:rPr>
          <w:color w:val="231F20"/>
        </w:rPr>
        <w:t>para</w:t>
      </w:r>
      <w:r>
        <w:rPr>
          <w:color w:val="231F20"/>
          <w:spacing w:val="-10"/>
        </w:rPr>
        <w:t> </w:t>
      </w:r>
      <w:r>
        <w:rPr>
          <w:color w:val="231F20"/>
        </w:rPr>
        <w:t>el</w:t>
      </w:r>
      <w:r>
        <w:rPr>
          <w:color w:val="231F20"/>
          <w:spacing w:val="-10"/>
        </w:rPr>
        <w:t> </w:t>
      </w:r>
      <w:r>
        <w:rPr>
          <w:color w:val="231F20"/>
        </w:rPr>
        <w:t>productor</w:t>
      </w:r>
      <w:r>
        <w:rPr>
          <w:color w:val="231F20"/>
          <w:spacing w:val="-10"/>
        </w:rPr>
        <w:t> </w:t>
      </w:r>
      <w:r>
        <w:rPr>
          <w:color w:val="231F20"/>
        </w:rPr>
        <w:t>regional,</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spacing w:val="-4"/>
        </w:rPr>
        <w:t>CENID-RASPA- </w:t>
      </w:r>
      <w:r>
        <w:rPr>
          <w:color w:val="231F20"/>
          <w:spacing w:val="-8"/>
        </w:rPr>
        <w:t>INIFAP.</w:t>
      </w:r>
      <w:r>
        <w:rPr>
          <w:color w:val="231F20"/>
          <w:spacing w:val="-16"/>
        </w:rPr>
        <w:t> </w:t>
      </w:r>
      <w:r>
        <w:rPr>
          <w:color w:val="231F20"/>
        </w:rPr>
        <w:t>Centro</w:t>
      </w:r>
      <w:r>
        <w:rPr>
          <w:color w:val="231F20"/>
          <w:spacing w:val="-16"/>
        </w:rPr>
        <w:t> </w:t>
      </w:r>
      <w:r>
        <w:rPr>
          <w:color w:val="231F20"/>
        </w:rPr>
        <w:t>Nacional</w:t>
      </w:r>
      <w:r>
        <w:rPr>
          <w:color w:val="231F20"/>
          <w:spacing w:val="-16"/>
        </w:rPr>
        <w:t> </w:t>
      </w:r>
      <w:r>
        <w:rPr>
          <w:color w:val="231F20"/>
        </w:rPr>
        <w:t>de</w:t>
      </w:r>
      <w:r>
        <w:rPr>
          <w:color w:val="231F20"/>
          <w:spacing w:val="-16"/>
        </w:rPr>
        <w:t> </w:t>
      </w:r>
      <w:r>
        <w:rPr>
          <w:color w:val="231F20"/>
        </w:rPr>
        <w:t>Investigación</w:t>
      </w:r>
      <w:r>
        <w:rPr>
          <w:color w:val="231F20"/>
          <w:spacing w:val="-16"/>
        </w:rPr>
        <w:t> </w:t>
      </w:r>
      <w:r>
        <w:rPr>
          <w:color w:val="231F20"/>
        </w:rPr>
        <w:t>Disciplinaria</w:t>
      </w:r>
      <w:r>
        <w:rPr>
          <w:color w:val="231F20"/>
          <w:spacing w:val="-16"/>
        </w:rPr>
        <w:t> </w:t>
      </w:r>
      <w:r>
        <w:rPr>
          <w:color w:val="231F20"/>
        </w:rPr>
        <w:t>en</w:t>
      </w:r>
      <w:r>
        <w:rPr>
          <w:color w:val="231F20"/>
          <w:spacing w:val="-16"/>
        </w:rPr>
        <w:t> </w:t>
      </w:r>
      <w:r>
        <w:rPr>
          <w:color w:val="231F20"/>
        </w:rPr>
        <w:t>Relación</w:t>
      </w:r>
      <w:r>
        <w:rPr>
          <w:color w:val="231F20"/>
          <w:spacing w:val="-25"/>
        </w:rPr>
        <w:t> </w:t>
      </w:r>
      <w:r>
        <w:rPr>
          <w:color w:val="231F20"/>
        </w:rPr>
        <w:t>Agua,</w:t>
      </w:r>
      <w:r>
        <w:rPr>
          <w:color w:val="231F20"/>
          <w:spacing w:val="-16"/>
        </w:rPr>
        <w:t> </w:t>
      </w:r>
      <w:r>
        <w:rPr>
          <w:color w:val="231F20"/>
        </w:rPr>
        <w:t>Suelo,</w:t>
      </w:r>
      <w:r>
        <w:rPr>
          <w:color w:val="231F20"/>
          <w:spacing w:val="-16"/>
        </w:rPr>
        <w:t> </w:t>
      </w:r>
      <w:r>
        <w:rPr>
          <w:color w:val="231F20"/>
        </w:rPr>
        <w:t>Planta,</w:t>
      </w:r>
      <w:r>
        <w:rPr>
          <w:color w:val="231F20"/>
          <w:spacing w:val="-25"/>
        </w:rPr>
        <w:t> </w:t>
      </w:r>
      <w:r>
        <w:rPr>
          <w:color w:val="231F20"/>
        </w:rPr>
        <w:t>Atmósfera.</w:t>
      </w:r>
    </w:p>
    <w:p>
      <w:pPr>
        <w:pStyle w:val="BodyText"/>
        <w:spacing w:before="10"/>
      </w:pPr>
    </w:p>
    <w:p>
      <w:pPr>
        <w:pStyle w:val="Heading5"/>
      </w:pPr>
      <w:r>
        <w:rPr>
          <w:color w:val="231F20"/>
        </w:rPr>
        <w:t>Variables evaluadas</w:t>
      </w:r>
    </w:p>
    <w:p>
      <w:pPr>
        <w:pStyle w:val="BodyText"/>
        <w:spacing w:before="8"/>
        <w:ind w:left="1270"/>
        <w:jc w:val="both"/>
      </w:pPr>
      <w:r>
        <w:rPr>
          <w:color w:val="231F20"/>
        </w:rPr>
        <w:t>Se evaluaron once variables independientes:</w:t>
      </w:r>
    </w:p>
    <w:p>
      <w:pPr>
        <w:pStyle w:val="ListParagraph"/>
        <w:numPr>
          <w:ilvl w:val="1"/>
          <w:numId w:val="4"/>
        </w:numPr>
        <w:tabs>
          <w:tab w:pos="1606" w:val="left" w:leader="none"/>
        </w:tabs>
        <w:spacing w:line="240" w:lineRule="auto" w:before="9" w:after="0"/>
        <w:ind w:left="1605" w:right="0" w:hanging="215"/>
        <w:jc w:val="left"/>
        <w:rPr>
          <w:sz w:val="21"/>
        </w:rPr>
      </w:pPr>
      <w:r>
        <w:rPr/>
        <w:pict>
          <v:shape style="position:absolute;margin-left:455.994507pt;margin-top:8.823418pt;width:3.1pt;height:6.15pt;mso-position-horizontal-relative:page;mso-position-vertical-relative:paragraph;z-index:-209176" type="#_x0000_t202" filled="false" stroked="false">
            <v:textbox inset="0,0,0,0">
              <w:txbxContent>
                <w:p>
                  <w:pPr>
                    <w:spacing w:line="122" w:lineRule="exact" w:before="0"/>
                    <w:ind w:left="0" w:right="0" w:firstLine="0"/>
                    <w:jc w:val="left"/>
                    <w:rPr>
                      <w:sz w:val="12"/>
                    </w:rPr>
                  </w:pPr>
                  <w:r>
                    <w:rPr>
                      <w:color w:val="231F20"/>
                      <w:w w:val="102"/>
                      <w:sz w:val="12"/>
                    </w:rPr>
                    <w:t>1</w:t>
                  </w:r>
                </w:p>
              </w:txbxContent>
            </v:textbox>
            <w10:wrap type="none"/>
          </v:shape>
        </w:pict>
      </w:r>
      <w:r>
        <w:rPr>
          <w:color w:val="231F20"/>
          <w:sz w:val="21"/>
        </w:rPr>
        <w:t>Los m</w:t>
      </w:r>
      <w:r>
        <w:rPr>
          <w:color w:val="231F20"/>
          <w:position w:val="7"/>
          <w:sz w:val="12"/>
        </w:rPr>
        <w:t>3  </w:t>
      </w:r>
      <w:r>
        <w:rPr>
          <w:color w:val="231F20"/>
          <w:sz w:val="21"/>
        </w:rPr>
        <w:t>de agua usados en el riego, necesarios para producir un kilogramo de producto (Y</w:t>
      </w:r>
      <w:r>
        <w:rPr>
          <w:color w:val="231F20"/>
          <w:spacing w:val="-1"/>
          <w:sz w:val="21"/>
        </w:rPr>
        <w:t> </w:t>
      </w:r>
      <w:r>
        <w:rPr>
          <w:color w:val="231F20"/>
          <w:sz w:val="21"/>
        </w:rPr>
        <w:t>)</w:t>
      </w:r>
    </w:p>
    <w:p>
      <w:pPr>
        <w:pStyle w:val="ListParagraph"/>
        <w:numPr>
          <w:ilvl w:val="1"/>
          <w:numId w:val="4"/>
        </w:numPr>
        <w:tabs>
          <w:tab w:pos="1618" w:val="left" w:leader="none"/>
        </w:tabs>
        <w:spacing w:line="240" w:lineRule="auto" w:before="8" w:after="0"/>
        <w:ind w:left="1617" w:right="0" w:hanging="227"/>
        <w:jc w:val="left"/>
        <w:rPr>
          <w:sz w:val="21"/>
        </w:rPr>
      </w:pPr>
      <w:r>
        <w:rPr/>
        <w:pict>
          <v:shape style="position:absolute;margin-left:431.369812pt;margin-top:8.778422pt;width:3.1pt;height:6.15pt;mso-position-horizontal-relative:page;mso-position-vertical-relative:paragraph;z-index:-209152" type="#_x0000_t202" filled="false" stroked="false">
            <v:textbox inset="0,0,0,0">
              <w:txbxContent>
                <w:p>
                  <w:pPr>
                    <w:spacing w:line="122" w:lineRule="exact" w:before="0"/>
                    <w:ind w:left="0" w:right="0" w:firstLine="0"/>
                    <w:jc w:val="left"/>
                    <w:rPr>
                      <w:sz w:val="12"/>
                    </w:rPr>
                  </w:pPr>
                  <w:r>
                    <w:rPr>
                      <w:color w:val="231F20"/>
                      <w:w w:val="102"/>
                      <w:sz w:val="12"/>
                    </w:rPr>
                    <w:t>2</w:t>
                  </w:r>
                </w:p>
              </w:txbxContent>
            </v:textbox>
            <w10:wrap type="none"/>
          </v:shape>
        </w:pict>
      </w:r>
      <w:r>
        <w:rPr>
          <w:color w:val="231F20"/>
          <w:sz w:val="21"/>
        </w:rPr>
        <w:t>Kilogramos de producto físico producido por cada m3 de agua usado en el riego (Y</w:t>
      </w:r>
      <w:r>
        <w:rPr>
          <w:color w:val="231F20"/>
          <w:spacing w:val="8"/>
          <w:sz w:val="21"/>
        </w:rPr>
        <w:t> </w:t>
      </w:r>
      <w:r>
        <w:rPr>
          <w:color w:val="231F20"/>
          <w:sz w:val="21"/>
        </w:rPr>
        <w:t>)</w:t>
      </w:r>
    </w:p>
    <w:p>
      <w:pPr>
        <w:pStyle w:val="ListParagraph"/>
        <w:numPr>
          <w:ilvl w:val="1"/>
          <w:numId w:val="4"/>
        </w:numPr>
        <w:tabs>
          <w:tab w:pos="1607" w:val="left" w:leader="none"/>
        </w:tabs>
        <w:spacing w:line="240" w:lineRule="auto" w:before="8" w:after="0"/>
        <w:ind w:left="1606" w:right="0" w:hanging="216"/>
        <w:jc w:val="left"/>
        <w:rPr>
          <w:sz w:val="21"/>
        </w:rPr>
      </w:pPr>
      <w:r>
        <w:rPr/>
        <w:pict>
          <v:shape style="position:absolute;margin-left:409.334106pt;margin-top:8.778422pt;width:3.1pt;height:6.15pt;mso-position-horizontal-relative:page;mso-position-vertical-relative:paragraph;z-index:-209128" type="#_x0000_t202" filled="false" stroked="false">
            <v:textbox inset="0,0,0,0">
              <w:txbxContent>
                <w:p>
                  <w:pPr>
                    <w:spacing w:line="122" w:lineRule="exact" w:before="0"/>
                    <w:ind w:left="0" w:right="0" w:firstLine="0"/>
                    <w:jc w:val="left"/>
                    <w:rPr>
                      <w:sz w:val="12"/>
                    </w:rPr>
                  </w:pPr>
                  <w:r>
                    <w:rPr>
                      <w:color w:val="231F20"/>
                      <w:w w:val="102"/>
                      <w:sz w:val="12"/>
                    </w:rPr>
                    <w:t>3</w:t>
                  </w:r>
                </w:p>
              </w:txbxContent>
            </v:textbox>
            <w10:wrap type="none"/>
          </v:shape>
        </w:pict>
      </w:r>
      <w:r>
        <w:rPr>
          <w:color w:val="231F20"/>
          <w:sz w:val="21"/>
        </w:rPr>
        <w:t>M</w:t>
      </w:r>
      <w:r>
        <w:rPr>
          <w:color w:val="231F20"/>
          <w:position w:val="7"/>
          <w:sz w:val="12"/>
        </w:rPr>
        <w:t>3  </w:t>
      </w:r>
      <w:r>
        <w:rPr>
          <w:color w:val="231F20"/>
          <w:sz w:val="21"/>
        </w:rPr>
        <w:t>de agua usados en el riego necesarios para producir $1 de Ingreso bruto (Y</w:t>
      </w:r>
      <w:r>
        <w:rPr>
          <w:color w:val="231F20"/>
          <w:spacing w:val="-1"/>
          <w:sz w:val="21"/>
        </w:rPr>
        <w:t> </w:t>
      </w:r>
      <w:r>
        <w:rPr>
          <w:color w:val="231F20"/>
          <w:sz w:val="21"/>
        </w:rPr>
        <w:t>)</w:t>
      </w:r>
    </w:p>
    <w:p>
      <w:pPr>
        <w:pStyle w:val="ListParagraph"/>
        <w:numPr>
          <w:ilvl w:val="1"/>
          <w:numId w:val="4"/>
        </w:numPr>
        <w:tabs>
          <w:tab w:pos="1618" w:val="left" w:leader="none"/>
        </w:tabs>
        <w:spacing w:line="240" w:lineRule="auto" w:before="8" w:after="0"/>
        <w:ind w:left="1617" w:right="0" w:hanging="227"/>
        <w:jc w:val="left"/>
        <w:rPr>
          <w:sz w:val="21"/>
        </w:rPr>
      </w:pPr>
      <w:r>
        <w:rPr/>
        <w:pict>
          <v:shape style="position:absolute;margin-left:306.702789pt;margin-top:8.778422pt;width:3.1pt;height:6.15pt;mso-position-horizontal-relative:page;mso-position-vertical-relative:paragraph;z-index:-209104" type="#_x0000_t202" filled="false" stroked="false">
            <v:textbox inset="0,0,0,0">
              <w:txbxContent>
                <w:p>
                  <w:pPr>
                    <w:spacing w:line="122" w:lineRule="exact" w:before="0"/>
                    <w:ind w:left="0" w:right="0" w:firstLine="0"/>
                    <w:jc w:val="left"/>
                    <w:rPr>
                      <w:sz w:val="12"/>
                    </w:rPr>
                  </w:pPr>
                  <w:r>
                    <w:rPr>
                      <w:color w:val="231F20"/>
                      <w:w w:val="102"/>
                      <w:sz w:val="12"/>
                    </w:rPr>
                    <w:t>4</w:t>
                  </w:r>
                </w:p>
              </w:txbxContent>
            </v:textbox>
            <w10:wrap type="none"/>
          </v:shape>
        </w:pict>
      </w:r>
      <w:r>
        <w:rPr>
          <w:color w:val="231F20"/>
          <w:sz w:val="21"/>
        </w:rPr>
        <w:t>Ingreso generado por m</w:t>
      </w:r>
      <w:r>
        <w:rPr>
          <w:color w:val="231F20"/>
          <w:position w:val="7"/>
          <w:sz w:val="12"/>
        </w:rPr>
        <w:t>3  </w:t>
      </w:r>
      <w:r>
        <w:rPr>
          <w:color w:val="231F20"/>
          <w:sz w:val="21"/>
        </w:rPr>
        <w:t>de agua usado en el riego (Y ).</w:t>
      </w:r>
    </w:p>
    <w:p>
      <w:pPr>
        <w:pStyle w:val="ListParagraph"/>
        <w:numPr>
          <w:ilvl w:val="1"/>
          <w:numId w:val="4"/>
        </w:numPr>
        <w:tabs>
          <w:tab w:pos="1607" w:val="left" w:leader="none"/>
        </w:tabs>
        <w:spacing w:line="240" w:lineRule="auto" w:before="8" w:after="0"/>
        <w:ind w:left="1606" w:right="0" w:hanging="216"/>
        <w:jc w:val="left"/>
        <w:rPr>
          <w:sz w:val="21"/>
        </w:rPr>
      </w:pPr>
      <w:r>
        <w:rPr/>
        <w:pict>
          <v:shape style="position:absolute;margin-left:385.140015pt;margin-top:8.778422pt;width:3.1pt;height:6.15pt;mso-position-horizontal-relative:page;mso-position-vertical-relative:paragraph;z-index:-209080" type="#_x0000_t202" filled="false" stroked="false">
            <v:textbox inset="0,0,0,0">
              <w:txbxContent>
                <w:p>
                  <w:pPr>
                    <w:spacing w:line="122" w:lineRule="exact" w:before="0"/>
                    <w:ind w:left="0" w:right="0" w:firstLine="0"/>
                    <w:jc w:val="left"/>
                    <w:rPr>
                      <w:sz w:val="12"/>
                    </w:rPr>
                  </w:pPr>
                  <w:r>
                    <w:rPr>
                      <w:color w:val="231F20"/>
                      <w:w w:val="102"/>
                      <w:sz w:val="12"/>
                    </w:rPr>
                    <w:t>5</w:t>
                  </w:r>
                </w:p>
              </w:txbxContent>
            </v:textbox>
            <w10:wrap type="none"/>
          </v:shape>
        </w:pict>
      </w:r>
      <w:r>
        <w:rPr>
          <w:color w:val="231F20"/>
          <w:sz w:val="21"/>
        </w:rPr>
        <w:t>Utilidad bruta producida por m</w:t>
      </w:r>
      <w:r>
        <w:rPr>
          <w:color w:val="231F20"/>
          <w:position w:val="7"/>
          <w:sz w:val="12"/>
        </w:rPr>
        <w:t>3  </w:t>
      </w:r>
      <w:r>
        <w:rPr>
          <w:color w:val="231F20"/>
          <w:sz w:val="21"/>
        </w:rPr>
        <w:t>de agua de bombeo usada en el riego (Y</w:t>
      </w:r>
      <w:r>
        <w:rPr>
          <w:color w:val="231F20"/>
          <w:spacing w:val="-1"/>
          <w:sz w:val="21"/>
        </w:rPr>
        <w:t> </w:t>
      </w:r>
      <w:r>
        <w:rPr>
          <w:color w:val="231F20"/>
          <w:sz w:val="21"/>
        </w:rPr>
        <w:t>)</w:t>
      </w:r>
    </w:p>
    <w:p>
      <w:pPr>
        <w:pStyle w:val="ListParagraph"/>
        <w:numPr>
          <w:ilvl w:val="1"/>
          <w:numId w:val="4"/>
        </w:numPr>
        <w:tabs>
          <w:tab w:pos="1583" w:val="left" w:leader="none"/>
        </w:tabs>
        <w:spacing w:line="240" w:lineRule="auto" w:before="8" w:after="0"/>
        <w:ind w:left="1582" w:right="0" w:hanging="192"/>
        <w:jc w:val="left"/>
        <w:rPr>
          <w:sz w:val="21"/>
        </w:rPr>
      </w:pPr>
      <w:r>
        <w:rPr/>
        <w:pict>
          <v:shape style="position:absolute;margin-left:392.153687pt;margin-top:8.778422pt;width:3.1pt;height:6.15pt;mso-position-horizontal-relative:page;mso-position-vertical-relative:paragraph;z-index:-209056" type="#_x0000_t202" filled="false" stroked="false">
            <v:textbox inset="0,0,0,0">
              <w:txbxContent>
                <w:p>
                  <w:pPr>
                    <w:spacing w:line="122" w:lineRule="exact" w:before="0"/>
                    <w:ind w:left="0" w:right="0" w:firstLine="0"/>
                    <w:jc w:val="left"/>
                    <w:rPr>
                      <w:sz w:val="12"/>
                    </w:rPr>
                  </w:pPr>
                  <w:r>
                    <w:rPr>
                      <w:color w:val="231F20"/>
                      <w:w w:val="102"/>
                      <w:sz w:val="12"/>
                    </w:rPr>
                    <w:t>6</w:t>
                  </w:r>
                </w:p>
              </w:txbxContent>
            </v:textbox>
            <w10:wrap type="none"/>
          </v:shape>
        </w:pict>
      </w:r>
      <w:r>
        <w:rPr>
          <w:color w:val="231F20"/>
          <w:sz w:val="21"/>
        </w:rPr>
        <w:t>M</w:t>
      </w:r>
      <w:r>
        <w:rPr>
          <w:color w:val="231F20"/>
          <w:position w:val="7"/>
          <w:sz w:val="12"/>
        </w:rPr>
        <w:t>3  </w:t>
      </w:r>
      <w:r>
        <w:rPr>
          <w:color w:val="231F20"/>
          <w:sz w:val="21"/>
        </w:rPr>
        <w:t>utilizados en el riego por bombeo para producir $1 de utilidad bruta (Y</w:t>
      </w:r>
      <w:r>
        <w:rPr>
          <w:color w:val="231F20"/>
          <w:spacing w:val="-1"/>
          <w:sz w:val="21"/>
        </w:rPr>
        <w:t> </w:t>
      </w:r>
      <w:r>
        <w:rPr>
          <w:color w:val="231F20"/>
          <w:sz w:val="21"/>
        </w:rPr>
        <w:t>).</w:t>
      </w:r>
    </w:p>
    <w:p>
      <w:pPr>
        <w:pStyle w:val="ListParagraph"/>
        <w:numPr>
          <w:ilvl w:val="1"/>
          <w:numId w:val="4"/>
        </w:numPr>
        <w:tabs>
          <w:tab w:pos="1618" w:val="left" w:leader="none"/>
        </w:tabs>
        <w:spacing w:line="240" w:lineRule="auto" w:before="8" w:after="0"/>
        <w:ind w:left="1617" w:right="0" w:hanging="227"/>
        <w:jc w:val="left"/>
        <w:rPr>
          <w:sz w:val="21"/>
        </w:rPr>
      </w:pPr>
      <w:r>
        <w:rPr/>
        <w:pict>
          <v:shape style="position:absolute;margin-left:345.908508pt;margin-top:8.778422pt;width:3.1pt;height:6.15pt;mso-position-horizontal-relative:page;mso-position-vertical-relative:paragraph;z-index:-209032" type="#_x0000_t202" filled="false" stroked="false">
            <v:textbox inset="0,0,0,0">
              <w:txbxContent>
                <w:p>
                  <w:pPr>
                    <w:spacing w:line="122" w:lineRule="exact" w:before="0"/>
                    <w:ind w:left="0" w:right="0" w:firstLine="0"/>
                    <w:jc w:val="left"/>
                    <w:rPr>
                      <w:sz w:val="12"/>
                    </w:rPr>
                  </w:pPr>
                  <w:r>
                    <w:rPr>
                      <w:color w:val="231F20"/>
                      <w:w w:val="102"/>
                      <w:sz w:val="12"/>
                    </w:rPr>
                    <w:t>7</w:t>
                  </w:r>
                </w:p>
              </w:txbxContent>
            </v:textbox>
            <w10:wrap type="none"/>
          </v:shape>
        </w:pict>
      </w:r>
      <w:r>
        <w:rPr>
          <w:color w:val="231F20"/>
          <w:sz w:val="21"/>
        </w:rPr>
        <w:t>La utilidad bruta/ m</w:t>
      </w:r>
      <w:r>
        <w:rPr>
          <w:color w:val="231F20"/>
          <w:position w:val="7"/>
          <w:sz w:val="12"/>
        </w:rPr>
        <w:t>3    </w:t>
      </w:r>
      <w:r>
        <w:rPr>
          <w:color w:val="231F20"/>
          <w:sz w:val="21"/>
        </w:rPr>
        <w:t>de agua entre el precio del m</w:t>
      </w:r>
      <w:r>
        <w:rPr>
          <w:color w:val="231F20"/>
          <w:position w:val="7"/>
          <w:sz w:val="12"/>
        </w:rPr>
        <w:t>3  </w:t>
      </w:r>
      <w:r>
        <w:rPr>
          <w:color w:val="231F20"/>
          <w:sz w:val="21"/>
        </w:rPr>
        <w:t>de agua (Y</w:t>
      </w:r>
      <w:r>
        <w:rPr>
          <w:color w:val="231F20"/>
          <w:spacing w:val="-17"/>
          <w:sz w:val="21"/>
        </w:rPr>
        <w:t> </w:t>
      </w:r>
      <w:r>
        <w:rPr>
          <w:color w:val="231F20"/>
          <w:sz w:val="21"/>
        </w:rPr>
        <w:t>).</w:t>
      </w:r>
    </w:p>
    <w:p>
      <w:pPr>
        <w:pStyle w:val="ListParagraph"/>
        <w:numPr>
          <w:ilvl w:val="1"/>
          <w:numId w:val="4"/>
        </w:numPr>
        <w:tabs>
          <w:tab w:pos="1618" w:val="left" w:leader="none"/>
        </w:tabs>
        <w:spacing w:line="240" w:lineRule="auto" w:before="8" w:after="0"/>
        <w:ind w:left="1617" w:right="0" w:hanging="227"/>
        <w:jc w:val="left"/>
        <w:rPr>
          <w:sz w:val="21"/>
        </w:rPr>
      </w:pPr>
      <w:r>
        <w:rPr/>
        <w:pict>
          <v:shape style="position:absolute;margin-left:398.536713pt;margin-top:8.778422pt;width:3.1pt;height:6.15pt;mso-position-horizontal-relative:page;mso-position-vertical-relative:paragraph;z-index:-209008" type="#_x0000_t202" filled="false" stroked="false">
            <v:textbox inset="0,0,0,0">
              <w:txbxContent>
                <w:p>
                  <w:pPr>
                    <w:spacing w:line="122" w:lineRule="exact" w:before="0"/>
                    <w:ind w:left="0" w:right="0" w:firstLine="0"/>
                    <w:jc w:val="left"/>
                    <w:rPr>
                      <w:sz w:val="12"/>
                    </w:rPr>
                  </w:pPr>
                  <w:r>
                    <w:rPr>
                      <w:color w:val="231F20"/>
                      <w:w w:val="102"/>
                      <w:sz w:val="12"/>
                    </w:rPr>
                    <w:t>8</w:t>
                  </w:r>
                </w:p>
              </w:txbxContent>
            </v:textbox>
            <w10:wrap type="none"/>
          </v:shape>
        </w:pict>
      </w:r>
      <w:r>
        <w:rPr>
          <w:color w:val="231F20"/>
          <w:sz w:val="21"/>
        </w:rPr>
        <w:t>La cantidad de empleos generados por cada 100,000 m</w:t>
      </w:r>
      <w:r>
        <w:rPr>
          <w:color w:val="231F20"/>
          <w:position w:val="7"/>
          <w:sz w:val="12"/>
        </w:rPr>
        <w:t>3  </w:t>
      </w:r>
      <w:r>
        <w:rPr>
          <w:color w:val="231F20"/>
          <w:sz w:val="21"/>
        </w:rPr>
        <w:t>de agua irrigada (Y</w:t>
      </w:r>
      <w:r>
        <w:rPr>
          <w:color w:val="231F20"/>
          <w:spacing w:val="-3"/>
          <w:sz w:val="21"/>
        </w:rPr>
        <w:t> </w:t>
      </w:r>
      <w:r>
        <w:rPr>
          <w:color w:val="231F20"/>
          <w:sz w:val="21"/>
        </w:rPr>
        <w:t>)</w:t>
      </w:r>
    </w:p>
    <w:p>
      <w:pPr>
        <w:pStyle w:val="ListParagraph"/>
        <w:numPr>
          <w:ilvl w:val="1"/>
          <w:numId w:val="4"/>
        </w:numPr>
        <w:tabs>
          <w:tab w:pos="1572" w:val="left" w:leader="none"/>
        </w:tabs>
        <w:spacing w:line="240" w:lineRule="auto" w:before="8" w:after="0"/>
        <w:ind w:left="1571" w:right="0" w:hanging="181"/>
        <w:jc w:val="left"/>
        <w:rPr>
          <w:sz w:val="21"/>
        </w:rPr>
      </w:pPr>
      <w:r>
        <w:rPr/>
        <w:pict>
          <v:shape style="position:absolute;margin-left:260.493591pt;margin-top:8.778422pt;width:3.1pt;height:6.15pt;mso-position-horizontal-relative:page;mso-position-vertical-relative:paragraph;z-index:-208984" type="#_x0000_t202" filled="false" stroked="false">
            <v:textbox inset="0,0,0,0">
              <w:txbxContent>
                <w:p>
                  <w:pPr>
                    <w:spacing w:line="122" w:lineRule="exact" w:before="0"/>
                    <w:ind w:left="0" w:right="0" w:firstLine="0"/>
                    <w:jc w:val="left"/>
                    <w:rPr>
                      <w:sz w:val="12"/>
                    </w:rPr>
                  </w:pPr>
                  <w:r>
                    <w:rPr>
                      <w:color w:val="231F20"/>
                      <w:w w:val="102"/>
                      <w:sz w:val="12"/>
                    </w:rPr>
                    <w:t>9</w:t>
                  </w:r>
                </w:p>
              </w:txbxContent>
            </v:textbox>
            <w10:wrap type="none"/>
          </v:shape>
        </w:pict>
      </w:r>
      <w:r>
        <w:rPr>
          <w:color w:val="231F20"/>
          <w:sz w:val="21"/>
        </w:rPr>
        <w:t>Horas de trabajo invertidas por tonelada (Y</w:t>
      </w:r>
      <w:r>
        <w:rPr>
          <w:color w:val="231F20"/>
          <w:spacing w:val="8"/>
          <w:sz w:val="21"/>
        </w:rPr>
        <w:t> </w:t>
      </w:r>
      <w:r>
        <w:rPr>
          <w:color w:val="231F20"/>
          <w:sz w:val="21"/>
        </w:rPr>
        <w:t>)</w:t>
      </w:r>
    </w:p>
    <w:p>
      <w:pPr>
        <w:pStyle w:val="ListParagraph"/>
        <w:numPr>
          <w:ilvl w:val="1"/>
          <w:numId w:val="4"/>
        </w:numPr>
        <w:tabs>
          <w:tab w:pos="1572" w:val="left" w:leader="none"/>
        </w:tabs>
        <w:spacing w:line="168" w:lineRule="exact" w:before="8" w:after="0"/>
        <w:ind w:left="1571" w:right="0" w:hanging="181"/>
        <w:jc w:val="left"/>
        <w:rPr>
          <w:sz w:val="21"/>
        </w:rPr>
      </w:pPr>
      <w:r>
        <w:rPr>
          <w:color w:val="231F20"/>
          <w:sz w:val="21"/>
        </w:rPr>
        <w:t>Ganancia a nivel regional por trabajador (Y </w:t>
      </w:r>
      <w:r>
        <w:rPr>
          <w:color w:val="231F20"/>
          <w:spacing w:val="16"/>
          <w:sz w:val="21"/>
        </w:rPr>
        <w:t> </w:t>
      </w:r>
      <w:r>
        <w:rPr>
          <w:color w:val="231F20"/>
          <w:sz w:val="21"/>
        </w:rPr>
        <w:t>)</w:t>
      </w:r>
    </w:p>
    <w:p>
      <w:pPr>
        <w:spacing w:line="103" w:lineRule="exact" w:before="0"/>
        <w:ind w:left="1160" w:right="1489" w:firstLine="0"/>
        <w:jc w:val="center"/>
        <w:rPr>
          <w:sz w:val="12"/>
        </w:rPr>
      </w:pPr>
      <w:r>
        <w:rPr>
          <w:color w:val="231F20"/>
          <w:sz w:val="12"/>
        </w:rPr>
        <w:t>10</w:t>
      </w:r>
    </w:p>
    <w:p>
      <w:pPr>
        <w:pStyle w:val="ListParagraph"/>
        <w:numPr>
          <w:ilvl w:val="1"/>
          <w:numId w:val="4"/>
        </w:numPr>
        <w:tabs>
          <w:tab w:pos="1618" w:val="left" w:leader="none"/>
        </w:tabs>
        <w:spacing w:line="147" w:lineRule="exact" w:before="0" w:after="0"/>
        <w:ind w:left="1617" w:right="0" w:hanging="227"/>
        <w:jc w:val="left"/>
        <w:rPr>
          <w:sz w:val="21"/>
        </w:rPr>
      </w:pPr>
      <w:r>
        <w:rPr>
          <w:color w:val="231F20"/>
          <w:sz w:val="21"/>
        </w:rPr>
        <w:t>Ganancia por hora invertida de trabajo (Y </w:t>
      </w:r>
      <w:r>
        <w:rPr>
          <w:color w:val="231F20"/>
          <w:spacing w:val="12"/>
          <w:sz w:val="21"/>
        </w:rPr>
        <w:t> </w:t>
      </w:r>
      <w:r>
        <w:rPr>
          <w:color w:val="231F20"/>
          <w:sz w:val="21"/>
        </w:rPr>
        <w:t>)</w:t>
      </w:r>
    </w:p>
    <w:p>
      <w:pPr>
        <w:spacing w:line="124" w:lineRule="exact" w:before="0"/>
        <w:ind w:left="941" w:right="1489" w:firstLine="0"/>
        <w:jc w:val="center"/>
        <w:rPr>
          <w:sz w:val="12"/>
        </w:rPr>
      </w:pPr>
      <w:r>
        <w:rPr>
          <w:color w:val="231F20"/>
          <w:sz w:val="12"/>
        </w:rPr>
        <w:t>11</w:t>
      </w:r>
    </w:p>
    <w:p>
      <w:pPr>
        <w:pStyle w:val="BodyText"/>
        <w:spacing w:before="8"/>
        <w:rPr>
          <w:sz w:val="11"/>
        </w:rPr>
      </w:pPr>
    </w:p>
    <w:p>
      <w:pPr>
        <w:pStyle w:val="Heading5"/>
        <w:spacing w:before="73"/>
      </w:pPr>
      <w:r>
        <w:rPr>
          <w:color w:val="231F20"/>
        </w:rPr>
        <w:t>Metodología y ecuaciones matemáticas utilizadas</w:t>
      </w:r>
    </w:p>
    <w:p>
      <w:pPr>
        <w:pStyle w:val="BodyText"/>
        <w:spacing w:line="247" w:lineRule="auto" w:before="8"/>
        <w:ind w:left="1270" w:right="1267"/>
        <w:jc w:val="both"/>
      </w:pPr>
      <w:r>
        <w:rPr>
          <w:color w:val="231F20"/>
        </w:rPr>
        <w:t>Al analizarse un solo año agrícola y comparar en el a dos cultivos diferentes, se aplicó el enfoque económico</w:t>
      </w:r>
      <w:r>
        <w:rPr>
          <w:color w:val="231F20"/>
          <w:spacing w:val="-6"/>
        </w:rPr>
        <w:t> </w:t>
      </w:r>
      <w:r>
        <w:rPr>
          <w:color w:val="231F20"/>
        </w:rPr>
        <w:t>estático-comparativo</w:t>
      </w:r>
      <w:r>
        <w:rPr>
          <w:color w:val="231F20"/>
          <w:spacing w:val="-6"/>
        </w:rPr>
        <w:t> </w:t>
      </w:r>
      <w:r>
        <w:rPr>
          <w:color w:val="231F20"/>
        </w:rPr>
        <w:t>de</w:t>
      </w:r>
      <w:r>
        <w:rPr>
          <w:color w:val="231F20"/>
          <w:spacing w:val="-18"/>
        </w:rPr>
        <w:t> </w:t>
      </w:r>
      <w:r>
        <w:rPr>
          <w:color w:val="231F20"/>
        </w:rPr>
        <w:t>Astori</w:t>
      </w:r>
      <w:r>
        <w:rPr>
          <w:color w:val="231F20"/>
          <w:spacing w:val="-6"/>
        </w:rPr>
        <w:t> </w:t>
      </w:r>
      <w:r>
        <w:rPr>
          <w:color w:val="231F20"/>
        </w:rPr>
        <w:t>(1984)</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metodología</w:t>
      </w:r>
      <w:r>
        <w:rPr>
          <w:color w:val="231F20"/>
          <w:spacing w:val="-6"/>
        </w:rPr>
        <w:t> </w:t>
      </w:r>
      <w:r>
        <w:rPr>
          <w:color w:val="231F20"/>
        </w:rPr>
        <w:t>para</w:t>
      </w:r>
      <w:r>
        <w:rPr>
          <w:color w:val="231F20"/>
          <w:spacing w:val="-6"/>
        </w:rPr>
        <w:t> </w:t>
      </w:r>
      <w:r>
        <w:rPr>
          <w:color w:val="231F20"/>
        </w:rPr>
        <w:t>eficiencia</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uso</w:t>
      </w:r>
      <w:r>
        <w:rPr>
          <w:color w:val="231F20"/>
          <w:spacing w:val="-6"/>
        </w:rPr>
        <w:t> </w:t>
      </w:r>
      <w:r>
        <w:rPr>
          <w:color w:val="231F20"/>
        </w:rPr>
        <w:t>del</w:t>
      </w:r>
      <w:r>
        <w:rPr>
          <w:color w:val="231F20"/>
          <w:spacing w:val="-6"/>
        </w:rPr>
        <w:t> </w:t>
      </w:r>
      <w:r>
        <w:rPr>
          <w:color w:val="231F20"/>
        </w:rPr>
        <w:t>agua de riego propuesta por el Instituto Internacional de Manejo del</w:t>
      </w:r>
      <w:r>
        <w:rPr>
          <w:color w:val="231F20"/>
          <w:spacing w:val="-23"/>
        </w:rPr>
        <w:t> </w:t>
      </w:r>
      <w:r>
        <w:rPr>
          <w:color w:val="231F20"/>
        </w:rPr>
        <w:t>Agua.</w:t>
      </w:r>
    </w:p>
    <w:p>
      <w:pPr>
        <w:pStyle w:val="BodyText"/>
        <w:spacing w:before="10"/>
      </w:pPr>
    </w:p>
    <w:p>
      <w:pPr>
        <w:pStyle w:val="BodyText"/>
        <w:spacing w:line="249" w:lineRule="auto"/>
        <w:ind w:left="1270" w:right="1268"/>
        <w:jc w:val="both"/>
      </w:pPr>
      <w:r>
        <w:rPr>
          <w:color w:val="231F20"/>
        </w:rPr>
        <w:t>Lámina de riego (LR): Se utilizaron las láminas de riego más usuales en la región, se les multiplicó por</w:t>
      </w:r>
      <w:r>
        <w:rPr>
          <w:color w:val="231F20"/>
          <w:spacing w:val="-8"/>
        </w:rPr>
        <w:t> </w:t>
      </w:r>
      <w:r>
        <w:rPr>
          <w:color w:val="231F20"/>
        </w:rPr>
        <w:t>10,000</w:t>
      </w:r>
      <w:r>
        <w:rPr>
          <w:color w:val="231F20"/>
          <w:spacing w:val="-8"/>
        </w:rPr>
        <w:t> </w:t>
      </w:r>
      <w:r>
        <w:rPr>
          <w:color w:val="231F20"/>
        </w:rPr>
        <w:t>(área</w:t>
      </w:r>
      <w:r>
        <w:rPr>
          <w:color w:val="231F20"/>
          <w:spacing w:val="-8"/>
        </w:rPr>
        <w:t> </w:t>
      </w:r>
      <w:r>
        <w:rPr>
          <w:color w:val="231F20"/>
        </w:rPr>
        <w:t>en</w:t>
      </w:r>
      <w:r>
        <w:rPr>
          <w:color w:val="231F20"/>
          <w:spacing w:val="-8"/>
        </w:rPr>
        <w:t> </w:t>
      </w:r>
      <w:r>
        <w:rPr>
          <w:color w:val="231F20"/>
        </w:rPr>
        <w:t>m</w:t>
      </w:r>
      <w:r>
        <w:rPr>
          <w:color w:val="231F20"/>
          <w:position w:val="7"/>
          <w:sz w:val="12"/>
        </w:rPr>
        <w:t>2</w:t>
      </w:r>
      <w:r>
        <w:rPr>
          <w:color w:val="231F20"/>
          <w:spacing w:val="14"/>
          <w:position w:val="7"/>
          <w:sz w:val="12"/>
        </w:rPr>
        <w:t> </w:t>
      </w:r>
      <w:r>
        <w:rPr>
          <w:color w:val="231F20"/>
        </w:rPr>
        <w:t>de</w:t>
      </w:r>
      <w:r>
        <w:rPr>
          <w:color w:val="231F20"/>
          <w:spacing w:val="-8"/>
        </w:rPr>
        <w:t> </w:t>
      </w:r>
      <w:r>
        <w:rPr>
          <w:color w:val="231F20"/>
        </w:rPr>
        <w:t>una</w:t>
      </w:r>
      <w:r>
        <w:rPr>
          <w:color w:val="231F20"/>
          <w:spacing w:val="-8"/>
        </w:rPr>
        <w:t> </w:t>
      </w:r>
      <w:r>
        <w:rPr>
          <w:color w:val="231F20"/>
        </w:rPr>
        <w:t>hectárea),</w:t>
      </w:r>
      <w:r>
        <w:rPr>
          <w:color w:val="231F20"/>
          <w:spacing w:val="-8"/>
        </w:rPr>
        <w:t> </w:t>
      </w:r>
      <w:r>
        <w:rPr>
          <w:color w:val="231F20"/>
        </w:rPr>
        <w:t>de</w:t>
      </w:r>
      <w:r>
        <w:rPr>
          <w:color w:val="231F20"/>
          <w:spacing w:val="-8"/>
        </w:rPr>
        <w:t> </w:t>
      </w:r>
      <w:r>
        <w:rPr>
          <w:color w:val="231F20"/>
        </w:rPr>
        <w:t>esa</w:t>
      </w:r>
      <w:r>
        <w:rPr>
          <w:color w:val="231F20"/>
          <w:spacing w:val="-8"/>
        </w:rPr>
        <w:t> </w:t>
      </w:r>
      <w:r>
        <w:rPr>
          <w:color w:val="231F20"/>
        </w:rPr>
        <w:t>manera</w:t>
      </w:r>
      <w:r>
        <w:rPr>
          <w:color w:val="231F20"/>
          <w:spacing w:val="-8"/>
        </w:rPr>
        <w:t> </w:t>
      </w:r>
      <w:r>
        <w:rPr>
          <w:color w:val="231F20"/>
        </w:rPr>
        <w:t>se</w:t>
      </w:r>
      <w:r>
        <w:rPr>
          <w:color w:val="231F20"/>
          <w:spacing w:val="-8"/>
        </w:rPr>
        <w:t> </w:t>
      </w:r>
      <w:r>
        <w:rPr>
          <w:color w:val="231F20"/>
        </w:rPr>
        <w:t>obtuvo</w:t>
      </w:r>
      <w:r>
        <w:rPr>
          <w:color w:val="231F20"/>
          <w:spacing w:val="-8"/>
        </w:rPr>
        <w:t> </w:t>
      </w:r>
      <w:r>
        <w:rPr>
          <w:color w:val="231F20"/>
        </w:rPr>
        <w:t>el</w:t>
      </w:r>
      <w:r>
        <w:rPr>
          <w:color w:val="231F20"/>
          <w:spacing w:val="-8"/>
        </w:rPr>
        <w:t> </w:t>
      </w:r>
      <w:r>
        <w:rPr>
          <w:color w:val="231F20"/>
        </w:rPr>
        <w:t>volumen</w:t>
      </w:r>
      <w:r>
        <w:rPr>
          <w:color w:val="231F20"/>
          <w:spacing w:val="-8"/>
        </w:rPr>
        <w:t> </w:t>
      </w:r>
      <w:r>
        <w:rPr>
          <w:color w:val="231F20"/>
        </w:rPr>
        <w:t>total</w:t>
      </w:r>
      <w:r>
        <w:rPr>
          <w:color w:val="231F20"/>
          <w:spacing w:val="-8"/>
        </w:rPr>
        <w:t> </w:t>
      </w:r>
      <w:r>
        <w:rPr>
          <w:color w:val="231F20"/>
        </w:rPr>
        <w:t>“V”</w:t>
      </w:r>
      <w:r>
        <w:rPr>
          <w:color w:val="231F20"/>
          <w:spacing w:val="-8"/>
        </w:rPr>
        <w:t> </w:t>
      </w:r>
      <w:r>
        <w:rPr>
          <w:color w:val="231F20"/>
        </w:rPr>
        <w:t>de</w:t>
      </w:r>
      <w:r>
        <w:rPr>
          <w:color w:val="231F20"/>
          <w:spacing w:val="-8"/>
        </w:rPr>
        <w:t> </w:t>
      </w:r>
      <w:r>
        <w:rPr>
          <w:color w:val="231F20"/>
        </w:rPr>
        <w:t>m</w:t>
      </w:r>
      <w:r>
        <w:rPr>
          <w:color w:val="231F20"/>
          <w:position w:val="7"/>
          <w:sz w:val="12"/>
        </w:rPr>
        <w:t>3</w:t>
      </w:r>
      <w:r>
        <w:rPr>
          <w:color w:val="231F20"/>
          <w:spacing w:val="14"/>
          <w:position w:val="7"/>
          <w:sz w:val="12"/>
        </w:rPr>
        <w:t> </w:t>
      </w:r>
      <w:r>
        <w:rPr>
          <w:color w:val="231F20"/>
        </w:rPr>
        <w:t>de</w:t>
      </w:r>
      <w:r>
        <w:rPr>
          <w:color w:val="231F20"/>
          <w:spacing w:val="-8"/>
        </w:rPr>
        <w:t> </w:t>
      </w:r>
      <w:r>
        <w:rPr>
          <w:color w:val="231F20"/>
        </w:rPr>
        <w:t>agua</w:t>
      </w:r>
    </w:p>
    <w:p>
      <w:pPr>
        <w:spacing w:before="40"/>
        <w:ind w:left="1270" w:right="5337" w:firstLine="0"/>
        <w:jc w:val="left"/>
        <w:rPr>
          <w:sz w:val="21"/>
        </w:rPr>
      </w:pPr>
      <w:r>
        <w:rPr>
          <w:color w:val="231F20"/>
          <w:w w:val="100"/>
          <w:sz w:val="21"/>
        </w:rPr>
        <w:t>demandada</w:t>
      </w:r>
      <w:r>
        <w:rPr>
          <w:color w:val="231F20"/>
          <w:sz w:val="21"/>
        </w:rPr>
        <w:t> por </w:t>
      </w:r>
      <w:r>
        <w:rPr>
          <w:color w:val="231F20"/>
          <w:w w:val="100"/>
          <w:sz w:val="21"/>
        </w:rPr>
        <w:t>el</w:t>
      </w:r>
      <w:r>
        <w:rPr>
          <w:color w:val="231F20"/>
          <w:sz w:val="21"/>
        </w:rPr>
        <w:t> </w:t>
      </w:r>
      <w:r>
        <w:rPr>
          <w:color w:val="231F20"/>
          <w:w w:val="100"/>
          <w:sz w:val="21"/>
        </w:rPr>
        <w:t>cultivo,</w:t>
      </w:r>
      <w:r>
        <w:rPr>
          <w:color w:val="231F20"/>
          <w:sz w:val="21"/>
        </w:rPr>
        <w:t> es </w:t>
      </w:r>
      <w:r>
        <w:rPr>
          <w:color w:val="231F20"/>
          <w:w w:val="100"/>
          <w:sz w:val="21"/>
        </w:rPr>
        <w:t>decir</w:t>
      </w:r>
      <w:r>
        <w:rPr>
          <w:color w:val="231F20"/>
          <w:spacing w:val="9"/>
          <w:w w:val="100"/>
          <w:sz w:val="21"/>
        </w:rPr>
        <w:t>;</w:t>
      </w:r>
      <w:r>
        <w:rPr>
          <w:i/>
          <w:color w:val="010202"/>
          <w:w w:val="98"/>
          <w:position w:val="-1"/>
          <w:sz w:val="18"/>
        </w:rPr>
        <w:t>V</w:t>
      </w:r>
      <w:r>
        <w:rPr>
          <w:i/>
          <w:color w:val="010202"/>
          <w:position w:val="-1"/>
          <w:sz w:val="18"/>
        </w:rPr>
        <w:t> </w:t>
      </w:r>
      <w:r>
        <w:rPr>
          <w:i/>
          <w:color w:val="010202"/>
          <w:spacing w:val="-18"/>
          <w:position w:val="-1"/>
          <w:sz w:val="18"/>
        </w:rPr>
        <w:t> </w:t>
      </w:r>
      <w:r>
        <w:rPr>
          <w:rFonts w:ascii="Symbol" w:hAnsi="Symbol"/>
          <w:color w:val="010202"/>
          <w:w w:val="98"/>
          <w:position w:val="-1"/>
          <w:sz w:val="18"/>
        </w:rPr>
        <w:t></w:t>
      </w:r>
      <w:r>
        <w:rPr>
          <w:color w:val="010202"/>
          <w:spacing w:val="-18"/>
          <w:position w:val="-1"/>
          <w:sz w:val="18"/>
        </w:rPr>
        <w:t> </w:t>
      </w:r>
      <w:r>
        <w:rPr>
          <w:color w:val="010202"/>
          <w:w w:val="98"/>
          <w:position w:val="-1"/>
          <w:sz w:val="18"/>
        </w:rPr>
        <w:t>10000</w:t>
      </w:r>
      <w:r>
        <w:rPr>
          <w:color w:val="010202"/>
          <w:spacing w:val="5"/>
          <w:position w:val="-1"/>
          <w:sz w:val="18"/>
        </w:rPr>
        <w:t> </w:t>
      </w:r>
      <w:r>
        <w:rPr>
          <w:i/>
          <w:color w:val="010202"/>
          <w:spacing w:val="-96"/>
          <w:w w:val="98"/>
          <w:position w:val="-1"/>
          <w:sz w:val="18"/>
        </w:rPr>
        <w:t>L</w:t>
      </w:r>
      <w:r>
        <w:rPr>
          <w:i/>
          <w:color w:val="010202"/>
          <w:w w:val="98"/>
          <w:position w:val="-1"/>
          <w:sz w:val="18"/>
        </w:rPr>
        <w:t>R</w:t>
      </w:r>
      <w:r>
        <w:rPr>
          <w:i/>
          <w:color w:val="010202"/>
          <w:position w:val="-1"/>
          <w:sz w:val="18"/>
        </w:rPr>
        <w:t>  </w:t>
      </w:r>
      <w:r>
        <w:rPr>
          <w:i/>
          <w:color w:val="010202"/>
          <w:spacing w:val="-6"/>
          <w:position w:val="-1"/>
          <w:sz w:val="18"/>
        </w:rPr>
        <w:t> </w:t>
      </w:r>
      <w:r>
        <w:rPr>
          <w:color w:val="231F20"/>
          <w:sz w:val="21"/>
        </w:rPr>
        <w:t>.</w:t>
      </w:r>
    </w:p>
    <w:p>
      <w:pPr>
        <w:pStyle w:val="BodyText"/>
        <w:tabs>
          <w:tab w:pos="6438" w:val="left" w:leader="none"/>
        </w:tabs>
        <w:spacing w:line="236" w:lineRule="exact"/>
        <w:ind w:left="1270"/>
      </w:pPr>
      <w:r>
        <w:rPr/>
        <w:pict>
          <v:shape style="position:absolute;margin-left:295.631287pt;margin-top:8.088148pt;width:3.1pt;height:6.15pt;mso-position-horizontal-relative:page;mso-position-vertical-relative:paragraph;z-index:-208960" type="#_x0000_t202" filled="false" stroked="false">
            <v:textbox inset="0,0,0,0">
              <w:txbxContent>
                <w:p>
                  <w:pPr>
                    <w:spacing w:line="122" w:lineRule="exact" w:before="0"/>
                    <w:ind w:left="0" w:right="0" w:firstLine="0"/>
                    <w:jc w:val="left"/>
                    <w:rPr>
                      <w:sz w:val="12"/>
                    </w:rPr>
                  </w:pPr>
                  <w:r>
                    <w:rPr>
                      <w:color w:val="231F20"/>
                      <w:w w:val="102"/>
                      <w:sz w:val="12"/>
                    </w:rPr>
                    <w:t>1</w:t>
                  </w:r>
                </w:p>
              </w:txbxContent>
            </v:textbox>
            <w10:wrap type="none"/>
          </v:shape>
        </w:pict>
      </w:r>
      <w:r>
        <w:rPr/>
        <w:pict>
          <v:shape style="position:absolute;margin-left:301.445099pt;margin-top:1.068385pt;width:14.65pt;height:10.5pt;mso-position-horizontal-relative:page;mso-position-vertical-relative:paragraph;z-index:-208936" type="#_x0000_t202" filled="false" stroked="false">
            <v:textbox inset="0,0,0,0">
              <w:txbxContent>
                <w:p>
                  <w:pPr>
                    <w:pStyle w:val="BodyText"/>
                    <w:spacing w:line="210" w:lineRule="exact"/>
                    <w:ind w:right="-19"/>
                  </w:pPr>
                  <w:r>
                    <w:rPr>
                      <w:color w:val="231F20"/>
                    </w:rPr>
                    <w:t>a</w:t>
                  </w:r>
                  <w:r>
                    <w:rPr>
                      <w:color w:val="231F20"/>
                      <w:spacing w:val="-6"/>
                    </w:rPr>
                    <w:t> </w:t>
                  </w:r>
                  <w:r>
                    <w:rPr>
                      <w:color w:val="231F20"/>
                    </w:rPr>
                    <w:t>Y</w:t>
                  </w:r>
                </w:p>
              </w:txbxContent>
            </v:textbox>
            <w10:wrap type="none"/>
          </v:shape>
        </w:pict>
      </w:r>
      <w:r>
        <w:rPr/>
        <w:pict>
          <v:shape style="position:absolute;margin-left:316.051605pt;margin-top:8.088148pt;width:5.7pt;height:6.15pt;mso-position-horizontal-relative:page;mso-position-vertical-relative:paragraph;z-index:-208912" type="#_x0000_t202" filled="false" stroked="false">
            <v:textbox inset="0,0,0,0">
              <w:txbxContent>
                <w:p>
                  <w:pPr>
                    <w:spacing w:line="122" w:lineRule="exact" w:before="0"/>
                    <w:ind w:left="0" w:right="-16" w:firstLine="0"/>
                    <w:jc w:val="left"/>
                    <w:rPr>
                      <w:sz w:val="12"/>
                    </w:rPr>
                  </w:pPr>
                  <w:r>
                    <w:rPr>
                      <w:color w:val="231F20"/>
                      <w:spacing w:val="-5"/>
                      <w:sz w:val="12"/>
                    </w:rPr>
                    <w:t>11</w:t>
                  </w:r>
                </w:p>
              </w:txbxContent>
            </v:textbox>
            <w10:wrap type="none"/>
          </v:shape>
        </w:pict>
      </w:r>
      <w:r>
        <w:rPr>
          <w:color w:val="231F20"/>
        </w:rPr>
        <w:t>Las once ecuaciones matemáticas de las variables</w:t>
      </w:r>
      <w:r>
        <w:rPr>
          <w:color w:val="231F20"/>
          <w:spacing w:val="14"/>
        </w:rPr>
        <w:t> </w:t>
      </w:r>
      <w:r>
        <w:rPr>
          <w:color w:val="231F20"/>
        </w:rPr>
        <w:t>de</w:t>
      </w:r>
      <w:r>
        <w:rPr>
          <w:color w:val="231F20"/>
          <w:spacing w:val="-6"/>
        </w:rPr>
        <w:t> </w:t>
      </w:r>
      <w:r>
        <w:rPr>
          <w:color w:val="231F20"/>
        </w:rPr>
        <w:t>Y</w:t>
        <w:tab/>
        <w:t>, y señaladas a continuación, se</w:t>
      </w:r>
      <w:r>
        <w:rPr>
          <w:color w:val="231F20"/>
          <w:spacing w:val="2"/>
        </w:rPr>
        <w:t> </w:t>
      </w:r>
      <w:r>
        <w:rPr>
          <w:color w:val="231F20"/>
        </w:rPr>
        <w:t>calcu-</w:t>
      </w:r>
    </w:p>
    <w:p>
      <w:pPr>
        <w:pStyle w:val="BodyText"/>
        <w:spacing w:before="8"/>
        <w:ind w:left="1270" w:right="1279"/>
      </w:pPr>
      <w:r>
        <w:rPr>
          <w:color w:val="231F20"/>
        </w:rPr>
        <w:t>laron para ambos cultivos en el Distrito de Riego 017 de La Comarca lagunera:</w:t>
      </w:r>
    </w:p>
    <w:p>
      <w:pPr>
        <w:pStyle w:val="BodyText"/>
        <w:spacing w:before="4"/>
        <w:rPr>
          <w:sz w:val="17"/>
        </w:rPr>
      </w:pPr>
      <w:r>
        <w:rPr/>
        <w:drawing>
          <wp:anchor distT="0" distB="0" distL="0" distR="0" allowOverlap="1" layoutInCell="1" locked="0" behindDoc="0" simplePos="0" relativeHeight="3592">
            <wp:simplePos x="0" y="0"/>
            <wp:positionH relativeFrom="page">
              <wp:posOffset>806700</wp:posOffset>
            </wp:positionH>
            <wp:positionV relativeFrom="paragraph">
              <wp:posOffset>151558</wp:posOffset>
            </wp:positionV>
            <wp:extent cx="1185858" cy="271462"/>
            <wp:effectExtent l="0" t="0" r="0" b="0"/>
            <wp:wrapTopAndBottom/>
            <wp:docPr id="131" name="image45.jpeg" descr=""/>
            <wp:cNvGraphicFramePr>
              <a:graphicFrameLocks noChangeAspect="1"/>
            </wp:cNvGraphicFramePr>
            <a:graphic>
              <a:graphicData uri="http://schemas.openxmlformats.org/drawingml/2006/picture">
                <pic:pic>
                  <pic:nvPicPr>
                    <pic:cNvPr id="132" name="image45.jpeg"/>
                    <pic:cNvPicPr/>
                  </pic:nvPicPr>
                  <pic:blipFill>
                    <a:blip r:embed="rId69" cstate="print"/>
                    <a:stretch>
                      <a:fillRect/>
                    </a:stretch>
                  </pic:blipFill>
                  <pic:spPr>
                    <a:xfrm>
                      <a:off x="0" y="0"/>
                      <a:ext cx="1185858" cy="271462"/>
                    </a:xfrm>
                    <a:prstGeom prst="rect">
                      <a:avLst/>
                    </a:prstGeom>
                  </pic:spPr>
                </pic:pic>
              </a:graphicData>
            </a:graphic>
          </wp:anchor>
        </w:drawing>
      </w:r>
      <w:r>
        <w:rPr/>
        <w:drawing>
          <wp:anchor distT="0" distB="0" distL="0" distR="0" allowOverlap="1" layoutInCell="1" locked="0" behindDoc="0" simplePos="0" relativeHeight="3616">
            <wp:simplePos x="0" y="0"/>
            <wp:positionH relativeFrom="page">
              <wp:posOffset>806700</wp:posOffset>
            </wp:positionH>
            <wp:positionV relativeFrom="paragraph">
              <wp:posOffset>647811</wp:posOffset>
            </wp:positionV>
            <wp:extent cx="1275781" cy="281940"/>
            <wp:effectExtent l="0" t="0" r="0" b="0"/>
            <wp:wrapTopAndBottom/>
            <wp:docPr id="133" name="image46.jpeg" descr=""/>
            <wp:cNvGraphicFramePr>
              <a:graphicFrameLocks noChangeAspect="1"/>
            </wp:cNvGraphicFramePr>
            <a:graphic>
              <a:graphicData uri="http://schemas.openxmlformats.org/drawingml/2006/picture">
                <pic:pic>
                  <pic:nvPicPr>
                    <pic:cNvPr id="134" name="image46.jpeg"/>
                    <pic:cNvPicPr/>
                  </pic:nvPicPr>
                  <pic:blipFill>
                    <a:blip r:embed="rId70" cstate="print"/>
                    <a:stretch>
                      <a:fillRect/>
                    </a:stretch>
                  </pic:blipFill>
                  <pic:spPr>
                    <a:xfrm>
                      <a:off x="0" y="0"/>
                      <a:ext cx="1275781" cy="281940"/>
                    </a:xfrm>
                    <a:prstGeom prst="rect">
                      <a:avLst/>
                    </a:prstGeom>
                  </pic:spPr>
                </pic:pic>
              </a:graphicData>
            </a:graphic>
          </wp:anchor>
        </w:drawing>
      </w:r>
    </w:p>
    <w:p>
      <w:pPr>
        <w:pStyle w:val="BodyText"/>
        <w:spacing w:before="10"/>
        <w:rPr>
          <w:sz w:val="24"/>
        </w:rPr>
      </w:pPr>
    </w:p>
    <w:p>
      <w:pPr>
        <w:spacing w:after="0"/>
        <w:rPr>
          <w:sz w:val="24"/>
        </w:rPr>
        <w:sectPr>
          <w:pgSz w:w="10920" w:h="13080"/>
          <w:pgMar w:header="0" w:footer="1025" w:top="420" w:bottom="12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9"/>
        </w:rPr>
      </w:pPr>
    </w:p>
    <w:p>
      <w:pPr>
        <w:pStyle w:val="BodyText"/>
        <w:ind w:left="1270"/>
        <w:rPr>
          <w:sz w:val="20"/>
        </w:rPr>
      </w:pPr>
      <w:r>
        <w:rPr>
          <w:sz w:val="20"/>
        </w:rPr>
        <w:drawing>
          <wp:inline distT="0" distB="0" distL="0" distR="0">
            <wp:extent cx="1657379" cy="278606"/>
            <wp:effectExtent l="0" t="0" r="0" b="0"/>
            <wp:docPr id="135" name="image47.jpeg" descr=""/>
            <wp:cNvGraphicFramePr>
              <a:graphicFrameLocks noChangeAspect="1"/>
            </wp:cNvGraphicFramePr>
            <a:graphic>
              <a:graphicData uri="http://schemas.openxmlformats.org/drawingml/2006/picture">
                <pic:pic>
                  <pic:nvPicPr>
                    <pic:cNvPr id="136" name="image47.jpeg"/>
                    <pic:cNvPicPr/>
                  </pic:nvPicPr>
                  <pic:blipFill>
                    <a:blip r:embed="rId71" cstate="print"/>
                    <a:stretch>
                      <a:fillRect/>
                    </a:stretch>
                  </pic:blipFill>
                  <pic:spPr>
                    <a:xfrm>
                      <a:off x="0" y="0"/>
                      <a:ext cx="1657379" cy="278606"/>
                    </a:xfrm>
                    <a:prstGeom prst="rect">
                      <a:avLst/>
                    </a:prstGeom>
                  </pic:spPr>
                </pic:pic>
              </a:graphicData>
            </a:graphic>
          </wp:inline>
        </w:drawing>
      </w:r>
      <w:r>
        <w:rPr>
          <w:sz w:val="20"/>
        </w:rPr>
      </w:r>
    </w:p>
    <w:p>
      <w:pPr>
        <w:pStyle w:val="BodyText"/>
        <w:spacing w:before="1"/>
        <w:rPr>
          <w:sz w:val="22"/>
        </w:rPr>
      </w:pPr>
      <w:r>
        <w:rPr/>
        <w:drawing>
          <wp:anchor distT="0" distB="0" distL="0" distR="0" allowOverlap="1" layoutInCell="1" locked="0" behindDoc="0" simplePos="0" relativeHeight="3928">
            <wp:simplePos x="0" y="0"/>
            <wp:positionH relativeFrom="page">
              <wp:posOffset>806699</wp:posOffset>
            </wp:positionH>
            <wp:positionV relativeFrom="paragraph">
              <wp:posOffset>186526</wp:posOffset>
            </wp:positionV>
            <wp:extent cx="1893091" cy="300037"/>
            <wp:effectExtent l="0" t="0" r="0" b="0"/>
            <wp:wrapTopAndBottom/>
            <wp:docPr id="137" name="image48.jpeg" descr=""/>
            <wp:cNvGraphicFramePr>
              <a:graphicFrameLocks noChangeAspect="1"/>
            </wp:cNvGraphicFramePr>
            <a:graphic>
              <a:graphicData uri="http://schemas.openxmlformats.org/drawingml/2006/picture">
                <pic:pic>
                  <pic:nvPicPr>
                    <pic:cNvPr id="138" name="image48.jpeg"/>
                    <pic:cNvPicPr/>
                  </pic:nvPicPr>
                  <pic:blipFill>
                    <a:blip r:embed="rId72" cstate="print"/>
                    <a:stretch>
                      <a:fillRect/>
                    </a:stretch>
                  </pic:blipFill>
                  <pic:spPr>
                    <a:xfrm>
                      <a:off x="0" y="0"/>
                      <a:ext cx="1893091" cy="300037"/>
                    </a:xfrm>
                    <a:prstGeom prst="rect">
                      <a:avLst/>
                    </a:prstGeom>
                  </pic:spPr>
                </pic:pic>
              </a:graphicData>
            </a:graphic>
          </wp:anchor>
        </w:drawing>
      </w:r>
      <w:r>
        <w:rPr/>
        <w:drawing>
          <wp:anchor distT="0" distB="0" distL="0" distR="0" allowOverlap="1" layoutInCell="1" locked="0" behindDoc="0" simplePos="0" relativeHeight="3952">
            <wp:simplePos x="0" y="0"/>
            <wp:positionH relativeFrom="page">
              <wp:posOffset>806699</wp:posOffset>
            </wp:positionH>
            <wp:positionV relativeFrom="paragraph">
              <wp:posOffset>635154</wp:posOffset>
            </wp:positionV>
            <wp:extent cx="2064539" cy="342900"/>
            <wp:effectExtent l="0" t="0" r="0" b="0"/>
            <wp:wrapTopAndBottom/>
            <wp:docPr id="139" name="image49.jpeg" descr=""/>
            <wp:cNvGraphicFramePr>
              <a:graphicFrameLocks noChangeAspect="1"/>
            </wp:cNvGraphicFramePr>
            <a:graphic>
              <a:graphicData uri="http://schemas.openxmlformats.org/drawingml/2006/picture">
                <pic:pic>
                  <pic:nvPicPr>
                    <pic:cNvPr id="140" name="image49.jpeg"/>
                    <pic:cNvPicPr/>
                  </pic:nvPicPr>
                  <pic:blipFill>
                    <a:blip r:embed="rId73" cstate="print"/>
                    <a:stretch>
                      <a:fillRect/>
                    </a:stretch>
                  </pic:blipFill>
                  <pic:spPr>
                    <a:xfrm>
                      <a:off x="0" y="0"/>
                      <a:ext cx="2064539" cy="342900"/>
                    </a:xfrm>
                    <a:prstGeom prst="rect">
                      <a:avLst/>
                    </a:prstGeom>
                  </pic:spPr>
                </pic:pic>
              </a:graphicData>
            </a:graphic>
          </wp:anchor>
        </w:drawing>
      </w:r>
      <w:r>
        <w:rPr/>
        <w:drawing>
          <wp:anchor distT="0" distB="0" distL="0" distR="0" allowOverlap="1" layoutInCell="1" locked="0" behindDoc="0" simplePos="0" relativeHeight="3976">
            <wp:simplePos x="0" y="0"/>
            <wp:positionH relativeFrom="page">
              <wp:posOffset>806699</wp:posOffset>
            </wp:positionH>
            <wp:positionV relativeFrom="paragraph">
              <wp:posOffset>1202844</wp:posOffset>
            </wp:positionV>
            <wp:extent cx="1185861" cy="300037"/>
            <wp:effectExtent l="0" t="0" r="0" b="0"/>
            <wp:wrapTopAndBottom/>
            <wp:docPr id="141" name="image50.jpeg" descr=""/>
            <wp:cNvGraphicFramePr>
              <a:graphicFrameLocks noChangeAspect="1"/>
            </wp:cNvGraphicFramePr>
            <a:graphic>
              <a:graphicData uri="http://schemas.openxmlformats.org/drawingml/2006/picture">
                <pic:pic>
                  <pic:nvPicPr>
                    <pic:cNvPr id="142" name="image50.jpeg"/>
                    <pic:cNvPicPr/>
                  </pic:nvPicPr>
                  <pic:blipFill>
                    <a:blip r:embed="rId74" cstate="print"/>
                    <a:stretch>
                      <a:fillRect/>
                    </a:stretch>
                  </pic:blipFill>
                  <pic:spPr>
                    <a:xfrm>
                      <a:off x="0" y="0"/>
                      <a:ext cx="1185861" cy="300037"/>
                    </a:xfrm>
                    <a:prstGeom prst="rect">
                      <a:avLst/>
                    </a:prstGeom>
                  </pic:spPr>
                </pic:pic>
              </a:graphicData>
            </a:graphic>
          </wp:anchor>
        </w:drawing>
      </w:r>
      <w:r>
        <w:rPr/>
        <w:drawing>
          <wp:anchor distT="0" distB="0" distL="0" distR="0" allowOverlap="1" layoutInCell="1" locked="0" behindDoc="0" simplePos="0" relativeHeight="4000">
            <wp:simplePos x="0" y="0"/>
            <wp:positionH relativeFrom="page">
              <wp:posOffset>806699</wp:posOffset>
            </wp:positionH>
            <wp:positionV relativeFrom="paragraph">
              <wp:posOffset>1689582</wp:posOffset>
            </wp:positionV>
            <wp:extent cx="1293060" cy="321468"/>
            <wp:effectExtent l="0" t="0" r="0" b="0"/>
            <wp:wrapTopAndBottom/>
            <wp:docPr id="143" name="image51.jpeg" descr=""/>
            <wp:cNvGraphicFramePr>
              <a:graphicFrameLocks noChangeAspect="1"/>
            </wp:cNvGraphicFramePr>
            <a:graphic>
              <a:graphicData uri="http://schemas.openxmlformats.org/drawingml/2006/picture">
                <pic:pic>
                  <pic:nvPicPr>
                    <pic:cNvPr id="144" name="image51.jpeg"/>
                    <pic:cNvPicPr/>
                  </pic:nvPicPr>
                  <pic:blipFill>
                    <a:blip r:embed="rId75" cstate="print"/>
                    <a:stretch>
                      <a:fillRect/>
                    </a:stretch>
                  </pic:blipFill>
                  <pic:spPr>
                    <a:xfrm>
                      <a:off x="0" y="0"/>
                      <a:ext cx="1293060" cy="321468"/>
                    </a:xfrm>
                    <a:prstGeom prst="rect">
                      <a:avLst/>
                    </a:prstGeom>
                  </pic:spPr>
                </pic:pic>
              </a:graphicData>
            </a:graphic>
          </wp:anchor>
        </w:drawing>
      </w:r>
      <w:r>
        <w:rPr/>
        <w:drawing>
          <wp:anchor distT="0" distB="0" distL="0" distR="0" allowOverlap="1" layoutInCell="1" locked="0" behindDoc="0" simplePos="0" relativeHeight="4024">
            <wp:simplePos x="0" y="0"/>
            <wp:positionH relativeFrom="page">
              <wp:posOffset>806699</wp:posOffset>
            </wp:positionH>
            <wp:positionV relativeFrom="paragraph">
              <wp:posOffset>2197735</wp:posOffset>
            </wp:positionV>
            <wp:extent cx="1221606" cy="278606"/>
            <wp:effectExtent l="0" t="0" r="0" b="0"/>
            <wp:wrapTopAndBottom/>
            <wp:docPr id="145" name="image52.jpeg" descr=""/>
            <wp:cNvGraphicFramePr>
              <a:graphicFrameLocks noChangeAspect="1"/>
            </wp:cNvGraphicFramePr>
            <a:graphic>
              <a:graphicData uri="http://schemas.openxmlformats.org/drawingml/2006/picture">
                <pic:pic>
                  <pic:nvPicPr>
                    <pic:cNvPr id="146" name="image52.jpeg"/>
                    <pic:cNvPicPr/>
                  </pic:nvPicPr>
                  <pic:blipFill>
                    <a:blip r:embed="rId76" cstate="print"/>
                    <a:stretch>
                      <a:fillRect/>
                    </a:stretch>
                  </pic:blipFill>
                  <pic:spPr>
                    <a:xfrm>
                      <a:off x="0" y="0"/>
                      <a:ext cx="1221606" cy="278606"/>
                    </a:xfrm>
                    <a:prstGeom prst="rect">
                      <a:avLst/>
                    </a:prstGeom>
                  </pic:spPr>
                </pic:pic>
              </a:graphicData>
            </a:graphic>
          </wp:anchor>
        </w:drawing>
      </w:r>
      <w:r>
        <w:rPr/>
        <w:drawing>
          <wp:anchor distT="0" distB="0" distL="0" distR="0" allowOverlap="1" layoutInCell="1" locked="0" behindDoc="0" simplePos="0" relativeHeight="4048">
            <wp:simplePos x="0" y="0"/>
            <wp:positionH relativeFrom="page">
              <wp:posOffset>806699</wp:posOffset>
            </wp:positionH>
            <wp:positionV relativeFrom="paragraph">
              <wp:posOffset>2624926</wp:posOffset>
            </wp:positionV>
            <wp:extent cx="507207" cy="300037"/>
            <wp:effectExtent l="0" t="0" r="0" b="0"/>
            <wp:wrapTopAndBottom/>
            <wp:docPr id="147" name="image53.jpeg" descr=""/>
            <wp:cNvGraphicFramePr>
              <a:graphicFrameLocks noChangeAspect="1"/>
            </wp:cNvGraphicFramePr>
            <a:graphic>
              <a:graphicData uri="http://schemas.openxmlformats.org/drawingml/2006/picture">
                <pic:pic>
                  <pic:nvPicPr>
                    <pic:cNvPr id="148" name="image53.jpeg"/>
                    <pic:cNvPicPr/>
                  </pic:nvPicPr>
                  <pic:blipFill>
                    <a:blip r:embed="rId77" cstate="print"/>
                    <a:stretch>
                      <a:fillRect/>
                    </a:stretch>
                  </pic:blipFill>
                  <pic:spPr>
                    <a:xfrm>
                      <a:off x="0" y="0"/>
                      <a:ext cx="507207" cy="300037"/>
                    </a:xfrm>
                    <a:prstGeom prst="rect">
                      <a:avLst/>
                    </a:prstGeom>
                  </pic:spPr>
                </pic:pic>
              </a:graphicData>
            </a:graphic>
          </wp:anchor>
        </w:drawing>
      </w:r>
    </w:p>
    <w:p>
      <w:pPr>
        <w:pStyle w:val="BodyText"/>
        <w:spacing w:before="5"/>
        <w:rPr>
          <w:sz w:val="14"/>
        </w:rPr>
      </w:pPr>
    </w:p>
    <w:p>
      <w:pPr>
        <w:pStyle w:val="BodyText"/>
        <w:spacing w:before="10"/>
        <w:rPr>
          <w:sz w:val="24"/>
        </w:rPr>
      </w:pPr>
    </w:p>
    <w:p>
      <w:pPr>
        <w:pStyle w:val="BodyText"/>
        <w:spacing w:before="7"/>
        <w:rPr>
          <w:sz w:val="19"/>
        </w:rPr>
      </w:pPr>
    </w:p>
    <w:p>
      <w:pPr>
        <w:pStyle w:val="BodyText"/>
        <w:spacing w:before="7"/>
        <w:rPr>
          <w:sz w:val="19"/>
        </w:rPr>
      </w:pPr>
    </w:p>
    <w:p>
      <w:pPr>
        <w:pStyle w:val="BodyText"/>
        <w:spacing w:before="5"/>
        <w:rPr>
          <w:sz w:val="14"/>
        </w:rPr>
      </w:pPr>
    </w:p>
    <w:p>
      <w:pPr>
        <w:pStyle w:val="BodyText"/>
        <w:spacing w:before="6"/>
        <w:rPr>
          <w:sz w:val="6"/>
        </w:rPr>
      </w:pPr>
    </w:p>
    <w:p>
      <w:pPr>
        <w:pStyle w:val="BodyText"/>
        <w:ind w:left="1270"/>
        <w:rPr>
          <w:sz w:val="20"/>
        </w:rPr>
      </w:pPr>
      <w:r>
        <w:rPr>
          <w:sz w:val="20"/>
        </w:rPr>
        <w:drawing>
          <wp:inline distT="0" distB="0" distL="0" distR="0">
            <wp:extent cx="2193190" cy="321468"/>
            <wp:effectExtent l="0" t="0" r="0" b="0"/>
            <wp:docPr id="149" name="image54.jpeg" descr=""/>
            <wp:cNvGraphicFramePr>
              <a:graphicFrameLocks noChangeAspect="1"/>
            </wp:cNvGraphicFramePr>
            <a:graphic>
              <a:graphicData uri="http://schemas.openxmlformats.org/drawingml/2006/picture">
                <pic:pic>
                  <pic:nvPicPr>
                    <pic:cNvPr id="150" name="image54.jpeg"/>
                    <pic:cNvPicPr/>
                  </pic:nvPicPr>
                  <pic:blipFill>
                    <a:blip r:embed="rId78" cstate="print"/>
                    <a:stretch>
                      <a:fillRect/>
                    </a:stretch>
                  </pic:blipFill>
                  <pic:spPr>
                    <a:xfrm>
                      <a:off x="0" y="0"/>
                      <a:ext cx="2193190" cy="321468"/>
                    </a:xfrm>
                    <a:prstGeom prst="rect">
                      <a:avLst/>
                    </a:prstGeom>
                  </pic:spPr>
                </pic:pic>
              </a:graphicData>
            </a:graphic>
          </wp:inline>
        </w:drawing>
      </w:r>
      <w:r>
        <w:rPr>
          <w:sz w:val="20"/>
        </w:rPr>
      </w:r>
    </w:p>
    <w:p>
      <w:pPr>
        <w:pStyle w:val="BodyText"/>
        <w:spacing w:before="4"/>
        <w:rPr>
          <w:sz w:val="20"/>
        </w:rPr>
      </w:pPr>
      <w:r>
        <w:rPr/>
        <w:drawing>
          <wp:anchor distT="0" distB="0" distL="0" distR="0" allowOverlap="1" layoutInCell="1" locked="0" behindDoc="0" simplePos="0" relativeHeight="4072">
            <wp:simplePos x="0" y="0"/>
            <wp:positionH relativeFrom="page">
              <wp:posOffset>806699</wp:posOffset>
            </wp:positionH>
            <wp:positionV relativeFrom="paragraph">
              <wp:posOffset>173521</wp:posOffset>
            </wp:positionV>
            <wp:extent cx="650091" cy="321468"/>
            <wp:effectExtent l="0" t="0" r="0" b="0"/>
            <wp:wrapTopAndBottom/>
            <wp:docPr id="151" name="image55.jpeg" descr=""/>
            <wp:cNvGraphicFramePr>
              <a:graphicFrameLocks noChangeAspect="1"/>
            </wp:cNvGraphicFramePr>
            <a:graphic>
              <a:graphicData uri="http://schemas.openxmlformats.org/drawingml/2006/picture">
                <pic:pic>
                  <pic:nvPicPr>
                    <pic:cNvPr id="152" name="image55.jpeg"/>
                    <pic:cNvPicPr/>
                  </pic:nvPicPr>
                  <pic:blipFill>
                    <a:blip r:embed="rId79" cstate="print"/>
                    <a:stretch>
                      <a:fillRect/>
                    </a:stretch>
                  </pic:blipFill>
                  <pic:spPr>
                    <a:xfrm>
                      <a:off x="0" y="0"/>
                      <a:ext cx="650091" cy="321468"/>
                    </a:xfrm>
                    <a:prstGeom prst="rect">
                      <a:avLst/>
                    </a:prstGeom>
                  </pic:spPr>
                </pic:pic>
              </a:graphicData>
            </a:graphic>
          </wp:anchor>
        </w:drawing>
      </w:r>
    </w:p>
    <w:p>
      <w:pPr>
        <w:pStyle w:val="BodyText"/>
        <w:spacing w:before="11"/>
        <w:rPr>
          <w:sz w:val="14"/>
        </w:rPr>
      </w:pPr>
    </w:p>
    <w:p>
      <w:pPr>
        <w:pStyle w:val="BodyText"/>
        <w:spacing w:before="73"/>
        <w:ind w:left="1270" w:right="5337"/>
      </w:pPr>
      <w:r>
        <w:rPr>
          <w:color w:val="231F20"/>
        </w:rPr>
        <w:t>Donde:</w:t>
      </w:r>
    </w:p>
    <w:p>
      <w:pPr>
        <w:pStyle w:val="BodyText"/>
        <w:tabs>
          <w:tab w:pos="1990" w:val="left" w:leader="none"/>
        </w:tabs>
        <w:spacing w:before="8"/>
        <w:ind w:left="1270" w:right="5337"/>
      </w:pPr>
      <w:r>
        <w:rPr>
          <w:color w:val="231F20"/>
        </w:rPr>
        <w:t>LR =</w:t>
        <w:tab/>
        <w:t>Lámina de riego (m)</w:t>
      </w:r>
    </w:p>
    <w:p>
      <w:pPr>
        <w:pStyle w:val="BodyText"/>
        <w:tabs>
          <w:tab w:pos="1990" w:val="left" w:leader="none"/>
        </w:tabs>
        <w:spacing w:line="247" w:lineRule="auto" w:before="8"/>
        <w:ind w:left="1270" w:right="5191"/>
      </w:pPr>
      <w:r>
        <w:rPr>
          <w:color w:val="231F20"/>
        </w:rPr>
        <w:t>V=</w:t>
        <w:tab/>
      </w:r>
      <w:r>
        <w:rPr>
          <w:color w:val="231F20"/>
          <w:spacing w:val="-4"/>
        </w:rPr>
        <w:t>Volumen </w:t>
      </w:r>
      <w:r>
        <w:rPr>
          <w:color w:val="231F20"/>
        </w:rPr>
        <w:t>de agua utilizado (m</w:t>
      </w:r>
      <w:r>
        <w:rPr>
          <w:color w:val="231F20"/>
          <w:position w:val="7"/>
          <w:sz w:val="12"/>
        </w:rPr>
        <w:t>3</w:t>
      </w:r>
      <w:r>
        <w:rPr>
          <w:color w:val="231F20"/>
        </w:rPr>
        <w:t>)</w:t>
      </w:r>
      <w:r>
        <w:rPr>
          <w:color w:val="231F20"/>
          <w:spacing w:val="4"/>
        </w:rPr>
        <w:t> </w:t>
      </w:r>
      <w:r>
        <w:rPr>
          <w:color w:val="231F20"/>
        </w:rPr>
        <w:t>= LR</w:t>
      </w:r>
      <w:r>
        <w:rPr>
          <w:color w:val="231F20"/>
          <w:position w:val="7"/>
          <w:sz w:val="12"/>
        </w:rPr>
        <w:t>*</w:t>
      </w:r>
      <w:r>
        <w:rPr>
          <w:color w:val="231F20"/>
        </w:rPr>
        <w:t>10000 RF=</w:t>
        <w:tab/>
        <w:t>Rendimiento físico por hectárea (ton/ha)</w:t>
      </w:r>
    </w:p>
    <w:p>
      <w:pPr>
        <w:pStyle w:val="BodyText"/>
        <w:tabs>
          <w:tab w:pos="1990" w:val="left" w:leader="none"/>
        </w:tabs>
        <w:spacing w:line="247" w:lineRule="auto" w:before="1"/>
        <w:ind w:left="1270" w:right="3451"/>
      </w:pPr>
      <w:r>
        <w:rPr>
          <w:color w:val="231F20"/>
        </w:rPr>
        <w:t>I= RM= Ingreso o rendimiento monetario por hectárea (en pesos de</w:t>
      </w:r>
      <w:r>
        <w:rPr>
          <w:color w:val="231F20"/>
          <w:spacing w:val="-19"/>
        </w:rPr>
        <w:t> </w:t>
      </w:r>
      <w:r>
        <w:rPr>
          <w:color w:val="231F20"/>
        </w:rPr>
        <w:t>2009) C=</w:t>
        <w:tab/>
        <w:t>Costo por hectárea (en pesos de 2009).</w:t>
      </w:r>
    </w:p>
    <w:p>
      <w:pPr>
        <w:pStyle w:val="BodyText"/>
        <w:tabs>
          <w:tab w:pos="1990" w:val="left" w:leader="none"/>
        </w:tabs>
        <w:spacing w:line="247" w:lineRule="auto" w:before="1"/>
        <w:ind w:left="1270" w:right="3473"/>
      </w:pPr>
      <w:r>
        <w:rPr>
          <w:color w:val="231F20"/>
        </w:rPr>
        <w:t>U =</w:t>
        <w:tab/>
        <w:t>Utilidad o ganancia bruta por hectárea (en pesos de 2009) = I - C Pr =</w:t>
        <w:tab/>
        <w:t>Precio real por tonelada (en pesos de 2009).</w:t>
      </w:r>
    </w:p>
    <w:p>
      <w:pPr>
        <w:pStyle w:val="BodyText"/>
        <w:tabs>
          <w:tab w:pos="1990" w:val="left" w:leader="none"/>
        </w:tabs>
        <w:spacing w:line="247" w:lineRule="auto" w:before="1"/>
        <w:ind w:left="1270" w:right="4819"/>
      </w:pPr>
      <w:r>
        <w:rPr>
          <w:color w:val="231F20"/>
        </w:rPr>
        <w:t>E =</w:t>
        <w:tab/>
        <w:t>Número de empleos generados al año = S*J/288.</w:t>
      </w:r>
      <w:r>
        <w:rPr>
          <w:color w:val="231F20"/>
          <w:w w:val="99"/>
        </w:rPr>
        <w:t> </w:t>
      </w:r>
      <w:r>
        <w:rPr>
          <w:color w:val="231F20"/>
        </w:rPr>
        <w:t>S=</w:t>
        <w:tab/>
        <w:t>Superficie cosechada</w:t>
      </w:r>
      <w:r>
        <w:rPr>
          <w:color w:val="231F20"/>
          <w:spacing w:val="-12"/>
        </w:rPr>
        <w:t> </w:t>
      </w:r>
      <w:r>
        <w:rPr>
          <w:color w:val="231F20"/>
        </w:rPr>
        <w:t>(ha).</w:t>
      </w:r>
    </w:p>
    <w:p>
      <w:pPr>
        <w:pStyle w:val="BodyText"/>
        <w:tabs>
          <w:tab w:pos="1990" w:val="left" w:leader="none"/>
        </w:tabs>
        <w:spacing w:before="1"/>
        <w:ind w:left="1270" w:right="5337"/>
      </w:pPr>
      <w:r>
        <w:rPr>
          <w:color w:val="231F20"/>
        </w:rPr>
        <w:t>J=</w:t>
        <w:tab/>
        <w:t>Numero de jornales por hectárea.</w:t>
      </w:r>
    </w:p>
    <w:p>
      <w:pPr>
        <w:pStyle w:val="BodyText"/>
        <w:tabs>
          <w:tab w:pos="1990" w:val="left" w:leader="none"/>
        </w:tabs>
        <w:spacing w:line="247" w:lineRule="auto" w:before="8"/>
        <w:ind w:left="1990" w:right="1324" w:hanging="721"/>
      </w:pPr>
      <w:r>
        <w:rPr>
          <w:color w:val="231F20"/>
        </w:rPr>
        <w:t>288 =</w:t>
        <w:tab/>
        <w:t>Número</w:t>
      </w:r>
      <w:r>
        <w:rPr>
          <w:color w:val="231F20"/>
          <w:spacing w:val="-6"/>
        </w:rPr>
        <w:t> </w:t>
      </w:r>
      <w:r>
        <w:rPr>
          <w:color w:val="231F20"/>
        </w:rPr>
        <w:t>de</w:t>
      </w:r>
      <w:r>
        <w:rPr>
          <w:color w:val="231F20"/>
          <w:spacing w:val="-6"/>
        </w:rPr>
        <w:t> </w:t>
      </w:r>
      <w:r>
        <w:rPr>
          <w:color w:val="231F20"/>
        </w:rPr>
        <w:t>jornadas</w:t>
      </w:r>
      <w:r>
        <w:rPr>
          <w:color w:val="231F20"/>
          <w:spacing w:val="-6"/>
        </w:rPr>
        <w:t> </w:t>
      </w:r>
      <w:r>
        <w:rPr>
          <w:color w:val="231F20"/>
        </w:rPr>
        <w:t>de</w:t>
      </w:r>
      <w:r>
        <w:rPr>
          <w:color w:val="231F20"/>
          <w:spacing w:val="-6"/>
        </w:rPr>
        <w:t> </w:t>
      </w:r>
      <w:r>
        <w:rPr>
          <w:color w:val="231F20"/>
        </w:rPr>
        <w:t>trabajo</w:t>
      </w:r>
      <w:r>
        <w:rPr>
          <w:color w:val="231F20"/>
          <w:spacing w:val="-6"/>
        </w:rPr>
        <w:t> </w:t>
      </w:r>
      <w:r>
        <w:rPr>
          <w:color w:val="231F20"/>
        </w:rPr>
        <w:t>al</w:t>
      </w:r>
      <w:r>
        <w:rPr>
          <w:color w:val="231F20"/>
          <w:spacing w:val="-6"/>
        </w:rPr>
        <w:t> </w:t>
      </w:r>
      <w:r>
        <w:rPr>
          <w:color w:val="231F20"/>
        </w:rPr>
        <w:t>año</w:t>
      </w:r>
      <w:r>
        <w:rPr>
          <w:color w:val="231F20"/>
          <w:spacing w:val="-6"/>
        </w:rPr>
        <w:t> </w:t>
      </w:r>
      <w:r>
        <w:rPr>
          <w:color w:val="231F20"/>
        </w:rPr>
        <w:t>por</w:t>
      </w:r>
      <w:r>
        <w:rPr>
          <w:color w:val="231F20"/>
          <w:spacing w:val="-6"/>
        </w:rPr>
        <w:t> </w:t>
      </w:r>
      <w:r>
        <w:rPr>
          <w:color w:val="231F20"/>
        </w:rPr>
        <w:t>trabajador=</w:t>
      </w:r>
      <w:r>
        <w:rPr>
          <w:color w:val="231F20"/>
          <w:spacing w:val="-6"/>
        </w:rPr>
        <w:t> </w:t>
      </w:r>
      <w:r>
        <w:rPr>
          <w:color w:val="231F20"/>
        </w:rPr>
        <w:t>6</w:t>
      </w:r>
      <w:r>
        <w:rPr>
          <w:color w:val="231F20"/>
          <w:spacing w:val="-6"/>
        </w:rPr>
        <w:t> </w:t>
      </w:r>
      <w:r>
        <w:rPr>
          <w:color w:val="231F20"/>
        </w:rPr>
        <w:t>jornadas</w:t>
      </w:r>
      <w:r>
        <w:rPr>
          <w:color w:val="231F20"/>
          <w:spacing w:val="-6"/>
        </w:rPr>
        <w:t> </w:t>
      </w:r>
      <w:r>
        <w:rPr>
          <w:color w:val="231F20"/>
        </w:rPr>
        <w:t>de</w:t>
      </w:r>
      <w:r>
        <w:rPr>
          <w:color w:val="231F20"/>
          <w:spacing w:val="-6"/>
        </w:rPr>
        <w:t> </w:t>
      </w:r>
      <w:r>
        <w:rPr>
          <w:color w:val="231F20"/>
        </w:rPr>
        <w:t>trabajo</w:t>
      </w:r>
      <w:r>
        <w:rPr>
          <w:color w:val="231F20"/>
          <w:spacing w:val="-6"/>
        </w:rPr>
        <w:t> </w:t>
      </w:r>
      <w:r>
        <w:rPr>
          <w:color w:val="231F20"/>
        </w:rPr>
        <w:t>por</w:t>
      </w:r>
      <w:r>
        <w:rPr>
          <w:color w:val="231F20"/>
          <w:spacing w:val="-6"/>
        </w:rPr>
        <w:t> </w:t>
      </w:r>
      <w:r>
        <w:rPr>
          <w:color w:val="231F20"/>
        </w:rPr>
        <w:t>semana</w:t>
      </w:r>
      <w:r>
        <w:rPr>
          <w:color w:val="231F20"/>
          <w:spacing w:val="-6"/>
        </w:rPr>
        <w:t> </w:t>
      </w:r>
      <w:r>
        <w:rPr>
          <w:color w:val="231F20"/>
        </w:rPr>
        <w:t>por</w:t>
      </w:r>
      <w:r>
        <w:rPr>
          <w:color w:val="231F20"/>
          <w:spacing w:val="-1"/>
        </w:rPr>
        <w:t> </w:t>
      </w:r>
      <w:r>
        <w:rPr>
          <w:color w:val="231F20"/>
        </w:rPr>
        <w:t>48 semanas al año.</w:t>
      </w:r>
    </w:p>
    <w:p>
      <w:pPr>
        <w:spacing w:after="0" w:line="247" w:lineRule="auto"/>
        <w:sectPr>
          <w:pgSz w:w="10920" w:h="13080"/>
          <w:pgMar w:header="0" w:footer="1025" w:top="420" w:bottom="1220" w:left="0" w:right="0"/>
        </w:sectPr>
      </w:pPr>
    </w:p>
    <w:p>
      <w:pPr>
        <w:pStyle w:val="BodyText"/>
        <w:rPr>
          <w:sz w:val="20"/>
        </w:rPr>
      </w:pPr>
    </w:p>
    <w:p>
      <w:pPr>
        <w:pStyle w:val="BodyText"/>
        <w:rPr>
          <w:sz w:val="20"/>
        </w:rPr>
      </w:pPr>
    </w:p>
    <w:p>
      <w:pPr>
        <w:pStyle w:val="BodyText"/>
        <w:spacing w:before="4"/>
        <w:rPr>
          <w:sz w:val="22"/>
        </w:rPr>
      </w:pPr>
    </w:p>
    <w:p>
      <w:pPr>
        <w:pStyle w:val="Heading3"/>
        <w:spacing w:before="69"/>
      </w:pPr>
      <w:r>
        <w:rPr>
          <w:color w:val="010202"/>
        </w:rPr>
        <w:t>Análisis y discusión de resultados</w:t>
      </w:r>
    </w:p>
    <w:p>
      <w:pPr>
        <w:pStyle w:val="BodyText"/>
        <w:spacing w:before="10"/>
        <w:rPr>
          <w:b/>
        </w:rPr>
      </w:pPr>
    </w:p>
    <w:p>
      <w:pPr>
        <w:pStyle w:val="Heading5"/>
        <w:spacing w:line="247" w:lineRule="auto"/>
        <w:ind w:right="1268"/>
      </w:pPr>
      <w:r>
        <w:rPr>
          <w:color w:val="231F20"/>
        </w:rPr>
        <w:t>Entorno</w:t>
      </w:r>
      <w:r>
        <w:rPr>
          <w:color w:val="231F20"/>
          <w:spacing w:val="-11"/>
        </w:rPr>
        <w:t> </w:t>
      </w:r>
      <w:r>
        <w:rPr>
          <w:color w:val="231F20"/>
        </w:rPr>
        <w:t>macroeconómico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eficiencia</w:t>
      </w:r>
      <w:r>
        <w:rPr>
          <w:color w:val="231F20"/>
          <w:spacing w:val="-11"/>
        </w:rPr>
        <w:t> </w:t>
      </w:r>
      <w:r>
        <w:rPr>
          <w:color w:val="231F20"/>
        </w:rPr>
        <w:t>del</w:t>
      </w:r>
      <w:r>
        <w:rPr>
          <w:color w:val="231F20"/>
          <w:spacing w:val="-11"/>
        </w:rPr>
        <w:t> </w:t>
      </w:r>
      <w:r>
        <w:rPr>
          <w:color w:val="231F20"/>
        </w:rPr>
        <w:t>uso</w:t>
      </w:r>
      <w:r>
        <w:rPr>
          <w:color w:val="231F20"/>
          <w:spacing w:val="-11"/>
        </w:rPr>
        <w:t> </w:t>
      </w:r>
      <w:r>
        <w:rPr>
          <w:color w:val="231F20"/>
        </w:rPr>
        <w:t>del</w:t>
      </w:r>
      <w:r>
        <w:rPr>
          <w:color w:val="231F20"/>
          <w:spacing w:val="-11"/>
        </w:rPr>
        <w:t> </w:t>
      </w:r>
      <w:r>
        <w:rPr>
          <w:color w:val="231F20"/>
        </w:rPr>
        <w:t>agua</w:t>
      </w:r>
      <w:r>
        <w:rPr>
          <w:color w:val="231F20"/>
          <w:spacing w:val="-11"/>
        </w:rPr>
        <w:t> </w:t>
      </w:r>
      <w:r>
        <w:rPr>
          <w:color w:val="231F20"/>
        </w:rPr>
        <w:t>y</w:t>
      </w:r>
      <w:r>
        <w:rPr>
          <w:color w:val="231F20"/>
          <w:spacing w:val="-11"/>
        </w:rPr>
        <w:t> </w:t>
      </w:r>
      <w:r>
        <w:rPr>
          <w:color w:val="231F20"/>
        </w:rPr>
        <w:t>precio</w:t>
      </w:r>
      <w:r>
        <w:rPr>
          <w:color w:val="231F20"/>
          <w:spacing w:val="-11"/>
        </w:rPr>
        <w:t> </w:t>
      </w:r>
      <w:r>
        <w:rPr>
          <w:color w:val="231F20"/>
        </w:rPr>
        <w:t>del</w:t>
      </w:r>
      <w:r>
        <w:rPr>
          <w:color w:val="231F20"/>
          <w:spacing w:val="-11"/>
        </w:rPr>
        <w:t> </w:t>
      </w:r>
      <w:r>
        <w:rPr>
          <w:color w:val="231F20"/>
        </w:rPr>
        <w:t>agua</w:t>
      </w:r>
      <w:r>
        <w:rPr>
          <w:color w:val="231F20"/>
          <w:spacing w:val="-11"/>
        </w:rPr>
        <w:t> </w:t>
      </w:r>
      <w:r>
        <w:rPr>
          <w:color w:val="231F20"/>
        </w:rPr>
        <w:t>en</w:t>
      </w:r>
      <w:r>
        <w:rPr>
          <w:color w:val="231F20"/>
          <w:spacing w:val="-11"/>
        </w:rPr>
        <w:t> </w:t>
      </w:r>
      <w:r>
        <w:rPr>
          <w:color w:val="231F20"/>
        </w:rPr>
        <w:t>Chile</w:t>
      </w:r>
      <w:r>
        <w:rPr>
          <w:color w:val="231F20"/>
          <w:spacing w:val="-11"/>
        </w:rPr>
        <w:t> </w:t>
      </w:r>
      <w:r>
        <w:rPr>
          <w:color w:val="231F20"/>
        </w:rPr>
        <w:t>(</w:t>
      </w:r>
      <w:r>
        <w:rPr>
          <w:i/>
          <w:color w:val="231F20"/>
        </w:rPr>
        <w:t>Capsicum </w:t>
      </w:r>
      <w:r>
        <w:rPr>
          <w:i/>
          <w:color w:val="231F20"/>
        </w:rPr>
        <w:t>annum</w:t>
      </w:r>
      <w:r>
        <w:rPr>
          <w:color w:val="231F20"/>
        </w:rPr>
        <w:t>) en el DR-017 La Comarca</w:t>
      </w:r>
      <w:r>
        <w:rPr>
          <w:color w:val="231F20"/>
          <w:spacing w:val="-15"/>
        </w:rPr>
        <w:t> </w:t>
      </w:r>
      <w:r>
        <w:rPr>
          <w:color w:val="231F20"/>
        </w:rPr>
        <w:t>Lagunera</w:t>
      </w:r>
    </w:p>
    <w:p>
      <w:pPr>
        <w:pStyle w:val="BodyText"/>
        <w:spacing w:line="247" w:lineRule="auto" w:before="1"/>
        <w:ind w:left="1270" w:right="1268"/>
        <w:jc w:val="both"/>
      </w:pPr>
      <w:r>
        <w:rPr>
          <w:color w:val="231F20"/>
        </w:rPr>
        <w:t>Los cultivos de Chile BT a cielo abierto (Chile BT en lo sucesivo) y Nogal </w:t>
      </w:r>
      <w:r>
        <w:rPr>
          <w:color w:val="231F20"/>
          <w:spacing w:val="-6"/>
        </w:rPr>
        <w:t>BT, </w:t>
      </w:r>
      <w:r>
        <w:rPr>
          <w:color w:val="231F20"/>
        </w:rPr>
        <w:t>ambos irrigados bajo bombeo tradicional (proveniente de irrigación por agua subterránea, sin desagregar en bombeo por inundación, aspersión, compuertas, microaspersión, etc., BT en lo sucesivo) en el Distrito de Riego 017 (DR 017 en lo sucesivo), tuvieron muy diferente extensión el uno del otro: 435 y 3,518 ha respectivamente. Correspondiéndoles producciones físicas anuales de 10,695 y 5,169 ton</w:t>
      </w:r>
      <w:r>
        <w:rPr>
          <w:color w:val="231F20"/>
          <w:spacing w:val="-11"/>
        </w:rPr>
        <w:t> </w:t>
      </w:r>
      <w:r>
        <w:rPr>
          <w:color w:val="231F20"/>
        </w:rPr>
        <w:t>respec- tivamente. Sus precios nominales promedio en 2009 por ton fueron del orden de $3,500 y $28,513, correspondiéndoles rendimientos físicos iguales a 24.586 y 1.459 ton/ha respectivamente.</w:t>
      </w:r>
    </w:p>
    <w:p>
      <w:pPr>
        <w:pStyle w:val="BodyText"/>
        <w:spacing w:before="10"/>
      </w:pPr>
    </w:p>
    <w:p>
      <w:pPr>
        <w:pStyle w:val="BodyText"/>
        <w:spacing w:line="247" w:lineRule="auto"/>
        <w:ind w:left="1270" w:right="1267"/>
        <w:jc w:val="both"/>
      </w:pPr>
      <w:r>
        <w:rPr>
          <w:color w:val="231F20"/>
          <w:spacing w:val="-4"/>
        </w:rPr>
        <w:t>Con </w:t>
      </w:r>
      <w:r>
        <w:rPr>
          <w:color w:val="231F20"/>
          <w:spacing w:val="-3"/>
        </w:rPr>
        <w:t>la </w:t>
      </w:r>
      <w:r>
        <w:rPr>
          <w:color w:val="231F20"/>
          <w:spacing w:val="-6"/>
        </w:rPr>
        <w:t>estructura </w:t>
      </w:r>
      <w:r>
        <w:rPr>
          <w:color w:val="231F20"/>
          <w:spacing w:val="-3"/>
        </w:rPr>
        <w:t>de </w:t>
      </w:r>
      <w:r>
        <w:rPr>
          <w:color w:val="231F20"/>
          <w:spacing w:val="-6"/>
        </w:rPr>
        <w:t>rendimientos físicos </w:t>
      </w:r>
      <w:r>
        <w:rPr>
          <w:color w:val="231F20"/>
          <w:spacing w:val="-4"/>
        </w:rPr>
        <w:t>por </w:t>
      </w:r>
      <w:r>
        <w:rPr>
          <w:color w:val="231F20"/>
          <w:spacing w:val="-6"/>
        </w:rPr>
        <w:t>hectárea </w:t>
      </w:r>
      <w:r>
        <w:rPr>
          <w:color w:val="231F20"/>
        </w:rPr>
        <w:t>y </w:t>
      </w:r>
      <w:r>
        <w:rPr>
          <w:color w:val="231F20"/>
          <w:spacing w:val="-6"/>
        </w:rPr>
        <w:t>precios </w:t>
      </w:r>
      <w:r>
        <w:rPr>
          <w:color w:val="231F20"/>
          <w:spacing w:val="-4"/>
        </w:rPr>
        <w:t>por </w:t>
      </w:r>
      <w:r>
        <w:rPr>
          <w:color w:val="231F20"/>
          <w:spacing w:val="-6"/>
        </w:rPr>
        <w:t>tonelada existentes </w:t>
      </w:r>
      <w:r>
        <w:rPr>
          <w:color w:val="231F20"/>
          <w:spacing w:val="-3"/>
        </w:rPr>
        <w:t>en el </w:t>
      </w:r>
      <w:r>
        <w:rPr>
          <w:color w:val="231F20"/>
          <w:spacing w:val="-4"/>
        </w:rPr>
        <w:t>año </w:t>
      </w:r>
      <w:r>
        <w:rPr>
          <w:color w:val="231F20"/>
          <w:spacing w:val="-6"/>
        </w:rPr>
        <w:t>agrícola </w:t>
      </w:r>
      <w:r>
        <w:rPr>
          <w:color w:val="231F20"/>
          <w:spacing w:val="-5"/>
        </w:rPr>
        <w:t>2009, </w:t>
      </w:r>
      <w:r>
        <w:rPr>
          <w:color w:val="231F20"/>
          <w:spacing w:val="-3"/>
        </w:rPr>
        <w:t>se </w:t>
      </w:r>
      <w:r>
        <w:rPr>
          <w:color w:val="231F20"/>
          <w:spacing w:val="-5"/>
        </w:rPr>
        <w:t>obtuvo </w:t>
      </w:r>
      <w:r>
        <w:rPr>
          <w:color w:val="231F20"/>
          <w:spacing w:val="-3"/>
        </w:rPr>
        <w:t>un </w:t>
      </w:r>
      <w:r>
        <w:rPr>
          <w:color w:val="231F20"/>
          <w:spacing w:val="-6"/>
        </w:rPr>
        <w:t>ingreso </w:t>
      </w:r>
      <w:r>
        <w:rPr>
          <w:color w:val="231F20"/>
          <w:spacing w:val="-5"/>
        </w:rPr>
        <w:t>bruto </w:t>
      </w:r>
      <w:r>
        <w:rPr>
          <w:color w:val="231F20"/>
          <w:spacing w:val="-3"/>
        </w:rPr>
        <w:t>de </w:t>
      </w:r>
      <w:r>
        <w:rPr>
          <w:color w:val="231F20"/>
          <w:spacing w:val="-6"/>
        </w:rPr>
        <w:t>$86,050 </w:t>
      </w:r>
      <w:r>
        <w:rPr>
          <w:color w:val="231F20"/>
          <w:spacing w:val="-3"/>
        </w:rPr>
        <w:t>en </w:t>
      </w:r>
      <w:r>
        <w:rPr>
          <w:color w:val="231F20"/>
          <w:spacing w:val="-5"/>
        </w:rPr>
        <w:t>Chile </w:t>
      </w:r>
      <w:r>
        <w:rPr>
          <w:color w:val="231F20"/>
          <w:spacing w:val="-3"/>
        </w:rPr>
        <w:t>BT </w:t>
      </w:r>
      <w:r>
        <w:rPr>
          <w:color w:val="231F20"/>
        </w:rPr>
        <w:t>y </w:t>
      </w:r>
      <w:r>
        <w:rPr>
          <w:color w:val="231F20"/>
          <w:spacing w:val="-6"/>
        </w:rPr>
        <w:t>$41,894 </w:t>
      </w:r>
      <w:r>
        <w:rPr>
          <w:color w:val="231F20"/>
          <w:spacing w:val="-3"/>
        </w:rPr>
        <w:t>en </w:t>
      </w:r>
      <w:r>
        <w:rPr>
          <w:color w:val="231F20"/>
          <w:spacing w:val="-5"/>
        </w:rPr>
        <w:t>Nogal </w:t>
      </w:r>
      <w:r>
        <w:rPr>
          <w:color w:val="231F20"/>
          <w:spacing w:val="-9"/>
        </w:rPr>
        <w:t>BT, </w:t>
      </w:r>
      <w:r>
        <w:rPr>
          <w:color w:val="231F20"/>
          <w:spacing w:val="-6"/>
        </w:rPr>
        <w:t>mientras </w:t>
      </w:r>
      <w:r>
        <w:rPr>
          <w:color w:val="231F20"/>
          <w:spacing w:val="-4"/>
        </w:rPr>
        <w:t>que </w:t>
      </w:r>
      <w:r>
        <w:rPr>
          <w:color w:val="231F20"/>
          <w:spacing w:val="-3"/>
        </w:rPr>
        <w:t>el </w:t>
      </w:r>
      <w:r>
        <w:rPr>
          <w:color w:val="231F20"/>
          <w:spacing w:val="-6"/>
        </w:rPr>
        <w:t>costo </w:t>
      </w:r>
      <w:r>
        <w:rPr>
          <w:color w:val="231F20"/>
          <w:spacing w:val="-5"/>
        </w:rPr>
        <w:t>total </w:t>
      </w:r>
      <w:r>
        <w:rPr>
          <w:color w:val="231F20"/>
          <w:spacing w:val="-4"/>
        </w:rPr>
        <w:t>por </w:t>
      </w:r>
      <w:r>
        <w:rPr>
          <w:color w:val="231F20"/>
          <w:spacing w:val="-6"/>
        </w:rPr>
        <w:t>hectárea, </w:t>
      </w:r>
      <w:r>
        <w:rPr>
          <w:color w:val="231F20"/>
          <w:spacing w:val="-4"/>
        </w:rPr>
        <w:t>del </w:t>
      </w:r>
      <w:r>
        <w:rPr>
          <w:color w:val="231F20"/>
          <w:spacing w:val="-5"/>
        </w:rPr>
        <w:t>orden </w:t>
      </w:r>
      <w:r>
        <w:rPr>
          <w:color w:val="231F20"/>
          <w:spacing w:val="-3"/>
        </w:rPr>
        <w:t>de </w:t>
      </w:r>
      <w:r>
        <w:rPr>
          <w:color w:val="231F20"/>
          <w:spacing w:val="-6"/>
        </w:rPr>
        <w:t>$26,395 </w:t>
      </w:r>
      <w:r>
        <w:rPr>
          <w:color w:val="231F20"/>
          <w:spacing w:val="-3"/>
        </w:rPr>
        <w:t>en </w:t>
      </w:r>
      <w:r>
        <w:rPr>
          <w:color w:val="231F20"/>
          <w:spacing w:val="-5"/>
        </w:rPr>
        <w:t>Chile </w:t>
      </w:r>
      <w:r>
        <w:rPr>
          <w:color w:val="231F20"/>
        </w:rPr>
        <w:t>y </w:t>
      </w:r>
      <w:r>
        <w:rPr>
          <w:color w:val="231F20"/>
          <w:spacing w:val="-6"/>
        </w:rPr>
        <w:t>$16,471 </w:t>
      </w:r>
      <w:r>
        <w:rPr>
          <w:color w:val="231F20"/>
          <w:spacing w:val="-3"/>
        </w:rPr>
        <w:t>en </w:t>
      </w:r>
      <w:r>
        <w:rPr>
          <w:color w:val="231F20"/>
          <w:spacing w:val="-5"/>
        </w:rPr>
        <w:t>Nogal </w:t>
      </w:r>
      <w:r>
        <w:rPr>
          <w:color w:val="231F20"/>
          <w:spacing w:val="-9"/>
        </w:rPr>
        <w:t>BT, </w:t>
      </w:r>
      <w:r>
        <w:rPr>
          <w:color w:val="231F20"/>
          <w:spacing w:val="-6"/>
        </w:rPr>
        <w:t>repercutió </w:t>
      </w:r>
      <w:r>
        <w:rPr>
          <w:color w:val="231F20"/>
          <w:spacing w:val="-3"/>
        </w:rPr>
        <w:t>en </w:t>
      </w:r>
      <w:r>
        <w:rPr>
          <w:color w:val="231F20"/>
          <w:spacing w:val="-4"/>
        </w:rPr>
        <w:t>una </w:t>
      </w:r>
      <w:r>
        <w:rPr>
          <w:color w:val="231F20"/>
          <w:spacing w:val="-6"/>
        </w:rPr>
        <w:t>ganancia por hectárea</w:t>
      </w:r>
      <w:r>
        <w:rPr>
          <w:color w:val="231F20"/>
          <w:spacing w:val="-11"/>
        </w:rPr>
        <w:t> </w:t>
      </w:r>
      <w:r>
        <w:rPr>
          <w:color w:val="231F20"/>
          <w:spacing w:val="-3"/>
        </w:rPr>
        <w:t>de</w:t>
      </w:r>
      <w:r>
        <w:rPr>
          <w:color w:val="231F20"/>
          <w:spacing w:val="-11"/>
        </w:rPr>
        <w:t> </w:t>
      </w:r>
      <w:r>
        <w:rPr>
          <w:color w:val="231F20"/>
          <w:spacing w:val="-6"/>
        </w:rPr>
        <w:t>$59,655</w:t>
      </w:r>
      <w:r>
        <w:rPr>
          <w:color w:val="231F20"/>
          <w:spacing w:val="-11"/>
        </w:rPr>
        <w:t> </w:t>
      </w:r>
      <w:r>
        <w:rPr>
          <w:color w:val="231F20"/>
        </w:rPr>
        <w:t>y</w:t>
      </w:r>
      <w:r>
        <w:rPr>
          <w:color w:val="231F20"/>
          <w:spacing w:val="-11"/>
        </w:rPr>
        <w:t> </w:t>
      </w:r>
      <w:r>
        <w:rPr>
          <w:color w:val="231F20"/>
          <w:spacing w:val="-6"/>
        </w:rPr>
        <w:t>$25,423</w:t>
      </w:r>
      <w:r>
        <w:rPr>
          <w:color w:val="231F20"/>
          <w:spacing w:val="-11"/>
        </w:rPr>
        <w:t> </w:t>
      </w:r>
      <w:r>
        <w:rPr>
          <w:color w:val="231F20"/>
          <w:spacing w:val="-6"/>
        </w:rPr>
        <w:t>respectivamente</w:t>
      </w:r>
      <w:r>
        <w:rPr>
          <w:color w:val="231F20"/>
          <w:spacing w:val="-11"/>
        </w:rPr>
        <w:t> </w:t>
      </w:r>
      <w:r>
        <w:rPr>
          <w:color w:val="231F20"/>
          <w:spacing w:val="-5"/>
        </w:rPr>
        <w:t>para</w:t>
      </w:r>
      <w:r>
        <w:rPr>
          <w:color w:val="231F20"/>
          <w:spacing w:val="-11"/>
        </w:rPr>
        <w:t> </w:t>
      </w:r>
      <w:r>
        <w:rPr>
          <w:color w:val="231F20"/>
          <w:spacing w:val="-5"/>
        </w:rPr>
        <w:t>cada</w:t>
      </w:r>
      <w:r>
        <w:rPr>
          <w:color w:val="231F20"/>
          <w:spacing w:val="-11"/>
        </w:rPr>
        <w:t> </w:t>
      </w:r>
      <w:r>
        <w:rPr>
          <w:color w:val="231F20"/>
          <w:spacing w:val="-6"/>
        </w:rPr>
        <w:t>cultivo,</w:t>
      </w:r>
      <w:r>
        <w:rPr>
          <w:color w:val="231F20"/>
          <w:spacing w:val="-11"/>
        </w:rPr>
        <w:t> </w:t>
      </w:r>
      <w:r>
        <w:rPr>
          <w:color w:val="231F20"/>
          <w:spacing w:val="-5"/>
        </w:rPr>
        <w:t>siendo</w:t>
      </w:r>
      <w:r>
        <w:rPr>
          <w:color w:val="231F20"/>
          <w:spacing w:val="-11"/>
        </w:rPr>
        <w:t> </w:t>
      </w:r>
      <w:r>
        <w:rPr>
          <w:color w:val="231F20"/>
          <w:spacing w:val="-6"/>
        </w:rPr>
        <w:t>superior</w:t>
      </w:r>
      <w:r>
        <w:rPr>
          <w:color w:val="231F20"/>
          <w:spacing w:val="-11"/>
        </w:rPr>
        <w:t> </w:t>
      </w:r>
      <w:r>
        <w:rPr>
          <w:color w:val="231F20"/>
          <w:spacing w:val="-3"/>
        </w:rPr>
        <w:t>la</w:t>
      </w:r>
      <w:r>
        <w:rPr>
          <w:color w:val="231F20"/>
          <w:spacing w:val="-11"/>
        </w:rPr>
        <w:t> </w:t>
      </w:r>
      <w:r>
        <w:rPr>
          <w:color w:val="231F20"/>
          <w:spacing w:val="-6"/>
        </w:rPr>
        <w:t>ganancia</w:t>
      </w:r>
      <w:r>
        <w:rPr>
          <w:color w:val="231F20"/>
          <w:spacing w:val="-11"/>
        </w:rPr>
        <w:t> </w:t>
      </w:r>
      <w:r>
        <w:rPr>
          <w:color w:val="231F20"/>
          <w:spacing w:val="-4"/>
        </w:rPr>
        <w:t>por</w:t>
      </w:r>
      <w:r>
        <w:rPr>
          <w:color w:val="231F20"/>
          <w:spacing w:val="-11"/>
        </w:rPr>
        <w:t> </w:t>
      </w:r>
      <w:r>
        <w:rPr>
          <w:color w:val="231F20"/>
          <w:spacing w:val="-6"/>
        </w:rPr>
        <w:t>hectárea </w:t>
      </w:r>
      <w:r>
        <w:rPr>
          <w:color w:val="231F20"/>
          <w:spacing w:val="-3"/>
        </w:rPr>
        <w:t>en un </w:t>
      </w:r>
      <w:r>
        <w:rPr>
          <w:color w:val="231F20"/>
          <w:spacing w:val="-5"/>
        </w:rPr>
        <w:t>134.5% </w:t>
      </w:r>
      <w:r>
        <w:rPr>
          <w:color w:val="231F20"/>
          <w:spacing w:val="-3"/>
        </w:rPr>
        <w:t>en el </w:t>
      </w:r>
      <w:r>
        <w:rPr>
          <w:color w:val="231F20"/>
          <w:spacing w:val="-6"/>
        </w:rPr>
        <w:t>cultivo </w:t>
      </w:r>
      <w:r>
        <w:rPr>
          <w:color w:val="231F20"/>
          <w:spacing w:val="-3"/>
        </w:rPr>
        <w:t>de </w:t>
      </w:r>
      <w:r>
        <w:rPr>
          <w:color w:val="231F20"/>
          <w:spacing w:val="-5"/>
        </w:rPr>
        <w:t>Chile </w:t>
      </w:r>
      <w:r>
        <w:rPr>
          <w:color w:val="231F20"/>
          <w:spacing w:val="-3"/>
        </w:rPr>
        <w:t>BT </w:t>
      </w:r>
      <w:r>
        <w:rPr>
          <w:color w:val="231F20"/>
          <w:spacing w:val="-6"/>
        </w:rPr>
        <w:t>respecto </w:t>
      </w:r>
      <w:r>
        <w:rPr>
          <w:color w:val="231F20"/>
          <w:spacing w:val="-3"/>
        </w:rPr>
        <w:t>al </w:t>
      </w:r>
      <w:r>
        <w:rPr>
          <w:color w:val="231F20"/>
          <w:spacing w:val="-5"/>
        </w:rPr>
        <w:t>Nogal </w:t>
      </w:r>
      <w:r>
        <w:rPr>
          <w:color w:val="231F20"/>
          <w:spacing w:val="-9"/>
        </w:rPr>
        <w:t>BT, </w:t>
      </w:r>
      <w:r>
        <w:rPr>
          <w:color w:val="231F20"/>
          <w:spacing w:val="-3"/>
        </w:rPr>
        <w:t>lo </w:t>
      </w:r>
      <w:r>
        <w:rPr>
          <w:color w:val="231F20"/>
          <w:spacing w:val="-4"/>
        </w:rPr>
        <w:t>que </w:t>
      </w:r>
      <w:r>
        <w:rPr>
          <w:color w:val="231F20"/>
          <w:spacing w:val="-5"/>
        </w:rPr>
        <w:t>orilló </w:t>
      </w:r>
      <w:r>
        <w:rPr>
          <w:color w:val="231F20"/>
        </w:rPr>
        <w:t>a </w:t>
      </w:r>
      <w:r>
        <w:rPr>
          <w:color w:val="231F20"/>
          <w:spacing w:val="-4"/>
        </w:rPr>
        <w:t>que </w:t>
      </w:r>
      <w:r>
        <w:rPr>
          <w:color w:val="231F20"/>
          <w:spacing w:val="-3"/>
        </w:rPr>
        <w:t>la </w:t>
      </w:r>
      <w:r>
        <w:rPr>
          <w:color w:val="231F20"/>
          <w:spacing w:val="-6"/>
        </w:rPr>
        <w:t>Relación Beneficio- </w:t>
      </w:r>
      <w:r>
        <w:rPr>
          <w:color w:val="231F20"/>
          <w:spacing w:val="-5"/>
        </w:rPr>
        <w:t>Costo</w:t>
      </w:r>
      <w:r>
        <w:rPr>
          <w:color w:val="231F20"/>
          <w:spacing w:val="-16"/>
        </w:rPr>
        <w:t> </w:t>
      </w:r>
      <w:r>
        <w:rPr>
          <w:color w:val="231F20"/>
          <w:spacing w:val="-5"/>
        </w:rPr>
        <w:t>fuese</w:t>
      </w:r>
      <w:r>
        <w:rPr>
          <w:color w:val="231F20"/>
          <w:spacing w:val="-16"/>
        </w:rPr>
        <w:t> </w:t>
      </w:r>
      <w:r>
        <w:rPr>
          <w:color w:val="231F20"/>
          <w:spacing w:val="-6"/>
        </w:rPr>
        <w:t>superior</w:t>
      </w:r>
      <w:r>
        <w:rPr>
          <w:color w:val="231F20"/>
          <w:spacing w:val="-16"/>
        </w:rPr>
        <w:t> </w:t>
      </w:r>
      <w:r>
        <w:rPr>
          <w:color w:val="231F20"/>
          <w:spacing w:val="-3"/>
        </w:rPr>
        <w:t>en</w:t>
      </w:r>
      <w:r>
        <w:rPr>
          <w:color w:val="231F20"/>
          <w:spacing w:val="-16"/>
        </w:rPr>
        <w:t> </w:t>
      </w:r>
      <w:r>
        <w:rPr>
          <w:color w:val="231F20"/>
          <w:spacing w:val="-5"/>
        </w:rPr>
        <w:t>Chile</w:t>
      </w:r>
      <w:r>
        <w:rPr>
          <w:color w:val="231F20"/>
          <w:spacing w:val="-16"/>
        </w:rPr>
        <w:t> </w:t>
      </w:r>
      <w:r>
        <w:rPr>
          <w:color w:val="231F20"/>
          <w:spacing w:val="-9"/>
        </w:rPr>
        <w:t>BT,</w:t>
      </w:r>
      <w:r>
        <w:rPr>
          <w:color w:val="231F20"/>
          <w:spacing w:val="-16"/>
        </w:rPr>
        <w:t> </w:t>
      </w:r>
      <w:r>
        <w:rPr>
          <w:color w:val="231F20"/>
          <w:spacing w:val="-3"/>
        </w:rPr>
        <w:t>ya</w:t>
      </w:r>
      <w:r>
        <w:rPr>
          <w:color w:val="231F20"/>
          <w:spacing w:val="-16"/>
        </w:rPr>
        <w:t> </w:t>
      </w:r>
      <w:r>
        <w:rPr>
          <w:color w:val="231F20"/>
          <w:spacing w:val="-4"/>
        </w:rPr>
        <w:t>que</w:t>
      </w:r>
      <w:r>
        <w:rPr>
          <w:color w:val="231F20"/>
          <w:spacing w:val="-16"/>
        </w:rPr>
        <w:t> </w:t>
      </w:r>
      <w:r>
        <w:rPr>
          <w:color w:val="231F20"/>
          <w:spacing w:val="-6"/>
        </w:rPr>
        <w:t>mientras</w:t>
      </w:r>
      <w:r>
        <w:rPr>
          <w:color w:val="231F20"/>
          <w:spacing w:val="-16"/>
        </w:rPr>
        <w:t> </w:t>
      </w:r>
      <w:r>
        <w:rPr>
          <w:color w:val="231F20"/>
          <w:spacing w:val="-4"/>
        </w:rPr>
        <w:t>que</w:t>
      </w:r>
      <w:r>
        <w:rPr>
          <w:color w:val="231F20"/>
          <w:spacing w:val="-16"/>
        </w:rPr>
        <w:t> </w:t>
      </w:r>
      <w:r>
        <w:rPr>
          <w:color w:val="231F20"/>
          <w:spacing w:val="-5"/>
        </w:rPr>
        <w:t>allí</w:t>
      </w:r>
      <w:r>
        <w:rPr>
          <w:color w:val="231F20"/>
          <w:spacing w:val="-16"/>
        </w:rPr>
        <w:t> </w:t>
      </w:r>
      <w:r>
        <w:rPr>
          <w:color w:val="231F20"/>
          <w:spacing w:val="-4"/>
        </w:rPr>
        <w:t>fue</w:t>
      </w:r>
      <w:r>
        <w:rPr>
          <w:color w:val="231F20"/>
          <w:spacing w:val="-16"/>
        </w:rPr>
        <w:t> </w:t>
      </w:r>
      <w:r>
        <w:rPr>
          <w:color w:val="231F20"/>
          <w:spacing w:val="-5"/>
        </w:rPr>
        <w:t>igual</w:t>
      </w:r>
      <w:r>
        <w:rPr>
          <w:color w:val="231F20"/>
          <w:spacing w:val="-16"/>
        </w:rPr>
        <w:t> </w:t>
      </w:r>
      <w:r>
        <w:rPr>
          <w:color w:val="231F20"/>
        </w:rPr>
        <w:t>a</w:t>
      </w:r>
      <w:r>
        <w:rPr>
          <w:color w:val="231F20"/>
          <w:spacing w:val="-16"/>
        </w:rPr>
        <w:t> </w:t>
      </w:r>
      <w:r>
        <w:rPr>
          <w:color w:val="231F20"/>
          <w:spacing w:val="-5"/>
        </w:rPr>
        <w:t>3.26</w:t>
      </w:r>
      <w:r>
        <w:rPr>
          <w:color w:val="231F20"/>
          <w:spacing w:val="-16"/>
        </w:rPr>
        <w:t> </w:t>
      </w:r>
      <w:r>
        <w:rPr>
          <w:color w:val="231F20"/>
          <w:spacing w:val="-3"/>
        </w:rPr>
        <w:t>el</w:t>
      </w:r>
      <w:r>
        <w:rPr>
          <w:color w:val="231F20"/>
          <w:spacing w:val="-16"/>
        </w:rPr>
        <w:t> </w:t>
      </w:r>
      <w:r>
        <w:rPr>
          <w:color w:val="231F20"/>
          <w:spacing w:val="-7"/>
        </w:rPr>
        <w:t>indicador,</w:t>
      </w:r>
      <w:r>
        <w:rPr>
          <w:color w:val="231F20"/>
          <w:spacing w:val="-16"/>
        </w:rPr>
        <w:t> </w:t>
      </w:r>
      <w:r>
        <w:rPr>
          <w:color w:val="231F20"/>
          <w:spacing w:val="-3"/>
        </w:rPr>
        <w:t>en</w:t>
      </w:r>
      <w:r>
        <w:rPr>
          <w:color w:val="231F20"/>
          <w:spacing w:val="-16"/>
        </w:rPr>
        <w:t> </w:t>
      </w:r>
      <w:r>
        <w:rPr>
          <w:color w:val="231F20"/>
          <w:spacing w:val="-5"/>
        </w:rPr>
        <w:t>Nogal</w:t>
      </w:r>
      <w:r>
        <w:rPr>
          <w:color w:val="231F20"/>
          <w:spacing w:val="-16"/>
        </w:rPr>
        <w:t> </w:t>
      </w:r>
      <w:r>
        <w:rPr>
          <w:color w:val="231F20"/>
          <w:spacing w:val="-3"/>
        </w:rPr>
        <w:t>BT</w:t>
      </w:r>
      <w:r>
        <w:rPr>
          <w:color w:val="231F20"/>
          <w:spacing w:val="-19"/>
        </w:rPr>
        <w:t> </w:t>
      </w:r>
      <w:r>
        <w:rPr>
          <w:color w:val="231F20"/>
          <w:spacing w:val="-4"/>
        </w:rPr>
        <w:t>fue</w:t>
      </w:r>
      <w:r>
        <w:rPr>
          <w:color w:val="231F20"/>
          <w:spacing w:val="-16"/>
        </w:rPr>
        <w:t> </w:t>
      </w:r>
      <w:r>
        <w:rPr>
          <w:color w:val="231F20"/>
          <w:spacing w:val="-6"/>
        </w:rPr>
        <w:t>de solamente</w:t>
      </w:r>
      <w:r>
        <w:rPr>
          <w:color w:val="231F20"/>
          <w:spacing w:val="-10"/>
        </w:rPr>
        <w:t> </w:t>
      </w:r>
      <w:r>
        <w:rPr>
          <w:color w:val="231F20"/>
          <w:spacing w:val="-5"/>
        </w:rPr>
        <w:t>2.54,</w:t>
      </w:r>
      <w:r>
        <w:rPr>
          <w:color w:val="231F20"/>
          <w:spacing w:val="-10"/>
        </w:rPr>
        <w:t> </w:t>
      </w:r>
      <w:r>
        <w:rPr>
          <w:color w:val="231F20"/>
          <w:spacing w:val="-3"/>
        </w:rPr>
        <w:t>lo</w:t>
      </w:r>
      <w:r>
        <w:rPr>
          <w:color w:val="231F20"/>
          <w:spacing w:val="-10"/>
        </w:rPr>
        <w:t> </w:t>
      </w:r>
      <w:r>
        <w:rPr>
          <w:color w:val="231F20"/>
          <w:spacing w:val="-4"/>
        </w:rPr>
        <w:t>que</w:t>
      </w:r>
      <w:r>
        <w:rPr>
          <w:color w:val="231F20"/>
          <w:spacing w:val="-10"/>
        </w:rPr>
        <w:t> </w:t>
      </w:r>
      <w:r>
        <w:rPr>
          <w:color w:val="231F20"/>
          <w:spacing w:val="-6"/>
        </w:rPr>
        <w:t>sugiere</w:t>
      </w:r>
      <w:r>
        <w:rPr>
          <w:color w:val="231F20"/>
          <w:spacing w:val="-10"/>
        </w:rPr>
        <w:t> </w:t>
      </w:r>
      <w:r>
        <w:rPr>
          <w:color w:val="231F20"/>
          <w:spacing w:val="-4"/>
        </w:rPr>
        <w:t>que</w:t>
      </w:r>
      <w:r>
        <w:rPr>
          <w:color w:val="231F20"/>
          <w:spacing w:val="-10"/>
        </w:rPr>
        <w:t> </w:t>
      </w:r>
      <w:r>
        <w:rPr>
          <w:color w:val="231F20"/>
          <w:spacing w:val="-4"/>
        </w:rPr>
        <w:t>por</w:t>
      </w:r>
      <w:r>
        <w:rPr>
          <w:color w:val="231F20"/>
          <w:spacing w:val="-10"/>
        </w:rPr>
        <w:t> </w:t>
      </w:r>
      <w:r>
        <w:rPr>
          <w:color w:val="231F20"/>
          <w:spacing w:val="-5"/>
        </w:rPr>
        <w:t>cada</w:t>
      </w:r>
      <w:r>
        <w:rPr>
          <w:color w:val="231F20"/>
          <w:spacing w:val="-10"/>
        </w:rPr>
        <w:t> </w:t>
      </w:r>
      <w:r>
        <w:rPr>
          <w:color w:val="231F20"/>
          <w:spacing w:val="-5"/>
        </w:rPr>
        <w:t>peso</w:t>
      </w:r>
      <w:r>
        <w:rPr>
          <w:color w:val="231F20"/>
          <w:spacing w:val="-10"/>
        </w:rPr>
        <w:t> </w:t>
      </w:r>
      <w:r>
        <w:rPr>
          <w:color w:val="231F20"/>
          <w:spacing w:val="-6"/>
        </w:rPr>
        <w:t>invertido</w:t>
      </w:r>
      <w:r>
        <w:rPr>
          <w:color w:val="231F20"/>
          <w:spacing w:val="-10"/>
        </w:rPr>
        <w:t> </w:t>
      </w:r>
      <w:r>
        <w:rPr>
          <w:color w:val="231F20"/>
          <w:spacing w:val="-3"/>
        </w:rPr>
        <w:t>en</w:t>
      </w:r>
      <w:r>
        <w:rPr>
          <w:color w:val="231F20"/>
          <w:spacing w:val="-10"/>
        </w:rPr>
        <w:t> </w:t>
      </w:r>
      <w:r>
        <w:rPr>
          <w:color w:val="231F20"/>
          <w:spacing w:val="-3"/>
        </w:rPr>
        <w:t>la</w:t>
      </w:r>
      <w:r>
        <w:rPr>
          <w:color w:val="231F20"/>
          <w:spacing w:val="-10"/>
        </w:rPr>
        <w:t> </w:t>
      </w:r>
      <w:r>
        <w:rPr>
          <w:color w:val="231F20"/>
          <w:spacing w:val="-6"/>
        </w:rPr>
        <w:t>hortaliza,</w:t>
      </w:r>
      <w:r>
        <w:rPr>
          <w:color w:val="231F20"/>
          <w:spacing w:val="-10"/>
        </w:rPr>
        <w:t> </w:t>
      </w:r>
      <w:r>
        <w:rPr>
          <w:color w:val="231F20"/>
          <w:spacing w:val="-3"/>
        </w:rPr>
        <w:t>se</w:t>
      </w:r>
      <w:r>
        <w:rPr>
          <w:color w:val="231F20"/>
          <w:spacing w:val="-10"/>
        </w:rPr>
        <w:t> </w:t>
      </w:r>
      <w:r>
        <w:rPr>
          <w:color w:val="231F20"/>
          <w:spacing w:val="-6"/>
        </w:rPr>
        <w:t>recupera</w:t>
      </w:r>
      <w:r>
        <w:rPr>
          <w:color w:val="231F20"/>
          <w:spacing w:val="-10"/>
        </w:rPr>
        <w:t> </w:t>
      </w:r>
      <w:r>
        <w:rPr>
          <w:color w:val="231F20"/>
          <w:spacing w:val="-4"/>
        </w:rPr>
        <w:t>ese</w:t>
      </w:r>
      <w:r>
        <w:rPr>
          <w:color w:val="231F20"/>
          <w:spacing w:val="-10"/>
        </w:rPr>
        <w:t> </w:t>
      </w:r>
      <w:r>
        <w:rPr>
          <w:color w:val="231F20"/>
          <w:spacing w:val="-5"/>
        </w:rPr>
        <w:t>peso</w:t>
      </w:r>
      <w:r>
        <w:rPr>
          <w:color w:val="231F20"/>
          <w:spacing w:val="-10"/>
        </w:rPr>
        <w:t> </w:t>
      </w:r>
      <w:r>
        <w:rPr>
          <w:color w:val="231F20"/>
          <w:spacing w:val="-6"/>
        </w:rPr>
        <w:t>invertido</w:t>
      </w:r>
      <w:r>
        <w:rPr>
          <w:color w:val="231F20"/>
          <w:spacing w:val="-10"/>
        </w:rPr>
        <w:t> </w:t>
      </w:r>
      <w:r>
        <w:rPr>
          <w:color w:val="231F20"/>
        </w:rPr>
        <w:t>y</w:t>
      </w:r>
    </w:p>
    <w:p>
      <w:pPr>
        <w:pStyle w:val="BodyText"/>
        <w:spacing w:before="1"/>
        <w:ind w:left="1270"/>
        <w:jc w:val="both"/>
      </w:pPr>
      <w:r>
        <w:rPr>
          <w:color w:val="231F20"/>
        </w:rPr>
        <w:t>$2.26 pesos adicionales, a la vez que en la nuez se recupera el $1 invertido y $1.54 adicionales (Cuadro 1).</w:t>
      </w:r>
    </w:p>
    <w:p>
      <w:pPr>
        <w:pStyle w:val="BodyText"/>
        <w:spacing w:before="1"/>
        <w:rPr>
          <w:sz w:val="22"/>
        </w:rPr>
      </w:pPr>
    </w:p>
    <w:p>
      <w:pPr>
        <w:spacing w:line="249" w:lineRule="auto" w:before="0" w:after="33"/>
        <w:ind w:left="1778" w:right="1776" w:firstLine="112"/>
        <w:jc w:val="left"/>
        <w:rPr>
          <w:b/>
          <w:sz w:val="18"/>
        </w:rPr>
      </w:pPr>
      <w:r>
        <w:rPr>
          <w:b/>
          <w:color w:val="010202"/>
          <w:sz w:val="18"/>
        </w:rPr>
        <w:t>Cuadro 1. Relación Beneficio-Costo (R B/C), horas de trabajo por tonelada, empleo generado y eficiencia macroeconómica del uso del agua de riego por bombeo a cielo abierto en Chile</w:t>
      </w:r>
      <w:r>
        <w:rPr>
          <w:b/>
          <w:color w:val="010202"/>
          <w:spacing w:val="-18"/>
          <w:sz w:val="18"/>
        </w:rPr>
        <w:t> </w:t>
      </w:r>
      <w:r>
        <w:rPr>
          <w:b/>
          <w:color w:val="010202"/>
          <w:sz w:val="18"/>
        </w:rPr>
        <w:t>verde (</w:t>
      </w:r>
      <w:r>
        <w:rPr>
          <w:b/>
          <w:i/>
          <w:color w:val="010202"/>
          <w:sz w:val="18"/>
        </w:rPr>
        <w:t>Capsicum annum</w:t>
      </w:r>
      <w:r>
        <w:rPr>
          <w:b/>
          <w:color w:val="010202"/>
          <w:sz w:val="18"/>
        </w:rPr>
        <w:t>) versus Nogal pecanero (</w:t>
      </w:r>
      <w:r>
        <w:rPr>
          <w:b/>
          <w:i/>
          <w:color w:val="010202"/>
          <w:sz w:val="18"/>
        </w:rPr>
        <w:t>Carya illinoensis</w:t>
      </w:r>
      <w:r>
        <w:rPr>
          <w:b/>
          <w:color w:val="010202"/>
          <w:sz w:val="18"/>
        </w:rPr>
        <w:t>) en La Comarca Lagunera en</w:t>
      </w:r>
      <w:r>
        <w:rPr>
          <w:b/>
          <w:color w:val="010202"/>
          <w:spacing w:val="-26"/>
          <w:sz w:val="18"/>
        </w:rPr>
        <w:t> </w:t>
      </w:r>
      <w:r>
        <w:rPr>
          <w:b/>
          <w:color w:val="010202"/>
          <w:sz w:val="18"/>
        </w:rPr>
        <w:t>2009</w:t>
      </w:r>
    </w:p>
    <w:tbl>
      <w:tblPr>
        <w:tblW w:w="0" w:type="auto"/>
        <w:jc w:val="left"/>
        <w:tblInd w:w="1257"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top w:w="0" w:type="dxa"/>
          <w:left w:w="0" w:type="dxa"/>
          <w:bottom w:w="0" w:type="dxa"/>
          <w:right w:w="0" w:type="dxa"/>
        </w:tblCellMar>
        <w:tblLook w:val="01E0"/>
      </w:tblPr>
      <w:tblGrid>
        <w:gridCol w:w="5490"/>
        <w:gridCol w:w="1589"/>
        <w:gridCol w:w="1306"/>
      </w:tblGrid>
      <w:tr>
        <w:trPr>
          <w:trHeight w:val="498" w:hRule="exact"/>
        </w:trPr>
        <w:tc>
          <w:tcPr>
            <w:tcW w:w="5490" w:type="dxa"/>
          </w:tcPr>
          <w:p>
            <w:pPr>
              <w:pStyle w:val="TableParagraph"/>
              <w:spacing w:before="24"/>
              <w:ind w:left="740" w:right="740"/>
              <w:jc w:val="center"/>
              <w:rPr>
                <w:b/>
                <w:sz w:val="18"/>
              </w:rPr>
            </w:pPr>
            <w:r>
              <w:rPr>
                <w:b/>
                <w:color w:val="231F20"/>
                <w:sz w:val="18"/>
              </w:rPr>
              <w:t>Variable macroeconómica</w:t>
            </w:r>
          </w:p>
        </w:tc>
        <w:tc>
          <w:tcPr>
            <w:tcW w:w="1589" w:type="dxa"/>
          </w:tcPr>
          <w:p>
            <w:pPr>
              <w:pStyle w:val="TableParagraph"/>
              <w:spacing w:before="24"/>
              <w:ind w:left="449" w:right="449"/>
              <w:jc w:val="center"/>
              <w:rPr>
                <w:b/>
                <w:sz w:val="18"/>
              </w:rPr>
            </w:pPr>
            <w:r>
              <w:rPr>
                <w:b/>
                <w:color w:val="231F20"/>
                <w:sz w:val="18"/>
              </w:rPr>
              <w:t>Chile</w:t>
            </w:r>
          </w:p>
        </w:tc>
        <w:tc>
          <w:tcPr>
            <w:tcW w:w="1306" w:type="dxa"/>
          </w:tcPr>
          <w:p>
            <w:pPr>
              <w:pStyle w:val="TableParagraph"/>
              <w:spacing w:line="249" w:lineRule="auto" w:before="24"/>
              <w:ind w:left="418" w:right="82" w:hanging="319"/>
              <w:rPr>
                <w:b/>
                <w:sz w:val="18"/>
              </w:rPr>
            </w:pPr>
            <w:r>
              <w:rPr>
                <w:b/>
                <w:color w:val="231F20"/>
                <w:sz w:val="18"/>
              </w:rPr>
              <w:t>Nogal pecane- ro BT</w:t>
            </w:r>
          </w:p>
        </w:tc>
      </w:tr>
      <w:tr>
        <w:trPr>
          <w:trHeight w:val="285" w:hRule="exact"/>
        </w:trPr>
        <w:tc>
          <w:tcPr>
            <w:tcW w:w="5490" w:type="dxa"/>
          </w:tcPr>
          <w:p>
            <w:pPr>
              <w:pStyle w:val="TableParagraph"/>
              <w:ind w:left="740" w:right="740"/>
              <w:jc w:val="center"/>
              <w:rPr>
                <w:sz w:val="18"/>
              </w:rPr>
            </w:pPr>
            <w:r>
              <w:rPr>
                <w:color w:val="231F20"/>
                <w:sz w:val="18"/>
              </w:rPr>
              <w:t>Superficie cosechada (ha)</w:t>
            </w:r>
          </w:p>
        </w:tc>
        <w:tc>
          <w:tcPr>
            <w:tcW w:w="1589" w:type="dxa"/>
          </w:tcPr>
          <w:p>
            <w:pPr>
              <w:pStyle w:val="TableParagraph"/>
              <w:ind w:left="449" w:right="449"/>
              <w:jc w:val="center"/>
              <w:rPr>
                <w:sz w:val="18"/>
              </w:rPr>
            </w:pPr>
            <w:r>
              <w:rPr>
                <w:color w:val="231F20"/>
                <w:sz w:val="18"/>
              </w:rPr>
              <w:t>435</w:t>
            </w:r>
          </w:p>
        </w:tc>
        <w:tc>
          <w:tcPr>
            <w:tcW w:w="1306" w:type="dxa"/>
          </w:tcPr>
          <w:p>
            <w:pPr>
              <w:pStyle w:val="TableParagraph"/>
              <w:ind w:left="307" w:right="307"/>
              <w:jc w:val="center"/>
              <w:rPr>
                <w:sz w:val="18"/>
              </w:rPr>
            </w:pPr>
            <w:r>
              <w:rPr>
                <w:color w:val="231F20"/>
                <w:sz w:val="18"/>
              </w:rPr>
              <w:t>3,518.0</w:t>
            </w:r>
          </w:p>
        </w:tc>
      </w:tr>
      <w:tr>
        <w:trPr>
          <w:trHeight w:val="285" w:hRule="exact"/>
        </w:trPr>
        <w:tc>
          <w:tcPr>
            <w:tcW w:w="5490" w:type="dxa"/>
          </w:tcPr>
          <w:p>
            <w:pPr>
              <w:pStyle w:val="TableParagraph"/>
              <w:ind w:left="740" w:right="740"/>
              <w:jc w:val="center"/>
              <w:rPr>
                <w:sz w:val="18"/>
              </w:rPr>
            </w:pPr>
            <w:r>
              <w:rPr>
                <w:color w:val="231F20"/>
                <w:sz w:val="18"/>
              </w:rPr>
              <w:t>Producción anual (ton)</w:t>
            </w:r>
          </w:p>
        </w:tc>
        <w:tc>
          <w:tcPr>
            <w:tcW w:w="1589" w:type="dxa"/>
          </w:tcPr>
          <w:p>
            <w:pPr>
              <w:pStyle w:val="TableParagraph"/>
              <w:ind w:left="449" w:right="449"/>
              <w:jc w:val="center"/>
              <w:rPr>
                <w:sz w:val="18"/>
              </w:rPr>
            </w:pPr>
            <w:r>
              <w:rPr>
                <w:color w:val="231F20"/>
                <w:sz w:val="18"/>
              </w:rPr>
              <w:t>10,695</w:t>
            </w:r>
          </w:p>
        </w:tc>
        <w:tc>
          <w:tcPr>
            <w:tcW w:w="1306" w:type="dxa"/>
          </w:tcPr>
          <w:p>
            <w:pPr>
              <w:pStyle w:val="TableParagraph"/>
              <w:ind w:left="307" w:right="307"/>
              <w:jc w:val="center"/>
              <w:rPr>
                <w:sz w:val="18"/>
              </w:rPr>
            </w:pPr>
            <w:r>
              <w:rPr>
                <w:color w:val="231F20"/>
                <w:sz w:val="18"/>
              </w:rPr>
              <w:t>5,169.0</w:t>
            </w:r>
          </w:p>
        </w:tc>
      </w:tr>
      <w:tr>
        <w:trPr>
          <w:trHeight w:val="285" w:hRule="exact"/>
        </w:trPr>
        <w:tc>
          <w:tcPr>
            <w:tcW w:w="5490" w:type="dxa"/>
          </w:tcPr>
          <w:p>
            <w:pPr>
              <w:pStyle w:val="TableParagraph"/>
              <w:ind w:left="740" w:right="740"/>
              <w:jc w:val="center"/>
              <w:rPr>
                <w:sz w:val="18"/>
              </w:rPr>
            </w:pPr>
            <w:r>
              <w:rPr>
                <w:color w:val="231F20"/>
                <w:sz w:val="18"/>
              </w:rPr>
              <w:t>Ton/ha</w:t>
            </w:r>
          </w:p>
        </w:tc>
        <w:tc>
          <w:tcPr>
            <w:tcW w:w="1589" w:type="dxa"/>
          </w:tcPr>
          <w:p>
            <w:pPr>
              <w:pStyle w:val="TableParagraph"/>
              <w:ind w:left="449" w:right="449"/>
              <w:jc w:val="center"/>
              <w:rPr>
                <w:sz w:val="18"/>
              </w:rPr>
            </w:pPr>
            <w:r>
              <w:rPr>
                <w:color w:val="231F20"/>
                <w:sz w:val="18"/>
              </w:rPr>
              <w:t>24.586</w:t>
            </w:r>
          </w:p>
        </w:tc>
        <w:tc>
          <w:tcPr>
            <w:tcW w:w="1306" w:type="dxa"/>
          </w:tcPr>
          <w:p>
            <w:pPr>
              <w:pStyle w:val="TableParagraph"/>
              <w:ind w:left="307" w:right="307"/>
              <w:jc w:val="center"/>
              <w:rPr>
                <w:sz w:val="18"/>
              </w:rPr>
            </w:pPr>
            <w:r>
              <w:rPr>
                <w:color w:val="231F20"/>
                <w:sz w:val="18"/>
              </w:rPr>
              <w:t>1.459</w:t>
            </w:r>
          </w:p>
        </w:tc>
      </w:tr>
      <w:tr>
        <w:trPr>
          <w:trHeight w:val="285" w:hRule="exact"/>
        </w:trPr>
        <w:tc>
          <w:tcPr>
            <w:tcW w:w="5490" w:type="dxa"/>
          </w:tcPr>
          <w:p>
            <w:pPr>
              <w:pStyle w:val="TableParagraph"/>
              <w:ind w:left="740" w:right="740"/>
              <w:jc w:val="center"/>
              <w:rPr>
                <w:sz w:val="18"/>
              </w:rPr>
            </w:pPr>
            <w:r>
              <w:rPr>
                <w:color w:val="231F20"/>
                <w:sz w:val="18"/>
              </w:rPr>
              <w:t>Precio/ton</w:t>
            </w:r>
          </w:p>
        </w:tc>
        <w:tc>
          <w:tcPr>
            <w:tcW w:w="1589" w:type="dxa"/>
          </w:tcPr>
          <w:p>
            <w:pPr>
              <w:pStyle w:val="TableParagraph"/>
              <w:ind w:left="449" w:right="449"/>
              <w:jc w:val="center"/>
              <w:rPr>
                <w:sz w:val="18"/>
              </w:rPr>
            </w:pPr>
            <w:r>
              <w:rPr>
                <w:color w:val="231F20"/>
                <w:sz w:val="18"/>
              </w:rPr>
              <w:t>3,500</w:t>
            </w:r>
          </w:p>
        </w:tc>
        <w:tc>
          <w:tcPr>
            <w:tcW w:w="1306" w:type="dxa"/>
          </w:tcPr>
          <w:p>
            <w:pPr>
              <w:pStyle w:val="TableParagraph"/>
              <w:ind w:left="307" w:right="307"/>
              <w:jc w:val="center"/>
              <w:rPr>
                <w:sz w:val="18"/>
              </w:rPr>
            </w:pPr>
            <w:r>
              <w:rPr>
                <w:color w:val="231F20"/>
                <w:sz w:val="18"/>
              </w:rPr>
              <w:t>28,513.0</w:t>
            </w:r>
          </w:p>
        </w:tc>
      </w:tr>
      <w:tr>
        <w:trPr>
          <w:trHeight w:val="285" w:hRule="exact"/>
        </w:trPr>
        <w:tc>
          <w:tcPr>
            <w:tcW w:w="5490" w:type="dxa"/>
          </w:tcPr>
          <w:p>
            <w:pPr>
              <w:pStyle w:val="TableParagraph"/>
              <w:ind w:left="740" w:right="740"/>
              <w:jc w:val="center"/>
              <w:rPr>
                <w:sz w:val="18"/>
              </w:rPr>
            </w:pPr>
            <w:r>
              <w:rPr>
                <w:color w:val="231F20"/>
                <w:sz w:val="18"/>
              </w:rPr>
              <w:t>Ingreso/ha</w:t>
            </w:r>
          </w:p>
        </w:tc>
        <w:tc>
          <w:tcPr>
            <w:tcW w:w="1589" w:type="dxa"/>
          </w:tcPr>
          <w:p>
            <w:pPr>
              <w:pStyle w:val="TableParagraph"/>
              <w:ind w:left="449" w:right="449"/>
              <w:jc w:val="center"/>
              <w:rPr>
                <w:sz w:val="18"/>
              </w:rPr>
            </w:pPr>
            <w:r>
              <w:rPr>
                <w:color w:val="231F20"/>
                <w:sz w:val="18"/>
              </w:rPr>
              <w:t>86,050</w:t>
            </w:r>
          </w:p>
        </w:tc>
        <w:tc>
          <w:tcPr>
            <w:tcW w:w="1306" w:type="dxa"/>
          </w:tcPr>
          <w:p>
            <w:pPr>
              <w:pStyle w:val="TableParagraph"/>
              <w:ind w:left="307" w:right="307"/>
              <w:jc w:val="center"/>
              <w:rPr>
                <w:sz w:val="18"/>
              </w:rPr>
            </w:pPr>
            <w:r>
              <w:rPr>
                <w:color w:val="231F20"/>
                <w:sz w:val="18"/>
              </w:rPr>
              <w:t>41,894</w:t>
            </w:r>
          </w:p>
        </w:tc>
      </w:tr>
      <w:tr>
        <w:trPr>
          <w:trHeight w:val="285" w:hRule="exact"/>
        </w:trPr>
        <w:tc>
          <w:tcPr>
            <w:tcW w:w="5490" w:type="dxa"/>
          </w:tcPr>
          <w:p>
            <w:pPr>
              <w:pStyle w:val="TableParagraph"/>
              <w:ind w:left="740" w:right="740"/>
              <w:jc w:val="center"/>
              <w:rPr>
                <w:sz w:val="18"/>
              </w:rPr>
            </w:pPr>
            <w:r>
              <w:rPr>
                <w:color w:val="231F20"/>
                <w:sz w:val="18"/>
              </w:rPr>
              <w:t>Costo/ha</w:t>
            </w:r>
          </w:p>
        </w:tc>
        <w:tc>
          <w:tcPr>
            <w:tcW w:w="1589" w:type="dxa"/>
          </w:tcPr>
          <w:p>
            <w:pPr>
              <w:pStyle w:val="TableParagraph"/>
              <w:ind w:left="449" w:right="449"/>
              <w:jc w:val="center"/>
              <w:rPr>
                <w:sz w:val="18"/>
              </w:rPr>
            </w:pPr>
            <w:r>
              <w:rPr>
                <w:color w:val="231F20"/>
                <w:sz w:val="18"/>
              </w:rPr>
              <w:t>26,395</w:t>
            </w:r>
          </w:p>
        </w:tc>
        <w:tc>
          <w:tcPr>
            <w:tcW w:w="1306" w:type="dxa"/>
          </w:tcPr>
          <w:p>
            <w:pPr>
              <w:pStyle w:val="TableParagraph"/>
              <w:ind w:left="307" w:right="307"/>
              <w:jc w:val="center"/>
              <w:rPr>
                <w:sz w:val="18"/>
              </w:rPr>
            </w:pPr>
            <w:r>
              <w:rPr>
                <w:color w:val="231F20"/>
                <w:sz w:val="18"/>
              </w:rPr>
              <w:t>16,471.0</w:t>
            </w:r>
          </w:p>
        </w:tc>
      </w:tr>
      <w:tr>
        <w:trPr>
          <w:trHeight w:val="285" w:hRule="exact"/>
        </w:trPr>
        <w:tc>
          <w:tcPr>
            <w:tcW w:w="5490" w:type="dxa"/>
          </w:tcPr>
          <w:p>
            <w:pPr>
              <w:pStyle w:val="TableParagraph"/>
              <w:ind w:left="740" w:right="740"/>
              <w:jc w:val="center"/>
              <w:rPr>
                <w:sz w:val="18"/>
              </w:rPr>
            </w:pPr>
            <w:r>
              <w:rPr>
                <w:color w:val="231F20"/>
                <w:sz w:val="18"/>
              </w:rPr>
              <w:t>Ganancia/ha</w:t>
            </w:r>
          </w:p>
        </w:tc>
        <w:tc>
          <w:tcPr>
            <w:tcW w:w="1589" w:type="dxa"/>
          </w:tcPr>
          <w:p>
            <w:pPr>
              <w:pStyle w:val="TableParagraph"/>
              <w:ind w:left="449" w:right="449"/>
              <w:jc w:val="center"/>
              <w:rPr>
                <w:sz w:val="18"/>
              </w:rPr>
            </w:pPr>
            <w:r>
              <w:rPr>
                <w:color w:val="231F20"/>
                <w:sz w:val="18"/>
              </w:rPr>
              <w:t>59,655</w:t>
            </w:r>
          </w:p>
        </w:tc>
        <w:tc>
          <w:tcPr>
            <w:tcW w:w="1306" w:type="dxa"/>
          </w:tcPr>
          <w:p>
            <w:pPr>
              <w:pStyle w:val="TableParagraph"/>
              <w:ind w:left="307" w:right="307"/>
              <w:jc w:val="center"/>
              <w:rPr>
                <w:sz w:val="18"/>
              </w:rPr>
            </w:pPr>
            <w:r>
              <w:rPr>
                <w:color w:val="231F20"/>
                <w:sz w:val="18"/>
              </w:rPr>
              <w:t>25,423</w:t>
            </w:r>
          </w:p>
        </w:tc>
      </w:tr>
      <w:tr>
        <w:trPr>
          <w:trHeight w:val="285" w:hRule="exact"/>
        </w:trPr>
        <w:tc>
          <w:tcPr>
            <w:tcW w:w="5490" w:type="dxa"/>
          </w:tcPr>
          <w:p>
            <w:pPr>
              <w:pStyle w:val="TableParagraph"/>
              <w:ind w:left="740" w:right="740"/>
              <w:jc w:val="center"/>
              <w:rPr>
                <w:sz w:val="18"/>
              </w:rPr>
            </w:pPr>
            <w:r>
              <w:rPr>
                <w:color w:val="231F20"/>
                <w:sz w:val="18"/>
              </w:rPr>
              <w:t>Relación Beneficio/Costo</w:t>
            </w:r>
          </w:p>
        </w:tc>
        <w:tc>
          <w:tcPr>
            <w:tcW w:w="1589" w:type="dxa"/>
          </w:tcPr>
          <w:p>
            <w:pPr>
              <w:pStyle w:val="TableParagraph"/>
              <w:ind w:left="449" w:right="449"/>
              <w:jc w:val="center"/>
              <w:rPr>
                <w:sz w:val="18"/>
              </w:rPr>
            </w:pPr>
            <w:r>
              <w:rPr>
                <w:color w:val="231F20"/>
                <w:sz w:val="18"/>
              </w:rPr>
              <w:t>3.26</w:t>
            </w:r>
          </w:p>
        </w:tc>
        <w:tc>
          <w:tcPr>
            <w:tcW w:w="1306" w:type="dxa"/>
          </w:tcPr>
          <w:p>
            <w:pPr>
              <w:pStyle w:val="TableParagraph"/>
              <w:ind w:left="307" w:right="307"/>
              <w:jc w:val="center"/>
              <w:rPr>
                <w:sz w:val="18"/>
              </w:rPr>
            </w:pPr>
            <w:r>
              <w:rPr>
                <w:color w:val="231F20"/>
                <w:sz w:val="18"/>
              </w:rPr>
              <w:t>2.54</w:t>
            </w:r>
          </w:p>
        </w:tc>
      </w:tr>
      <w:tr>
        <w:trPr>
          <w:trHeight w:val="285" w:hRule="exact"/>
        </w:trPr>
        <w:tc>
          <w:tcPr>
            <w:tcW w:w="5490" w:type="dxa"/>
          </w:tcPr>
          <w:p>
            <w:pPr>
              <w:pStyle w:val="TableParagraph"/>
              <w:ind w:left="740" w:right="740"/>
              <w:jc w:val="center"/>
              <w:rPr>
                <w:sz w:val="18"/>
              </w:rPr>
            </w:pPr>
            <w:r>
              <w:rPr>
                <w:color w:val="231F20"/>
                <w:sz w:val="18"/>
              </w:rPr>
              <w:t># de jornales/ha</w:t>
            </w:r>
          </w:p>
        </w:tc>
        <w:tc>
          <w:tcPr>
            <w:tcW w:w="1589" w:type="dxa"/>
          </w:tcPr>
          <w:p>
            <w:pPr>
              <w:pStyle w:val="TableParagraph"/>
              <w:ind w:left="449" w:right="449"/>
              <w:jc w:val="center"/>
              <w:rPr>
                <w:sz w:val="18"/>
              </w:rPr>
            </w:pPr>
            <w:r>
              <w:rPr>
                <w:color w:val="231F20"/>
                <w:sz w:val="18"/>
              </w:rPr>
              <w:t>168.85</w:t>
            </w:r>
          </w:p>
        </w:tc>
        <w:tc>
          <w:tcPr>
            <w:tcW w:w="1306" w:type="dxa"/>
          </w:tcPr>
          <w:p>
            <w:pPr>
              <w:pStyle w:val="TableParagraph"/>
              <w:ind w:left="307" w:right="307"/>
              <w:jc w:val="center"/>
              <w:rPr>
                <w:sz w:val="18"/>
              </w:rPr>
            </w:pPr>
            <w:r>
              <w:rPr>
                <w:color w:val="231F20"/>
                <w:sz w:val="18"/>
              </w:rPr>
              <w:t>59.27</w:t>
            </w:r>
          </w:p>
        </w:tc>
      </w:tr>
      <w:tr>
        <w:trPr>
          <w:trHeight w:val="285" w:hRule="exact"/>
        </w:trPr>
        <w:tc>
          <w:tcPr>
            <w:tcW w:w="5490" w:type="dxa"/>
          </w:tcPr>
          <w:p>
            <w:pPr>
              <w:pStyle w:val="TableParagraph"/>
              <w:ind w:left="740" w:right="739"/>
              <w:jc w:val="center"/>
              <w:rPr>
                <w:sz w:val="18"/>
              </w:rPr>
            </w:pPr>
            <w:r>
              <w:rPr>
                <w:color w:val="231F20"/>
                <w:sz w:val="18"/>
              </w:rPr>
              <w:t>Ton / jornada</w:t>
            </w:r>
          </w:p>
        </w:tc>
        <w:tc>
          <w:tcPr>
            <w:tcW w:w="1589" w:type="dxa"/>
          </w:tcPr>
          <w:p>
            <w:pPr>
              <w:pStyle w:val="TableParagraph"/>
              <w:ind w:left="449" w:right="449"/>
              <w:jc w:val="center"/>
              <w:rPr>
                <w:sz w:val="18"/>
              </w:rPr>
            </w:pPr>
            <w:r>
              <w:rPr>
                <w:color w:val="231F20"/>
                <w:sz w:val="18"/>
              </w:rPr>
              <w:t>0.146</w:t>
            </w:r>
          </w:p>
        </w:tc>
        <w:tc>
          <w:tcPr>
            <w:tcW w:w="1306" w:type="dxa"/>
          </w:tcPr>
          <w:p>
            <w:pPr>
              <w:pStyle w:val="TableParagraph"/>
              <w:ind w:left="307" w:right="306"/>
              <w:jc w:val="center"/>
              <w:rPr>
                <w:sz w:val="18"/>
              </w:rPr>
            </w:pPr>
            <w:r>
              <w:rPr>
                <w:color w:val="231F20"/>
                <w:sz w:val="18"/>
              </w:rPr>
              <w:t>0.025</w:t>
            </w:r>
          </w:p>
        </w:tc>
      </w:tr>
      <w:tr>
        <w:trPr>
          <w:trHeight w:val="285" w:hRule="exact"/>
        </w:trPr>
        <w:tc>
          <w:tcPr>
            <w:tcW w:w="5490" w:type="dxa"/>
          </w:tcPr>
          <w:p>
            <w:pPr>
              <w:pStyle w:val="TableParagraph"/>
              <w:ind w:left="740" w:right="739"/>
              <w:jc w:val="center"/>
              <w:rPr>
                <w:sz w:val="18"/>
              </w:rPr>
            </w:pPr>
            <w:r>
              <w:rPr>
                <w:color w:val="231F20"/>
                <w:sz w:val="18"/>
              </w:rPr>
              <w:t>Costo/ton</w:t>
            </w:r>
          </w:p>
        </w:tc>
        <w:tc>
          <w:tcPr>
            <w:tcW w:w="1589" w:type="dxa"/>
          </w:tcPr>
          <w:p>
            <w:pPr>
              <w:pStyle w:val="TableParagraph"/>
              <w:ind w:left="449" w:right="448"/>
              <w:jc w:val="center"/>
              <w:rPr>
                <w:sz w:val="18"/>
              </w:rPr>
            </w:pPr>
            <w:r>
              <w:rPr>
                <w:color w:val="231F20"/>
                <w:sz w:val="18"/>
              </w:rPr>
              <w:t>1,073.6</w:t>
            </w:r>
          </w:p>
        </w:tc>
        <w:tc>
          <w:tcPr>
            <w:tcW w:w="1306" w:type="dxa"/>
          </w:tcPr>
          <w:p>
            <w:pPr>
              <w:pStyle w:val="TableParagraph"/>
              <w:ind w:left="307" w:right="306"/>
              <w:jc w:val="center"/>
              <w:rPr>
                <w:sz w:val="18"/>
              </w:rPr>
            </w:pPr>
            <w:r>
              <w:rPr>
                <w:color w:val="231F20"/>
                <w:sz w:val="18"/>
              </w:rPr>
              <w:t>11,210.0</w:t>
            </w:r>
          </w:p>
        </w:tc>
      </w:tr>
      <w:tr>
        <w:trPr>
          <w:trHeight w:val="285" w:hRule="exact"/>
        </w:trPr>
        <w:tc>
          <w:tcPr>
            <w:tcW w:w="5490" w:type="dxa"/>
          </w:tcPr>
          <w:p>
            <w:pPr>
              <w:pStyle w:val="TableParagraph"/>
              <w:ind w:left="740" w:right="739"/>
              <w:jc w:val="center"/>
              <w:rPr>
                <w:sz w:val="18"/>
              </w:rPr>
            </w:pPr>
            <w:r>
              <w:rPr>
                <w:color w:val="231F20"/>
                <w:sz w:val="18"/>
              </w:rPr>
              <w:t>Ganancia monetaria/jornada</w:t>
            </w:r>
          </w:p>
        </w:tc>
        <w:tc>
          <w:tcPr>
            <w:tcW w:w="1589" w:type="dxa"/>
          </w:tcPr>
          <w:p>
            <w:pPr>
              <w:pStyle w:val="TableParagraph"/>
              <w:ind w:left="449" w:right="448"/>
              <w:jc w:val="center"/>
              <w:rPr>
                <w:sz w:val="18"/>
              </w:rPr>
            </w:pPr>
            <w:r>
              <w:rPr>
                <w:color w:val="231F20"/>
                <w:sz w:val="18"/>
              </w:rPr>
              <w:t>353.3</w:t>
            </w:r>
          </w:p>
        </w:tc>
        <w:tc>
          <w:tcPr>
            <w:tcW w:w="1306" w:type="dxa"/>
          </w:tcPr>
          <w:p>
            <w:pPr>
              <w:pStyle w:val="TableParagraph"/>
              <w:ind w:left="307" w:right="306"/>
              <w:jc w:val="center"/>
              <w:rPr>
                <w:sz w:val="18"/>
              </w:rPr>
            </w:pPr>
            <w:r>
              <w:rPr>
                <w:color w:val="231F20"/>
                <w:sz w:val="18"/>
              </w:rPr>
              <w:t>429</w:t>
            </w:r>
          </w:p>
        </w:tc>
      </w:tr>
      <w:tr>
        <w:trPr>
          <w:trHeight w:val="285" w:hRule="exact"/>
        </w:trPr>
        <w:tc>
          <w:tcPr>
            <w:tcW w:w="5490" w:type="dxa"/>
          </w:tcPr>
          <w:p>
            <w:pPr>
              <w:pStyle w:val="TableParagraph"/>
              <w:ind w:left="740" w:right="739"/>
              <w:jc w:val="center"/>
              <w:rPr>
                <w:sz w:val="18"/>
              </w:rPr>
            </w:pPr>
            <w:r>
              <w:rPr>
                <w:color w:val="231F20"/>
                <w:sz w:val="18"/>
              </w:rPr>
              <w:t>Lámina neta de Riego (LR) en m</w:t>
            </w:r>
          </w:p>
        </w:tc>
        <w:tc>
          <w:tcPr>
            <w:tcW w:w="1589" w:type="dxa"/>
          </w:tcPr>
          <w:p>
            <w:pPr>
              <w:pStyle w:val="TableParagraph"/>
              <w:ind w:left="449" w:right="448"/>
              <w:jc w:val="center"/>
              <w:rPr>
                <w:sz w:val="18"/>
              </w:rPr>
            </w:pPr>
            <w:r>
              <w:rPr>
                <w:color w:val="231F20"/>
                <w:sz w:val="18"/>
              </w:rPr>
              <w:t>0.94</w:t>
            </w:r>
          </w:p>
        </w:tc>
        <w:tc>
          <w:tcPr>
            <w:tcW w:w="1306" w:type="dxa"/>
          </w:tcPr>
          <w:p>
            <w:pPr>
              <w:pStyle w:val="TableParagraph"/>
              <w:ind w:left="307" w:right="306"/>
              <w:jc w:val="center"/>
              <w:rPr>
                <w:sz w:val="18"/>
              </w:rPr>
            </w:pPr>
            <w:r>
              <w:rPr>
                <w:color w:val="231F20"/>
                <w:sz w:val="18"/>
              </w:rPr>
              <w:t>1.600</w:t>
            </w:r>
          </w:p>
        </w:tc>
      </w:tr>
    </w:tbl>
    <w:p>
      <w:pPr>
        <w:spacing w:after="0"/>
        <w:jc w:val="center"/>
        <w:rPr>
          <w:sz w:val="18"/>
        </w:rPr>
        <w:sectPr>
          <w:pgSz w:w="10920" w:h="13080"/>
          <w:pgMar w:header="0" w:footer="1025" w:top="420" w:bottom="1220" w:left="0" w:right="0"/>
        </w:sectPr>
      </w:pPr>
    </w:p>
    <w:p>
      <w:pPr>
        <w:pStyle w:val="BodyText"/>
        <w:rPr>
          <w:b/>
          <w:sz w:val="20"/>
        </w:rPr>
      </w:pPr>
    </w:p>
    <w:p>
      <w:pPr>
        <w:pStyle w:val="BodyText"/>
        <w:rPr>
          <w:b/>
          <w:sz w:val="20"/>
        </w:rPr>
      </w:pPr>
    </w:p>
    <w:p>
      <w:pPr>
        <w:pStyle w:val="BodyText"/>
        <w:rPr>
          <w:b/>
          <w:sz w:val="20"/>
        </w:rPr>
      </w:pPr>
    </w:p>
    <w:p>
      <w:pPr>
        <w:pStyle w:val="BodyText"/>
        <w:spacing w:before="8"/>
        <w:rPr>
          <w:b/>
          <w:sz w:val="13"/>
        </w:rPr>
      </w:pPr>
    </w:p>
    <w:tbl>
      <w:tblPr>
        <w:tblW w:w="0" w:type="auto"/>
        <w:jc w:val="left"/>
        <w:tblInd w:w="1257"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top w:w="0" w:type="dxa"/>
          <w:left w:w="0" w:type="dxa"/>
          <w:bottom w:w="0" w:type="dxa"/>
          <w:right w:w="0" w:type="dxa"/>
        </w:tblCellMar>
        <w:tblLook w:val="01E0"/>
      </w:tblPr>
      <w:tblGrid>
        <w:gridCol w:w="5490"/>
        <w:gridCol w:w="1589"/>
        <w:gridCol w:w="1306"/>
      </w:tblGrid>
      <w:tr>
        <w:trPr>
          <w:trHeight w:val="285" w:hRule="exact"/>
        </w:trPr>
        <w:tc>
          <w:tcPr>
            <w:tcW w:w="5490" w:type="dxa"/>
          </w:tcPr>
          <w:p>
            <w:pPr>
              <w:pStyle w:val="TableParagraph"/>
              <w:ind w:left="740" w:right="740"/>
              <w:jc w:val="center"/>
              <w:rPr>
                <w:sz w:val="18"/>
              </w:rPr>
            </w:pPr>
            <w:r>
              <w:rPr>
                <w:color w:val="231F20"/>
                <w:sz w:val="18"/>
              </w:rPr>
              <w:t>Volumen de agua usado (millones de m³)</w:t>
            </w:r>
          </w:p>
        </w:tc>
        <w:tc>
          <w:tcPr>
            <w:tcW w:w="1589" w:type="dxa"/>
          </w:tcPr>
          <w:p>
            <w:pPr>
              <w:pStyle w:val="TableParagraph"/>
              <w:ind w:left="449" w:right="449"/>
              <w:jc w:val="center"/>
              <w:rPr>
                <w:sz w:val="18"/>
              </w:rPr>
            </w:pPr>
            <w:r>
              <w:rPr>
                <w:color w:val="231F20"/>
                <w:sz w:val="18"/>
              </w:rPr>
              <w:t>4.08</w:t>
            </w:r>
          </w:p>
        </w:tc>
        <w:tc>
          <w:tcPr>
            <w:tcW w:w="1306" w:type="dxa"/>
          </w:tcPr>
          <w:p>
            <w:pPr>
              <w:pStyle w:val="TableParagraph"/>
              <w:ind w:left="307" w:right="307"/>
              <w:jc w:val="center"/>
              <w:rPr>
                <w:sz w:val="18"/>
              </w:rPr>
            </w:pPr>
            <w:r>
              <w:rPr>
                <w:color w:val="231F20"/>
                <w:sz w:val="18"/>
              </w:rPr>
              <w:t>56.29</w:t>
            </w:r>
          </w:p>
        </w:tc>
      </w:tr>
      <w:tr>
        <w:trPr>
          <w:trHeight w:val="285" w:hRule="exact"/>
        </w:trPr>
        <w:tc>
          <w:tcPr>
            <w:tcW w:w="5490" w:type="dxa"/>
          </w:tcPr>
          <w:p>
            <w:pPr>
              <w:pStyle w:val="TableParagraph"/>
              <w:ind w:left="740" w:right="740"/>
              <w:jc w:val="center"/>
              <w:rPr>
                <w:sz w:val="18"/>
              </w:rPr>
            </w:pPr>
            <w:r>
              <w:rPr>
                <w:color w:val="231F20"/>
                <w:sz w:val="18"/>
              </w:rPr>
              <w:t>Ganancia monetaria total (Millones de pesos de 2009)</w:t>
            </w:r>
          </w:p>
        </w:tc>
        <w:tc>
          <w:tcPr>
            <w:tcW w:w="1589" w:type="dxa"/>
          </w:tcPr>
          <w:p>
            <w:pPr>
              <w:pStyle w:val="TableParagraph"/>
              <w:ind w:left="449" w:right="449"/>
              <w:jc w:val="center"/>
              <w:rPr>
                <w:sz w:val="18"/>
              </w:rPr>
            </w:pPr>
            <w:r>
              <w:rPr>
                <w:color w:val="231F20"/>
                <w:sz w:val="18"/>
              </w:rPr>
              <w:t>25.95</w:t>
            </w:r>
          </w:p>
        </w:tc>
        <w:tc>
          <w:tcPr>
            <w:tcW w:w="1306" w:type="dxa"/>
          </w:tcPr>
          <w:p>
            <w:pPr>
              <w:pStyle w:val="TableParagraph"/>
              <w:ind w:left="307" w:right="307"/>
              <w:jc w:val="center"/>
              <w:rPr>
                <w:sz w:val="18"/>
              </w:rPr>
            </w:pPr>
            <w:r>
              <w:rPr>
                <w:color w:val="231F20"/>
                <w:sz w:val="18"/>
              </w:rPr>
              <w:t>89.4</w:t>
            </w:r>
          </w:p>
        </w:tc>
      </w:tr>
      <w:tr>
        <w:trPr>
          <w:trHeight w:val="285" w:hRule="exact"/>
        </w:trPr>
        <w:tc>
          <w:tcPr>
            <w:tcW w:w="5490" w:type="dxa"/>
          </w:tcPr>
          <w:p>
            <w:pPr>
              <w:pStyle w:val="TableParagraph"/>
              <w:ind w:left="740" w:right="740"/>
              <w:jc w:val="center"/>
              <w:rPr>
                <w:sz w:val="18"/>
              </w:rPr>
            </w:pPr>
            <w:r>
              <w:rPr>
                <w:color w:val="231F20"/>
                <w:sz w:val="18"/>
              </w:rPr>
              <w:t>Total de jornales al año</w:t>
            </w:r>
          </w:p>
        </w:tc>
        <w:tc>
          <w:tcPr>
            <w:tcW w:w="1589" w:type="dxa"/>
          </w:tcPr>
          <w:p>
            <w:pPr>
              <w:pStyle w:val="TableParagraph"/>
              <w:ind w:left="449" w:right="449"/>
              <w:jc w:val="center"/>
              <w:rPr>
                <w:sz w:val="18"/>
              </w:rPr>
            </w:pPr>
            <w:r>
              <w:rPr>
                <w:color w:val="231F20"/>
                <w:sz w:val="18"/>
              </w:rPr>
              <w:t>73,449.8</w:t>
            </w:r>
          </w:p>
        </w:tc>
        <w:tc>
          <w:tcPr>
            <w:tcW w:w="1306" w:type="dxa"/>
          </w:tcPr>
          <w:p>
            <w:pPr>
              <w:pStyle w:val="TableParagraph"/>
              <w:ind w:left="307" w:right="307"/>
              <w:jc w:val="center"/>
              <w:rPr>
                <w:sz w:val="18"/>
              </w:rPr>
            </w:pPr>
            <w:r>
              <w:rPr>
                <w:color w:val="231F20"/>
                <w:sz w:val="18"/>
              </w:rPr>
              <w:t>208,512</w:t>
            </w:r>
          </w:p>
        </w:tc>
      </w:tr>
      <w:tr>
        <w:trPr>
          <w:trHeight w:val="501" w:hRule="exact"/>
        </w:trPr>
        <w:tc>
          <w:tcPr>
            <w:tcW w:w="5490" w:type="dxa"/>
          </w:tcPr>
          <w:p>
            <w:pPr>
              <w:pStyle w:val="TableParagraph"/>
              <w:spacing w:line="249" w:lineRule="auto"/>
              <w:ind w:left="1215" w:right="458" w:hanging="738"/>
              <w:rPr>
                <w:sz w:val="18"/>
              </w:rPr>
            </w:pPr>
            <w:r>
              <w:rPr>
                <w:color w:val="231F20"/>
                <w:sz w:val="18"/>
              </w:rPr>
              <w:t>Número de empleos permanentes/año (1 empleo permanente = 6 jornadas/semana por 48 semanas al año)</w:t>
            </w:r>
          </w:p>
        </w:tc>
        <w:tc>
          <w:tcPr>
            <w:tcW w:w="1589" w:type="dxa"/>
          </w:tcPr>
          <w:p>
            <w:pPr>
              <w:pStyle w:val="TableParagraph"/>
              <w:ind w:left="449" w:right="449"/>
              <w:jc w:val="center"/>
              <w:rPr>
                <w:sz w:val="18"/>
              </w:rPr>
            </w:pPr>
            <w:r>
              <w:rPr>
                <w:color w:val="231F20"/>
                <w:sz w:val="18"/>
              </w:rPr>
              <w:t>255.03</w:t>
            </w:r>
          </w:p>
        </w:tc>
        <w:tc>
          <w:tcPr>
            <w:tcW w:w="1306" w:type="dxa"/>
          </w:tcPr>
          <w:p>
            <w:pPr>
              <w:pStyle w:val="TableParagraph"/>
              <w:ind w:left="307" w:right="307"/>
              <w:jc w:val="center"/>
              <w:rPr>
                <w:sz w:val="18"/>
              </w:rPr>
            </w:pPr>
            <w:r>
              <w:rPr>
                <w:color w:val="231F20"/>
                <w:sz w:val="18"/>
              </w:rPr>
              <w:t>724</w:t>
            </w:r>
          </w:p>
        </w:tc>
      </w:tr>
      <w:tr>
        <w:trPr>
          <w:trHeight w:val="334" w:hRule="exact"/>
        </w:trPr>
        <w:tc>
          <w:tcPr>
            <w:tcW w:w="5490" w:type="dxa"/>
          </w:tcPr>
          <w:p>
            <w:pPr>
              <w:pStyle w:val="TableParagraph"/>
              <w:ind w:left="740" w:right="740"/>
              <w:jc w:val="center"/>
              <w:rPr>
                <w:sz w:val="18"/>
              </w:rPr>
            </w:pPr>
            <w:r>
              <w:rPr>
                <w:color w:val="231F20"/>
                <w:sz w:val="18"/>
              </w:rPr>
              <w:t>Capital invertido en la producción (millones de pesos )</w:t>
            </w:r>
          </w:p>
        </w:tc>
        <w:tc>
          <w:tcPr>
            <w:tcW w:w="1589" w:type="dxa"/>
          </w:tcPr>
          <w:p>
            <w:pPr>
              <w:pStyle w:val="TableParagraph"/>
              <w:ind w:left="449" w:right="449"/>
              <w:jc w:val="center"/>
              <w:rPr>
                <w:sz w:val="18"/>
              </w:rPr>
            </w:pPr>
            <w:r>
              <w:rPr>
                <w:color w:val="231F20"/>
                <w:sz w:val="18"/>
              </w:rPr>
              <w:t>11.48</w:t>
            </w:r>
          </w:p>
        </w:tc>
        <w:tc>
          <w:tcPr>
            <w:tcW w:w="1306" w:type="dxa"/>
          </w:tcPr>
          <w:p>
            <w:pPr>
              <w:pStyle w:val="TableParagraph"/>
              <w:ind w:left="307" w:right="307"/>
              <w:jc w:val="center"/>
              <w:rPr>
                <w:sz w:val="18"/>
              </w:rPr>
            </w:pPr>
            <w:r>
              <w:rPr>
                <w:color w:val="231F20"/>
                <w:sz w:val="18"/>
              </w:rPr>
              <w:t>57.9</w:t>
            </w:r>
          </w:p>
        </w:tc>
      </w:tr>
    </w:tbl>
    <w:p>
      <w:pPr>
        <w:pStyle w:val="BodyText"/>
        <w:spacing w:before="9"/>
        <w:rPr>
          <w:b/>
          <w:sz w:val="9"/>
        </w:rPr>
      </w:pPr>
    </w:p>
    <w:p>
      <w:pPr>
        <w:spacing w:line="307" w:lineRule="auto" w:before="78"/>
        <w:ind w:left="1270" w:right="1279" w:firstLine="0"/>
        <w:jc w:val="left"/>
        <w:rPr>
          <w:b/>
          <w:i/>
          <w:sz w:val="17"/>
        </w:rPr>
      </w:pPr>
      <w:r>
        <w:rPr>
          <w:b/>
          <w:i/>
          <w:color w:val="231F20"/>
          <w:sz w:val="17"/>
        </w:rPr>
        <w:t>Fuente:</w:t>
      </w:r>
      <w:r>
        <w:rPr>
          <w:b/>
          <w:i/>
          <w:color w:val="231F20"/>
          <w:spacing w:val="-8"/>
          <w:sz w:val="17"/>
        </w:rPr>
        <w:t> </w:t>
      </w:r>
      <w:r>
        <w:rPr>
          <w:b/>
          <w:i/>
          <w:color w:val="231F20"/>
          <w:sz w:val="17"/>
        </w:rPr>
        <w:t>Elaboración</w:t>
      </w:r>
      <w:r>
        <w:rPr>
          <w:b/>
          <w:i/>
          <w:color w:val="231F20"/>
          <w:spacing w:val="-8"/>
          <w:sz w:val="17"/>
        </w:rPr>
        <w:t> </w:t>
      </w:r>
      <w:r>
        <w:rPr>
          <w:b/>
          <w:i/>
          <w:color w:val="231F20"/>
          <w:sz w:val="17"/>
        </w:rPr>
        <w:t>propia,</w:t>
      </w:r>
      <w:r>
        <w:rPr>
          <w:b/>
          <w:i/>
          <w:color w:val="231F20"/>
          <w:spacing w:val="-8"/>
          <w:sz w:val="17"/>
        </w:rPr>
        <w:t> </w:t>
      </w:r>
      <w:r>
        <w:rPr>
          <w:b/>
          <w:i/>
          <w:color w:val="231F20"/>
          <w:sz w:val="17"/>
        </w:rPr>
        <w:t>con</w:t>
      </w:r>
      <w:r>
        <w:rPr>
          <w:b/>
          <w:i/>
          <w:color w:val="231F20"/>
          <w:spacing w:val="-8"/>
          <w:sz w:val="17"/>
        </w:rPr>
        <w:t> </w:t>
      </w:r>
      <w:r>
        <w:rPr>
          <w:b/>
          <w:i/>
          <w:color w:val="231F20"/>
          <w:sz w:val="17"/>
        </w:rPr>
        <w:t>base</w:t>
      </w:r>
      <w:r>
        <w:rPr>
          <w:b/>
          <w:i/>
          <w:color w:val="231F20"/>
          <w:spacing w:val="-8"/>
          <w:sz w:val="17"/>
        </w:rPr>
        <w:t> </w:t>
      </w:r>
      <w:r>
        <w:rPr>
          <w:b/>
          <w:i/>
          <w:color w:val="231F20"/>
          <w:sz w:val="17"/>
        </w:rPr>
        <w:t>en</w:t>
      </w:r>
      <w:r>
        <w:rPr>
          <w:b/>
          <w:i/>
          <w:color w:val="231F20"/>
          <w:spacing w:val="-8"/>
          <w:sz w:val="17"/>
        </w:rPr>
        <w:t> </w:t>
      </w:r>
      <w:r>
        <w:rPr>
          <w:b/>
          <w:i/>
          <w:color w:val="231F20"/>
          <w:sz w:val="17"/>
        </w:rPr>
        <w:t>el</w:t>
      </w:r>
      <w:r>
        <w:rPr>
          <w:b/>
          <w:i/>
          <w:color w:val="231F20"/>
          <w:spacing w:val="-13"/>
          <w:sz w:val="17"/>
        </w:rPr>
        <w:t> </w:t>
      </w:r>
      <w:r>
        <w:rPr>
          <w:b/>
          <w:i/>
          <w:color w:val="231F20"/>
          <w:sz w:val="17"/>
        </w:rPr>
        <w:t>Anuarios</w:t>
      </w:r>
      <w:r>
        <w:rPr>
          <w:b/>
          <w:i/>
          <w:color w:val="231F20"/>
          <w:spacing w:val="-8"/>
          <w:sz w:val="17"/>
        </w:rPr>
        <w:t> </w:t>
      </w:r>
      <w:r>
        <w:rPr>
          <w:b/>
          <w:i/>
          <w:color w:val="231F20"/>
          <w:sz w:val="17"/>
        </w:rPr>
        <w:t>estadísticos</w:t>
      </w:r>
      <w:r>
        <w:rPr>
          <w:b/>
          <w:i/>
          <w:color w:val="231F20"/>
          <w:spacing w:val="-8"/>
          <w:sz w:val="17"/>
        </w:rPr>
        <w:t> </w:t>
      </w:r>
      <w:r>
        <w:rPr>
          <w:b/>
          <w:i/>
          <w:color w:val="231F20"/>
          <w:sz w:val="17"/>
        </w:rPr>
        <w:t>de</w:t>
      </w:r>
      <w:r>
        <w:rPr>
          <w:b/>
          <w:i/>
          <w:color w:val="231F20"/>
          <w:spacing w:val="-8"/>
          <w:sz w:val="17"/>
        </w:rPr>
        <w:t> </w:t>
      </w:r>
      <w:r>
        <w:rPr>
          <w:b/>
          <w:i/>
          <w:color w:val="231F20"/>
          <w:sz w:val="17"/>
        </w:rPr>
        <w:t>la</w:t>
      </w:r>
      <w:r>
        <w:rPr>
          <w:b/>
          <w:i/>
          <w:color w:val="231F20"/>
          <w:spacing w:val="-8"/>
          <w:sz w:val="17"/>
        </w:rPr>
        <w:t> </w:t>
      </w:r>
      <w:r>
        <w:rPr>
          <w:b/>
          <w:i/>
          <w:color w:val="231F20"/>
          <w:sz w:val="17"/>
        </w:rPr>
        <w:t>producción</w:t>
      </w:r>
      <w:r>
        <w:rPr>
          <w:b/>
          <w:i/>
          <w:color w:val="231F20"/>
          <w:spacing w:val="-13"/>
          <w:sz w:val="17"/>
        </w:rPr>
        <w:t> </w:t>
      </w:r>
      <w:r>
        <w:rPr>
          <w:b/>
          <w:i/>
          <w:color w:val="231F20"/>
          <w:sz w:val="17"/>
        </w:rPr>
        <w:t>Agropecuaria,</w:t>
      </w:r>
      <w:r>
        <w:rPr>
          <w:b/>
          <w:i/>
          <w:color w:val="231F20"/>
          <w:spacing w:val="-8"/>
          <w:sz w:val="17"/>
        </w:rPr>
        <w:t> </w:t>
      </w:r>
      <w:r>
        <w:rPr>
          <w:b/>
          <w:i/>
          <w:color w:val="231F20"/>
          <w:spacing w:val="-3"/>
          <w:sz w:val="17"/>
        </w:rPr>
        <w:t>SAGARPA,</w:t>
      </w:r>
      <w:r>
        <w:rPr>
          <w:b/>
          <w:i/>
          <w:color w:val="231F20"/>
          <w:spacing w:val="-8"/>
          <w:sz w:val="17"/>
        </w:rPr>
        <w:t> </w:t>
      </w:r>
      <w:r>
        <w:rPr>
          <w:b/>
          <w:i/>
          <w:color w:val="231F20"/>
          <w:sz w:val="17"/>
        </w:rPr>
        <w:t>Delega- </w:t>
      </w:r>
      <w:r>
        <w:rPr>
          <w:b/>
          <w:i/>
          <w:color w:val="231F20"/>
          <w:sz w:val="17"/>
        </w:rPr>
        <w:t>ción Comarca</w:t>
      </w:r>
      <w:r>
        <w:rPr>
          <w:b/>
          <w:i/>
          <w:color w:val="231F20"/>
          <w:spacing w:val="-22"/>
          <w:sz w:val="17"/>
        </w:rPr>
        <w:t> </w:t>
      </w:r>
      <w:r>
        <w:rPr>
          <w:b/>
          <w:i/>
          <w:color w:val="231F20"/>
          <w:sz w:val="17"/>
        </w:rPr>
        <w:t>Lagunera.</w:t>
      </w:r>
    </w:p>
    <w:p>
      <w:pPr>
        <w:pStyle w:val="BodyText"/>
        <w:spacing w:before="7"/>
        <w:rPr>
          <w:b/>
          <w:i/>
          <w:sz w:val="18"/>
        </w:rPr>
      </w:pPr>
    </w:p>
    <w:p>
      <w:pPr>
        <w:pStyle w:val="BodyText"/>
        <w:ind w:left="1270"/>
        <w:jc w:val="both"/>
      </w:pPr>
      <w:r>
        <w:rPr>
          <w:color w:val="231F20"/>
        </w:rPr>
        <w:t>El análisis de los componentes del costo total por hectárea del Cuadro 2, muestra que mientras  que</w:t>
      </w:r>
    </w:p>
    <w:p>
      <w:pPr>
        <w:pStyle w:val="BodyText"/>
        <w:spacing w:before="8"/>
        <w:ind w:left="1270"/>
        <w:jc w:val="both"/>
      </w:pPr>
      <w:r>
        <w:rPr>
          <w:color w:val="231F20"/>
        </w:rPr>
        <w:t>en el cultivo de Chile BT el principal rubro es el costo de siembra y fertilización, con 34.8% (igual a</w:t>
      </w:r>
    </w:p>
    <w:p>
      <w:pPr>
        <w:pStyle w:val="BodyText"/>
        <w:spacing w:line="247" w:lineRule="auto" w:before="8"/>
        <w:ind w:left="1270" w:right="1267"/>
        <w:jc w:val="both"/>
      </w:pPr>
      <w:r>
        <w:rPr>
          <w:color w:val="231F20"/>
        </w:rPr>
        <w:t>$9,192.5)</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$26,395/ha</w:t>
      </w:r>
      <w:r>
        <w:rPr>
          <w:color w:val="231F20"/>
          <w:spacing w:val="-17"/>
        </w:rPr>
        <w:t> </w:t>
      </w:r>
      <w:r>
        <w:rPr>
          <w:color w:val="231F20"/>
        </w:rPr>
        <w:t>que</w:t>
      </w:r>
      <w:r>
        <w:rPr>
          <w:color w:val="231F20"/>
          <w:spacing w:val="-17"/>
        </w:rPr>
        <w:t> </w:t>
      </w:r>
      <w:r>
        <w:rPr>
          <w:color w:val="231F20"/>
        </w:rPr>
        <w:t>cuesta</w:t>
      </w:r>
      <w:r>
        <w:rPr>
          <w:color w:val="231F20"/>
          <w:spacing w:val="-17"/>
        </w:rPr>
        <w:t> </w:t>
      </w:r>
      <w:r>
        <w:rPr>
          <w:color w:val="231F20"/>
        </w:rPr>
        <w:t>hacer</w:t>
      </w:r>
      <w:r>
        <w:rPr>
          <w:color w:val="231F20"/>
          <w:spacing w:val="-17"/>
        </w:rPr>
        <w:t> </w:t>
      </w:r>
      <w:r>
        <w:rPr>
          <w:color w:val="231F20"/>
        </w:rPr>
        <w:t>producir</w:t>
      </w:r>
      <w:r>
        <w:rPr>
          <w:color w:val="231F20"/>
          <w:spacing w:val="-17"/>
        </w:rPr>
        <w:t> </w:t>
      </w:r>
      <w:r>
        <w:rPr>
          <w:color w:val="231F20"/>
        </w:rPr>
        <w:t>una</w:t>
      </w:r>
      <w:r>
        <w:rPr>
          <w:color w:val="231F20"/>
          <w:spacing w:val="-17"/>
        </w:rPr>
        <w:t> </w:t>
      </w:r>
      <w:r>
        <w:rPr>
          <w:color w:val="231F20"/>
        </w:rPr>
        <w:t>hectárea</w:t>
      </w:r>
      <w:r>
        <w:rPr>
          <w:color w:val="231F20"/>
          <w:spacing w:val="-17"/>
        </w:rPr>
        <w:t> </w:t>
      </w:r>
      <w:r>
        <w:rPr>
          <w:color w:val="231F20"/>
        </w:rPr>
        <w:t>de</w:t>
      </w:r>
      <w:r>
        <w:rPr>
          <w:color w:val="231F20"/>
          <w:spacing w:val="-17"/>
        </w:rPr>
        <w:t> </w:t>
      </w:r>
      <w:r>
        <w:rPr>
          <w:color w:val="231F20"/>
        </w:rPr>
        <w:t>Chile</w:t>
      </w:r>
      <w:r>
        <w:rPr>
          <w:color w:val="231F20"/>
          <w:spacing w:val="-17"/>
        </w:rPr>
        <w:t> </w:t>
      </w:r>
      <w:r>
        <w:rPr>
          <w:color w:val="231F20"/>
          <w:spacing w:val="-7"/>
        </w:rPr>
        <w:t>BT,</w:t>
      </w:r>
      <w:r>
        <w:rPr>
          <w:color w:val="231F20"/>
          <w:spacing w:val="-17"/>
        </w:rPr>
        <w:t> </w:t>
      </w:r>
      <w:r>
        <w:rPr>
          <w:color w:val="231F20"/>
        </w:rPr>
        <w:t>en</w:t>
      </w:r>
      <w:r>
        <w:rPr>
          <w:color w:val="231F20"/>
          <w:spacing w:val="-17"/>
        </w:rPr>
        <w:t> </w:t>
      </w:r>
      <w:r>
        <w:rPr>
          <w:color w:val="231F20"/>
        </w:rPr>
        <w:t>Nogal</w:t>
      </w:r>
      <w:r>
        <w:rPr>
          <w:color w:val="231F20"/>
          <w:spacing w:val="-17"/>
        </w:rPr>
        <w:t> </w:t>
      </w:r>
      <w:r>
        <w:rPr>
          <w:color w:val="231F20"/>
        </w:rPr>
        <w:t>el</w:t>
      </w:r>
      <w:r>
        <w:rPr>
          <w:color w:val="231F20"/>
          <w:spacing w:val="-17"/>
        </w:rPr>
        <w:t> </w:t>
      </w:r>
      <w:r>
        <w:rPr>
          <w:color w:val="231F20"/>
        </w:rPr>
        <w:t>principal costo lo representa la preparación del suelo, ya que los $5,350 de ese rubro representaron 32.48%, seguido</w:t>
      </w:r>
      <w:r>
        <w:rPr>
          <w:color w:val="231F20"/>
          <w:spacing w:val="-17"/>
        </w:rPr>
        <w:t> </w:t>
      </w:r>
      <w:r>
        <w:rPr>
          <w:color w:val="231F20"/>
        </w:rPr>
        <w:t>del</w:t>
      </w:r>
      <w:r>
        <w:rPr>
          <w:color w:val="231F20"/>
          <w:spacing w:val="-17"/>
        </w:rPr>
        <w:t> </w:t>
      </w:r>
      <w:r>
        <w:rPr>
          <w:color w:val="231F20"/>
        </w:rPr>
        <w:t>costo</w:t>
      </w:r>
      <w:r>
        <w:rPr>
          <w:color w:val="231F20"/>
          <w:spacing w:val="-17"/>
        </w:rPr>
        <w:t> </w:t>
      </w:r>
      <w:r>
        <w:rPr>
          <w:color w:val="231F20"/>
        </w:rPr>
        <w:t>del</w:t>
      </w:r>
      <w:r>
        <w:rPr>
          <w:color w:val="231F20"/>
          <w:spacing w:val="-17"/>
        </w:rPr>
        <w:t> </w:t>
      </w:r>
      <w:r>
        <w:rPr>
          <w:color w:val="231F20"/>
        </w:rPr>
        <w:t>agua,</w:t>
      </w:r>
      <w:r>
        <w:rPr>
          <w:color w:val="231F20"/>
          <w:spacing w:val="-17"/>
        </w:rPr>
        <w:t> </w:t>
      </w:r>
      <w:r>
        <w:rPr>
          <w:color w:val="231F20"/>
        </w:rPr>
        <w:t>cuyos</w:t>
      </w:r>
      <w:r>
        <w:rPr>
          <w:color w:val="231F20"/>
          <w:spacing w:val="-17"/>
        </w:rPr>
        <w:t> </w:t>
      </w:r>
      <w:r>
        <w:rPr>
          <w:color w:val="231F20"/>
        </w:rPr>
        <w:t>$3,968</w:t>
      </w:r>
      <w:r>
        <w:rPr>
          <w:color w:val="231F20"/>
          <w:spacing w:val="-17"/>
        </w:rPr>
        <w:t> </w:t>
      </w:r>
      <w:r>
        <w:rPr>
          <w:color w:val="231F20"/>
        </w:rPr>
        <w:t>representaron</w:t>
      </w:r>
      <w:r>
        <w:rPr>
          <w:color w:val="231F20"/>
          <w:spacing w:val="-17"/>
        </w:rPr>
        <w:t> </w:t>
      </w:r>
      <w:r>
        <w:rPr>
          <w:color w:val="231F20"/>
        </w:rPr>
        <w:t>24.09%,</w:t>
      </w:r>
      <w:r>
        <w:rPr>
          <w:color w:val="231F20"/>
          <w:spacing w:val="-17"/>
        </w:rPr>
        <w:t> </w:t>
      </w:r>
      <w:r>
        <w:rPr>
          <w:color w:val="231F20"/>
        </w:rPr>
        <w:t>mientras</w:t>
      </w:r>
      <w:r>
        <w:rPr>
          <w:color w:val="231F20"/>
          <w:spacing w:val="-17"/>
        </w:rPr>
        <w:t> </w:t>
      </w:r>
      <w:r>
        <w:rPr>
          <w:color w:val="231F20"/>
        </w:rPr>
        <w:t>que</w:t>
      </w:r>
      <w:r>
        <w:rPr>
          <w:color w:val="231F20"/>
          <w:spacing w:val="-17"/>
        </w:rPr>
        <w:t> </w:t>
      </w:r>
      <w:r>
        <w:rPr>
          <w:color w:val="231F20"/>
        </w:rPr>
        <w:t>este</w:t>
      </w:r>
      <w:r>
        <w:rPr>
          <w:color w:val="231F20"/>
          <w:spacing w:val="-17"/>
        </w:rPr>
        <w:t> </w:t>
      </w:r>
      <w:r>
        <w:rPr>
          <w:color w:val="231F20"/>
        </w:rPr>
        <w:t>último</w:t>
      </w:r>
      <w:r>
        <w:rPr>
          <w:color w:val="231F20"/>
          <w:spacing w:val="-17"/>
        </w:rPr>
        <w:t> </w:t>
      </w:r>
      <w:r>
        <w:rPr>
          <w:color w:val="231F20"/>
        </w:rPr>
        <w:t>rubro</w:t>
      </w:r>
      <w:r>
        <w:rPr>
          <w:color w:val="231F20"/>
          <w:spacing w:val="-17"/>
        </w:rPr>
        <w:t> </w:t>
      </w:r>
      <w:r>
        <w:rPr>
          <w:color w:val="231F20"/>
        </w:rPr>
        <w:t>repre- sentó</w:t>
      </w:r>
      <w:r>
        <w:rPr>
          <w:color w:val="231F20"/>
          <w:spacing w:val="-9"/>
        </w:rPr>
        <w:t> </w:t>
      </w:r>
      <w:r>
        <w:rPr>
          <w:color w:val="231F20"/>
        </w:rPr>
        <w:t>en</w:t>
      </w:r>
      <w:r>
        <w:rPr>
          <w:color w:val="231F20"/>
          <w:spacing w:val="-9"/>
        </w:rPr>
        <w:t> </w:t>
      </w:r>
      <w:r>
        <w:rPr>
          <w:color w:val="231F20"/>
        </w:rPr>
        <w:t>Chile</w:t>
      </w:r>
      <w:r>
        <w:rPr>
          <w:color w:val="231F20"/>
          <w:spacing w:val="-9"/>
        </w:rPr>
        <w:t> </w:t>
      </w:r>
      <w:r>
        <w:rPr>
          <w:color w:val="231F20"/>
        </w:rPr>
        <w:t>BT</w:t>
      </w:r>
      <w:r>
        <w:rPr>
          <w:color w:val="231F20"/>
          <w:spacing w:val="-12"/>
        </w:rPr>
        <w:t> </w:t>
      </w:r>
      <w:r>
        <w:rPr>
          <w:color w:val="231F20"/>
        </w:rPr>
        <w:t>solamente</w:t>
      </w:r>
      <w:r>
        <w:rPr>
          <w:color w:val="231F20"/>
          <w:spacing w:val="-9"/>
        </w:rPr>
        <w:t> </w:t>
      </w:r>
      <w:r>
        <w:rPr>
          <w:color w:val="231F20"/>
        </w:rPr>
        <w:t>el</w:t>
      </w:r>
      <w:r>
        <w:rPr>
          <w:color w:val="231F20"/>
          <w:spacing w:val="-9"/>
        </w:rPr>
        <w:t> </w:t>
      </w:r>
      <w:r>
        <w:rPr>
          <w:color w:val="231F20"/>
          <w:spacing w:val="-3"/>
        </w:rPr>
        <w:t>11.02%</w:t>
      </w:r>
      <w:r>
        <w:rPr>
          <w:color w:val="231F20"/>
          <w:spacing w:val="-9"/>
        </w:rPr>
        <w:t> </w:t>
      </w:r>
      <w:r>
        <w:rPr>
          <w:color w:val="231F20"/>
        </w:rPr>
        <w:t>(igual</w:t>
      </w:r>
      <w:r>
        <w:rPr>
          <w:color w:val="231F20"/>
          <w:spacing w:val="-9"/>
        </w:rPr>
        <w:t> </w:t>
      </w:r>
      <w:r>
        <w:rPr>
          <w:color w:val="231F20"/>
        </w:rPr>
        <w:t>a</w:t>
      </w:r>
      <w:r>
        <w:rPr>
          <w:color w:val="231F20"/>
          <w:spacing w:val="-9"/>
        </w:rPr>
        <w:t> </w:t>
      </w:r>
      <w:r>
        <w:rPr>
          <w:color w:val="231F20"/>
          <w:spacing w:val="-3"/>
        </w:rPr>
        <w:t>$2,911</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$26,395/ha</w:t>
      </w:r>
      <w:r>
        <w:rPr>
          <w:color w:val="231F20"/>
          <w:spacing w:val="-9"/>
        </w:rPr>
        <w:t> </w:t>
      </w:r>
      <w:r>
        <w:rPr>
          <w:color w:val="231F20"/>
        </w:rPr>
        <w:t>en</w:t>
      </w:r>
      <w:r>
        <w:rPr>
          <w:color w:val="231F20"/>
          <w:spacing w:val="-9"/>
        </w:rPr>
        <w:t> </w:t>
      </w:r>
      <w:r>
        <w:rPr>
          <w:color w:val="231F20"/>
        </w:rPr>
        <w:t>total)</w:t>
      </w:r>
      <w:r>
        <w:rPr>
          <w:color w:val="231F20"/>
          <w:spacing w:val="-9"/>
        </w:rPr>
        <w:t> </w:t>
      </w:r>
      <w:r>
        <w:rPr>
          <w:color w:val="231F20"/>
        </w:rPr>
        <w:t>(Cuadro</w:t>
      </w:r>
      <w:r>
        <w:rPr>
          <w:color w:val="231F20"/>
          <w:spacing w:val="-9"/>
        </w:rPr>
        <w:t> </w:t>
      </w:r>
      <w:r>
        <w:rPr>
          <w:color w:val="231F20"/>
          <w:spacing w:val="-2"/>
        </w:rPr>
        <w:t>2).</w:t>
      </w:r>
    </w:p>
    <w:p>
      <w:pPr>
        <w:pStyle w:val="BodyText"/>
        <w:spacing w:before="4"/>
      </w:pPr>
    </w:p>
    <w:p>
      <w:pPr>
        <w:spacing w:line="249" w:lineRule="auto" w:before="0" w:after="33"/>
        <w:ind w:left="1268" w:right="1266" w:firstLine="0"/>
        <w:jc w:val="center"/>
        <w:rPr>
          <w:b/>
          <w:sz w:val="18"/>
        </w:rPr>
      </w:pPr>
      <w:r>
        <w:rPr>
          <w:b/>
          <w:color w:val="010202"/>
          <w:sz w:val="18"/>
        </w:rPr>
        <w:t>Cuadro 2. Costo por hectárea en los cultivos de Chile (</w:t>
      </w:r>
      <w:r>
        <w:rPr>
          <w:b/>
          <w:i/>
          <w:color w:val="010202"/>
          <w:sz w:val="18"/>
        </w:rPr>
        <w:t>Capsicum annum</w:t>
      </w:r>
      <w:r>
        <w:rPr>
          <w:b/>
          <w:color w:val="010202"/>
          <w:sz w:val="18"/>
        </w:rPr>
        <w:t>) a cielo abierto y Nogal pecanero (</w:t>
      </w:r>
      <w:r>
        <w:rPr>
          <w:b/>
          <w:i/>
          <w:color w:val="010202"/>
          <w:sz w:val="18"/>
        </w:rPr>
        <w:t>Carya illinoensis</w:t>
      </w:r>
      <w:r>
        <w:rPr>
          <w:b/>
          <w:color w:val="010202"/>
          <w:sz w:val="18"/>
        </w:rPr>
        <w:t>) irrigados por bombeo en La Comarca Lagunera en 2009. Pesos nominales</w:t>
      </w:r>
    </w:p>
    <w:tbl>
      <w:tblPr>
        <w:tblW w:w="0" w:type="auto"/>
        <w:jc w:val="left"/>
        <w:tblInd w:w="1270"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top w:w="0" w:type="dxa"/>
          <w:left w:w="0" w:type="dxa"/>
          <w:bottom w:w="0" w:type="dxa"/>
          <w:right w:w="0" w:type="dxa"/>
        </w:tblCellMar>
        <w:tblLook w:val="01E0"/>
      </w:tblPr>
      <w:tblGrid>
        <w:gridCol w:w="2786"/>
        <w:gridCol w:w="2786"/>
        <w:gridCol w:w="2786"/>
      </w:tblGrid>
      <w:tr>
        <w:trPr>
          <w:trHeight w:val="282" w:hRule="exact"/>
        </w:trPr>
        <w:tc>
          <w:tcPr>
            <w:tcW w:w="2786" w:type="dxa"/>
          </w:tcPr>
          <w:p>
            <w:pPr>
              <w:pStyle w:val="TableParagraph"/>
              <w:spacing w:before="24"/>
              <w:ind w:left="121" w:right="121"/>
              <w:jc w:val="center"/>
              <w:rPr>
                <w:b/>
                <w:sz w:val="18"/>
              </w:rPr>
            </w:pPr>
            <w:r>
              <w:rPr>
                <w:b/>
                <w:color w:val="231F20"/>
                <w:sz w:val="18"/>
              </w:rPr>
              <w:t>Concepto</w:t>
            </w:r>
          </w:p>
        </w:tc>
        <w:tc>
          <w:tcPr>
            <w:tcW w:w="2786" w:type="dxa"/>
          </w:tcPr>
          <w:p>
            <w:pPr>
              <w:pStyle w:val="TableParagraph"/>
              <w:spacing w:before="24"/>
              <w:ind w:left="121" w:right="121"/>
              <w:jc w:val="center"/>
              <w:rPr>
                <w:b/>
                <w:sz w:val="18"/>
              </w:rPr>
            </w:pPr>
            <w:r>
              <w:rPr>
                <w:b/>
                <w:color w:val="231F20"/>
                <w:sz w:val="18"/>
              </w:rPr>
              <w:t>Chile verde</w:t>
            </w:r>
          </w:p>
        </w:tc>
        <w:tc>
          <w:tcPr>
            <w:tcW w:w="2786" w:type="dxa"/>
          </w:tcPr>
          <w:p>
            <w:pPr>
              <w:pStyle w:val="TableParagraph"/>
              <w:spacing w:before="24"/>
              <w:ind w:left="1017"/>
              <w:rPr>
                <w:b/>
                <w:sz w:val="18"/>
              </w:rPr>
            </w:pPr>
            <w:r>
              <w:rPr>
                <w:b/>
                <w:color w:val="231F20"/>
                <w:sz w:val="18"/>
              </w:rPr>
              <w:t>Nogal BT</w:t>
            </w:r>
          </w:p>
        </w:tc>
      </w:tr>
      <w:tr>
        <w:trPr>
          <w:trHeight w:val="285" w:hRule="exact"/>
        </w:trPr>
        <w:tc>
          <w:tcPr>
            <w:tcW w:w="2786" w:type="dxa"/>
          </w:tcPr>
          <w:p>
            <w:pPr>
              <w:pStyle w:val="TableParagraph"/>
              <w:ind w:left="121" w:right="121"/>
              <w:jc w:val="center"/>
              <w:rPr>
                <w:sz w:val="18"/>
              </w:rPr>
            </w:pPr>
            <w:r>
              <w:rPr>
                <w:color w:val="231F20"/>
                <w:sz w:val="18"/>
              </w:rPr>
              <w:t>Preparación del suelo</w:t>
            </w:r>
          </w:p>
        </w:tc>
        <w:tc>
          <w:tcPr>
            <w:tcW w:w="2786" w:type="dxa"/>
          </w:tcPr>
          <w:p>
            <w:pPr>
              <w:pStyle w:val="TableParagraph"/>
              <w:ind w:left="121" w:right="121"/>
              <w:jc w:val="center"/>
              <w:rPr>
                <w:sz w:val="18"/>
              </w:rPr>
            </w:pPr>
            <w:r>
              <w:rPr>
                <w:color w:val="231F20"/>
                <w:sz w:val="18"/>
              </w:rPr>
              <w:t>2050</w:t>
            </w:r>
          </w:p>
        </w:tc>
        <w:tc>
          <w:tcPr>
            <w:tcW w:w="2786" w:type="dxa"/>
          </w:tcPr>
          <w:p>
            <w:pPr>
              <w:pStyle w:val="TableParagraph"/>
              <w:ind w:left="121" w:right="121"/>
              <w:jc w:val="center"/>
              <w:rPr>
                <w:sz w:val="18"/>
              </w:rPr>
            </w:pPr>
            <w:r>
              <w:rPr>
                <w:color w:val="231F20"/>
                <w:sz w:val="18"/>
              </w:rPr>
              <w:t>5350</w:t>
            </w:r>
          </w:p>
        </w:tc>
      </w:tr>
      <w:tr>
        <w:trPr>
          <w:trHeight w:val="285" w:hRule="exact"/>
        </w:trPr>
        <w:tc>
          <w:tcPr>
            <w:tcW w:w="2786" w:type="dxa"/>
          </w:tcPr>
          <w:p>
            <w:pPr>
              <w:pStyle w:val="TableParagraph"/>
              <w:ind w:left="121" w:right="121"/>
              <w:jc w:val="center"/>
              <w:rPr>
                <w:sz w:val="18"/>
              </w:rPr>
            </w:pPr>
            <w:r>
              <w:rPr>
                <w:color w:val="231F20"/>
                <w:sz w:val="18"/>
              </w:rPr>
              <w:t>Siembra y fertilización</w:t>
            </w:r>
          </w:p>
        </w:tc>
        <w:tc>
          <w:tcPr>
            <w:tcW w:w="2786" w:type="dxa"/>
          </w:tcPr>
          <w:p>
            <w:pPr>
              <w:pStyle w:val="TableParagraph"/>
              <w:ind w:left="121" w:right="121"/>
              <w:jc w:val="center"/>
              <w:rPr>
                <w:sz w:val="18"/>
              </w:rPr>
            </w:pPr>
            <w:r>
              <w:rPr>
                <w:color w:val="231F20"/>
                <w:sz w:val="18"/>
              </w:rPr>
              <w:t>9192.5</w:t>
            </w:r>
          </w:p>
        </w:tc>
        <w:tc>
          <w:tcPr>
            <w:tcW w:w="2786" w:type="dxa"/>
          </w:tcPr>
          <w:p>
            <w:pPr>
              <w:pStyle w:val="TableParagraph"/>
              <w:ind w:left="1135"/>
              <w:rPr>
                <w:sz w:val="18"/>
              </w:rPr>
            </w:pPr>
            <w:r>
              <w:rPr>
                <w:color w:val="231F20"/>
                <w:sz w:val="18"/>
              </w:rPr>
              <w:t>1762.5</w:t>
            </w:r>
          </w:p>
        </w:tc>
      </w:tr>
      <w:tr>
        <w:trPr>
          <w:trHeight w:val="334" w:hRule="exact"/>
        </w:trPr>
        <w:tc>
          <w:tcPr>
            <w:tcW w:w="2786" w:type="dxa"/>
          </w:tcPr>
          <w:p>
            <w:pPr>
              <w:pStyle w:val="TableParagraph"/>
              <w:ind w:left="121" w:right="121"/>
              <w:jc w:val="center"/>
              <w:rPr>
                <w:sz w:val="18"/>
              </w:rPr>
            </w:pPr>
            <w:r>
              <w:rPr>
                <w:color w:val="231F20"/>
                <w:sz w:val="18"/>
              </w:rPr>
              <w:t>Labores de cultivo</w:t>
            </w:r>
          </w:p>
        </w:tc>
        <w:tc>
          <w:tcPr>
            <w:tcW w:w="2786" w:type="dxa"/>
          </w:tcPr>
          <w:p>
            <w:pPr>
              <w:pStyle w:val="TableParagraph"/>
              <w:ind w:left="121" w:right="121"/>
              <w:jc w:val="center"/>
              <w:rPr>
                <w:sz w:val="18"/>
              </w:rPr>
            </w:pPr>
            <w:r>
              <w:rPr>
                <w:color w:val="231F20"/>
                <w:sz w:val="18"/>
              </w:rPr>
              <w:t>4447.3</w:t>
            </w:r>
          </w:p>
        </w:tc>
        <w:tc>
          <w:tcPr>
            <w:tcW w:w="2786" w:type="dxa"/>
          </w:tcPr>
          <w:p>
            <w:pPr/>
          </w:p>
        </w:tc>
      </w:tr>
      <w:tr>
        <w:trPr>
          <w:trHeight w:val="285" w:hRule="exact"/>
        </w:trPr>
        <w:tc>
          <w:tcPr>
            <w:tcW w:w="2786" w:type="dxa"/>
          </w:tcPr>
          <w:p>
            <w:pPr>
              <w:pStyle w:val="TableParagraph"/>
              <w:ind w:left="121" w:right="121"/>
              <w:jc w:val="center"/>
              <w:rPr>
                <w:sz w:val="18"/>
              </w:rPr>
            </w:pPr>
            <w:r>
              <w:rPr>
                <w:color w:val="231F20"/>
                <w:sz w:val="18"/>
              </w:rPr>
              <w:t>Riego</w:t>
            </w:r>
          </w:p>
        </w:tc>
        <w:tc>
          <w:tcPr>
            <w:tcW w:w="2786" w:type="dxa"/>
          </w:tcPr>
          <w:p>
            <w:pPr>
              <w:pStyle w:val="TableParagraph"/>
              <w:ind w:left="121" w:right="121"/>
              <w:jc w:val="center"/>
              <w:rPr>
                <w:sz w:val="18"/>
              </w:rPr>
            </w:pPr>
            <w:r>
              <w:rPr>
                <w:color w:val="231F20"/>
                <w:sz w:val="18"/>
              </w:rPr>
              <w:t>2911</w:t>
            </w:r>
          </w:p>
        </w:tc>
        <w:tc>
          <w:tcPr>
            <w:tcW w:w="2786" w:type="dxa"/>
          </w:tcPr>
          <w:p>
            <w:pPr>
              <w:pStyle w:val="TableParagraph"/>
              <w:ind w:left="121" w:right="121"/>
              <w:jc w:val="center"/>
              <w:rPr>
                <w:sz w:val="18"/>
              </w:rPr>
            </w:pPr>
            <w:r>
              <w:rPr>
                <w:color w:val="231F20"/>
                <w:sz w:val="18"/>
              </w:rPr>
              <w:t>3968</w:t>
            </w:r>
          </w:p>
        </w:tc>
      </w:tr>
      <w:tr>
        <w:trPr>
          <w:trHeight w:val="285" w:hRule="exact"/>
        </w:trPr>
        <w:tc>
          <w:tcPr>
            <w:tcW w:w="2786" w:type="dxa"/>
          </w:tcPr>
          <w:p>
            <w:pPr>
              <w:pStyle w:val="TableParagraph"/>
              <w:ind w:left="121" w:right="121"/>
              <w:jc w:val="center"/>
              <w:rPr>
                <w:sz w:val="18"/>
              </w:rPr>
            </w:pPr>
            <w:r>
              <w:rPr>
                <w:color w:val="231F20"/>
                <w:sz w:val="18"/>
              </w:rPr>
              <w:t>Fitosanidad</w:t>
            </w:r>
          </w:p>
        </w:tc>
        <w:tc>
          <w:tcPr>
            <w:tcW w:w="2786" w:type="dxa"/>
          </w:tcPr>
          <w:p>
            <w:pPr>
              <w:pStyle w:val="TableParagraph"/>
              <w:ind w:left="121" w:right="121"/>
              <w:jc w:val="center"/>
              <w:rPr>
                <w:sz w:val="18"/>
              </w:rPr>
            </w:pPr>
            <w:r>
              <w:rPr>
                <w:color w:val="231F20"/>
                <w:sz w:val="18"/>
              </w:rPr>
              <w:t>875.5</w:t>
            </w:r>
          </w:p>
        </w:tc>
        <w:tc>
          <w:tcPr>
            <w:tcW w:w="2786" w:type="dxa"/>
          </w:tcPr>
          <w:p>
            <w:pPr>
              <w:pStyle w:val="TableParagraph"/>
              <w:ind w:left="121" w:right="121"/>
              <w:jc w:val="center"/>
              <w:rPr>
                <w:sz w:val="18"/>
              </w:rPr>
            </w:pPr>
            <w:r>
              <w:rPr>
                <w:color w:val="231F20"/>
                <w:sz w:val="18"/>
              </w:rPr>
              <w:t>1764</w:t>
            </w:r>
          </w:p>
        </w:tc>
      </w:tr>
      <w:tr>
        <w:trPr>
          <w:trHeight w:val="285" w:hRule="exact"/>
        </w:trPr>
        <w:tc>
          <w:tcPr>
            <w:tcW w:w="2786" w:type="dxa"/>
          </w:tcPr>
          <w:p>
            <w:pPr>
              <w:pStyle w:val="TableParagraph"/>
              <w:ind w:left="121" w:right="121"/>
              <w:jc w:val="center"/>
              <w:rPr>
                <w:sz w:val="18"/>
              </w:rPr>
            </w:pPr>
            <w:r>
              <w:rPr>
                <w:color w:val="231F20"/>
                <w:sz w:val="18"/>
              </w:rPr>
              <w:t>Cosecha</w:t>
            </w:r>
          </w:p>
        </w:tc>
        <w:tc>
          <w:tcPr>
            <w:tcW w:w="2786" w:type="dxa"/>
          </w:tcPr>
          <w:p>
            <w:pPr>
              <w:pStyle w:val="TableParagraph"/>
              <w:ind w:left="121" w:right="121"/>
              <w:jc w:val="center"/>
              <w:rPr>
                <w:sz w:val="18"/>
              </w:rPr>
            </w:pPr>
            <w:r>
              <w:rPr>
                <w:color w:val="231F20"/>
                <w:sz w:val="18"/>
              </w:rPr>
              <w:t>4200</w:t>
            </w:r>
          </w:p>
        </w:tc>
        <w:tc>
          <w:tcPr>
            <w:tcW w:w="2786" w:type="dxa"/>
          </w:tcPr>
          <w:p>
            <w:pPr>
              <w:pStyle w:val="TableParagraph"/>
              <w:ind w:left="121" w:right="121"/>
              <w:jc w:val="center"/>
              <w:rPr>
                <w:sz w:val="18"/>
              </w:rPr>
            </w:pPr>
            <w:r>
              <w:rPr>
                <w:color w:val="231F20"/>
                <w:sz w:val="18"/>
              </w:rPr>
              <w:t>1575</w:t>
            </w:r>
          </w:p>
        </w:tc>
      </w:tr>
      <w:tr>
        <w:trPr>
          <w:trHeight w:val="285" w:hRule="exact"/>
        </w:trPr>
        <w:tc>
          <w:tcPr>
            <w:tcW w:w="2786" w:type="dxa"/>
          </w:tcPr>
          <w:p>
            <w:pPr>
              <w:pStyle w:val="TableParagraph"/>
              <w:ind w:left="117" w:right="121"/>
              <w:jc w:val="center"/>
              <w:rPr>
                <w:sz w:val="18"/>
              </w:rPr>
            </w:pPr>
            <w:r>
              <w:rPr>
                <w:color w:val="231F20"/>
                <w:sz w:val="18"/>
              </w:rPr>
              <w:t>Diversos</w:t>
            </w:r>
          </w:p>
        </w:tc>
        <w:tc>
          <w:tcPr>
            <w:tcW w:w="2786" w:type="dxa"/>
          </w:tcPr>
          <w:p>
            <w:pPr>
              <w:pStyle w:val="TableParagraph"/>
              <w:ind w:left="121" w:right="121"/>
              <w:jc w:val="center"/>
              <w:rPr>
                <w:sz w:val="18"/>
              </w:rPr>
            </w:pPr>
            <w:r>
              <w:rPr>
                <w:color w:val="231F20"/>
                <w:sz w:val="18"/>
              </w:rPr>
              <w:t>2718.89</w:t>
            </w:r>
          </w:p>
        </w:tc>
        <w:tc>
          <w:tcPr>
            <w:tcW w:w="2786" w:type="dxa"/>
          </w:tcPr>
          <w:p>
            <w:pPr>
              <w:pStyle w:val="TableParagraph"/>
              <w:ind w:left="1135"/>
              <w:rPr>
                <w:sz w:val="18"/>
              </w:rPr>
            </w:pPr>
            <w:r>
              <w:rPr>
                <w:color w:val="231F20"/>
                <w:sz w:val="18"/>
              </w:rPr>
              <w:t>2021.6</w:t>
            </w:r>
          </w:p>
        </w:tc>
      </w:tr>
      <w:tr>
        <w:trPr>
          <w:trHeight w:val="285" w:hRule="exact"/>
        </w:trPr>
        <w:tc>
          <w:tcPr>
            <w:tcW w:w="2786" w:type="dxa"/>
          </w:tcPr>
          <w:p>
            <w:pPr>
              <w:pStyle w:val="TableParagraph"/>
              <w:ind w:left="121" w:right="121"/>
              <w:jc w:val="center"/>
              <w:rPr>
                <w:sz w:val="18"/>
              </w:rPr>
            </w:pPr>
            <w:r>
              <w:rPr>
                <w:color w:val="231F20"/>
                <w:sz w:val="18"/>
              </w:rPr>
              <w:t>Costo total por hectárea</w:t>
            </w:r>
          </w:p>
        </w:tc>
        <w:tc>
          <w:tcPr>
            <w:tcW w:w="2786" w:type="dxa"/>
          </w:tcPr>
          <w:p>
            <w:pPr>
              <w:pStyle w:val="TableParagraph"/>
              <w:ind w:left="121" w:right="121"/>
              <w:jc w:val="center"/>
              <w:rPr>
                <w:sz w:val="18"/>
              </w:rPr>
            </w:pPr>
            <w:r>
              <w:rPr>
                <w:color w:val="231F20"/>
                <w:sz w:val="18"/>
              </w:rPr>
              <w:t>26,395</w:t>
            </w:r>
          </w:p>
        </w:tc>
        <w:tc>
          <w:tcPr>
            <w:tcW w:w="2786" w:type="dxa"/>
          </w:tcPr>
          <w:p>
            <w:pPr>
              <w:pStyle w:val="TableParagraph"/>
              <w:ind w:left="1090"/>
              <w:rPr>
                <w:sz w:val="18"/>
              </w:rPr>
            </w:pPr>
            <w:r>
              <w:rPr>
                <w:color w:val="231F20"/>
                <w:sz w:val="18"/>
              </w:rPr>
              <w:t>16471.1</w:t>
            </w:r>
          </w:p>
        </w:tc>
      </w:tr>
      <w:tr>
        <w:trPr>
          <w:trHeight w:val="285" w:hRule="exact"/>
        </w:trPr>
        <w:tc>
          <w:tcPr>
            <w:tcW w:w="2786" w:type="dxa"/>
          </w:tcPr>
          <w:p>
            <w:pPr>
              <w:pStyle w:val="TableParagraph"/>
              <w:ind w:left="121" w:right="121"/>
              <w:jc w:val="center"/>
              <w:rPr>
                <w:sz w:val="18"/>
              </w:rPr>
            </w:pPr>
            <w:r>
              <w:rPr>
                <w:color w:val="231F20"/>
                <w:sz w:val="18"/>
              </w:rPr>
              <w:t>Precio del m</w:t>
            </w:r>
            <w:r>
              <w:rPr>
                <w:color w:val="231F20"/>
                <w:position w:val="6"/>
                <w:sz w:val="10"/>
              </w:rPr>
              <w:t>3  </w:t>
            </w:r>
            <w:r>
              <w:rPr>
                <w:color w:val="231F20"/>
                <w:sz w:val="18"/>
              </w:rPr>
              <w:t>de agua al productor</w:t>
            </w:r>
          </w:p>
        </w:tc>
        <w:tc>
          <w:tcPr>
            <w:tcW w:w="2786" w:type="dxa"/>
          </w:tcPr>
          <w:p>
            <w:pPr>
              <w:pStyle w:val="TableParagraph"/>
              <w:ind w:left="121" w:right="121"/>
              <w:jc w:val="center"/>
              <w:rPr>
                <w:sz w:val="18"/>
              </w:rPr>
            </w:pPr>
            <w:r>
              <w:rPr>
                <w:color w:val="231F20"/>
                <w:sz w:val="18"/>
              </w:rPr>
              <w:t>0.07</w:t>
            </w:r>
          </w:p>
        </w:tc>
        <w:tc>
          <w:tcPr>
            <w:tcW w:w="2786" w:type="dxa"/>
          </w:tcPr>
          <w:p>
            <w:pPr>
              <w:pStyle w:val="TableParagraph"/>
              <w:ind w:left="121" w:right="121"/>
              <w:jc w:val="center"/>
              <w:rPr>
                <w:sz w:val="18"/>
              </w:rPr>
            </w:pPr>
            <w:r>
              <w:rPr>
                <w:color w:val="231F20"/>
                <w:sz w:val="18"/>
              </w:rPr>
              <w:t>0.248</w:t>
            </w:r>
          </w:p>
        </w:tc>
      </w:tr>
      <w:tr>
        <w:trPr>
          <w:trHeight w:val="285" w:hRule="exact"/>
        </w:trPr>
        <w:tc>
          <w:tcPr>
            <w:tcW w:w="2786" w:type="dxa"/>
          </w:tcPr>
          <w:p>
            <w:pPr>
              <w:pStyle w:val="TableParagraph"/>
              <w:ind w:left="121" w:right="121"/>
              <w:jc w:val="center"/>
              <w:rPr>
                <w:sz w:val="18"/>
              </w:rPr>
            </w:pPr>
            <w:r>
              <w:rPr>
                <w:color w:val="231F20"/>
                <w:sz w:val="18"/>
              </w:rPr>
              <w:t>Número de jornales</w:t>
            </w:r>
          </w:p>
        </w:tc>
        <w:tc>
          <w:tcPr>
            <w:tcW w:w="2786" w:type="dxa"/>
          </w:tcPr>
          <w:p>
            <w:pPr>
              <w:pStyle w:val="TableParagraph"/>
              <w:ind w:left="121" w:right="121"/>
              <w:jc w:val="center"/>
              <w:rPr>
                <w:sz w:val="18"/>
              </w:rPr>
            </w:pPr>
            <w:r>
              <w:rPr>
                <w:color w:val="231F20"/>
                <w:sz w:val="18"/>
              </w:rPr>
              <w:t>168.85</w:t>
            </w:r>
          </w:p>
        </w:tc>
        <w:tc>
          <w:tcPr>
            <w:tcW w:w="2786" w:type="dxa"/>
          </w:tcPr>
          <w:p>
            <w:pPr>
              <w:pStyle w:val="TableParagraph"/>
              <w:ind w:left="121" w:right="121"/>
              <w:jc w:val="center"/>
              <w:rPr>
                <w:sz w:val="18"/>
              </w:rPr>
            </w:pPr>
            <w:r>
              <w:rPr>
                <w:color w:val="231F20"/>
                <w:sz w:val="18"/>
              </w:rPr>
              <w:t>59.27</w:t>
            </w:r>
          </w:p>
        </w:tc>
      </w:tr>
    </w:tbl>
    <w:p>
      <w:pPr>
        <w:spacing w:line="307" w:lineRule="auto" w:before="11"/>
        <w:ind w:left="1270" w:right="1268" w:firstLine="0"/>
        <w:jc w:val="both"/>
        <w:rPr>
          <w:b/>
          <w:i/>
          <w:sz w:val="17"/>
        </w:rPr>
      </w:pPr>
      <w:r>
        <w:rPr>
          <w:b/>
          <w:i/>
          <w:color w:val="231F20"/>
          <w:sz w:val="17"/>
        </w:rPr>
        <w:t>Fuente:</w:t>
      </w:r>
      <w:r>
        <w:rPr>
          <w:b/>
          <w:i/>
          <w:color w:val="231F20"/>
          <w:spacing w:val="-12"/>
          <w:sz w:val="17"/>
        </w:rPr>
        <w:t> </w:t>
      </w:r>
      <w:r>
        <w:rPr>
          <w:b/>
          <w:i/>
          <w:color w:val="231F20"/>
          <w:sz w:val="17"/>
        </w:rPr>
        <w:t>Elaboración</w:t>
      </w:r>
      <w:r>
        <w:rPr>
          <w:b/>
          <w:i/>
          <w:color w:val="231F20"/>
          <w:spacing w:val="-12"/>
          <w:sz w:val="17"/>
        </w:rPr>
        <w:t> </w:t>
      </w:r>
      <w:r>
        <w:rPr>
          <w:b/>
          <w:i/>
          <w:color w:val="231F20"/>
          <w:sz w:val="17"/>
        </w:rPr>
        <w:t>propia,</w:t>
      </w:r>
      <w:r>
        <w:rPr>
          <w:b/>
          <w:i/>
          <w:color w:val="231F20"/>
          <w:spacing w:val="-12"/>
          <w:sz w:val="17"/>
        </w:rPr>
        <w:t> </w:t>
      </w:r>
      <w:r>
        <w:rPr>
          <w:b/>
          <w:i/>
          <w:color w:val="231F20"/>
          <w:sz w:val="17"/>
        </w:rPr>
        <w:t>con</w:t>
      </w:r>
      <w:r>
        <w:rPr>
          <w:b/>
          <w:i/>
          <w:color w:val="231F20"/>
          <w:spacing w:val="-12"/>
          <w:sz w:val="17"/>
        </w:rPr>
        <w:t> </w:t>
      </w:r>
      <w:r>
        <w:rPr>
          <w:b/>
          <w:i/>
          <w:color w:val="231F20"/>
          <w:sz w:val="17"/>
        </w:rPr>
        <w:t>base</w:t>
      </w:r>
      <w:r>
        <w:rPr>
          <w:b/>
          <w:i/>
          <w:color w:val="231F20"/>
          <w:spacing w:val="-12"/>
          <w:sz w:val="17"/>
        </w:rPr>
        <w:t> </w:t>
      </w:r>
      <w:r>
        <w:rPr>
          <w:b/>
          <w:i/>
          <w:color w:val="231F20"/>
          <w:sz w:val="17"/>
        </w:rPr>
        <w:t>en</w:t>
      </w:r>
      <w:r>
        <w:rPr>
          <w:b/>
          <w:i/>
          <w:color w:val="231F20"/>
          <w:spacing w:val="-12"/>
          <w:sz w:val="17"/>
        </w:rPr>
        <w:t> </w:t>
      </w:r>
      <w:r>
        <w:rPr>
          <w:b/>
          <w:i/>
          <w:color w:val="231F20"/>
          <w:sz w:val="17"/>
        </w:rPr>
        <w:t>el</w:t>
      </w:r>
      <w:r>
        <w:rPr>
          <w:b/>
          <w:i/>
          <w:color w:val="231F20"/>
          <w:spacing w:val="-17"/>
          <w:sz w:val="17"/>
        </w:rPr>
        <w:t> </w:t>
      </w:r>
      <w:r>
        <w:rPr>
          <w:b/>
          <w:i/>
          <w:color w:val="231F20"/>
          <w:sz w:val="17"/>
        </w:rPr>
        <w:t>Anuario</w:t>
      </w:r>
      <w:r>
        <w:rPr>
          <w:b/>
          <w:i/>
          <w:color w:val="231F20"/>
          <w:spacing w:val="-12"/>
          <w:sz w:val="17"/>
        </w:rPr>
        <w:t> </w:t>
      </w:r>
      <w:r>
        <w:rPr>
          <w:b/>
          <w:i/>
          <w:color w:val="231F20"/>
          <w:sz w:val="17"/>
        </w:rPr>
        <w:t>estadístico</w:t>
      </w:r>
      <w:r>
        <w:rPr>
          <w:b/>
          <w:i/>
          <w:color w:val="231F20"/>
          <w:spacing w:val="-12"/>
          <w:sz w:val="17"/>
        </w:rPr>
        <w:t> </w:t>
      </w:r>
      <w:r>
        <w:rPr>
          <w:b/>
          <w:i/>
          <w:color w:val="231F20"/>
          <w:sz w:val="17"/>
        </w:rPr>
        <w:t>de</w:t>
      </w:r>
      <w:r>
        <w:rPr>
          <w:b/>
          <w:i/>
          <w:color w:val="231F20"/>
          <w:spacing w:val="-12"/>
          <w:sz w:val="17"/>
        </w:rPr>
        <w:t> </w:t>
      </w:r>
      <w:r>
        <w:rPr>
          <w:b/>
          <w:i/>
          <w:color w:val="231F20"/>
          <w:sz w:val="17"/>
        </w:rPr>
        <w:t>la</w:t>
      </w:r>
      <w:r>
        <w:rPr>
          <w:b/>
          <w:i/>
          <w:color w:val="231F20"/>
          <w:spacing w:val="-12"/>
          <w:sz w:val="17"/>
        </w:rPr>
        <w:t> </w:t>
      </w:r>
      <w:r>
        <w:rPr>
          <w:b/>
          <w:i/>
          <w:color w:val="231F20"/>
          <w:sz w:val="17"/>
        </w:rPr>
        <w:t>producción</w:t>
      </w:r>
      <w:r>
        <w:rPr>
          <w:b/>
          <w:i/>
          <w:color w:val="231F20"/>
          <w:spacing w:val="-17"/>
          <w:sz w:val="17"/>
        </w:rPr>
        <w:t> </w:t>
      </w:r>
      <w:r>
        <w:rPr>
          <w:b/>
          <w:i/>
          <w:color w:val="231F20"/>
          <w:sz w:val="17"/>
        </w:rPr>
        <w:t>Agropecuaria,</w:t>
      </w:r>
      <w:r>
        <w:rPr>
          <w:b/>
          <w:i/>
          <w:color w:val="231F20"/>
          <w:spacing w:val="-12"/>
          <w:sz w:val="17"/>
        </w:rPr>
        <w:t> </w:t>
      </w:r>
      <w:r>
        <w:rPr>
          <w:b/>
          <w:i/>
          <w:color w:val="231F20"/>
          <w:sz w:val="17"/>
        </w:rPr>
        <w:t>ciclo</w:t>
      </w:r>
      <w:r>
        <w:rPr>
          <w:b/>
          <w:i/>
          <w:color w:val="231F20"/>
          <w:spacing w:val="-12"/>
          <w:sz w:val="17"/>
        </w:rPr>
        <w:t> </w:t>
      </w:r>
      <w:r>
        <w:rPr>
          <w:b/>
          <w:i/>
          <w:color w:val="231F20"/>
          <w:sz w:val="17"/>
        </w:rPr>
        <w:t>2008-2009,</w:t>
      </w:r>
      <w:r>
        <w:rPr>
          <w:b/>
          <w:i/>
          <w:color w:val="231F20"/>
          <w:spacing w:val="-12"/>
          <w:sz w:val="17"/>
        </w:rPr>
        <w:t> </w:t>
      </w:r>
      <w:r>
        <w:rPr>
          <w:b/>
          <w:i/>
          <w:color w:val="231F20"/>
          <w:sz w:val="17"/>
        </w:rPr>
        <w:t>SAGAR- </w:t>
      </w:r>
      <w:r>
        <w:rPr>
          <w:b/>
          <w:i/>
          <w:color w:val="231F20"/>
          <w:spacing w:val="-5"/>
          <w:sz w:val="17"/>
        </w:rPr>
        <w:t>PA, </w:t>
      </w:r>
      <w:r>
        <w:rPr>
          <w:b/>
          <w:i/>
          <w:color w:val="231F20"/>
          <w:sz w:val="17"/>
        </w:rPr>
        <w:t>Delegación Comarca</w:t>
      </w:r>
      <w:r>
        <w:rPr>
          <w:b/>
          <w:i/>
          <w:color w:val="231F20"/>
          <w:spacing w:val="-25"/>
          <w:sz w:val="17"/>
        </w:rPr>
        <w:t> </w:t>
      </w:r>
      <w:r>
        <w:rPr>
          <w:b/>
          <w:i/>
          <w:color w:val="231F20"/>
          <w:sz w:val="17"/>
        </w:rPr>
        <w:t>Lagunera.</w:t>
      </w:r>
    </w:p>
    <w:p>
      <w:pPr>
        <w:pStyle w:val="BodyText"/>
        <w:spacing w:before="7"/>
        <w:rPr>
          <w:b/>
          <w:i/>
          <w:sz w:val="18"/>
        </w:rPr>
      </w:pPr>
    </w:p>
    <w:p>
      <w:pPr>
        <w:pStyle w:val="BodyText"/>
        <w:spacing w:line="247" w:lineRule="auto"/>
        <w:ind w:left="1270" w:right="1267"/>
        <w:jc w:val="both"/>
      </w:pPr>
      <w:r>
        <w:rPr>
          <w:color w:val="231F20"/>
        </w:rPr>
        <w:t>Dividiendo el rubro de costo del riego, del Cuadro 2, entre el volumen de agua usado, el cual es resultante</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multiplicación</w:t>
      </w:r>
      <w:r>
        <w:rPr>
          <w:color w:val="231F20"/>
          <w:spacing w:val="-5"/>
        </w:rPr>
        <w:t> </w:t>
      </w:r>
      <w:r>
        <w:rPr>
          <w:color w:val="231F20"/>
        </w:rPr>
        <w:t>de</w:t>
      </w:r>
      <w:r>
        <w:rPr>
          <w:color w:val="231F20"/>
          <w:spacing w:val="-4"/>
        </w:rPr>
        <w:t> </w:t>
      </w:r>
      <w:r>
        <w:rPr>
          <w:color w:val="231F20"/>
        </w:rPr>
        <w:t>100m</w:t>
      </w:r>
      <w:r>
        <w:rPr>
          <w:color w:val="231F20"/>
          <w:spacing w:val="-4"/>
        </w:rPr>
        <w:t> </w:t>
      </w:r>
      <w:r>
        <w:rPr>
          <w:color w:val="231F20"/>
        </w:rPr>
        <w:t>por</w:t>
      </w:r>
      <w:r>
        <w:rPr>
          <w:color w:val="231F20"/>
          <w:spacing w:val="-4"/>
        </w:rPr>
        <w:t> </w:t>
      </w:r>
      <w:r>
        <w:rPr>
          <w:color w:val="231F20"/>
        </w:rPr>
        <w:t>100m</w:t>
      </w:r>
      <w:r>
        <w:rPr>
          <w:color w:val="231F20"/>
          <w:spacing w:val="-4"/>
        </w:rPr>
        <w:t> </w:t>
      </w:r>
      <w:r>
        <w:rPr>
          <w:color w:val="231F20"/>
        </w:rPr>
        <w:t>por</w:t>
      </w:r>
      <w:r>
        <w:rPr>
          <w:color w:val="231F20"/>
          <w:spacing w:val="-4"/>
        </w:rPr>
        <w:t> </w:t>
      </w:r>
      <w:r>
        <w:rPr>
          <w:color w:val="231F20"/>
        </w:rPr>
        <w:t>la</w:t>
      </w:r>
      <w:r>
        <w:rPr>
          <w:color w:val="231F20"/>
          <w:spacing w:val="-4"/>
        </w:rPr>
        <w:t> </w:t>
      </w:r>
      <w:r>
        <w:rPr>
          <w:color w:val="231F20"/>
        </w:rPr>
        <w:t>lámina</w:t>
      </w:r>
      <w:r>
        <w:rPr>
          <w:color w:val="231F20"/>
          <w:spacing w:val="-4"/>
        </w:rPr>
        <w:t> </w:t>
      </w:r>
      <w:r>
        <w:rPr>
          <w:color w:val="231F20"/>
        </w:rPr>
        <w:t>de</w:t>
      </w:r>
      <w:r>
        <w:rPr>
          <w:color w:val="231F20"/>
          <w:spacing w:val="-4"/>
        </w:rPr>
        <w:t> </w:t>
      </w:r>
      <w:r>
        <w:rPr>
          <w:color w:val="231F20"/>
        </w:rPr>
        <w:t>riego</w:t>
      </w:r>
      <w:r>
        <w:rPr>
          <w:color w:val="231F20"/>
          <w:spacing w:val="-4"/>
        </w:rPr>
        <w:t> </w:t>
      </w:r>
      <w:r>
        <w:rPr>
          <w:color w:val="231F20"/>
        </w:rPr>
        <w:t>correspondiente,</w:t>
      </w:r>
      <w:r>
        <w:rPr>
          <w:color w:val="231F20"/>
          <w:spacing w:val="-5"/>
        </w:rPr>
        <w:t> </w:t>
      </w:r>
      <w:r>
        <w:rPr>
          <w:color w:val="231F20"/>
        </w:rPr>
        <w:t>se</w:t>
      </w:r>
      <w:r>
        <w:rPr>
          <w:color w:val="231F20"/>
          <w:spacing w:val="-4"/>
        </w:rPr>
        <w:t> </w:t>
      </w:r>
      <w:r>
        <w:rPr>
          <w:color w:val="231F20"/>
        </w:rPr>
        <w:t>obtiene un indicador aproximado del costo al productor del metro cúbico de agua, mismo que aparece en el Cuadro 2, del cual se observa que mientras que en Chile </w:t>
      </w:r>
      <w:r>
        <w:rPr>
          <w:color w:val="231F20"/>
          <w:spacing w:val="-6"/>
        </w:rPr>
        <w:t>BT, </w:t>
      </w:r>
      <w:r>
        <w:rPr>
          <w:color w:val="231F20"/>
        </w:rPr>
        <w:t>el metro cúbico de agua subterránea tiene</w:t>
      </w:r>
      <w:r>
        <w:rPr>
          <w:color w:val="231F20"/>
          <w:spacing w:val="-5"/>
        </w:rPr>
        <w:t> </w:t>
      </w:r>
      <w:r>
        <w:rPr>
          <w:color w:val="231F20"/>
        </w:rPr>
        <w:t>un</w:t>
      </w:r>
      <w:r>
        <w:rPr>
          <w:color w:val="231F20"/>
          <w:spacing w:val="-5"/>
        </w:rPr>
        <w:t> </w:t>
      </w:r>
      <w:r>
        <w:rPr>
          <w:color w:val="231F20"/>
        </w:rPr>
        <w:t>costo</w:t>
      </w:r>
      <w:r>
        <w:rPr>
          <w:color w:val="231F20"/>
          <w:spacing w:val="-5"/>
        </w:rPr>
        <w:t> </w:t>
      </w:r>
      <w:r>
        <w:rPr>
          <w:color w:val="231F20"/>
        </w:rPr>
        <w:t>de</w:t>
      </w:r>
      <w:r>
        <w:rPr>
          <w:color w:val="231F20"/>
          <w:spacing w:val="-5"/>
        </w:rPr>
        <w:t> </w:t>
      </w:r>
      <w:r>
        <w:rPr>
          <w:color w:val="231F20"/>
        </w:rPr>
        <w:t>$0.07,</w:t>
      </w:r>
      <w:r>
        <w:rPr>
          <w:color w:val="231F20"/>
          <w:spacing w:val="-5"/>
        </w:rPr>
        <w:t> </w:t>
      </w:r>
      <w:r>
        <w:rPr>
          <w:color w:val="231F20"/>
        </w:rPr>
        <w:t>en</w:t>
      </w:r>
      <w:r>
        <w:rPr>
          <w:color w:val="231F20"/>
          <w:spacing w:val="-5"/>
        </w:rPr>
        <w:t> </w:t>
      </w:r>
      <w:r>
        <w:rPr>
          <w:color w:val="231F20"/>
        </w:rPr>
        <w:t>nogal,</w:t>
      </w:r>
      <w:r>
        <w:rPr>
          <w:color w:val="231F20"/>
          <w:spacing w:val="-5"/>
        </w:rPr>
        <w:t> </w:t>
      </w:r>
      <w:r>
        <w:rPr>
          <w:color w:val="231F20"/>
        </w:rPr>
        <w:t>el</w:t>
      </w:r>
      <w:r>
        <w:rPr>
          <w:color w:val="231F20"/>
          <w:spacing w:val="-5"/>
        </w:rPr>
        <w:t> </w:t>
      </w:r>
      <w:r>
        <w:rPr>
          <w:color w:val="231F20"/>
        </w:rPr>
        <w:t>mismo</w:t>
      </w:r>
      <w:r>
        <w:rPr>
          <w:color w:val="231F20"/>
          <w:spacing w:val="-5"/>
        </w:rPr>
        <w:t> </w:t>
      </w:r>
      <w:r>
        <w:rPr>
          <w:color w:val="231F20"/>
        </w:rPr>
        <w:t>metro</w:t>
      </w:r>
      <w:r>
        <w:rPr>
          <w:color w:val="231F20"/>
          <w:spacing w:val="-5"/>
        </w:rPr>
        <w:t> </w:t>
      </w:r>
      <w:r>
        <w:rPr>
          <w:color w:val="231F20"/>
        </w:rPr>
        <w:t>cúbico</w:t>
      </w:r>
      <w:r>
        <w:rPr>
          <w:color w:val="231F20"/>
          <w:spacing w:val="-5"/>
        </w:rPr>
        <w:t> </w:t>
      </w:r>
      <w:r>
        <w:rPr>
          <w:color w:val="231F20"/>
        </w:rPr>
        <w:t>de</w:t>
      </w:r>
      <w:r>
        <w:rPr>
          <w:color w:val="231F20"/>
          <w:spacing w:val="-5"/>
        </w:rPr>
        <w:t> </w:t>
      </w:r>
      <w:r>
        <w:rPr>
          <w:color w:val="231F20"/>
        </w:rPr>
        <w:t>agua</w:t>
      </w:r>
      <w:r>
        <w:rPr>
          <w:color w:val="231F20"/>
          <w:spacing w:val="-5"/>
        </w:rPr>
        <w:t> </w:t>
      </w:r>
      <w:r>
        <w:rPr>
          <w:color w:val="231F20"/>
        </w:rPr>
        <w:t>subterránea</w:t>
      </w:r>
      <w:r>
        <w:rPr>
          <w:color w:val="231F20"/>
          <w:spacing w:val="-5"/>
        </w:rPr>
        <w:t> </w:t>
      </w:r>
      <w:r>
        <w:rPr>
          <w:color w:val="231F20"/>
        </w:rPr>
        <w:t>costó</w:t>
      </w:r>
      <w:r>
        <w:rPr>
          <w:color w:val="231F20"/>
          <w:spacing w:val="-5"/>
        </w:rPr>
        <w:t> </w:t>
      </w:r>
      <w:r>
        <w:rPr>
          <w:color w:val="231F20"/>
        </w:rPr>
        <w:t>$0.248,</w:t>
      </w:r>
      <w:r>
        <w:rPr>
          <w:color w:val="231F20"/>
          <w:spacing w:val="-5"/>
        </w:rPr>
        <w:t> </w:t>
      </w:r>
      <w:r>
        <w:rPr>
          <w:color w:val="231F20"/>
        </w:rPr>
        <w:t>es</w:t>
      </w:r>
      <w:r>
        <w:rPr>
          <w:color w:val="231F20"/>
          <w:spacing w:val="-5"/>
        </w:rPr>
        <w:t> </w:t>
      </w:r>
      <w:r>
        <w:rPr>
          <w:color w:val="231F20"/>
        </w:rPr>
        <w:t>decir, es 254.28% más caro.</w:t>
      </w:r>
    </w:p>
    <w:p>
      <w:pPr>
        <w:spacing w:after="0" w:line="247" w:lineRule="auto"/>
        <w:jc w:val="both"/>
        <w:sectPr>
          <w:pgSz w:w="10920" w:h="13080"/>
          <w:pgMar w:header="0" w:footer="1025" w:top="420" w:bottom="1220" w:left="0" w:right="0"/>
        </w:sectPr>
      </w:pPr>
    </w:p>
    <w:p>
      <w:pPr>
        <w:pStyle w:val="BodyText"/>
        <w:rPr>
          <w:sz w:val="20"/>
        </w:rPr>
      </w:pPr>
    </w:p>
    <w:p>
      <w:pPr>
        <w:pStyle w:val="BodyText"/>
        <w:rPr>
          <w:sz w:val="20"/>
        </w:rPr>
      </w:pPr>
    </w:p>
    <w:p>
      <w:pPr>
        <w:pStyle w:val="BodyText"/>
        <w:rPr>
          <w:sz w:val="23"/>
        </w:rPr>
      </w:pPr>
    </w:p>
    <w:p>
      <w:pPr>
        <w:pStyle w:val="BodyText"/>
        <w:spacing w:line="249" w:lineRule="auto" w:before="73"/>
        <w:ind w:left="1270" w:right="1267"/>
        <w:jc w:val="both"/>
      </w:pPr>
      <w:r>
        <w:rPr>
          <w:color w:val="231F20"/>
        </w:rPr>
        <w:t>El</w:t>
      </w:r>
      <w:r>
        <w:rPr>
          <w:color w:val="231F20"/>
          <w:spacing w:val="-6"/>
        </w:rPr>
        <w:t> </w:t>
      </w:r>
      <w:r>
        <w:rPr>
          <w:color w:val="231F20"/>
        </w:rPr>
        <w:t>análisis</w:t>
      </w:r>
      <w:r>
        <w:rPr>
          <w:color w:val="231F20"/>
          <w:spacing w:val="-6"/>
        </w:rPr>
        <w:t> </w:t>
      </w:r>
      <w:r>
        <w:rPr>
          <w:color w:val="231F20"/>
        </w:rPr>
        <w:t>de</w:t>
      </w:r>
      <w:r>
        <w:rPr>
          <w:color w:val="231F20"/>
          <w:spacing w:val="-6"/>
        </w:rPr>
        <w:t> </w:t>
      </w:r>
      <w:r>
        <w:rPr>
          <w:color w:val="231F20"/>
        </w:rPr>
        <w:t>costos</w:t>
      </w:r>
      <w:r>
        <w:rPr>
          <w:color w:val="231F20"/>
          <w:spacing w:val="-6"/>
        </w:rPr>
        <w:t> </w:t>
      </w:r>
      <w:r>
        <w:rPr>
          <w:color w:val="231F20"/>
        </w:rPr>
        <w:t>del</w:t>
      </w:r>
      <w:r>
        <w:rPr>
          <w:color w:val="231F20"/>
          <w:spacing w:val="-6"/>
        </w:rPr>
        <w:t> </w:t>
      </w:r>
      <w:r>
        <w:rPr>
          <w:color w:val="231F20"/>
        </w:rPr>
        <w:t>párrafo</w:t>
      </w:r>
      <w:r>
        <w:rPr>
          <w:color w:val="231F20"/>
          <w:spacing w:val="-6"/>
        </w:rPr>
        <w:t> </w:t>
      </w:r>
      <w:r>
        <w:rPr>
          <w:color w:val="231F20"/>
        </w:rPr>
        <w:t>precedente,</w:t>
      </w:r>
      <w:r>
        <w:rPr>
          <w:color w:val="231F20"/>
          <w:spacing w:val="-6"/>
        </w:rPr>
        <w:t> </w:t>
      </w:r>
      <w:r>
        <w:rPr>
          <w:color w:val="231F20"/>
        </w:rPr>
        <w:t>específicamente</w:t>
      </w:r>
      <w:r>
        <w:rPr>
          <w:color w:val="231F20"/>
          <w:spacing w:val="-7"/>
        </w:rPr>
        <w:t> </w:t>
      </w:r>
      <w:r>
        <w:rPr>
          <w:color w:val="231F20"/>
        </w:rPr>
        <w:t>en</w:t>
      </w:r>
      <w:r>
        <w:rPr>
          <w:color w:val="231F20"/>
          <w:spacing w:val="-6"/>
        </w:rPr>
        <w:t> </w:t>
      </w:r>
      <w:r>
        <w:rPr>
          <w:color w:val="231F20"/>
        </w:rPr>
        <w:t>el</w:t>
      </w:r>
      <w:r>
        <w:rPr>
          <w:color w:val="231F20"/>
          <w:spacing w:val="-6"/>
        </w:rPr>
        <w:t> </w:t>
      </w:r>
      <w:r>
        <w:rPr>
          <w:color w:val="231F20"/>
        </w:rPr>
        <w:t>rubro</w:t>
      </w:r>
      <w:r>
        <w:rPr>
          <w:color w:val="231F20"/>
          <w:spacing w:val="-6"/>
        </w:rPr>
        <w:t> </w:t>
      </w:r>
      <w:r>
        <w:rPr>
          <w:color w:val="231F20"/>
        </w:rPr>
        <w:t>del</w:t>
      </w:r>
      <w:r>
        <w:rPr>
          <w:color w:val="231F20"/>
          <w:spacing w:val="-6"/>
        </w:rPr>
        <w:t> </w:t>
      </w:r>
      <w:r>
        <w:rPr>
          <w:color w:val="231F20"/>
        </w:rPr>
        <w:t>costo</w:t>
      </w:r>
      <w:r>
        <w:rPr>
          <w:color w:val="231F20"/>
          <w:spacing w:val="-6"/>
        </w:rPr>
        <w:t> </w:t>
      </w:r>
      <w:r>
        <w:rPr>
          <w:color w:val="231F20"/>
        </w:rPr>
        <w:t>del</w:t>
      </w:r>
      <w:r>
        <w:rPr>
          <w:color w:val="231F20"/>
          <w:spacing w:val="-6"/>
        </w:rPr>
        <w:t> </w:t>
      </w:r>
      <w:r>
        <w:rPr>
          <w:color w:val="231F20"/>
        </w:rPr>
        <w:t>agua,</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que en</w:t>
      </w:r>
      <w:r>
        <w:rPr>
          <w:color w:val="231F20"/>
          <w:spacing w:val="-4"/>
        </w:rPr>
        <w:t> </w:t>
      </w:r>
      <w:r>
        <w:rPr>
          <w:color w:val="231F20"/>
        </w:rPr>
        <w:t>el</w:t>
      </w:r>
      <w:r>
        <w:rPr>
          <w:color w:val="231F20"/>
          <w:spacing w:val="-4"/>
        </w:rPr>
        <w:t> </w:t>
      </w:r>
      <w:r>
        <w:rPr>
          <w:color w:val="231F20"/>
        </w:rPr>
        <w:t>DR-017</w:t>
      </w:r>
      <w:r>
        <w:rPr>
          <w:color w:val="231F20"/>
          <w:spacing w:val="-4"/>
        </w:rPr>
        <w:t> </w:t>
      </w:r>
      <w:r>
        <w:rPr>
          <w:color w:val="231F20"/>
        </w:rPr>
        <w:t>el</w:t>
      </w:r>
      <w:r>
        <w:rPr>
          <w:color w:val="231F20"/>
          <w:spacing w:val="-4"/>
        </w:rPr>
        <w:t> </w:t>
      </w:r>
      <w:r>
        <w:rPr>
          <w:color w:val="231F20"/>
        </w:rPr>
        <w:t>costo</w:t>
      </w:r>
      <w:r>
        <w:rPr>
          <w:color w:val="231F20"/>
          <w:spacing w:val="-4"/>
        </w:rPr>
        <w:t> </w:t>
      </w:r>
      <w:r>
        <w:rPr>
          <w:color w:val="231F20"/>
        </w:rPr>
        <w:t>del</w:t>
      </w:r>
      <w:r>
        <w:rPr>
          <w:color w:val="231F20"/>
          <w:spacing w:val="-4"/>
        </w:rPr>
        <w:t> </w:t>
      </w:r>
      <w:r>
        <w:rPr>
          <w:color w:val="231F20"/>
        </w:rPr>
        <w:t>agua,</w:t>
      </w:r>
      <w:r>
        <w:rPr>
          <w:color w:val="231F20"/>
          <w:spacing w:val="-4"/>
        </w:rPr>
        <w:t> </w:t>
      </w:r>
      <w:r>
        <w:rPr>
          <w:color w:val="231F20"/>
        </w:rPr>
        <w:t>que</w:t>
      </w:r>
      <w:r>
        <w:rPr>
          <w:color w:val="231F20"/>
          <w:spacing w:val="-4"/>
        </w:rPr>
        <w:t> </w:t>
      </w:r>
      <w:r>
        <w:rPr>
          <w:color w:val="231F20"/>
        </w:rPr>
        <w:t>es</w:t>
      </w:r>
      <w:r>
        <w:rPr>
          <w:color w:val="231F20"/>
          <w:spacing w:val="-4"/>
        </w:rPr>
        <w:t> </w:t>
      </w:r>
      <w:r>
        <w:rPr>
          <w:color w:val="231F20"/>
        </w:rPr>
        <w:t>uno</w:t>
      </w:r>
      <w:r>
        <w:rPr>
          <w:color w:val="231F20"/>
          <w:spacing w:val="-4"/>
        </w:rPr>
        <w:t> </w:t>
      </w:r>
      <w:r>
        <w:rPr>
          <w:color w:val="231F20"/>
        </w:rPr>
        <w:t>de</w:t>
      </w:r>
      <w:r>
        <w:rPr>
          <w:color w:val="231F20"/>
          <w:spacing w:val="-4"/>
        </w:rPr>
        <w:t> </w:t>
      </w:r>
      <w:r>
        <w:rPr>
          <w:color w:val="231F20"/>
        </w:rPr>
        <w:t>entre</w:t>
      </w:r>
      <w:r>
        <w:rPr>
          <w:color w:val="231F20"/>
          <w:spacing w:val="-4"/>
        </w:rPr>
        <w:t> </w:t>
      </w:r>
      <w:r>
        <w:rPr>
          <w:color w:val="231F20"/>
        </w:rPr>
        <w:t>varios</w:t>
      </w:r>
      <w:r>
        <w:rPr>
          <w:color w:val="231F20"/>
          <w:spacing w:val="-4"/>
        </w:rPr>
        <w:t> </w:t>
      </w:r>
      <w:r>
        <w:rPr>
          <w:color w:val="231F20"/>
        </w:rPr>
        <w:t>componentes</w:t>
      </w:r>
      <w:r>
        <w:rPr>
          <w:color w:val="231F20"/>
          <w:spacing w:val="-4"/>
        </w:rPr>
        <w:t> </w:t>
      </w:r>
      <w:r>
        <w:rPr>
          <w:color w:val="231F20"/>
        </w:rPr>
        <w:t>del</w:t>
      </w:r>
      <w:r>
        <w:rPr>
          <w:color w:val="231F20"/>
          <w:spacing w:val="-4"/>
        </w:rPr>
        <w:t> </w:t>
      </w:r>
      <w:r>
        <w:rPr>
          <w:color w:val="231F20"/>
        </w:rPr>
        <w:t>rubro</w:t>
      </w:r>
      <w:r>
        <w:rPr>
          <w:color w:val="231F20"/>
          <w:spacing w:val="-4"/>
        </w:rPr>
        <w:t> </w:t>
      </w:r>
      <w:r>
        <w:rPr>
          <w:color w:val="231F20"/>
        </w:rPr>
        <w:t>de</w:t>
      </w:r>
      <w:r>
        <w:rPr>
          <w:color w:val="231F20"/>
          <w:spacing w:val="-4"/>
        </w:rPr>
        <w:t> </w:t>
      </w:r>
      <w:r>
        <w:rPr>
          <w:color w:val="231F20"/>
        </w:rPr>
        <w:t>costo</w:t>
      </w:r>
      <w:r>
        <w:rPr>
          <w:color w:val="231F20"/>
          <w:spacing w:val="-4"/>
        </w:rPr>
        <w:t> </w:t>
      </w:r>
      <w:r>
        <w:rPr>
          <w:color w:val="231F20"/>
        </w:rPr>
        <w:t>del</w:t>
      </w:r>
      <w:r>
        <w:rPr>
          <w:color w:val="231F20"/>
          <w:spacing w:val="-4"/>
        </w:rPr>
        <w:t> </w:t>
      </w:r>
      <w:r>
        <w:rPr>
          <w:color w:val="231F20"/>
        </w:rPr>
        <w:t>riego, implica solo $2,911 de $26,395 en Chile BT y $3,968 de $16,471.1 del costo/ha total en Nogal </w:t>
      </w:r>
      <w:r>
        <w:rPr>
          <w:color w:val="231F20"/>
          <w:spacing w:val="-6"/>
        </w:rPr>
        <w:t>BT, </w:t>
      </w:r>
      <w:r>
        <w:rPr>
          <w:color w:val="231F20"/>
        </w:rPr>
        <w:t>valida lo señalado por Montesillo y Palacio (2006), en el que aseveran que las tarifas de riego que actualmente pagan los usuarios no corresponden al precio del agua, toda vez que las cuotas o tarifas sufragan solo algunos gastos de la asociación de usuarios, más aún, otros autores como Godínez- Montoya et al (2007), consignan que los productores agrícolas del Distrito de Riego 017 en La Comarca Lagunera, pagan $0.05 m</w:t>
      </w:r>
      <w:r>
        <w:rPr>
          <w:color w:val="231F20"/>
          <w:position w:val="7"/>
          <w:sz w:val="12"/>
        </w:rPr>
        <w:t>3</w:t>
      </w:r>
      <w:r>
        <w:rPr>
          <w:color w:val="231F20"/>
        </w:rPr>
        <w:t>, en promedio para todos los cultivos, sensiblemente inferiores al precio estimado mediante un modelo Cobb-Douglas y un modelo de programación lineal, el cual ascendió a $0.646m</w:t>
      </w:r>
      <w:r>
        <w:rPr>
          <w:color w:val="231F20"/>
          <w:position w:val="7"/>
          <w:sz w:val="12"/>
        </w:rPr>
        <w:t>-3 </w:t>
      </w:r>
      <w:r>
        <w:rPr>
          <w:color w:val="231F20"/>
        </w:rPr>
        <w:t>para agua de bombeo y $0.582 m</w:t>
      </w:r>
      <w:r>
        <w:rPr>
          <w:color w:val="231F20"/>
          <w:position w:val="7"/>
          <w:sz w:val="12"/>
        </w:rPr>
        <w:t>-3 </w:t>
      </w:r>
      <w:r>
        <w:rPr>
          <w:color w:val="231F20"/>
        </w:rPr>
        <w:t>para agua de gravedad, corroborándose así un fuerte subsidio al consumo agrícola del agua, cifras éstas que al compararlas con las propias de este</w:t>
      </w:r>
      <w:r>
        <w:rPr>
          <w:color w:val="231F20"/>
          <w:spacing w:val="-9"/>
        </w:rPr>
        <w:t> </w:t>
      </w:r>
      <w:r>
        <w:rPr>
          <w:color w:val="231F20"/>
        </w:rPr>
        <w:t>estudio,</w:t>
      </w:r>
      <w:r>
        <w:rPr>
          <w:color w:val="231F20"/>
          <w:spacing w:val="-9"/>
        </w:rPr>
        <w:t> </w:t>
      </w:r>
      <w:r>
        <w:rPr>
          <w:color w:val="231F20"/>
        </w:rPr>
        <w:t>de</w:t>
      </w:r>
      <w:r>
        <w:rPr>
          <w:color w:val="231F20"/>
          <w:spacing w:val="-9"/>
        </w:rPr>
        <w:t> </w:t>
      </w:r>
      <w:r>
        <w:rPr>
          <w:color w:val="231F20"/>
        </w:rPr>
        <w:t>$0.248</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Nogal</w:t>
      </w:r>
      <w:r>
        <w:rPr>
          <w:color w:val="231F20"/>
          <w:spacing w:val="-9"/>
        </w:rPr>
        <w:t> </w:t>
      </w:r>
      <w:r>
        <w:rPr>
          <w:color w:val="231F20"/>
        </w:rPr>
        <w:t>BT</w:t>
      </w:r>
      <w:r>
        <w:rPr>
          <w:color w:val="231F20"/>
          <w:spacing w:val="-13"/>
        </w:rPr>
        <w:t> </w:t>
      </w:r>
      <w:r>
        <w:rPr>
          <w:color w:val="231F20"/>
        </w:rPr>
        <w:t>y</w:t>
      </w:r>
      <w:r>
        <w:rPr>
          <w:color w:val="231F20"/>
          <w:spacing w:val="-9"/>
        </w:rPr>
        <w:t> </w:t>
      </w:r>
      <w:r>
        <w:rPr>
          <w:color w:val="231F20"/>
        </w:rPr>
        <w:t>$0.07</w:t>
      </w:r>
      <w:r>
        <w:rPr>
          <w:color w:val="231F20"/>
          <w:spacing w:val="-9"/>
        </w:rPr>
        <w:t> </w:t>
      </w:r>
      <w:r>
        <w:rPr>
          <w:color w:val="231F20"/>
        </w:rPr>
        <w:t>en</w:t>
      </w:r>
      <w:r>
        <w:rPr>
          <w:color w:val="231F20"/>
          <w:spacing w:val="-9"/>
        </w:rPr>
        <w:t> </w:t>
      </w:r>
      <w:r>
        <w:rPr>
          <w:color w:val="231F20"/>
        </w:rPr>
        <w:t>Chile</w:t>
      </w:r>
      <w:r>
        <w:rPr>
          <w:color w:val="231F20"/>
          <w:spacing w:val="-9"/>
        </w:rPr>
        <w:t> </w:t>
      </w:r>
      <w:r>
        <w:rPr>
          <w:color w:val="231F20"/>
          <w:spacing w:val="-6"/>
        </w:rPr>
        <w:t>BT,</w:t>
      </w:r>
      <w:r>
        <w:rPr>
          <w:color w:val="231F20"/>
          <w:spacing w:val="-9"/>
        </w:rPr>
        <w:t> </w:t>
      </w:r>
      <w:r>
        <w:rPr>
          <w:color w:val="231F20"/>
        </w:rPr>
        <w:t>se</w:t>
      </w:r>
      <w:r>
        <w:rPr>
          <w:color w:val="231F20"/>
          <w:spacing w:val="-9"/>
        </w:rPr>
        <w:t> </w:t>
      </w:r>
      <w:r>
        <w:rPr>
          <w:color w:val="231F20"/>
        </w:rPr>
        <w:t>corrobora</w:t>
      </w:r>
      <w:r>
        <w:rPr>
          <w:color w:val="231F20"/>
          <w:spacing w:val="-9"/>
        </w:rPr>
        <w:t> </w:t>
      </w:r>
      <w:r>
        <w:rPr>
          <w:color w:val="231F20"/>
        </w:rPr>
        <w:t>lo</w:t>
      </w:r>
      <w:r>
        <w:rPr>
          <w:color w:val="231F20"/>
          <w:spacing w:val="-9"/>
        </w:rPr>
        <w:t> </w:t>
      </w:r>
      <w:r>
        <w:rPr>
          <w:color w:val="231F20"/>
        </w:rPr>
        <w:t>asentado</w:t>
      </w:r>
      <w:r>
        <w:rPr>
          <w:color w:val="231F20"/>
          <w:spacing w:val="-9"/>
        </w:rPr>
        <w:t> </w:t>
      </w:r>
      <w:r>
        <w:rPr>
          <w:color w:val="231F20"/>
        </w:rPr>
        <w:t>por</w:t>
      </w:r>
      <w:r>
        <w:rPr>
          <w:color w:val="231F20"/>
          <w:spacing w:val="-9"/>
        </w:rPr>
        <w:t> </w:t>
      </w:r>
      <w:r>
        <w:rPr>
          <w:color w:val="231F20"/>
        </w:rPr>
        <w:t>Montesillos y Palacio (2006) en el sentido de que las tarifas que actualmente se pagan por parte de los usuarios no corresponden al precio del agua, pues deflactando el precio de 2007 de Godínez-Montoya </w:t>
      </w:r>
      <w:r>
        <w:rPr>
          <w:i/>
          <w:color w:val="231F20"/>
        </w:rPr>
        <w:t>et al </w:t>
      </w:r>
      <w:r>
        <w:rPr>
          <w:color w:val="231F20"/>
        </w:rPr>
        <w:t>(2007)</w:t>
      </w:r>
      <w:r>
        <w:rPr>
          <w:color w:val="231F20"/>
          <w:spacing w:val="-9"/>
        </w:rPr>
        <w:t> </w:t>
      </w:r>
      <w:r>
        <w:rPr>
          <w:color w:val="231F20"/>
        </w:rPr>
        <w:t>de</w:t>
      </w:r>
      <w:r>
        <w:rPr>
          <w:color w:val="231F20"/>
          <w:spacing w:val="-9"/>
        </w:rPr>
        <w:t> </w:t>
      </w:r>
      <w:r>
        <w:rPr>
          <w:color w:val="231F20"/>
        </w:rPr>
        <w:t>$0.646/m</w:t>
      </w:r>
      <w:r>
        <w:rPr>
          <w:color w:val="231F20"/>
          <w:position w:val="7"/>
          <w:sz w:val="12"/>
        </w:rPr>
        <w:t>3</w:t>
      </w:r>
      <w:r>
        <w:rPr>
          <w:color w:val="231F20"/>
          <w:spacing w:val="13"/>
          <w:position w:val="7"/>
          <w:sz w:val="12"/>
        </w:rPr>
        <w:t> </w:t>
      </w:r>
      <w:r>
        <w:rPr>
          <w:color w:val="231F20"/>
        </w:rPr>
        <w:t>de</w:t>
      </w:r>
      <w:r>
        <w:rPr>
          <w:color w:val="231F20"/>
          <w:spacing w:val="-9"/>
        </w:rPr>
        <w:t> </w:t>
      </w:r>
      <w:r>
        <w:rPr>
          <w:color w:val="231F20"/>
        </w:rPr>
        <w:t>agua</w:t>
      </w:r>
      <w:r>
        <w:rPr>
          <w:color w:val="231F20"/>
          <w:spacing w:val="-9"/>
        </w:rPr>
        <w:t> </w:t>
      </w:r>
      <w:r>
        <w:rPr>
          <w:color w:val="231F20"/>
        </w:rPr>
        <w:t>subterránea</w:t>
      </w:r>
      <w:r>
        <w:rPr>
          <w:color w:val="231F20"/>
          <w:spacing w:val="-9"/>
        </w:rPr>
        <w:t> </w:t>
      </w:r>
      <w:r>
        <w:rPr>
          <w:color w:val="231F20"/>
        </w:rPr>
        <w:t>a</w:t>
      </w:r>
      <w:r>
        <w:rPr>
          <w:color w:val="231F20"/>
          <w:spacing w:val="-9"/>
        </w:rPr>
        <w:t> </w:t>
      </w:r>
      <w:r>
        <w:rPr>
          <w:color w:val="231F20"/>
        </w:rPr>
        <w:t>pesos</w:t>
      </w:r>
      <w:r>
        <w:rPr>
          <w:color w:val="231F20"/>
          <w:spacing w:val="-9"/>
        </w:rPr>
        <w:t> </w:t>
      </w:r>
      <w:r>
        <w:rPr>
          <w:color w:val="231F20"/>
        </w:rPr>
        <w:t>constantes</w:t>
      </w:r>
      <w:r>
        <w:rPr>
          <w:color w:val="231F20"/>
          <w:spacing w:val="-9"/>
        </w:rPr>
        <w:t> </w:t>
      </w:r>
      <w:r>
        <w:rPr>
          <w:color w:val="231F20"/>
        </w:rPr>
        <w:t>de</w:t>
      </w:r>
      <w:r>
        <w:rPr>
          <w:color w:val="231F20"/>
          <w:spacing w:val="-9"/>
        </w:rPr>
        <w:t> </w:t>
      </w:r>
      <w:r>
        <w:rPr>
          <w:color w:val="231F20"/>
        </w:rPr>
        <w:t>2009,</w:t>
      </w:r>
      <w:r>
        <w:rPr>
          <w:color w:val="231F20"/>
          <w:spacing w:val="-9"/>
        </w:rPr>
        <w:t> </w:t>
      </w:r>
      <w:r>
        <w:rPr>
          <w:color w:val="231F20"/>
        </w:rPr>
        <w:t>ascendería</w:t>
      </w:r>
      <w:r>
        <w:rPr>
          <w:color w:val="231F20"/>
          <w:spacing w:val="-9"/>
        </w:rPr>
        <w:t> </w:t>
      </w:r>
      <w:r>
        <w:rPr>
          <w:color w:val="231F20"/>
        </w:rPr>
        <w:t>a</w:t>
      </w:r>
      <w:r>
        <w:rPr>
          <w:color w:val="231F20"/>
          <w:spacing w:val="-9"/>
        </w:rPr>
        <w:t> </w:t>
      </w:r>
      <w:r>
        <w:rPr>
          <w:color w:val="231F20"/>
        </w:rPr>
        <w:t>$0.713/m</w:t>
      </w:r>
      <w:r>
        <w:rPr>
          <w:color w:val="231F20"/>
          <w:position w:val="7"/>
          <w:sz w:val="12"/>
        </w:rPr>
        <w:t>3</w:t>
      </w:r>
      <w:r>
        <w:rPr>
          <w:color w:val="231F20"/>
          <w:spacing w:val="13"/>
          <w:position w:val="7"/>
          <w:sz w:val="12"/>
        </w:rPr>
        <w:t> </w:t>
      </w:r>
      <w:r>
        <w:rPr>
          <w:color w:val="231F20"/>
        </w:rPr>
        <w:t>de</w:t>
      </w:r>
      <w:r>
        <w:rPr>
          <w:color w:val="231F20"/>
          <w:spacing w:val="-9"/>
        </w:rPr>
        <w:t> </w:t>
      </w:r>
      <w:r>
        <w:rPr>
          <w:color w:val="231F20"/>
        </w:rPr>
        <w:t>agua (= $0.646/(125.564/138.541), es decir, que en el caso del DR-017, el precio al que se cobra el agua al productor agrícola, $0.248/m</w:t>
      </w:r>
      <w:r>
        <w:rPr>
          <w:color w:val="231F20"/>
          <w:position w:val="7"/>
          <w:sz w:val="12"/>
        </w:rPr>
        <w:t>3</w:t>
      </w:r>
      <w:r>
        <w:rPr>
          <w:color w:val="231F20"/>
        </w:rPr>
        <w:t>, apenas se estaría cubriendo un 34.8% (=$0.248/$0.713) del precio real</w:t>
      </w:r>
      <w:r>
        <w:rPr>
          <w:color w:val="231F20"/>
          <w:spacing w:val="-7"/>
        </w:rPr>
        <w:t> </w:t>
      </w:r>
      <w:r>
        <w:rPr>
          <w:color w:val="231F20"/>
        </w:rPr>
        <w:t>del</w:t>
      </w:r>
      <w:r>
        <w:rPr>
          <w:color w:val="231F20"/>
          <w:spacing w:val="-7"/>
        </w:rPr>
        <w:t> </w:t>
      </w:r>
      <w:r>
        <w:rPr>
          <w:color w:val="231F20"/>
        </w:rPr>
        <w:t>agua</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caso</w:t>
      </w:r>
      <w:r>
        <w:rPr>
          <w:color w:val="231F20"/>
          <w:spacing w:val="-7"/>
        </w:rPr>
        <w:t> </w:t>
      </w:r>
      <w:r>
        <w:rPr>
          <w:color w:val="231F20"/>
        </w:rPr>
        <w:t>del</w:t>
      </w:r>
      <w:r>
        <w:rPr>
          <w:color w:val="231F20"/>
          <w:spacing w:val="-7"/>
        </w:rPr>
        <w:t> </w:t>
      </w:r>
      <w:r>
        <w:rPr>
          <w:color w:val="231F20"/>
        </w:rPr>
        <w:t>Nogal</w:t>
      </w:r>
      <w:r>
        <w:rPr>
          <w:color w:val="231F20"/>
          <w:spacing w:val="-7"/>
        </w:rPr>
        <w:t> </w:t>
      </w:r>
      <w:r>
        <w:rPr>
          <w:color w:val="231F20"/>
          <w:spacing w:val="-6"/>
        </w:rPr>
        <w:t>BT,</w:t>
      </w:r>
      <w:r>
        <w:rPr>
          <w:color w:val="231F20"/>
          <w:spacing w:val="-7"/>
        </w:rPr>
        <w:t> </w:t>
      </w:r>
      <w:r>
        <w:rPr>
          <w:color w:val="231F20"/>
        </w:rPr>
        <w:t>mientras</w:t>
      </w:r>
      <w:r>
        <w:rPr>
          <w:color w:val="231F20"/>
          <w:spacing w:val="-7"/>
        </w:rPr>
        <w:t> </w:t>
      </w:r>
      <w:r>
        <w:rPr>
          <w:color w:val="231F20"/>
        </w:rPr>
        <w:t>que</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caso</w:t>
      </w:r>
      <w:r>
        <w:rPr>
          <w:color w:val="231F20"/>
          <w:spacing w:val="-7"/>
        </w:rPr>
        <w:t> </w:t>
      </w:r>
      <w:r>
        <w:rPr>
          <w:color w:val="231F20"/>
        </w:rPr>
        <w:t>del</w:t>
      </w:r>
      <w:r>
        <w:rPr>
          <w:color w:val="231F20"/>
          <w:spacing w:val="-7"/>
        </w:rPr>
        <w:t> </w:t>
      </w:r>
      <w:r>
        <w:rPr>
          <w:color w:val="231F20"/>
        </w:rPr>
        <w:t>Chile</w:t>
      </w:r>
      <w:r>
        <w:rPr>
          <w:color w:val="231F20"/>
          <w:spacing w:val="-7"/>
        </w:rPr>
        <w:t> </w:t>
      </w:r>
      <w:r>
        <w:rPr>
          <w:color w:val="231F20"/>
          <w:spacing w:val="-6"/>
        </w:rPr>
        <w:t>BT,</w:t>
      </w:r>
      <w:r>
        <w:rPr>
          <w:color w:val="231F20"/>
          <w:spacing w:val="-7"/>
        </w:rPr>
        <w:t> </w:t>
      </w:r>
      <w:r>
        <w:rPr>
          <w:color w:val="231F20"/>
        </w:rPr>
        <w:t>se</w:t>
      </w:r>
      <w:r>
        <w:rPr>
          <w:color w:val="231F20"/>
          <w:spacing w:val="-7"/>
        </w:rPr>
        <w:t> </w:t>
      </w:r>
      <w:r>
        <w:rPr>
          <w:color w:val="231F20"/>
        </w:rPr>
        <w:t>estaría</w:t>
      </w:r>
      <w:r>
        <w:rPr>
          <w:color w:val="231F20"/>
          <w:spacing w:val="-7"/>
        </w:rPr>
        <w:t> </w:t>
      </w:r>
      <w:r>
        <w:rPr>
          <w:color w:val="231F20"/>
        </w:rPr>
        <w:t>cubriendo</w:t>
      </w:r>
      <w:r>
        <w:rPr>
          <w:color w:val="231F20"/>
          <w:spacing w:val="-7"/>
        </w:rPr>
        <w:t> </w:t>
      </w:r>
      <w:r>
        <w:rPr>
          <w:color w:val="231F20"/>
        </w:rPr>
        <w:t>ape- nas</w:t>
      </w:r>
      <w:r>
        <w:rPr>
          <w:color w:val="231F20"/>
          <w:spacing w:val="-7"/>
        </w:rPr>
        <w:t> </w:t>
      </w:r>
      <w:r>
        <w:rPr>
          <w:color w:val="231F20"/>
        </w:rPr>
        <w:t>el</w:t>
      </w:r>
      <w:r>
        <w:rPr>
          <w:color w:val="231F20"/>
          <w:spacing w:val="-7"/>
        </w:rPr>
        <w:t> </w:t>
      </w:r>
      <w:r>
        <w:rPr>
          <w:color w:val="231F20"/>
        </w:rPr>
        <w:t>9.8%</w:t>
      </w:r>
      <w:r>
        <w:rPr>
          <w:color w:val="231F20"/>
          <w:spacing w:val="-7"/>
        </w:rPr>
        <w:t> </w:t>
      </w:r>
      <w:r>
        <w:rPr>
          <w:color w:val="231F20"/>
        </w:rPr>
        <w:t>(=$0.07/$0.713)</w:t>
      </w:r>
      <w:r>
        <w:rPr>
          <w:color w:val="231F20"/>
          <w:spacing w:val="-7"/>
        </w:rPr>
        <w:t> </w:t>
      </w:r>
      <w:r>
        <w:rPr>
          <w:color w:val="231F20"/>
        </w:rPr>
        <w:t>del</w:t>
      </w:r>
      <w:r>
        <w:rPr>
          <w:color w:val="231F20"/>
          <w:spacing w:val="-7"/>
        </w:rPr>
        <w:t> </w:t>
      </w:r>
      <w:r>
        <w:rPr>
          <w:color w:val="231F20"/>
        </w:rPr>
        <w:t>precio</w:t>
      </w:r>
      <w:r>
        <w:rPr>
          <w:color w:val="231F20"/>
          <w:spacing w:val="-7"/>
        </w:rPr>
        <w:t> </w:t>
      </w:r>
      <w:r>
        <w:rPr>
          <w:color w:val="231F20"/>
        </w:rPr>
        <w:t>real</w:t>
      </w:r>
      <w:r>
        <w:rPr>
          <w:color w:val="231F20"/>
          <w:spacing w:val="-7"/>
        </w:rPr>
        <w:t> </w:t>
      </w:r>
      <w:r>
        <w:rPr>
          <w:color w:val="231F20"/>
        </w:rPr>
        <w:t>del</w:t>
      </w:r>
      <w:r>
        <w:rPr>
          <w:color w:val="231F20"/>
          <w:spacing w:val="-7"/>
        </w:rPr>
        <w:t> </w:t>
      </w:r>
      <w:r>
        <w:rPr>
          <w:color w:val="231F20"/>
        </w:rPr>
        <w:t>agua</w:t>
      </w:r>
      <w:r>
        <w:rPr>
          <w:color w:val="231F20"/>
          <w:spacing w:val="-7"/>
        </w:rPr>
        <w:t> </w:t>
      </w:r>
      <w:r>
        <w:rPr>
          <w:color w:val="231F20"/>
        </w:rPr>
        <w:t>usada,</w:t>
      </w:r>
      <w:r>
        <w:rPr>
          <w:color w:val="231F20"/>
          <w:spacing w:val="-7"/>
        </w:rPr>
        <w:t> </w:t>
      </w:r>
      <w:r>
        <w:rPr>
          <w:color w:val="231F20"/>
        </w:rPr>
        <w:t>se</w:t>
      </w:r>
      <w:r>
        <w:rPr>
          <w:color w:val="231F20"/>
          <w:spacing w:val="-7"/>
        </w:rPr>
        <w:t> </w:t>
      </w:r>
      <w:r>
        <w:rPr>
          <w:color w:val="231F20"/>
        </w:rPr>
        <w:t>estaría</w:t>
      </w:r>
      <w:r>
        <w:rPr>
          <w:color w:val="231F20"/>
          <w:spacing w:val="-7"/>
        </w:rPr>
        <w:t> </w:t>
      </w:r>
      <w:r>
        <w:rPr>
          <w:color w:val="231F20"/>
        </w:rPr>
        <w:t>así</w:t>
      </w:r>
      <w:r>
        <w:rPr>
          <w:color w:val="231F20"/>
          <w:spacing w:val="-7"/>
        </w:rPr>
        <w:t> </w:t>
      </w:r>
      <w:r>
        <w:rPr>
          <w:color w:val="231F20"/>
        </w:rPr>
        <w:t>subsidiando</w:t>
      </w:r>
      <w:r>
        <w:rPr>
          <w:color w:val="231F20"/>
          <w:spacing w:val="-7"/>
        </w:rPr>
        <w:t> </w:t>
      </w:r>
      <w:r>
        <w:rPr>
          <w:color w:val="231F20"/>
        </w:rPr>
        <w:t>al</w:t>
      </w:r>
      <w:r>
        <w:rPr>
          <w:color w:val="231F20"/>
          <w:spacing w:val="-7"/>
        </w:rPr>
        <w:t> </w:t>
      </w:r>
      <w:r>
        <w:rPr>
          <w:color w:val="231F20"/>
        </w:rPr>
        <w:t>productor</w:t>
      </w:r>
      <w:r>
        <w:rPr>
          <w:color w:val="231F20"/>
          <w:spacing w:val="-7"/>
        </w:rPr>
        <w:t> </w:t>
      </w:r>
      <w:r>
        <w:rPr>
          <w:color w:val="231F20"/>
        </w:rPr>
        <w:t>en un</w:t>
      </w:r>
      <w:r>
        <w:rPr>
          <w:color w:val="231F20"/>
          <w:spacing w:val="-6"/>
        </w:rPr>
        <w:t> </w:t>
      </w:r>
      <w:r>
        <w:rPr>
          <w:color w:val="231F20"/>
        </w:rPr>
        <w:t>65.2</w:t>
      </w:r>
      <w:r>
        <w:rPr>
          <w:color w:val="231F20"/>
          <w:spacing w:val="-6"/>
        </w:rPr>
        <w:t> </w:t>
      </w:r>
      <w:r>
        <w:rPr>
          <w:color w:val="231F20"/>
        </w:rPr>
        <w:t>y</w:t>
      </w:r>
      <w:r>
        <w:rPr>
          <w:color w:val="231F20"/>
          <w:spacing w:val="-6"/>
        </w:rPr>
        <w:t> </w:t>
      </w:r>
      <w:r>
        <w:rPr>
          <w:color w:val="231F20"/>
        </w:rPr>
        <w:t>un</w:t>
      </w:r>
      <w:r>
        <w:rPr>
          <w:color w:val="231F20"/>
          <w:spacing w:val="-6"/>
        </w:rPr>
        <w:t> </w:t>
      </w:r>
      <w:r>
        <w:rPr>
          <w:color w:val="231F20"/>
        </w:rPr>
        <w:t>91.2%</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costo</w:t>
      </w:r>
      <w:r>
        <w:rPr>
          <w:color w:val="231F20"/>
          <w:spacing w:val="-6"/>
        </w:rPr>
        <w:t> </w:t>
      </w:r>
      <w:r>
        <w:rPr>
          <w:color w:val="231F20"/>
        </w:rPr>
        <w:t>del</w:t>
      </w:r>
      <w:r>
        <w:rPr>
          <w:color w:val="231F20"/>
          <w:spacing w:val="-6"/>
        </w:rPr>
        <w:t> </w:t>
      </w:r>
      <w:r>
        <w:rPr>
          <w:color w:val="231F20"/>
        </w:rPr>
        <w:t>m³</w:t>
      </w:r>
      <w:r>
        <w:rPr>
          <w:color w:val="231F20"/>
          <w:spacing w:val="-6"/>
        </w:rPr>
        <w:t> </w:t>
      </w:r>
      <w:r>
        <w:rPr>
          <w:color w:val="231F20"/>
        </w:rPr>
        <w:t>de</w:t>
      </w:r>
      <w:r>
        <w:rPr>
          <w:color w:val="231F20"/>
          <w:spacing w:val="-6"/>
        </w:rPr>
        <w:t> </w:t>
      </w:r>
      <w:r>
        <w:rPr>
          <w:color w:val="231F20"/>
        </w:rPr>
        <w:t>agua</w:t>
      </w:r>
      <w:r>
        <w:rPr>
          <w:color w:val="231F20"/>
          <w:spacing w:val="-6"/>
        </w:rPr>
        <w:t> </w:t>
      </w:r>
      <w:r>
        <w:rPr>
          <w:color w:val="231F20"/>
        </w:rPr>
        <w:t>subterránea</w:t>
      </w:r>
      <w:r>
        <w:rPr>
          <w:color w:val="231F20"/>
          <w:spacing w:val="-6"/>
        </w:rPr>
        <w:t> </w:t>
      </w:r>
      <w:r>
        <w:rPr>
          <w:color w:val="231F20"/>
        </w:rPr>
        <w:t>en</w:t>
      </w:r>
      <w:r>
        <w:rPr>
          <w:color w:val="231F20"/>
          <w:spacing w:val="-6"/>
        </w:rPr>
        <w:t> </w:t>
      </w:r>
      <w:r>
        <w:rPr>
          <w:color w:val="231F20"/>
        </w:rPr>
        <w:t>Nogal</w:t>
      </w:r>
      <w:r>
        <w:rPr>
          <w:color w:val="231F20"/>
          <w:spacing w:val="-6"/>
        </w:rPr>
        <w:t> </w:t>
      </w:r>
      <w:r>
        <w:rPr>
          <w:color w:val="231F20"/>
        </w:rPr>
        <w:t>BT</w:t>
      </w:r>
      <w:r>
        <w:rPr>
          <w:color w:val="231F20"/>
          <w:spacing w:val="-10"/>
        </w:rPr>
        <w:t> </w:t>
      </w:r>
      <w:r>
        <w:rPr>
          <w:color w:val="231F20"/>
        </w:rPr>
        <w:t>y</w:t>
      </w:r>
      <w:r>
        <w:rPr>
          <w:color w:val="231F20"/>
          <w:spacing w:val="-6"/>
        </w:rPr>
        <w:t> </w:t>
      </w:r>
      <w:r>
        <w:rPr>
          <w:color w:val="231F20"/>
        </w:rPr>
        <w:t>Chile</w:t>
      </w:r>
      <w:r>
        <w:rPr>
          <w:color w:val="231F20"/>
          <w:spacing w:val="-6"/>
        </w:rPr>
        <w:t> </w:t>
      </w:r>
      <w:r>
        <w:rPr>
          <w:color w:val="231F20"/>
        </w:rPr>
        <w:t>BT</w:t>
      </w:r>
      <w:r>
        <w:rPr>
          <w:color w:val="231F20"/>
          <w:spacing w:val="-10"/>
        </w:rPr>
        <w:t> </w:t>
      </w:r>
      <w:r>
        <w:rPr>
          <w:color w:val="231F20"/>
        </w:rPr>
        <w:t>respectivamente, ello, necesariamente conlleva a la ineficiencia en el uso del recurso agua, en tanto no se le está</w:t>
      </w:r>
      <w:r>
        <w:rPr>
          <w:color w:val="231F20"/>
          <w:spacing w:val="-28"/>
        </w:rPr>
        <w:t> </w:t>
      </w:r>
      <w:r>
        <w:rPr>
          <w:color w:val="231F20"/>
        </w:rPr>
        <w:t>asig- nando un valor real al más escaso recurso natural: el</w:t>
      </w:r>
      <w:r>
        <w:rPr>
          <w:color w:val="231F20"/>
          <w:spacing w:val="-2"/>
        </w:rPr>
        <w:t> </w:t>
      </w:r>
      <w:r>
        <w:rPr>
          <w:color w:val="231F20"/>
        </w:rPr>
        <w:t>agua.</w:t>
      </w:r>
    </w:p>
    <w:p>
      <w:pPr>
        <w:pStyle w:val="BodyText"/>
        <w:spacing w:before="7"/>
      </w:pPr>
    </w:p>
    <w:p>
      <w:pPr>
        <w:pStyle w:val="BodyText"/>
        <w:ind w:left="1270"/>
        <w:jc w:val="both"/>
      </w:pPr>
      <w:r>
        <w:rPr>
          <w:color w:val="231F20"/>
        </w:rPr>
        <w:t>La inversión de trabajo por ha fue muy diferente en ambos cultivos, en Chile BT fueron  necesarias</w:t>
      </w:r>
    </w:p>
    <w:p>
      <w:pPr>
        <w:pStyle w:val="BodyText"/>
        <w:spacing w:line="247" w:lineRule="auto" w:before="8"/>
        <w:ind w:left="1270" w:right="1268"/>
        <w:jc w:val="both"/>
      </w:pPr>
      <w:r>
        <w:rPr>
          <w:color w:val="231F20"/>
        </w:rPr>
        <w:t>168.85</w:t>
      </w:r>
      <w:r>
        <w:rPr>
          <w:color w:val="231F20"/>
          <w:spacing w:val="-9"/>
        </w:rPr>
        <w:t> </w:t>
      </w:r>
      <w:r>
        <w:rPr>
          <w:color w:val="231F20"/>
        </w:rPr>
        <w:t>jornadas/ha,</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vez</w:t>
      </w:r>
      <w:r>
        <w:rPr>
          <w:color w:val="231F20"/>
          <w:spacing w:val="-9"/>
        </w:rPr>
        <w:t> </w:t>
      </w:r>
      <w:r>
        <w:rPr>
          <w:color w:val="231F20"/>
        </w:rPr>
        <w:t>que</w:t>
      </w:r>
      <w:r>
        <w:rPr>
          <w:color w:val="231F20"/>
          <w:spacing w:val="-9"/>
        </w:rPr>
        <w:t> </w:t>
      </w:r>
      <w:r>
        <w:rPr>
          <w:color w:val="231F20"/>
        </w:rPr>
        <w:t>en</w:t>
      </w:r>
      <w:r>
        <w:rPr>
          <w:color w:val="231F20"/>
          <w:spacing w:val="-9"/>
        </w:rPr>
        <w:t> </w:t>
      </w:r>
      <w:r>
        <w:rPr>
          <w:color w:val="231F20"/>
        </w:rPr>
        <w:t>Nogal</w:t>
      </w:r>
      <w:r>
        <w:rPr>
          <w:color w:val="231F20"/>
          <w:spacing w:val="-9"/>
        </w:rPr>
        <w:t> </w:t>
      </w:r>
      <w:r>
        <w:rPr>
          <w:color w:val="231F20"/>
        </w:rPr>
        <w:t>BT</w:t>
      </w:r>
      <w:r>
        <w:rPr>
          <w:color w:val="231F20"/>
          <w:spacing w:val="-13"/>
        </w:rPr>
        <w:t> </w:t>
      </w:r>
      <w:r>
        <w:rPr>
          <w:color w:val="231F20"/>
        </w:rPr>
        <w:t>bastaron</w:t>
      </w:r>
      <w:r>
        <w:rPr>
          <w:color w:val="231F20"/>
          <w:spacing w:val="-9"/>
        </w:rPr>
        <w:t> </w:t>
      </w:r>
      <w:r>
        <w:rPr>
          <w:color w:val="231F20"/>
        </w:rPr>
        <w:t>59.27</w:t>
      </w:r>
      <w:r>
        <w:rPr>
          <w:color w:val="231F20"/>
          <w:spacing w:val="-9"/>
        </w:rPr>
        <w:t> </w:t>
      </w:r>
      <w:r>
        <w:rPr>
          <w:color w:val="231F20"/>
        </w:rPr>
        <w:t>jornadas/ha,</w:t>
      </w:r>
      <w:r>
        <w:rPr>
          <w:color w:val="231F20"/>
          <w:spacing w:val="-10"/>
        </w:rPr>
        <w:t> </w:t>
      </w:r>
      <w:r>
        <w:rPr>
          <w:color w:val="231F20"/>
        </w:rPr>
        <w:t>con</w:t>
      </w:r>
      <w:r>
        <w:rPr>
          <w:color w:val="231F20"/>
          <w:spacing w:val="-9"/>
        </w:rPr>
        <w:t> </w:t>
      </w:r>
      <w:r>
        <w:rPr>
          <w:color w:val="231F20"/>
        </w:rPr>
        <w:t>esa</w:t>
      </w:r>
      <w:r>
        <w:rPr>
          <w:color w:val="231F20"/>
          <w:spacing w:val="-9"/>
        </w:rPr>
        <w:t> </w:t>
      </w:r>
      <w:r>
        <w:rPr>
          <w:color w:val="231F20"/>
        </w:rPr>
        <w:t>cantidad</w:t>
      </w:r>
      <w:r>
        <w:rPr>
          <w:color w:val="231F20"/>
          <w:spacing w:val="-10"/>
        </w:rPr>
        <w:t> </w:t>
      </w:r>
      <w:r>
        <w:rPr>
          <w:color w:val="231F20"/>
        </w:rPr>
        <w:t>de</w:t>
      </w:r>
      <w:r>
        <w:rPr>
          <w:color w:val="231F20"/>
          <w:spacing w:val="-9"/>
        </w:rPr>
        <w:t> </w:t>
      </w:r>
      <w:r>
        <w:rPr>
          <w:color w:val="231F20"/>
        </w:rPr>
        <w:t>trabajo se</w:t>
      </w:r>
      <w:r>
        <w:rPr>
          <w:color w:val="231F20"/>
          <w:spacing w:val="-7"/>
        </w:rPr>
        <w:t> </w:t>
      </w:r>
      <w:r>
        <w:rPr>
          <w:color w:val="231F20"/>
        </w:rPr>
        <w:t>produjo</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primero</w:t>
      </w:r>
      <w:r>
        <w:rPr>
          <w:color w:val="231F20"/>
          <w:spacing w:val="-7"/>
        </w:rPr>
        <w:t> </w:t>
      </w:r>
      <w:r>
        <w:rPr>
          <w:color w:val="231F20"/>
        </w:rPr>
        <w:t>un</w:t>
      </w:r>
      <w:r>
        <w:rPr>
          <w:color w:val="231F20"/>
          <w:spacing w:val="-7"/>
        </w:rPr>
        <w:t> </w:t>
      </w:r>
      <w:r>
        <w:rPr>
          <w:color w:val="231F20"/>
        </w:rPr>
        <w:t>rendimiento</w:t>
      </w:r>
      <w:r>
        <w:rPr>
          <w:color w:val="231F20"/>
          <w:spacing w:val="-7"/>
        </w:rPr>
        <w:t> </w:t>
      </w:r>
      <w:r>
        <w:rPr>
          <w:color w:val="231F20"/>
        </w:rPr>
        <w:t>físico</w:t>
      </w:r>
      <w:r>
        <w:rPr>
          <w:color w:val="231F20"/>
          <w:spacing w:val="-7"/>
        </w:rPr>
        <w:t> </w:t>
      </w:r>
      <w:r>
        <w:rPr>
          <w:color w:val="231F20"/>
        </w:rPr>
        <w:t>de</w:t>
      </w:r>
      <w:r>
        <w:rPr>
          <w:color w:val="231F20"/>
          <w:spacing w:val="-7"/>
        </w:rPr>
        <w:t> </w:t>
      </w:r>
      <w:r>
        <w:rPr>
          <w:color w:val="231F20"/>
        </w:rPr>
        <w:t>24.586</w:t>
      </w:r>
      <w:r>
        <w:rPr>
          <w:color w:val="231F20"/>
          <w:spacing w:val="-7"/>
        </w:rPr>
        <w:t> </w:t>
      </w:r>
      <w:r>
        <w:rPr>
          <w:color w:val="231F20"/>
        </w:rPr>
        <w:t>ton/ha,</w:t>
      </w:r>
      <w:r>
        <w:rPr>
          <w:color w:val="231F20"/>
          <w:spacing w:val="-7"/>
        </w:rPr>
        <w:t> </w:t>
      </w:r>
      <w:r>
        <w:rPr>
          <w:color w:val="231F20"/>
        </w:rPr>
        <w:t>mientras</w:t>
      </w:r>
      <w:r>
        <w:rPr>
          <w:color w:val="231F20"/>
          <w:spacing w:val="-7"/>
        </w:rPr>
        <w:t> </w:t>
      </w:r>
      <w:r>
        <w:rPr>
          <w:color w:val="231F20"/>
        </w:rPr>
        <w:t>que</w:t>
      </w:r>
      <w:r>
        <w:rPr>
          <w:color w:val="231F20"/>
          <w:spacing w:val="-7"/>
        </w:rPr>
        <w:t> </w:t>
      </w:r>
      <w:r>
        <w:rPr>
          <w:color w:val="231F20"/>
        </w:rPr>
        <w:t>en</w:t>
      </w:r>
      <w:r>
        <w:rPr>
          <w:color w:val="231F20"/>
          <w:spacing w:val="-7"/>
        </w:rPr>
        <w:t> </w:t>
      </w:r>
      <w:r>
        <w:rPr>
          <w:color w:val="231F20"/>
        </w:rPr>
        <w:t>Nogal</w:t>
      </w:r>
      <w:r>
        <w:rPr>
          <w:color w:val="231F20"/>
          <w:spacing w:val="-7"/>
        </w:rPr>
        <w:t> </w:t>
      </w:r>
      <w:r>
        <w:rPr>
          <w:color w:val="231F20"/>
        </w:rPr>
        <w:t>se</w:t>
      </w:r>
      <w:r>
        <w:rPr>
          <w:color w:val="231F20"/>
          <w:spacing w:val="-7"/>
        </w:rPr>
        <w:t> </w:t>
      </w:r>
      <w:r>
        <w:rPr>
          <w:color w:val="231F20"/>
        </w:rPr>
        <w:t>generaron 1.459ton/ha, que en término de rendimiento monetario se tradujo en $59,655 de ganancia /ha en Chile BT y $25,423 de ganancia/ha en Nogal. La cantidad de trabajo socialmente invertida/ha en   el cultivo de Chile BT fue 2.85 veces el tiempo de trabajo invertido en una hectárea de nogal BT y redituó una ganancia/ha 2.35 veces a la lograda en el nogal (Cuadro</w:t>
      </w:r>
      <w:r>
        <w:rPr>
          <w:color w:val="231F20"/>
          <w:spacing w:val="-2"/>
        </w:rPr>
        <w:t> </w:t>
      </w:r>
      <w:r>
        <w:rPr>
          <w:color w:val="231F20"/>
        </w:rPr>
        <w:t>1).</w:t>
      </w:r>
    </w:p>
    <w:p>
      <w:pPr>
        <w:pStyle w:val="BodyText"/>
        <w:spacing w:before="10"/>
      </w:pPr>
    </w:p>
    <w:p>
      <w:pPr>
        <w:pStyle w:val="BodyText"/>
        <w:spacing w:line="247" w:lineRule="auto"/>
        <w:ind w:left="1270" w:right="1267"/>
        <w:jc w:val="both"/>
      </w:pPr>
      <w:r>
        <w:rPr>
          <w:color w:val="231F20"/>
        </w:rPr>
        <w:t>Se</w:t>
      </w:r>
      <w:r>
        <w:rPr>
          <w:color w:val="231F20"/>
          <w:spacing w:val="-8"/>
        </w:rPr>
        <w:t> </w:t>
      </w:r>
      <w:r>
        <w:rPr>
          <w:color w:val="231F20"/>
        </w:rPr>
        <w:t>determinó</w:t>
      </w:r>
      <w:r>
        <w:rPr>
          <w:color w:val="231F20"/>
          <w:spacing w:val="-8"/>
        </w:rPr>
        <w:t> </w:t>
      </w:r>
      <w:r>
        <w:rPr>
          <w:color w:val="231F20"/>
        </w:rPr>
        <w:t>que</w:t>
      </w:r>
      <w:r>
        <w:rPr>
          <w:color w:val="231F20"/>
          <w:spacing w:val="-8"/>
        </w:rPr>
        <w:t> </w:t>
      </w:r>
      <w:r>
        <w:rPr>
          <w:color w:val="231F20"/>
        </w:rPr>
        <w:t>la</w:t>
      </w:r>
      <w:r>
        <w:rPr>
          <w:color w:val="231F20"/>
          <w:spacing w:val="-8"/>
        </w:rPr>
        <w:t> </w:t>
      </w:r>
      <w:r>
        <w:rPr>
          <w:color w:val="231F20"/>
        </w:rPr>
        <w:t>inversión</w:t>
      </w:r>
      <w:r>
        <w:rPr>
          <w:color w:val="231F20"/>
          <w:spacing w:val="-8"/>
        </w:rPr>
        <w:t> </w:t>
      </w:r>
      <w:r>
        <w:rPr>
          <w:color w:val="231F20"/>
        </w:rPr>
        <w:t>de</w:t>
      </w:r>
      <w:r>
        <w:rPr>
          <w:color w:val="231F20"/>
          <w:spacing w:val="-8"/>
        </w:rPr>
        <w:t> </w:t>
      </w:r>
      <w:r>
        <w:rPr>
          <w:color w:val="231F20"/>
        </w:rPr>
        <w:t>una</w:t>
      </w:r>
      <w:r>
        <w:rPr>
          <w:color w:val="231F20"/>
          <w:spacing w:val="-8"/>
        </w:rPr>
        <w:t> </w:t>
      </w:r>
      <w:r>
        <w:rPr>
          <w:color w:val="231F20"/>
        </w:rPr>
        <w:t>jornada</w:t>
      </w:r>
      <w:r>
        <w:rPr>
          <w:color w:val="231F20"/>
          <w:spacing w:val="-8"/>
        </w:rPr>
        <w:t> </w:t>
      </w:r>
      <w:r>
        <w:rPr>
          <w:color w:val="231F20"/>
        </w:rPr>
        <w:t>de</w:t>
      </w:r>
      <w:r>
        <w:rPr>
          <w:color w:val="231F20"/>
          <w:spacing w:val="-8"/>
        </w:rPr>
        <w:t> </w:t>
      </w:r>
      <w:r>
        <w:rPr>
          <w:color w:val="231F20"/>
        </w:rPr>
        <w:t>trabajo</w:t>
      </w:r>
      <w:r>
        <w:rPr>
          <w:color w:val="231F20"/>
          <w:spacing w:val="-8"/>
        </w:rPr>
        <w:t> </w:t>
      </w:r>
      <w:r>
        <w:rPr>
          <w:color w:val="231F20"/>
        </w:rPr>
        <w:t>produjo</w:t>
      </w:r>
      <w:r>
        <w:rPr>
          <w:color w:val="231F20"/>
          <w:spacing w:val="-8"/>
        </w:rPr>
        <w:t> </w:t>
      </w:r>
      <w:r>
        <w:rPr>
          <w:color w:val="231F20"/>
        </w:rPr>
        <w:t>0.146</w:t>
      </w:r>
      <w:r>
        <w:rPr>
          <w:color w:val="231F20"/>
          <w:spacing w:val="-8"/>
        </w:rPr>
        <w:t> </w:t>
      </w:r>
      <w:r>
        <w:rPr>
          <w:color w:val="231F20"/>
        </w:rPr>
        <w:t>kg</w:t>
      </w:r>
      <w:r>
        <w:rPr>
          <w:color w:val="231F20"/>
          <w:spacing w:val="-8"/>
        </w:rPr>
        <w:t> </w:t>
      </w:r>
      <w:r>
        <w:rPr>
          <w:color w:val="231F20"/>
        </w:rPr>
        <w:t>de</w:t>
      </w:r>
      <w:r>
        <w:rPr>
          <w:color w:val="231F20"/>
          <w:spacing w:val="-8"/>
        </w:rPr>
        <w:t> </w:t>
      </w:r>
      <w:r>
        <w:rPr>
          <w:color w:val="231F20"/>
        </w:rPr>
        <w:t>chile,</w:t>
      </w:r>
      <w:r>
        <w:rPr>
          <w:color w:val="231F20"/>
          <w:spacing w:val="-8"/>
        </w:rPr>
        <w:t> </w:t>
      </w:r>
      <w:r>
        <w:rPr>
          <w:color w:val="231F20"/>
        </w:rPr>
        <w:t>pero</w:t>
      </w:r>
      <w:r>
        <w:rPr>
          <w:color w:val="231F20"/>
          <w:spacing w:val="-8"/>
        </w:rPr>
        <w:t> </w:t>
      </w:r>
      <w:r>
        <w:rPr>
          <w:color w:val="231F20"/>
        </w:rPr>
        <w:t>en</w:t>
      </w:r>
      <w:r>
        <w:rPr>
          <w:color w:val="231F20"/>
          <w:spacing w:val="-8"/>
        </w:rPr>
        <w:t> </w:t>
      </w:r>
      <w:r>
        <w:rPr>
          <w:color w:val="231F20"/>
        </w:rPr>
        <w:t>nogal</w:t>
      </w:r>
      <w:r>
        <w:rPr>
          <w:color w:val="231F20"/>
          <w:spacing w:val="-8"/>
        </w:rPr>
        <w:t> </w:t>
      </w:r>
      <w:r>
        <w:rPr>
          <w:color w:val="231F20"/>
          <w:spacing w:val="-2"/>
        </w:rPr>
        <w:t>esa </w:t>
      </w:r>
      <w:r>
        <w:rPr>
          <w:color w:val="231F20"/>
        </w:rPr>
        <w:t>misma</w:t>
      </w:r>
      <w:r>
        <w:rPr>
          <w:color w:val="231F20"/>
          <w:spacing w:val="-17"/>
        </w:rPr>
        <w:t> </w:t>
      </w:r>
      <w:r>
        <w:rPr>
          <w:color w:val="231F20"/>
        </w:rPr>
        <w:t>jornada</w:t>
      </w:r>
      <w:r>
        <w:rPr>
          <w:color w:val="231F20"/>
          <w:spacing w:val="-17"/>
        </w:rPr>
        <w:t> </w:t>
      </w:r>
      <w:r>
        <w:rPr>
          <w:color w:val="231F20"/>
        </w:rPr>
        <w:t>produjo</w:t>
      </w:r>
      <w:r>
        <w:rPr>
          <w:color w:val="231F20"/>
          <w:spacing w:val="-16"/>
        </w:rPr>
        <w:t> </w:t>
      </w:r>
      <w:r>
        <w:rPr>
          <w:color w:val="231F20"/>
        </w:rPr>
        <w:t>solamente</w:t>
      </w:r>
      <w:r>
        <w:rPr>
          <w:color w:val="231F20"/>
          <w:spacing w:val="-16"/>
        </w:rPr>
        <w:t> </w:t>
      </w:r>
      <w:r>
        <w:rPr>
          <w:color w:val="231F20"/>
        </w:rPr>
        <w:t>0.025</w:t>
      </w:r>
      <w:r>
        <w:rPr>
          <w:color w:val="231F20"/>
          <w:spacing w:val="-17"/>
        </w:rPr>
        <w:t> </w:t>
      </w:r>
      <w:r>
        <w:rPr>
          <w:color w:val="231F20"/>
        </w:rPr>
        <w:t>ton</w:t>
      </w:r>
      <w:r>
        <w:rPr>
          <w:color w:val="231F20"/>
          <w:spacing w:val="-17"/>
        </w:rPr>
        <w:t> </w:t>
      </w:r>
      <w:r>
        <w:rPr>
          <w:color w:val="231F20"/>
        </w:rPr>
        <w:t>de</w:t>
      </w:r>
      <w:r>
        <w:rPr>
          <w:color w:val="231F20"/>
          <w:spacing w:val="-16"/>
        </w:rPr>
        <w:t> </w:t>
      </w:r>
      <w:r>
        <w:rPr>
          <w:color w:val="231F20"/>
        </w:rPr>
        <w:t>nuez,</w:t>
      </w:r>
      <w:r>
        <w:rPr>
          <w:color w:val="231F20"/>
          <w:spacing w:val="-16"/>
        </w:rPr>
        <w:t> </w:t>
      </w:r>
      <w:r>
        <w:rPr>
          <w:color w:val="231F20"/>
        </w:rPr>
        <w:t>asimismo,</w:t>
      </w:r>
      <w:r>
        <w:rPr>
          <w:color w:val="231F20"/>
          <w:spacing w:val="-17"/>
        </w:rPr>
        <w:t> </w:t>
      </w:r>
      <w:r>
        <w:rPr>
          <w:color w:val="231F20"/>
        </w:rPr>
        <w:t>el</w:t>
      </w:r>
      <w:r>
        <w:rPr>
          <w:color w:val="231F20"/>
          <w:spacing w:val="-17"/>
        </w:rPr>
        <w:t> </w:t>
      </w:r>
      <w:r>
        <w:rPr>
          <w:color w:val="231F20"/>
        </w:rPr>
        <w:t>Cuadro</w:t>
      </w:r>
      <w:r>
        <w:rPr>
          <w:color w:val="231F20"/>
          <w:spacing w:val="-16"/>
        </w:rPr>
        <w:t> </w:t>
      </w:r>
      <w:r>
        <w:rPr>
          <w:color w:val="231F20"/>
        </w:rPr>
        <w:t>1</w:t>
      </w:r>
      <w:r>
        <w:rPr>
          <w:color w:val="231F20"/>
          <w:spacing w:val="-17"/>
        </w:rPr>
        <w:t> </w:t>
      </w:r>
      <w:r>
        <w:rPr>
          <w:color w:val="231F20"/>
        </w:rPr>
        <w:t>muestra</w:t>
      </w:r>
      <w:r>
        <w:rPr>
          <w:color w:val="231F20"/>
          <w:spacing w:val="-17"/>
        </w:rPr>
        <w:t> </w:t>
      </w:r>
      <w:r>
        <w:rPr>
          <w:color w:val="231F20"/>
        </w:rPr>
        <w:t>que</w:t>
      </w:r>
      <w:r>
        <w:rPr>
          <w:color w:val="231F20"/>
          <w:spacing w:val="-16"/>
        </w:rPr>
        <w:t> </w:t>
      </w:r>
      <w:r>
        <w:rPr>
          <w:color w:val="231F20"/>
        </w:rPr>
        <w:t>producir</w:t>
      </w:r>
      <w:r>
        <w:rPr>
          <w:color w:val="231F20"/>
          <w:spacing w:val="-16"/>
        </w:rPr>
        <w:t> </w:t>
      </w:r>
      <w:r>
        <w:rPr>
          <w:color w:val="231F20"/>
          <w:spacing w:val="-2"/>
        </w:rPr>
        <w:t>una </w:t>
      </w:r>
      <w:r>
        <w:rPr>
          <w:color w:val="231F20"/>
        </w:rPr>
        <w:t>tonelada de nuez costó </w:t>
      </w:r>
      <w:r>
        <w:rPr>
          <w:color w:val="231F20"/>
          <w:spacing w:val="-3"/>
        </w:rPr>
        <w:t>$11,210, </w:t>
      </w:r>
      <w:r>
        <w:rPr>
          <w:color w:val="231F20"/>
        </w:rPr>
        <w:t>mientras que la ton de chile incurrió en un costo de $1,073.6. En lo referente al producto monetario/jornada laboral, medido ese producto como la cantidad de ganancia bruta</w:t>
      </w:r>
      <w:r>
        <w:rPr>
          <w:color w:val="231F20"/>
          <w:spacing w:val="-12"/>
        </w:rPr>
        <w:t> </w:t>
      </w:r>
      <w:r>
        <w:rPr>
          <w:color w:val="231F20"/>
        </w:rPr>
        <w:t>lograda</w:t>
      </w:r>
      <w:r>
        <w:rPr>
          <w:color w:val="231F20"/>
          <w:spacing w:val="-12"/>
        </w:rPr>
        <w:t> </w:t>
      </w:r>
      <w:r>
        <w:rPr>
          <w:color w:val="231F20"/>
        </w:rPr>
        <w:t>por</w:t>
      </w:r>
      <w:r>
        <w:rPr>
          <w:color w:val="231F20"/>
          <w:spacing w:val="-12"/>
        </w:rPr>
        <w:t> </w:t>
      </w:r>
      <w:r>
        <w:rPr>
          <w:color w:val="231F20"/>
        </w:rPr>
        <w:t>jornada</w:t>
      </w:r>
      <w:r>
        <w:rPr>
          <w:color w:val="231F20"/>
          <w:spacing w:val="-12"/>
        </w:rPr>
        <w:t> </w:t>
      </w:r>
      <w:r>
        <w:rPr>
          <w:color w:val="231F20"/>
        </w:rPr>
        <w:t>invertida</w:t>
      </w:r>
      <w:r>
        <w:rPr>
          <w:color w:val="231F20"/>
          <w:spacing w:val="-13"/>
        </w:rPr>
        <w:t> </w:t>
      </w:r>
      <w:r>
        <w:rPr>
          <w:color w:val="231F20"/>
        </w:rPr>
        <w:t>de</w:t>
      </w:r>
      <w:r>
        <w:rPr>
          <w:color w:val="231F20"/>
          <w:spacing w:val="-12"/>
        </w:rPr>
        <w:t> </w:t>
      </w:r>
      <w:r>
        <w:rPr>
          <w:color w:val="231F20"/>
        </w:rPr>
        <w:t>trabajo,</w:t>
      </w:r>
      <w:r>
        <w:rPr>
          <w:color w:val="231F20"/>
          <w:spacing w:val="-13"/>
        </w:rPr>
        <w:t> </w:t>
      </w:r>
      <w:r>
        <w:rPr>
          <w:color w:val="231F20"/>
        </w:rPr>
        <w:t>se</w:t>
      </w:r>
      <w:r>
        <w:rPr>
          <w:color w:val="231F20"/>
          <w:spacing w:val="-12"/>
        </w:rPr>
        <w:t> </w:t>
      </w:r>
      <w:r>
        <w:rPr>
          <w:color w:val="231F20"/>
        </w:rPr>
        <w:t>encontró</w:t>
      </w:r>
      <w:r>
        <w:rPr>
          <w:color w:val="231F20"/>
          <w:spacing w:val="-13"/>
        </w:rPr>
        <w:t> </w:t>
      </w:r>
      <w:r>
        <w:rPr>
          <w:color w:val="231F20"/>
        </w:rPr>
        <w:t>que</w:t>
      </w:r>
      <w:r>
        <w:rPr>
          <w:color w:val="231F20"/>
          <w:spacing w:val="-12"/>
        </w:rPr>
        <w:t> </w:t>
      </w:r>
      <w:r>
        <w:rPr>
          <w:color w:val="231F20"/>
        </w:rPr>
        <w:t>una</w:t>
      </w:r>
      <w:r>
        <w:rPr>
          <w:color w:val="231F20"/>
          <w:spacing w:val="-12"/>
        </w:rPr>
        <w:t> </w:t>
      </w:r>
      <w:r>
        <w:rPr>
          <w:color w:val="231F20"/>
        </w:rPr>
        <w:t>jornada</w:t>
      </w:r>
      <w:r>
        <w:rPr>
          <w:color w:val="231F20"/>
          <w:spacing w:val="-12"/>
        </w:rPr>
        <w:t> </w:t>
      </w:r>
      <w:r>
        <w:rPr>
          <w:color w:val="231F20"/>
        </w:rPr>
        <w:t>de</w:t>
      </w:r>
      <w:r>
        <w:rPr>
          <w:color w:val="231F20"/>
          <w:spacing w:val="-12"/>
        </w:rPr>
        <w:t> </w:t>
      </w:r>
      <w:r>
        <w:rPr>
          <w:color w:val="231F20"/>
        </w:rPr>
        <w:t>trabajo</w:t>
      </w:r>
      <w:r>
        <w:rPr>
          <w:color w:val="231F20"/>
          <w:spacing w:val="-12"/>
        </w:rPr>
        <w:t> </w:t>
      </w:r>
      <w:r>
        <w:rPr>
          <w:color w:val="231F20"/>
        </w:rPr>
        <w:t>generó</w:t>
      </w:r>
      <w:r>
        <w:rPr>
          <w:color w:val="231F20"/>
          <w:spacing w:val="-12"/>
        </w:rPr>
        <w:t> </w:t>
      </w:r>
      <w:r>
        <w:rPr>
          <w:color w:val="231F20"/>
        </w:rPr>
        <w:t>en</w:t>
      </w:r>
      <w:r>
        <w:rPr>
          <w:color w:val="231F20"/>
          <w:spacing w:val="-12"/>
        </w:rPr>
        <w:t> </w:t>
      </w:r>
      <w:r>
        <w:rPr>
          <w:color w:val="231F20"/>
        </w:rPr>
        <w:t>Chile BT un monto de $353.3, a la vez que el nogal BT generó $428.9/jornada, así, se infiere que una </w:t>
      </w:r>
      <w:r>
        <w:rPr>
          <w:color w:val="231F20"/>
          <w:spacing w:val="-3"/>
        </w:rPr>
        <w:t>jor- </w:t>
      </w:r>
      <w:r>
        <w:rPr>
          <w:color w:val="231F20"/>
        </w:rPr>
        <w:t>nada</w:t>
      </w:r>
      <w:r>
        <w:rPr>
          <w:color w:val="231F20"/>
          <w:spacing w:val="-12"/>
        </w:rPr>
        <w:t> </w:t>
      </w:r>
      <w:r>
        <w:rPr>
          <w:color w:val="231F20"/>
        </w:rPr>
        <w:t>de</w:t>
      </w:r>
      <w:r>
        <w:rPr>
          <w:color w:val="231F20"/>
          <w:spacing w:val="-12"/>
        </w:rPr>
        <w:t> </w:t>
      </w:r>
      <w:r>
        <w:rPr>
          <w:color w:val="231F20"/>
        </w:rPr>
        <w:t>trabajo</w:t>
      </w:r>
      <w:r>
        <w:rPr>
          <w:color w:val="231F20"/>
          <w:spacing w:val="-12"/>
        </w:rPr>
        <w:t> </w:t>
      </w:r>
      <w:r>
        <w:rPr>
          <w:color w:val="231F20"/>
        </w:rPr>
        <w:t>es</w:t>
      </w:r>
      <w:r>
        <w:rPr>
          <w:color w:val="231F20"/>
          <w:spacing w:val="-12"/>
        </w:rPr>
        <w:t> </w:t>
      </w:r>
      <w:r>
        <w:rPr>
          <w:color w:val="231F20"/>
        </w:rPr>
        <w:t>menos</w:t>
      </w:r>
      <w:r>
        <w:rPr>
          <w:color w:val="231F20"/>
          <w:spacing w:val="-12"/>
        </w:rPr>
        <w:t> </w:t>
      </w:r>
      <w:r>
        <w:rPr>
          <w:color w:val="231F20"/>
        </w:rPr>
        <w:t>productiva</w:t>
      </w:r>
      <w:r>
        <w:rPr>
          <w:color w:val="231F20"/>
          <w:spacing w:val="-12"/>
        </w:rPr>
        <w:t> </w:t>
      </w:r>
      <w:r>
        <w:rPr>
          <w:color w:val="231F20"/>
        </w:rPr>
        <w:t>en</w:t>
      </w:r>
      <w:r>
        <w:rPr>
          <w:color w:val="231F20"/>
          <w:spacing w:val="-12"/>
        </w:rPr>
        <w:t> </w:t>
      </w:r>
      <w:r>
        <w:rPr>
          <w:color w:val="231F20"/>
        </w:rPr>
        <w:t>Chile</w:t>
      </w:r>
      <w:r>
        <w:rPr>
          <w:color w:val="231F20"/>
          <w:spacing w:val="-12"/>
        </w:rPr>
        <w:t> </w:t>
      </w:r>
      <w:r>
        <w:rPr>
          <w:color w:val="231F20"/>
        </w:rPr>
        <w:t>BT</w:t>
      </w:r>
      <w:r>
        <w:rPr>
          <w:color w:val="231F20"/>
          <w:spacing w:val="-16"/>
        </w:rPr>
        <w:t> </w:t>
      </w:r>
      <w:r>
        <w:rPr>
          <w:color w:val="231F20"/>
        </w:rPr>
        <w:t>que</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Nogal</w:t>
      </w:r>
      <w:r>
        <w:rPr>
          <w:color w:val="231F20"/>
          <w:spacing w:val="-16"/>
        </w:rPr>
        <w:t> </w:t>
      </w:r>
      <w:r>
        <w:rPr>
          <w:color w:val="231F20"/>
          <w:spacing w:val="-9"/>
        </w:rPr>
        <w:t>T,</w:t>
      </w:r>
      <w:r>
        <w:rPr>
          <w:color w:val="231F20"/>
          <w:spacing w:val="-12"/>
        </w:rPr>
        <w:t> </w:t>
      </w:r>
      <w:r>
        <w:rPr>
          <w:color w:val="231F20"/>
        </w:rPr>
        <w:t>pues</w:t>
      </w:r>
      <w:r>
        <w:rPr>
          <w:color w:val="231F20"/>
          <w:spacing w:val="-12"/>
        </w:rPr>
        <w:t> </w:t>
      </w:r>
      <w:r>
        <w:rPr>
          <w:color w:val="231F20"/>
        </w:rPr>
        <w:t>produce</w:t>
      </w:r>
      <w:r>
        <w:rPr>
          <w:color w:val="231F20"/>
          <w:spacing w:val="-12"/>
        </w:rPr>
        <w:t> </w:t>
      </w:r>
      <w:r>
        <w:rPr>
          <w:color w:val="231F20"/>
        </w:rPr>
        <w:t>apenas</w:t>
      </w:r>
      <w:r>
        <w:rPr>
          <w:color w:val="231F20"/>
          <w:spacing w:val="-12"/>
        </w:rPr>
        <w:t> </w:t>
      </w:r>
      <w:r>
        <w:rPr>
          <w:color w:val="231F20"/>
        </w:rPr>
        <w:t>un</w:t>
      </w:r>
      <w:r>
        <w:rPr>
          <w:color w:val="231F20"/>
          <w:spacing w:val="-12"/>
        </w:rPr>
        <w:t> </w:t>
      </w:r>
      <w:r>
        <w:rPr>
          <w:color w:val="231F20"/>
        </w:rPr>
        <w:t>82.37%.</w:t>
      </w:r>
    </w:p>
    <w:p>
      <w:pPr>
        <w:pStyle w:val="BodyText"/>
        <w:spacing w:before="10"/>
      </w:pPr>
    </w:p>
    <w:p>
      <w:pPr>
        <w:pStyle w:val="BodyText"/>
        <w:spacing w:line="247" w:lineRule="auto"/>
        <w:ind w:left="1270" w:right="1268"/>
        <w:jc w:val="both"/>
      </w:pPr>
      <w:r>
        <w:rPr>
          <w:color w:val="231F20"/>
        </w:rPr>
        <w:t>Las 3,518 ha cosechadas de nogal BT, demandaron un volumen de 56.29 millones de m³ de agua para producir una derrama económica en La Comarca Lagunera igual a $89.4 millones de pesos  de</w:t>
      </w:r>
    </w:p>
    <w:p>
      <w:pPr>
        <w:spacing w:after="0" w:line="247" w:lineRule="auto"/>
        <w:jc w:val="both"/>
        <w:sectPr>
          <w:pgSz w:w="10920" w:h="13080"/>
          <w:pgMar w:header="0" w:footer="1025" w:top="420" w:bottom="1220" w:left="0" w:right="0"/>
        </w:sectPr>
      </w:pPr>
    </w:p>
    <w:p>
      <w:pPr>
        <w:pStyle w:val="BodyText"/>
        <w:rPr>
          <w:sz w:val="20"/>
        </w:rPr>
      </w:pPr>
    </w:p>
    <w:p>
      <w:pPr>
        <w:pStyle w:val="BodyText"/>
        <w:rPr>
          <w:sz w:val="20"/>
        </w:rPr>
      </w:pPr>
    </w:p>
    <w:p>
      <w:pPr>
        <w:pStyle w:val="BodyText"/>
        <w:rPr>
          <w:sz w:val="23"/>
        </w:rPr>
      </w:pPr>
    </w:p>
    <w:p>
      <w:pPr>
        <w:pStyle w:val="BodyText"/>
        <w:spacing w:line="249" w:lineRule="auto" w:before="73"/>
        <w:ind w:left="1270" w:right="1264"/>
        <w:jc w:val="both"/>
      </w:pPr>
      <w:r>
        <w:rPr>
          <w:color w:val="231F20"/>
        </w:rPr>
        <w:t>ganancia, mientras que las 435 ha de Chile BT consumieron 4.08 millones de m³ de agua para que se pudiese producir una derrama económica de $25.95 millones de pesos de ganancia (Cuadro 1), es decir, con una superficie cosechada de apenas el 12.36% la del Nogal </w:t>
      </w:r>
      <w:r>
        <w:rPr>
          <w:color w:val="231F20"/>
          <w:spacing w:val="-6"/>
        </w:rPr>
        <w:t>BT, </w:t>
      </w:r>
      <w:r>
        <w:rPr>
          <w:color w:val="231F20"/>
        </w:rPr>
        <w:t>y haber consumido un volumen de agua igual a apenas el 7.25% (= 435 ha/3,518 ha y 4.08 millones de m³ de agua /56.29 millones de m3 de agua respectivamente) del volumen de agua usado en Nogal </w:t>
      </w:r>
      <w:r>
        <w:rPr>
          <w:color w:val="231F20"/>
          <w:spacing w:val="-6"/>
        </w:rPr>
        <w:t>BT, </w:t>
      </w:r>
      <w:r>
        <w:rPr>
          <w:color w:val="231F20"/>
        </w:rPr>
        <w:t>el Chile BT produjo a nivel regional, una masa de ganancia igual al 29.03% (=$25.95/$89.4) de la ganancia que regionalmente produjo el nogal </w:t>
      </w:r>
      <w:r>
        <w:rPr>
          <w:color w:val="231F20"/>
          <w:spacing w:val="-6"/>
        </w:rPr>
        <w:t>BT, </w:t>
      </w:r>
      <w:r>
        <w:rPr>
          <w:color w:val="231F20"/>
        </w:rPr>
        <w:t>lo que indica que en el cultivo de Chile BT se tuvo una mayor eficacia en el uso del suelo y el agua de riego respecto de la eficacia alcanzada en Nogal </w:t>
      </w:r>
      <w:r>
        <w:rPr>
          <w:color w:val="231F20"/>
          <w:spacing w:val="-6"/>
        </w:rPr>
        <w:t>BT, </w:t>
      </w:r>
      <w:r>
        <w:rPr>
          <w:color w:val="231F20"/>
        </w:rPr>
        <w:t>que con una superficie -visto ahora al revés para una mayor comprensión- 8.09 veces más grande que   la de Chile (= 3,518 ha/435 ha) y tras haber consumido un volumen de agua 13.80 veces el tamaño del volumen de agua usado en Chile (= 56.29 millones de m</w:t>
      </w:r>
      <w:r>
        <w:rPr>
          <w:color w:val="231F20"/>
          <w:position w:val="7"/>
          <w:sz w:val="12"/>
        </w:rPr>
        <w:t>3 </w:t>
      </w:r>
      <w:r>
        <w:rPr>
          <w:color w:val="231F20"/>
        </w:rPr>
        <w:t>de agua/ 4.08 millones de m³ de agua respectivamente),</w:t>
      </w:r>
      <w:r>
        <w:rPr>
          <w:color w:val="231F20"/>
          <w:spacing w:val="-10"/>
        </w:rPr>
        <w:t> </w:t>
      </w:r>
      <w:r>
        <w:rPr>
          <w:color w:val="231F20"/>
        </w:rPr>
        <w:t>el</w:t>
      </w:r>
      <w:r>
        <w:rPr>
          <w:color w:val="231F20"/>
          <w:spacing w:val="-10"/>
        </w:rPr>
        <w:t> </w:t>
      </w:r>
      <w:r>
        <w:rPr>
          <w:color w:val="231F20"/>
        </w:rPr>
        <w:t>Nogal</w:t>
      </w:r>
      <w:r>
        <w:rPr>
          <w:color w:val="231F20"/>
          <w:spacing w:val="-10"/>
        </w:rPr>
        <w:t> </w:t>
      </w:r>
      <w:r>
        <w:rPr>
          <w:color w:val="231F20"/>
        </w:rPr>
        <w:t>BT</w:t>
      </w:r>
      <w:r>
        <w:rPr>
          <w:color w:val="231F20"/>
          <w:spacing w:val="-13"/>
        </w:rPr>
        <w:t> </w:t>
      </w:r>
      <w:r>
        <w:rPr>
          <w:color w:val="231F20"/>
        </w:rPr>
        <w:t>incurrió</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asimetría</w:t>
      </w:r>
      <w:r>
        <w:rPr>
          <w:color w:val="231F20"/>
          <w:spacing w:val="-10"/>
        </w:rPr>
        <w:t> </w:t>
      </w:r>
      <w:r>
        <w:rPr>
          <w:color w:val="231F20"/>
        </w:rPr>
        <w:t>de</w:t>
      </w:r>
      <w:r>
        <w:rPr>
          <w:color w:val="231F20"/>
          <w:spacing w:val="-10"/>
        </w:rPr>
        <w:t> </w:t>
      </w:r>
      <w:r>
        <w:rPr>
          <w:color w:val="231F20"/>
        </w:rPr>
        <w:t>producir</w:t>
      </w:r>
      <w:r>
        <w:rPr>
          <w:color w:val="231F20"/>
          <w:spacing w:val="-10"/>
        </w:rPr>
        <w:t> </w:t>
      </w:r>
      <w:r>
        <w:rPr>
          <w:color w:val="231F20"/>
        </w:rPr>
        <w:t>una</w:t>
      </w:r>
      <w:r>
        <w:rPr>
          <w:color w:val="231F20"/>
          <w:spacing w:val="-10"/>
        </w:rPr>
        <w:t> </w:t>
      </w:r>
      <w:r>
        <w:rPr>
          <w:color w:val="231F20"/>
        </w:rPr>
        <w:t>masa</w:t>
      </w:r>
      <w:r>
        <w:rPr>
          <w:color w:val="231F20"/>
          <w:spacing w:val="-10"/>
        </w:rPr>
        <w:t> </w:t>
      </w:r>
      <w:r>
        <w:rPr>
          <w:color w:val="231F20"/>
        </w:rPr>
        <w:t>de</w:t>
      </w:r>
      <w:r>
        <w:rPr>
          <w:color w:val="231F20"/>
          <w:spacing w:val="-10"/>
        </w:rPr>
        <w:t> </w:t>
      </w:r>
      <w:r>
        <w:rPr>
          <w:color w:val="231F20"/>
        </w:rPr>
        <w:t>ganancia</w:t>
      </w:r>
      <w:r>
        <w:rPr>
          <w:color w:val="231F20"/>
          <w:spacing w:val="-10"/>
        </w:rPr>
        <w:t> </w:t>
      </w:r>
      <w:r>
        <w:rPr>
          <w:color w:val="231F20"/>
        </w:rPr>
        <w:t>apenas</w:t>
      </w:r>
      <w:r>
        <w:rPr>
          <w:color w:val="231F20"/>
          <w:spacing w:val="-10"/>
        </w:rPr>
        <w:t> </w:t>
      </w:r>
      <w:r>
        <w:rPr>
          <w:color w:val="231F20"/>
        </w:rPr>
        <w:t>3.44 veces superior a la del cultivo de Chile BT (Cuadro</w:t>
      </w:r>
      <w:r>
        <w:rPr>
          <w:color w:val="231F20"/>
          <w:spacing w:val="-5"/>
        </w:rPr>
        <w:t> </w:t>
      </w:r>
      <w:r>
        <w:rPr>
          <w:color w:val="231F20"/>
        </w:rPr>
        <w:t>1).</w:t>
      </w:r>
    </w:p>
    <w:p>
      <w:pPr>
        <w:pStyle w:val="BodyText"/>
        <w:spacing w:before="7"/>
      </w:pPr>
    </w:p>
    <w:p>
      <w:pPr>
        <w:pStyle w:val="BodyText"/>
        <w:spacing w:line="247" w:lineRule="auto"/>
        <w:ind w:left="1270" w:right="1268"/>
        <w:jc w:val="both"/>
      </w:pPr>
      <w:r>
        <w:rPr>
          <w:color w:val="231F20"/>
        </w:rPr>
        <w:t>Otro aspecto social del uso del agua subterránea en el riego, a nivel macroeconómico, como aho-   ra se está analizando, aparte del uso de los recursos suelo y volumen de agua usado en el riego, deviene en la cantidad de capital utilizado y empleo generado. Así, el Cuadro 1, en su parte in- ferior, señala que el cultivo de Chile </w:t>
      </w:r>
      <w:r>
        <w:rPr>
          <w:color w:val="231F20"/>
          <w:spacing w:val="-6"/>
        </w:rPr>
        <w:t>BT, </w:t>
      </w:r>
      <w:r>
        <w:rPr>
          <w:color w:val="231F20"/>
        </w:rPr>
        <w:t>con un capital invertido de $11.48 millones de pesos a nivel regional, equivalente al 16.54% del total de capital invertido regionalmente tanto en Chile como en Nogal BT (=$11.48+$57.9= $69.38 millones de pesos), pero contribuyó con el 26.05% (=73,449.8+208,512=281,961.8 jornadas/año = 979.03 empleos permanentes) del empleo regional conjunto generado por ambos cultivos, lo que demuestra una mayor eficacia social del capital</w:t>
      </w:r>
      <w:r>
        <w:rPr>
          <w:color w:val="231F20"/>
          <w:spacing w:val="-27"/>
        </w:rPr>
        <w:t> </w:t>
      </w:r>
      <w:r>
        <w:rPr>
          <w:color w:val="231F20"/>
        </w:rPr>
        <w:t>usado en la producción de Chile BT que la del Nogal </w:t>
      </w:r>
      <w:r>
        <w:rPr>
          <w:color w:val="231F20"/>
          <w:spacing w:val="-6"/>
        </w:rPr>
        <w:t>BT, </w:t>
      </w:r>
      <w:r>
        <w:rPr>
          <w:color w:val="231F20"/>
        </w:rPr>
        <w:t>pues, una unidad de capital invertida en Chile, genera más empleo que en Nogal (Cuadro 1).</w:t>
      </w:r>
    </w:p>
    <w:p>
      <w:pPr>
        <w:pStyle w:val="BodyText"/>
        <w:spacing w:before="10"/>
      </w:pPr>
    </w:p>
    <w:p>
      <w:pPr>
        <w:pStyle w:val="BodyText"/>
        <w:spacing w:line="247" w:lineRule="auto"/>
        <w:ind w:left="1270" w:right="1267"/>
        <w:jc w:val="both"/>
      </w:pPr>
      <w:r>
        <w:rPr>
          <w:color w:val="231F20"/>
        </w:rPr>
        <w:t>Así, en forma sintética, se encontró que en el cultivo de Chile </w:t>
      </w:r>
      <w:r>
        <w:rPr>
          <w:color w:val="231F20"/>
          <w:spacing w:val="-6"/>
        </w:rPr>
        <w:t>BT, </w:t>
      </w:r>
      <w:r>
        <w:rPr>
          <w:color w:val="231F20"/>
        </w:rPr>
        <w:t>utilizando 87.63% menos tierra, 80.17%</w:t>
      </w:r>
      <w:r>
        <w:rPr>
          <w:color w:val="231F20"/>
          <w:spacing w:val="-5"/>
        </w:rPr>
        <w:t> </w:t>
      </w:r>
      <w:r>
        <w:rPr>
          <w:color w:val="231F20"/>
        </w:rPr>
        <w:t>menos</w:t>
      </w:r>
      <w:r>
        <w:rPr>
          <w:color w:val="231F20"/>
          <w:spacing w:val="-5"/>
        </w:rPr>
        <w:t> </w:t>
      </w:r>
      <w:r>
        <w:rPr>
          <w:color w:val="231F20"/>
        </w:rPr>
        <w:t>capital</w:t>
      </w:r>
      <w:r>
        <w:rPr>
          <w:color w:val="231F20"/>
          <w:spacing w:val="-5"/>
        </w:rPr>
        <w:t> </w:t>
      </w:r>
      <w:r>
        <w:rPr>
          <w:color w:val="231F20"/>
        </w:rPr>
        <w:t>y</w:t>
      </w:r>
      <w:r>
        <w:rPr>
          <w:color w:val="231F20"/>
          <w:spacing w:val="-5"/>
        </w:rPr>
        <w:t> </w:t>
      </w:r>
      <w:r>
        <w:rPr>
          <w:color w:val="231F20"/>
        </w:rPr>
        <w:t>92.75%</w:t>
      </w:r>
      <w:r>
        <w:rPr>
          <w:color w:val="231F20"/>
          <w:spacing w:val="-5"/>
        </w:rPr>
        <w:t> </w:t>
      </w:r>
      <w:r>
        <w:rPr>
          <w:color w:val="231F20"/>
        </w:rPr>
        <w:t>menos</w:t>
      </w:r>
      <w:r>
        <w:rPr>
          <w:color w:val="231F20"/>
          <w:spacing w:val="-5"/>
        </w:rPr>
        <w:t> </w:t>
      </w:r>
      <w:r>
        <w:rPr>
          <w:color w:val="231F20"/>
        </w:rPr>
        <w:t>agua,</w:t>
      </w:r>
      <w:r>
        <w:rPr>
          <w:color w:val="231F20"/>
          <w:spacing w:val="-5"/>
        </w:rPr>
        <w:t> </w:t>
      </w:r>
      <w:r>
        <w:rPr>
          <w:color w:val="231F20"/>
        </w:rPr>
        <w:t>produjo</w:t>
      </w:r>
      <w:r>
        <w:rPr>
          <w:color w:val="231F20"/>
          <w:spacing w:val="-5"/>
        </w:rPr>
        <w:t> </w:t>
      </w:r>
      <w:r>
        <w:rPr>
          <w:color w:val="231F20"/>
        </w:rPr>
        <w:t>solo</w:t>
      </w:r>
      <w:r>
        <w:rPr>
          <w:color w:val="231F20"/>
          <w:spacing w:val="-5"/>
        </w:rPr>
        <w:t> </w:t>
      </w:r>
      <w:r>
        <w:rPr>
          <w:color w:val="231F20"/>
        </w:rPr>
        <w:t>64.77</w:t>
      </w:r>
      <w:r>
        <w:rPr>
          <w:color w:val="231F20"/>
          <w:spacing w:val="-5"/>
        </w:rPr>
        <w:t> </w:t>
      </w:r>
      <w:r>
        <w:rPr>
          <w:color w:val="231F20"/>
        </w:rPr>
        <w:t>menos</w:t>
      </w:r>
      <w:r>
        <w:rPr>
          <w:color w:val="231F20"/>
          <w:spacing w:val="-5"/>
        </w:rPr>
        <w:t> </w:t>
      </w:r>
      <w:r>
        <w:rPr>
          <w:color w:val="231F20"/>
        </w:rPr>
        <w:t>empleos</w:t>
      </w:r>
      <w:r>
        <w:rPr>
          <w:color w:val="231F20"/>
          <w:spacing w:val="-5"/>
        </w:rPr>
        <w:t> </w:t>
      </w:r>
      <w:r>
        <w:rPr>
          <w:color w:val="231F20"/>
        </w:rPr>
        <w:t>que</w:t>
      </w:r>
      <w:r>
        <w:rPr>
          <w:color w:val="231F20"/>
          <w:spacing w:val="-5"/>
        </w:rPr>
        <w:t> </w:t>
      </w:r>
      <w:r>
        <w:rPr>
          <w:color w:val="231F20"/>
        </w:rPr>
        <w:t>el</w:t>
      </w:r>
      <w:r>
        <w:rPr>
          <w:color w:val="231F20"/>
          <w:spacing w:val="-5"/>
        </w:rPr>
        <w:t> </w:t>
      </w:r>
      <w:r>
        <w:rPr>
          <w:color w:val="231F20"/>
        </w:rPr>
        <w:t>nogal</w:t>
      </w:r>
      <w:r>
        <w:rPr>
          <w:color w:val="231F20"/>
          <w:spacing w:val="-5"/>
        </w:rPr>
        <w:t> </w:t>
      </w:r>
      <w:r>
        <w:rPr>
          <w:color w:val="231F20"/>
        </w:rPr>
        <w:t>BT</w:t>
      </w:r>
      <w:r>
        <w:rPr>
          <w:color w:val="231F20"/>
          <w:spacing w:val="-9"/>
        </w:rPr>
        <w:t> </w:t>
      </w:r>
      <w:r>
        <w:rPr>
          <w:color w:val="231F20"/>
        </w:rPr>
        <w:t>en el DR-017, ello, es muestra, en Chile </w:t>
      </w:r>
      <w:r>
        <w:rPr>
          <w:color w:val="231F20"/>
          <w:spacing w:val="-6"/>
        </w:rPr>
        <w:t>BT, </w:t>
      </w:r>
      <w:r>
        <w:rPr>
          <w:color w:val="231F20"/>
        </w:rPr>
        <w:t>de una mayor eficiencia social macroeconómica en el uso de</w:t>
      </w:r>
      <w:r>
        <w:rPr>
          <w:color w:val="231F20"/>
          <w:spacing w:val="-8"/>
        </w:rPr>
        <w:t> </w:t>
      </w:r>
      <w:r>
        <w:rPr>
          <w:color w:val="231F20"/>
        </w:rPr>
        <w:t>los</w:t>
      </w:r>
      <w:r>
        <w:rPr>
          <w:color w:val="231F20"/>
          <w:spacing w:val="-8"/>
        </w:rPr>
        <w:t> </w:t>
      </w:r>
      <w:r>
        <w:rPr>
          <w:color w:val="231F20"/>
        </w:rPr>
        <w:t>recursos</w:t>
      </w:r>
      <w:r>
        <w:rPr>
          <w:color w:val="231F20"/>
          <w:spacing w:val="-8"/>
        </w:rPr>
        <w:t> </w:t>
      </w:r>
      <w:r>
        <w:rPr>
          <w:color w:val="231F20"/>
        </w:rPr>
        <w:t>tierra,</w:t>
      </w:r>
      <w:r>
        <w:rPr>
          <w:color w:val="231F20"/>
          <w:spacing w:val="-8"/>
        </w:rPr>
        <w:t> </w:t>
      </w:r>
      <w:r>
        <w:rPr>
          <w:color w:val="231F20"/>
        </w:rPr>
        <w:t>agua</w:t>
      </w:r>
      <w:r>
        <w:rPr>
          <w:color w:val="231F20"/>
          <w:spacing w:val="-8"/>
        </w:rPr>
        <w:t> </w:t>
      </w:r>
      <w:r>
        <w:rPr>
          <w:color w:val="231F20"/>
        </w:rPr>
        <w:t>y</w:t>
      </w:r>
      <w:r>
        <w:rPr>
          <w:color w:val="231F20"/>
          <w:spacing w:val="-8"/>
        </w:rPr>
        <w:t> </w:t>
      </w:r>
      <w:r>
        <w:rPr>
          <w:color w:val="231F20"/>
        </w:rPr>
        <w:t>capital</w:t>
      </w:r>
      <w:r>
        <w:rPr>
          <w:color w:val="231F20"/>
          <w:spacing w:val="-8"/>
        </w:rPr>
        <w:t> </w:t>
      </w:r>
      <w:r>
        <w:rPr>
          <w:color w:val="231F20"/>
        </w:rPr>
        <w:t>en</w:t>
      </w:r>
      <w:r>
        <w:rPr>
          <w:color w:val="231F20"/>
          <w:spacing w:val="-8"/>
        </w:rPr>
        <w:t> </w:t>
      </w:r>
      <w:r>
        <w:rPr>
          <w:color w:val="231F20"/>
        </w:rPr>
        <w:t>relación</w:t>
      </w:r>
      <w:r>
        <w:rPr>
          <w:color w:val="231F20"/>
          <w:spacing w:val="-8"/>
        </w:rPr>
        <w:t> </w:t>
      </w:r>
      <w:r>
        <w:rPr>
          <w:color w:val="231F20"/>
        </w:rPr>
        <w:t>al</w:t>
      </w:r>
      <w:r>
        <w:rPr>
          <w:color w:val="231F20"/>
          <w:spacing w:val="-8"/>
        </w:rPr>
        <w:t> </w:t>
      </w:r>
      <w:r>
        <w:rPr>
          <w:color w:val="231F20"/>
        </w:rPr>
        <w:t>Nogal</w:t>
      </w:r>
      <w:r>
        <w:rPr>
          <w:color w:val="231F20"/>
          <w:spacing w:val="-8"/>
        </w:rPr>
        <w:t> </w:t>
      </w:r>
      <w:r>
        <w:rPr>
          <w:color w:val="231F20"/>
          <w:spacing w:val="-6"/>
        </w:rPr>
        <w:t>BT.</w:t>
      </w:r>
      <w:r>
        <w:rPr>
          <w:color w:val="231F20"/>
          <w:spacing w:val="-8"/>
        </w:rPr>
        <w:t> </w:t>
      </w:r>
      <w:r>
        <w:rPr>
          <w:color w:val="231F20"/>
        </w:rPr>
        <w:t>En</w:t>
      </w:r>
      <w:r>
        <w:rPr>
          <w:color w:val="231F20"/>
          <w:spacing w:val="-8"/>
        </w:rPr>
        <w:t> </w:t>
      </w:r>
      <w:r>
        <w:rPr>
          <w:color w:val="231F20"/>
        </w:rPr>
        <w:t>forma</w:t>
      </w:r>
      <w:r>
        <w:rPr>
          <w:color w:val="231F20"/>
          <w:spacing w:val="-8"/>
        </w:rPr>
        <w:t> </w:t>
      </w:r>
      <w:r>
        <w:rPr>
          <w:color w:val="231F20"/>
        </w:rPr>
        <w:t>sintética,</w:t>
      </w:r>
      <w:r>
        <w:rPr>
          <w:color w:val="231F20"/>
          <w:spacing w:val="-8"/>
        </w:rPr>
        <w:t> </w:t>
      </w:r>
      <w:r>
        <w:rPr>
          <w:color w:val="231F20"/>
        </w:rPr>
        <w:t>del</w:t>
      </w:r>
      <w:r>
        <w:rPr>
          <w:color w:val="231F20"/>
          <w:spacing w:val="-8"/>
        </w:rPr>
        <w:t> </w:t>
      </w:r>
      <w:r>
        <w:rPr>
          <w:color w:val="231F20"/>
        </w:rPr>
        <w:t>Cuadro</w:t>
      </w:r>
      <w:r>
        <w:rPr>
          <w:color w:val="231F20"/>
          <w:spacing w:val="-8"/>
        </w:rPr>
        <w:t> </w:t>
      </w:r>
      <w:r>
        <w:rPr>
          <w:color w:val="231F20"/>
        </w:rPr>
        <w:t>1,</w:t>
      </w:r>
      <w:r>
        <w:rPr>
          <w:color w:val="231F20"/>
          <w:spacing w:val="-8"/>
        </w:rPr>
        <w:t> </w:t>
      </w:r>
      <w:r>
        <w:rPr>
          <w:color w:val="231F20"/>
        </w:rPr>
        <w:t>puede inferirse que, el cultivo de chile BT usó el </w:t>
      </w:r>
      <w:r>
        <w:rPr>
          <w:color w:val="231F20"/>
          <w:spacing w:val="-3"/>
        </w:rPr>
        <w:t>11% </w:t>
      </w:r>
      <w:r>
        <w:rPr>
          <w:color w:val="231F20"/>
        </w:rPr>
        <w:t>de la tierra, el 16.5% del capital y el 6.7% del agua, no obstante esos bajos porcentajes de uso en la tierra, el capital y el agua usados en conjunto por el Chile BT y el nogal BT en la región lagunera, el Chile aportó el 22.5% de las ganancias conjuntas y el</w:t>
      </w:r>
      <w:r>
        <w:rPr>
          <w:color w:val="231F20"/>
          <w:spacing w:val="-4"/>
        </w:rPr>
        <w:t> </w:t>
      </w:r>
      <w:r>
        <w:rPr>
          <w:color w:val="231F20"/>
        </w:rPr>
        <w:t>26.1%</w:t>
      </w:r>
      <w:r>
        <w:rPr>
          <w:color w:val="231F20"/>
          <w:spacing w:val="-4"/>
        </w:rPr>
        <w:t> </w:t>
      </w:r>
      <w:r>
        <w:rPr>
          <w:color w:val="231F20"/>
        </w:rPr>
        <w:t>del</w:t>
      </w:r>
      <w:r>
        <w:rPr>
          <w:color w:val="231F20"/>
          <w:spacing w:val="-4"/>
        </w:rPr>
        <w:t> </w:t>
      </w:r>
      <w:r>
        <w:rPr>
          <w:color w:val="231F20"/>
        </w:rPr>
        <w:t>empleo</w:t>
      </w:r>
      <w:r>
        <w:rPr>
          <w:color w:val="231F20"/>
          <w:spacing w:val="-4"/>
        </w:rPr>
        <w:t> </w:t>
      </w:r>
      <w:r>
        <w:rPr>
          <w:color w:val="231F20"/>
        </w:rPr>
        <w:t>generado</w:t>
      </w:r>
      <w:r>
        <w:rPr>
          <w:color w:val="231F20"/>
          <w:spacing w:val="-4"/>
        </w:rPr>
        <w:t> </w:t>
      </w:r>
      <w:r>
        <w:rPr>
          <w:color w:val="231F20"/>
        </w:rPr>
        <w:t>por</w:t>
      </w:r>
      <w:r>
        <w:rPr>
          <w:color w:val="231F20"/>
          <w:spacing w:val="-4"/>
        </w:rPr>
        <w:t> </w:t>
      </w:r>
      <w:r>
        <w:rPr>
          <w:color w:val="231F20"/>
        </w:rPr>
        <w:t>ambos</w:t>
      </w:r>
      <w:r>
        <w:rPr>
          <w:color w:val="231F20"/>
          <w:spacing w:val="-4"/>
        </w:rPr>
        <w:t> </w:t>
      </w:r>
      <w:r>
        <w:rPr>
          <w:color w:val="231F20"/>
        </w:rPr>
        <w:t>cultivos.</w:t>
      </w:r>
      <w:r>
        <w:rPr>
          <w:color w:val="231F20"/>
          <w:spacing w:val="-4"/>
        </w:rPr>
        <w:t> </w:t>
      </w:r>
      <w:r>
        <w:rPr>
          <w:color w:val="231F20"/>
        </w:rPr>
        <w:t>Eficiencia</w:t>
      </w:r>
      <w:r>
        <w:rPr>
          <w:color w:val="231F20"/>
          <w:spacing w:val="-4"/>
        </w:rPr>
        <w:t> </w:t>
      </w:r>
      <w:r>
        <w:rPr>
          <w:color w:val="231F20"/>
        </w:rPr>
        <w:t>física</w:t>
      </w:r>
      <w:r>
        <w:rPr>
          <w:color w:val="231F20"/>
          <w:spacing w:val="-4"/>
        </w:rPr>
        <w:t> </w:t>
      </w:r>
      <w:r>
        <w:rPr>
          <w:color w:val="231F20"/>
        </w:rPr>
        <w:t>del</w:t>
      </w:r>
      <w:r>
        <w:rPr>
          <w:color w:val="231F20"/>
          <w:spacing w:val="-4"/>
        </w:rPr>
        <w:t> </w:t>
      </w:r>
      <w:r>
        <w:rPr>
          <w:color w:val="231F20"/>
        </w:rPr>
        <w:t>agua</w:t>
      </w:r>
      <w:r>
        <w:rPr>
          <w:color w:val="231F20"/>
          <w:spacing w:val="-4"/>
        </w:rPr>
        <w:t> </w:t>
      </w:r>
      <w:r>
        <w:rPr>
          <w:color w:val="231F20"/>
        </w:rPr>
        <w:t>subterránea</w:t>
      </w:r>
      <w:r>
        <w:rPr>
          <w:color w:val="231F20"/>
          <w:spacing w:val="-4"/>
        </w:rPr>
        <w:t> </w:t>
      </w:r>
      <w:r>
        <w:rPr>
          <w:color w:val="231F20"/>
        </w:rPr>
        <w:t>usada</w:t>
      </w:r>
      <w:r>
        <w:rPr>
          <w:color w:val="231F20"/>
          <w:spacing w:val="-4"/>
        </w:rPr>
        <w:t> </w:t>
      </w:r>
      <w:r>
        <w:rPr>
          <w:color w:val="231F20"/>
        </w:rPr>
        <w:t>en</w:t>
      </w:r>
      <w:r>
        <w:rPr>
          <w:color w:val="231F20"/>
          <w:spacing w:val="-4"/>
        </w:rPr>
        <w:t> </w:t>
      </w:r>
      <w:r>
        <w:rPr>
          <w:color w:val="231F20"/>
        </w:rPr>
        <w:t>el riego por bombeo en Chile</w:t>
      </w:r>
      <w:r>
        <w:rPr>
          <w:color w:val="231F20"/>
          <w:spacing w:val="2"/>
        </w:rPr>
        <w:t> </w:t>
      </w:r>
      <w:r>
        <w:rPr>
          <w:color w:val="231F20"/>
          <w:spacing w:val="-6"/>
        </w:rPr>
        <w:t>BT.</w:t>
      </w:r>
    </w:p>
    <w:p>
      <w:pPr>
        <w:pStyle w:val="BodyText"/>
        <w:rPr>
          <w:sz w:val="22"/>
        </w:rPr>
      </w:pPr>
    </w:p>
    <w:p>
      <w:pPr>
        <w:pStyle w:val="BodyText"/>
        <w:spacing w:line="249" w:lineRule="auto"/>
        <w:ind w:left="1270" w:right="1267"/>
        <w:jc w:val="both"/>
      </w:pPr>
      <w:r>
        <w:rPr>
          <w:color w:val="231F20"/>
        </w:rPr>
        <w:t>En el análisis del Cuadro 3, en la primer variable, Y1, que mide la cantidad de m</w:t>
      </w:r>
      <w:r>
        <w:rPr>
          <w:color w:val="231F20"/>
          <w:position w:val="7"/>
          <w:sz w:val="12"/>
        </w:rPr>
        <w:t>3 </w:t>
      </w:r>
      <w:r>
        <w:rPr>
          <w:color w:val="231F20"/>
        </w:rPr>
        <w:t>de agua irrigada para producir un kg de producto, se observa que fueron necesarios 0.381m</w:t>
      </w:r>
      <w:r>
        <w:rPr>
          <w:color w:val="231F20"/>
          <w:position w:val="7"/>
          <w:sz w:val="12"/>
        </w:rPr>
        <w:t>3 </w:t>
      </w:r>
      <w:r>
        <w:rPr>
          <w:color w:val="231F20"/>
        </w:rPr>
        <w:t>de agua (381litros) para producir un kg de Chile, mientras que en nogal se requirieron10.89 m</w:t>
      </w:r>
      <w:r>
        <w:rPr>
          <w:color w:val="231F20"/>
          <w:position w:val="7"/>
          <w:sz w:val="12"/>
        </w:rPr>
        <w:t>3 </w:t>
      </w:r>
      <w:r>
        <w:rPr>
          <w:color w:val="231F20"/>
        </w:rPr>
        <w:t>de agua. Lo cual implica que el nogal BT del DR-017, el volumen de agua que requirieron sus 3,518ha, igual a 56.29 millones  de m³, (Cuadros 1 y 3) requirió 52.21 millones de m³ más de agua que los usados en la producción del Chile BT (4.08 millones de m³), </w:t>
      </w:r>
      <w:r>
        <w:rPr>
          <w:color w:val="231F20"/>
          <w:spacing w:val="-7"/>
        </w:rPr>
        <w:t>y, </w:t>
      </w:r>
      <w:r>
        <w:rPr>
          <w:color w:val="231F20"/>
        </w:rPr>
        <w:t>considerando un abasto de 100 litros por persona por día,</w:t>
      </w:r>
      <w:r>
        <w:rPr>
          <w:color w:val="231F20"/>
          <w:spacing w:val="-33"/>
        </w:rPr>
        <w:t> </w:t>
      </w:r>
      <w:r>
        <w:rPr>
          <w:color w:val="231F20"/>
        </w:rPr>
        <w:t>una</w:t>
      </w:r>
    </w:p>
    <w:p>
      <w:pPr>
        <w:spacing w:after="0" w:line="249" w:lineRule="auto"/>
        <w:jc w:val="both"/>
        <w:sectPr>
          <w:pgSz w:w="10920" w:h="13080"/>
          <w:pgMar w:header="0" w:footer="1025" w:top="420" w:bottom="1220" w:left="0" w:right="0"/>
        </w:sectPr>
      </w:pPr>
    </w:p>
    <w:p>
      <w:pPr>
        <w:pStyle w:val="BodyText"/>
        <w:rPr>
          <w:sz w:val="20"/>
        </w:rPr>
      </w:pPr>
    </w:p>
    <w:p>
      <w:pPr>
        <w:pStyle w:val="BodyText"/>
        <w:rPr>
          <w:sz w:val="20"/>
        </w:rPr>
      </w:pPr>
    </w:p>
    <w:p>
      <w:pPr>
        <w:pStyle w:val="BodyText"/>
        <w:rPr>
          <w:sz w:val="23"/>
        </w:rPr>
      </w:pPr>
    </w:p>
    <w:p>
      <w:pPr>
        <w:pStyle w:val="BodyText"/>
        <w:spacing w:line="247" w:lineRule="auto" w:before="73"/>
        <w:ind w:left="1270" w:right="1267"/>
        <w:jc w:val="both"/>
      </w:pPr>
      <w:r>
        <w:rPr>
          <w:color w:val="231F20"/>
        </w:rPr>
        <w:t>ciudad de 1000,000 de habitantes, demandaría 100,000 m³/ día, por lo que, con los 52.21 millones de</w:t>
      </w:r>
      <w:r>
        <w:rPr>
          <w:color w:val="231F20"/>
          <w:spacing w:val="-5"/>
        </w:rPr>
        <w:t> </w:t>
      </w:r>
      <w:r>
        <w:rPr>
          <w:color w:val="231F20"/>
        </w:rPr>
        <w:t>m³</w:t>
      </w:r>
      <w:r>
        <w:rPr>
          <w:color w:val="231F20"/>
          <w:spacing w:val="-5"/>
        </w:rPr>
        <w:t> </w:t>
      </w:r>
      <w:r>
        <w:rPr>
          <w:color w:val="231F20"/>
        </w:rPr>
        <w:t>de</w:t>
      </w:r>
      <w:r>
        <w:rPr>
          <w:color w:val="231F20"/>
          <w:spacing w:val="-5"/>
        </w:rPr>
        <w:t> </w:t>
      </w:r>
      <w:r>
        <w:rPr>
          <w:color w:val="231F20"/>
        </w:rPr>
        <w:t>agua</w:t>
      </w:r>
      <w:r>
        <w:rPr>
          <w:color w:val="231F20"/>
          <w:spacing w:val="-5"/>
        </w:rPr>
        <w:t> </w:t>
      </w:r>
      <w:r>
        <w:rPr>
          <w:color w:val="231F20"/>
        </w:rPr>
        <w:t>adicionales</w:t>
      </w:r>
      <w:r>
        <w:rPr>
          <w:color w:val="231F20"/>
          <w:spacing w:val="-5"/>
        </w:rPr>
        <w:t> </w:t>
      </w:r>
      <w:r>
        <w:rPr>
          <w:color w:val="231F20"/>
        </w:rPr>
        <w:t>(respecto</w:t>
      </w:r>
      <w:r>
        <w:rPr>
          <w:color w:val="231F20"/>
          <w:spacing w:val="-5"/>
        </w:rPr>
        <w:t> </w:t>
      </w:r>
      <w:r>
        <w:rPr>
          <w:color w:val="231F20"/>
        </w:rPr>
        <w:t>del</w:t>
      </w:r>
      <w:r>
        <w:rPr>
          <w:color w:val="231F20"/>
          <w:spacing w:val="-5"/>
        </w:rPr>
        <w:t> </w:t>
      </w:r>
      <w:r>
        <w:rPr>
          <w:color w:val="231F20"/>
        </w:rPr>
        <w:t>Chile</w:t>
      </w:r>
      <w:r>
        <w:rPr>
          <w:color w:val="231F20"/>
          <w:spacing w:val="-5"/>
        </w:rPr>
        <w:t> </w:t>
      </w:r>
      <w:r>
        <w:rPr>
          <w:color w:val="231F20"/>
        </w:rPr>
        <w:t>BT)</w:t>
      </w:r>
      <w:r>
        <w:rPr>
          <w:color w:val="231F20"/>
          <w:spacing w:val="-5"/>
        </w:rPr>
        <w:t> </w:t>
      </w:r>
      <w:r>
        <w:rPr>
          <w:color w:val="231F20"/>
        </w:rPr>
        <w:t>requeridos</w:t>
      </w:r>
      <w:r>
        <w:rPr>
          <w:color w:val="231F20"/>
          <w:spacing w:val="-5"/>
        </w:rPr>
        <w:t> </w:t>
      </w:r>
      <w:r>
        <w:rPr>
          <w:color w:val="231F20"/>
        </w:rPr>
        <w:t>por</w:t>
      </w:r>
      <w:r>
        <w:rPr>
          <w:color w:val="231F20"/>
          <w:spacing w:val="-5"/>
        </w:rPr>
        <w:t> </w:t>
      </w:r>
      <w:r>
        <w:rPr>
          <w:color w:val="231F20"/>
        </w:rPr>
        <w:t>el</w:t>
      </w:r>
      <w:r>
        <w:rPr>
          <w:color w:val="231F20"/>
          <w:spacing w:val="-5"/>
        </w:rPr>
        <w:t> </w:t>
      </w:r>
      <w:r>
        <w:rPr>
          <w:color w:val="231F20"/>
        </w:rPr>
        <w:t>nogal</w:t>
      </w:r>
      <w:r>
        <w:rPr>
          <w:color w:val="231F20"/>
          <w:spacing w:val="-5"/>
        </w:rPr>
        <w:t> </w:t>
      </w:r>
      <w:r>
        <w:rPr>
          <w:color w:val="231F20"/>
          <w:spacing w:val="-6"/>
        </w:rPr>
        <w:t>BT,</w:t>
      </w:r>
      <w:r>
        <w:rPr>
          <w:color w:val="231F20"/>
          <w:spacing w:val="-5"/>
        </w:rPr>
        <w:t> </w:t>
      </w:r>
      <w:r>
        <w:rPr>
          <w:color w:val="231F20"/>
        </w:rPr>
        <w:t>se</w:t>
      </w:r>
      <w:r>
        <w:rPr>
          <w:color w:val="231F20"/>
          <w:spacing w:val="-5"/>
        </w:rPr>
        <w:t> </w:t>
      </w:r>
      <w:r>
        <w:rPr>
          <w:color w:val="231F20"/>
        </w:rPr>
        <w:t>podría</w:t>
      </w:r>
      <w:r>
        <w:rPr>
          <w:color w:val="231F20"/>
          <w:spacing w:val="-5"/>
        </w:rPr>
        <w:t> </w:t>
      </w:r>
      <w:r>
        <w:rPr>
          <w:color w:val="231F20"/>
        </w:rPr>
        <w:t>abastece</w:t>
      </w:r>
      <w:r>
        <w:rPr>
          <w:color w:val="231F20"/>
          <w:spacing w:val="-5"/>
        </w:rPr>
        <w:t> </w:t>
      </w:r>
      <w:r>
        <w:rPr>
          <w:color w:val="231F20"/>
        </w:rPr>
        <w:t>esa población durante volumen suficiente para abastecer de agua a una población de 100,000 personas durante 522.1días, socialmente, la producción agrícola en general es socialmente cuestionable en cuanto a la exclusión del recurso agua para consumo humano, usándose en la producción agrícola, necesaria</w:t>
      </w:r>
      <w:r>
        <w:rPr>
          <w:color w:val="231F20"/>
          <w:spacing w:val="-7"/>
        </w:rPr>
        <w:t> </w:t>
      </w:r>
      <w:r>
        <w:rPr>
          <w:color w:val="231F20"/>
        </w:rPr>
        <w:t>por</w:t>
      </w:r>
      <w:r>
        <w:rPr>
          <w:color w:val="231F20"/>
          <w:spacing w:val="-7"/>
        </w:rPr>
        <w:t> </w:t>
      </w:r>
      <w:r>
        <w:rPr>
          <w:color w:val="231F20"/>
        </w:rPr>
        <w:t>supuesto,</w:t>
      </w:r>
      <w:r>
        <w:rPr>
          <w:color w:val="231F20"/>
          <w:spacing w:val="-6"/>
        </w:rPr>
        <w:t> </w:t>
      </w:r>
      <w:r>
        <w:rPr>
          <w:color w:val="231F20"/>
        </w:rPr>
        <w:t>pero</w:t>
      </w:r>
      <w:r>
        <w:rPr>
          <w:color w:val="231F20"/>
          <w:spacing w:val="-7"/>
        </w:rPr>
        <w:t> </w:t>
      </w:r>
      <w:r>
        <w:rPr>
          <w:color w:val="231F20"/>
        </w:rPr>
        <w:t>cobra</w:t>
      </w:r>
      <w:r>
        <w:rPr>
          <w:color w:val="231F20"/>
          <w:spacing w:val="-7"/>
        </w:rPr>
        <w:t> </w:t>
      </w:r>
      <w:r>
        <w:rPr>
          <w:color w:val="231F20"/>
        </w:rPr>
        <w:t>sentido</w:t>
      </w:r>
      <w:r>
        <w:rPr>
          <w:color w:val="231F20"/>
          <w:spacing w:val="-6"/>
        </w:rPr>
        <w:t> </w:t>
      </w:r>
      <w:r>
        <w:rPr>
          <w:color w:val="231F20"/>
        </w:rPr>
        <w:t>lo</w:t>
      </w:r>
      <w:r>
        <w:rPr>
          <w:color w:val="231F20"/>
          <w:spacing w:val="-7"/>
        </w:rPr>
        <w:t> </w:t>
      </w:r>
      <w:r>
        <w:rPr>
          <w:color w:val="231F20"/>
        </w:rPr>
        <w:t>anterior</w:t>
      </w:r>
      <w:r>
        <w:rPr>
          <w:color w:val="231F20"/>
          <w:spacing w:val="-7"/>
        </w:rPr>
        <w:t> </w:t>
      </w:r>
      <w:r>
        <w:rPr>
          <w:color w:val="231F20"/>
        </w:rPr>
        <w:t>cuando</w:t>
      </w:r>
      <w:r>
        <w:rPr>
          <w:color w:val="231F20"/>
          <w:spacing w:val="-7"/>
        </w:rPr>
        <w:t> </w:t>
      </w:r>
      <w:r>
        <w:rPr>
          <w:color w:val="231F20"/>
        </w:rPr>
        <w:t>se</w:t>
      </w:r>
      <w:r>
        <w:rPr>
          <w:color w:val="231F20"/>
          <w:spacing w:val="-7"/>
        </w:rPr>
        <w:t> </w:t>
      </w:r>
      <w:r>
        <w:rPr>
          <w:color w:val="231F20"/>
        </w:rPr>
        <w:t>observa</w:t>
      </w:r>
      <w:r>
        <w:rPr>
          <w:color w:val="231F20"/>
          <w:spacing w:val="-7"/>
        </w:rPr>
        <w:t> </w:t>
      </w:r>
      <w:r>
        <w:rPr>
          <w:color w:val="231F20"/>
        </w:rPr>
        <w:t>que</w:t>
      </w:r>
      <w:r>
        <w:rPr>
          <w:color w:val="231F20"/>
          <w:spacing w:val="-7"/>
        </w:rPr>
        <w:t> </w:t>
      </w:r>
      <w:r>
        <w:rPr>
          <w:color w:val="231F20"/>
        </w:rPr>
        <w:t>ciertos</w:t>
      </w:r>
      <w:r>
        <w:rPr>
          <w:color w:val="231F20"/>
          <w:spacing w:val="-7"/>
        </w:rPr>
        <w:t> </w:t>
      </w:r>
      <w:r>
        <w:rPr>
          <w:color w:val="231F20"/>
        </w:rPr>
        <w:t>cultivos</w:t>
      </w:r>
      <w:r>
        <w:rPr>
          <w:color w:val="231F20"/>
          <w:spacing w:val="-7"/>
        </w:rPr>
        <w:t> </w:t>
      </w:r>
      <w:r>
        <w:rPr>
          <w:color w:val="231F20"/>
        </w:rPr>
        <w:t>utilizan el escaso recurso agua como si fuese un bien</w:t>
      </w:r>
      <w:r>
        <w:rPr>
          <w:color w:val="231F20"/>
          <w:spacing w:val="-5"/>
        </w:rPr>
        <w:t> </w:t>
      </w:r>
      <w:r>
        <w:rPr>
          <w:color w:val="231F20"/>
        </w:rPr>
        <w:t>inagotable.</w:t>
      </w:r>
    </w:p>
    <w:p>
      <w:pPr>
        <w:pStyle w:val="BodyText"/>
        <w:spacing w:before="4"/>
      </w:pPr>
    </w:p>
    <w:p>
      <w:pPr>
        <w:spacing w:line="144" w:lineRule="exact" w:before="0"/>
        <w:ind w:left="2074" w:right="1279" w:firstLine="0"/>
        <w:jc w:val="left"/>
        <w:rPr>
          <w:b/>
          <w:sz w:val="18"/>
        </w:rPr>
      </w:pPr>
      <w:r>
        <w:rPr>
          <w:b/>
          <w:color w:val="010202"/>
          <w:sz w:val="18"/>
        </w:rPr>
        <w:t>Cuadro 3. Indicadores de eficiencia física (Y  y Y ), económica (Y  a Y ) y social (Y  aY  )</w:t>
      </w:r>
    </w:p>
    <w:p>
      <w:pPr>
        <w:tabs>
          <w:tab w:pos="5808" w:val="left" w:leader="none"/>
          <w:tab w:pos="7055" w:val="left" w:leader="none"/>
          <w:tab w:pos="7411" w:val="left" w:leader="none"/>
          <w:tab w:pos="8368" w:val="left" w:leader="none"/>
          <w:tab w:pos="8686" w:val="left" w:leader="none"/>
        </w:tabs>
        <w:spacing w:line="96" w:lineRule="exact" w:before="0"/>
        <w:ind w:left="5452" w:right="1279" w:firstLine="0"/>
        <w:jc w:val="left"/>
        <w:rPr>
          <w:b/>
          <w:sz w:val="10"/>
        </w:rPr>
      </w:pPr>
      <w:r>
        <w:rPr>
          <w:b/>
          <w:color w:val="010202"/>
          <w:w w:val="105"/>
          <w:sz w:val="10"/>
        </w:rPr>
        <w:t>1</w:t>
        <w:tab/>
        <w:t>2</w:t>
        <w:tab/>
        <w:t>3</w:t>
        <w:tab/>
        <w:t>6</w:t>
        <w:tab/>
        <w:t>7</w:t>
        <w:tab/>
      </w:r>
      <w:r>
        <w:rPr>
          <w:b/>
          <w:color w:val="010202"/>
          <w:spacing w:val="-6"/>
          <w:w w:val="105"/>
          <w:sz w:val="10"/>
        </w:rPr>
        <w:t>11</w:t>
      </w:r>
    </w:p>
    <w:p>
      <w:pPr>
        <w:spacing w:line="184" w:lineRule="exact" w:before="0"/>
        <w:ind w:left="1489" w:right="1489" w:firstLine="0"/>
        <w:jc w:val="center"/>
        <w:rPr>
          <w:b/>
          <w:sz w:val="18"/>
        </w:rPr>
      </w:pPr>
      <w:r>
        <w:rPr>
          <w:b/>
          <w:color w:val="010202"/>
          <w:sz w:val="18"/>
        </w:rPr>
        <w:t>del agua subterránea de riego de bombeo a cielo abierto en Chile (</w:t>
      </w:r>
      <w:r>
        <w:rPr>
          <w:b/>
          <w:i/>
          <w:color w:val="010202"/>
          <w:sz w:val="18"/>
        </w:rPr>
        <w:t>Capsicum annum</w:t>
      </w:r>
      <w:r>
        <w:rPr>
          <w:b/>
          <w:color w:val="010202"/>
          <w:sz w:val="18"/>
        </w:rPr>
        <w:t>) versus</w:t>
      </w:r>
    </w:p>
    <w:p>
      <w:pPr>
        <w:spacing w:line="249" w:lineRule="auto" w:before="9" w:after="33"/>
        <w:ind w:left="2811" w:right="2808" w:firstLine="0"/>
        <w:jc w:val="center"/>
        <w:rPr>
          <w:b/>
          <w:sz w:val="18"/>
        </w:rPr>
      </w:pPr>
      <w:r>
        <w:rPr>
          <w:b/>
          <w:color w:val="010202"/>
          <w:sz w:val="18"/>
        </w:rPr>
        <w:t>Nogal pecanero (</w:t>
      </w:r>
      <w:r>
        <w:rPr>
          <w:b/>
          <w:i/>
          <w:color w:val="010202"/>
          <w:sz w:val="18"/>
        </w:rPr>
        <w:t>Carya illinoensis</w:t>
      </w:r>
      <w:r>
        <w:rPr>
          <w:b/>
          <w:color w:val="010202"/>
          <w:sz w:val="18"/>
        </w:rPr>
        <w:t>) en el Distrito de Riego DR017 en La Comarca Lagunera. Cifras en pesos nominales de 2009</w:t>
      </w:r>
    </w:p>
    <w:tbl>
      <w:tblPr>
        <w:tblW w:w="0" w:type="auto"/>
        <w:jc w:val="left"/>
        <w:tblInd w:w="1259"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top w:w="0" w:type="dxa"/>
          <w:left w:w="0" w:type="dxa"/>
          <w:bottom w:w="0" w:type="dxa"/>
          <w:right w:w="0" w:type="dxa"/>
        </w:tblCellMar>
        <w:tblLook w:val="01E0"/>
      </w:tblPr>
      <w:tblGrid>
        <w:gridCol w:w="4735"/>
        <w:gridCol w:w="1754"/>
        <w:gridCol w:w="1892"/>
      </w:tblGrid>
      <w:tr>
        <w:trPr>
          <w:trHeight w:val="282" w:hRule="exact"/>
        </w:trPr>
        <w:tc>
          <w:tcPr>
            <w:tcW w:w="4735" w:type="dxa"/>
          </w:tcPr>
          <w:p>
            <w:pPr>
              <w:pStyle w:val="TableParagraph"/>
              <w:spacing w:before="24"/>
              <w:ind w:left="1575" w:right="1575"/>
              <w:jc w:val="center"/>
              <w:rPr>
                <w:b/>
                <w:sz w:val="18"/>
              </w:rPr>
            </w:pPr>
            <w:r>
              <w:rPr>
                <w:b/>
                <w:color w:val="231F20"/>
                <w:sz w:val="18"/>
              </w:rPr>
              <w:t>Variable económica</w:t>
            </w:r>
          </w:p>
        </w:tc>
        <w:tc>
          <w:tcPr>
            <w:tcW w:w="1754" w:type="dxa"/>
          </w:tcPr>
          <w:p>
            <w:pPr>
              <w:pStyle w:val="TableParagraph"/>
              <w:spacing w:before="24"/>
              <w:ind w:left="404" w:right="404"/>
              <w:jc w:val="center"/>
              <w:rPr>
                <w:b/>
                <w:sz w:val="18"/>
              </w:rPr>
            </w:pPr>
            <w:r>
              <w:rPr>
                <w:b/>
                <w:color w:val="231F20"/>
                <w:sz w:val="18"/>
              </w:rPr>
              <w:t>Chile verde</w:t>
            </w:r>
          </w:p>
        </w:tc>
        <w:tc>
          <w:tcPr>
            <w:tcW w:w="1892" w:type="dxa"/>
          </w:tcPr>
          <w:p>
            <w:pPr>
              <w:pStyle w:val="TableParagraph"/>
              <w:spacing w:before="24"/>
              <w:ind w:left="549" w:right="546"/>
              <w:jc w:val="center"/>
              <w:rPr>
                <w:b/>
                <w:sz w:val="18"/>
              </w:rPr>
            </w:pPr>
            <w:r>
              <w:rPr>
                <w:b/>
                <w:color w:val="231F20"/>
                <w:sz w:val="18"/>
              </w:rPr>
              <w:t>Nogal BT</w:t>
            </w:r>
          </w:p>
        </w:tc>
      </w:tr>
      <w:tr>
        <w:trPr>
          <w:trHeight w:val="285" w:hRule="exact"/>
        </w:trPr>
        <w:tc>
          <w:tcPr>
            <w:tcW w:w="4735" w:type="dxa"/>
          </w:tcPr>
          <w:p>
            <w:pPr>
              <w:pStyle w:val="TableParagraph"/>
              <w:spacing w:line="171" w:lineRule="exact"/>
              <w:ind w:left="1239"/>
              <w:rPr>
                <w:sz w:val="18"/>
              </w:rPr>
            </w:pPr>
            <w:r>
              <w:rPr>
                <w:color w:val="231F20"/>
                <w:sz w:val="18"/>
              </w:rPr>
              <w:t>Y  = m</w:t>
            </w:r>
            <w:r>
              <w:rPr>
                <w:color w:val="231F20"/>
                <w:position w:val="6"/>
                <w:sz w:val="10"/>
              </w:rPr>
              <w:t>3  </w:t>
            </w:r>
            <w:r>
              <w:rPr>
                <w:color w:val="231F20"/>
                <w:sz w:val="18"/>
              </w:rPr>
              <w:t>de agua por kilogramo</w:t>
            </w:r>
          </w:p>
          <w:p>
            <w:pPr>
              <w:pStyle w:val="TableParagraph"/>
              <w:spacing w:line="79" w:lineRule="exact" w:before="0"/>
              <w:ind w:left="1369"/>
              <w:rPr>
                <w:sz w:val="10"/>
              </w:rPr>
            </w:pPr>
            <w:r>
              <w:rPr>
                <w:color w:val="231F20"/>
                <w:w w:val="104"/>
                <w:sz w:val="10"/>
              </w:rPr>
              <w:t>1</w:t>
            </w:r>
          </w:p>
        </w:tc>
        <w:tc>
          <w:tcPr>
            <w:tcW w:w="1754" w:type="dxa"/>
          </w:tcPr>
          <w:p>
            <w:pPr>
              <w:pStyle w:val="TableParagraph"/>
              <w:ind w:left="404" w:right="404"/>
              <w:jc w:val="center"/>
              <w:rPr>
                <w:sz w:val="18"/>
              </w:rPr>
            </w:pPr>
            <w:r>
              <w:rPr>
                <w:color w:val="231F20"/>
                <w:sz w:val="18"/>
              </w:rPr>
              <w:t>0.381</w:t>
            </w:r>
          </w:p>
        </w:tc>
        <w:tc>
          <w:tcPr>
            <w:tcW w:w="1892" w:type="dxa"/>
          </w:tcPr>
          <w:p>
            <w:pPr>
              <w:pStyle w:val="TableParagraph"/>
              <w:ind w:left="546" w:right="546"/>
              <w:jc w:val="center"/>
              <w:rPr>
                <w:sz w:val="18"/>
              </w:rPr>
            </w:pPr>
            <w:r>
              <w:rPr>
                <w:color w:val="231F20"/>
                <w:sz w:val="18"/>
              </w:rPr>
              <w:t>10.89</w:t>
            </w:r>
          </w:p>
        </w:tc>
      </w:tr>
      <w:tr>
        <w:trPr>
          <w:trHeight w:val="285" w:hRule="exact"/>
        </w:trPr>
        <w:tc>
          <w:tcPr>
            <w:tcW w:w="4735" w:type="dxa"/>
          </w:tcPr>
          <w:p>
            <w:pPr>
              <w:pStyle w:val="TableParagraph"/>
              <w:spacing w:line="171" w:lineRule="exact"/>
              <w:ind w:left="1344"/>
              <w:rPr>
                <w:sz w:val="18"/>
              </w:rPr>
            </w:pPr>
            <w:r>
              <w:rPr>
                <w:color w:val="231F20"/>
                <w:sz w:val="18"/>
              </w:rPr>
              <w:t>Y  = kilogramos/m</w:t>
            </w:r>
            <w:r>
              <w:rPr>
                <w:color w:val="231F20"/>
                <w:position w:val="6"/>
                <w:sz w:val="10"/>
              </w:rPr>
              <w:t>3  </w:t>
            </w:r>
            <w:r>
              <w:rPr>
                <w:color w:val="231F20"/>
                <w:sz w:val="18"/>
              </w:rPr>
              <w:t>de agua</w:t>
            </w:r>
          </w:p>
          <w:p>
            <w:pPr>
              <w:pStyle w:val="TableParagraph"/>
              <w:spacing w:line="79" w:lineRule="exact" w:before="0"/>
              <w:ind w:left="1474"/>
              <w:rPr>
                <w:sz w:val="10"/>
              </w:rPr>
            </w:pPr>
            <w:r>
              <w:rPr>
                <w:color w:val="231F20"/>
                <w:w w:val="104"/>
                <w:sz w:val="10"/>
              </w:rPr>
              <w:t>2</w:t>
            </w:r>
          </w:p>
        </w:tc>
        <w:tc>
          <w:tcPr>
            <w:tcW w:w="1754" w:type="dxa"/>
          </w:tcPr>
          <w:p>
            <w:pPr>
              <w:pStyle w:val="TableParagraph"/>
              <w:ind w:left="404" w:right="404"/>
              <w:jc w:val="center"/>
              <w:rPr>
                <w:sz w:val="18"/>
              </w:rPr>
            </w:pPr>
            <w:r>
              <w:rPr>
                <w:color w:val="231F20"/>
                <w:sz w:val="18"/>
              </w:rPr>
              <w:t>2.623</w:t>
            </w:r>
          </w:p>
        </w:tc>
        <w:tc>
          <w:tcPr>
            <w:tcW w:w="1892" w:type="dxa"/>
          </w:tcPr>
          <w:p>
            <w:pPr>
              <w:pStyle w:val="TableParagraph"/>
              <w:ind w:left="546" w:right="546"/>
              <w:jc w:val="center"/>
              <w:rPr>
                <w:sz w:val="18"/>
              </w:rPr>
            </w:pPr>
            <w:r>
              <w:rPr>
                <w:color w:val="231F20"/>
                <w:sz w:val="18"/>
              </w:rPr>
              <w:t>0.092</w:t>
            </w:r>
          </w:p>
        </w:tc>
      </w:tr>
      <w:tr>
        <w:trPr>
          <w:trHeight w:val="285" w:hRule="exact"/>
        </w:trPr>
        <w:tc>
          <w:tcPr>
            <w:tcW w:w="4735" w:type="dxa"/>
          </w:tcPr>
          <w:p>
            <w:pPr>
              <w:pStyle w:val="TableParagraph"/>
              <w:spacing w:line="171" w:lineRule="exact"/>
              <w:ind w:left="911"/>
              <w:rPr>
                <w:sz w:val="18"/>
              </w:rPr>
            </w:pPr>
            <w:r>
              <w:rPr>
                <w:color w:val="231F20"/>
                <w:sz w:val="18"/>
              </w:rPr>
              <w:t>Y  = m</w:t>
            </w:r>
            <w:r>
              <w:rPr>
                <w:color w:val="231F20"/>
                <w:position w:val="6"/>
                <w:sz w:val="10"/>
              </w:rPr>
              <w:t>3  </w:t>
            </w:r>
            <w:r>
              <w:rPr>
                <w:color w:val="231F20"/>
                <w:sz w:val="18"/>
              </w:rPr>
              <w:t>de agua por $1 de ingreso bruto</w:t>
            </w:r>
          </w:p>
          <w:p>
            <w:pPr>
              <w:pStyle w:val="TableParagraph"/>
              <w:spacing w:line="79" w:lineRule="exact" w:before="0"/>
              <w:ind w:left="1041"/>
              <w:rPr>
                <w:sz w:val="10"/>
              </w:rPr>
            </w:pPr>
            <w:r>
              <w:rPr>
                <w:color w:val="231F20"/>
                <w:w w:val="104"/>
                <w:sz w:val="10"/>
              </w:rPr>
              <w:t>3</w:t>
            </w:r>
          </w:p>
        </w:tc>
        <w:tc>
          <w:tcPr>
            <w:tcW w:w="1754" w:type="dxa"/>
          </w:tcPr>
          <w:p>
            <w:pPr>
              <w:pStyle w:val="TableParagraph"/>
              <w:ind w:left="404" w:right="404"/>
              <w:jc w:val="center"/>
              <w:rPr>
                <w:sz w:val="18"/>
              </w:rPr>
            </w:pPr>
            <w:r>
              <w:rPr>
                <w:color w:val="231F20"/>
                <w:sz w:val="18"/>
              </w:rPr>
              <w:t>0.109</w:t>
            </w:r>
          </w:p>
        </w:tc>
        <w:tc>
          <w:tcPr>
            <w:tcW w:w="1892" w:type="dxa"/>
          </w:tcPr>
          <w:p>
            <w:pPr>
              <w:pStyle w:val="TableParagraph"/>
              <w:ind w:left="546" w:right="546"/>
              <w:jc w:val="center"/>
              <w:rPr>
                <w:sz w:val="18"/>
              </w:rPr>
            </w:pPr>
            <w:r>
              <w:rPr>
                <w:color w:val="231F20"/>
                <w:sz w:val="18"/>
              </w:rPr>
              <w:t>0.382</w:t>
            </w:r>
          </w:p>
        </w:tc>
      </w:tr>
      <w:tr>
        <w:trPr>
          <w:trHeight w:val="285" w:hRule="exact"/>
        </w:trPr>
        <w:tc>
          <w:tcPr>
            <w:tcW w:w="4735" w:type="dxa"/>
          </w:tcPr>
          <w:p>
            <w:pPr>
              <w:pStyle w:val="TableParagraph"/>
              <w:spacing w:line="171" w:lineRule="exact"/>
              <w:ind w:left="1266"/>
              <w:rPr>
                <w:sz w:val="18"/>
              </w:rPr>
            </w:pPr>
            <w:r>
              <w:rPr>
                <w:color w:val="231F20"/>
                <w:sz w:val="18"/>
              </w:rPr>
              <w:t>Y  =Ingreso bruto/ m</w:t>
            </w:r>
            <w:r>
              <w:rPr>
                <w:color w:val="231F20"/>
                <w:position w:val="6"/>
                <w:sz w:val="10"/>
              </w:rPr>
              <w:t>3  </w:t>
            </w:r>
            <w:r>
              <w:rPr>
                <w:color w:val="231F20"/>
                <w:sz w:val="18"/>
              </w:rPr>
              <w:t>de agua</w:t>
            </w:r>
          </w:p>
          <w:p>
            <w:pPr>
              <w:pStyle w:val="TableParagraph"/>
              <w:spacing w:line="79" w:lineRule="exact" w:before="0"/>
              <w:ind w:left="1396"/>
              <w:rPr>
                <w:sz w:val="10"/>
              </w:rPr>
            </w:pPr>
            <w:r>
              <w:rPr>
                <w:color w:val="231F20"/>
                <w:w w:val="104"/>
                <w:sz w:val="10"/>
              </w:rPr>
              <w:t>4</w:t>
            </w:r>
          </w:p>
        </w:tc>
        <w:tc>
          <w:tcPr>
            <w:tcW w:w="1754" w:type="dxa"/>
          </w:tcPr>
          <w:p>
            <w:pPr>
              <w:pStyle w:val="TableParagraph"/>
              <w:ind w:left="404" w:right="404"/>
              <w:jc w:val="center"/>
              <w:rPr>
                <w:sz w:val="18"/>
              </w:rPr>
            </w:pPr>
            <w:r>
              <w:rPr>
                <w:color w:val="231F20"/>
                <w:sz w:val="18"/>
              </w:rPr>
              <w:t>9.18</w:t>
            </w:r>
          </w:p>
        </w:tc>
        <w:tc>
          <w:tcPr>
            <w:tcW w:w="1892" w:type="dxa"/>
          </w:tcPr>
          <w:p>
            <w:pPr>
              <w:pStyle w:val="TableParagraph"/>
              <w:ind w:left="546" w:right="546"/>
              <w:jc w:val="center"/>
              <w:rPr>
                <w:sz w:val="18"/>
              </w:rPr>
            </w:pPr>
            <w:r>
              <w:rPr>
                <w:color w:val="231F20"/>
                <w:sz w:val="18"/>
              </w:rPr>
              <w:t>2.62</w:t>
            </w:r>
          </w:p>
        </w:tc>
      </w:tr>
      <w:tr>
        <w:trPr>
          <w:trHeight w:val="285" w:hRule="exact"/>
        </w:trPr>
        <w:tc>
          <w:tcPr>
            <w:tcW w:w="4735" w:type="dxa"/>
          </w:tcPr>
          <w:p>
            <w:pPr>
              <w:pStyle w:val="TableParagraph"/>
              <w:spacing w:line="171" w:lineRule="exact"/>
              <w:ind w:left="1246"/>
              <w:rPr>
                <w:sz w:val="18"/>
              </w:rPr>
            </w:pPr>
            <w:r>
              <w:rPr>
                <w:color w:val="231F20"/>
                <w:sz w:val="18"/>
              </w:rPr>
              <w:t>Y  =Utilidad bruta/ m</w:t>
            </w:r>
            <w:r>
              <w:rPr>
                <w:color w:val="231F20"/>
                <w:position w:val="6"/>
                <w:sz w:val="10"/>
              </w:rPr>
              <w:t>3  </w:t>
            </w:r>
            <w:r>
              <w:rPr>
                <w:color w:val="231F20"/>
                <w:sz w:val="18"/>
              </w:rPr>
              <w:t>de agua</w:t>
            </w:r>
          </w:p>
          <w:p>
            <w:pPr>
              <w:pStyle w:val="TableParagraph"/>
              <w:spacing w:line="79" w:lineRule="exact" w:before="0"/>
              <w:ind w:left="1376"/>
              <w:rPr>
                <w:sz w:val="10"/>
              </w:rPr>
            </w:pPr>
            <w:r>
              <w:rPr>
                <w:color w:val="231F20"/>
                <w:w w:val="104"/>
                <w:sz w:val="10"/>
              </w:rPr>
              <w:t>5</w:t>
            </w:r>
          </w:p>
        </w:tc>
        <w:tc>
          <w:tcPr>
            <w:tcW w:w="1754" w:type="dxa"/>
          </w:tcPr>
          <w:p>
            <w:pPr>
              <w:pStyle w:val="TableParagraph"/>
              <w:ind w:left="404" w:right="404"/>
              <w:jc w:val="center"/>
              <w:rPr>
                <w:sz w:val="18"/>
              </w:rPr>
            </w:pPr>
            <w:r>
              <w:rPr>
                <w:color w:val="231F20"/>
                <w:sz w:val="18"/>
              </w:rPr>
              <w:t>6.36</w:t>
            </w:r>
          </w:p>
        </w:tc>
        <w:tc>
          <w:tcPr>
            <w:tcW w:w="1892" w:type="dxa"/>
          </w:tcPr>
          <w:p>
            <w:pPr>
              <w:pStyle w:val="TableParagraph"/>
              <w:ind w:left="546" w:right="546"/>
              <w:jc w:val="center"/>
              <w:rPr>
                <w:sz w:val="18"/>
              </w:rPr>
            </w:pPr>
            <w:r>
              <w:rPr>
                <w:color w:val="231F20"/>
                <w:sz w:val="18"/>
              </w:rPr>
              <w:t>1.59</w:t>
            </w:r>
          </w:p>
        </w:tc>
      </w:tr>
      <w:tr>
        <w:trPr>
          <w:trHeight w:val="285" w:hRule="exact"/>
        </w:trPr>
        <w:tc>
          <w:tcPr>
            <w:tcW w:w="4735" w:type="dxa"/>
          </w:tcPr>
          <w:p>
            <w:pPr>
              <w:pStyle w:val="TableParagraph"/>
              <w:spacing w:line="171" w:lineRule="exact"/>
              <w:ind w:left="906"/>
              <w:rPr>
                <w:sz w:val="18"/>
              </w:rPr>
            </w:pPr>
            <w:r>
              <w:rPr>
                <w:color w:val="231F20"/>
                <w:sz w:val="18"/>
              </w:rPr>
              <w:t>Y  = m</w:t>
            </w:r>
            <w:r>
              <w:rPr>
                <w:color w:val="231F20"/>
                <w:position w:val="6"/>
                <w:sz w:val="10"/>
              </w:rPr>
              <w:t>3  </w:t>
            </w:r>
            <w:r>
              <w:rPr>
                <w:color w:val="231F20"/>
                <w:sz w:val="18"/>
              </w:rPr>
              <w:t>de agua por $1 de utilidad bruta</w:t>
            </w:r>
          </w:p>
          <w:p>
            <w:pPr>
              <w:pStyle w:val="TableParagraph"/>
              <w:spacing w:line="79" w:lineRule="exact" w:before="0"/>
              <w:ind w:left="1036"/>
              <w:rPr>
                <w:sz w:val="10"/>
              </w:rPr>
            </w:pPr>
            <w:r>
              <w:rPr>
                <w:color w:val="231F20"/>
                <w:w w:val="104"/>
                <w:sz w:val="10"/>
              </w:rPr>
              <w:t>6</w:t>
            </w:r>
          </w:p>
        </w:tc>
        <w:tc>
          <w:tcPr>
            <w:tcW w:w="1754" w:type="dxa"/>
          </w:tcPr>
          <w:p>
            <w:pPr>
              <w:pStyle w:val="TableParagraph"/>
              <w:ind w:left="404" w:right="404"/>
              <w:jc w:val="center"/>
              <w:rPr>
                <w:sz w:val="18"/>
              </w:rPr>
            </w:pPr>
            <w:r>
              <w:rPr>
                <w:color w:val="231F20"/>
                <w:sz w:val="18"/>
              </w:rPr>
              <w:t>0.157</w:t>
            </w:r>
          </w:p>
        </w:tc>
        <w:tc>
          <w:tcPr>
            <w:tcW w:w="1892" w:type="dxa"/>
          </w:tcPr>
          <w:p>
            <w:pPr>
              <w:pStyle w:val="TableParagraph"/>
              <w:ind w:left="546" w:right="546"/>
              <w:jc w:val="center"/>
              <w:rPr>
                <w:sz w:val="18"/>
              </w:rPr>
            </w:pPr>
            <w:r>
              <w:rPr>
                <w:color w:val="231F20"/>
                <w:sz w:val="18"/>
              </w:rPr>
              <w:t>0.629</w:t>
            </w:r>
          </w:p>
        </w:tc>
      </w:tr>
      <w:tr>
        <w:trPr>
          <w:trHeight w:val="285" w:hRule="exact"/>
        </w:trPr>
        <w:tc>
          <w:tcPr>
            <w:tcW w:w="4735" w:type="dxa"/>
          </w:tcPr>
          <w:p>
            <w:pPr>
              <w:pStyle w:val="TableParagraph"/>
              <w:spacing w:line="171" w:lineRule="exact"/>
              <w:ind w:left="140"/>
              <w:rPr>
                <w:sz w:val="18"/>
              </w:rPr>
            </w:pPr>
            <w:r>
              <w:rPr>
                <w:color w:val="231F20"/>
                <w:sz w:val="18"/>
              </w:rPr>
              <w:t>Y  = Utilidad bruta por m</w:t>
            </w:r>
            <w:r>
              <w:rPr>
                <w:color w:val="231F20"/>
                <w:position w:val="6"/>
                <w:sz w:val="10"/>
              </w:rPr>
              <w:t>3</w:t>
            </w:r>
            <w:r>
              <w:rPr>
                <w:color w:val="231F20"/>
                <w:sz w:val="18"/>
              </w:rPr>
              <w:t>/Precio del m</w:t>
            </w:r>
            <w:r>
              <w:rPr>
                <w:color w:val="231F20"/>
                <w:position w:val="6"/>
                <w:sz w:val="10"/>
              </w:rPr>
              <w:t>3  </w:t>
            </w:r>
            <w:r>
              <w:rPr>
                <w:color w:val="231F20"/>
                <w:sz w:val="18"/>
              </w:rPr>
              <w:t>de agua al productor</w:t>
            </w:r>
          </w:p>
          <w:p>
            <w:pPr>
              <w:pStyle w:val="TableParagraph"/>
              <w:spacing w:line="79" w:lineRule="exact" w:before="0"/>
              <w:ind w:left="270"/>
              <w:rPr>
                <w:sz w:val="10"/>
              </w:rPr>
            </w:pPr>
            <w:r>
              <w:rPr>
                <w:color w:val="231F20"/>
                <w:w w:val="104"/>
                <w:sz w:val="10"/>
              </w:rPr>
              <w:t>7</w:t>
            </w:r>
          </w:p>
        </w:tc>
        <w:tc>
          <w:tcPr>
            <w:tcW w:w="1754" w:type="dxa"/>
          </w:tcPr>
          <w:p>
            <w:pPr>
              <w:pStyle w:val="TableParagraph"/>
              <w:ind w:left="404" w:right="404"/>
              <w:jc w:val="center"/>
              <w:rPr>
                <w:sz w:val="18"/>
              </w:rPr>
            </w:pPr>
            <w:r>
              <w:rPr>
                <w:color w:val="231F20"/>
                <w:sz w:val="18"/>
              </w:rPr>
              <w:t>20.49</w:t>
            </w:r>
          </w:p>
        </w:tc>
        <w:tc>
          <w:tcPr>
            <w:tcW w:w="1892" w:type="dxa"/>
          </w:tcPr>
          <w:p>
            <w:pPr>
              <w:pStyle w:val="TableParagraph"/>
              <w:ind w:left="546" w:right="546"/>
              <w:jc w:val="center"/>
              <w:rPr>
                <w:sz w:val="18"/>
              </w:rPr>
            </w:pPr>
            <w:r>
              <w:rPr>
                <w:color w:val="231F20"/>
                <w:sz w:val="18"/>
              </w:rPr>
              <w:t>6.41</w:t>
            </w:r>
          </w:p>
        </w:tc>
      </w:tr>
      <w:tr>
        <w:trPr>
          <w:trHeight w:val="285" w:hRule="exact"/>
        </w:trPr>
        <w:tc>
          <w:tcPr>
            <w:tcW w:w="4735" w:type="dxa"/>
          </w:tcPr>
          <w:p>
            <w:pPr>
              <w:pStyle w:val="TableParagraph"/>
              <w:spacing w:line="171" w:lineRule="exact"/>
              <w:ind w:left="404"/>
              <w:rPr>
                <w:sz w:val="18"/>
              </w:rPr>
            </w:pPr>
            <w:r>
              <w:rPr>
                <w:color w:val="231F20"/>
                <w:sz w:val="18"/>
              </w:rPr>
              <w:t>Y  = Empleos generados por cada 100,000 m</w:t>
            </w:r>
            <w:r>
              <w:rPr>
                <w:color w:val="231F20"/>
                <w:position w:val="6"/>
                <w:sz w:val="10"/>
              </w:rPr>
              <w:t>3  </w:t>
            </w:r>
            <w:r>
              <w:rPr>
                <w:color w:val="231F20"/>
                <w:sz w:val="18"/>
              </w:rPr>
              <w:t>de agua</w:t>
            </w:r>
          </w:p>
          <w:p>
            <w:pPr>
              <w:pStyle w:val="TableParagraph"/>
              <w:spacing w:line="79" w:lineRule="exact" w:before="0"/>
              <w:ind w:left="534"/>
              <w:rPr>
                <w:sz w:val="10"/>
              </w:rPr>
            </w:pPr>
            <w:r>
              <w:rPr>
                <w:color w:val="231F20"/>
                <w:w w:val="104"/>
                <w:sz w:val="10"/>
              </w:rPr>
              <w:t>8</w:t>
            </w:r>
          </w:p>
        </w:tc>
        <w:tc>
          <w:tcPr>
            <w:tcW w:w="1754" w:type="dxa"/>
          </w:tcPr>
          <w:p>
            <w:pPr>
              <w:pStyle w:val="TableParagraph"/>
              <w:ind w:left="404" w:right="404"/>
              <w:jc w:val="center"/>
              <w:rPr>
                <w:sz w:val="18"/>
              </w:rPr>
            </w:pPr>
            <w:r>
              <w:rPr>
                <w:color w:val="231F20"/>
                <w:sz w:val="18"/>
              </w:rPr>
              <w:t>6.254</w:t>
            </w:r>
          </w:p>
        </w:tc>
        <w:tc>
          <w:tcPr>
            <w:tcW w:w="1892" w:type="dxa"/>
          </w:tcPr>
          <w:p>
            <w:pPr>
              <w:pStyle w:val="TableParagraph"/>
              <w:ind w:left="546" w:right="546"/>
              <w:jc w:val="center"/>
              <w:rPr>
                <w:sz w:val="18"/>
              </w:rPr>
            </w:pPr>
            <w:r>
              <w:rPr>
                <w:color w:val="231F20"/>
                <w:sz w:val="18"/>
              </w:rPr>
              <w:t>1.29</w:t>
            </w:r>
          </w:p>
        </w:tc>
      </w:tr>
      <w:tr>
        <w:trPr>
          <w:trHeight w:val="285" w:hRule="exact"/>
        </w:trPr>
        <w:tc>
          <w:tcPr>
            <w:tcW w:w="4735" w:type="dxa"/>
          </w:tcPr>
          <w:p>
            <w:pPr>
              <w:pStyle w:val="TableParagraph"/>
              <w:spacing w:line="171" w:lineRule="exact"/>
              <w:ind w:left="728"/>
              <w:rPr>
                <w:sz w:val="18"/>
              </w:rPr>
            </w:pPr>
            <w:r>
              <w:rPr>
                <w:color w:val="231F20"/>
                <w:sz w:val="18"/>
              </w:rPr>
              <w:t>Y  = Horas de trabajo invertidas por tonelada</w:t>
            </w:r>
          </w:p>
          <w:p>
            <w:pPr>
              <w:pStyle w:val="TableParagraph"/>
              <w:spacing w:line="79" w:lineRule="exact" w:before="0"/>
              <w:ind w:left="858"/>
              <w:rPr>
                <w:sz w:val="10"/>
              </w:rPr>
            </w:pPr>
            <w:r>
              <w:rPr>
                <w:color w:val="231F20"/>
                <w:w w:val="104"/>
                <w:sz w:val="10"/>
              </w:rPr>
              <w:t>9</w:t>
            </w:r>
          </w:p>
        </w:tc>
        <w:tc>
          <w:tcPr>
            <w:tcW w:w="1754" w:type="dxa"/>
          </w:tcPr>
          <w:p>
            <w:pPr>
              <w:pStyle w:val="TableParagraph"/>
              <w:ind w:left="404" w:right="404"/>
              <w:jc w:val="center"/>
              <w:rPr>
                <w:sz w:val="18"/>
              </w:rPr>
            </w:pPr>
            <w:r>
              <w:rPr>
                <w:color w:val="231F20"/>
                <w:sz w:val="18"/>
              </w:rPr>
              <w:t>54.941</w:t>
            </w:r>
          </w:p>
        </w:tc>
        <w:tc>
          <w:tcPr>
            <w:tcW w:w="1892" w:type="dxa"/>
          </w:tcPr>
          <w:p>
            <w:pPr>
              <w:pStyle w:val="TableParagraph"/>
              <w:ind w:left="546" w:right="546"/>
              <w:jc w:val="center"/>
              <w:rPr>
                <w:sz w:val="18"/>
              </w:rPr>
            </w:pPr>
            <w:r>
              <w:rPr>
                <w:color w:val="231F20"/>
                <w:sz w:val="18"/>
              </w:rPr>
              <w:t>40.62</w:t>
            </w:r>
          </w:p>
        </w:tc>
      </w:tr>
      <w:tr>
        <w:trPr>
          <w:trHeight w:val="285" w:hRule="exact"/>
        </w:trPr>
        <w:tc>
          <w:tcPr>
            <w:tcW w:w="4735" w:type="dxa"/>
          </w:tcPr>
          <w:p>
            <w:pPr>
              <w:pStyle w:val="TableParagraph"/>
              <w:spacing w:line="171" w:lineRule="exact"/>
              <w:ind w:left="692"/>
              <w:rPr>
                <w:sz w:val="18"/>
              </w:rPr>
            </w:pPr>
            <w:r>
              <w:rPr>
                <w:color w:val="231F20"/>
                <w:sz w:val="18"/>
              </w:rPr>
              <w:t>Y   = Ganancia a nivel regional por trabajador</w:t>
            </w:r>
          </w:p>
          <w:p>
            <w:pPr>
              <w:pStyle w:val="TableParagraph"/>
              <w:spacing w:line="79" w:lineRule="exact" w:before="0"/>
              <w:ind w:left="822"/>
              <w:rPr>
                <w:sz w:val="10"/>
              </w:rPr>
            </w:pPr>
            <w:r>
              <w:rPr>
                <w:color w:val="231F20"/>
                <w:w w:val="105"/>
                <w:sz w:val="10"/>
              </w:rPr>
              <w:t>10</w:t>
            </w:r>
          </w:p>
        </w:tc>
        <w:tc>
          <w:tcPr>
            <w:tcW w:w="1754" w:type="dxa"/>
          </w:tcPr>
          <w:p>
            <w:pPr>
              <w:pStyle w:val="TableParagraph"/>
              <w:ind w:left="404" w:right="404"/>
              <w:jc w:val="center"/>
              <w:rPr>
                <w:sz w:val="18"/>
              </w:rPr>
            </w:pPr>
            <w:r>
              <w:rPr>
                <w:color w:val="231F20"/>
                <w:sz w:val="18"/>
              </w:rPr>
              <w:t>101,750</w:t>
            </w:r>
          </w:p>
        </w:tc>
        <w:tc>
          <w:tcPr>
            <w:tcW w:w="1892" w:type="dxa"/>
          </w:tcPr>
          <w:p>
            <w:pPr>
              <w:pStyle w:val="TableParagraph"/>
              <w:ind w:left="546" w:right="546"/>
              <w:jc w:val="center"/>
              <w:rPr>
                <w:sz w:val="18"/>
              </w:rPr>
            </w:pPr>
            <w:r>
              <w:rPr>
                <w:color w:val="231F20"/>
                <w:sz w:val="18"/>
              </w:rPr>
              <w:t>123,533</w:t>
            </w:r>
          </w:p>
        </w:tc>
      </w:tr>
      <w:tr>
        <w:trPr>
          <w:trHeight w:val="285" w:hRule="exact"/>
        </w:trPr>
        <w:tc>
          <w:tcPr>
            <w:tcW w:w="4735" w:type="dxa"/>
          </w:tcPr>
          <w:p>
            <w:pPr>
              <w:pStyle w:val="TableParagraph"/>
              <w:spacing w:line="171" w:lineRule="exact"/>
              <w:ind w:left="854"/>
              <w:rPr>
                <w:sz w:val="18"/>
              </w:rPr>
            </w:pPr>
            <w:r>
              <w:rPr>
                <w:color w:val="231F20"/>
                <w:sz w:val="18"/>
              </w:rPr>
              <w:t>Y   = Ganancia / hora invertida de trabajo</w:t>
            </w:r>
          </w:p>
          <w:p>
            <w:pPr>
              <w:pStyle w:val="TableParagraph"/>
              <w:spacing w:line="79" w:lineRule="exact" w:before="0"/>
              <w:ind w:left="984"/>
              <w:rPr>
                <w:sz w:val="10"/>
              </w:rPr>
            </w:pPr>
            <w:r>
              <w:rPr>
                <w:color w:val="231F20"/>
                <w:w w:val="105"/>
                <w:sz w:val="10"/>
              </w:rPr>
              <w:t>11</w:t>
            </w:r>
          </w:p>
        </w:tc>
        <w:tc>
          <w:tcPr>
            <w:tcW w:w="1754" w:type="dxa"/>
          </w:tcPr>
          <w:p>
            <w:pPr>
              <w:pStyle w:val="TableParagraph"/>
              <w:ind w:left="404" w:right="404"/>
              <w:jc w:val="center"/>
              <w:rPr>
                <w:sz w:val="18"/>
              </w:rPr>
            </w:pPr>
            <w:r>
              <w:rPr>
                <w:color w:val="231F20"/>
                <w:sz w:val="18"/>
              </w:rPr>
              <w:t>44.2</w:t>
            </w:r>
          </w:p>
        </w:tc>
        <w:tc>
          <w:tcPr>
            <w:tcW w:w="1892" w:type="dxa"/>
          </w:tcPr>
          <w:p>
            <w:pPr>
              <w:pStyle w:val="TableParagraph"/>
              <w:ind w:left="546" w:right="546"/>
              <w:jc w:val="center"/>
              <w:rPr>
                <w:sz w:val="18"/>
              </w:rPr>
            </w:pPr>
            <w:r>
              <w:rPr>
                <w:color w:val="231F20"/>
                <w:sz w:val="18"/>
              </w:rPr>
              <w:t>428.9</w:t>
            </w:r>
          </w:p>
        </w:tc>
      </w:tr>
    </w:tbl>
    <w:p>
      <w:pPr>
        <w:pStyle w:val="BodyText"/>
        <w:spacing w:before="10"/>
        <w:rPr>
          <w:b/>
          <w:sz w:val="15"/>
        </w:rPr>
      </w:pPr>
    </w:p>
    <w:p>
      <w:pPr>
        <w:spacing w:before="79"/>
        <w:ind w:left="1270" w:right="0" w:firstLine="0"/>
        <w:jc w:val="both"/>
        <w:rPr>
          <w:b/>
          <w:i/>
          <w:sz w:val="17"/>
        </w:rPr>
      </w:pPr>
      <w:r>
        <w:rPr>
          <w:b/>
          <w:i/>
          <w:color w:val="231F20"/>
          <w:sz w:val="17"/>
        </w:rPr>
        <w:t>Fuente: Elaboración propia, con base en los Cuadros 1y 2.</w:t>
      </w:r>
    </w:p>
    <w:p>
      <w:pPr>
        <w:pStyle w:val="BodyText"/>
        <w:spacing w:before="2"/>
        <w:rPr>
          <w:b/>
          <w:i/>
          <w:sz w:val="23"/>
        </w:rPr>
      </w:pPr>
    </w:p>
    <w:p>
      <w:pPr>
        <w:pStyle w:val="BodyText"/>
        <w:spacing w:line="249" w:lineRule="auto"/>
        <w:ind w:left="1270" w:right="1268"/>
        <w:jc w:val="both"/>
      </w:pPr>
      <w:r>
        <w:rPr>
          <w:color w:val="231F20"/>
        </w:rPr>
        <w:t>Referente al cultivo de Nogal BT del DR-017, considerado como cultivo parámetro, en contra del cual se compara el Chile BT del mismo DR-017, se encontró para la variable Y2, que mide su pro- ducto físico (en kg) por m</w:t>
      </w:r>
      <w:r>
        <w:rPr>
          <w:color w:val="231F20"/>
          <w:position w:val="7"/>
          <w:sz w:val="12"/>
        </w:rPr>
        <w:t>3 </w:t>
      </w:r>
      <w:r>
        <w:rPr>
          <w:color w:val="231F20"/>
        </w:rPr>
        <w:t>de agua, fue igual a 0.092 kg/m</w:t>
      </w:r>
      <w:r>
        <w:rPr>
          <w:color w:val="231F20"/>
          <w:position w:val="7"/>
          <w:sz w:val="12"/>
        </w:rPr>
        <w:t>3</w:t>
      </w:r>
      <w:r>
        <w:rPr>
          <w:color w:val="231F20"/>
        </w:rPr>
        <w:t>, inferior a los 2.623 kg/m</w:t>
      </w:r>
      <w:r>
        <w:rPr>
          <w:color w:val="231F20"/>
          <w:position w:val="7"/>
          <w:sz w:val="12"/>
        </w:rPr>
        <w:t>3 </w:t>
      </w:r>
      <w:r>
        <w:rPr>
          <w:color w:val="231F20"/>
        </w:rPr>
        <w:t>del Chile</w:t>
      </w:r>
      <w:r>
        <w:rPr>
          <w:color w:val="231F20"/>
          <w:spacing w:val="-13"/>
        </w:rPr>
        <w:t> </w:t>
      </w:r>
      <w:r>
        <w:rPr>
          <w:color w:val="231F20"/>
          <w:spacing w:val="-6"/>
        </w:rPr>
        <w:t>BT, </w:t>
      </w:r>
      <w:r>
        <w:rPr>
          <w:color w:val="231F20"/>
        </w:rPr>
        <w:t>ya</w:t>
      </w:r>
      <w:r>
        <w:rPr>
          <w:color w:val="231F20"/>
          <w:spacing w:val="-9"/>
        </w:rPr>
        <w:t> </w:t>
      </w:r>
      <w:r>
        <w:rPr>
          <w:color w:val="231F20"/>
        </w:rPr>
        <w:t>que</w:t>
      </w:r>
      <w:r>
        <w:rPr>
          <w:color w:val="231F20"/>
          <w:spacing w:val="-9"/>
        </w:rPr>
        <w:t> </w:t>
      </w:r>
      <w:r>
        <w:rPr>
          <w:color w:val="231F20"/>
        </w:rPr>
        <w:t>en</w:t>
      </w:r>
      <w:r>
        <w:rPr>
          <w:color w:val="231F20"/>
          <w:spacing w:val="-9"/>
        </w:rPr>
        <w:t> </w:t>
      </w:r>
      <w:r>
        <w:rPr>
          <w:color w:val="231F20"/>
        </w:rPr>
        <w:t>éste</w:t>
      </w:r>
      <w:r>
        <w:rPr>
          <w:color w:val="231F20"/>
          <w:spacing w:val="-9"/>
        </w:rPr>
        <w:t> </w:t>
      </w:r>
      <w:r>
        <w:rPr>
          <w:color w:val="231F20"/>
        </w:rPr>
        <w:t>último</w:t>
      </w:r>
      <w:r>
        <w:rPr>
          <w:color w:val="231F20"/>
          <w:spacing w:val="-9"/>
        </w:rPr>
        <w:t> </w:t>
      </w:r>
      <w:r>
        <w:rPr>
          <w:color w:val="231F20"/>
        </w:rPr>
        <w:t>cultivo,</w:t>
      </w:r>
      <w:r>
        <w:rPr>
          <w:color w:val="231F20"/>
          <w:spacing w:val="-9"/>
        </w:rPr>
        <w:t> </w:t>
      </w:r>
      <w:r>
        <w:rPr>
          <w:color w:val="231F20"/>
        </w:rPr>
        <w:t>el</w:t>
      </w:r>
      <w:r>
        <w:rPr>
          <w:color w:val="231F20"/>
          <w:spacing w:val="-9"/>
        </w:rPr>
        <w:t> </w:t>
      </w:r>
      <w:r>
        <w:rPr>
          <w:color w:val="231F20"/>
        </w:rPr>
        <w:t>mismo</w:t>
      </w:r>
      <w:r>
        <w:rPr>
          <w:color w:val="231F20"/>
          <w:spacing w:val="-9"/>
        </w:rPr>
        <w:t> </w:t>
      </w:r>
      <w:r>
        <w:rPr>
          <w:color w:val="231F20"/>
        </w:rPr>
        <w:t>m</w:t>
      </w:r>
      <w:r>
        <w:rPr>
          <w:color w:val="231F20"/>
          <w:position w:val="7"/>
          <w:sz w:val="12"/>
        </w:rPr>
        <w:t>3</w:t>
      </w:r>
      <w:r>
        <w:rPr>
          <w:color w:val="231F20"/>
          <w:spacing w:val="14"/>
          <w:position w:val="7"/>
          <w:sz w:val="12"/>
        </w:rPr>
        <w:t> </w:t>
      </w:r>
      <w:r>
        <w:rPr>
          <w:color w:val="231F20"/>
        </w:rPr>
        <w:t>de</w:t>
      </w:r>
      <w:r>
        <w:rPr>
          <w:color w:val="231F20"/>
          <w:spacing w:val="-9"/>
        </w:rPr>
        <w:t> </w:t>
      </w:r>
      <w:r>
        <w:rPr>
          <w:color w:val="231F20"/>
        </w:rPr>
        <w:t>agua</w:t>
      </w:r>
      <w:r>
        <w:rPr>
          <w:color w:val="231F20"/>
          <w:spacing w:val="-9"/>
        </w:rPr>
        <w:t> </w:t>
      </w:r>
      <w:r>
        <w:rPr>
          <w:color w:val="231F20"/>
        </w:rPr>
        <w:t>produjo</w:t>
      </w:r>
      <w:r>
        <w:rPr>
          <w:color w:val="231F20"/>
          <w:spacing w:val="-9"/>
        </w:rPr>
        <w:t> </w:t>
      </w:r>
      <w:r>
        <w:rPr>
          <w:color w:val="231F20"/>
        </w:rPr>
        <w:t>un</w:t>
      </w:r>
      <w:r>
        <w:rPr>
          <w:color w:val="231F20"/>
          <w:spacing w:val="-9"/>
        </w:rPr>
        <w:t> </w:t>
      </w:r>
      <w:r>
        <w:rPr>
          <w:color w:val="231F20"/>
        </w:rPr>
        <w:t>2,751.08%</w:t>
      </w:r>
      <w:r>
        <w:rPr>
          <w:color w:val="231F20"/>
          <w:spacing w:val="-9"/>
        </w:rPr>
        <w:t> </w:t>
      </w:r>
      <w:r>
        <w:rPr>
          <w:color w:val="231F20"/>
        </w:rPr>
        <w:t>(=2.623/0.092=28.51)</w:t>
      </w:r>
      <w:r>
        <w:rPr>
          <w:color w:val="231F20"/>
          <w:spacing w:val="-9"/>
        </w:rPr>
        <w:t> </w:t>
      </w:r>
      <w:r>
        <w:rPr>
          <w:color w:val="231F20"/>
        </w:rPr>
        <w:t>más producto físico que el que ese volumen de agua produciría en el nogal BT , en términos de biomasa es más eficiente la hortaliza analizada que el nogal (Cuadro</w:t>
      </w:r>
      <w:r>
        <w:rPr>
          <w:color w:val="231F20"/>
          <w:spacing w:val="-11"/>
        </w:rPr>
        <w:t> </w:t>
      </w:r>
      <w:r>
        <w:rPr>
          <w:color w:val="231F20"/>
        </w:rPr>
        <w:t>3).</w:t>
      </w:r>
    </w:p>
    <w:p>
      <w:pPr>
        <w:pStyle w:val="BodyText"/>
        <w:spacing w:before="7"/>
      </w:pPr>
    </w:p>
    <w:p>
      <w:pPr>
        <w:pStyle w:val="Heading5"/>
      </w:pPr>
      <w:r>
        <w:rPr>
          <w:color w:val="231F20"/>
        </w:rPr>
        <w:t>Eficiencia económica del agua subterránea usada en el riego por bombeo en Chile BT</w:t>
      </w:r>
    </w:p>
    <w:p>
      <w:pPr>
        <w:pStyle w:val="BodyText"/>
        <w:spacing w:line="247" w:lineRule="auto" w:before="8"/>
        <w:ind w:left="1270" w:right="1265"/>
        <w:jc w:val="both"/>
      </w:pPr>
      <w:r>
        <w:rPr>
          <w:color w:val="231F20"/>
        </w:rPr>
        <w:t>El </w:t>
      </w:r>
      <w:r>
        <w:rPr>
          <w:color w:val="231F20"/>
          <w:spacing w:val="-3"/>
        </w:rPr>
        <w:t>costo </w:t>
      </w:r>
      <w:r>
        <w:rPr>
          <w:color w:val="231F20"/>
        </w:rPr>
        <w:t>por m³ de </w:t>
      </w:r>
      <w:r>
        <w:rPr>
          <w:color w:val="231F20"/>
          <w:spacing w:val="-3"/>
        </w:rPr>
        <w:t>agua potable subterránea bombeada para </w:t>
      </w:r>
      <w:r>
        <w:rPr>
          <w:color w:val="231F20"/>
        </w:rPr>
        <w:t>uso </w:t>
      </w:r>
      <w:r>
        <w:rPr>
          <w:color w:val="231F20"/>
          <w:spacing w:val="-3"/>
        </w:rPr>
        <w:t>familiar </w:t>
      </w:r>
      <w:r>
        <w:rPr>
          <w:color w:val="231F20"/>
        </w:rPr>
        <w:t>en </w:t>
      </w:r>
      <w:r>
        <w:rPr>
          <w:color w:val="231F20"/>
          <w:spacing w:val="-3"/>
        </w:rPr>
        <w:t>zona residencial </w:t>
      </w:r>
      <w:r>
        <w:rPr>
          <w:color w:val="231F20"/>
        </w:rPr>
        <w:t>en </w:t>
      </w:r>
      <w:r>
        <w:rPr>
          <w:color w:val="231F20"/>
          <w:spacing w:val="-7"/>
        </w:rPr>
        <w:t>To- </w:t>
      </w:r>
      <w:r>
        <w:rPr>
          <w:color w:val="231F20"/>
          <w:spacing w:val="-3"/>
        </w:rPr>
        <w:t>rreón, Coahuila, principal municipio </w:t>
      </w:r>
      <w:r>
        <w:rPr>
          <w:color w:val="231F20"/>
        </w:rPr>
        <w:t>de La </w:t>
      </w:r>
      <w:r>
        <w:rPr>
          <w:color w:val="231F20"/>
          <w:spacing w:val="-3"/>
        </w:rPr>
        <w:t>Comarca Lagunera, </w:t>
      </w:r>
      <w:r>
        <w:rPr>
          <w:color w:val="231F20"/>
        </w:rPr>
        <w:t>en </w:t>
      </w:r>
      <w:r>
        <w:rPr>
          <w:color w:val="231F20"/>
          <w:spacing w:val="-3"/>
        </w:rPr>
        <w:t>junio </w:t>
      </w:r>
      <w:r>
        <w:rPr>
          <w:color w:val="231F20"/>
        </w:rPr>
        <w:t>de </w:t>
      </w:r>
      <w:r>
        <w:rPr>
          <w:color w:val="231F20"/>
          <w:spacing w:val="-4"/>
        </w:rPr>
        <w:t>2011, </w:t>
      </w:r>
      <w:r>
        <w:rPr>
          <w:color w:val="231F20"/>
        </w:rPr>
        <w:t>fue de </w:t>
      </w:r>
      <w:r>
        <w:rPr>
          <w:color w:val="231F20"/>
          <w:spacing w:val="-3"/>
        </w:rPr>
        <w:t>$9.8/m³, que </w:t>
      </w:r>
      <w:r>
        <w:rPr>
          <w:color w:val="231F20"/>
        </w:rPr>
        <w:t>ya </w:t>
      </w:r>
      <w:r>
        <w:rPr>
          <w:color w:val="231F20"/>
          <w:spacing w:val="-3"/>
        </w:rPr>
        <w:t>deflactado </w:t>
      </w:r>
      <w:r>
        <w:rPr>
          <w:color w:val="231F20"/>
        </w:rPr>
        <w:t>con el </w:t>
      </w:r>
      <w:r>
        <w:rPr>
          <w:color w:val="231F20"/>
          <w:spacing w:val="-3"/>
        </w:rPr>
        <w:t>índice </w:t>
      </w:r>
      <w:r>
        <w:rPr>
          <w:color w:val="231F20"/>
        </w:rPr>
        <w:t>de </w:t>
      </w:r>
      <w:r>
        <w:rPr>
          <w:color w:val="231F20"/>
          <w:spacing w:val="-3"/>
        </w:rPr>
        <w:t>precios </w:t>
      </w:r>
      <w:r>
        <w:rPr>
          <w:color w:val="231F20"/>
        </w:rPr>
        <w:t>del </w:t>
      </w:r>
      <w:r>
        <w:rPr>
          <w:color w:val="231F20"/>
          <w:spacing w:val="-3"/>
        </w:rPr>
        <w:t>Banco </w:t>
      </w:r>
      <w:r>
        <w:rPr>
          <w:color w:val="231F20"/>
        </w:rPr>
        <w:t>de </w:t>
      </w:r>
      <w:r>
        <w:rPr>
          <w:color w:val="231F20"/>
          <w:spacing w:val="-3"/>
        </w:rPr>
        <w:t>México, equivale </w:t>
      </w:r>
      <w:r>
        <w:rPr>
          <w:color w:val="231F20"/>
        </w:rPr>
        <w:t>a </w:t>
      </w:r>
      <w:r>
        <w:rPr>
          <w:color w:val="231F20"/>
          <w:spacing w:val="-3"/>
        </w:rPr>
        <w:t>$8.91, </w:t>
      </w:r>
      <w:r>
        <w:rPr>
          <w:color w:val="231F20"/>
        </w:rPr>
        <w:t>en </w:t>
      </w:r>
      <w:r>
        <w:rPr>
          <w:color w:val="231F20"/>
          <w:spacing w:val="-3"/>
        </w:rPr>
        <w:t>pesos constantes de 2009,</w:t>
      </w:r>
      <w:r>
        <w:rPr>
          <w:color w:val="231F20"/>
          <w:spacing w:val="-8"/>
        </w:rPr>
        <w:t> </w:t>
      </w:r>
      <w:r>
        <w:rPr>
          <w:color w:val="231F20"/>
        </w:rPr>
        <w:t>lo</w:t>
      </w:r>
      <w:r>
        <w:rPr>
          <w:color w:val="231F20"/>
          <w:spacing w:val="-8"/>
        </w:rPr>
        <w:t> </w:t>
      </w:r>
      <w:r>
        <w:rPr>
          <w:color w:val="231F20"/>
        </w:rPr>
        <w:t>que</w:t>
      </w:r>
      <w:r>
        <w:rPr>
          <w:color w:val="231F20"/>
          <w:spacing w:val="-8"/>
        </w:rPr>
        <w:t> </w:t>
      </w:r>
      <w:r>
        <w:rPr>
          <w:color w:val="231F20"/>
          <w:spacing w:val="-3"/>
        </w:rPr>
        <w:t>permitiría</w:t>
      </w:r>
      <w:r>
        <w:rPr>
          <w:color w:val="231F20"/>
          <w:spacing w:val="-8"/>
        </w:rPr>
        <w:t> </w:t>
      </w:r>
      <w:r>
        <w:rPr>
          <w:color w:val="231F20"/>
        </w:rPr>
        <w:t>ya</w:t>
      </w:r>
      <w:r>
        <w:rPr>
          <w:color w:val="231F20"/>
          <w:spacing w:val="-8"/>
        </w:rPr>
        <w:t> </w:t>
      </w:r>
      <w:r>
        <w:rPr>
          <w:color w:val="231F20"/>
          <w:spacing w:val="-3"/>
        </w:rPr>
        <w:t>hacer</w:t>
      </w:r>
      <w:r>
        <w:rPr>
          <w:color w:val="231F20"/>
          <w:spacing w:val="-8"/>
        </w:rPr>
        <w:t> </w:t>
      </w:r>
      <w:r>
        <w:rPr>
          <w:color w:val="231F20"/>
          <w:spacing w:val="-3"/>
        </w:rPr>
        <w:t>comparaciones</w:t>
      </w:r>
      <w:r>
        <w:rPr>
          <w:color w:val="231F20"/>
          <w:spacing w:val="-8"/>
        </w:rPr>
        <w:t> </w:t>
      </w:r>
      <w:r>
        <w:rPr>
          <w:color w:val="231F20"/>
          <w:spacing w:val="-3"/>
        </w:rPr>
        <w:t>entre</w:t>
      </w:r>
      <w:r>
        <w:rPr>
          <w:color w:val="231F20"/>
          <w:spacing w:val="-8"/>
        </w:rPr>
        <w:t> </w:t>
      </w:r>
      <w:r>
        <w:rPr>
          <w:color w:val="231F20"/>
        </w:rPr>
        <w:t>el</w:t>
      </w:r>
      <w:r>
        <w:rPr>
          <w:color w:val="231F20"/>
          <w:spacing w:val="-8"/>
        </w:rPr>
        <w:t> </w:t>
      </w:r>
      <w:r>
        <w:rPr>
          <w:color w:val="231F20"/>
          <w:spacing w:val="-3"/>
        </w:rPr>
        <w:t>ingreso</w:t>
      </w:r>
      <w:r>
        <w:rPr>
          <w:color w:val="231F20"/>
          <w:spacing w:val="-8"/>
        </w:rPr>
        <w:t> </w:t>
      </w:r>
      <w:r>
        <w:rPr>
          <w:color w:val="231F20"/>
          <w:spacing w:val="-3"/>
        </w:rPr>
        <w:t>bruto</w:t>
      </w:r>
      <w:r>
        <w:rPr>
          <w:color w:val="231F20"/>
          <w:spacing w:val="-8"/>
        </w:rPr>
        <w:t> </w:t>
      </w:r>
      <w:r>
        <w:rPr>
          <w:color w:val="231F20"/>
          <w:spacing w:val="-3"/>
        </w:rPr>
        <w:t>monetario</w:t>
      </w:r>
      <w:r>
        <w:rPr>
          <w:color w:val="231F20"/>
          <w:spacing w:val="-8"/>
        </w:rPr>
        <w:t> </w:t>
      </w:r>
      <w:r>
        <w:rPr>
          <w:color w:val="231F20"/>
          <w:spacing w:val="-3"/>
        </w:rPr>
        <w:t>generado</w:t>
      </w:r>
      <w:r>
        <w:rPr>
          <w:color w:val="231F20"/>
          <w:spacing w:val="-8"/>
        </w:rPr>
        <w:t> </w:t>
      </w:r>
      <w:r>
        <w:rPr>
          <w:color w:val="231F20"/>
        </w:rPr>
        <w:t>en</w:t>
      </w:r>
      <w:r>
        <w:rPr>
          <w:color w:val="231F20"/>
          <w:spacing w:val="-8"/>
        </w:rPr>
        <w:t> </w:t>
      </w:r>
      <w:r>
        <w:rPr>
          <w:color w:val="231F20"/>
          <w:spacing w:val="-3"/>
        </w:rPr>
        <w:t>Chile</w:t>
      </w:r>
      <w:r>
        <w:rPr>
          <w:color w:val="231F20"/>
          <w:spacing w:val="-8"/>
        </w:rPr>
        <w:t> </w:t>
      </w:r>
      <w:r>
        <w:rPr>
          <w:color w:val="231F20"/>
          <w:spacing w:val="-3"/>
        </w:rPr>
        <w:t>BT </w:t>
      </w:r>
      <w:r>
        <w:rPr>
          <w:color w:val="231F20"/>
        </w:rPr>
        <w:t>y</w:t>
      </w:r>
      <w:r>
        <w:rPr>
          <w:color w:val="231F20"/>
          <w:spacing w:val="-11"/>
        </w:rPr>
        <w:t> </w:t>
      </w:r>
      <w:r>
        <w:rPr>
          <w:color w:val="231F20"/>
          <w:spacing w:val="-3"/>
        </w:rPr>
        <w:t>Nogal</w:t>
      </w:r>
      <w:r>
        <w:rPr>
          <w:color w:val="231F20"/>
          <w:spacing w:val="-11"/>
        </w:rPr>
        <w:t> </w:t>
      </w:r>
      <w:r>
        <w:rPr>
          <w:color w:val="231F20"/>
        </w:rPr>
        <w:t>BT</w:t>
      </w:r>
      <w:r>
        <w:rPr>
          <w:color w:val="231F20"/>
          <w:spacing w:val="-14"/>
        </w:rPr>
        <w:t> </w:t>
      </w:r>
      <w:r>
        <w:rPr>
          <w:color w:val="231F20"/>
        </w:rPr>
        <w:t>por</w:t>
      </w:r>
      <w:r>
        <w:rPr>
          <w:color w:val="231F20"/>
          <w:spacing w:val="-11"/>
        </w:rPr>
        <w:t> </w:t>
      </w:r>
      <w:r>
        <w:rPr>
          <w:color w:val="231F20"/>
        </w:rPr>
        <w:t>m³</w:t>
      </w:r>
      <w:r>
        <w:rPr>
          <w:color w:val="231F20"/>
          <w:spacing w:val="-11"/>
        </w:rPr>
        <w:t> </w:t>
      </w:r>
      <w:r>
        <w:rPr>
          <w:color w:val="231F20"/>
        </w:rPr>
        <w:t>de</w:t>
      </w:r>
      <w:r>
        <w:rPr>
          <w:color w:val="231F20"/>
          <w:spacing w:val="-11"/>
        </w:rPr>
        <w:t> </w:t>
      </w:r>
      <w:r>
        <w:rPr>
          <w:color w:val="231F20"/>
          <w:spacing w:val="-3"/>
        </w:rPr>
        <w:t>agua</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spacing w:val="-3"/>
        </w:rPr>
        <w:t>Comarca</w:t>
      </w:r>
      <w:r>
        <w:rPr>
          <w:color w:val="231F20"/>
          <w:spacing w:val="-11"/>
        </w:rPr>
        <w:t> </w:t>
      </w:r>
      <w:r>
        <w:rPr>
          <w:color w:val="231F20"/>
          <w:spacing w:val="-3"/>
        </w:rPr>
        <w:t>Lagunera.</w:t>
      </w:r>
      <w:r>
        <w:rPr>
          <w:color w:val="231F20"/>
          <w:spacing w:val="-21"/>
        </w:rPr>
        <w:t> </w:t>
      </w:r>
      <w:r>
        <w:rPr>
          <w:color w:val="231F20"/>
          <w:spacing w:val="-3"/>
        </w:rPr>
        <w:t>Así,</w:t>
      </w:r>
      <w:r>
        <w:rPr>
          <w:color w:val="231F20"/>
          <w:spacing w:val="-11"/>
        </w:rPr>
        <w:t> </w:t>
      </w:r>
      <w:r>
        <w:rPr>
          <w:color w:val="231F20"/>
        </w:rPr>
        <w:t>se</w:t>
      </w:r>
      <w:r>
        <w:rPr>
          <w:color w:val="231F20"/>
          <w:spacing w:val="-11"/>
        </w:rPr>
        <w:t> </w:t>
      </w:r>
      <w:r>
        <w:rPr>
          <w:color w:val="231F20"/>
          <w:spacing w:val="-3"/>
        </w:rPr>
        <w:t>determinó</w:t>
      </w:r>
      <w:r>
        <w:rPr>
          <w:color w:val="231F20"/>
          <w:spacing w:val="-11"/>
        </w:rPr>
        <w:t> </w:t>
      </w:r>
      <w:r>
        <w:rPr>
          <w:color w:val="231F20"/>
        </w:rPr>
        <w:t>que</w:t>
      </w:r>
      <w:r>
        <w:rPr>
          <w:color w:val="231F20"/>
          <w:spacing w:val="-11"/>
        </w:rPr>
        <w:t> </w:t>
      </w:r>
      <w:r>
        <w:rPr>
          <w:color w:val="231F20"/>
        </w:rPr>
        <w:t>la</w:t>
      </w:r>
      <w:r>
        <w:rPr>
          <w:color w:val="231F20"/>
          <w:spacing w:val="-11"/>
        </w:rPr>
        <w:t> </w:t>
      </w:r>
      <w:r>
        <w:rPr>
          <w:color w:val="231F20"/>
          <w:spacing w:val="-3"/>
        </w:rPr>
        <w:t>variable</w:t>
      </w:r>
      <w:r>
        <w:rPr>
          <w:color w:val="231F20"/>
          <w:spacing w:val="-17"/>
        </w:rPr>
        <w:t> </w:t>
      </w:r>
      <w:r>
        <w:rPr>
          <w:color w:val="231F20"/>
        </w:rPr>
        <w:t>Y4,</w:t>
      </w:r>
      <w:r>
        <w:rPr>
          <w:color w:val="231F20"/>
          <w:spacing w:val="-11"/>
        </w:rPr>
        <w:t> </w:t>
      </w:r>
      <w:r>
        <w:rPr>
          <w:color w:val="231F20"/>
        </w:rPr>
        <w:t>que</w:t>
      </w:r>
      <w:r>
        <w:rPr>
          <w:color w:val="231F20"/>
          <w:spacing w:val="-11"/>
        </w:rPr>
        <w:t> </w:t>
      </w:r>
      <w:r>
        <w:rPr>
          <w:color w:val="231F20"/>
          <w:spacing w:val="-3"/>
        </w:rPr>
        <w:t>evaluó</w:t>
      </w:r>
    </w:p>
    <w:p>
      <w:pPr>
        <w:spacing w:after="0" w:line="247" w:lineRule="auto"/>
        <w:jc w:val="both"/>
        <w:sectPr>
          <w:pgSz w:w="10920" w:h="13080"/>
          <w:pgMar w:header="0" w:footer="1025" w:top="420" w:bottom="1220" w:left="0" w:right="0"/>
        </w:sectPr>
      </w:pPr>
    </w:p>
    <w:p>
      <w:pPr>
        <w:pStyle w:val="BodyText"/>
        <w:rPr>
          <w:sz w:val="20"/>
        </w:rPr>
      </w:pPr>
    </w:p>
    <w:p>
      <w:pPr>
        <w:pStyle w:val="BodyText"/>
        <w:rPr>
          <w:sz w:val="20"/>
        </w:rPr>
      </w:pPr>
    </w:p>
    <w:p>
      <w:pPr>
        <w:pStyle w:val="BodyText"/>
        <w:rPr>
          <w:sz w:val="23"/>
        </w:rPr>
      </w:pPr>
    </w:p>
    <w:p>
      <w:pPr>
        <w:pStyle w:val="BodyText"/>
        <w:spacing w:before="73"/>
        <w:ind w:left="1270"/>
        <w:jc w:val="both"/>
      </w:pPr>
      <w:r>
        <w:rPr>
          <w:color w:val="231F20"/>
        </w:rPr>
        <w:t>el ingreso bruto producido por m³ de agua irrigada en 2009, resultó ser igual a $9.18 en Chile BT, y</w:t>
      </w:r>
    </w:p>
    <w:p>
      <w:pPr>
        <w:pStyle w:val="BodyText"/>
        <w:spacing w:line="249" w:lineRule="auto" w:before="8"/>
        <w:ind w:left="1270" w:right="1269"/>
        <w:jc w:val="both"/>
      </w:pPr>
      <w:r>
        <w:rPr>
          <w:color w:val="231F20"/>
          <w:spacing w:val="-3"/>
        </w:rPr>
        <w:t>$2.62 </w:t>
      </w:r>
      <w:r>
        <w:rPr>
          <w:color w:val="231F20"/>
        </w:rPr>
        <w:t>en </w:t>
      </w:r>
      <w:r>
        <w:rPr>
          <w:color w:val="231F20"/>
          <w:spacing w:val="-3"/>
        </w:rPr>
        <w:t>Nogal </w:t>
      </w:r>
      <w:r>
        <w:rPr>
          <w:color w:val="231F20"/>
        </w:rPr>
        <w:t>BT </w:t>
      </w:r>
      <w:r>
        <w:rPr>
          <w:color w:val="231F20"/>
          <w:spacing w:val="-3"/>
        </w:rPr>
        <w:t>(Cuadro </w:t>
      </w:r>
      <w:r>
        <w:rPr>
          <w:color w:val="231F20"/>
        </w:rPr>
        <w:t>3), lo que </w:t>
      </w:r>
      <w:r>
        <w:rPr>
          <w:color w:val="231F20"/>
          <w:spacing w:val="-3"/>
        </w:rPr>
        <w:t>permite inferir </w:t>
      </w:r>
      <w:r>
        <w:rPr>
          <w:color w:val="231F20"/>
        </w:rPr>
        <w:t>que </w:t>
      </w:r>
      <w:r>
        <w:rPr>
          <w:color w:val="231F20"/>
          <w:spacing w:val="-3"/>
        </w:rPr>
        <w:t>solamente </w:t>
      </w:r>
      <w:r>
        <w:rPr>
          <w:color w:val="231F20"/>
        </w:rPr>
        <w:t>el </w:t>
      </w:r>
      <w:r>
        <w:rPr>
          <w:color w:val="231F20"/>
          <w:spacing w:val="-3"/>
        </w:rPr>
        <w:t>cultivo </w:t>
      </w:r>
      <w:r>
        <w:rPr>
          <w:color w:val="231F20"/>
        </w:rPr>
        <w:t>de </w:t>
      </w:r>
      <w:r>
        <w:rPr>
          <w:color w:val="231F20"/>
          <w:spacing w:val="-3"/>
        </w:rPr>
        <w:t>Chile </w:t>
      </w:r>
      <w:r>
        <w:rPr>
          <w:color w:val="231F20"/>
        </w:rPr>
        <w:t>BT fue </w:t>
      </w:r>
      <w:r>
        <w:rPr>
          <w:color w:val="231F20"/>
          <w:spacing w:val="-3"/>
        </w:rPr>
        <w:t>capaz </w:t>
      </w:r>
      <w:r>
        <w:rPr>
          <w:color w:val="231F20"/>
        </w:rPr>
        <w:t>de </w:t>
      </w:r>
      <w:r>
        <w:rPr>
          <w:color w:val="231F20"/>
          <w:spacing w:val="-3"/>
        </w:rPr>
        <w:t>generar </w:t>
      </w:r>
      <w:r>
        <w:rPr>
          <w:color w:val="231F20"/>
        </w:rPr>
        <w:t>un </w:t>
      </w:r>
      <w:r>
        <w:rPr>
          <w:color w:val="231F20"/>
          <w:spacing w:val="-3"/>
        </w:rPr>
        <w:t>ingreso bruto superior </w:t>
      </w:r>
      <w:r>
        <w:rPr>
          <w:color w:val="231F20"/>
        </w:rPr>
        <w:t>al </w:t>
      </w:r>
      <w:r>
        <w:rPr>
          <w:color w:val="231F20"/>
          <w:spacing w:val="-3"/>
        </w:rPr>
        <w:t>precio </w:t>
      </w:r>
      <w:r>
        <w:rPr>
          <w:color w:val="231F20"/>
        </w:rPr>
        <w:t>de </w:t>
      </w:r>
      <w:r>
        <w:rPr>
          <w:color w:val="231F20"/>
          <w:spacing w:val="-3"/>
        </w:rPr>
        <w:t>$8.91 </w:t>
      </w:r>
      <w:r>
        <w:rPr>
          <w:color w:val="231F20"/>
        </w:rPr>
        <w:t>al que se le </w:t>
      </w:r>
      <w:r>
        <w:rPr>
          <w:color w:val="231F20"/>
          <w:spacing w:val="-3"/>
        </w:rPr>
        <w:t>vendió </w:t>
      </w:r>
      <w:r>
        <w:rPr>
          <w:color w:val="231F20"/>
        </w:rPr>
        <w:t>al </w:t>
      </w:r>
      <w:r>
        <w:rPr>
          <w:color w:val="231F20"/>
          <w:spacing w:val="-3"/>
        </w:rPr>
        <w:t>consumidor doméstico el </w:t>
      </w:r>
      <w:r>
        <w:rPr>
          <w:color w:val="231F20"/>
        </w:rPr>
        <w:t>m</w:t>
      </w:r>
      <w:r>
        <w:rPr>
          <w:color w:val="231F20"/>
          <w:position w:val="7"/>
          <w:sz w:val="12"/>
        </w:rPr>
        <w:t>3  </w:t>
      </w:r>
      <w:r>
        <w:rPr>
          <w:color w:val="231F20"/>
        </w:rPr>
        <w:t>de </w:t>
      </w:r>
      <w:r>
        <w:rPr>
          <w:color w:val="231F20"/>
          <w:spacing w:val="-3"/>
        </w:rPr>
        <w:t>agua </w:t>
      </w:r>
      <w:r>
        <w:rPr>
          <w:color w:val="231F20"/>
        </w:rPr>
        <w:t>en la </w:t>
      </w:r>
      <w:r>
        <w:rPr>
          <w:color w:val="231F20"/>
          <w:spacing w:val="-3"/>
        </w:rPr>
        <w:t>ciudad </w:t>
      </w:r>
      <w:r>
        <w:rPr>
          <w:color w:val="231F20"/>
        </w:rPr>
        <w:t>de </w:t>
      </w:r>
      <w:r>
        <w:rPr>
          <w:color w:val="231F20"/>
          <w:spacing w:val="-5"/>
        </w:rPr>
        <w:t>Torreón, </w:t>
      </w:r>
      <w:r>
        <w:rPr>
          <w:color w:val="231F20"/>
          <w:spacing w:val="-3"/>
        </w:rPr>
        <w:t>Coahuila, mientras </w:t>
      </w:r>
      <w:r>
        <w:rPr>
          <w:color w:val="231F20"/>
        </w:rPr>
        <w:t>que el </w:t>
      </w:r>
      <w:r>
        <w:rPr>
          <w:color w:val="231F20"/>
          <w:spacing w:val="-3"/>
        </w:rPr>
        <w:t>Nogal </w:t>
      </w:r>
      <w:r>
        <w:rPr>
          <w:color w:val="231F20"/>
          <w:spacing w:val="-7"/>
        </w:rPr>
        <w:t>BT, </w:t>
      </w:r>
      <w:r>
        <w:rPr>
          <w:color w:val="231F20"/>
        </w:rPr>
        <w:t>con su </w:t>
      </w:r>
      <w:r>
        <w:rPr>
          <w:color w:val="231F20"/>
          <w:spacing w:val="-3"/>
        </w:rPr>
        <w:t>ingreso generado  de</w:t>
      </w:r>
    </w:p>
    <w:p>
      <w:pPr>
        <w:pStyle w:val="BodyText"/>
        <w:spacing w:line="249" w:lineRule="auto"/>
        <w:ind w:left="1270" w:right="1267" w:hanging="1"/>
        <w:jc w:val="both"/>
      </w:pPr>
      <w:r>
        <w:rPr>
          <w:color w:val="231F20"/>
          <w:spacing w:val="-3"/>
        </w:rPr>
        <w:t>$2.62/ </w:t>
      </w:r>
      <w:r>
        <w:rPr>
          <w:color w:val="231F20"/>
        </w:rPr>
        <w:t>m</w:t>
      </w:r>
      <w:r>
        <w:rPr>
          <w:color w:val="231F20"/>
          <w:position w:val="7"/>
          <w:sz w:val="12"/>
        </w:rPr>
        <w:t>3 </w:t>
      </w:r>
      <w:r>
        <w:rPr>
          <w:color w:val="231F20"/>
        </w:rPr>
        <w:t>de </w:t>
      </w:r>
      <w:r>
        <w:rPr>
          <w:color w:val="231F20"/>
          <w:spacing w:val="-3"/>
        </w:rPr>
        <w:t>agua irrigado, generó </w:t>
      </w:r>
      <w:r>
        <w:rPr>
          <w:color w:val="231F20"/>
        </w:rPr>
        <w:t>un </w:t>
      </w:r>
      <w:r>
        <w:rPr>
          <w:color w:val="231F20"/>
          <w:spacing w:val="-3"/>
        </w:rPr>
        <w:t>ingreso 70.6% inferior </w:t>
      </w:r>
      <w:r>
        <w:rPr>
          <w:color w:val="231F20"/>
        </w:rPr>
        <w:t>al que </w:t>
      </w:r>
      <w:r>
        <w:rPr>
          <w:color w:val="231F20"/>
          <w:spacing w:val="-3"/>
        </w:rPr>
        <w:t>podría haberse logrado </w:t>
      </w:r>
      <w:r>
        <w:rPr>
          <w:color w:val="231F20"/>
        </w:rPr>
        <w:t>si ese </w:t>
      </w:r>
      <w:r>
        <w:rPr>
          <w:color w:val="231F20"/>
          <w:spacing w:val="-3"/>
        </w:rPr>
        <w:t>mis- </w:t>
      </w:r>
      <w:r>
        <w:rPr>
          <w:color w:val="231F20"/>
        </w:rPr>
        <w:t>mo </w:t>
      </w:r>
      <w:r>
        <w:rPr>
          <w:color w:val="231F20"/>
          <w:spacing w:val="-3"/>
        </w:rPr>
        <w:t>metro cúbico </w:t>
      </w:r>
      <w:r>
        <w:rPr>
          <w:color w:val="231F20"/>
        </w:rPr>
        <w:t>de </w:t>
      </w:r>
      <w:r>
        <w:rPr>
          <w:color w:val="231F20"/>
          <w:spacing w:val="-3"/>
        </w:rPr>
        <w:t>agua hubiese sido vendido </w:t>
      </w:r>
      <w:r>
        <w:rPr>
          <w:color w:val="231F20"/>
        </w:rPr>
        <w:t>a los </w:t>
      </w:r>
      <w:r>
        <w:rPr>
          <w:color w:val="231F20"/>
          <w:spacing w:val="-3"/>
        </w:rPr>
        <w:t>consumidores habitacionales urbanos </w:t>
      </w:r>
      <w:r>
        <w:rPr>
          <w:color w:val="231F20"/>
        </w:rPr>
        <w:t>de </w:t>
      </w:r>
      <w:r>
        <w:rPr>
          <w:color w:val="231F20"/>
          <w:spacing w:val="-5"/>
        </w:rPr>
        <w:t>Torreón.</w:t>
      </w:r>
    </w:p>
    <w:p>
      <w:pPr>
        <w:pStyle w:val="BodyText"/>
        <w:spacing w:before="7"/>
      </w:pPr>
    </w:p>
    <w:p>
      <w:pPr>
        <w:pStyle w:val="BodyText"/>
        <w:spacing w:line="249" w:lineRule="auto"/>
        <w:ind w:left="1270" w:right="1267"/>
        <w:jc w:val="both"/>
      </w:pPr>
      <w:r>
        <w:rPr>
          <w:color w:val="231F20"/>
        </w:rPr>
        <w:t>Ahora bien, si el parámetro de referencia del precio del agua, no fuese el anterior $8.91 por metro cúbico, sino el precio de $0.05/m3 señalados por Godínez-Montoya </w:t>
      </w:r>
      <w:r>
        <w:rPr>
          <w:i/>
          <w:color w:val="231F20"/>
        </w:rPr>
        <w:t>et al. </w:t>
      </w:r>
      <w:r>
        <w:rPr>
          <w:color w:val="231F20"/>
        </w:rPr>
        <w:t>(2007), entonces, ante tan irrisorio</w:t>
      </w:r>
      <w:r>
        <w:rPr>
          <w:color w:val="231F20"/>
          <w:spacing w:val="-4"/>
        </w:rPr>
        <w:t> </w:t>
      </w:r>
      <w:r>
        <w:rPr>
          <w:color w:val="231F20"/>
        </w:rPr>
        <w:t>precio</w:t>
      </w:r>
      <w:r>
        <w:rPr>
          <w:color w:val="231F20"/>
          <w:spacing w:val="-4"/>
        </w:rPr>
        <w:t> </w:t>
      </w:r>
      <w:r>
        <w:rPr>
          <w:color w:val="231F20"/>
        </w:rPr>
        <w:t>del</w:t>
      </w:r>
      <w:r>
        <w:rPr>
          <w:color w:val="231F20"/>
          <w:spacing w:val="-4"/>
        </w:rPr>
        <w:t> </w:t>
      </w:r>
      <w:r>
        <w:rPr>
          <w:color w:val="231F20"/>
        </w:rPr>
        <w:t>agua</w:t>
      </w:r>
      <w:r>
        <w:rPr>
          <w:color w:val="231F20"/>
          <w:spacing w:val="-4"/>
        </w:rPr>
        <w:t> </w:t>
      </w:r>
      <w:r>
        <w:rPr>
          <w:color w:val="231F20"/>
        </w:rPr>
        <w:t>de</w:t>
      </w:r>
      <w:r>
        <w:rPr>
          <w:color w:val="231F20"/>
          <w:spacing w:val="-4"/>
        </w:rPr>
        <w:t> </w:t>
      </w:r>
      <w:r>
        <w:rPr>
          <w:color w:val="231F20"/>
        </w:rPr>
        <w:t>riego,</w:t>
      </w:r>
      <w:r>
        <w:rPr>
          <w:color w:val="231F20"/>
          <w:spacing w:val="-4"/>
        </w:rPr>
        <w:t> </w:t>
      </w:r>
      <w:r>
        <w:rPr>
          <w:color w:val="231F20"/>
        </w:rPr>
        <w:t>el</w:t>
      </w:r>
      <w:r>
        <w:rPr>
          <w:color w:val="231F20"/>
          <w:spacing w:val="-4"/>
        </w:rPr>
        <w:t> </w:t>
      </w:r>
      <w:r>
        <w:rPr>
          <w:color w:val="231F20"/>
        </w:rPr>
        <w:t>ingreso</w:t>
      </w:r>
      <w:r>
        <w:rPr>
          <w:color w:val="231F20"/>
          <w:spacing w:val="-4"/>
        </w:rPr>
        <w:t> </w:t>
      </w:r>
      <w:r>
        <w:rPr>
          <w:color w:val="231F20"/>
        </w:rPr>
        <w:t>producido</w:t>
      </w:r>
      <w:r>
        <w:rPr>
          <w:color w:val="231F20"/>
          <w:spacing w:val="-4"/>
        </w:rPr>
        <w:t> </w:t>
      </w:r>
      <w:r>
        <w:rPr>
          <w:color w:val="231F20"/>
        </w:rPr>
        <w:t>por</w:t>
      </w:r>
      <w:r>
        <w:rPr>
          <w:color w:val="231F20"/>
          <w:spacing w:val="-4"/>
        </w:rPr>
        <w:t> </w:t>
      </w:r>
      <w:r>
        <w:rPr>
          <w:color w:val="231F20"/>
        </w:rPr>
        <w:t>m3</w:t>
      </w:r>
      <w:r>
        <w:rPr>
          <w:color w:val="231F20"/>
          <w:spacing w:val="-4"/>
        </w:rPr>
        <w:t> </w:t>
      </w:r>
      <w:r>
        <w:rPr>
          <w:color w:val="231F20"/>
        </w:rPr>
        <w:t>de</w:t>
      </w:r>
      <w:r>
        <w:rPr>
          <w:color w:val="231F20"/>
          <w:spacing w:val="-4"/>
        </w:rPr>
        <w:t> </w:t>
      </w:r>
      <w:r>
        <w:rPr>
          <w:color w:val="231F20"/>
        </w:rPr>
        <w:t>agua</w:t>
      </w:r>
      <w:r>
        <w:rPr>
          <w:color w:val="231F20"/>
          <w:spacing w:val="-4"/>
        </w:rPr>
        <w:t> </w:t>
      </w:r>
      <w:r>
        <w:rPr>
          <w:color w:val="231F20"/>
        </w:rPr>
        <w:t>en</w:t>
      </w:r>
      <w:r>
        <w:rPr>
          <w:color w:val="231F20"/>
          <w:spacing w:val="-4"/>
        </w:rPr>
        <w:t> </w:t>
      </w:r>
      <w:r>
        <w:rPr>
          <w:color w:val="231F20"/>
        </w:rPr>
        <w:t>los</w:t>
      </w:r>
      <w:r>
        <w:rPr>
          <w:color w:val="231F20"/>
          <w:spacing w:val="-4"/>
        </w:rPr>
        <w:t> </w:t>
      </w:r>
      <w:r>
        <w:rPr>
          <w:color w:val="231F20"/>
        </w:rPr>
        <w:t>dos</w:t>
      </w:r>
      <w:r>
        <w:rPr>
          <w:color w:val="231F20"/>
          <w:spacing w:val="-4"/>
        </w:rPr>
        <w:t> </w:t>
      </w:r>
      <w:r>
        <w:rPr>
          <w:color w:val="231F20"/>
        </w:rPr>
        <w:t>cultivos</w:t>
      </w:r>
      <w:r>
        <w:rPr>
          <w:color w:val="231F20"/>
          <w:spacing w:val="-4"/>
        </w:rPr>
        <w:t> </w:t>
      </w:r>
      <w:r>
        <w:rPr>
          <w:color w:val="231F20"/>
        </w:rPr>
        <w:t>evaluados resultaría</w:t>
      </w:r>
      <w:r>
        <w:rPr>
          <w:color w:val="231F20"/>
          <w:spacing w:val="-10"/>
        </w:rPr>
        <w:t> </w:t>
      </w:r>
      <w:r>
        <w:rPr>
          <w:color w:val="231F20"/>
        </w:rPr>
        <w:t>superior,</w:t>
      </w:r>
      <w:r>
        <w:rPr>
          <w:color w:val="231F20"/>
          <w:spacing w:val="-10"/>
        </w:rPr>
        <w:t> </w:t>
      </w:r>
      <w:r>
        <w:rPr>
          <w:color w:val="231F20"/>
        </w:rPr>
        <w:t>no</w:t>
      </w:r>
      <w:r>
        <w:rPr>
          <w:color w:val="231F20"/>
          <w:spacing w:val="-10"/>
        </w:rPr>
        <w:t> </w:t>
      </w:r>
      <w:r>
        <w:rPr>
          <w:color w:val="231F20"/>
        </w:rPr>
        <w:t>obstante,</w:t>
      </w:r>
      <w:r>
        <w:rPr>
          <w:color w:val="231F20"/>
          <w:spacing w:val="-11"/>
        </w:rPr>
        <w:t> </w:t>
      </w:r>
      <w:r>
        <w:rPr>
          <w:color w:val="231F20"/>
        </w:rPr>
        <w:t>de</w:t>
      </w:r>
      <w:r>
        <w:rPr>
          <w:color w:val="231F20"/>
          <w:spacing w:val="-10"/>
        </w:rPr>
        <w:t> </w:t>
      </w:r>
      <w:r>
        <w:rPr>
          <w:color w:val="231F20"/>
        </w:rPr>
        <w:t>compararse</w:t>
      </w:r>
      <w:r>
        <w:rPr>
          <w:color w:val="231F20"/>
          <w:spacing w:val="-11"/>
        </w:rPr>
        <w:t> </w:t>
      </w:r>
      <w:r>
        <w:rPr>
          <w:color w:val="231F20"/>
        </w:rPr>
        <w:t>en</w:t>
      </w:r>
      <w:r>
        <w:rPr>
          <w:color w:val="231F20"/>
          <w:spacing w:val="-10"/>
        </w:rPr>
        <w:t> </w:t>
      </w:r>
      <w:r>
        <w:rPr>
          <w:color w:val="231F20"/>
        </w:rPr>
        <w:t>contra</w:t>
      </w:r>
      <w:r>
        <w:rPr>
          <w:color w:val="231F20"/>
          <w:spacing w:val="-11"/>
        </w:rPr>
        <w:t> </w:t>
      </w:r>
      <w:r>
        <w:rPr>
          <w:color w:val="231F20"/>
        </w:rPr>
        <w:t>del</w:t>
      </w:r>
      <w:r>
        <w:rPr>
          <w:color w:val="231F20"/>
          <w:spacing w:val="-10"/>
        </w:rPr>
        <w:t> </w:t>
      </w:r>
      <w:r>
        <w:rPr>
          <w:color w:val="231F20"/>
        </w:rPr>
        <w:t>precio</w:t>
      </w:r>
      <w:r>
        <w:rPr>
          <w:color w:val="231F20"/>
          <w:spacing w:val="-10"/>
        </w:rPr>
        <w:t> </w:t>
      </w:r>
      <w:r>
        <w:rPr>
          <w:color w:val="231F20"/>
        </w:rPr>
        <w:t>sombra</w:t>
      </w:r>
      <w:r>
        <w:rPr>
          <w:color w:val="231F20"/>
          <w:spacing w:val="-10"/>
        </w:rPr>
        <w:t> </w:t>
      </w:r>
      <w:r>
        <w:rPr>
          <w:color w:val="231F20"/>
        </w:rPr>
        <w:t>de</w:t>
      </w:r>
      <w:r>
        <w:rPr>
          <w:color w:val="231F20"/>
          <w:spacing w:val="-10"/>
        </w:rPr>
        <w:t> </w:t>
      </w:r>
      <w:r>
        <w:rPr>
          <w:color w:val="231F20"/>
        </w:rPr>
        <w:t>agua</w:t>
      </w:r>
      <w:r>
        <w:rPr>
          <w:color w:val="231F20"/>
          <w:spacing w:val="-11"/>
        </w:rPr>
        <w:t> </w:t>
      </w:r>
      <w:r>
        <w:rPr>
          <w:color w:val="231F20"/>
        </w:rPr>
        <w:t>propuesto</w:t>
      </w:r>
      <w:r>
        <w:rPr>
          <w:color w:val="231F20"/>
          <w:spacing w:val="-10"/>
        </w:rPr>
        <w:t> </w:t>
      </w:r>
      <w:r>
        <w:rPr>
          <w:color w:val="231F20"/>
        </w:rPr>
        <w:t>por</w:t>
      </w:r>
      <w:r>
        <w:rPr>
          <w:color w:val="231F20"/>
          <w:spacing w:val="-10"/>
        </w:rPr>
        <w:t> </w:t>
      </w:r>
      <w:r>
        <w:rPr>
          <w:color w:val="231F20"/>
        </w:rPr>
        <w:t>los mismos</w:t>
      </w:r>
      <w:r>
        <w:rPr>
          <w:color w:val="231F20"/>
          <w:spacing w:val="-7"/>
        </w:rPr>
        <w:t> </w:t>
      </w:r>
      <w:r>
        <w:rPr>
          <w:color w:val="231F20"/>
        </w:rPr>
        <w:t>autores</w:t>
      </w:r>
      <w:r>
        <w:rPr>
          <w:color w:val="231F20"/>
          <w:spacing w:val="-7"/>
        </w:rPr>
        <w:t> </w:t>
      </w:r>
      <w:r>
        <w:rPr>
          <w:color w:val="231F20"/>
        </w:rPr>
        <w:t>Godínez-Montoya</w:t>
      </w:r>
      <w:r>
        <w:rPr>
          <w:color w:val="231F20"/>
          <w:spacing w:val="-6"/>
        </w:rPr>
        <w:t> </w:t>
      </w:r>
      <w:r>
        <w:rPr>
          <w:i/>
          <w:color w:val="231F20"/>
        </w:rPr>
        <w:t>et</w:t>
      </w:r>
      <w:r>
        <w:rPr>
          <w:i/>
          <w:color w:val="231F20"/>
          <w:spacing w:val="-7"/>
        </w:rPr>
        <w:t> </w:t>
      </w:r>
      <w:r>
        <w:rPr>
          <w:i/>
          <w:color w:val="231F20"/>
        </w:rPr>
        <w:t>al.</w:t>
      </w:r>
      <w:r>
        <w:rPr>
          <w:i/>
          <w:color w:val="231F20"/>
          <w:spacing w:val="-7"/>
        </w:rPr>
        <w:t> </w:t>
      </w:r>
      <w:r>
        <w:rPr>
          <w:color w:val="231F20"/>
        </w:rPr>
        <w:t>generado</w:t>
      </w:r>
      <w:r>
        <w:rPr>
          <w:color w:val="231F20"/>
          <w:spacing w:val="-7"/>
        </w:rPr>
        <w:t> </w:t>
      </w:r>
      <w:r>
        <w:rPr>
          <w:color w:val="231F20"/>
        </w:rPr>
        <w:t>por</w:t>
      </w:r>
      <w:r>
        <w:rPr>
          <w:color w:val="231F20"/>
          <w:spacing w:val="-7"/>
        </w:rPr>
        <w:t> </w:t>
      </w:r>
      <w:r>
        <w:rPr>
          <w:color w:val="231F20"/>
        </w:rPr>
        <w:t>el</w:t>
      </w:r>
      <w:r>
        <w:rPr>
          <w:color w:val="231F20"/>
          <w:spacing w:val="-7"/>
        </w:rPr>
        <w:t> </w:t>
      </w:r>
      <w:r>
        <w:rPr>
          <w:color w:val="231F20"/>
        </w:rPr>
        <w:t>modelo</w:t>
      </w:r>
      <w:r>
        <w:rPr>
          <w:color w:val="231F20"/>
          <w:spacing w:val="-7"/>
        </w:rPr>
        <w:t> </w:t>
      </w:r>
      <w:r>
        <w:rPr>
          <w:color w:val="231F20"/>
        </w:rPr>
        <w:t>Cobb-Douglas</w:t>
      </w:r>
      <w:r>
        <w:rPr>
          <w:color w:val="231F20"/>
          <w:spacing w:val="-7"/>
        </w:rPr>
        <w:t> </w:t>
      </w:r>
      <w:r>
        <w:rPr>
          <w:color w:val="231F20"/>
        </w:rPr>
        <w:t>y</w:t>
      </w:r>
      <w:r>
        <w:rPr>
          <w:color w:val="231F20"/>
          <w:spacing w:val="-7"/>
        </w:rPr>
        <w:t> </w:t>
      </w:r>
      <w:r>
        <w:rPr>
          <w:color w:val="231F20"/>
        </w:rPr>
        <w:t>un</w:t>
      </w:r>
      <w:r>
        <w:rPr>
          <w:color w:val="231F20"/>
          <w:spacing w:val="-7"/>
        </w:rPr>
        <w:t> </w:t>
      </w:r>
      <w:r>
        <w:rPr>
          <w:color w:val="231F20"/>
        </w:rPr>
        <w:t>modelo</w:t>
      </w:r>
      <w:r>
        <w:rPr>
          <w:color w:val="231F20"/>
          <w:spacing w:val="-7"/>
        </w:rPr>
        <w:t> </w:t>
      </w:r>
      <w:r>
        <w:rPr>
          <w:color w:val="231F20"/>
        </w:rPr>
        <w:t>de</w:t>
      </w:r>
      <w:r>
        <w:rPr>
          <w:color w:val="231F20"/>
          <w:spacing w:val="-7"/>
        </w:rPr>
        <w:t> </w:t>
      </w:r>
      <w:r>
        <w:rPr>
          <w:color w:val="231F20"/>
        </w:rPr>
        <w:t>pro- gramación</w:t>
      </w:r>
      <w:r>
        <w:rPr>
          <w:color w:val="231F20"/>
          <w:spacing w:val="-11"/>
        </w:rPr>
        <w:t> </w:t>
      </w:r>
      <w:r>
        <w:rPr>
          <w:color w:val="231F20"/>
        </w:rPr>
        <w:t>lineal</w:t>
      </w:r>
      <w:r>
        <w:rPr>
          <w:color w:val="231F20"/>
          <w:spacing w:val="-11"/>
        </w:rPr>
        <w:t> </w:t>
      </w:r>
      <w:r>
        <w:rPr>
          <w:color w:val="231F20"/>
        </w:rPr>
        <w:t>igual</w:t>
      </w:r>
      <w:r>
        <w:rPr>
          <w:color w:val="231F20"/>
          <w:spacing w:val="-11"/>
        </w:rPr>
        <w:t> </w:t>
      </w:r>
      <w:r>
        <w:rPr>
          <w:color w:val="231F20"/>
        </w:rPr>
        <w:t>a</w:t>
      </w:r>
      <w:r>
        <w:rPr>
          <w:color w:val="231F20"/>
          <w:spacing w:val="-11"/>
        </w:rPr>
        <w:t> </w:t>
      </w:r>
      <w:r>
        <w:rPr>
          <w:color w:val="231F20"/>
        </w:rPr>
        <w:t>$0.646/m</w:t>
      </w:r>
      <w:r>
        <w:rPr>
          <w:color w:val="231F20"/>
          <w:position w:val="7"/>
          <w:sz w:val="12"/>
        </w:rPr>
        <w:t>3</w:t>
      </w:r>
      <w:r>
        <w:rPr>
          <w:color w:val="231F20"/>
        </w:rPr>
        <w:t>,</w:t>
      </w:r>
      <w:r>
        <w:rPr>
          <w:color w:val="231F20"/>
          <w:spacing w:val="-11"/>
        </w:rPr>
        <w:t> </w:t>
      </w:r>
      <w:r>
        <w:rPr>
          <w:color w:val="231F20"/>
        </w:rPr>
        <w:t>entonces,</w:t>
      </w:r>
      <w:r>
        <w:rPr>
          <w:color w:val="231F20"/>
          <w:spacing w:val="-11"/>
        </w:rPr>
        <w:t> </w:t>
      </w:r>
      <w:r>
        <w:rPr>
          <w:color w:val="231F20"/>
        </w:rPr>
        <w:t>el</w:t>
      </w:r>
      <w:r>
        <w:rPr>
          <w:color w:val="231F20"/>
          <w:spacing w:val="-11"/>
        </w:rPr>
        <w:t> </w:t>
      </w:r>
      <w:r>
        <w:rPr>
          <w:color w:val="231F20"/>
        </w:rPr>
        <w:t>Chile</w:t>
      </w:r>
      <w:r>
        <w:rPr>
          <w:color w:val="231F20"/>
          <w:spacing w:val="-11"/>
        </w:rPr>
        <w:t> </w:t>
      </w:r>
      <w:r>
        <w:rPr>
          <w:color w:val="231F20"/>
          <w:spacing w:val="-6"/>
        </w:rPr>
        <w:t>BT,</w:t>
      </w:r>
      <w:r>
        <w:rPr>
          <w:color w:val="231F20"/>
          <w:spacing w:val="-11"/>
        </w:rPr>
        <w:t> </w:t>
      </w:r>
      <w:r>
        <w:rPr>
          <w:color w:val="231F20"/>
        </w:rPr>
        <w:t>como</w:t>
      </w:r>
      <w:r>
        <w:rPr>
          <w:color w:val="231F20"/>
          <w:spacing w:val="-11"/>
        </w:rPr>
        <w:t> </w:t>
      </w:r>
      <w:r>
        <w:rPr>
          <w:color w:val="231F20"/>
        </w:rPr>
        <w:t>el</w:t>
      </w:r>
      <w:r>
        <w:rPr>
          <w:color w:val="231F20"/>
          <w:spacing w:val="-11"/>
        </w:rPr>
        <w:t> </w:t>
      </w:r>
      <w:r>
        <w:rPr>
          <w:color w:val="231F20"/>
        </w:rPr>
        <w:t>Nogal</w:t>
      </w:r>
      <w:r>
        <w:rPr>
          <w:color w:val="231F20"/>
          <w:spacing w:val="-11"/>
        </w:rPr>
        <w:t> </w:t>
      </w:r>
      <w:r>
        <w:rPr>
          <w:color w:val="231F20"/>
        </w:rPr>
        <w:t>BT</w:t>
      </w:r>
      <w:r>
        <w:rPr>
          <w:color w:val="231F20"/>
          <w:spacing w:val="-15"/>
        </w:rPr>
        <w:t> </w:t>
      </w:r>
      <w:r>
        <w:rPr>
          <w:color w:val="231F20"/>
        </w:rPr>
        <w:t>analizados</w:t>
      </w:r>
      <w:r>
        <w:rPr>
          <w:color w:val="231F20"/>
          <w:spacing w:val="-11"/>
        </w:rPr>
        <w:t> </w:t>
      </w:r>
      <w:r>
        <w:rPr>
          <w:color w:val="231F20"/>
        </w:rPr>
        <w:t>del</w:t>
      </w:r>
      <w:r>
        <w:rPr>
          <w:color w:val="231F20"/>
          <w:spacing w:val="-11"/>
        </w:rPr>
        <w:t> </w:t>
      </w:r>
      <w:r>
        <w:rPr>
          <w:color w:val="231F20"/>
        </w:rPr>
        <w:t>DR-017, con sus $9.18 y $2.62 de ingreso por m</w:t>
      </w:r>
      <w:r>
        <w:rPr>
          <w:color w:val="231F20"/>
          <w:position w:val="7"/>
          <w:sz w:val="12"/>
        </w:rPr>
        <w:t>3 </w:t>
      </w:r>
      <w:r>
        <w:rPr>
          <w:color w:val="231F20"/>
        </w:rPr>
        <w:t>de agua respectivamente y sus $6.36 y $1.59 de ganancia bruta por metro cúbico de agua irrigada, estarían generando un ingreso bruto y una ganancia bruta superiores al precio del agua propuesto por el modelo Cobb-Douglas de Godínez-Montoya et al, lo cual estaría indicando una deseable eficiencia económica en el uso de este escaso recurso</w:t>
      </w:r>
      <w:r>
        <w:rPr>
          <w:color w:val="231F20"/>
          <w:spacing w:val="-11"/>
        </w:rPr>
        <w:t> </w:t>
      </w:r>
      <w:r>
        <w:rPr>
          <w:color w:val="231F20"/>
        </w:rPr>
        <w:t>natural.</w:t>
      </w:r>
    </w:p>
    <w:p>
      <w:pPr>
        <w:pStyle w:val="BodyText"/>
        <w:spacing w:before="7"/>
      </w:pPr>
    </w:p>
    <w:p>
      <w:pPr>
        <w:pStyle w:val="BodyText"/>
        <w:spacing w:line="249" w:lineRule="auto"/>
        <w:ind w:left="1270" w:right="1264"/>
        <w:jc w:val="both"/>
      </w:pPr>
      <w:r>
        <w:rPr>
          <w:color w:val="231F20"/>
        </w:rPr>
        <w:t>Para producir $1 de ingreso bruto, en el DR-017, el Chile BT demandó 0.109 m³, a la vez que el Nogal</w:t>
      </w:r>
      <w:r>
        <w:rPr>
          <w:color w:val="231F20"/>
          <w:spacing w:val="-5"/>
        </w:rPr>
        <w:t> </w:t>
      </w:r>
      <w:r>
        <w:rPr>
          <w:color w:val="231F20"/>
        </w:rPr>
        <w:t>BT</w:t>
      </w:r>
      <w:r>
        <w:rPr>
          <w:color w:val="231F20"/>
          <w:spacing w:val="-9"/>
        </w:rPr>
        <w:t> </w:t>
      </w:r>
      <w:r>
        <w:rPr>
          <w:color w:val="231F20"/>
        </w:rPr>
        <w:t>requirió</w:t>
      </w:r>
      <w:r>
        <w:rPr>
          <w:color w:val="231F20"/>
          <w:spacing w:val="-5"/>
        </w:rPr>
        <w:t> </w:t>
      </w:r>
      <w:r>
        <w:rPr>
          <w:color w:val="231F20"/>
        </w:rPr>
        <w:t>de</w:t>
      </w:r>
      <w:r>
        <w:rPr>
          <w:color w:val="231F20"/>
          <w:spacing w:val="-5"/>
        </w:rPr>
        <w:t> </w:t>
      </w:r>
      <w:r>
        <w:rPr>
          <w:color w:val="231F20"/>
        </w:rPr>
        <w:t>0.382</w:t>
      </w:r>
      <w:r>
        <w:rPr>
          <w:color w:val="231F20"/>
          <w:spacing w:val="-5"/>
        </w:rPr>
        <w:t> </w:t>
      </w:r>
      <w:r>
        <w:rPr>
          <w:color w:val="231F20"/>
        </w:rPr>
        <w:t>m</w:t>
      </w:r>
      <w:r>
        <w:rPr>
          <w:color w:val="231F20"/>
          <w:position w:val="7"/>
          <w:sz w:val="12"/>
        </w:rPr>
        <w:t>3</w:t>
      </w:r>
      <w:r>
        <w:rPr>
          <w:color w:val="231F20"/>
          <w:spacing w:val="17"/>
          <w:position w:val="7"/>
          <w:sz w:val="12"/>
        </w:rPr>
        <w:t> </w:t>
      </w:r>
      <w:r>
        <w:rPr>
          <w:color w:val="231F20"/>
        </w:rPr>
        <w:t>de</w:t>
      </w:r>
      <w:r>
        <w:rPr>
          <w:color w:val="231F20"/>
          <w:spacing w:val="-5"/>
        </w:rPr>
        <w:t> </w:t>
      </w:r>
      <w:r>
        <w:rPr>
          <w:color w:val="231F20"/>
        </w:rPr>
        <w:t>agua</w:t>
      </w:r>
      <w:r>
        <w:rPr>
          <w:color w:val="231F20"/>
          <w:spacing w:val="-5"/>
        </w:rPr>
        <w:t> </w:t>
      </w:r>
      <w:r>
        <w:rPr>
          <w:color w:val="231F20"/>
        </w:rPr>
        <w:t>(Cuadro</w:t>
      </w:r>
      <w:r>
        <w:rPr>
          <w:color w:val="231F20"/>
          <w:spacing w:val="-5"/>
        </w:rPr>
        <w:t> </w:t>
      </w:r>
      <w:r>
        <w:rPr>
          <w:color w:val="231F20"/>
        </w:rPr>
        <w:t>3),</w:t>
      </w:r>
      <w:r>
        <w:rPr>
          <w:color w:val="231F20"/>
          <w:spacing w:val="-5"/>
        </w:rPr>
        <w:t> </w:t>
      </w:r>
      <w:r>
        <w:rPr>
          <w:color w:val="231F20"/>
        </w:rPr>
        <w:t>mientras</w:t>
      </w:r>
      <w:r>
        <w:rPr>
          <w:color w:val="231F20"/>
          <w:spacing w:val="-6"/>
        </w:rPr>
        <w:t> </w:t>
      </w:r>
      <w:r>
        <w:rPr>
          <w:color w:val="231F20"/>
        </w:rPr>
        <w:t>que</w:t>
      </w:r>
      <w:r>
        <w:rPr>
          <w:color w:val="231F20"/>
          <w:spacing w:val="-5"/>
        </w:rPr>
        <w:t> </w:t>
      </w:r>
      <w:r>
        <w:rPr>
          <w:color w:val="231F20"/>
        </w:rPr>
        <w:t>el</w:t>
      </w:r>
      <w:r>
        <w:rPr>
          <w:color w:val="231F20"/>
          <w:spacing w:val="-5"/>
        </w:rPr>
        <w:t> </w:t>
      </w:r>
      <w:r>
        <w:rPr>
          <w:color w:val="231F20"/>
        </w:rPr>
        <w:t>organismo</w:t>
      </w:r>
      <w:r>
        <w:rPr>
          <w:color w:val="231F20"/>
          <w:spacing w:val="-5"/>
        </w:rPr>
        <w:t> </w:t>
      </w:r>
      <w:r>
        <w:rPr>
          <w:color w:val="231F20"/>
        </w:rPr>
        <w:t>público</w:t>
      </w:r>
      <w:r>
        <w:rPr>
          <w:color w:val="231F20"/>
          <w:spacing w:val="-5"/>
        </w:rPr>
        <w:t> </w:t>
      </w:r>
      <w:r>
        <w:rPr>
          <w:color w:val="231F20"/>
        </w:rPr>
        <w:t>encargado</w:t>
      </w:r>
      <w:r>
        <w:rPr>
          <w:color w:val="231F20"/>
          <w:spacing w:val="-5"/>
        </w:rPr>
        <w:t> </w:t>
      </w:r>
      <w:r>
        <w:rPr>
          <w:color w:val="231F20"/>
        </w:rPr>
        <w:t>de abastecer</w:t>
      </w:r>
      <w:r>
        <w:rPr>
          <w:color w:val="231F20"/>
          <w:spacing w:val="-5"/>
        </w:rPr>
        <w:t> </w:t>
      </w:r>
      <w:r>
        <w:rPr>
          <w:color w:val="231F20"/>
        </w:rPr>
        <w:t>del</w:t>
      </w:r>
      <w:r>
        <w:rPr>
          <w:color w:val="231F20"/>
          <w:spacing w:val="-5"/>
        </w:rPr>
        <w:t> </w:t>
      </w:r>
      <w:r>
        <w:rPr>
          <w:color w:val="231F20"/>
        </w:rPr>
        <w:t>líquido</w:t>
      </w:r>
      <w:r>
        <w:rPr>
          <w:color w:val="231F20"/>
          <w:spacing w:val="-5"/>
        </w:rPr>
        <w:t> </w:t>
      </w:r>
      <w:r>
        <w:rPr>
          <w:color w:val="231F20"/>
        </w:rPr>
        <w:t>a</w:t>
      </w:r>
      <w:r>
        <w:rPr>
          <w:color w:val="231F20"/>
          <w:spacing w:val="-5"/>
        </w:rPr>
        <w:t> </w:t>
      </w:r>
      <w:r>
        <w:rPr>
          <w:color w:val="231F20"/>
        </w:rPr>
        <w:t>los</w:t>
      </w:r>
      <w:r>
        <w:rPr>
          <w:color w:val="231F20"/>
          <w:spacing w:val="-5"/>
        </w:rPr>
        <w:t> </w:t>
      </w:r>
      <w:r>
        <w:rPr>
          <w:color w:val="231F20"/>
        </w:rPr>
        <w:t>hogares</w:t>
      </w:r>
      <w:r>
        <w:rPr>
          <w:color w:val="231F20"/>
          <w:spacing w:val="-5"/>
        </w:rPr>
        <w:t> </w:t>
      </w:r>
      <w:r>
        <w:rPr>
          <w:color w:val="231F20"/>
        </w:rPr>
        <w:t>de</w:t>
      </w:r>
      <w:r>
        <w:rPr>
          <w:color w:val="231F20"/>
          <w:spacing w:val="-8"/>
        </w:rPr>
        <w:t> </w:t>
      </w:r>
      <w:r>
        <w:rPr>
          <w:color w:val="231F20"/>
        </w:rPr>
        <w:t>Torreón,</w:t>
      </w:r>
      <w:r>
        <w:rPr>
          <w:color w:val="231F20"/>
          <w:spacing w:val="-5"/>
        </w:rPr>
        <w:t> </w:t>
      </w:r>
      <w:r>
        <w:rPr>
          <w:color w:val="231F20"/>
        </w:rPr>
        <w:t>Coahuila,</w:t>
      </w:r>
      <w:r>
        <w:rPr>
          <w:color w:val="231F20"/>
          <w:spacing w:val="-5"/>
        </w:rPr>
        <w:t> </w:t>
      </w:r>
      <w:r>
        <w:rPr>
          <w:color w:val="231F20"/>
        </w:rPr>
        <w:t>México,</w:t>
      </w:r>
      <w:r>
        <w:rPr>
          <w:color w:val="231F20"/>
          <w:spacing w:val="-5"/>
        </w:rPr>
        <w:t> </w:t>
      </w:r>
      <w:r>
        <w:rPr>
          <w:color w:val="231F20"/>
        </w:rPr>
        <w:t>utilizó</w:t>
      </w:r>
      <w:r>
        <w:rPr>
          <w:color w:val="231F20"/>
          <w:spacing w:val="-5"/>
        </w:rPr>
        <w:t> </w:t>
      </w:r>
      <w:r>
        <w:rPr>
          <w:color w:val="231F20"/>
        </w:rPr>
        <w:t>solamente</w:t>
      </w:r>
      <w:r>
        <w:rPr>
          <w:color w:val="231F20"/>
          <w:spacing w:val="-5"/>
        </w:rPr>
        <w:t> </w:t>
      </w:r>
      <w:r>
        <w:rPr>
          <w:color w:val="231F20"/>
        </w:rPr>
        <w:t>0.112m³</w:t>
      </w:r>
      <w:r>
        <w:rPr>
          <w:color w:val="231F20"/>
          <w:spacing w:val="-5"/>
        </w:rPr>
        <w:t> </w:t>
      </w:r>
      <w:r>
        <w:rPr>
          <w:color w:val="231F20"/>
        </w:rPr>
        <w:t>(=$1*1 m3/ $8.91) para producir ese mismo $1 de ingreso bruto. Lo anterior sugiere que tanto el Chile BT demandó 2.67% menos mientras que el Nogal BT del DR-017 demandó 241.07% más agua para producir $1 de ingreso bruto que el utilizado por el organismo público, lo que ubicó al Chile como un</w:t>
      </w:r>
      <w:r>
        <w:rPr>
          <w:color w:val="231F20"/>
          <w:spacing w:val="-4"/>
        </w:rPr>
        <w:t> </w:t>
      </w:r>
      <w:r>
        <w:rPr>
          <w:color w:val="231F20"/>
        </w:rPr>
        <w:t>cultivo</w:t>
      </w:r>
      <w:r>
        <w:rPr>
          <w:color w:val="231F20"/>
          <w:spacing w:val="-4"/>
        </w:rPr>
        <w:t> </w:t>
      </w:r>
      <w:r>
        <w:rPr>
          <w:color w:val="231F20"/>
        </w:rPr>
        <w:t>relativamente</w:t>
      </w:r>
      <w:r>
        <w:rPr>
          <w:color w:val="231F20"/>
          <w:spacing w:val="-4"/>
        </w:rPr>
        <w:t> </w:t>
      </w:r>
      <w:r>
        <w:rPr>
          <w:color w:val="231F20"/>
        </w:rPr>
        <w:t>eficiente,</w:t>
      </w:r>
      <w:r>
        <w:rPr>
          <w:color w:val="231F20"/>
          <w:spacing w:val="-4"/>
        </w:rPr>
        <w:t> </w:t>
      </w:r>
      <w:r>
        <w:rPr>
          <w:color w:val="231F20"/>
        </w:rPr>
        <w:t>mientras</w:t>
      </w:r>
      <w:r>
        <w:rPr>
          <w:color w:val="231F20"/>
          <w:spacing w:val="-4"/>
        </w:rPr>
        <w:t> </w:t>
      </w:r>
      <w:r>
        <w:rPr>
          <w:color w:val="231F20"/>
        </w:rPr>
        <w:t>que</w:t>
      </w:r>
      <w:r>
        <w:rPr>
          <w:color w:val="231F20"/>
          <w:spacing w:val="-4"/>
        </w:rPr>
        <w:t> </w:t>
      </w:r>
      <w:r>
        <w:rPr>
          <w:color w:val="231F20"/>
        </w:rPr>
        <w:t>el</w:t>
      </w:r>
      <w:r>
        <w:rPr>
          <w:color w:val="231F20"/>
          <w:spacing w:val="-4"/>
        </w:rPr>
        <w:t> </w:t>
      </w:r>
      <w:r>
        <w:rPr>
          <w:color w:val="231F20"/>
        </w:rPr>
        <w:t>Nogal</w:t>
      </w:r>
      <w:r>
        <w:rPr>
          <w:color w:val="231F20"/>
          <w:spacing w:val="-4"/>
        </w:rPr>
        <w:t> </w:t>
      </w:r>
      <w:r>
        <w:rPr>
          <w:color w:val="231F20"/>
        </w:rPr>
        <w:t>BT</w:t>
      </w:r>
      <w:r>
        <w:rPr>
          <w:color w:val="231F20"/>
          <w:spacing w:val="-8"/>
        </w:rPr>
        <w:t> </w:t>
      </w:r>
      <w:r>
        <w:rPr>
          <w:color w:val="231F20"/>
        </w:rPr>
        <w:t>resultó</w:t>
      </w:r>
      <w:r>
        <w:rPr>
          <w:color w:val="231F20"/>
          <w:spacing w:val="-4"/>
        </w:rPr>
        <w:t> </w:t>
      </w:r>
      <w:r>
        <w:rPr>
          <w:color w:val="231F20"/>
        </w:rPr>
        <w:t>ineficiente</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uso</w:t>
      </w:r>
      <w:r>
        <w:rPr>
          <w:color w:val="231F20"/>
          <w:spacing w:val="-4"/>
        </w:rPr>
        <w:t> </w:t>
      </w:r>
      <w:r>
        <w:rPr>
          <w:color w:val="231F20"/>
        </w:rPr>
        <w:t>económico del agua, en el rubro de generación de ingreso por unidad de volumen de</w:t>
      </w:r>
      <w:r>
        <w:rPr>
          <w:color w:val="231F20"/>
          <w:spacing w:val="-3"/>
        </w:rPr>
        <w:t> </w:t>
      </w:r>
      <w:r>
        <w:rPr>
          <w:color w:val="231F20"/>
        </w:rPr>
        <w:t>agua.</w:t>
      </w:r>
    </w:p>
    <w:p>
      <w:pPr>
        <w:pStyle w:val="BodyText"/>
        <w:spacing w:before="3"/>
        <w:rPr>
          <w:sz w:val="15"/>
        </w:rPr>
      </w:pPr>
    </w:p>
    <w:p>
      <w:pPr>
        <w:spacing w:after="0"/>
        <w:rPr>
          <w:sz w:val="15"/>
        </w:rPr>
        <w:sectPr>
          <w:pgSz w:w="10920" w:h="13080"/>
          <w:pgMar w:header="0" w:footer="1025" w:top="420" w:bottom="1220" w:left="0" w:right="0"/>
        </w:sectPr>
      </w:pPr>
    </w:p>
    <w:p>
      <w:pPr>
        <w:pStyle w:val="BodyText"/>
        <w:spacing w:before="74"/>
        <w:ind w:left="1270"/>
      </w:pPr>
      <w:r>
        <w:rPr/>
        <w:pict>
          <v:shape style="position:absolute;margin-left:212.841003pt;margin-top:12.073428pt;width:3.1pt;height:6.15pt;mso-position-horizontal-relative:page;mso-position-vertical-relative:paragraph;z-index:-208720" type="#_x0000_t202" filled="false" stroked="false">
            <v:textbox inset="0,0,0,0">
              <w:txbxContent>
                <w:p>
                  <w:pPr>
                    <w:spacing w:line="122" w:lineRule="exact" w:before="0"/>
                    <w:ind w:left="0" w:right="0" w:firstLine="0"/>
                    <w:jc w:val="left"/>
                    <w:rPr>
                      <w:sz w:val="12"/>
                    </w:rPr>
                  </w:pPr>
                  <w:r>
                    <w:rPr>
                      <w:color w:val="231F20"/>
                      <w:w w:val="102"/>
                      <w:sz w:val="12"/>
                    </w:rPr>
                    <w:t>3</w:t>
                  </w:r>
                </w:p>
              </w:txbxContent>
            </v:textbox>
            <w10:wrap type="none"/>
          </v:shape>
        </w:pict>
      </w:r>
      <w:r>
        <w:rPr/>
        <w:pict>
          <v:shape style="position:absolute;margin-left:233.879395pt;margin-top:12.073428pt;width:3.1pt;height:6.15pt;mso-position-horizontal-relative:page;mso-position-vertical-relative:paragraph;z-index:-208672" type="#_x0000_t202" filled="false" stroked="false">
            <v:textbox inset="0,0,0,0">
              <w:txbxContent>
                <w:p>
                  <w:pPr>
                    <w:spacing w:line="122" w:lineRule="exact" w:before="0"/>
                    <w:ind w:left="0" w:right="0" w:firstLine="0"/>
                    <w:jc w:val="left"/>
                    <w:rPr>
                      <w:sz w:val="12"/>
                    </w:rPr>
                  </w:pPr>
                  <w:r>
                    <w:rPr>
                      <w:color w:val="231F20"/>
                      <w:w w:val="102"/>
                      <w:sz w:val="12"/>
                    </w:rPr>
                    <w:t>4</w:t>
                  </w:r>
                </w:p>
              </w:txbxContent>
            </v:textbox>
            <w10:wrap type="none"/>
          </v:shape>
        </w:pict>
      </w:r>
      <w:r>
        <w:rPr>
          <w:color w:val="231F20"/>
        </w:rPr>
        <w:t>Más importante que las variables Y  y Y</w:t>
      </w:r>
    </w:p>
    <w:p>
      <w:pPr>
        <w:pStyle w:val="BodyText"/>
        <w:spacing w:before="74"/>
        <w:ind w:left="15"/>
      </w:pPr>
      <w:r>
        <w:rPr/>
        <w:br w:type="column"/>
      </w:r>
      <w:r>
        <w:rPr>
          <w:color w:val="231F20"/>
        </w:rPr>
        <w:t>analizadas ya, resultan ser las variables Y</w:t>
      </w:r>
    </w:p>
    <w:p>
      <w:pPr>
        <w:pStyle w:val="BodyText"/>
        <w:spacing w:before="74"/>
        <w:ind w:left="15"/>
      </w:pPr>
      <w:r>
        <w:rPr/>
        <w:br w:type="column"/>
      </w:r>
      <w:r>
        <w:rPr>
          <w:color w:val="231F20"/>
        </w:rPr>
        <w:t>y Y , ya que la</w:t>
      </w:r>
    </w:p>
    <w:p>
      <w:pPr>
        <w:spacing w:after="0"/>
        <w:sectPr>
          <w:type w:val="continuous"/>
          <w:pgSz w:w="10920" w:h="13080"/>
          <w:pgMar w:top="0" w:bottom="0" w:left="0" w:right="0"/>
          <w:cols w:num="3" w:equalWidth="0">
            <w:col w:w="4739" w:space="40"/>
            <w:col w:w="3579" w:space="40"/>
            <w:col w:w="2522"/>
          </w:cols>
        </w:sectPr>
      </w:pPr>
    </w:p>
    <w:p>
      <w:pPr>
        <w:pStyle w:val="BodyText"/>
        <w:spacing w:line="247" w:lineRule="auto" w:before="8"/>
        <w:ind w:left="1270" w:right="1268"/>
        <w:jc w:val="both"/>
      </w:pPr>
      <w:r>
        <w:rPr/>
        <w:pict>
          <v:shape style="position:absolute;margin-left:435.844299pt;margin-top:-3.721582pt;width:3.1pt;height:6.15pt;mso-position-horizontal-relative:page;mso-position-vertical-relative:paragraph;z-index:-208696" type="#_x0000_t202" filled="false" stroked="false">
            <v:textbox inset="0,0,0,0">
              <w:txbxContent>
                <w:p>
                  <w:pPr>
                    <w:spacing w:line="122" w:lineRule="exact" w:before="0"/>
                    <w:ind w:left="0" w:right="0" w:firstLine="0"/>
                    <w:jc w:val="left"/>
                    <w:rPr>
                      <w:sz w:val="12"/>
                    </w:rPr>
                  </w:pPr>
                  <w:r>
                    <w:rPr>
                      <w:color w:val="231F20"/>
                      <w:w w:val="102"/>
                      <w:sz w:val="12"/>
                    </w:rPr>
                    <w:t>6</w:t>
                  </w:r>
                </w:p>
              </w:txbxContent>
            </v:textbox>
            <w10:wrap type="none"/>
          </v:shape>
        </w:pict>
      </w:r>
      <w:r>
        <w:rPr/>
        <w:pict>
          <v:shape style="position:absolute;margin-left:414.805786pt;margin-top:-3.721582pt;width:3.1pt;height:6.15pt;mso-position-horizontal-relative:page;mso-position-vertical-relative:paragraph;z-index:-208648" type="#_x0000_t202" filled="false" stroked="false">
            <v:textbox inset="0,0,0,0">
              <w:txbxContent>
                <w:p>
                  <w:pPr>
                    <w:spacing w:line="122" w:lineRule="exact" w:before="0"/>
                    <w:ind w:left="0" w:right="0" w:firstLine="0"/>
                    <w:jc w:val="left"/>
                    <w:rPr>
                      <w:sz w:val="12"/>
                    </w:rPr>
                  </w:pPr>
                  <w:r>
                    <w:rPr>
                      <w:color w:val="231F20"/>
                      <w:w w:val="102"/>
                      <w:sz w:val="12"/>
                    </w:rPr>
                    <w:t>5</w:t>
                  </w:r>
                </w:p>
              </w:txbxContent>
            </v:textbox>
            <w10:wrap type="none"/>
          </v:shape>
        </w:pict>
      </w:r>
      <w:r>
        <w:rPr>
          <w:color w:val="231F20"/>
        </w:rPr>
        <w:t>ganancia “g”, al ser la diferencia entre el ingreso bruto “i” y el costo “c”, es decir: , deviene en un indicador de eficiencia per se, ya que la ganancia es un excedente monetario en relación a la inver- sión de capital, mientras que el ingreso, al no ser un excedente, no es un indicador de eficiencia en sentido</w:t>
      </w:r>
      <w:r>
        <w:rPr>
          <w:color w:val="231F20"/>
          <w:spacing w:val="-2"/>
        </w:rPr>
        <w:t> </w:t>
      </w:r>
      <w:r>
        <w:rPr>
          <w:color w:val="231F20"/>
        </w:rPr>
        <w:t>estricto</w:t>
      </w:r>
      <w:r>
        <w:rPr>
          <w:color w:val="231F20"/>
          <w:spacing w:val="-2"/>
        </w:rPr>
        <w:t> </w:t>
      </w:r>
      <w:r>
        <w:rPr>
          <w:color w:val="231F20"/>
        </w:rPr>
        <w:t>como</w:t>
      </w:r>
      <w:r>
        <w:rPr>
          <w:color w:val="231F20"/>
          <w:spacing w:val="-2"/>
        </w:rPr>
        <w:t> </w:t>
      </w:r>
      <w:r>
        <w:rPr>
          <w:color w:val="231F20"/>
        </w:rPr>
        <w:t>lo</w:t>
      </w:r>
      <w:r>
        <w:rPr>
          <w:color w:val="231F20"/>
          <w:spacing w:val="-2"/>
        </w:rPr>
        <w:t> </w:t>
      </w:r>
      <w:r>
        <w:rPr>
          <w:color w:val="231F20"/>
        </w:rPr>
        <w:t>es</w:t>
      </w:r>
      <w:r>
        <w:rPr>
          <w:color w:val="231F20"/>
          <w:spacing w:val="-2"/>
        </w:rPr>
        <w:t> </w:t>
      </w:r>
      <w:r>
        <w:rPr>
          <w:color w:val="231F20"/>
        </w:rPr>
        <w:t>el</w:t>
      </w:r>
      <w:r>
        <w:rPr>
          <w:color w:val="231F20"/>
          <w:spacing w:val="-2"/>
        </w:rPr>
        <w:t> </w:t>
      </w:r>
      <w:r>
        <w:rPr>
          <w:color w:val="231F20"/>
        </w:rPr>
        <w:t>de</w:t>
      </w:r>
      <w:r>
        <w:rPr>
          <w:color w:val="231F20"/>
          <w:spacing w:val="-2"/>
        </w:rPr>
        <w:t> </w:t>
      </w:r>
      <w:r>
        <w:rPr>
          <w:color w:val="231F20"/>
        </w:rPr>
        <w:t>la</w:t>
      </w:r>
      <w:r>
        <w:rPr>
          <w:color w:val="231F20"/>
          <w:spacing w:val="-2"/>
        </w:rPr>
        <w:t> </w:t>
      </w:r>
      <w:r>
        <w:rPr>
          <w:color w:val="231F20"/>
        </w:rPr>
        <w:t>ganancia.</w:t>
      </w:r>
      <w:r>
        <w:rPr>
          <w:color w:val="231F20"/>
          <w:spacing w:val="-14"/>
        </w:rPr>
        <w:t> </w:t>
      </w:r>
      <w:r>
        <w:rPr>
          <w:color w:val="231F20"/>
        </w:rPr>
        <w:t>Así,</w:t>
      </w:r>
      <w:r>
        <w:rPr>
          <w:color w:val="231F20"/>
          <w:spacing w:val="-2"/>
        </w:rPr>
        <w:t> </w:t>
      </w:r>
      <w:r>
        <w:rPr>
          <w:color w:val="231F20"/>
        </w:rPr>
        <w:t>se</w:t>
      </w:r>
      <w:r>
        <w:rPr>
          <w:color w:val="231F20"/>
          <w:spacing w:val="-2"/>
        </w:rPr>
        <w:t> </w:t>
      </w:r>
      <w:r>
        <w:rPr>
          <w:color w:val="231F20"/>
        </w:rPr>
        <w:t>determinó</w:t>
      </w:r>
      <w:r>
        <w:rPr>
          <w:color w:val="231F20"/>
          <w:spacing w:val="-2"/>
        </w:rPr>
        <w:t> </w:t>
      </w:r>
      <w:r>
        <w:rPr>
          <w:color w:val="231F20"/>
        </w:rPr>
        <w:t>que</w:t>
      </w:r>
      <w:r>
        <w:rPr>
          <w:color w:val="231F20"/>
          <w:spacing w:val="-2"/>
        </w:rPr>
        <w:t> </w:t>
      </w:r>
      <w:r>
        <w:rPr>
          <w:color w:val="231F20"/>
        </w:rPr>
        <w:t>mientras</w:t>
      </w:r>
      <w:r>
        <w:rPr>
          <w:color w:val="231F20"/>
          <w:spacing w:val="-2"/>
        </w:rPr>
        <w:t> </w:t>
      </w:r>
      <w:r>
        <w:rPr>
          <w:color w:val="231F20"/>
        </w:rPr>
        <w:t>que</w:t>
      </w:r>
      <w:r>
        <w:rPr>
          <w:color w:val="231F20"/>
          <w:spacing w:val="-2"/>
        </w:rPr>
        <w:t> </w:t>
      </w:r>
      <w:r>
        <w:rPr>
          <w:color w:val="231F20"/>
        </w:rPr>
        <w:t>el</w:t>
      </w:r>
      <w:r>
        <w:rPr>
          <w:color w:val="231F20"/>
          <w:spacing w:val="-2"/>
        </w:rPr>
        <w:t> </w:t>
      </w:r>
      <w:r>
        <w:rPr>
          <w:color w:val="231F20"/>
        </w:rPr>
        <w:t>Chile</w:t>
      </w:r>
      <w:r>
        <w:rPr>
          <w:color w:val="231F20"/>
          <w:spacing w:val="-2"/>
        </w:rPr>
        <w:t> </w:t>
      </w:r>
      <w:r>
        <w:rPr>
          <w:color w:val="231F20"/>
        </w:rPr>
        <w:t>BT</w:t>
      </w:r>
      <w:r>
        <w:rPr>
          <w:color w:val="231F20"/>
          <w:spacing w:val="-6"/>
        </w:rPr>
        <w:t> </w:t>
      </w:r>
      <w:r>
        <w:rPr>
          <w:color w:val="231F20"/>
        </w:rPr>
        <w:t>fue</w:t>
      </w:r>
      <w:r>
        <w:rPr>
          <w:color w:val="231F20"/>
          <w:spacing w:val="-2"/>
        </w:rPr>
        <w:t> </w:t>
      </w:r>
      <w:r>
        <w:rPr>
          <w:color w:val="231F20"/>
        </w:rPr>
        <w:t>ca- paz</w:t>
      </w:r>
      <w:r>
        <w:rPr>
          <w:color w:val="231F20"/>
          <w:spacing w:val="-7"/>
        </w:rPr>
        <w:t> </w:t>
      </w:r>
      <w:r>
        <w:rPr>
          <w:color w:val="231F20"/>
        </w:rPr>
        <w:t>de</w:t>
      </w:r>
      <w:r>
        <w:rPr>
          <w:color w:val="231F20"/>
          <w:spacing w:val="-7"/>
        </w:rPr>
        <w:t> </w:t>
      </w:r>
      <w:r>
        <w:rPr>
          <w:color w:val="231F20"/>
        </w:rPr>
        <w:t>producir</w:t>
      </w:r>
      <w:r>
        <w:rPr>
          <w:color w:val="231F20"/>
          <w:spacing w:val="-7"/>
        </w:rPr>
        <w:t> </w:t>
      </w:r>
      <w:r>
        <w:rPr>
          <w:color w:val="231F20"/>
        </w:rPr>
        <w:t>una</w:t>
      </w:r>
      <w:r>
        <w:rPr>
          <w:color w:val="231F20"/>
          <w:spacing w:val="-7"/>
        </w:rPr>
        <w:t> </w:t>
      </w:r>
      <w:r>
        <w:rPr>
          <w:color w:val="231F20"/>
        </w:rPr>
        <w:t>ganancia</w:t>
      </w:r>
      <w:r>
        <w:rPr>
          <w:color w:val="231F20"/>
          <w:spacing w:val="-7"/>
        </w:rPr>
        <w:t> </w:t>
      </w:r>
      <w:r>
        <w:rPr>
          <w:color w:val="231F20"/>
        </w:rPr>
        <w:t>bruta</w:t>
      </w:r>
      <w:r>
        <w:rPr>
          <w:color w:val="231F20"/>
          <w:spacing w:val="-7"/>
        </w:rPr>
        <w:t> </w:t>
      </w:r>
      <w:r>
        <w:rPr>
          <w:color w:val="231F20"/>
        </w:rPr>
        <w:t>de</w:t>
      </w:r>
      <w:r>
        <w:rPr>
          <w:color w:val="231F20"/>
          <w:spacing w:val="-7"/>
        </w:rPr>
        <w:t> </w:t>
      </w:r>
      <w:r>
        <w:rPr>
          <w:color w:val="231F20"/>
        </w:rPr>
        <w:t>$6.36/</w:t>
      </w:r>
      <w:r>
        <w:rPr>
          <w:color w:val="231F20"/>
          <w:spacing w:val="-7"/>
        </w:rPr>
        <w:t> </w:t>
      </w:r>
      <w:r>
        <w:rPr>
          <w:color w:val="231F20"/>
        </w:rPr>
        <w:t>m³</w:t>
      </w:r>
      <w:r>
        <w:rPr>
          <w:color w:val="231F20"/>
          <w:spacing w:val="-7"/>
        </w:rPr>
        <w:t> </w:t>
      </w:r>
      <w:r>
        <w:rPr>
          <w:color w:val="231F20"/>
        </w:rPr>
        <w:t>de</w:t>
      </w:r>
      <w:r>
        <w:rPr>
          <w:color w:val="231F20"/>
          <w:spacing w:val="-7"/>
        </w:rPr>
        <w:t> </w:t>
      </w:r>
      <w:r>
        <w:rPr>
          <w:color w:val="231F20"/>
        </w:rPr>
        <w:t>agua,</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vez</w:t>
      </w:r>
      <w:r>
        <w:rPr>
          <w:color w:val="231F20"/>
          <w:spacing w:val="-7"/>
        </w:rPr>
        <w:t> </w:t>
      </w:r>
      <w:r>
        <w:rPr>
          <w:color w:val="231F20"/>
        </w:rPr>
        <w:t>que</w:t>
      </w:r>
      <w:r>
        <w:rPr>
          <w:color w:val="231F20"/>
          <w:spacing w:val="-7"/>
        </w:rPr>
        <w:t> </w:t>
      </w:r>
      <w:r>
        <w:rPr>
          <w:color w:val="231F20"/>
        </w:rPr>
        <w:t>el</w:t>
      </w:r>
      <w:r>
        <w:rPr>
          <w:color w:val="231F20"/>
          <w:spacing w:val="-7"/>
        </w:rPr>
        <w:t> </w:t>
      </w:r>
      <w:r>
        <w:rPr>
          <w:color w:val="231F20"/>
        </w:rPr>
        <w:t>Nogal</w:t>
      </w:r>
      <w:r>
        <w:rPr>
          <w:color w:val="231F20"/>
          <w:spacing w:val="-7"/>
        </w:rPr>
        <w:t> </w:t>
      </w:r>
      <w:r>
        <w:rPr>
          <w:color w:val="231F20"/>
        </w:rPr>
        <w:t>BT</w:t>
      </w:r>
      <w:r>
        <w:rPr>
          <w:color w:val="231F20"/>
          <w:spacing w:val="-11"/>
        </w:rPr>
        <w:t> </w:t>
      </w:r>
      <w:r>
        <w:rPr>
          <w:color w:val="231F20"/>
        </w:rPr>
        <w:t>fue</w:t>
      </w:r>
      <w:r>
        <w:rPr>
          <w:color w:val="231F20"/>
          <w:spacing w:val="-7"/>
        </w:rPr>
        <w:t> </w:t>
      </w:r>
      <w:r>
        <w:rPr>
          <w:color w:val="231F20"/>
        </w:rPr>
        <w:t>inferior</w:t>
      </w:r>
      <w:r>
        <w:rPr>
          <w:color w:val="231F20"/>
          <w:spacing w:val="-7"/>
        </w:rPr>
        <w:t> </w:t>
      </w:r>
      <w:r>
        <w:rPr>
          <w:color w:val="231F20"/>
        </w:rPr>
        <w:t>en</w:t>
      </w:r>
      <w:r>
        <w:rPr>
          <w:color w:val="231F20"/>
          <w:spacing w:val="-7"/>
        </w:rPr>
        <w:t> </w:t>
      </w:r>
      <w:r>
        <w:rPr>
          <w:color w:val="231F20"/>
        </w:rPr>
        <w:t>esa forma de medir la eficiencia, pues produjo $1.59 de utilidad bruta/m³. Desde otro ángulo, mediante la obtención de la inversa de las anteriores cifras, se encontró que producir $1 de ganancia bruta, requirió</w:t>
      </w:r>
      <w:r>
        <w:rPr>
          <w:color w:val="231F20"/>
          <w:spacing w:val="-7"/>
        </w:rPr>
        <w:t> </w:t>
      </w:r>
      <w:r>
        <w:rPr>
          <w:color w:val="231F20"/>
        </w:rPr>
        <w:t>de</w:t>
      </w:r>
      <w:r>
        <w:rPr>
          <w:color w:val="231F20"/>
          <w:spacing w:val="-7"/>
        </w:rPr>
        <w:t> </w:t>
      </w:r>
      <w:r>
        <w:rPr>
          <w:color w:val="231F20"/>
        </w:rPr>
        <w:t>157</w:t>
      </w:r>
      <w:r>
        <w:rPr>
          <w:color w:val="231F20"/>
          <w:spacing w:val="-7"/>
        </w:rPr>
        <w:t> </w:t>
      </w:r>
      <w:r>
        <w:rPr>
          <w:color w:val="231F20"/>
        </w:rPr>
        <w:t>y</w:t>
      </w:r>
      <w:r>
        <w:rPr>
          <w:color w:val="231F20"/>
          <w:spacing w:val="-7"/>
        </w:rPr>
        <w:t> </w:t>
      </w:r>
      <w:r>
        <w:rPr>
          <w:color w:val="231F20"/>
        </w:rPr>
        <w:t>629</w:t>
      </w:r>
      <w:r>
        <w:rPr>
          <w:color w:val="231F20"/>
          <w:spacing w:val="-7"/>
        </w:rPr>
        <w:t> </w:t>
      </w:r>
      <w:r>
        <w:rPr>
          <w:color w:val="231F20"/>
        </w:rPr>
        <w:t>litros</w:t>
      </w:r>
      <w:r>
        <w:rPr>
          <w:color w:val="231F20"/>
          <w:spacing w:val="-7"/>
        </w:rPr>
        <w:t> </w:t>
      </w:r>
      <w:r>
        <w:rPr>
          <w:color w:val="231F20"/>
        </w:rPr>
        <w:t>(los</w:t>
      </w:r>
      <w:r>
        <w:rPr>
          <w:color w:val="231F20"/>
          <w:spacing w:val="-7"/>
        </w:rPr>
        <w:t> </w:t>
      </w:r>
      <w:r>
        <w:rPr>
          <w:color w:val="231F20"/>
        </w:rPr>
        <w:t>indicadores</w:t>
      </w:r>
      <w:r>
        <w:rPr>
          <w:color w:val="231F20"/>
          <w:spacing w:val="-7"/>
        </w:rPr>
        <w:t> </w:t>
      </w:r>
      <w:r>
        <w:rPr>
          <w:color w:val="231F20"/>
        </w:rPr>
        <w:t>del</w:t>
      </w:r>
      <w:r>
        <w:rPr>
          <w:color w:val="231F20"/>
          <w:spacing w:val="-7"/>
        </w:rPr>
        <w:t> </w:t>
      </w:r>
      <w:r>
        <w:rPr>
          <w:color w:val="231F20"/>
        </w:rPr>
        <w:t>cuadro</w:t>
      </w:r>
      <w:r>
        <w:rPr>
          <w:color w:val="231F20"/>
          <w:spacing w:val="-7"/>
        </w:rPr>
        <w:t> </w:t>
      </w:r>
      <w:r>
        <w:rPr>
          <w:color w:val="231F20"/>
        </w:rPr>
        <w:t>3</w:t>
      </w:r>
      <w:r>
        <w:rPr>
          <w:color w:val="231F20"/>
          <w:spacing w:val="-7"/>
        </w:rPr>
        <w:t> </w:t>
      </w:r>
      <w:r>
        <w:rPr>
          <w:color w:val="231F20"/>
        </w:rPr>
        <w:t>fueron</w:t>
      </w:r>
      <w:r>
        <w:rPr>
          <w:color w:val="231F20"/>
          <w:spacing w:val="-7"/>
        </w:rPr>
        <w:t> </w:t>
      </w:r>
      <w:r>
        <w:rPr>
          <w:color w:val="231F20"/>
        </w:rPr>
        <w:t>0.157</w:t>
      </w:r>
      <w:r>
        <w:rPr>
          <w:color w:val="231F20"/>
          <w:spacing w:val="-7"/>
        </w:rPr>
        <w:t> </w:t>
      </w:r>
      <w:r>
        <w:rPr>
          <w:color w:val="231F20"/>
        </w:rPr>
        <w:t>y</w:t>
      </w:r>
      <w:r>
        <w:rPr>
          <w:color w:val="231F20"/>
          <w:spacing w:val="-7"/>
        </w:rPr>
        <w:t> </w:t>
      </w:r>
      <w:r>
        <w:rPr>
          <w:color w:val="231F20"/>
        </w:rPr>
        <w:t>0.629</w:t>
      </w:r>
      <w:r>
        <w:rPr>
          <w:color w:val="231F20"/>
          <w:spacing w:val="-7"/>
        </w:rPr>
        <w:t> </w:t>
      </w:r>
      <w:r>
        <w:rPr>
          <w:color w:val="231F20"/>
        </w:rPr>
        <w:t>metros</w:t>
      </w:r>
      <w:r>
        <w:rPr>
          <w:color w:val="231F20"/>
          <w:spacing w:val="-7"/>
        </w:rPr>
        <w:t> </w:t>
      </w:r>
      <w:r>
        <w:rPr>
          <w:color w:val="231F20"/>
        </w:rPr>
        <w:t>cúbicos</w:t>
      </w:r>
      <w:r>
        <w:rPr>
          <w:color w:val="231F20"/>
          <w:spacing w:val="-7"/>
        </w:rPr>
        <w:t> </w:t>
      </w:r>
      <w:r>
        <w:rPr>
          <w:color w:val="231F20"/>
        </w:rPr>
        <w:t>por</w:t>
      </w:r>
      <w:r>
        <w:rPr>
          <w:color w:val="231F20"/>
          <w:spacing w:val="-7"/>
        </w:rPr>
        <w:t> </w:t>
      </w:r>
      <w:r>
        <w:rPr>
          <w:color w:val="231F20"/>
        </w:rPr>
        <w:t>$1 de utilidad) de agua irrigada respectivamente en Chile y Nogal (Cuadro 3).</w:t>
      </w:r>
    </w:p>
    <w:p>
      <w:pPr>
        <w:pStyle w:val="BodyText"/>
        <w:spacing w:before="10"/>
      </w:pPr>
    </w:p>
    <w:p>
      <w:pPr>
        <w:pStyle w:val="Heading5"/>
      </w:pPr>
      <w:r>
        <w:rPr>
          <w:color w:val="231F20"/>
        </w:rPr>
        <w:t>Eficiencia social del agua subterránea usada en el riego por bombeo en Chile BT</w:t>
      </w:r>
    </w:p>
    <w:p>
      <w:pPr>
        <w:pStyle w:val="BodyText"/>
        <w:spacing w:line="247" w:lineRule="auto" w:before="8"/>
        <w:ind w:left="1270" w:right="1268"/>
        <w:jc w:val="both"/>
      </w:pPr>
      <w:r>
        <w:rPr>
          <w:color w:val="231F20"/>
        </w:rPr>
        <w:t>El precio del agua considerado en este análisis, fue el resultado de dividir el rubro de “Riego” exis- tente dentro de la estructura del costo total de producción por hectárea considerado en los Anuarios</w:t>
      </w:r>
    </w:p>
    <w:p>
      <w:pPr>
        <w:spacing w:after="0" w:line="247" w:lineRule="auto"/>
        <w:jc w:val="both"/>
        <w:sectPr>
          <w:type w:val="continuous"/>
          <w:pgSz w:w="10920" w:h="13080"/>
          <w:pgMar w:top="0" w:bottom="0" w:left="0" w:right="0"/>
        </w:sectPr>
      </w:pPr>
    </w:p>
    <w:p>
      <w:pPr>
        <w:pStyle w:val="BodyText"/>
        <w:rPr>
          <w:sz w:val="20"/>
        </w:rPr>
      </w:pPr>
    </w:p>
    <w:p>
      <w:pPr>
        <w:pStyle w:val="BodyText"/>
        <w:rPr>
          <w:sz w:val="20"/>
        </w:rPr>
      </w:pPr>
    </w:p>
    <w:p>
      <w:pPr>
        <w:pStyle w:val="BodyText"/>
        <w:rPr>
          <w:sz w:val="23"/>
        </w:rPr>
      </w:pPr>
    </w:p>
    <w:p>
      <w:pPr>
        <w:pStyle w:val="BodyText"/>
        <w:spacing w:line="247" w:lineRule="auto" w:before="73"/>
        <w:ind w:left="1270" w:right="1268"/>
        <w:jc w:val="both"/>
      </w:pPr>
      <w:r>
        <w:rPr>
          <w:color w:val="231F20"/>
        </w:rPr>
        <w:t>Estadísticos de la Producción Agropecuaria considerados (Cuadro 2) entre el volumen de agua irri- gado por hectárea, calculado en base a la lámina de riego recomendada por </w:t>
      </w:r>
      <w:r>
        <w:rPr>
          <w:color w:val="231F20"/>
          <w:spacing w:val="-3"/>
        </w:rPr>
        <w:t>INIFAP </w:t>
      </w:r>
      <w:r>
        <w:rPr>
          <w:color w:val="231F20"/>
        </w:rPr>
        <w:t>y sometida a un 87.5% de eficiencia en su conducción, de acuerdo a sugerencias del </w:t>
      </w:r>
      <w:r>
        <w:rPr>
          <w:color w:val="231F20"/>
          <w:spacing w:val="-4"/>
        </w:rPr>
        <w:t>CENID-RASPA-INIFAP.</w:t>
      </w:r>
    </w:p>
    <w:p>
      <w:pPr>
        <w:pStyle w:val="BodyText"/>
        <w:spacing w:before="10"/>
      </w:pPr>
    </w:p>
    <w:p>
      <w:pPr>
        <w:pStyle w:val="BodyText"/>
        <w:spacing w:line="249" w:lineRule="auto"/>
        <w:ind w:left="1270" w:right="1267"/>
        <w:jc w:val="both"/>
      </w:pPr>
      <w:r>
        <w:rPr/>
        <w:pict>
          <v:shape style="position:absolute;margin-left:371.008789pt;margin-top:8.382919pt;width:3.1pt;height:6.15pt;mso-position-horizontal-relative:page;mso-position-vertical-relative:paragraph;z-index:-208624" type="#_x0000_t202" filled="false" stroked="false">
            <v:textbox inset="0,0,0,0">
              <w:txbxContent>
                <w:p>
                  <w:pPr>
                    <w:spacing w:line="122" w:lineRule="exact" w:before="0"/>
                    <w:ind w:left="0" w:right="0" w:firstLine="0"/>
                    <w:jc w:val="left"/>
                    <w:rPr>
                      <w:sz w:val="12"/>
                    </w:rPr>
                  </w:pPr>
                  <w:r>
                    <w:rPr>
                      <w:color w:val="231F20"/>
                      <w:w w:val="102"/>
                      <w:sz w:val="12"/>
                    </w:rPr>
                    <w:t>7</w:t>
                  </w:r>
                </w:p>
              </w:txbxContent>
            </v:textbox>
            <w10:wrap type="none"/>
          </v:shape>
        </w:pict>
      </w:r>
      <w:r>
        <w:rPr/>
        <w:pict>
          <v:shape style="position:absolute;margin-left:71.102402pt;margin-top:70.882919pt;width:3.1pt;height:6.15pt;mso-position-horizontal-relative:page;mso-position-vertical-relative:paragraph;z-index:-208600" type="#_x0000_t202" filled="false" stroked="false">
            <v:textbox inset="0,0,0,0">
              <w:txbxContent>
                <w:p>
                  <w:pPr>
                    <w:spacing w:line="122" w:lineRule="exact" w:before="0"/>
                    <w:ind w:left="0" w:right="0" w:firstLine="0"/>
                    <w:jc w:val="left"/>
                    <w:rPr>
                      <w:sz w:val="12"/>
                    </w:rPr>
                  </w:pPr>
                  <w:r>
                    <w:rPr>
                      <w:color w:val="231F20"/>
                      <w:w w:val="102"/>
                      <w:sz w:val="12"/>
                    </w:rPr>
                    <w:t>7</w:t>
                  </w:r>
                </w:p>
              </w:txbxContent>
            </v:textbox>
            <w10:wrap type="none"/>
          </v:shape>
        </w:pict>
      </w:r>
      <w:r>
        <w:rPr>
          <w:color w:val="231F20"/>
        </w:rPr>
        <w:t>El análisis de la primer variable catalogada como social, es la variable Y , la cual evalúa la propor- ción existente entre la utilidad bruta obtenida por el uso de cada m</w:t>
      </w:r>
      <w:r>
        <w:rPr>
          <w:color w:val="231F20"/>
          <w:position w:val="7"/>
          <w:sz w:val="12"/>
        </w:rPr>
        <w:t>3 </w:t>
      </w:r>
      <w:r>
        <w:rPr>
          <w:color w:val="231F20"/>
        </w:rPr>
        <w:t>de agua extraída del subsuelo para usarse en el riego y el precio que el productor agrícola tiene que pagar por ese mismo m3 de agua extraída del subsuelo. La medición es mediante un cociente, en el que en el numerador se con- signa</w:t>
      </w:r>
      <w:r>
        <w:rPr>
          <w:color w:val="231F20"/>
          <w:spacing w:val="-10"/>
        </w:rPr>
        <w:t> </w:t>
      </w:r>
      <w:r>
        <w:rPr>
          <w:color w:val="231F20"/>
        </w:rPr>
        <w:t>la</w:t>
      </w:r>
      <w:r>
        <w:rPr>
          <w:color w:val="231F20"/>
          <w:spacing w:val="-10"/>
        </w:rPr>
        <w:t> </w:t>
      </w:r>
      <w:r>
        <w:rPr>
          <w:color w:val="231F20"/>
        </w:rPr>
        <w:t>utilidad</w:t>
      </w:r>
      <w:r>
        <w:rPr>
          <w:color w:val="231F20"/>
          <w:spacing w:val="-10"/>
        </w:rPr>
        <w:t> </w:t>
      </w:r>
      <w:r>
        <w:rPr>
          <w:color w:val="231F20"/>
        </w:rPr>
        <w:t>y</w:t>
      </w:r>
      <w:r>
        <w:rPr>
          <w:color w:val="231F20"/>
          <w:spacing w:val="-10"/>
        </w:rPr>
        <w:t> </w:t>
      </w:r>
      <w:r>
        <w:rPr>
          <w:color w:val="231F20"/>
        </w:rPr>
        <w:t>el</w:t>
      </w:r>
      <w:r>
        <w:rPr>
          <w:color w:val="231F20"/>
          <w:spacing w:val="-10"/>
        </w:rPr>
        <w:t> </w:t>
      </w:r>
      <w:r>
        <w:rPr>
          <w:color w:val="231F20"/>
        </w:rPr>
        <w:t>denominador</w:t>
      </w:r>
      <w:r>
        <w:rPr>
          <w:color w:val="231F20"/>
          <w:spacing w:val="-10"/>
        </w:rPr>
        <w:t> </w:t>
      </w:r>
      <w:r>
        <w:rPr>
          <w:color w:val="231F20"/>
        </w:rPr>
        <w:t>es</w:t>
      </w:r>
      <w:r>
        <w:rPr>
          <w:color w:val="231F20"/>
          <w:spacing w:val="-10"/>
        </w:rPr>
        <w:t> </w:t>
      </w:r>
      <w:r>
        <w:rPr>
          <w:color w:val="231F20"/>
        </w:rPr>
        <w:t>el</w:t>
      </w:r>
      <w:r>
        <w:rPr>
          <w:color w:val="231F20"/>
          <w:spacing w:val="-10"/>
        </w:rPr>
        <w:t> </w:t>
      </w:r>
      <w:r>
        <w:rPr>
          <w:color w:val="231F20"/>
        </w:rPr>
        <w:t>precio</w:t>
      </w:r>
      <w:r>
        <w:rPr>
          <w:color w:val="231F20"/>
          <w:spacing w:val="-10"/>
        </w:rPr>
        <w:t> </w:t>
      </w:r>
      <w:r>
        <w:rPr>
          <w:color w:val="231F20"/>
        </w:rPr>
        <w:t>del</w:t>
      </w:r>
      <w:r>
        <w:rPr>
          <w:color w:val="231F20"/>
          <w:spacing w:val="-10"/>
        </w:rPr>
        <w:t> </w:t>
      </w:r>
      <w:r>
        <w:rPr>
          <w:color w:val="231F20"/>
        </w:rPr>
        <w:t>agua.</w:t>
      </w:r>
      <w:r>
        <w:rPr>
          <w:color w:val="231F20"/>
          <w:spacing w:val="-11"/>
        </w:rPr>
        <w:t> </w:t>
      </w:r>
      <w:r>
        <w:rPr>
          <w:color w:val="231F20"/>
        </w:rPr>
        <w:t>El</w:t>
      </w:r>
      <w:r>
        <w:rPr>
          <w:color w:val="231F20"/>
          <w:spacing w:val="-10"/>
        </w:rPr>
        <w:t> </w:t>
      </w:r>
      <w:r>
        <w:rPr>
          <w:color w:val="231F20"/>
        </w:rPr>
        <w:t>cuadro</w:t>
      </w:r>
      <w:r>
        <w:rPr>
          <w:color w:val="231F20"/>
          <w:spacing w:val="-11"/>
        </w:rPr>
        <w:t> </w:t>
      </w:r>
      <w:r>
        <w:rPr>
          <w:color w:val="231F20"/>
        </w:rPr>
        <w:t>3</w:t>
      </w:r>
      <w:r>
        <w:rPr>
          <w:color w:val="231F20"/>
          <w:spacing w:val="-10"/>
        </w:rPr>
        <w:t> </w:t>
      </w:r>
      <w:r>
        <w:rPr>
          <w:color w:val="231F20"/>
        </w:rPr>
        <w:t>muestra</w:t>
      </w:r>
      <w:r>
        <w:rPr>
          <w:color w:val="231F20"/>
          <w:spacing w:val="-11"/>
        </w:rPr>
        <w:t> </w:t>
      </w:r>
      <w:r>
        <w:rPr>
          <w:color w:val="231F20"/>
        </w:rPr>
        <w:t>los</w:t>
      </w:r>
      <w:r>
        <w:rPr>
          <w:color w:val="231F20"/>
          <w:spacing w:val="-11"/>
        </w:rPr>
        <w:t> </w:t>
      </w:r>
      <w:r>
        <w:rPr>
          <w:color w:val="231F20"/>
        </w:rPr>
        <w:t>índices</w:t>
      </w:r>
      <w:r>
        <w:rPr>
          <w:color w:val="231F20"/>
          <w:spacing w:val="-11"/>
        </w:rPr>
        <w:t> </w:t>
      </w:r>
      <w:r>
        <w:rPr>
          <w:color w:val="231F20"/>
        </w:rPr>
        <w:t>de</w:t>
      </w:r>
      <w:r>
        <w:rPr>
          <w:color w:val="231F20"/>
          <w:spacing w:val="-10"/>
        </w:rPr>
        <w:t> </w:t>
      </w:r>
      <w:r>
        <w:rPr>
          <w:color w:val="231F20"/>
        </w:rPr>
        <w:t>la</w:t>
      </w:r>
      <w:r>
        <w:rPr>
          <w:color w:val="231F20"/>
          <w:spacing w:val="-10"/>
        </w:rPr>
        <w:t> </w:t>
      </w:r>
      <w:r>
        <w:rPr>
          <w:color w:val="231F20"/>
        </w:rPr>
        <w:t>variable Y , de forma tal que en el caso del cultivo de Chile BT éste fue igual a 20.49 y en Nogal BT fue igual</w:t>
      </w:r>
      <w:r>
        <w:rPr>
          <w:color w:val="231F20"/>
          <w:spacing w:val="-7"/>
        </w:rPr>
        <w:t> </w:t>
      </w:r>
      <w:r>
        <w:rPr>
          <w:color w:val="231F20"/>
        </w:rPr>
        <w:t>a</w:t>
      </w:r>
      <w:r>
        <w:rPr>
          <w:color w:val="231F20"/>
          <w:spacing w:val="-7"/>
        </w:rPr>
        <w:t> </w:t>
      </w:r>
      <w:r>
        <w:rPr>
          <w:color w:val="231F20"/>
        </w:rPr>
        <w:t>6.41,</w:t>
      </w:r>
      <w:r>
        <w:rPr>
          <w:color w:val="231F20"/>
          <w:spacing w:val="-7"/>
        </w:rPr>
        <w:t> </w:t>
      </w:r>
      <w:r>
        <w:rPr>
          <w:color w:val="231F20"/>
        </w:rPr>
        <w:t>lo</w:t>
      </w:r>
      <w:r>
        <w:rPr>
          <w:color w:val="231F20"/>
          <w:spacing w:val="-7"/>
        </w:rPr>
        <w:t> </w:t>
      </w:r>
      <w:r>
        <w:rPr>
          <w:color w:val="231F20"/>
        </w:rPr>
        <w:t>que</w:t>
      </w:r>
      <w:r>
        <w:rPr>
          <w:color w:val="231F20"/>
          <w:spacing w:val="-7"/>
        </w:rPr>
        <w:t> </w:t>
      </w:r>
      <w:r>
        <w:rPr>
          <w:color w:val="231F20"/>
        </w:rPr>
        <w:t>indica</w:t>
      </w:r>
      <w:r>
        <w:rPr>
          <w:color w:val="231F20"/>
          <w:spacing w:val="-7"/>
        </w:rPr>
        <w:t> </w:t>
      </w:r>
      <w:r>
        <w:rPr>
          <w:color w:val="231F20"/>
        </w:rPr>
        <w:t>que</w:t>
      </w:r>
      <w:r>
        <w:rPr>
          <w:color w:val="231F20"/>
          <w:spacing w:val="-7"/>
        </w:rPr>
        <w:t> </w:t>
      </w:r>
      <w:r>
        <w:rPr>
          <w:color w:val="231F20"/>
        </w:rPr>
        <w:t>la</w:t>
      </w:r>
      <w:r>
        <w:rPr>
          <w:color w:val="231F20"/>
          <w:spacing w:val="-7"/>
        </w:rPr>
        <w:t> </w:t>
      </w:r>
      <w:r>
        <w:rPr>
          <w:color w:val="231F20"/>
        </w:rPr>
        <w:t>ganancia/m3</w:t>
      </w:r>
      <w:r>
        <w:rPr>
          <w:color w:val="231F20"/>
          <w:spacing w:val="-7"/>
        </w:rPr>
        <w:t> </w:t>
      </w:r>
      <w:r>
        <w:rPr>
          <w:color w:val="231F20"/>
        </w:rPr>
        <w:t>de</w:t>
      </w:r>
      <w:r>
        <w:rPr>
          <w:color w:val="231F20"/>
          <w:spacing w:val="-7"/>
        </w:rPr>
        <w:t> </w:t>
      </w:r>
      <w:r>
        <w:rPr>
          <w:color w:val="231F20"/>
        </w:rPr>
        <w:t>agua</w:t>
      </w:r>
      <w:r>
        <w:rPr>
          <w:color w:val="231F20"/>
          <w:spacing w:val="-7"/>
        </w:rPr>
        <w:t> </w:t>
      </w:r>
      <w:r>
        <w:rPr>
          <w:color w:val="231F20"/>
        </w:rPr>
        <w:t>extraída</w:t>
      </w:r>
      <w:r>
        <w:rPr>
          <w:color w:val="231F20"/>
          <w:spacing w:val="-7"/>
        </w:rPr>
        <w:t> </w:t>
      </w:r>
      <w:r>
        <w:rPr>
          <w:color w:val="231F20"/>
        </w:rPr>
        <w:t>del</w:t>
      </w:r>
      <w:r>
        <w:rPr>
          <w:color w:val="231F20"/>
          <w:spacing w:val="-7"/>
        </w:rPr>
        <w:t> </w:t>
      </w:r>
      <w:r>
        <w:rPr>
          <w:color w:val="231F20"/>
        </w:rPr>
        <w:t>subsuelo,</w:t>
      </w:r>
      <w:r>
        <w:rPr>
          <w:color w:val="231F20"/>
          <w:spacing w:val="-7"/>
        </w:rPr>
        <w:t> </w:t>
      </w:r>
      <w:r>
        <w:rPr>
          <w:color w:val="231F20"/>
        </w:rPr>
        <w:t>el</w:t>
      </w:r>
      <w:r>
        <w:rPr>
          <w:color w:val="231F20"/>
          <w:spacing w:val="-7"/>
        </w:rPr>
        <w:t> </w:t>
      </w:r>
      <w:r>
        <w:rPr>
          <w:color w:val="231F20"/>
        </w:rPr>
        <w:t>productor</w:t>
      </w:r>
      <w:r>
        <w:rPr>
          <w:color w:val="231F20"/>
          <w:spacing w:val="-7"/>
        </w:rPr>
        <w:t> </w:t>
      </w:r>
      <w:r>
        <w:rPr>
          <w:color w:val="231F20"/>
        </w:rPr>
        <w:t>agrícola</w:t>
      </w:r>
      <w:r>
        <w:rPr>
          <w:color w:val="231F20"/>
          <w:spacing w:val="-7"/>
        </w:rPr>
        <w:t> </w:t>
      </w:r>
      <w:r>
        <w:rPr>
          <w:color w:val="231F20"/>
        </w:rPr>
        <w:t>de Chile obtiene una ganancia privada 20.49 veces lo que pagó el recurso social agua, mientras que el nogalero multiplica por 6.41 veces, en forma de ganancia, cada $1 erogado en el pago del agua con la que irriga su</w:t>
      </w:r>
      <w:r>
        <w:rPr>
          <w:color w:val="231F20"/>
          <w:spacing w:val="-2"/>
        </w:rPr>
        <w:t> </w:t>
      </w:r>
      <w:r>
        <w:rPr>
          <w:color w:val="231F20"/>
        </w:rPr>
        <w:t>nogal.</w:t>
      </w:r>
    </w:p>
    <w:p>
      <w:pPr>
        <w:pStyle w:val="BodyText"/>
        <w:spacing w:before="7"/>
      </w:pPr>
    </w:p>
    <w:p>
      <w:pPr>
        <w:pStyle w:val="BodyText"/>
        <w:spacing w:line="249" w:lineRule="auto"/>
        <w:ind w:left="1270" w:right="1268"/>
        <w:jc w:val="both"/>
      </w:pPr>
      <w:r>
        <w:rPr/>
        <w:pict>
          <v:shape style="position:absolute;margin-left:267.499603pt;margin-top:83.392929pt;width:3.1pt;height:6.15pt;mso-position-horizontal-relative:page;mso-position-vertical-relative:paragraph;z-index:-208576" type="#_x0000_t202" filled="false" stroked="false">
            <v:textbox inset="0,0,0,0">
              <w:txbxContent>
                <w:p>
                  <w:pPr>
                    <w:spacing w:line="122" w:lineRule="exact" w:before="0"/>
                    <w:ind w:left="0" w:right="0" w:firstLine="0"/>
                    <w:jc w:val="left"/>
                    <w:rPr>
                      <w:sz w:val="12"/>
                    </w:rPr>
                  </w:pPr>
                  <w:r>
                    <w:rPr>
                      <w:color w:val="231F20"/>
                      <w:w w:val="102"/>
                      <w:sz w:val="12"/>
                    </w:rPr>
                    <w:t>9</w:t>
                  </w:r>
                </w:p>
              </w:txbxContent>
            </v:textbox>
            <w10:wrap type="none"/>
          </v:shape>
        </w:pict>
      </w:r>
      <w:r>
        <w:rPr>
          <w:color w:val="231F20"/>
        </w:rPr>
        <w:t>La principal variable social del uso del agua subterránea en el riego, está dada por la cantidad de empleos generados por cada 100,000m³ de agua irrigada, evaluada por la variable Y8 del cuadro    3, muestra que existió una mayor eficiencia social del agua subterránea en el cultivo de Chile </w:t>
      </w:r>
      <w:r>
        <w:rPr>
          <w:color w:val="231F20"/>
          <w:spacing w:val="-6"/>
        </w:rPr>
        <w:t>BT, </w:t>
      </w:r>
      <w:r>
        <w:rPr>
          <w:color w:val="231F20"/>
        </w:rPr>
        <w:t>toda vez que cada 100,000 m³ de agua extraída del subsuelo generaron 6.254 empleos permanentes, mientras que en caso del Nogal BT la unidad considerada de agua subterránea generó 1.29</w:t>
      </w:r>
      <w:r>
        <w:rPr>
          <w:color w:val="231F20"/>
          <w:spacing w:val="-33"/>
        </w:rPr>
        <w:t> </w:t>
      </w:r>
      <w:r>
        <w:rPr>
          <w:color w:val="231F20"/>
        </w:rPr>
        <w:t>empleos, es decir, la hortaliza analizada creó 4.85 veces más empleo que el nogal al usar ese mismo volumen de agua. El cuadro 3, en el caso de la variable Y , que evalúa la productividad del trabajo en suelos irrigados con aguas subterráneas, muestra que el cultivo de Chile BT fue menos eficiente el trabajo invertido que en el Nogal, toda vez que el primero requirió invertir 54.941 horas de trabajo para producir una tonelada, mientras que en el segundo bastaron 40.62 horas de trabajo para obtener una tonelada de</w:t>
      </w:r>
      <w:r>
        <w:rPr>
          <w:color w:val="231F20"/>
          <w:spacing w:val="-1"/>
        </w:rPr>
        <w:t> </w:t>
      </w:r>
      <w:r>
        <w:rPr>
          <w:color w:val="231F20"/>
        </w:rPr>
        <w:t>producto.</w:t>
      </w:r>
    </w:p>
    <w:p>
      <w:pPr>
        <w:pStyle w:val="BodyText"/>
        <w:spacing w:before="3"/>
        <w:rPr>
          <w:sz w:val="15"/>
        </w:rPr>
      </w:pPr>
    </w:p>
    <w:p>
      <w:pPr>
        <w:pStyle w:val="BodyText"/>
        <w:spacing w:before="74"/>
        <w:ind w:left="1270"/>
      </w:pPr>
      <w:r>
        <w:rPr/>
        <w:pict>
          <v:shape style="position:absolute;margin-left:122.069702pt;margin-top:12.073428pt;width:6.15pt;height:6.15pt;mso-position-horizontal-relative:page;mso-position-vertical-relative:paragraph;z-index:-208552" type="#_x0000_t202" filled="false" stroked="false">
            <v:textbox inset="0,0,0,0">
              <w:txbxContent>
                <w:p>
                  <w:pPr>
                    <w:spacing w:line="122" w:lineRule="exact" w:before="0"/>
                    <w:ind w:left="0" w:right="-17" w:firstLine="0"/>
                    <w:jc w:val="left"/>
                    <w:rPr>
                      <w:sz w:val="12"/>
                    </w:rPr>
                  </w:pPr>
                  <w:r>
                    <w:rPr>
                      <w:color w:val="231F20"/>
                      <w:sz w:val="12"/>
                    </w:rPr>
                    <w:t>10</w:t>
                  </w:r>
                </w:p>
              </w:txbxContent>
            </v:textbox>
            <w10:wrap type="none"/>
          </v:shape>
        </w:pict>
      </w:r>
      <w:r>
        <w:rPr>
          <w:color w:val="231F20"/>
        </w:rPr>
        <w:t>La variable Y     , que mide el nivel de ganancia/trabajador en cada cultivo irrigado con agua subte-</w:t>
      </w:r>
    </w:p>
    <w:p>
      <w:pPr>
        <w:pStyle w:val="BodyText"/>
        <w:spacing w:line="247" w:lineRule="auto" w:before="8"/>
        <w:ind w:left="1270" w:right="1264"/>
        <w:jc w:val="both"/>
      </w:pPr>
      <w:r>
        <w:rPr>
          <w:color w:val="231F20"/>
        </w:rPr>
        <w:t>rránea mediante bombeo, permite colegir que existió una menor eficiencia en el cultivo de Chile</w:t>
      </w:r>
      <w:r>
        <w:rPr>
          <w:color w:val="231F20"/>
          <w:spacing w:val="-33"/>
        </w:rPr>
        <w:t> </w:t>
      </w:r>
      <w:r>
        <w:rPr>
          <w:color w:val="231F20"/>
        </w:rPr>
        <w:t>BT que en el de Nogal </w:t>
      </w:r>
      <w:r>
        <w:rPr>
          <w:color w:val="231F20"/>
          <w:spacing w:val="-6"/>
        </w:rPr>
        <w:t>BT, </w:t>
      </w:r>
      <w:r>
        <w:rPr>
          <w:color w:val="231F20"/>
        </w:rPr>
        <w:t>ya que mientras que en la hortaliza cada trabajador, generó a nivel regional, una derrama económica, apropiada por el productor bajo la forma de ganancia bruta privada, igual  a $101,750, mientras que el trabajador agrícola adscrito a la producción de Nogal BT le allegó ga- nancias al dueño del predio por un monto de $123,533, es decir, el trabajador del chilar le produjo al dueño de ese chilar, una ganancia 17.6% menor a la que el trabajador adscrito a las nogaleras le produjo al dueño del predio (Cuadro 3).</w:t>
      </w:r>
    </w:p>
    <w:p>
      <w:pPr>
        <w:pStyle w:val="BodyText"/>
        <w:spacing w:before="10"/>
      </w:pPr>
    </w:p>
    <w:p>
      <w:pPr>
        <w:pStyle w:val="BodyText"/>
        <w:spacing w:line="247" w:lineRule="auto"/>
        <w:ind w:left="1270" w:right="1267"/>
        <w:jc w:val="both"/>
      </w:pPr>
      <w:r>
        <w:rPr>
          <w:color w:val="231F20"/>
        </w:rPr>
        <w:t>Desde</w:t>
      </w:r>
      <w:r>
        <w:rPr>
          <w:color w:val="231F20"/>
          <w:spacing w:val="-12"/>
        </w:rPr>
        <w:t> </w:t>
      </w:r>
      <w:r>
        <w:rPr>
          <w:color w:val="231F20"/>
        </w:rPr>
        <w:t>otra</w:t>
      </w:r>
      <w:r>
        <w:rPr>
          <w:color w:val="231F20"/>
          <w:spacing w:val="-12"/>
        </w:rPr>
        <w:t> </w:t>
      </w:r>
      <w:r>
        <w:rPr>
          <w:color w:val="231F20"/>
        </w:rPr>
        <w:t>óptica</w:t>
      </w:r>
      <w:r>
        <w:rPr>
          <w:color w:val="231F20"/>
          <w:spacing w:val="-12"/>
        </w:rPr>
        <w:t> </w:t>
      </w:r>
      <w:r>
        <w:rPr>
          <w:color w:val="231F20"/>
        </w:rPr>
        <w:t>que</w:t>
      </w:r>
      <w:r>
        <w:rPr>
          <w:color w:val="231F20"/>
          <w:spacing w:val="-12"/>
        </w:rPr>
        <w:t> </w:t>
      </w:r>
      <w:r>
        <w:rPr>
          <w:color w:val="231F20"/>
        </w:rPr>
        <w:t>facilite</w:t>
      </w:r>
      <w:r>
        <w:rPr>
          <w:color w:val="231F20"/>
          <w:spacing w:val="-12"/>
        </w:rPr>
        <w:t> </w:t>
      </w:r>
      <w:r>
        <w:rPr>
          <w:color w:val="231F20"/>
        </w:rPr>
        <w:t>la</w:t>
      </w:r>
      <w:r>
        <w:rPr>
          <w:color w:val="231F20"/>
          <w:spacing w:val="-12"/>
        </w:rPr>
        <w:t> </w:t>
      </w:r>
      <w:r>
        <w:rPr>
          <w:color w:val="231F20"/>
        </w:rPr>
        <w:t>importancia</w:t>
      </w:r>
      <w:r>
        <w:rPr>
          <w:color w:val="231F20"/>
          <w:spacing w:val="-12"/>
        </w:rPr>
        <w:t> </w:t>
      </w:r>
      <w:r>
        <w:rPr>
          <w:color w:val="231F20"/>
        </w:rPr>
        <w:t>social</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anteriores</w:t>
      </w:r>
      <w:r>
        <w:rPr>
          <w:color w:val="231F20"/>
          <w:spacing w:val="-12"/>
        </w:rPr>
        <w:t> </w:t>
      </w:r>
      <w:r>
        <w:rPr>
          <w:color w:val="231F20"/>
        </w:rPr>
        <w:t>cifras,</w:t>
      </w:r>
      <w:r>
        <w:rPr>
          <w:color w:val="231F20"/>
          <w:spacing w:val="-12"/>
        </w:rPr>
        <w:t> </w:t>
      </w:r>
      <w:r>
        <w:rPr>
          <w:color w:val="231F20"/>
        </w:rPr>
        <w:t>puede</w:t>
      </w:r>
      <w:r>
        <w:rPr>
          <w:color w:val="231F20"/>
          <w:spacing w:val="-12"/>
        </w:rPr>
        <w:t> </w:t>
      </w:r>
      <w:r>
        <w:rPr>
          <w:color w:val="231F20"/>
        </w:rPr>
        <w:t>observarse</w:t>
      </w:r>
      <w:r>
        <w:rPr>
          <w:color w:val="231F20"/>
          <w:spacing w:val="-12"/>
        </w:rPr>
        <w:t> </w:t>
      </w:r>
      <w:r>
        <w:rPr>
          <w:color w:val="231F20"/>
        </w:rPr>
        <w:t>que</w:t>
      </w:r>
      <w:r>
        <w:rPr>
          <w:color w:val="231F20"/>
          <w:spacing w:val="-12"/>
        </w:rPr>
        <w:t> </w:t>
      </w:r>
      <w:r>
        <w:rPr>
          <w:color w:val="231F20"/>
        </w:rPr>
        <w:t>en</w:t>
      </w:r>
      <w:r>
        <w:rPr>
          <w:color w:val="231F20"/>
          <w:spacing w:val="-12"/>
        </w:rPr>
        <w:t> </w:t>
      </w:r>
      <w:r>
        <w:rPr>
          <w:color w:val="231F20"/>
        </w:rPr>
        <w:t>el cultivo</w:t>
      </w:r>
      <w:r>
        <w:rPr>
          <w:color w:val="231F20"/>
          <w:spacing w:val="-4"/>
        </w:rPr>
        <w:t> </w:t>
      </w:r>
      <w:r>
        <w:rPr>
          <w:color w:val="231F20"/>
        </w:rPr>
        <w:t>de</w:t>
      </w:r>
      <w:r>
        <w:rPr>
          <w:color w:val="231F20"/>
          <w:spacing w:val="-4"/>
        </w:rPr>
        <w:t> </w:t>
      </w:r>
      <w:r>
        <w:rPr>
          <w:color w:val="231F20"/>
        </w:rPr>
        <w:t>Nogal</w:t>
      </w:r>
      <w:r>
        <w:rPr>
          <w:color w:val="231F20"/>
          <w:spacing w:val="-4"/>
        </w:rPr>
        <w:t> </w:t>
      </w:r>
      <w:r>
        <w:rPr>
          <w:color w:val="231F20"/>
          <w:spacing w:val="-6"/>
        </w:rPr>
        <w:t>BT,</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masa</w:t>
      </w:r>
      <w:r>
        <w:rPr>
          <w:color w:val="231F20"/>
          <w:spacing w:val="-4"/>
        </w:rPr>
        <w:t> </w:t>
      </w:r>
      <w:r>
        <w:rPr>
          <w:color w:val="231F20"/>
        </w:rPr>
        <w:t>total</w:t>
      </w:r>
      <w:r>
        <w:rPr>
          <w:color w:val="231F20"/>
          <w:spacing w:val="-4"/>
        </w:rPr>
        <w:t> </w:t>
      </w:r>
      <w:r>
        <w:rPr>
          <w:color w:val="231F20"/>
        </w:rPr>
        <w:t>de</w:t>
      </w:r>
      <w:r>
        <w:rPr>
          <w:color w:val="231F20"/>
          <w:spacing w:val="-4"/>
        </w:rPr>
        <w:t> </w:t>
      </w:r>
      <w:r>
        <w:rPr>
          <w:color w:val="231F20"/>
        </w:rPr>
        <w:t>riqueza</w:t>
      </w:r>
      <w:r>
        <w:rPr>
          <w:color w:val="231F20"/>
          <w:spacing w:val="-4"/>
        </w:rPr>
        <w:t> </w:t>
      </w:r>
      <w:r>
        <w:rPr>
          <w:color w:val="231F20"/>
        </w:rPr>
        <w:t>producida</w:t>
      </w:r>
      <w:r>
        <w:rPr>
          <w:color w:val="231F20"/>
          <w:spacing w:val="-4"/>
        </w:rPr>
        <w:t> </w:t>
      </w:r>
      <w:r>
        <w:rPr>
          <w:color w:val="231F20"/>
        </w:rPr>
        <w:t>regionalmente</w:t>
      </w:r>
      <w:r>
        <w:rPr>
          <w:color w:val="231F20"/>
          <w:spacing w:val="-4"/>
        </w:rPr>
        <w:t> </w:t>
      </w:r>
      <w:r>
        <w:rPr>
          <w:color w:val="231F20"/>
        </w:rPr>
        <w:t>por</w:t>
      </w:r>
      <w:r>
        <w:rPr>
          <w:color w:val="231F20"/>
          <w:spacing w:val="-4"/>
        </w:rPr>
        <w:t> </w:t>
      </w:r>
      <w:r>
        <w:rPr>
          <w:color w:val="231F20"/>
        </w:rPr>
        <w:t>el</w:t>
      </w:r>
      <w:r>
        <w:rPr>
          <w:color w:val="231F20"/>
          <w:spacing w:val="-4"/>
        </w:rPr>
        <w:t> </w:t>
      </w:r>
      <w:r>
        <w:rPr>
          <w:color w:val="231F20"/>
        </w:rPr>
        <w:t>cultivo</w:t>
      </w:r>
      <w:r>
        <w:rPr>
          <w:color w:val="231F20"/>
          <w:spacing w:val="-4"/>
        </w:rPr>
        <w:t> </w:t>
      </w:r>
      <w:r>
        <w:rPr>
          <w:color w:val="231F20"/>
        </w:rPr>
        <w:t>irrigado</w:t>
      </w:r>
      <w:r>
        <w:rPr>
          <w:color w:val="231F20"/>
          <w:spacing w:val="-4"/>
        </w:rPr>
        <w:t> </w:t>
      </w:r>
      <w:r>
        <w:rPr>
          <w:color w:val="231F20"/>
        </w:rPr>
        <w:t>con agua</w:t>
      </w:r>
      <w:r>
        <w:rPr>
          <w:color w:val="231F20"/>
          <w:spacing w:val="-7"/>
        </w:rPr>
        <w:t> </w:t>
      </w:r>
      <w:r>
        <w:rPr>
          <w:color w:val="231F20"/>
        </w:rPr>
        <w:t>subterránea</w:t>
      </w:r>
      <w:r>
        <w:rPr>
          <w:color w:val="231F20"/>
          <w:spacing w:val="-7"/>
        </w:rPr>
        <w:t> </w:t>
      </w:r>
      <w:r>
        <w:rPr>
          <w:color w:val="231F20"/>
        </w:rPr>
        <w:t>($89.4</w:t>
      </w:r>
      <w:r>
        <w:rPr>
          <w:color w:val="231F20"/>
          <w:spacing w:val="-7"/>
        </w:rPr>
        <w:t> </w:t>
      </w:r>
      <w:r>
        <w:rPr>
          <w:color w:val="231F20"/>
        </w:rPr>
        <w:t>millones</w:t>
      </w:r>
      <w:r>
        <w:rPr>
          <w:color w:val="231F20"/>
          <w:spacing w:val="-7"/>
        </w:rPr>
        <w:t> </w:t>
      </w:r>
      <w:r>
        <w:rPr>
          <w:color w:val="231F20"/>
        </w:rPr>
        <w:t>de</w:t>
      </w:r>
      <w:r>
        <w:rPr>
          <w:color w:val="231F20"/>
          <w:spacing w:val="-7"/>
        </w:rPr>
        <w:t> </w:t>
      </w:r>
      <w:r>
        <w:rPr>
          <w:color w:val="231F20"/>
        </w:rPr>
        <w:t>pesos,</w:t>
      </w:r>
      <w:r>
        <w:rPr>
          <w:color w:val="231F20"/>
          <w:spacing w:val="-7"/>
        </w:rPr>
        <w:t> </w:t>
      </w:r>
      <w:r>
        <w:rPr>
          <w:color w:val="231F20"/>
        </w:rPr>
        <w:t>ver</w:t>
      </w:r>
      <w:r>
        <w:rPr>
          <w:color w:val="231F20"/>
          <w:spacing w:val="-7"/>
        </w:rPr>
        <w:t> </w:t>
      </w:r>
      <w:r>
        <w:rPr>
          <w:color w:val="231F20"/>
        </w:rPr>
        <w:t>Cuadro</w:t>
      </w:r>
      <w:r>
        <w:rPr>
          <w:color w:val="231F20"/>
          <w:spacing w:val="-7"/>
        </w:rPr>
        <w:t> </w:t>
      </w:r>
      <w:r>
        <w:rPr>
          <w:color w:val="231F20"/>
        </w:rPr>
        <w:t>1),</w:t>
      </w:r>
      <w:r>
        <w:rPr>
          <w:color w:val="231F20"/>
          <w:spacing w:val="-7"/>
        </w:rPr>
        <w:t> </w:t>
      </w:r>
      <w:r>
        <w:rPr>
          <w:color w:val="231F20"/>
        </w:rPr>
        <w:t>cada</w:t>
      </w:r>
      <w:r>
        <w:rPr>
          <w:color w:val="231F20"/>
          <w:spacing w:val="-7"/>
        </w:rPr>
        <w:t> </w:t>
      </w:r>
      <w:r>
        <w:rPr>
          <w:color w:val="231F20"/>
        </w:rPr>
        <w:t>uno</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724</w:t>
      </w:r>
      <w:r>
        <w:rPr>
          <w:color w:val="231F20"/>
          <w:spacing w:val="-7"/>
        </w:rPr>
        <w:t> </w:t>
      </w:r>
      <w:r>
        <w:rPr>
          <w:color w:val="231F20"/>
        </w:rPr>
        <w:t>trabajadores</w:t>
      </w:r>
      <w:r>
        <w:rPr>
          <w:color w:val="231F20"/>
          <w:spacing w:val="-7"/>
        </w:rPr>
        <w:t> </w:t>
      </w:r>
      <w:r>
        <w:rPr>
          <w:color w:val="231F20"/>
        </w:rPr>
        <w:t>adscritos al nogal, aportó $123,533, mientras que en el caso del Chile </w:t>
      </w:r>
      <w:r>
        <w:rPr>
          <w:color w:val="231F20"/>
          <w:spacing w:val="-6"/>
        </w:rPr>
        <w:t>BT, </w:t>
      </w:r>
      <w:r>
        <w:rPr>
          <w:color w:val="231F20"/>
        </w:rPr>
        <w:t>cada uno de sus 255 trabajadores permanentes</w:t>
      </w:r>
      <w:r>
        <w:rPr>
          <w:color w:val="231F20"/>
          <w:spacing w:val="-11"/>
        </w:rPr>
        <w:t> </w:t>
      </w:r>
      <w:r>
        <w:rPr>
          <w:color w:val="231F20"/>
        </w:rPr>
        <w:t>contribuyó</w:t>
      </w:r>
      <w:r>
        <w:rPr>
          <w:color w:val="231F20"/>
          <w:spacing w:val="-11"/>
        </w:rPr>
        <w:t> </w:t>
      </w:r>
      <w:r>
        <w:rPr>
          <w:color w:val="231F20"/>
        </w:rPr>
        <w:t>con</w:t>
      </w:r>
      <w:r>
        <w:rPr>
          <w:color w:val="231F20"/>
          <w:spacing w:val="-11"/>
        </w:rPr>
        <w:t> </w:t>
      </w:r>
      <w:r>
        <w:rPr>
          <w:color w:val="231F20"/>
        </w:rPr>
        <w:t>$101,750</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riqueza</w:t>
      </w:r>
      <w:r>
        <w:rPr>
          <w:color w:val="231F20"/>
          <w:spacing w:val="-11"/>
        </w:rPr>
        <w:t> </w:t>
      </w:r>
      <w:r>
        <w:rPr>
          <w:color w:val="231F20"/>
        </w:rPr>
        <w:t>generada,</w:t>
      </w:r>
      <w:r>
        <w:rPr>
          <w:color w:val="231F20"/>
          <w:spacing w:val="-11"/>
        </w:rPr>
        <w:t> </w:t>
      </w:r>
      <w:r>
        <w:rPr>
          <w:color w:val="231F20"/>
        </w:rPr>
        <w:t>por</w:t>
      </w:r>
      <w:r>
        <w:rPr>
          <w:color w:val="231F20"/>
          <w:spacing w:val="-11"/>
        </w:rPr>
        <w:t> </w:t>
      </w:r>
      <w:r>
        <w:rPr>
          <w:color w:val="231F20"/>
        </w:rPr>
        <w:t>lo</w:t>
      </w:r>
      <w:r>
        <w:rPr>
          <w:color w:val="231F20"/>
          <w:spacing w:val="-11"/>
        </w:rPr>
        <w:t> </w:t>
      </w:r>
      <w:r>
        <w:rPr>
          <w:color w:val="231F20"/>
        </w:rPr>
        <w:t>que,</w:t>
      </w:r>
      <w:r>
        <w:rPr>
          <w:color w:val="231F20"/>
          <w:spacing w:val="-11"/>
        </w:rPr>
        <w:t> </w:t>
      </w:r>
      <w:r>
        <w:rPr>
          <w:color w:val="231F20"/>
        </w:rPr>
        <w:t>de</w:t>
      </w:r>
      <w:r>
        <w:rPr>
          <w:color w:val="231F20"/>
          <w:spacing w:val="-11"/>
        </w:rPr>
        <w:t> </w:t>
      </w:r>
      <w:r>
        <w:rPr>
          <w:color w:val="231F20"/>
        </w:rPr>
        <w:t>acuerdo</w:t>
      </w:r>
      <w:r>
        <w:rPr>
          <w:color w:val="231F20"/>
          <w:spacing w:val="-11"/>
        </w:rPr>
        <w:t> </w:t>
      </w:r>
      <w:r>
        <w:rPr>
          <w:color w:val="231F20"/>
        </w:rPr>
        <w:t>con</w:t>
      </w:r>
      <w:r>
        <w:rPr>
          <w:color w:val="231F20"/>
          <w:spacing w:val="-11"/>
        </w:rPr>
        <w:t> </w:t>
      </w:r>
      <w:r>
        <w:rPr>
          <w:color w:val="231F20"/>
        </w:rPr>
        <w:t>el</w:t>
      </w:r>
      <w:r>
        <w:rPr>
          <w:color w:val="231F20"/>
          <w:spacing w:val="-11"/>
        </w:rPr>
        <w:t> </w:t>
      </w:r>
      <w:r>
        <w:rPr>
          <w:color w:val="231F20"/>
        </w:rPr>
        <w:t>indicador</w:t>
      </w:r>
    </w:p>
    <w:p>
      <w:pPr>
        <w:spacing w:after="0" w:line="247" w:lineRule="auto"/>
        <w:jc w:val="both"/>
        <w:sectPr>
          <w:pgSz w:w="10920" w:h="13080"/>
          <w:pgMar w:header="0" w:footer="1025" w:top="420" w:bottom="1220" w:left="0" w:right="0"/>
        </w:sectPr>
      </w:pPr>
    </w:p>
    <w:p>
      <w:pPr>
        <w:pStyle w:val="BodyText"/>
        <w:rPr>
          <w:sz w:val="20"/>
        </w:rPr>
      </w:pPr>
    </w:p>
    <w:p>
      <w:pPr>
        <w:pStyle w:val="BodyText"/>
        <w:rPr>
          <w:sz w:val="20"/>
        </w:rPr>
      </w:pPr>
    </w:p>
    <w:p>
      <w:pPr>
        <w:pStyle w:val="BodyText"/>
        <w:rPr>
          <w:sz w:val="23"/>
        </w:rPr>
      </w:pPr>
    </w:p>
    <w:p>
      <w:pPr>
        <w:pStyle w:val="BodyText"/>
        <w:spacing w:line="247" w:lineRule="auto" w:before="73"/>
        <w:ind w:left="1270" w:right="1176"/>
      </w:pPr>
      <w:r>
        <w:rPr>
          <w:color w:val="231F20"/>
        </w:rPr>
        <w:t>del Cuadro 3, la inversión de trabajo en la producción resultó ser 21.4% (= $123,533/$101,750) más eficiente en el Nogal BT que en el Chile BT (Cuadros 1 y 3).</w:t>
      </w:r>
    </w:p>
    <w:p>
      <w:pPr>
        <w:pStyle w:val="BodyText"/>
        <w:spacing w:before="6"/>
        <w:rPr>
          <w:sz w:val="15"/>
        </w:rPr>
      </w:pPr>
    </w:p>
    <w:p>
      <w:pPr>
        <w:pStyle w:val="BodyText"/>
        <w:spacing w:before="73"/>
        <w:ind w:left="1270"/>
      </w:pPr>
      <w:r>
        <w:rPr/>
        <w:pict>
          <v:shape style="position:absolute;margin-left:121.847298pt;margin-top:12.027914pt;width:5.7pt;height:6.15pt;mso-position-horizontal-relative:page;mso-position-vertical-relative:paragraph;z-index:-208528" type="#_x0000_t202" filled="false" stroked="false">
            <v:textbox inset="0,0,0,0">
              <w:txbxContent>
                <w:p>
                  <w:pPr>
                    <w:spacing w:line="122" w:lineRule="exact" w:before="0"/>
                    <w:ind w:left="0" w:right="-16" w:firstLine="0"/>
                    <w:jc w:val="left"/>
                    <w:rPr>
                      <w:sz w:val="12"/>
                    </w:rPr>
                  </w:pPr>
                  <w:r>
                    <w:rPr>
                      <w:color w:val="231F20"/>
                      <w:spacing w:val="-5"/>
                      <w:sz w:val="12"/>
                    </w:rPr>
                    <w:t>11</w:t>
                  </w:r>
                </w:p>
              </w:txbxContent>
            </v:textbox>
            <w10:wrap type="none"/>
          </v:shape>
        </w:pict>
      </w:r>
      <w:r>
        <w:rPr>
          <w:color w:val="231F20"/>
        </w:rPr>
        <w:t>La variable Y     , que mide la ganancia bruta por hora invertida de trabajo, mostró que el cultivo de</w:t>
      </w:r>
    </w:p>
    <w:p>
      <w:pPr>
        <w:pStyle w:val="BodyText"/>
        <w:spacing w:line="247" w:lineRule="auto" w:before="8"/>
        <w:ind w:left="1270" w:right="1268"/>
        <w:jc w:val="both"/>
      </w:pPr>
      <w:r>
        <w:rPr>
          <w:color w:val="231F20"/>
        </w:rPr>
        <w:t>Chile BT fue menos eficiente que en el cultivo de Nogal </w:t>
      </w:r>
      <w:r>
        <w:rPr>
          <w:color w:val="231F20"/>
          <w:spacing w:val="-6"/>
        </w:rPr>
        <w:t>BT, </w:t>
      </w:r>
      <w:r>
        <w:rPr>
          <w:color w:val="231F20"/>
        </w:rPr>
        <w:t>ya que, la ganancia bruta obtenida por hora invertida de trabajo, resultó igual a $44.2 en la hortaliza y $428.9 en el nogal, es decir, que</w:t>
      </w:r>
      <w:r>
        <w:rPr>
          <w:color w:val="231F20"/>
          <w:spacing w:val="-27"/>
        </w:rPr>
        <w:t> </w:t>
      </w:r>
      <w:r>
        <w:rPr>
          <w:color w:val="231F20"/>
        </w:rPr>
        <w:t>una hora de trabajo en chile reditúa apenas un 10.3% de la ganancia que esa misma hora redituaría si se invirtiese en el cultivo del nogal (Cuadro</w:t>
      </w:r>
      <w:r>
        <w:rPr>
          <w:color w:val="231F20"/>
          <w:spacing w:val="-3"/>
        </w:rPr>
        <w:t> </w:t>
      </w:r>
      <w:r>
        <w:rPr>
          <w:color w:val="231F20"/>
        </w:rPr>
        <w:t>3).</w:t>
      </w:r>
    </w:p>
    <w:p>
      <w:pPr>
        <w:pStyle w:val="BodyText"/>
        <w:spacing w:before="8"/>
        <w:rPr>
          <w:sz w:val="22"/>
        </w:rPr>
      </w:pPr>
    </w:p>
    <w:p>
      <w:pPr>
        <w:pStyle w:val="Heading3"/>
        <w:spacing w:before="1"/>
      </w:pPr>
      <w:r>
        <w:rPr>
          <w:color w:val="010202"/>
        </w:rPr>
        <w:t>Conclusiones</w:t>
      </w:r>
    </w:p>
    <w:p>
      <w:pPr>
        <w:pStyle w:val="BodyText"/>
        <w:spacing w:before="10"/>
        <w:rPr>
          <w:b/>
        </w:rPr>
      </w:pPr>
    </w:p>
    <w:p>
      <w:pPr>
        <w:pStyle w:val="BodyText"/>
        <w:spacing w:line="247" w:lineRule="auto"/>
        <w:ind w:left="1270" w:right="1268"/>
        <w:jc w:val="both"/>
      </w:pPr>
      <w:r>
        <w:rPr>
          <w:color w:val="231F20"/>
        </w:rPr>
        <w:t>Se determinó que el cultivo de Chile BT fue más eficiente que el Nogal BT, ya que, usando menos suelo, menos agua y menos capital que el Nogal BT, si bien generó menos empleo que éste, en pro- porción a la cantidad de recursos usados, el Chile BT genera más empleo que el Nogal BT.</w:t>
      </w:r>
    </w:p>
    <w:p>
      <w:pPr>
        <w:pStyle w:val="BodyText"/>
        <w:spacing w:before="8"/>
        <w:rPr>
          <w:sz w:val="22"/>
        </w:rPr>
      </w:pPr>
    </w:p>
    <w:p>
      <w:pPr>
        <w:pStyle w:val="Heading3"/>
      </w:pPr>
      <w:r>
        <w:rPr>
          <w:color w:val="010202"/>
        </w:rPr>
        <w:t>Literatura citada</w:t>
      </w:r>
    </w:p>
    <w:p>
      <w:pPr>
        <w:pStyle w:val="BodyText"/>
        <w:spacing w:before="7"/>
        <w:rPr>
          <w:b/>
        </w:rPr>
      </w:pPr>
    </w:p>
    <w:p>
      <w:pPr>
        <w:spacing w:before="0"/>
        <w:ind w:left="1270" w:right="0" w:firstLine="0"/>
        <w:jc w:val="both"/>
        <w:rPr>
          <w:sz w:val="19"/>
        </w:rPr>
      </w:pPr>
      <w:r>
        <w:rPr>
          <w:color w:val="231F20"/>
          <w:sz w:val="19"/>
        </w:rPr>
        <w:t>Astori D. 1984. Enfoque crítico de los modelos de contabilidad social. 5ª edición. Siglo veintiuno editores.</w:t>
      </w:r>
    </w:p>
    <w:p>
      <w:pPr>
        <w:spacing w:before="9"/>
        <w:ind w:left="1270" w:right="0" w:firstLine="0"/>
        <w:jc w:val="both"/>
        <w:rPr>
          <w:sz w:val="19"/>
        </w:rPr>
      </w:pPr>
      <w:r>
        <w:rPr>
          <w:color w:val="231F20"/>
          <w:sz w:val="19"/>
        </w:rPr>
        <w:t>México.</w:t>
      </w:r>
    </w:p>
    <w:p>
      <w:pPr>
        <w:pStyle w:val="BodyText"/>
        <w:spacing w:before="7"/>
        <w:rPr>
          <w:sz w:val="20"/>
        </w:rPr>
      </w:pPr>
    </w:p>
    <w:p>
      <w:pPr>
        <w:spacing w:line="249" w:lineRule="auto" w:before="0"/>
        <w:ind w:left="1270" w:right="1268" w:firstLine="0"/>
        <w:jc w:val="both"/>
        <w:rPr>
          <w:sz w:val="19"/>
        </w:rPr>
      </w:pPr>
      <w:r>
        <w:rPr>
          <w:color w:val="231F20"/>
          <w:sz w:val="19"/>
        </w:rPr>
        <w:t>FAO. 2002. Value of virtual water in food: Principles and virtues. Food and Agriculture Organization of the United </w:t>
      </w:r>
      <w:hyperlink r:id="rId80">
        <w:r>
          <w:rPr>
            <w:color w:val="231F20"/>
            <w:sz w:val="19"/>
          </w:rPr>
          <w:t>Nations.http://www</w:t>
        </w:r>
      </w:hyperlink>
      <w:r>
        <w:rPr>
          <w:color w:val="231F20"/>
          <w:sz w:val="19"/>
        </w:rPr>
        <w:t>.fao.or</w:t>
      </w:r>
      <w:hyperlink r:id="rId80">
        <w:r>
          <w:rPr>
            <w:color w:val="231F20"/>
            <w:sz w:val="19"/>
          </w:rPr>
          <w:t>g/nr/water/docs/VirtualWater.pdf</w:t>
        </w:r>
      </w:hyperlink>
    </w:p>
    <w:p>
      <w:pPr>
        <w:pStyle w:val="BodyText"/>
        <w:spacing w:before="10"/>
        <w:rPr>
          <w:sz w:val="19"/>
        </w:rPr>
      </w:pPr>
    </w:p>
    <w:p>
      <w:pPr>
        <w:spacing w:before="0"/>
        <w:ind w:left="1270" w:right="0" w:firstLine="0"/>
        <w:jc w:val="both"/>
        <w:rPr>
          <w:sz w:val="19"/>
        </w:rPr>
      </w:pPr>
      <w:r>
        <w:rPr>
          <w:color w:val="231F20"/>
          <w:sz w:val="19"/>
        </w:rPr>
        <w:t>Godínez-Montoya, L; J. A. García-Salazar; M. Fortis-Hernández; J. S. Mora-Flores; M. A. Martínez- Damián;</w:t>
      </w:r>
    </w:p>
    <w:p>
      <w:pPr>
        <w:spacing w:line="249" w:lineRule="auto" w:before="9"/>
        <w:ind w:left="1270" w:right="1268" w:firstLine="0"/>
        <w:jc w:val="both"/>
        <w:rPr>
          <w:sz w:val="19"/>
        </w:rPr>
      </w:pPr>
      <w:r>
        <w:rPr>
          <w:color w:val="231F20"/>
          <w:sz w:val="19"/>
        </w:rPr>
        <w:t>R.</w:t>
      </w:r>
      <w:r>
        <w:rPr>
          <w:color w:val="231F20"/>
          <w:spacing w:val="-12"/>
          <w:sz w:val="19"/>
        </w:rPr>
        <w:t> </w:t>
      </w:r>
      <w:r>
        <w:rPr>
          <w:color w:val="231F20"/>
          <w:sz w:val="19"/>
        </w:rPr>
        <w:t>Valdivia-Alcalá;</w:t>
      </w:r>
      <w:r>
        <w:rPr>
          <w:color w:val="231F20"/>
          <w:spacing w:val="-9"/>
          <w:sz w:val="19"/>
        </w:rPr>
        <w:t> </w:t>
      </w:r>
      <w:r>
        <w:rPr>
          <w:color w:val="231F20"/>
          <w:sz w:val="19"/>
        </w:rPr>
        <w:t>J.</w:t>
      </w:r>
      <w:r>
        <w:rPr>
          <w:color w:val="231F20"/>
          <w:spacing w:val="-8"/>
          <w:sz w:val="19"/>
        </w:rPr>
        <w:t> </w:t>
      </w:r>
      <w:r>
        <w:rPr>
          <w:color w:val="231F20"/>
          <w:sz w:val="19"/>
        </w:rPr>
        <w:t>Hernández-Martínez.</w:t>
      </w:r>
      <w:r>
        <w:rPr>
          <w:color w:val="231F20"/>
          <w:spacing w:val="-9"/>
          <w:sz w:val="19"/>
        </w:rPr>
        <w:t> </w:t>
      </w:r>
      <w:r>
        <w:rPr>
          <w:color w:val="231F20"/>
          <w:sz w:val="19"/>
        </w:rPr>
        <w:t>2007.</w:t>
      </w:r>
      <w:r>
        <w:rPr>
          <w:color w:val="231F20"/>
          <w:spacing w:val="-12"/>
          <w:sz w:val="19"/>
        </w:rPr>
        <w:t> </w:t>
      </w:r>
      <w:r>
        <w:rPr>
          <w:color w:val="231F20"/>
          <w:spacing w:val="-5"/>
          <w:sz w:val="19"/>
        </w:rPr>
        <w:t>Valor</w:t>
      </w:r>
      <w:r>
        <w:rPr>
          <w:color w:val="231F20"/>
          <w:spacing w:val="-8"/>
          <w:sz w:val="19"/>
        </w:rPr>
        <w:t> </w:t>
      </w:r>
      <w:r>
        <w:rPr>
          <w:color w:val="231F20"/>
          <w:sz w:val="19"/>
        </w:rPr>
        <w:t>económico</w:t>
      </w:r>
      <w:r>
        <w:rPr>
          <w:color w:val="231F20"/>
          <w:spacing w:val="-9"/>
          <w:sz w:val="19"/>
        </w:rPr>
        <w:t> </w:t>
      </w:r>
      <w:r>
        <w:rPr>
          <w:color w:val="231F20"/>
          <w:sz w:val="19"/>
        </w:rPr>
        <w:t>del</w:t>
      </w:r>
      <w:r>
        <w:rPr>
          <w:color w:val="231F20"/>
          <w:spacing w:val="-8"/>
          <w:sz w:val="19"/>
        </w:rPr>
        <w:t> </w:t>
      </w:r>
      <w:r>
        <w:rPr>
          <w:color w:val="231F20"/>
          <w:sz w:val="19"/>
        </w:rPr>
        <w:t>agua</w:t>
      </w:r>
      <w:r>
        <w:rPr>
          <w:color w:val="231F20"/>
          <w:spacing w:val="-8"/>
          <w:sz w:val="19"/>
        </w:rPr>
        <w:t> </w:t>
      </w:r>
      <w:r>
        <w:rPr>
          <w:color w:val="231F20"/>
          <w:sz w:val="19"/>
        </w:rPr>
        <w:t>en</w:t>
      </w:r>
      <w:r>
        <w:rPr>
          <w:color w:val="231F20"/>
          <w:spacing w:val="-8"/>
          <w:sz w:val="19"/>
        </w:rPr>
        <w:t> </w:t>
      </w:r>
      <w:r>
        <w:rPr>
          <w:color w:val="231F20"/>
          <w:sz w:val="19"/>
        </w:rPr>
        <w:t>el</w:t>
      </w:r>
      <w:r>
        <w:rPr>
          <w:color w:val="231F20"/>
          <w:spacing w:val="-8"/>
          <w:sz w:val="19"/>
        </w:rPr>
        <w:t> </w:t>
      </w:r>
      <w:r>
        <w:rPr>
          <w:color w:val="231F20"/>
          <w:sz w:val="19"/>
        </w:rPr>
        <w:t>sector</w:t>
      </w:r>
      <w:r>
        <w:rPr>
          <w:color w:val="231F20"/>
          <w:spacing w:val="-8"/>
          <w:sz w:val="19"/>
        </w:rPr>
        <w:t> </w:t>
      </w:r>
      <w:r>
        <w:rPr>
          <w:color w:val="231F20"/>
          <w:sz w:val="19"/>
        </w:rPr>
        <w:t>agrícola</w:t>
      </w:r>
      <w:r>
        <w:rPr>
          <w:color w:val="231F20"/>
          <w:spacing w:val="-9"/>
          <w:sz w:val="19"/>
        </w:rPr>
        <w:t> </w:t>
      </w:r>
      <w:r>
        <w:rPr>
          <w:color w:val="231F20"/>
          <w:sz w:val="19"/>
        </w:rPr>
        <w:t>de</w:t>
      </w:r>
      <w:r>
        <w:rPr>
          <w:color w:val="231F20"/>
          <w:spacing w:val="-8"/>
          <w:sz w:val="19"/>
        </w:rPr>
        <w:t> </w:t>
      </w:r>
      <w:r>
        <w:rPr>
          <w:color w:val="231F20"/>
          <w:sz w:val="19"/>
        </w:rPr>
        <w:t>La</w:t>
      </w:r>
      <w:r>
        <w:rPr>
          <w:color w:val="231F20"/>
          <w:spacing w:val="-8"/>
          <w:sz w:val="19"/>
        </w:rPr>
        <w:t> </w:t>
      </w:r>
      <w:r>
        <w:rPr>
          <w:color w:val="231F20"/>
          <w:sz w:val="19"/>
        </w:rPr>
        <w:t>Comar- ca Lagunera. TERRA Latinoamericana. 25 (1):</w:t>
      </w:r>
      <w:r>
        <w:rPr>
          <w:color w:val="231F20"/>
          <w:spacing w:val="-15"/>
          <w:sz w:val="19"/>
        </w:rPr>
        <w:t> </w:t>
      </w:r>
      <w:r>
        <w:rPr>
          <w:color w:val="231F20"/>
          <w:sz w:val="19"/>
        </w:rPr>
        <w:t>51-99.</w:t>
      </w:r>
    </w:p>
    <w:p>
      <w:pPr>
        <w:pStyle w:val="BodyText"/>
        <w:spacing w:before="10"/>
        <w:rPr>
          <w:sz w:val="19"/>
        </w:rPr>
      </w:pPr>
    </w:p>
    <w:p>
      <w:pPr>
        <w:spacing w:line="249" w:lineRule="auto" w:before="0"/>
        <w:ind w:left="1270" w:right="1268" w:firstLine="0"/>
        <w:jc w:val="both"/>
        <w:rPr>
          <w:sz w:val="19"/>
        </w:rPr>
      </w:pPr>
      <w:r>
        <w:rPr>
          <w:color w:val="231F20"/>
          <w:sz w:val="19"/>
        </w:rPr>
        <w:t>Montesillo-Cedillo, J. L., V. M. Palacio-Muñoz 2006. Artículo: Precio del agua para riego en México en un contexto de eficiencia social. Ingeniería hidráulica en México. 21 (4): 125-133.</w:t>
      </w:r>
    </w:p>
    <w:p>
      <w:pPr>
        <w:pStyle w:val="BodyText"/>
        <w:spacing w:before="10"/>
        <w:rPr>
          <w:sz w:val="19"/>
        </w:rPr>
      </w:pPr>
    </w:p>
    <w:p>
      <w:pPr>
        <w:spacing w:line="249" w:lineRule="auto" w:before="0"/>
        <w:ind w:left="1270" w:right="1268" w:firstLine="0"/>
        <w:jc w:val="both"/>
        <w:rPr>
          <w:sz w:val="19"/>
        </w:rPr>
      </w:pPr>
      <w:r>
        <w:rPr>
          <w:color w:val="231F20"/>
          <w:sz w:val="19"/>
        </w:rPr>
        <w:t>Pasquale</w:t>
      </w:r>
      <w:r>
        <w:rPr>
          <w:color w:val="231F20"/>
          <w:spacing w:val="-6"/>
          <w:sz w:val="19"/>
        </w:rPr>
        <w:t> </w:t>
      </w:r>
      <w:r>
        <w:rPr>
          <w:color w:val="231F20"/>
          <w:sz w:val="19"/>
        </w:rPr>
        <w:t>S;</w:t>
      </w:r>
      <w:r>
        <w:rPr>
          <w:color w:val="231F20"/>
          <w:spacing w:val="-9"/>
          <w:sz w:val="19"/>
        </w:rPr>
        <w:t> </w:t>
      </w:r>
      <w:r>
        <w:rPr>
          <w:color w:val="231F20"/>
          <w:spacing w:val="-8"/>
          <w:sz w:val="19"/>
        </w:rPr>
        <w:t>T.</w:t>
      </w:r>
      <w:r>
        <w:rPr>
          <w:color w:val="231F20"/>
          <w:spacing w:val="-6"/>
          <w:sz w:val="19"/>
        </w:rPr>
        <w:t> </w:t>
      </w:r>
      <w:r>
        <w:rPr>
          <w:color w:val="231F20"/>
          <w:sz w:val="19"/>
        </w:rPr>
        <w:t>C.</w:t>
      </w:r>
      <w:r>
        <w:rPr>
          <w:color w:val="231F20"/>
          <w:spacing w:val="-6"/>
          <w:sz w:val="19"/>
        </w:rPr>
        <w:t> </w:t>
      </w:r>
      <w:r>
        <w:rPr>
          <w:color w:val="231F20"/>
          <w:sz w:val="19"/>
        </w:rPr>
        <w:t>Hsiao;</w:t>
      </w:r>
      <w:r>
        <w:rPr>
          <w:color w:val="231F20"/>
          <w:spacing w:val="-6"/>
          <w:sz w:val="19"/>
        </w:rPr>
        <w:t> </w:t>
      </w:r>
      <w:r>
        <w:rPr>
          <w:color w:val="231F20"/>
          <w:sz w:val="19"/>
        </w:rPr>
        <w:t>y</w:t>
      </w:r>
      <w:r>
        <w:rPr>
          <w:color w:val="231F20"/>
          <w:spacing w:val="-6"/>
          <w:sz w:val="19"/>
        </w:rPr>
        <w:t> </w:t>
      </w:r>
      <w:r>
        <w:rPr>
          <w:color w:val="231F20"/>
          <w:sz w:val="19"/>
        </w:rPr>
        <w:t>E.</w:t>
      </w:r>
      <w:r>
        <w:rPr>
          <w:color w:val="231F20"/>
          <w:spacing w:val="-6"/>
          <w:sz w:val="19"/>
        </w:rPr>
        <w:t> </w:t>
      </w:r>
      <w:r>
        <w:rPr>
          <w:color w:val="231F20"/>
          <w:sz w:val="19"/>
        </w:rPr>
        <w:t>Fereres.</w:t>
      </w:r>
      <w:r>
        <w:rPr>
          <w:color w:val="231F20"/>
          <w:spacing w:val="-6"/>
          <w:sz w:val="19"/>
        </w:rPr>
        <w:t> </w:t>
      </w:r>
      <w:r>
        <w:rPr>
          <w:color w:val="231F20"/>
          <w:sz w:val="19"/>
        </w:rPr>
        <w:t>2007.</w:t>
      </w:r>
      <w:r>
        <w:rPr>
          <w:color w:val="231F20"/>
          <w:spacing w:val="-6"/>
          <w:sz w:val="19"/>
        </w:rPr>
        <w:t> </w:t>
      </w:r>
      <w:r>
        <w:rPr>
          <w:color w:val="231F20"/>
          <w:sz w:val="19"/>
        </w:rPr>
        <w:t>On</w:t>
      </w:r>
      <w:r>
        <w:rPr>
          <w:color w:val="231F20"/>
          <w:spacing w:val="-6"/>
          <w:sz w:val="19"/>
        </w:rPr>
        <w:t> </w:t>
      </w:r>
      <w:r>
        <w:rPr>
          <w:color w:val="231F20"/>
          <w:sz w:val="19"/>
        </w:rPr>
        <w:t>the</w:t>
      </w:r>
      <w:r>
        <w:rPr>
          <w:color w:val="231F20"/>
          <w:spacing w:val="-6"/>
          <w:sz w:val="19"/>
        </w:rPr>
        <w:t> </w:t>
      </w:r>
      <w:r>
        <w:rPr>
          <w:color w:val="231F20"/>
          <w:sz w:val="19"/>
        </w:rPr>
        <w:t>conservative</w:t>
      </w:r>
      <w:r>
        <w:rPr>
          <w:color w:val="231F20"/>
          <w:spacing w:val="-6"/>
          <w:sz w:val="19"/>
        </w:rPr>
        <w:t> </w:t>
      </w:r>
      <w:r>
        <w:rPr>
          <w:color w:val="231F20"/>
          <w:sz w:val="19"/>
        </w:rPr>
        <w:t>behavior</w:t>
      </w:r>
      <w:r>
        <w:rPr>
          <w:color w:val="231F20"/>
          <w:spacing w:val="-6"/>
          <w:sz w:val="19"/>
        </w:rPr>
        <w:t> </w:t>
      </w:r>
      <w:r>
        <w:rPr>
          <w:color w:val="231F20"/>
          <w:sz w:val="19"/>
        </w:rPr>
        <w:t>of</w:t>
      </w:r>
      <w:r>
        <w:rPr>
          <w:color w:val="231F20"/>
          <w:spacing w:val="-6"/>
          <w:sz w:val="19"/>
        </w:rPr>
        <w:t> </w:t>
      </w:r>
      <w:r>
        <w:rPr>
          <w:color w:val="231F20"/>
          <w:sz w:val="19"/>
        </w:rPr>
        <w:t>biomass</w:t>
      </w:r>
      <w:r>
        <w:rPr>
          <w:color w:val="231F20"/>
          <w:spacing w:val="-6"/>
          <w:sz w:val="19"/>
        </w:rPr>
        <w:t> </w:t>
      </w:r>
      <w:r>
        <w:rPr>
          <w:color w:val="231F20"/>
          <w:sz w:val="19"/>
        </w:rPr>
        <w:t>water</w:t>
      </w:r>
      <w:r>
        <w:rPr>
          <w:color w:val="231F20"/>
          <w:spacing w:val="-6"/>
          <w:sz w:val="19"/>
        </w:rPr>
        <w:t> </w:t>
      </w:r>
      <w:r>
        <w:rPr>
          <w:color w:val="231F20"/>
          <w:sz w:val="19"/>
        </w:rPr>
        <w:t>productivity.</w:t>
      </w:r>
      <w:r>
        <w:rPr>
          <w:color w:val="231F20"/>
          <w:spacing w:val="-9"/>
          <w:sz w:val="19"/>
        </w:rPr>
        <w:t> </w:t>
      </w:r>
      <w:r>
        <w:rPr>
          <w:color w:val="231F20"/>
          <w:spacing w:val="-4"/>
          <w:sz w:val="19"/>
        </w:rPr>
        <w:t>Water </w:t>
      </w:r>
      <w:r>
        <w:rPr>
          <w:color w:val="231F20"/>
          <w:sz w:val="19"/>
        </w:rPr>
        <w:t>productivity: Science and Practice. Irrig Sci 25:189–207. doi:10.1007/s00271-007-0064-1.</w:t>
      </w:r>
    </w:p>
    <w:p>
      <w:pPr>
        <w:pStyle w:val="BodyText"/>
        <w:spacing w:before="10"/>
        <w:rPr>
          <w:sz w:val="19"/>
        </w:rPr>
      </w:pPr>
    </w:p>
    <w:p>
      <w:pPr>
        <w:spacing w:line="249" w:lineRule="auto" w:before="0"/>
        <w:ind w:left="1270" w:right="1268" w:firstLine="0"/>
        <w:jc w:val="both"/>
        <w:rPr>
          <w:sz w:val="19"/>
        </w:rPr>
      </w:pPr>
      <w:r>
        <w:rPr>
          <w:color w:val="231F20"/>
          <w:sz w:val="19"/>
        </w:rPr>
        <w:t>SAGARPA. 1990-2009. Anuarios Estadísticos de la Producción Agropecuaria. Región Lagunera Coahuila- Durango, Cd. Lerdo, Dgo., México.</w:t>
      </w:r>
    </w:p>
    <w:p>
      <w:pPr>
        <w:pStyle w:val="BodyText"/>
        <w:spacing w:before="10"/>
        <w:rPr>
          <w:sz w:val="19"/>
        </w:rPr>
      </w:pPr>
    </w:p>
    <w:p>
      <w:pPr>
        <w:spacing w:line="273" w:lineRule="auto" w:before="0"/>
        <w:ind w:left="1270" w:right="1268" w:firstLine="0"/>
        <w:jc w:val="both"/>
        <w:rPr>
          <w:sz w:val="19"/>
        </w:rPr>
      </w:pPr>
      <w:r>
        <w:rPr>
          <w:color w:val="231F20"/>
          <w:sz w:val="19"/>
        </w:rPr>
        <w:t>Kijne, J.W., R. Barker and D. Molden, 2003. Water Productivity in Agriculture: Limits and Opportunity for Improvement. CABI, Cambridge, UK., ISBN: 0 85199 669 8.</w:t>
      </w:r>
    </w:p>
    <w:p>
      <w:pPr>
        <w:spacing w:after="0" w:line="273" w:lineRule="auto"/>
        <w:jc w:val="both"/>
        <w:rPr>
          <w:sz w:val="19"/>
        </w:rPr>
        <w:sectPr>
          <w:pgSz w:w="10920" w:h="13080"/>
          <w:pgMar w:header="0" w:footer="1025" w:top="420" w:bottom="1220" w:left="0" w:right="0"/>
        </w:sectPr>
      </w:pPr>
    </w:p>
    <w:p>
      <w:pPr>
        <w:pStyle w:val="BodyText"/>
        <w:rPr>
          <w:sz w:val="20"/>
        </w:rPr>
      </w:pPr>
    </w:p>
    <w:p>
      <w:pPr>
        <w:pStyle w:val="BodyText"/>
        <w:rPr>
          <w:sz w:val="20"/>
        </w:rPr>
      </w:pPr>
    </w:p>
    <w:p>
      <w:pPr>
        <w:pStyle w:val="BodyText"/>
        <w:spacing w:before="6"/>
        <w:rPr>
          <w:sz w:val="23"/>
        </w:rPr>
      </w:pPr>
    </w:p>
    <w:p>
      <w:pPr>
        <w:spacing w:before="69"/>
        <w:ind w:left="1489" w:right="1489" w:firstLine="0"/>
        <w:jc w:val="center"/>
        <w:rPr>
          <w:rFonts w:ascii="Trebuchet MS" w:hAnsi="Trebuchet MS"/>
          <w:i/>
          <w:sz w:val="14"/>
        </w:rPr>
      </w:pPr>
      <w:r>
        <w:rPr>
          <w:rFonts w:ascii="Trebuchet MS" w:hAnsi="Trebuchet MS"/>
          <w:i/>
          <w:color w:val="010202"/>
          <w:sz w:val="24"/>
        </w:rPr>
        <w:t>Rogelio Álvarez Hernández</w:t>
      </w:r>
      <w:r>
        <w:rPr>
          <w:rFonts w:ascii="Trebuchet MS" w:hAnsi="Trebuchet MS"/>
          <w:i/>
          <w:color w:val="010202"/>
          <w:position w:val="8"/>
          <w:sz w:val="14"/>
        </w:rPr>
        <w:t>1  </w:t>
      </w:r>
      <w:r>
        <w:rPr>
          <w:rFonts w:ascii="Trebuchet MS" w:hAnsi="Trebuchet MS"/>
          <w:i/>
          <w:color w:val="010202"/>
          <w:sz w:val="24"/>
        </w:rPr>
        <w:t>y José Cruz Salazar Torres</w:t>
      </w:r>
      <w:r>
        <w:rPr>
          <w:rFonts w:ascii="Trebuchet MS" w:hAnsi="Trebuchet MS"/>
          <w:i/>
          <w:color w:val="010202"/>
          <w:position w:val="8"/>
          <w:sz w:val="14"/>
        </w:rPr>
        <w:t>1</w:t>
      </w: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spacing w:before="3"/>
        <w:rPr>
          <w:rFonts w:ascii="Trebuchet MS"/>
          <w:i/>
          <w:sz w:val="32"/>
        </w:rPr>
      </w:pPr>
    </w:p>
    <w:p>
      <w:pPr>
        <w:spacing w:line="247" w:lineRule="auto" w:before="0"/>
        <w:ind w:left="1505" w:right="1489" w:firstLine="0"/>
        <w:jc w:val="center"/>
        <w:rPr>
          <w:rFonts w:ascii="Trebuchet MS" w:hAnsi="Trebuchet MS"/>
          <w:b/>
          <w:sz w:val="36"/>
        </w:rPr>
      </w:pPr>
      <w:r>
        <w:rPr>
          <w:rFonts w:ascii="Trebuchet MS" w:hAnsi="Trebuchet MS"/>
          <w:b/>
          <w:color w:val="010202"/>
          <w:sz w:val="36"/>
        </w:rPr>
        <w:t>IDENTIFICACIÓN Y DISTRIBUCIÓN POBLACIONAL DE PLANTAS NODRIZAS ASOCIADAS</w:t>
      </w:r>
    </w:p>
    <w:p>
      <w:pPr>
        <w:spacing w:line="247" w:lineRule="auto" w:before="1"/>
        <w:ind w:left="2024" w:right="2021" w:firstLine="0"/>
        <w:jc w:val="center"/>
        <w:rPr>
          <w:rFonts w:ascii="Trebuchet MS" w:hAnsi="Trebuchet MS"/>
          <w:b/>
          <w:sz w:val="36"/>
        </w:rPr>
      </w:pPr>
      <w:r>
        <w:rPr>
          <w:rFonts w:ascii="Trebuchet MS" w:hAnsi="Trebuchet MS"/>
          <w:b/>
          <w:color w:val="010202"/>
          <w:sz w:val="36"/>
        </w:rPr>
        <w:t>A </w:t>
      </w:r>
      <w:r>
        <w:rPr>
          <w:rFonts w:ascii="Trebuchet MS" w:hAnsi="Trebuchet MS"/>
          <w:b/>
          <w:i/>
          <w:color w:val="010202"/>
          <w:sz w:val="36"/>
        </w:rPr>
        <w:t>Coryphantha glassii </w:t>
      </w:r>
      <w:r>
        <w:rPr>
          <w:rFonts w:ascii="Trebuchet MS" w:hAnsi="Trebuchet MS"/>
          <w:b/>
          <w:color w:val="010202"/>
          <w:sz w:val="36"/>
        </w:rPr>
        <w:t>Dicht &amp; A.</w:t>
      </w:r>
      <w:r>
        <w:rPr>
          <w:rFonts w:ascii="Trebuchet MS" w:hAnsi="Trebuchet MS"/>
          <w:b/>
          <w:color w:val="010202"/>
          <w:spacing w:val="-53"/>
          <w:sz w:val="36"/>
        </w:rPr>
        <w:t> </w:t>
      </w:r>
      <w:r>
        <w:rPr>
          <w:rFonts w:ascii="Trebuchet MS" w:hAnsi="Trebuchet MS"/>
          <w:b/>
          <w:color w:val="010202"/>
          <w:sz w:val="36"/>
        </w:rPr>
        <w:t>Lüthy EN EL SURESTE DE RIOVERDE, S. L.</w:t>
      </w:r>
      <w:r>
        <w:rPr>
          <w:rFonts w:ascii="Trebuchet MS" w:hAnsi="Trebuchet MS"/>
          <w:b/>
          <w:color w:val="010202"/>
          <w:spacing w:val="-24"/>
          <w:sz w:val="36"/>
        </w:rPr>
        <w:t> P.</w:t>
      </w:r>
    </w:p>
    <w:p>
      <w:pPr>
        <w:pStyle w:val="BodyText"/>
        <w:rPr>
          <w:rFonts w:ascii="Trebuchet MS"/>
          <w:b/>
          <w:sz w:val="36"/>
        </w:rPr>
      </w:pPr>
    </w:p>
    <w:p>
      <w:pPr>
        <w:pStyle w:val="BodyText"/>
        <w:rPr>
          <w:rFonts w:ascii="Trebuchet MS"/>
          <w:b/>
          <w:sz w:val="36"/>
        </w:rPr>
      </w:pPr>
    </w:p>
    <w:p>
      <w:pPr>
        <w:pStyle w:val="BodyText"/>
        <w:rPr>
          <w:rFonts w:ascii="Trebuchet MS"/>
          <w:b/>
          <w:sz w:val="36"/>
        </w:rPr>
      </w:pPr>
    </w:p>
    <w:p>
      <w:pPr>
        <w:pStyle w:val="Heading3"/>
        <w:spacing w:before="217"/>
      </w:pPr>
      <w:r>
        <w:rPr>
          <w:color w:val="010202"/>
        </w:rPr>
        <w:t>Introducción</w:t>
      </w:r>
    </w:p>
    <w:p>
      <w:pPr>
        <w:pStyle w:val="BodyText"/>
        <w:spacing w:before="10"/>
        <w:rPr>
          <w:b/>
        </w:rPr>
      </w:pPr>
    </w:p>
    <w:p>
      <w:pPr>
        <w:pStyle w:val="BodyText"/>
        <w:spacing w:line="247" w:lineRule="auto"/>
        <w:ind w:left="1270" w:right="1267"/>
        <w:jc w:val="both"/>
      </w:pPr>
      <w:r>
        <w:rPr>
          <w:color w:val="231F20"/>
        </w:rPr>
        <w:t>En México de acuerdo con Moreno (2001), los recursos naturales están sujetos a un proceso con- tinuo de deterioro, que ha ocasionado la pérdida de especies o su clasificación dentro de algunas   de las categorías de riesgo establecidas en la NOM-059-SEMARNAT-2001, principalmente por la modificación de su hábitat natural. Es el caso de </w:t>
      </w:r>
      <w:r>
        <w:rPr>
          <w:i/>
          <w:color w:val="231F20"/>
        </w:rPr>
        <w:t>Coryphantha glassii </w:t>
      </w:r>
      <w:r>
        <w:rPr>
          <w:color w:val="231F20"/>
        </w:rPr>
        <w:t>Dicht &amp; A. </w:t>
      </w:r>
      <w:r>
        <w:rPr>
          <w:color w:val="231F20"/>
          <w:spacing w:val="-3"/>
        </w:rPr>
        <w:t>Lüthy, </w:t>
      </w:r>
      <w:r>
        <w:rPr>
          <w:color w:val="231F20"/>
        </w:rPr>
        <w:t>una cac- tácea microendémica, con baja densidad de población, que se encuentra sujeta a saqueo constante por tener características atractivas para uso ornamental; está en la categoría de amenazada según Sarabia (2007), lo que indica que su población podría encontrarse en riesgo de desaparecer en el corto, mediano o largo plazo, sí siguen operando los factores ambiéntales y antropocéntricos que afectan</w:t>
      </w:r>
      <w:r>
        <w:rPr>
          <w:color w:val="231F20"/>
          <w:spacing w:val="-8"/>
        </w:rPr>
        <w:t> </w:t>
      </w:r>
      <w:r>
        <w:rPr>
          <w:color w:val="231F20"/>
        </w:rPr>
        <w:t>negativamente</w:t>
      </w:r>
      <w:r>
        <w:rPr>
          <w:color w:val="231F20"/>
          <w:spacing w:val="-7"/>
        </w:rPr>
        <w:t> </w:t>
      </w:r>
      <w:r>
        <w:rPr>
          <w:color w:val="231F20"/>
        </w:rPr>
        <w:t>su</w:t>
      </w:r>
      <w:r>
        <w:rPr>
          <w:color w:val="231F20"/>
          <w:spacing w:val="-7"/>
        </w:rPr>
        <w:t> </w:t>
      </w:r>
      <w:r>
        <w:rPr>
          <w:color w:val="231F20"/>
        </w:rPr>
        <w:t>desarrollo</w:t>
      </w:r>
      <w:r>
        <w:rPr>
          <w:color w:val="231F20"/>
          <w:spacing w:val="-7"/>
        </w:rPr>
        <w:t> </w:t>
      </w:r>
      <w:r>
        <w:rPr>
          <w:color w:val="231F20"/>
        </w:rPr>
        <w:t>poblacional.</w:t>
      </w:r>
      <w:r>
        <w:rPr>
          <w:color w:val="231F20"/>
          <w:spacing w:val="-7"/>
        </w:rPr>
        <w:t> </w:t>
      </w:r>
      <w:r>
        <w:rPr>
          <w:color w:val="231F20"/>
        </w:rPr>
        <w:t>Para</w:t>
      </w:r>
      <w:r>
        <w:rPr>
          <w:color w:val="231F20"/>
          <w:spacing w:val="-7"/>
        </w:rPr>
        <w:t> </w:t>
      </w:r>
      <w:r>
        <w:rPr>
          <w:color w:val="231F20"/>
        </w:rPr>
        <w:t>garantizar</w:t>
      </w:r>
      <w:r>
        <w:rPr>
          <w:color w:val="231F20"/>
          <w:spacing w:val="-7"/>
        </w:rPr>
        <w:t> </w:t>
      </w:r>
      <w:r>
        <w:rPr>
          <w:color w:val="231F20"/>
        </w:rPr>
        <w:t>su</w:t>
      </w:r>
      <w:r>
        <w:rPr>
          <w:color w:val="231F20"/>
          <w:spacing w:val="-7"/>
        </w:rPr>
        <w:t> </w:t>
      </w:r>
      <w:r>
        <w:rPr>
          <w:color w:val="231F20"/>
        </w:rPr>
        <w:t>conservación</w:t>
      </w:r>
      <w:r>
        <w:rPr>
          <w:color w:val="231F20"/>
          <w:spacing w:val="-8"/>
        </w:rPr>
        <w:t> </w:t>
      </w:r>
      <w:r>
        <w:rPr>
          <w:color w:val="231F20"/>
        </w:rPr>
        <w:t>es</w:t>
      </w:r>
      <w:r>
        <w:rPr>
          <w:color w:val="231F20"/>
          <w:spacing w:val="-7"/>
        </w:rPr>
        <w:t> </w:t>
      </w:r>
      <w:r>
        <w:rPr>
          <w:color w:val="231F20"/>
        </w:rPr>
        <w:t>necesario</w:t>
      </w:r>
      <w:r>
        <w:rPr>
          <w:color w:val="231F20"/>
          <w:spacing w:val="-7"/>
        </w:rPr>
        <w:t> </w:t>
      </w:r>
      <w:r>
        <w:rPr>
          <w:color w:val="231F20"/>
        </w:rPr>
        <w:t>reunir la mayor cantidad de información de la especie para encaminar acciones hacia su manejo optimo, por tal razón la presente investigación tiene por objetivos (1) Describir la distribución poblacional de las plantas nodrizas asociadas a </w:t>
      </w:r>
      <w:r>
        <w:rPr>
          <w:i/>
          <w:color w:val="231F20"/>
        </w:rPr>
        <w:t>Coryphantha glassii </w:t>
      </w:r>
      <w:r>
        <w:rPr>
          <w:color w:val="231F20"/>
        </w:rPr>
        <w:t>Dicht &amp; A. Lüthy del Ejido de San José del </w:t>
      </w:r>
      <w:r>
        <w:rPr>
          <w:color w:val="231F20"/>
          <w:spacing w:val="-3"/>
        </w:rPr>
        <w:t>Tapanco </w:t>
      </w:r>
      <w:r>
        <w:rPr>
          <w:color w:val="231F20"/>
        </w:rPr>
        <w:t>municipio de Rioverde, San Luis Potosí y (2) Identificar las especies de plantas nodrizas asociadas a </w:t>
      </w:r>
      <w:r>
        <w:rPr>
          <w:i/>
          <w:color w:val="231F20"/>
        </w:rPr>
        <w:t>Coryphantha</w:t>
      </w:r>
      <w:r>
        <w:rPr>
          <w:i/>
          <w:color w:val="231F20"/>
          <w:spacing w:val="-2"/>
        </w:rPr>
        <w:t> </w:t>
      </w:r>
      <w:r>
        <w:rPr>
          <w:i/>
          <w:color w:val="231F20"/>
        </w:rPr>
        <w:t>glassii</w:t>
      </w:r>
      <w:r>
        <w:rPr>
          <w:color w:val="231F20"/>
        </w:rPr>
        <w:t>.</w:t>
      </w:r>
    </w:p>
    <w:p>
      <w:pPr>
        <w:pStyle w:val="BodyText"/>
        <w:rPr>
          <w:sz w:val="20"/>
        </w:rPr>
      </w:pPr>
    </w:p>
    <w:p>
      <w:pPr>
        <w:pStyle w:val="BodyText"/>
        <w:spacing w:before="7"/>
        <w:rPr>
          <w:sz w:val="22"/>
        </w:rPr>
      </w:pPr>
    </w:p>
    <w:p>
      <w:pPr>
        <w:spacing w:line="247" w:lineRule="auto" w:before="0"/>
        <w:ind w:left="1590" w:right="1232" w:firstLine="0"/>
        <w:jc w:val="left"/>
        <w:rPr>
          <w:rFonts w:ascii="Trebuchet MS" w:hAnsi="Trebuchet MS"/>
          <w:sz w:val="16"/>
        </w:rPr>
      </w:pPr>
      <w:r>
        <w:rPr>
          <w:rFonts w:ascii="Trebuchet MS" w:hAnsi="Trebuchet MS"/>
          <w:color w:val="231F20"/>
          <w:position w:val="5"/>
          <w:sz w:val="9"/>
        </w:rPr>
        <w:t>1</w:t>
      </w:r>
      <w:r>
        <w:rPr>
          <w:rFonts w:ascii="Trebuchet MS" w:hAnsi="Trebuchet MS"/>
          <w:color w:val="231F20"/>
          <w:sz w:val="16"/>
        </w:rPr>
        <w:t>Profesor Investigador. Universidad Autónoma Chapingo, Chapingo, México. Km 38.5. Carretera México-Texcoco, Chapingo, Estado de México. 56230. roger_owl_uach@yahoo.com.mx; </w:t>
      </w:r>
      <w:hyperlink r:id="rId81">
        <w:r>
          <w:rPr>
            <w:rFonts w:ascii="Trebuchet MS" w:hAnsi="Trebuchet MS"/>
            <w:color w:val="231F20"/>
            <w:sz w:val="16"/>
          </w:rPr>
          <w:t>jocusamx@yahoo.com.</w:t>
        </w:r>
      </w:hyperlink>
    </w:p>
    <w:p>
      <w:pPr>
        <w:spacing w:after="0" w:line="247" w:lineRule="auto"/>
        <w:jc w:val="left"/>
        <w:rPr>
          <w:rFonts w:ascii="Trebuchet MS" w:hAnsi="Trebuchet MS"/>
          <w:sz w:val="16"/>
        </w:rPr>
        <w:sectPr>
          <w:pgSz w:w="10920" w:h="13080"/>
          <w:pgMar w:header="0" w:footer="1025" w:top="420" w:bottom="1220" w:left="0" w:right="0"/>
        </w:sectPr>
      </w:pPr>
    </w:p>
    <w:p>
      <w:pPr>
        <w:pStyle w:val="BodyText"/>
        <w:rPr>
          <w:rFonts w:ascii="Trebuchet MS"/>
          <w:sz w:val="20"/>
        </w:rPr>
      </w:pPr>
    </w:p>
    <w:p>
      <w:pPr>
        <w:pStyle w:val="BodyText"/>
        <w:rPr>
          <w:rFonts w:ascii="Trebuchet MS"/>
          <w:sz w:val="20"/>
        </w:rPr>
      </w:pPr>
    </w:p>
    <w:p>
      <w:pPr>
        <w:pStyle w:val="BodyText"/>
        <w:spacing w:before="9"/>
        <w:rPr>
          <w:rFonts w:ascii="Trebuchet MS"/>
        </w:rPr>
      </w:pPr>
    </w:p>
    <w:p>
      <w:pPr>
        <w:pStyle w:val="Heading3"/>
        <w:spacing w:before="69"/>
      </w:pPr>
      <w:r>
        <w:rPr>
          <w:color w:val="010202"/>
        </w:rPr>
        <w:t>Materiales y métodos</w:t>
      </w:r>
    </w:p>
    <w:p>
      <w:pPr>
        <w:pStyle w:val="BodyText"/>
        <w:spacing w:before="10"/>
        <w:rPr>
          <w:b/>
        </w:rPr>
      </w:pPr>
    </w:p>
    <w:p>
      <w:pPr>
        <w:pStyle w:val="BodyText"/>
        <w:spacing w:line="247" w:lineRule="auto"/>
        <w:ind w:left="1270" w:right="1268"/>
        <w:jc w:val="both"/>
      </w:pPr>
      <w:r>
        <w:rPr>
          <w:color w:val="231F20"/>
        </w:rPr>
        <w:t>El</w:t>
      </w:r>
      <w:r>
        <w:rPr>
          <w:color w:val="231F20"/>
          <w:spacing w:val="-5"/>
        </w:rPr>
        <w:t> </w:t>
      </w:r>
      <w:r>
        <w:rPr>
          <w:color w:val="231F20"/>
        </w:rPr>
        <w:t>presente</w:t>
      </w:r>
      <w:r>
        <w:rPr>
          <w:color w:val="231F20"/>
          <w:spacing w:val="-5"/>
        </w:rPr>
        <w:t> </w:t>
      </w:r>
      <w:r>
        <w:rPr>
          <w:color w:val="231F20"/>
        </w:rPr>
        <w:t>trabajo</w:t>
      </w:r>
      <w:r>
        <w:rPr>
          <w:color w:val="231F20"/>
          <w:spacing w:val="-5"/>
        </w:rPr>
        <w:t> </w:t>
      </w:r>
      <w:r>
        <w:rPr>
          <w:color w:val="231F20"/>
        </w:rPr>
        <w:t>se</w:t>
      </w:r>
      <w:r>
        <w:rPr>
          <w:color w:val="231F20"/>
          <w:spacing w:val="-5"/>
        </w:rPr>
        <w:t> </w:t>
      </w:r>
      <w:r>
        <w:rPr>
          <w:color w:val="231F20"/>
        </w:rPr>
        <w:t>realizó</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área</w:t>
      </w:r>
      <w:r>
        <w:rPr>
          <w:color w:val="231F20"/>
          <w:spacing w:val="-5"/>
        </w:rPr>
        <w:t> </w:t>
      </w:r>
      <w:r>
        <w:rPr>
          <w:color w:val="231F20"/>
        </w:rPr>
        <w:t>adyacente</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zona</w:t>
      </w:r>
      <w:r>
        <w:rPr>
          <w:color w:val="231F20"/>
          <w:spacing w:val="-5"/>
        </w:rPr>
        <w:t> </w:t>
      </w:r>
      <w:r>
        <w:rPr>
          <w:color w:val="231F20"/>
        </w:rPr>
        <w:t>agrícola</w:t>
      </w:r>
      <w:r>
        <w:rPr>
          <w:color w:val="231F20"/>
          <w:spacing w:val="-5"/>
        </w:rPr>
        <w:t> </w:t>
      </w:r>
      <w:r>
        <w:rPr>
          <w:color w:val="231F20"/>
        </w:rPr>
        <w:t>del</w:t>
      </w:r>
      <w:r>
        <w:rPr>
          <w:color w:val="231F20"/>
          <w:spacing w:val="-5"/>
        </w:rPr>
        <w:t> </w:t>
      </w:r>
      <w:r>
        <w:rPr>
          <w:color w:val="231F20"/>
        </w:rPr>
        <w:t>Ejido</w:t>
      </w:r>
      <w:r>
        <w:rPr>
          <w:color w:val="231F20"/>
          <w:spacing w:val="-5"/>
        </w:rPr>
        <w:t> </w:t>
      </w:r>
      <w:r>
        <w:rPr>
          <w:color w:val="231F20"/>
        </w:rPr>
        <w:t>San</w:t>
      </w:r>
      <w:r>
        <w:rPr>
          <w:color w:val="231F20"/>
          <w:spacing w:val="-4"/>
        </w:rPr>
        <w:t> </w:t>
      </w:r>
      <w:r>
        <w:rPr>
          <w:color w:val="231F20"/>
        </w:rPr>
        <w:t>José</w:t>
      </w:r>
      <w:r>
        <w:rPr>
          <w:color w:val="231F20"/>
          <w:spacing w:val="-4"/>
        </w:rPr>
        <w:t> </w:t>
      </w:r>
      <w:r>
        <w:rPr>
          <w:color w:val="231F20"/>
        </w:rPr>
        <w:t>del</w:t>
      </w:r>
      <w:r>
        <w:rPr>
          <w:color w:val="231F20"/>
          <w:spacing w:val="-8"/>
        </w:rPr>
        <w:t> </w:t>
      </w:r>
      <w:r>
        <w:rPr>
          <w:color w:val="231F20"/>
        </w:rPr>
        <w:t>Tapanco, municipio de Rioverde, San Luis Potosí, el cual se ubica al sureste de la cabecera municipal a una distancia de 18 km, dentro de las coordenadas 21o 46’ de latitud Norte y 99o 55’ de longitud Oeste (INEGI, 2000), situando como punto de referencia al centro de dichas coordenadas la comunidad del Ejido San José del </w:t>
      </w:r>
      <w:r>
        <w:rPr>
          <w:color w:val="231F20"/>
          <w:spacing w:val="-3"/>
        </w:rPr>
        <w:t>Tapanco </w:t>
      </w:r>
      <w:r>
        <w:rPr>
          <w:color w:val="231F20"/>
        </w:rPr>
        <w:t>la cual tiene una altitud de 980 m. El clima predominante es seco semicálido (BS1hw); su temperatura media anual varía de 18 a 22 ºC y su precipitación anual</w:t>
      </w:r>
      <w:r>
        <w:rPr>
          <w:color w:val="231F20"/>
          <w:spacing w:val="-18"/>
        </w:rPr>
        <w:t> </w:t>
      </w:r>
      <w:r>
        <w:rPr>
          <w:color w:val="231F20"/>
        </w:rPr>
        <w:t>oscila entre los 495 y los 650 mm; septiembre es el mes que presenta mayor precipitación con 148 mm,</w:t>
      </w:r>
      <w:r>
        <w:rPr>
          <w:color w:val="231F20"/>
          <w:spacing w:val="-17"/>
        </w:rPr>
        <w:t> </w:t>
      </w:r>
      <w:r>
        <w:rPr>
          <w:color w:val="231F20"/>
        </w:rPr>
        <w:t>en contraste con febrero donde únicamente precipitan 4.7 mm (INEGI, 2000); la vegetación</w:t>
      </w:r>
      <w:r>
        <w:rPr>
          <w:color w:val="231F20"/>
          <w:spacing w:val="-23"/>
        </w:rPr>
        <w:t> </w:t>
      </w:r>
      <w:r>
        <w:rPr>
          <w:color w:val="231F20"/>
        </w:rPr>
        <w:t>dominante en los lomeríos es el matorral submontano, el cual se caracteriza por la predominancia de arbustos altos o arboles caducifolios de 3 a 5 m de altura, mientras que en el valle se desarrolla la agricultura (Rzedowski, 1978; INEGI, 1997). Este trabajo se realizó en dos etapas, una fase de campo y otra de laboratorio. En la etapa de campo se realizó un muestreo en cuatro sitios aledaños a la comunidad, </w:t>
      </w:r>
      <w:r>
        <w:rPr>
          <w:color w:val="231F20"/>
          <w:spacing w:val="-4"/>
        </w:rPr>
        <w:t>(Valle </w:t>
      </w:r>
      <w:r>
        <w:rPr>
          <w:color w:val="231F20"/>
        </w:rPr>
        <w:t>Florido,</w:t>
      </w:r>
      <w:r>
        <w:rPr>
          <w:color w:val="231F20"/>
          <w:spacing w:val="-4"/>
        </w:rPr>
        <w:t> </w:t>
      </w:r>
      <w:r>
        <w:rPr>
          <w:color w:val="231F20"/>
        </w:rPr>
        <w:t>Las</w:t>
      </w:r>
      <w:r>
        <w:rPr>
          <w:color w:val="231F20"/>
          <w:spacing w:val="-16"/>
        </w:rPr>
        <w:t> </w:t>
      </w:r>
      <w:r>
        <w:rPr>
          <w:color w:val="231F20"/>
        </w:rPr>
        <w:t>Abejas,</w:t>
      </w:r>
      <w:r>
        <w:rPr>
          <w:color w:val="231F20"/>
          <w:spacing w:val="-4"/>
        </w:rPr>
        <w:t> </w:t>
      </w:r>
      <w:r>
        <w:rPr>
          <w:color w:val="231F20"/>
        </w:rPr>
        <w:t>El</w:t>
      </w:r>
      <w:r>
        <w:rPr>
          <w:color w:val="231F20"/>
          <w:spacing w:val="-4"/>
        </w:rPr>
        <w:t> </w:t>
      </w:r>
      <w:r>
        <w:rPr>
          <w:color w:val="231F20"/>
        </w:rPr>
        <w:t>Panteón</w:t>
      </w:r>
      <w:r>
        <w:rPr>
          <w:color w:val="231F20"/>
          <w:spacing w:val="-4"/>
        </w:rPr>
        <w:t> </w:t>
      </w:r>
      <w:r>
        <w:rPr>
          <w:color w:val="231F20"/>
        </w:rPr>
        <w:t>y</w:t>
      </w:r>
      <w:r>
        <w:rPr>
          <w:color w:val="231F20"/>
          <w:spacing w:val="-4"/>
        </w:rPr>
        <w:t> </w:t>
      </w:r>
      <w:r>
        <w:rPr>
          <w:color w:val="231F20"/>
        </w:rPr>
        <w:t>La</w:t>
      </w:r>
      <w:r>
        <w:rPr>
          <w:color w:val="231F20"/>
          <w:spacing w:val="-4"/>
        </w:rPr>
        <w:t> </w:t>
      </w:r>
      <w:r>
        <w:rPr>
          <w:color w:val="231F20"/>
        </w:rPr>
        <w:t>Cruz)</w:t>
      </w:r>
      <w:r>
        <w:rPr>
          <w:color w:val="231F20"/>
          <w:spacing w:val="-4"/>
        </w:rPr>
        <w:t> </w:t>
      </w:r>
      <w:r>
        <w:rPr>
          <w:color w:val="231F20"/>
        </w:rPr>
        <w:t>en</w:t>
      </w:r>
      <w:r>
        <w:rPr>
          <w:color w:val="231F20"/>
          <w:spacing w:val="-4"/>
        </w:rPr>
        <w:t> </w:t>
      </w:r>
      <w:r>
        <w:rPr>
          <w:color w:val="231F20"/>
        </w:rPr>
        <w:t>dichos</w:t>
      </w:r>
      <w:r>
        <w:rPr>
          <w:color w:val="231F20"/>
          <w:spacing w:val="-4"/>
        </w:rPr>
        <w:t> </w:t>
      </w:r>
      <w:r>
        <w:rPr>
          <w:color w:val="231F20"/>
        </w:rPr>
        <w:t>sitios</w:t>
      </w:r>
      <w:r>
        <w:rPr>
          <w:color w:val="231F20"/>
          <w:spacing w:val="-4"/>
        </w:rPr>
        <w:t> </w:t>
      </w:r>
      <w:r>
        <w:rPr>
          <w:color w:val="231F20"/>
        </w:rPr>
        <w:t>se</w:t>
      </w:r>
      <w:r>
        <w:rPr>
          <w:color w:val="231F20"/>
          <w:spacing w:val="-4"/>
        </w:rPr>
        <w:t> </w:t>
      </w:r>
      <w:r>
        <w:rPr>
          <w:color w:val="231F20"/>
        </w:rPr>
        <w:t>realizó</w:t>
      </w:r>
      <w:r>
        <w:rPr>
          <w:color w:val="231F20"/>
          <w:spacing w:val="-4"/>
        </w:rPr>
        <w:t> </w:t>
      </w:r>
      <w:r>
        <w:rPr>
          <w:color w:val="231F20"/>
        </w:rPr>
        <w:t>la</w:t>
      </w:r>
      <w:r>
        <w:rPr>
          <w:color w:val="231F20"/>
          <w:spacing w:val="-4"/>
        </w:rPr>
        <w:t> </w:t>
      </w:r>
      <w:r>
        <w:rPr>
          <w:color w:val="231F20"/>
        </w:rPr>
        <w:t>búsqueda</w:t>
      </w:r>
      <w:r>
        <w:rPr>
          <w:color w:val="231F20"/>
          <w:spacing w:val="-4"/>
        </w:rPr>
        <w:t> </w:t>
      </w:r>
      <w:r>
        <w:rPr>
          <w:color w:val="231F20"/>
        </w:rPr>
        <w:t>de</w:t>
      </w:r>
      <w:r>
        <w:rPr>
          <w:color w:val="231F20"/>
          <w:spacing w:val="-4"/>
        </w:rPr>
        <w:t> </w:t>
      </w:r>
      <w:r>
        <w:rPr>
          <w:color w:val="231F20"/>
        </w:rPr>
        <w:t>colonias de Coryphantha glassii, para lo cual se trabajó en franjas contiguas de 10 m de ancho hasta recorrer toda la superficie de cada sitio. A cada colonia localizada se le asignó un número consecutivo de identificación y se registró la siguiente información: número de individuos, número de series del</w:t>
      </w:r>
      <w:r>
        <w:rPr>
          <w:color w:val="231F20"/>
          <w:spacing w:val="-23"/>
        </w:rPr>
        <w:t> </w:t>
      </w:r>
      <w:r>
        <w:rPr>
          <w:color w:val="231F20"/>
        </w:rPr>
        <w:t>in- dividuo o vástago de mayor altura; también se dividió el número de vástagos enfermos entre el</w:t>
      </w:r>
      <w:r>
        <w:rPr>
          <w:color w:val="231F20"/>
          <w:spacing w:val="-16"/>
        </w:rPr>
        <w:t> </w:t>
      </w:r>
      <w:r>
        <w:rPr>
          <w:color w:val="231F20"/>
        </w:rPr>
        <w:t>total de</w:t>
      </w:r>
      <w:r>
        <w:rPr>
          <w:color w:val="231F20"/>
          <w:spacing w:val="-4"/>
        </w:rPr>
        <w:t> </w:t>
      </w:r>
      <w:r>
        <w:rPr>
          <w:color w:val="231F20"/>
        </w:rPr>
        <w:t>vástagos</w:t>
      </w:r>
      <w:r>
        <w:rPr>
          <w:color w:val="231F20"/>
          <w:spacing w:val="-4"/>
        </w:rPr>
        <w:t> </w:t>
      </w:r>
      <w:r>
        <w:rPr>
          <w:color w:val="231F20"/>
        </w:rPr>
        <w:t>para</w:t>
      </w:r>
      <w:r>
        <w:rPr>
          <w:color w:val="231F20"/>
          <w:spacing w:val="-4"/>
        </w:rPr>
        <w:t> </w:t>
      </w:r>
      <w:r>
        <w:rPr>
          <w:color w:val="231F20"/>
        </w:rPr>
        <w:t>asignar</w:t>
      </w:r>
      <w:r>
        <w:rPr>
          <w:color w:val="231F20"/>
          <w:spacing w:val="-5"/>
        </w:rPr>
        <w:t> </w:t>
      </w:r>
      <w:r>
        <w:rPr>
          <w:color w:val="231F20"/>
        </w:rPr>
        <w:t>una</w:t>
      </w:r>
      <w:r>
        <w:rPr>
          <w:color w:val="231F20"/>
          <w:spacing w:val="-4"/>
        </w:rPr>
        <w:t> </w:t>
      </w:r>
      <w:r>
        <w:rPr>
          <w:color w:val="231F20"/>
        </w:rPr>
        <w:t>escala</w:t>
      </w:r>
      <w:r>
        <w:rPr>
          <w:color w:val="231F20"/>
          <w:spacing w:val="-5"/>
        </w:rPr>
        <w:t> </w:t>
      </w:r>
      <w:r>
        <w:rPr>
          <w:color w:val="231F20"/>
        </w:rPr>
        <w:t>de</w:t>
      </w:r>
      <w:r>
        <w:rPr>
          <w:color w:val="231F20"/>
          <w:spacing w:val="-4"/>
        </w:rPr>
        <w:t> </w:t>
      </w:r>
      <w:r>
        <w:rPr>
          <w:color w:val="231F20"/>
        </w:rPr>
        <w:t>sanidad</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colonias.</w:t>
      </w:r>
      <w:r>
        <w:rPr>
          <w:color w:val="231F20"/>
          <w:spacing w:val="-4"/>
        </w:rPr>
        <w:t> </w:t>
      </w:r>
      <w:r>
        <w:rPr>
          <w:color w:val="231F20"/>
        </w:rPr>
        <w:t>Posteriormente</w:t>
      </w:r>
      <w:r>
        <w:rPr>
          <w:color w:val="231F20"/>
          <w:spacing w:val="-4"/>
        </w:rPr>
        <w:t> </w:t>
      </w:r>
      <w:r>
        <w:rPr>
          <w:color w:val="231F20"/>
        </w:rPr>
        <w:t>se</w:t>
      </w:r>
      <w:r>
        <w:rPr>
          <w:color w:val="231F20"/>
          <w:spacing w:val="-4"/>
        </w:rPr>
        <w:t> </w:t>
      </w:r>
      <w:r>
        <w:rPr>
          <w:color w:val="231F20"/>
        </w:rPr>
        <w:t>trazó</w:t>
      </w:r>
      <w:r>
        <w:rPr>
          <w:color w:val="231F20"/>
          <w:spacing w:val="-5"/>
        </w:rPr>
        <w:t> </w:t>
      </w:r>
      <w:r>
        <w:rPr>
          <w:color w:val="231F20"/>
        </w:rPr>
        <w:t>un</w:t>
      </w:r>
      <w:r>
        <w:rPr>
          <w:color w:val="231F20"/>
          <w:spacing w:val="-4"/>
        </w:rPr>
        <w:t> </w:t>
      </w:r>
      <w:r>
        <w:rPr>
          <w:color w:val="231F20"/>
        </w:rPr>
        <w:t>cuadrante de un metro por lado, colocando al centro la colonia y sobre el área del cuadro se identificaron las diferentes especies de plantas así como el número de individuos por cada especie. De igual forma,  a partir de la colonia en estudio se trazaron dos transectos de 10 m de longitud uno en sentido de   la pendiente y el otro en contra de ésta. Hecho lo anterior se procedió a identificar el número de in- dividuos de las diferentes especies que interactúan con </w:t>
      </w:r>
      <w:r>
        <w:rPr>
          <w:i/>
          <w:color w:val="231F20"/>
        </w:rPr>
        <w:t>C. glassii</w:t>
      </w:r>
      <w:r>
        <w:rPr>
          <w:color w:val="231F20"/>
        </w:rPr>
        <w:t>. Otra información que se retomó durante la fase de campo para cada colonia, fue la pendiente, altitud, y las coordenadas utilizando</w:t>
      </w:r>
      <w:r>
        <w:rPr>
          <w:color w:val="231F20"/>
          <w:spacing w:val="-19"/>
        </w:rPr>
        <w:t> </w:t>
      </w:r>
      <w:r>
        <w:rPr>
          <w:color w:val="231F20"/>
        </w:rPr>
        <w:t>la proyección UTM zona 14.</w:t>
      </w:r>
    </w:p>
    <w:p>
      <w:pPr>
        <w:pStyle w:val="BodyText"/>
        <w:spacing w:before="10"/>
      </w:pPr>
    </w:p>
    <w:p>
      <w:pPr>
        <w:pStyle w:val="BodyText"/>
        <w:spacing w:line="247" w:lineRule="auto"/>
        <w:ind w:left="1270" w:right="1268"/>
        <w:jc w:val="both"/>
      </w:pPr>
      <w:r>
        <w:rPr>
          <w:color w:val="231F20"/>
        </w:rPr>
        <w:t>Una</w:t>
      </w:r>
      <w:r>
        <w:rPr>
          <w:color w:val="231F20"/>
          <w:spacing w:val="-10"/>
        </w:rPr>
        <w:t> </w:t>
      </w:r>
      <w:r>
        <w:rPr>
          <w:color w:val="231F20"/>
        </w:rPr>
        <w:t>vez</w:t>
      </w:r>
      <w:r>
        <w:rPr>
          <w:color w:val="231F20"/>
          <w:spacing w:val="-10"/>
        </w:rPr>
        <w:t> </w:t>
      </w:r>
      <w:r>
        <w:rPr>
          <w:color w:val="231F20"/>
          <w:spacing w:val="-3"/>
        </w:rPr>
        <w:t>recabada</w:t>
      </w:r>
      <w:r>
        <w:rPr>
          <w:color w:val="231F20"/>
          <w:spacing w:val="-10"/>
        </w:rPr>
        <w:t> </w:t>
      </w:r>
      <w:r>
        <w:rPr>
          <w:color w:val="231F20"/>
        </w:rPr>
        <w:t>la</w:t>
      </w:r>
      <w:r>
        <w:rPr>
          <w:color w:val="231F20"/>
          <w:spacing w:val="-10"/>
        </w:rPr>
        <w:t> </w:t>
      </w:r>
      <w:r>
        <w:rPr>
          <w:color w:val="231F20"/>
          <w:spacing w:val="-3"/>
        </w:rPr>
        <w:t>información</w:t>
      </w:r>
      <w:r>
        <w:rPr>
          <w:color w:val="231F20"/>
          <w:spacing w:val="-10"/>
        </w:rPr>
        <w:t> </w:t>
      </w:r>
      <w:r>
        <w:rPr>
          <w:color w:val="231F20"/>
        </w:rPr>
        <w:t>de</w:t>
      </w:r>
      <w:r>
        <w:rPr>
          <w:color w:val="231F20"/>
          <w:spacing w:val="-10"/>
        </w:rPr>
        <w:t> </w:t>
      </w:r>
      <w:r>
        <w:rPr>
          <w:color w:val="231F20"/>
          <w:spacing w:val="-3"/>
        </w:rPr>
        <w:t>campo,</w:t>
      </w:r>
      <w:r>
        <w:rPr>
          <w:color w:val="231F20"/>
          <w:spacing w:val="-10"/>
        </w:rPr>
        <w:t> </w:t>
      </w:r>
      <w:r>
        <w:rPr>
          <w:color w:val="231F20"/>
        </w:rPr>
        <w:t>se</w:t>
      </w:r>
      <w:r>
        <w:rPr>
          <w:color w:val="231F20"/>
          <w:spacing w:val="-10"/>
        </w:rPr>
        <w:t> </w:t>
      </w:r>
      <w:r>
        <w:rPr>
          <w:color w:val="231F20"/>
          <w:spacing w:val="-3"/>
        </w:rPr>
        <w:t>generó</w:t>
      </w:r>
      <w:r>
        <w:rPr>
          <w:color w:val="231F20"/>
          <w:spacing w:val="-10"/>
        </w:rPr>
        <w:t> </w:t>
      </w:r>
      <w:r>
        <w:rPr>
          <w:color w:val="231F20"/>
        </w:rPr>
        <w:t>una</w:t>
      </w:r>
      <w:r>
        <w:rPr>
          <w:color w:val="231F20"/>
          <w:spacing w:val="-10"/>
        </w:rPr>
        <w:t> </w:t>
      </w:r>
      <w:r>
        <w:rPr>
          <w:color w:val="231F20"/>
          <w:spacing w:val="-3"/>
        </w:rPr>
        <w:t>base</w:t>
      </w:r>
      <w:r>
        <w:rPr>
          <w:color w:val="231F20"/>
          <w:spacing w:val="-10"/>
        </w:rPr>
        <w:t> </w:t>
      </w:r>
      <w:r>
        <w:rPr>
          <w:color w:val="231F20"/>
          <w:spacing w:val="-3"/>
        </w:rPr>
        <w:t>datos</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spacing w:val="-3"/>
        </w:rPr>
        <w:t>cual</w:t>
      </w:r>
      <w:r>
        <w:rPr>
          <w:color w:val="231F20"/>
          <w:spacing w:val="-10"/>
        </w:rPr>
        <w:t> </w:t>
      </w:r>
      <w:r>
        <w:rPr>
          <w:color w:val="231F20"/>
        </w:rPr>
        <w:t>se</w:t>
      </w:r>
      <w:r>
        <w:rPr>
          <w:color w:val="231F20"/>
          <w:spacing w:val="-10"/>
        </w:rPr>
        <w:t> </w:t>
      </w:r>
      <w:r>
        <w:rPr>
          <w:color w:val="231F20"/>
          <w:spacing w:val="-3"/>
        </w:rPr>
        <w:t>registraron</w:t>
      </w:r>
      <w:r>
        <w:rPr>
          <w:color w:val="231F20"/>
          <w:spacing w:val="-10"/>
        </w:rPr>
        <w:t> </w:t>
      </w:r>
      <w:r>
        <w:rPr>
          <w:color w:val="231F20"/>
        </w:rPr>
        <w:t>los</w:t>
      </w:r>
      <w:r>
        <w:rPr>
          <w:color w:val="231F20"/>
          <w:spacing w:val="-10"/>
        </w:rPr>
        <w:t> </w:t>
      </w:r>
      <w:r>
        <w:rPr>
          <w:color w:val="231F20"/>
          <w:spacing w:val="-3"/>
        </w:rPr>
        <w:t>nom- bres científicos </w:t>
      </w:r>
      <w:r>
        <w:rPr>
          <w:color w:val="231F20"/>
        </w:rPr>
        <w:t>de las </w:t>
      </w:r>
      <w:r>
        <w:rPr>
          <w:color w:val="231F20"/>
          <w:spacing w:val="-3"/>
        </w:rPr>
        <w:t>diferentes especies encontradas; posteriormente </w:t>
      </w:r>
      <w:r>
        <w:rPr>
          <w:color w:val="231F20"/>
        </w:rPr>
        <w:t>se </w:t>
      </w:r>
      <w:r>
        <w:rPr>
          <w:color w:val="231F20"/>
          <w:spacing w:val="-3"/>
        </w:rPr>
        <w:t>realizó </w:t>
      </w:r>
      <w:r>
        <w:rPr>
          <w:color w:val="231F20"/>
        </w:rPr>
        <w:t>la </w:t>
      </w:r>
      <w:r>
        <w:rPr>
          <w:color w:val="231F20"/>
          <w:spacing w:val="-3"/>
        </w:rPr>
        <w:t>delimitación geo- gráfica</w:t>
      </w:r>
      <w:r>
        <w:rPr>
          <w:color w:val="231F20"/>
          <w:spacing w:val="-11"/>
        </w:rPr>
        <w:t> </w:t>
      </w:r>
      <w:r>
        <w:rPr>
          <w:color w:val="231F20"/>
        </w:rPr>
        <w:t>del</w:t>
      </w:r>
      <w:r>
        <w:rPr>
          <w:color w:val="231F20"/>
          <w:spacing w:val="-11"/>
        </w:rPr>
        <w:t> </w:t>
      </w:r>
      <w:r>
        <w:rPr>
          <w:color w:val="231F20"/>
          <w:spacing w:val="-3"/>
        </w:rPr>
        <w:t>área</w:t>
      </w:r>
      <w:r>
        <w:rPr>
          <w:color w:val="231F20"/>
          <w:spacing w:val="-11"/>
        </w:rPr>
        <w:t> </w:t>
      </w:r>
      <w:r>
        <w:rPr>
          <w:color w:val="231F20"/>
          <w:spacing w:val="-3"/>
        </w:rPr>
        <w:t>muestreada</w:t>
      </w:r>
      <w:r>
        <w:rPr>
          <w:color w:val="231F20"/>
          <w:spacing w:val="-11"/>
        </w:rPr>
        <w:t> </w:t>
      </w:r>
      <w:r>
        <w:rPr>
          <w:color w:val="231F20"/>
        </w:rPr>
        <w:t>con</w:t>
      </w:r>
      <w:r>
        <w:rPr>
          <w:color w:val="231F20"/>
          <w:spacing w:val="-11"/>
        </w:rPr>
        <w:t> </w:t>
      </w:r>
      <w:r>
        <w:rPr>
          <w:color w:val="231F20"/>
        </w:rPr>
        <w:t>el</w:t>
      </w:r>
      <w:r>
        <w:rPr>
          <w:color w:val="231F20"/>
          <w:spacing w:val="-11"/>
        </w:rPr>
        <w:t> </w:t>
      </w:r>
      <w:r>
        <w:rPr>
          <w:color w:val="231F20"/>
          <w:spacing w:val="-3"/>
        </w:rPr>
        <w:t>software</w:t>
      </w:r>
      <w:r>
        <w:rPr>
          <w:color w:val="231F20"/>
          <w:spacing w:val="-22"/>
        </w:rPr>
        <w:t> </w:t>
      </w:r>
      <w:r>
        <w:rPr>
          <w:color w:val="231F20"/>
          <w:spacing w:val="-5"/>
        </w:rPr>
        <w:t>ArcView</w:t>
      </w:r>
      <w:r>
        <w:rPr>
          <w:color w:val="231F20"/>
          <w:spacing w:val="-11"/>
        </w:rPr>
        <w:t> </w:t>
      </w:r>
      <w:r>
        <w:rPr>
          <w:color w:val="231F20"/>
          <w:spacing w:val="-3"/>
        </w:rPr>
        <w:t>3.2,</w:t>
      </w:r>
      <w:r>
        <w:rPr>
          <w:color w:val="231F20"/>
          <w:spacing w:val="-11"/>
        </w:rPr>
        <w:t> </w:t>
      </w:r>
      <w:r>
        <w:rPr>
          <w:color w:val="231F20"/>
        </w:rPr>
        <w:t>con</w:t>
      </w:r>
      <w:r>
        <w:rPr>
          <w:color w:val="231F20"/>
          <w:spacing w:val="-11"/>
        </w:rPr>
        <w:t> </w:t>
      </w:r>
      <w:r>
        <w:rPr>
          <w:color w:val="231F20"/>
        </w:rPr>
        <w:t>el</w:t>
      </w:r>
      <w:r>
        <w:rPr>
          <w:color w:val="231F20"/>
          <w:spacing w:val="-11"/>
        </w:rPr>
        <w:t> </w:t>
      </w:r>
      <w:r>
        <w:rPr>
          <w:color w:val="231F20"/>
          <w:spacing w:val="-3"/>
        </w:rPr>
        <w:t>propósito</w:t>
      </w:r>
      <w:r>
        <w:rPr>
          <w:color w:val="231F20"/>
          <w:spacing w:val="-11"/>
        </w:rPr>
        <w:t> </w:t>
      </w:r>
      <w:r>
        <w:rPr>
          <w:color w:val="231F20"/>
        </w:rPr>
        <w:t>de</w:t>
      </w:r>
      <w:r>
        <w:rPr>
          <w:color w:val="231F20"/>
          <w:spacing w:val="-11"/>
        </w:rPr>
        <w:t> </w:t>
      </w:r>
      <w:r>
        <w:rPr>
          <w:color w:val="231F20"/>
          <w:spacing w:val="-3"/>
        </w:rPr>
        <w:t>analizar</w:t>
      </w:r>
      <w:r>
        <w:rPr>
          <w:color w:val="231F20"/>
          <w:spacing w:val="-11"/>
        </w:rPr>
        <w:t> </w:t>
      </w:r>
      <w:r>
        <w:rPr>
          <w:color w:val="231F20"/>
        </w:rPr>
        <w:t>la</w:t>
      </w:r>
      <w:r>
        <w:rPr>
          <w:color w:val="231F20"/>
          <w:spacing w:val="-11"/>
        </w:rPr>
        <w:t> </w:t>
      </w:r>
      <w:r>
        <w:rPr>
          <w:color w:val="231F20"/>
          <w:spacing w:val="-3"/>
        </w:rPr>
        <w:t>distribución</w:t>
      </w:r>
      <w:r>
        <w:rPr>
          <w:color w:val="231F20"/>
          <w:spacing w:val="-11"/>
        </w:rPr>
        <w:t> </w:t>
      </w:r>
      <w:r>
        <w:rPr>
          <w:color w:val="231F20"/>
          <w:spacing w:val="-3"/>
        </w:rPr>
        <w:t>de </w:t>
      </w:r>
      <w:r>
        <w:rPr>
          <w:color w:val="231F20"/>
        </w:rPr>
        <w:t>las </w:t>
      </w:r>
      <w:r>
        <w:rPr>
          <w:color w:val="231F20"/>
          <w:spacing w:val="-3"/>
        </w:rPr>
        <w:t>plantas </w:t>
      </w:r>
      <w:r>
        <w:rPr>
          <w:color w:val="231F20"/>
        </w:rPr>
        <w:t>que </w:t>
      </w:r>
      <w:r>
        <w:rPr>
          <w:color w:val="231F20"/>
          <w:spacing w:val="-3"/>
        </w:rPr>
        <w:t>fungen como nodrizas </w:t>
      </w:r>
      <w:r>
        <w:rPr>
          <w:color w:val="231F20"/>
        </w:rPr>
        <w:t>y </w:t>
      </w:r>
      <w:r>
        <w:rPr>
          <w:color w:val="231F20"/>
          <w:spacing w:val="-3"/>
        </w:rPr>
        <w:t>especies nativas asociadas </w:t>
      </w:r>
      <w:r>
        <w:rPr>
          <w:color w:val="231F20"/>
        </w:rPr>
        <w:t>a las </w:t>
      </w:r>
      <w:r>
        <w:rPr>
          <w:color w:val="231F20"/>
          <w:spacing w:val="-3"/>
        </w:rPr>
        <w:t>poblaciones </w:t>
      </w:r>
      <w:r>
        <w:rPr>
          <w:color w:val="231F20"/>
        </w:rPr>
        <w:t>de C. </w:t>
      </w:r>
      <w:r>
        <w:rPr>
          <w:color w:val="231F20"/>
          <w:spacing w:val="-3"/>
        </w:rPr>
        <w:t>glassii. Para describir </w:t>
      </w:r>
      <w:r>
        <w:rPr>
          <w:color w:val="231F20"/>
        </w:rPr>
        <w:t>las </w:t>
      </w:r>
      <w:r>
        <w:rPr>
          <w:color w:val="231F20"/>
          <w:spacing w:val="-3"/>
        </w:rPr>
        <w:t>colonias </w:t>
      </w:r>
      <w:r>
        <w:rPr>
          <w:color w:val="231F20"/>
        </w:rPr>
        <w:t>de la </w:t>
      </w:r>
      <w:r>
        <w:rPr>
          <w:color w:val="231F20"/>
          <w:spacing w:val="-3"/>
        </w:rPr>
        <w:t>cactácea </w:t>
      </w:r>
      <w:r>
        <w:rPr>
          <w:color w:val="231F20"/>
        </w:rPr>
        <w:t>de </w:t>
      </w:r>
      <w:r>
        <w:rPr>
          <w:color w:val="231F20"/>
          <w:spacing w:val="-3"/>
        </w:rPr>
        <w:t>interés </w:t>
      </w:r>
      <w:r>
        <w:rPr>
          <w:color w:val="231F20"/>
        </w:rPr>
        <w:t>se </w:t>
      </w:r>
      <w:r>
        <w:rPr>
          <w:color w:val="231F20"/>
          <w:spacing w:val="-3"/>
        </w:rPr>
        <w:t>calculó </w:t>
      </w:r>
      <w:r>
        <w:rPr>
          <w:color w:val="231F20"/>
        </w:rPr>
        <w:t>el </w:t>
      </w:r>
      <w:r>
        <w:rPr>
          <w:color w:val="231F20"/>
          <w:spacing w:val="-3"/>
        </w:rPr>
        <w:t>promedio, mínimo </w:t>
      </w:r>
      <w:r>
        <w:rPr>
          <w:color w:val="231F20"/>
        </w:rPr>
        <w:t>y </w:t>
      </w:r>
      <w:r>
        <w:rPr>
          <w:color w:val="231F20"/>
          <w:spacing w:val="-3"/>
        </w:rPr>
        <w:t>máximo </w:t>
      </w:r>
      <w:r>
        <w:rPr>
          <w:color w:val="231F20"/>
        </w:rPr>
        <w:t>del </w:t>
      </w:r>
      <w:r>
        <w:rPr>
          <w:color w:val="231F20"/>
          <w:spacing w:val="-3"/>
        </w:rPr>
        <w:t>número </w:t>
      </w:r>
      <w:r>
        <w:rPr>
          <w:color w:val="231F20"/>
        </w:rPr>
        <w:t>de </w:t>
      </w:r>
      <w:r>
        <w:rPr>
          <w:color w:val="231F20"/>
          <w:spacing w:val="-3"/>
        </w:rPr>
        <w:t>individuos </w:t>
      </w:r>
      <w:r>
        <w:rPr>
          <w:color w:val="231F20"/>
        </w:rPr>
        <w:t>por </w:t>
      </w:r>
      <w:r>
        <w:rPr>
          <w:color w:val="231F20"/>
          <w:spacing w:val="-3"/>
        </w:rPr>
        <w:t>sitio </w:t>
      </w:r>
      <w:r>
        <w:rPr>
          <w:color w:val="231F20"/>
        </w:rPr>
        <w:t>de </w:t>
      </w:r>
      <w:r>
        <w:rPr>
          <w:color w:val="231F20"/>
          <w:spacing w:val="-3"/>
        </w:rPr>
        <w:t>muestreo, </w:t>
      </w:r>
      <w:r>
        <w:rPr>
          <w:color w:val="231F20"/>
        </w:rPr>
        <w:t>el </w:t>
      </w:r>
      <w:r>
        <w:rPr>
          <w:color w:val="231F20"/>
          <w:spacing w:val="-3"/>
        </w:rPr>
        <w:t>número </w:t>
      </w:r>
      <w:r>
        <w:rPr>
          <w:color w:val="231F20"/>
        </w:rPr>
        <w:t>de </w:t>
      </w:r>
      <w:r>
        <w:rPr>
          <w:color w:val="231F20"/>
          <w:spacing w:val="-3"/>
        </w:rPr>
        <w:t>series </w:t>
      </w:r>
      <w:r>
        <w:rPr>
          <w:color w:val="231F20"/>
        </w:rPr>
        <w:t>de los </w:t>
      </w:r>
      <w:r>
        <w:rPr>
          <w:color w:val="231F20"/>
          <w:spacing w:val="-3"/>
        </w:rPr>
        <w:t>individuos </w:t>
      </w:r>
      <w:r>
        <w:rPr>
          <w:color w:val="231F20"/>
        </w:rPr>
        <w:t>de </w:t>
      </w:r>
      <w:r>
        <w:rPr>
          <w:color w:val="231F20"/>
          <w:spacing w:val="-3"/>
        </w:rPr>
        <w:t>mayor tamaño, </w:t>
      </w:r>
      <w:r>
        <w:rPr>
          <w:color w:val="231F20"/>
        </w:rPr>
        <w:t>así </w:t>
      </w:r>
      <w:r>
        <w:rPr>
          <w:color w:val="231F20"/>
          <w:spacing w:val="-3"/>
        </w:rPr>
        <w:t>como </w:t>
      </w:r>
      <w:r>
        <w:rPr>
          <w:color w:val="231F20"/>
        </w:rPr>
        <w:t>de la </w:t>
      </w:r>
      <w:r>
        <w:rPr>
          <w:color w:val="231F20"/>
          <w:spacing w:val="-3"/>
        </w:rPr>
        <w:t>altitud </w:t>
      </w:r>
      <w:r>
        <w:rPr>
          <w:color w:val="231F20"/>
        </w:rPr>
        <w:t>y </w:t>
      </w:r>
      <w:r>
        <w:rPr>
          <w:color w:val="231F20"/>
          <w:spacing w:val="-3"/>
        </w:rPr>
        <w:t>pendiente </w:t>
      </w:r>
      <w:r>
        <w:rPr>
          <w:color w:val="231F20"/>
        </w:rPr>
        <w:t>de </w:t>
      </w:r>
      <w:r>
        <w:rPr>
          <w:color w:val="231F20"/>
          <w:spacing w:val="-3"/>
        </w:rPr>
        <w:t>cada sitio </w:t>
      </w:r>
      <w:r>
        <w:rPr>
          <w:color w:val="231F20"/>
        </w:rPr>
        <w:t>de </w:t>
      </w:r>
      <w:r>
        <w:rPr>
          <w:color w:val="231F20"/>
          <w:spacing w:val="-3"/>
        </w:rPr>
        <w:t>muestreo; también </w:t>
      </w:r>
      <w:r>
        <w:rPr>
          <w:color w:val="231F20"/>
        </w:rPr>
        <w:t>se </w:t>
      </w:r>
      <w:r>
        <w:rPr>
          <w:color w:val="231F20"/>
          <w:spacing w:val="-3"/>
        </w:rPr>
        <w:t>promedio </w:t>
      </w:r>
      <w:r>
        <w:rPr>
          <w:color w:val="231F20"/>
        </w:rPr>
        <w:t>el </w:t>
      </w:r>
      <w:r>
        <w:rPr>
          <w:color w:val="231F20"/>
          <w:spacing w:val="-3"/>
        </w:rPr>
        <w:t>coeficiente </w:t>
      </w:r>
      <w:r>
        <w:rPr>
          <w:color w:val="231F20"/>
        </w:rPr>
        <w:t>de </w:t>
      </w:r>
      <w:r>
        <w:rPr>
          <w:color w:val="231F20"/>
          <w:spacing w:val="-3"/>
        </w:rPr>
        <w:t>sanidad de </w:t>
      </w:r>
      <w:r>
        <w:rPr>
          <w:color w:val="231F20"/>
        </w:rPr>
        <w:t>las</w:t>
      </w:r>
      <w:r>
        <w:rPr>
          <w:color w:val="231F20"/>
          <w:spacing w:val="-9"/>
        </w:rPr>
        <w:t> </w:t>
      </w:r>
      <w:r>
        <w:rPr>
          <w:color w:val="231F20"/>
          <w:spacing w:val="-3"/>
        </w:rPr>
        <w:t>colonias</w:t>
      </w:r>
      <w:r>
        <w:rPr>
          <w:color w:val="231F20"/>
          <w:spacing w:val="-9"/>
        </w:rPr>
        <w:t> </w:t>
      </w:r>
      <w:r>
        <w:rPr>
          <w:color w:val="231F20"/>
        </w:rPr>
        <w:t>por</w:t>
      </w:r>
      <w:r>
        <w:rPr>
          <w:color w:val="231F20"/>
          <w:spacing w:val="-9"/>
        </w:rPr>
        <w:t> </w:t>
      </w:r>
      <w:r>
        <w:rPr>
          <w:color w:val="231F20"/>
          <w:spacing w:val="-3"/>
        </w:rPr>
        <w:t>sitio</w:t>
      </w:r>
      <w:r>
        <w:rPr>
          <w:color w:val="231F20"/>
          <w:spacing w:val="-8"/>
        </w:rPr>
        <w:t> </w:t>
      </w:r>
      <w:r>
        <w:rPr>
          <w:color w:val="231F20"/>
        </w:rPr>
        <w:t>de</w:t>
      </w:r>
      <w:r>
        <w:rPr>
          <w:color w:val="231F20"/>
          <w:spacing w:val="-9"/>
        </w:rPr>
        <w:t> </w:t>
      </w:r>
      <w:r>
        <w:rPr>
          <w:color w:val="231F20"/>
          <w:spacing w:val="-3"/>
        </w:rPr>
        <w:t>muestreo.</w:t>
      </w:r>
      <w:r>
        <w:rPr>
          <w:color w:val="231F20"/>
          <w:spacing w:val="-9"/>
        </w:rPr>
        <w:t> </w:t>
      </w:r>
      <w:r>
        <w:rPr>
          <w:color w:val="231F20"/>
        </w:rPr>
        <w:t>Con</w:t>
      </w:r>
      <w:r>
        <w:rPr>
          <w:color w:val="231F20"/>
          <w:spacing w:val="-9"/>
        </w:rPr>
        <w:t> </w:t>
      </w:r>
      <w:r>
        <w:rPr>
          <w:color w:val="231F20"/>
        </w:rPr>
        <w:t>la</w:t>
      </w:r>
      <w:r>
        <w:rPr>
          <w:color w:val="231F20"/>
          <w:spacing w:val="-9"/>
        </w:rPr>
        <w:t> </w:t>
      </w:r>
      <w:r>
        <w:rPr>
          <w:color w:val="231F20"/>
          <w:spacing w:val="-3"/>
        </w:rPr>
        <w:t>información</w:t>
      </w:r>
      <w:r>
        <w:rPr>
          <w:color w:val="231F20"/>
          <w:spacing w:val="-9"/>
        </w:rPr>
        <w:t> </w:t>
      </w:r>
      <w:r>
        <w:rPr>
          <w:color w:val="231F20"/>
        </w:rPr>
        <w:t>de</w:t>
      </w:r>
      <w:r>
        <w:rPr>
          <w:color w:val="231F20"/>
          <w:spacing w:val="-9"/>
        </w:rPr>
        <w:t> </w:t>
      </w:r>
      <w:r>
        <w:rPr>
          <w:color w:val="231F20"/>
          <w:spacing w:val="-3"/>
        </w:rPr>
        <w:t>tipo</w:t>
      </w:r>
      <w:r>
        <w:rPr>
          <w:color w:val="231F20"/>
          <w:spacing w:val="-9"/>
        </w:rPr>
        <w:t> </w:t>
      </w:r>
      <w:r>
        <w:rPr>
          <w:color w:val="231F20"/>
        </w:rPr>
        <w:t>de</w:t>
      </w:r>
      <w:r>
        <w:rPr>
          <w:color w:val="231F20"/>
          <w:spacing w:val="-9"/>
        </w:rPr>
        <w:t> </w:t>
      </w:r>
      <w:r>
        <w:rPr>
          <w:color w:val="231F20"/>
          <w:spacing w:val="-3"/>
        </w:rPr>
        <w:t>clima,</w:t>
      </w:r>
      <w:r>
        <w:rPr>
          <w:color w:val="231F20"/>
          <w:spacing w:val="-9"/>
        </w:rPr>
        <w:t> </w:t>
      </w:r>
      <w:r>
        <w:rPr>
          <w:color w:val="231F20"/>
          <w:spacing w:val="-3"/>
        </w:rPr>
        <w:t>suelo</w:t>
      </w:r>
      <w:r>
        <w:rPr>
          <w:color w:val="231F20"/>
          <w:spacing w:val="-9"/>
        </w:rPr>
        <w:t> </w:t>
      </w:r>
      <w:r>
        <w:rPr>
          <w:color w:val="231F20"/>
        </w:rPr>
        <w:t>y</w:t>
      </w:r>
      <w:r>
        <w:rPr>
          <w:color w:val="231F20"/>
          <w:spacing w:val="-9"/>
        </w:rPr>
        <w:t> </w:t>
      </w:r>
      <w:r>
        <w:rPr>
          <w:color w:val="231F20"/>
          <w:spacing w:val="-3"/>
        </w:rPr>
        <w:t>vegetación</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spacing w:val="-3"/>
        </w:rPr>
        <w:t>sitios </w:t>
      </w:r>
      <w:r>
        <w:rPr>
          <w:color w:val="231F20"/>
        </w:rPr>
        <w:t>de</w:t>
      </w:r>
      <w:r>
        <w:rPr>
          <w:color w:val="231F20"/>
          <w:spacing w:val="-8"/>
        </w:rPr>
        <w:t> </w:t>
      </w:r>
      <w:r>
        <w:rPr>
          <w:color w:val="231F20"/>
          <w:spacing w:val="-3"/>
        </w:rPr>
        <w:t>muestreo</w:t>
      </w:r>
      <w:r>
        <w:rPr>
          <w:color w:val="231F20"/>
          <w:spacing w:val="-8"/>
        </w:rPr>
        <w:t> </w:t>
      </w:r>
      <w:r>
        <w:rPr>
          <w:color w:val="231F20"/>
        </w:rPr>
        <w:t>se</w:t>
      </w:r>
      <w:r>
        <w:rPr>
          <w:color w:val="231F20"/>
          <w:spacing w:val="-8"/>
        </w:rPr>
        <w:t> </w:t>
      </w:r>
      <w:r>
        <w:rPr>
          <w:color w:val="231F20"/>
          <w:spacing w:val="-3"/>
        </w:rPr>
        <w:t>realizó</w:t>
      </w:r>
      <w:r>
        <w:rPr>
          <w:color w:val="231F20"/>
          <w:spacing w:val="-8"/>
        </w:rPr>
        <w:t> </w:t>
      </w:r>
      <w:r>
        <w:rPr>
          <w:color w:val="231F20"/>
        </w:rPr>
        <w:t>una</w:t>
      </w:r>
      <w:r>
        <w:rPr>
          <w:color w:val="231F20"/>
          <w:spacing w:val="-8"/>
        </w:rPr>
        <w:t> </w:t>
      </w:r>
      <w:r>
        <w:rPr>
          <w:color w:val="231F20"/>
          <w:spacing w:val="-3"/>
        </w:rPr>
        <w:t>separación</w:t>
      </w:r>
      <w:r>
        <w:rPr>
          <w:color w:val="231F20"/>
          <w:spacing w:val="-8"/>
        </w:rPr>
        <w:t> </w:t>
      </w:r>
      <w:r>
        <w:rPr>
          <w:color w:val="231F20"/>
        </w:rPr>
        <w:t>de</w:t>
      </w:r>
      <w:r>
        <w:rPr>
          <w:color w:val="231F20"/>
          <w:spacing w:val="-8"/>
        </w:rPr>
        <w:t> </w:t>
      </w:r>
      <w:r>
        <w:rPr>
          <w:color w:val="231F20"/>
          <w:spacing w:val="-3"/>
        </w:rPr>
        <w:t>estas</w:t>
      </w:r>
      <w:r>
        <w:rPr>
          <w:color w:val="231F20"/>
          <w:spacing w:val="-8"/>
        </w:rPr>
        <w:t> </w:t>
      </w:r>
      <w:r>
        <w:rPr>
          <w:color w:val="231F20"/>
          <w:spacing w:val="-3"/>
        </w:rPr>
        <w:t>características</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spacing w:val="-3"/>
        </w:rPr>
        <w:t>software</w:t>
      </w:r>
      <w:r>
        <w:rPr>
          <w:color w:val="231F20"/>
          <w:spacing w:val="-20"/>
        </w:rPr>
        <w:t> </w:t>
      </w:r>
      <w:r>
        <w:rPr>
          <w:color w:val="231F20"/>
          <w:spacing w:val="-3"/>
        </w:rPr>
        <w:t>Arcview</w:t>
      </w:r>
      <w:r>
        <w:rPr>
          <w:color w:val="231F20"/>
          <w:spacing w:val="-8"/>
        </w:rPr>
        <w:t> </w:t>
      </w:r>
      <w:r>
        <w:rPr>
          <w:color w:val="231F20"/>
          <w:spacing w:val="-3"/>
        </w:rPr>
        <w:t>3.2;</w:t>
      </w:r>
      <w:r>
        <w:rPr>
          <w:color w:val="231F20"/>
          <w:spacing w:val="-8"/>
        </w:rPr>
        <w:t> </w:t>
      </w:r>
      <w:r>
        <w:rPr>
          <w:color w:val="231F20"/>
        </w:rPr>
        <w:t>en</w:t>
      </w:r>
      <w:r>
        <w:rPr>
          <w:color w:val="231F20"/>
          <w:spacing w:val="-8"/>
        </w:rPr>
        <w:t> </w:t>
      </w:r>
      <w:r>
        <w:rPr>
          <w:color w:val="231F20"/>
        </w:rPr>
        <w:t>los</w:t>
      </w:r>
      <w:r>
        <w:rPr>
          <w:color w:val="231F20"/>
          <w:spacing w:val="-8"/>
        </w:rPr>
        <w:t> </w:t>
      </w:r>
      <w:r>
        <w:rPr>
          <w:color w:val="231F20"/>
          <w:spacing w:val="-3"/>
        </w:rPr>
        <w:t>mapas </w:t>
      </w:r>
      <w:r>
        <w:rPr>
          <w:color w:val="231F20"/>
        </w:rPr>
        <w:t>de </w:t>
      </w:r>
      <w:r>
        <w:rPr>
          <w:color w:val="231F20"/>
          <w:spacing w:val="-3"/>
        </w:rPr>
        <w:t>clima </w:t>
      </w:r>
      <w:r>
        <w:rPr>
          <w:color w:val="231F20"/>
        </w:rPr>
        <w:t>y </w:t>
      </w:r>
      <w:r>
        <w:rPr>
          <w:color w:val="231F20"/>
          <w:spacing w:val="-3"/>
        </w:rPr>
        <w:t>edafología, ambos </w:t>
      </w:r>
      <w:r>
        <w:rPr>
          <w:color w:val="231F20"/>
        </w:rPr>
        <w:t>en </w:t>
      </w:r>
      <w:r>
        <w:rPr>
          <w:color w:val="231F20"/>
          <w:spacing w:val="-3"/>
        </w:rPr>
        <w:t>formato shpfiles </w:t>
      </w:r>
      <w:r>
        <w:rPr>
          <w:color w:val="231F20"/>
        </w:rPr>
        <w:t>de </w:t>
      </w:r>
      <w:r>
        <w:rPr>
          <w:color w:val="231F20"/>
          <w:spacing w:val="-3"/>
        </w:rPr>
        <w:t>INEGI (2000) </w:t>
      </w:r>
      <w:r>
        <w:rPr>
          <w:color w:val="231F20"/>
        </w:rPr>
        <w:t>e </w:t>
      </w:r>
      <w:r>
        <w:rPr>
          <w:color w:val="231F20"/>
          <w:spacing w:val="-3"/>
        </w:rPr>
        <w:t>Inventario Nacional Forestal  </w:t>
      </w:r>
      <w:r>
        <w:rPr>
          <w:color w:val="231F20"/>
          <w:spacing w:val="-6"/>
        </w:rPr>
        <w:t>(SEMARNAT </w:t>
      </w:r>
      <w:r>
        <w:rPr>
          <w:color w:val="231F20"/>
        </w:rPr>
        <w:t>y </w:t>
      </w:r>
      <w:r>
        <w:rPr>
          <w:color w:val="231F20"/>
          <w:spacing w:val="-3"/>
        </w:rPr>
        <w:t>UNAM, 2001), respectivamente, para determinar </w:t>
      </w:r>
      <w:r>
        <w:rPr>
          <w:color w:val="231F20"/>
        </w:rPr>
        <w:t>una </w:t>
      </w:r>
      <w:r>
        <w:rPr>
          <w:color w:val="231F20"/>
          <w:spacing w:val="-3"/>
        </w:rPr>
        <w:t>zona cuyas características se adaptan </w:t>
      </w:r>
      <w:r>
        <w:rPr>
          <w:color w:val="231F20"/>
        </w:rPr>
        <w:t>a los </w:t>
      </w:r>
      <w:r>
        <w:rPr>
          <w:color w:val="231F20"/>
          <w:spacing w:val="-3"/>
        </w:rPr>
        <w:t>requerimientos </w:t>
      </w:r>
      <w:r>
        <w:rPr>
          <w:color w:val="231F20"/>
        </w:rPr>
        <w:t>de </w:t>
      </w:r>
      <w:r>
        <w:rPr>
          <w:color w:val="231F20"/>
          <w:spacing w:val="-3"/>
        </w:rPr>
        <w:t>esta cactácea; esta representa </w:t>
      </w:r>
      <w:r>
        <w:rPr>
          <w:color w:val="231F20"/>
        </w:rPr>
        <w:t>el </w:t>
      </w:r>
      <w:r>
        <w:rPr>
          <w:color w:val="231F20"/>
          <w:spacing w:val="-3"/>
        </w:rPr>
        <w:t>área </w:t>
      </w:r>
      <w:r>
        <w:rPr>
          <w:color w:val="231F20"/>
        </w:rPr>
        <w:t>de </w:t>
      </w:r>
      <w:r>
        <w:rPr>
          <w:color w:val="231F20"/>
          <w:spacing w:val="-3"/>
        </w:rPr>
        <w:t>probable zona </w:t>
      </w:r>
      <w:r>
        <w:rPr>
          <w:color w:val="231F20"/>
        </w:rPr>
        <w:t>de la </w:t>
      </w:r>
      <w:r>
        <w:rPr>
          <w:color w:val="231F20"/>
          <w:spacing w:val="-3"/>
        </w:rPr>
        <w:t>distribu- ción </w:t>
      </w:r>
      <w:r>
        <w:rPr>
          <w:color w:val="231F20"/>
        </w:rPr>
        <w:t>de </w:t>
      </w:r>
      <w:r>
        <w:rPr>
          <w:color w:val="231F20"/>
          <w:spacing w:val="-3"/>
        </w:rPr>
        <w:t>acuerdo </w:t>
      </w:r>
      <w:r>
        <w:rPr>
          <w:color w:val="231F20"/>
        </w:rPr>
        <w:t>a las </w:t>
      </w:r>
      <w:r>
        <w:rPr>
          <w:color w:val="231F20"/>
          <w:spacing w:val="-3"/>
        </w:rPr>
        <w:t>características físicas </w:t>
      </w:r>
      <w:r>
        <w:rPr>
          <w:color w:val="231F20"/>
        </w:rPr>
        <w:t>de su </w:t>
      </w:r>
      <w:r>
        <w:rPr>
          <w:color w:val="231F20"/>
          <w:spacing w:val="-3"/>
        </w:rPr>
        <w:t>medio. Posteriormente, </w:t>
      </w:r>
      <w:r>
        <w:rPr>
          <w:color w:val="231F20"/>
        </w:rPr>
        <w:t>en </w:t>
      </w:r>
      <w:r>
        <w:rPr>
          <w:color w:val="231F20"/>
          <w:spacing w:val="-3"/>
        </w:rPr>
        <w:t>cada sitio </w:t>
      </w:r>
      <w:r>
        <w:rPr>
          <w:color w:val="231F20"/>
        </w:rPr>
        <w:t>se </w:t>
      </w:r>
      <w:r>
        <w:rPr>
          <w:color w:val="231F20"/>
          <w:spacing w:val="-3"/>
        </w:rPr>
        <w:t>determinó</w:t>
      </w:r>
      <w:r>
        <w:rPr>
          <w:color w:val="231F20"/>
          <w:spacing w:val="28"/>
        </w:rPr>
        <w:t> </w:t>
      </w:r>
      <w:r>
        <w:rPr>
          <w:color w:val="231F20"/>
          <w:spacing w:val="-3"/>
        </w:rPr>
        <w:t>la</w:t>
      </w:r>
    </w:p>
    <w:p>
      <w:pPr>
        <w:spacing w:after="0" w:line="247" w:lineRule="auto"/>
        <w:jc w:val="both"/>
        <w:sectPr>
          <w:pgSz w:w="10920" w:h="13080"/>
          <w:pgMar w:header="0" w:footer="1025" w:top="420" w:bottom="1220" w:left="0" w:right="0"/>
        </w:sectPr>
      </w:pPr>
    </w:p>
    <w:p>
      <w:pPr>
        <w:pStyle w:val="BodyText"/>
        <w:rPr>
          <w:sz w:val="20"/>
        </w:rPr>
      </w:pPr>
    </w:p>
    <w:p>
      <w:pPr>
        <w:pStyle w:val="BodyText"/>
        <w:rPr>
          <w:sz w:val="20"/>
        </w:rPr>
      </w:pPr>
    </w:p>
    <w:p>
      <w:pPr>
        <w:pStyle w:val="BodyText"/>
        <w:rPr>
          <w:sz w:val="23"/>
        </w:rPr>
      </w:pPr>
    </w:p>
    <w:p>
      <w:pPr>
        <w:pStyle w:val="BodyText"/>
        <w:spacing w:line="247" w:lineRule="auto" w:before="73"/>
        <w:ind w:left="1270" w:right="1266"/>
        <w:jc w:val="both"/>
      </w:pPr>
      <w:r>
        <w:rPr>
          <w:color w:val="231F20"/>
          <w:spacing w:val="-3"/>
        </w:rPr>
        <w:t>dominancia </w:t>
      </w:r>
      <w:r>
        <w:rPr>
          <w:color w:val="231F20"/>
        </w:rPr>
        <w:t>de las </w:t>
      </w:r>
      <w:r>
        <w:rPr>
          <w:color w:val="231F20"/>
          <w:spacing w:val="-3"/>
        </w:rPr>
        <w:t>plantas nodrizas asociadas </w:t>
      </w:r>
      <w:r>
        <w:rPr>
          <w:color w:val="231F20"/>
        </w:rPr>
        <w:t>a </w:t>
      </w:r>
      <w:r>
        <w:rPr>
          <w:color w:val="231F20"/>
          <w:spacing w:val="-3"/>
        </w:rPr>
        <w:t>esta cactácea </w:t>
      </w:r>
      <w:r>
        <w:rPr>
          <w:color w:val="231F20"/>
        </w:rPr>
        <w:t>de </w:t>
      </w:r>
      <w:r>
        <w:rPr>
          <w:color w:val="231F20"/>
          <w:spacing w:val="-3"/>
        </w:rPr>
        <w:t>acuerdo </w:t>
      </w:r>
      <w:r>
        <w:rPr>
          <w:color w:val="231F20"/>
        </w:rPr>
        <w:t>a la </w:t>
      </w:r>
      <w:r>
        <w:rPr>
          <w:color w:val="231F20"/>
          <w:spacing w:val="-3"/>
        </w:rPr>
        <w:t>pendiente </w:t>
      </w:r>
      <w:r>
        <w:rPr>
          <w:color w:val="231F20"/>
        </w:rPr>
        <w:t>y por </w:t>
      </w:r>
      <w:r>
        <w:rPr>
          <w:color w:val="231F20"/>
          <w:spacing w:val="-3"/>
        </w:rPr>
        <w:t>sitio de muestreo, </w:t>
      </w:r>
      <w:r>
        <w:rPr>
          <w:color w:val="231F20"/>
        </w:rPr>
        <w:t>por lo que </w:t>
      </w:r>
      <w:r>
        <w:rPr>
          <w:color w:val="231F20"/>
          <w:spacing w:val="-3"/>
        </w:rPr>
        <w:t>primero </w:t>
      </w:r>
      <w:r>
        <w:rPr>
          <w:color w:val="231F20"/>
        </w:rPr>
        <w:t>se </w:t>
      </w:r>
      <w:r>
        <w:rPr>
          <w:color w:val="231F20"/>
          <w:spacing w:val="-3"/>
        </w:rPr>
        <w:t>obtuvo </w:t>
      </w:r>
      <w:r>
        <w:rPr>
          <w:color w:val="231F20"/>
        </w:rPr>
        <w:t>el </w:t>
      </w:r>
      <w:r>
        <w:rPr>
          <w:color w:val="231F20"/>
          <w:spacing w:val="-3"/>
        </w:rPr>
        <w:t>porcentaje </w:t>
      </w:r>
      <w:r>
        <w:rPr>
          <w:color w:val="231F20"/>
        </w:rPr>
        <w:t>de la </w:t>
      </w:r>
      <w:r>
        <w:rPr>
          <w:color w:val="231F20"/>
          <w:spacing w:val="-3"/>
        </w:rPr>
        <w:t>población </w:t>
      </w:r>
      <w:r>
        <w:rPr>
          <w:color w:val="231F20"/>
        </w:rPr>
        <w:t>que </w:t>
      </w:r>
      <w:r>
        <w:rPr>
          <w:color w:val="231F20"/>
          <w:spacing w:val="-3"/>
        </w:rPr>
        <w:t>contaba </w:t>
      </w:r>
      <w:r>
        <w:rPr>
          <w:color w:val="231F20"/>
        </w:rPr>
        <w:t>con </w:t>
      </w:r>
      <w:r>
        <w:rPr>
          <w:color w:val="231F20"/>
          <w:spacing w:val="-3"/>
        </w:rPr>
        <w:t>planta nodriza; esta información </w:t>
      </w:r>
      <w:r>
        <w:rPr>
          <w:color w:val="231F20"/>
        </w:rPr>
        <w:t>se </w:t>
      </w:r>
      <w:r>
        <w:rPr>
          <w:color w:val="231F20"/>
          <w:spacing w:val="-3"/>
        </w:rPr>
        <w:t>organizó </w:t>
      </w:r>
      <w:r>
        <w:rPr>
          <w:color w:val="231F20"/>
        </w:rPr>
        <w:t>de </w:t>
      </w:r>
      <w:r>
        <w:rPr>
          <w:color w:val="231F20"/>
          <w:spacing w:val="-3"/>
        </w:rPr>
        <w:t>forma decreciente según </w:t>
      </w:r>
      <w:r>
        <w:rPr>
          <w:color w:val="231F20"/>
        </w:rPr>
        <w:t>su </w:t>
      </w:r>
      <w:r>
        <w:rPr>
          <w:color w:val="231F20"/>
          <w:spacing w:val="-3"/>
        </w:rPr>
        <w:t>frecuencia relativa </w:t>
      </w:r>
      <w:r>
        <w:rPr>
          <w:color w:val="231F20"/>
        </w:rPr>
        <w:t>y </w:t>
      </w:r>
      <w:r>
        <w:rPr>
          <w:color w:val="231F20"/>
          <w:spacing w:val="-3"/>
        </w:rPr>
        <w:t>para cada especie se calculó </w:t>
      </w:r>
      <w:r>
        <w:rPr>
          <w:color w:val="231F20"/>
        </w:rPr>
        <w:t>su </w:t>
      </w:r>
      <w:r>
        <w:rPr>
          <w:color w:val="231F20"/>
          <w:spacing w:val="-3"/>
        </w:rPr>
        <w:t>densidad relativa, información necesaria para calcular </w:t>
      </w:r>
      <w:r>
        <w:rPr>
          <w:color w:val="231F20"/>
        </w:rPr>
        <w:t>el </w:t>
      </w:r>
      <w:r>
        <w:rPr>
          <w:color w:val="231F20"/>
          <w:spacing w:val="-3"/>
        </w:rPr>
        <w:t>Índice </w:t>
      </w:r>
      <w:r>
        <w:rPr>
          <w:color w:val="231F20"/>
        </w:rPr>
        <w:t>de </w:t>
      </w:r>
      <w:r>
        <w:rPr>
          <w:color w:val="231F20"/>
          <w:spacing w:val="-7"/>
        </w:rPr>
        <w:t>Valor </w:t>
      </w:r>
      <w:r>
        <w:rPr>
          <w:color w:val="231F20"/>
        </w:rPr>
        <w:t>de </w:t>
      </w:r>
      <w:r>
        <w:rPr>
          <w:color w:val="231F20"/>
          <w:spacing w:val="-3"/>
        </w:rPr>
        <w:t>Importancia. Para estudiar </w:t>
      </w:r>
      <w:r>
        <w:rPr>
          <w:color w:val="231F20"/>
        </w:rPr>
        <w:t>la </w:t>
      </w:r>
      <w:r>
        <w:rPr>
          <w:color w:val="231F20"/>
          <w:spacing w:val="-3"/>
        </w:rPr>
        <w:t>riqueza, similitud entre </w:t>
      </w:r>
      <w:r>
        <w:rPr>
          <w:color w:val="231F20"/>
        </w:rPr>
        <w:t>los </w:t>
      </w:r>
      <w:r>
        <w:rPr>
          <w:color w:val="231F20"/>
          <w:spacing w:val="-3"/>
        </w:rPr>
        <w:t>sitios </w:t>
      </w:r>
      <w:r>
        <w:rPr>
          <w:color w:val="231F20"/>
        </w:rPr>
        <w:t>de </w:t>
      </w:r>
      <w:r>
        <w:rPr>
          <w:color w:val="231F20"/>
          <w:spacing w:val="-3"/>
        </w:rPr>
        <w:t>estudio </w:t>
      </w:r>
      <w:r>
        <w:rPr>
          <w:color w:val="231F20"/>
        </w:rPr>
        <w:t>y </w:t>
      </w:r>
      <w:r>
        <w:rPr>
          <w:color w:val="231F20"/>
          <w:spacing w:val="-3"/>
        </w:rPr>
        <w:t>dominancia </w:t>
      </w:r>
      <w:r>
        <w:rPr>
          <w:color w:val="231F20"/>
        </w:rPr>
        <w:t>de la </w:t>
      </w:r>
      <w:r>
        <w:rPr>
          <w:color w:val="231F20"/>
          <w:spacing w:val="-3"/>
        </w:rPr>
        <w:t>vegetación asociada </w:t>
      </w:r>
      <w:r>
        <w:rPr>
          <w:color w:val="231F20"/>
        </w:rPr>
        <w:t>a</w:t>
      </w:r>
    </w:p>
    <w:p>
      <w:pPr>
        <w:pStyle w:val="BodyText"/>
        <w:spacing w:line="247" w:lineRule="auto" w:before="1"/>
        <w:ind w:left="1270" w:right="1269"/>
        <w:jc w:val="both"/>
      </w:pPr>
      <w:r>
        <w:rPr>
          <w:i/>
          <w:color w:val="231F20"/>
        </w:rPr>
        <w:t>C. </w:t>
      </w:r>
      <w:r>
        <w:rPr>
          <w:i/>
          <w:color w:val="231F20"/>
          <w:spacing w:val="-3"/>
        </w:rPr>
        <w:t>glassii </w:t>
      </w:r>
      <w:r>
        <w:rPr>
          <w:color w:val="231F20"/>
        </w:rPr>
        <w:t>se </w:t>
      </w:r>
      <w:r>
        <w:rPr>
          <w:color w:val="231F20"/>
          <w:spacing w:val="-3"/>
        </w:rPr>
        <w:t>utilizaron </w:t>
      </w:r>
      <w:r>
        <w:rPr>
          <w:color w:val="231F20"/>
        </w:rPr>
        <w:t>el </w:t>
      </w:r>
      <w:r>
        <w:rPr>
          <w:color w:val="231F20"/>
          <w:spacing w:val="-3"/>
        </w:rPr>
        <w:t>Índice </w:t>
      </w:r>
      <w:r>
        <w:rPr>
          <w:color w:val="231F20"/>
        </w:rPr>
        <w:t>de </w:t>
      </w:r>
      <w:r>
        <w:rPr>
          <w:color w:val="231F20"/>
          <w:spacing w:val="-3"/>
        </w:rPr>
        <w:t>Riqueza </w:t>
      </w:r>
      <w:r>
        <w:rPr>
          <w:color w:val="231F20"/>
        </w:rPr>
        <w:t>de </w:t>
      </w:r>
      <w:r>
        <w:rPr>
          <w:color w:val="231F20"/>
          <w:spacing w:val="-4"/>
        </w:rPr>
        <w:t>Shanon-Wiener, </w:t>
      </w:r>
      <w:r>
        <w:rPr>
          <w:color w:val="231F20"/>
        </w:rPr>
        <w:t>los </w:t>
      </w:r>
      <w:r>
        <w:rPr>
          <w:color w:val="231F20"/>
          <w:spacing w:val="-3"/>
        </w:rPr>
        <w:t>Índices </w:t>
      </w:r>
      <w:r>
        <w:rPr>
          <w:color w:val="231F20"/>
        </w:rPr>
        <w:t>de </w:t>
      </w:r>
      <w:r>
        <w:rPr>
          <w:color w:val="231F20"/>
          <w:spacing w:val="-3"/>
        </w:rPr>
        <w:t>Similitud </w:t>
      </w:r>
      <w:r>
        <w:rPr>
          <w:color w:val="231F20"/>
        </w:rPr>
        <w:t>de </w:t>
      </w:r>
      <w:r>
        <w:rPr>
          <w:color w:val="231F20"/>
          <w:spacing w:val="-3"/>
        </w:rPr>
        <w:t>Jacard </w:t>
      </w:r>
      <w:r>
        <w:rPr>
          <w:color w:val="231F20"/>
        </w:rPr>
        <w:t>y </w:t>
      </w:r>
      <w:r>
        <w:rPr>
          <w:color w:val="231F20"/>
          <w:spacing w:val="-3"/>
        </w:rPr>
        <w:t>el Índice </w:t>
      </w:r>
      <w:r>
        <w:rPr>
          <w:color w:val="231F20"/>
        </w:rPr>
        <w:t>de </w:t>
      </w:r>
      <w:r>
        <w:rPr>
          <w:color w:val="231F20"/>
          <w:spacing w:val="-3"/>
        </w:rPr>
        <w:t>Similitud </w:t>
      </w:r>
      <w:r>
        <w:rPr>
          <w:color w:val="231F20"/>
        </w:rPr>
        <w:t>de </w:t>
      </w:r>
      <w:r>
        <w:rPr>
          <w:color w:val="231F20"/>
          <w:spacing w:val="-3"/>
        </w:rPr>
        <w:t>Sorensen, </w:t>
      </w:r>
      <w:r>
        <w:rPr>
          <w:color w:val="231F20"/>
        </w:rPr>
        <w:t>así </w:t>
      </w:r>
      <w:r>
        <w:rPr>
          <w:color w:val="231F20"/>
          <w:spacing w:val="-3"/>
        </w:rPr>
        <w:t>como </w:t>
      </w:r>
      <w:r>
        <w:rPr>
          <w:color w:val="231F20"/>
        </w:rPr>
        <w:t>el </w:t>
      </w:r>
      <w:r>
        <w:rPr>
          <w:color w:val="231F20"/>
          <w:spacing w:val="-3"/>
        </w:rPr>
        <w:t>Índice </w:t>
      </w:r>
      <w:r>
        <w:rPr>
          <w:color w:val="231F20"/>
        </w:rPr>
        <w:t>de </w:t>
      </w:r>
      <w:r>
        <w:rPr>
          <w:color w:val="231F20"/>
          <w:spacing w:val="-7"/>
        </w:rPr>
        <w:t>Valor </w:t>
      </w:r>
      <w:r>
        <w:rPr>
          <w:color w:val="231F20"/>
        </w:rPr>
        <w:t>de </w:t>
      </w:r>
      <w:r>
        <w:rPr>
          <w:color w:val="231F20"/>
          <w:spacing w:val="-3"/>
        </w:rPr>
        <w:t>Importancia, respectivamente.</w:t>
      </w:r>
    </w:p>
    <w:p>
      <w:pPr>
        <w:pStyle w:val="BodyText"/>
        <w:spacing w:before="9"/>
        <w:rPr>
          <w:sz w:val="22"/>
        </w:rPr>
      </w:pPr>
    </w:p>
    <w:p>
      <w:pPr>
        <w:pStyle w:val="Heading3"/>
      </w:pPr>
      <w:r>
        <w:rPr>
          <w:color w:val="010202"/>
        </w:rPr>
        <w:t>Análisis y discusión de resultados</w:t>
      </w:r>
    </w:p>
    <w:p>
      <w:pPr>
        <w:pStyle w:val="BodyText"/>
        <w:spacing w:before="4"/>
        <w:rPr>
          <w:b/>
        </w:rPr>
      </w:pPr>
    </w:p>
    <w:p>
      <w:pPr>
        <w:spacing w:before="0"/>
        <w:ind w:left="1402" w:right="1279" w:firstLine="0"/>
        <w:jc w:val="left"/>
        <w:rPr>
          <w:b/>
          <w:sz w:val="18"/>
        </w:rPr>
      </w:pPr>
      <w:r>
        <w:rPr>
          <w:b/>
          <w:color w:val="010202"/>
          <w:sz w:val="18"/>
        </w:rPr>
        <w:t>Figura 1. Mapa de Distribución de </w:t>
      </w:r>
      <w:r>
        <w:rPr>
          <w:b/>
          <w:i/>
          <w:color w:val="010202"/>
          <w:sz w:val="18"/>
        </w:rPr>
        <w:t>Coryphantha glassii </w:t>
      </w:r>
      <w:r>
        <w:rPr>
          <w:b/>
          <w:color w:val="010202"/>
          <w:sz w:val="18"/>
        </w:rPr>
        <w:t>en el 2007 y cobertura de uso de suelo y vegetación</w:t>
      </w:r>
    </w:p>
    <w:p>
      <w:pPr>
        <w:pStyle w:val="BodyText"/>
        <w:spacing w:before="9"/>
        <w:rPr>
          <w:b/>
          <w:sz w:val="15"/>
        </w:rPr>
      </w:pPr>
      <w:r>
        <w:rPr/>
        <w:drawing>
          <wp:anchor distT="0" distB="0" distL="0" distR="0" allowOverlap="1" layoutInCell="1" locked="0" behindDoc="0" simplePos="0" relativeHeight="4312">
            <wp:simplePos x="0" y="0"/>
            <wp:positionH relativeFrom="page">
              <wp:posOffset>1292699</wp:posOffset>
            </wp:positionH>
            <wp:positionV relativeFrom="paragraph">
              <wp:posOffset>140377</wp:posOffset>
            </wp:positionV>
            <wp:extent cx="4307528" cy="2870263"/>
            <wp:effectExtent l="0" t="0" r="0" b="0"/>
            <wp:wrapTopAndBottom/>
            <wp:docPr id="153" name="image56.jpeg" descr=""/>
            <wp:cNvGraphicFramePr>
              <a:graphicFrameLocks noChangeAspect="1"/>
            </wp:cNvGraphicFramePr>
            <a:graphic>
              <a:graphicData uri="http://schemas.openxmlformats.org/drawingml/2006/picture">
                <pic:pic>
                  <pic:nvPicPr>
                    <pic:cNvPr id="154" name="image56.jpeg"/>
                    <pic:cNvPicPr/>
                  </pic:nvPicPr>
                  <pic:blipFill>
                    <a:blip r:embed="rId82" cstate="print"/>
                    <a:stretch>
                      <a:fillRect/>
                    </a:stretch>
                  </pic:blipFill>
                  <pic:spPr>
                    <a:xfrm>
                      <a:off x="0" y="0"/>
                      <a:ext cx="4307528" cy="2870263"/>
                    </a:xfrm>
                    <a:prstGeom prst="rect">
                      <a:avLst/>
                    </a:prstGeom>
                  </pic:spPr>
                </pic:pic>
              </a:graphicData>
            </a:graphic>
          </wp:anchor>
        </w:drawing>
      </w:r>
    </w:p>
    <w:p>
      <w:pPr>
        <w:spacing w:before="105"/>
        <w:ind w:left="1270" w:right="0" w:firstLine="0"/>
        <w:jc w:val="both"/>
        <w:rPr>
          <w:b/>
          <w:i/>
          <w:sz w:val="17"/>
        </w:rPr>
      </w:pPr>
      <w:r>
        <w:rPr>
          <w:b/>
          <w:i/>
          <w:color w:val="231F20"/>
          <w:sz w:val="17"/>
        </w:rPr>
        <w:t>Fuente: Elaborado a partir de imágenes de satélite de glcfapp.umiacs.umd.edu y shpfiles de INEGI, 2000).</w:t>
      </w:r>
    </w:p>
    <w:p>
      <w:pPr>
        <w:pStyle w:val="BodyText"/>
        <w:spacing w:before="2"/>
        <w:rPr>
          <w:b/>
          <w:i/>
          <w:sz w:val="23"/>
        </w:rPr>
      </w:pPr>
    </w:p>
    <w:p>
      <w:pPr>
        <w:pStyle w:val="BodyText"/>
        <w:spacing w:line="247" w:lineRule="auto"/>
        <w:ind w:left="1270" w:right="1268"/>
        <w:jc w:val="both"/>
      </w:pPr>
      <w:r>
        <w:rPr>
          <w:color w:val="231F20"/>
        </w:rPr>
        <w:t>Según Guerrero (2005) las especies vegetales se distribuyen de acuerdo con algunas exigencias que establecen su existencia, como los factores clima, suelo, vegetación, topografía, posición</w:t>
      </w:r>
      <w:r>
        <w:rPr>
          <w:color w:val="231F20"/>
          <w:spacing w:val="-22"/>
        </w:rPr>
        <w:t> </w:t>
      </w:r>
      <w:r>
        <w:rPr>
          <w:color w:val="231F20"/>
        </w:rPr>
        <w:t>geográfica y</w:t>
      </w:r>
      <w:r>
        <w:rPr>
          <w:color w:val="231F20"/>
          <w:spacing w:val="-12"/>
        </w:rPr>
        <w:t> </w:t>
      </w:r>
      <w:r>
        <w:rPr>
          <w:color w:val="231F20"/>
        </w:rPr>
        <w:t>la</w:t>
      </w:r>
      <w:r>
        <w:rPr>
          <w:color w:val="231F20"/>
          <w:spacing w:val="-12"/>
        </w:rPr>
        <w:t> </w:t>
      </w:r>
      <w:r>
        <w:rPr>
          <w:color w:val="231F20"/>
        </w:rPr>
        <w:t>interacción</w:t>
      </w:r>
      <w:r>
        <w:rPr>
          <w:color w:val="231F20"/>
          <w:spacing w:val="-13"/>
        </w:rPr>
        <w:t> </w:t>
      </w:r>
      <w:r>
        <w:rPr>
          <w:color w:val="231F20"/>
        </w:rPr>
        <w:t>entre</w:t>
      </w:r>
      <w:r>
        <w:rPr>
          <w:color w:val="231F20"/>
          <w:spacing w:val="-12"/>
        </w:rPr>
        <w:t> </w:t>
      </w:r>
      <w:r>
        <w:rPr>
          <w:color w:val="231F20"/>
        </w:rPr>
        <w:t>los</w:t>
      </w:r>
      <w:r>
        <w:rPr>
          <w:color w:val="231F20"/>
          <w:spacing w:val="-12"/>
        </w:rPr>
        <w:t> </w:t>
      </w:r>
      <w:r>
        <w:rPr>
          <w:color w:val="231F20"/>
        </w:rPr>
        <w:t>diferentes</w:t>
      </w:r>
      <w:r>
        <w:rPr>
          <w:color w:val="231F20"/>
          <w:spacing w:val="-12"/>
        </w:rPr>
        <w:t> </w:t>
      </w:r>
      <w:r>
        <w:rPr>
          <w:color w:val="231F20"/>
        </w:rPr>
        <w:t>ecosistemas.</w:t>
      </w:r>
      <w:r>
        <w:rPr>
          <w:color w:val="231F20"/>
          <w:spacing w:val="-13"/>
        </w:rPr>
        <w:t> </w:t>
      </w:r>
      <w:r>
        <w:rPr>
          <w:color w:val="231F20"/>
        </w:rPr>
        <w:t>Por</w:t>
      </w:r>
      <w:r>
        <w:rPr>
          <w:color w:val="231F20"/>
          <w:spacing w:val="-12"/>
        </w:rPr>
        <w:t> </w:t>
      </w:r>
      <w:r>
        <w:rPr>
          <w:color w:val="231F20"/>
        </w:rPr>
        <w:t>las</w:t>
      </w:r>
      <w:r>
        <w:rPr>
          <w:color w:val="231F20"/>
          <w:spacing w:val="-12"/>
        </w:rPr>
        <w:t> </w:t>
      </w:r>
      <w:r>
        <w:rPr>
          <w:color w:val="231F20"/>
        </w:rPr>
        <w:t>razones</w:t>
      </w:r>
      <w:r>
        <w:rPr>
          <w:color w:val="231F20"/>
          <w:spacing w:val="-12"/>
        </w:rPr>
        <w:t> </w:t>
      </w:r>
      <w:r>
        <w:rPr>
          <w:color w:val="231F20"/>
        </w:rPr>
        <w:t>antes</w:t>
      </w:r>
      <w:r>
        <w:rPr>
          <w:color w:val="231F20"/>
          <w:spacing w:val="-12"/>
        </w:rPr>
        <w:t> </w:t>
      </w:r>
      <w:r>
        <w:rPr>
          <w:color w:val="231F20"/>
        </w:rPr>
        <w:t>mencionadas</w:t>
      </w:r>
      <w:r>
        <w:rPr>
          <w:color w:val="231F20"/>
          <w:spacing w:val="-13"/>
        </w:rPr>
        <w:t> </w:t>
      </w:r>
      <w:r>
        <w:rPr>
          <w:color w:val="231F20"/>
        </w:rPr>
        <w:t>se</w:t>
      </w:r>
      <w:r>
        <w:rPr>
          <w:color w:val="231F20"/>
          <w:spacing w:val="-12"/>
        </w:rPr>
        <w:t> </w:t>
      </w:r>
      <w:r>
        <w:rPr>
          <w:color w:val="231F20"/>
        </w:rPr>
        <w:t>realizó</w:t>
      </w:r>
      <w:r>
        <w:rPr>
          <w:color w:val="231F20"/>
          <w:spacing w:val="-12"/>
        </w:rPr>
        <w:t> </w:t>
      </w:r>
      <w:r>
        <w:rPr>
          <w:color w:val="231F20"/>
        </w:rPr>
        <w:t>un</w:t>
      </w:r>
      <w:r>
        <w:rPr>
          <w:color w:val="231F20"/>
          <w:spacing w:val="-12"/>
        </w:rPr>
        <w:t> </w:t>
      </w:r>
      <w:r>
        <w:rPr>
          <w:color w:val="231F20"/>
        </w:rPr>
        <w:t>aná- lisis de distribución local de </w:t>
      </w:r>
      <w:r>
        <w:rPr>
          <w:i/>
          <w:color w:val="231F20"/>
        </w:rPr>
        <w:t>Coryphantha glassii</w:t>
      </w:r>
      <w:r>
        <w:rPr>
          <w:color w:val="231F20"/>
        </w:rPr>
        <w:t>, aproximadamente en 59 ha, de las cuales 19.901 ha corresponden al sitio La Cruz, 15.008 ha a Las Abejas, 14.344 ha al El Panteón y 9.784 ha a el </w:t>
      </w:r>
      <w:r>
        <w:rPr>
          <w:color w:val="231F20"/>
          <w:spacing w:val="-5"/>
        </w:rPr>
        <w:t>Valle </w:t>
      </w:r>
      <w:r>
        <w:rPr>
          <w:color w:val="231F20"/>
        </w:rPr>
        <w:t>Florido (Figura</w:t>
      </w:r>
      <w:r>
        <w:rPr>
          <w:color w:val="231F20"/>
          <w:spacing w:val="6"/>
        </w:rPr>
        <w:t> </w:t>
      </w:r>
      <w:r>
        <w:rPr>
          <w:color w:val="231F20"/>
        </w:rPr>
        <w:t>1).</w:t>
      </w:r>
    </w:p>
    <w:p>
      <w:pPr>
        <w:pStyle w:val="BodyText"/>
        <w:spacing w:before="10"/>
      </w:pPr>
    </w:p>
    <w:p>
      <w:pPr>
        <w:pStyle w:val="BodyText"/>
        <w:ind w:left="1270"/>
        <w:jc w:val="both"/>
      </w:pPr>
      <w:r>
        <w:rPr>
          <w:color w:val="231F20"/>
        </w:rPr>
        <w:t>Se localizaron 171 colonias con distribución agregada y un promedio de tres colonias por hectárea por</w:t>
      </w:r>
    </w:p>
    <w:p>
      <w:pPr>
        <w:pStyle w:val="BodyText"/>
        <w:spacing w:before="8"/>
        <w:ind w:left="1270"/>
        <w:jc w:val="both"/>
      </w:pPr>
      <w:r>
        <w:rPr>
          <w:color w:val="231F20"/>
        </w:rPr>
        <w:t>sitio de muestreo; se encontró una mayor concentración de la especie en el Valle Florido, cuya densidad</w:t>
      </w:r>
    </w:p>
    <w:p>
      <w:pPr>
        <w:spacing w:after="0"/>
        <w:jc w:val="both"/>
        <w:sectPr>
          <w:pgSz w:w="10920" w:h="13080"/>
          <w:pgMar w:header="0" w:footer="1025" w:top="420" w:bottom="1220" w:left="0" w:right="0"/>
        </w:sectPr>
      </w:pPr>
    </w:p>
    <w:p>
      <w:pPr>
        <w:pStyle w:val="BodyText"/>
        <w:rPr>
          <w:sz w:val="20"/>
        </w:rPr>
      </w:pPr>
    </w:p>
    <w:p>
      <w:pPr>
        <w:pStyle w:val="BodyText"/>
        <w:rPr>
          <w:sz w:val="20"/>
        </w:rPr>
      </w:pPr>
    </w:p>
    <w:p>
      <w:pPr>
        <w:pStyle w:val="BodyText"/>
        <w:rPr>
          <w:sz w:val="23"/>
        </w:rPr>
      </w:pPr>
    </w:p>
    <w:p>
      <w:pPr>
        <w:pStyle w:val="BodyText"/>
        <w:spacing w:line="247" w:lineRule="auto" w:before="73"/>
        <w:ind w:left="1270" w:right="1269"/>
        <w:jc w:val="both"/>
      </w:pPr>
      <w:r>
        <w:rPr>
          <w:color w:val="231F20"/>
        </w:rPr>
        <w:t>fue de 7 </w:t>
      </w:r>
      <w:r>
        <w:rPr>
          <w:color w:val="231F20"/>
          <w:spacing w:val="-3"/>
        </w:rPr>
        <w:t>colonias/ha, </w:t>
      </w:r>
      <w:r>
        <w:rPr>
          <w:color w:val="231F20"/>
        </w:rPr>
        <w:t>1 </w:t>
      </w:r>
      <w:r>
        <w:rPr>
          <w:color w:val="231F20"/>
          <w:spacing w:val="-3"/>
        </w:rPr>
        <w:t>colonia/ha </w:t>
      </w:r>
      <w:r>
        <w:rPr>
          <w:color w:val="231F20"/>
        </w:rPr>
        <w:t>en El </w:t>
      </w:r>
      <w:r>
        <w:rPr>
          <w:color w:val="231F20"/>
          <w:spacing w:val="-3"/>
        </w:rPr>
        <w:t>Panteón, </w:t>
      </w:r>
      <w:r>
        <w:rPr>
          <w:color w:val="231F20"/>
        </w:rPr>
        <w:t>3 </w:t>
      </w:r>
      <w:r>
        <w:rPr>
          <w:color w:val="231F20"/>
          <w:spacing w:val="-3"/>
        </w:rPr>
        <w:t>colonias/ha </w:t>
      </w:r>
      <w:r>
        <w:rPr>
          <w:color w:val="231F20"/>
        </w:rPr>
        <w:t>en Las </w:t>
      </w:r>
      <w:r>
        <w:rPr>
          <w:color w:val="231F20"/>
          <w:spacing w:val="-3"/>
        </w:rPr>
        <w:t>Abejas </w:t>
      </w:r>
      <w:r>
        <w:rPr>
          <w:color w:val="231F20"/>
        </w:rPr>
        <w:t>y 2 </w:t>
      </w:r>
      <w:r>
        <w:rPr>
          <w:color w:val="231F20"/>
          <w:spacing w:val="-3"/>
        </w:rPr>
        <w:t>colonias/ha </w:t>
      </w:r>
      <w:r>
        <w:rPr>
          <w:color w:val="231F20"/>
        </w:rPr>
        <w:t>en </w:t>
      </w:r>
      <w:r>
        <w:rPr>
          <w:color w:val="231F20"/>
          <w:spacing w:val="-3"/>
        </w:rPr>
        <w:t>La Cruz; también </w:t>
      </w:r>
      <w:r>
        <w:rPr>
          <w:color w:val="231F20"/>
        </w:rPr>
        <w:t>se </w:t>
      </w:r>
      <w:r>
        <w:rPr>
          <w:color w:val="231F20"/>
          <w:spacing w:val="-3"/>
        </w:rPr>
        <w:t>observó </w:t>
      </w:r>
      <w:r>
        <w:rPr>
          <w:color w:val="231F20"/>
        </w:rPr>
        <w:t>que la </w:t>
      </w:r>
      <w:r>
        <w:rPr>
          <w:color w:val="231F20"/>
          <w:spacing w:val="-3"/>
        </w:rPr>
        <w:t>vegetación dominante </w:t>
      </w:r>
      <w:r>
        <w:rPr>
          <w:color w:val="231F20"/>
        </w:rPr>
        <w:t>en el </w:t>
      </w:r>
      <w:r>
        <w:rPr>
          <w:color w:val="231F20"/>
          <w:spacing w:val="-3"/>
        </w:rPr>
        <w:t>área </w:t>
      </w:r>
      <w:r>
        <w:rPr>
          <w:color w:val="231F20"/>
        </w:rPr>
        <w:t>de </w:t>
      </w:r>
      <w:r>
        <w:rPr>
          <w:color w:val="231F20"/>
          <w:spacing w:val="-3"/>
        </w:rPr>
        <w:t>trabajo corresponde </w:t>
      </w:r>
      <w:r>
        <w:rPr>
          <w:color w:val="231F20"/>
        </w:rPr>
        <w:t>al </w:t>
      </w:r>
      <w:r>
        <w:rPr>
          <w:color w:val="231F20"/>
          <w:spacing w:val="-3"/>
        </w:rPr>
        <w:t>matorral submontano. </w:t>
      </w:r>
      <w:r>
        <w:rPr>
          <w:color w:val="231F20"/>
        </w:rPr>
        <w:t>La </w:t>
      </w:r>
      <w:r>
        <w:rPr>
          <w:color w:val="231F20"/>
          <w:spacing w:val="-3"/>
        </w:rPr>
        <w:t>altitud </w:t>
      </w:r>
      <w:r>
        <w:rPr>
          <w:color w:val="231F20"/>
        </w:rPr>
        <w:t>de los </w:t>
      </w:r>
      <w:r>
        <w:rPr>
          <w:color w:val="231F20"/>
          <w:spacing w:val="-3"/>
        </w:rPr>
        <w:t>sitios </w:t>
      </w:r>
      <w:r>
        <w:rPr>
          <w:color w:val="231F20"/>
        </w:rPr>
        <w:t>de </w:t>
      </w:r>
      <w:r>
        <w:rPr>
          <w:color w:val="231F20"/>
          <w:spacing w:val="-3"/>
        </w:rPr>
        <w:t>muestreo osciló entre </w:t>
      </w:r>
      <w:r>
        <w:rPr>
          <w:color w:val="231F20"/>
        </w:rPr>
        <w:t>los 893 y </w:t>
      </w:r>
      <w:r>
        <w:rPr>
          <w:color w:val="231F20"/>
          <w:spacing w:val="-3"/>
        </w:rPr>
        <w:t>1049 </w:t>
      </w:r>
      <w:r>
        <w:rPr>
          <w:color w:val="231F20"/>
        </w:rPr>
        <w:t>m, con un </w:t>
      </w:r>
      <w:r>
        <w:rPr>
          <w:color w:val="231F20"/>
          <w:spacing w:val="-3"/>
        </w:rPr>
        <w:t>promedio de </w:t>
      </w:r>
      <w:r>
        <w:rPr>
          <w:color w:val="231F20"/>
        </w:rPr>
        <w:t>963 m, el </w:t>
      </w:r>
      <w:r>
        <w:rPr>
          <w:color w:val="231F20"/>
          <w:spacing w:val="-3"/>
        </w:rPr>
        <w:t>sitio </w:t>
      </w:r>
      <w:r>
        <w:rPr>
          <w:color w:val="231F20"/>
        </w:rPr>
        <w:t>de La </w:t>
      </w:r>
      <w:r>
        <w:rPr>
          <w:color w:val="231F20"/>
          <w:spacing w:val="-3"/>
        </w:rPr>
        <w:t>Cruz </w:t>
      </w:r>
      <w:r>
        <w:rPr>
          <w:color w:val="231F20"/>
        </w:rPr>
        <w:t>fue </w:t>
      </w:r>
      <w:r>
        <w:rPr>
          <w:color w:val="231F20"/>
          <w:spacing w:val="-3"/>
        </w:rPr>
        <w:t>donde </w:t>
      </w:r>
      <w:r>
        <w:rPr>
          <w:color w:val="231F20"/>
        </w:rPr>
        <w:t>se </w:t>
      </w:r>
      <w:r>
        <w:rPr>
          <w:color w:val="231F20"/>
          <w:spacing w:val="-3"/>
        </w:rPr>
        <w:t>encontraron </w:t>
      </w:r>
      <w:r>
        <w:rPr>
          <w:color w:val="231F20"/>
        </w:rPr>
        <w:t>las </w:t>
      </w:r>
      <w:r>
        <w:rPr>
          <w:color w:val="231F20"/>
          <w:spacing w:val="-3"/>
        </w:rPr>
        <w:t>colonias </w:t>
      </w:r>
      <w:r>
        <w:rPr>
          <w:color w:val="231F20"/>
        </w:rPr>
        <w:t>de </w:t>
      </w:r>
      <w:r>
        <w:rPr>
          <w:i/>
          <w:color w:val="231F20"/>
        </w:rPr>
        <w:t>C. </w:t>
      </w:r>
      <w:r>
        <w:rPr>
          <w:i/>
          <w:color w:val="231F20"/>
          <w:spacing w:val="-3"/>
        </w:rPr>
        <w:t>glassii </w:t>
      </w:r>
      <w:r>
        <w:rPr>
          <w:color w:val="231F20"/>
        </w:rPr>
        <w:t>a </w:t>
      </w:r>
      <w:r>
        <w:rPr>
          <w:color w:val="231F20"/>
          <w:spacing w:val="-3"/>
        </w:rPr>
        <w:t>mayor altura, </w:t>
      </w:r>
      <w:r>
        <w:rPr>
          <w:color w:val="231F20"/>
        </w:rPr>
        <w:t>con </w:t>
      </w:r>
      <w:r>
        <w:rPr>
          <w:color w:val="231F20"/>
          <w:spacing w:val="-3"/>
        </w:rPr>
        <w:t>un intervalo altitudinal </w:t>
      </w:r>
      <w:r>
        <w:rPr>
          <w:color w:val="231F20"/>
        </w:rPr>
        <w:t>que se </w:t>
      </w:r>
      <w:r>
        <w:rPr>
          <w:color w:val="231F20"/>
          <w:spacing w:val="-3"/>
        </w:rPr>
        <w:t>ubicó entre </w:t>
      </w:r>
      <w:r>
        <w:rPr>
          <w:color w:val="231F20"/>
        </w:rPr>
        <w:t>los 970 a los </w:t>
      </w:r>
      <w:r>
        <w:rPr>
          <w:color w:val="231F20"/>
          <w:spacing w:val="-3"/>
        </w:rPr>
        <w:t>1049 </w:t>
      </w:r>
      <w:r>
        <w:rPr>
          <w:color w:val="231F20"/>
        </w:rPr>
        <w:t>m con un </w:t>
      </w:r>
      <w:r>
        <w:rPr>
          <w:color w:val="231F20"/>
          <w:spacing w:val="-3"/>
        </w:rPr>
        <w:t>promedio </w:t>
      </w:r>
      <w:r>
        <w:rPr>
          <w:color w:val="231F20"/>
        </w:rPr>
        <w:t>de </w:t>
      </w:r>
      <w:r>
        <w:rPr>
          <w:color w:val="231F20"/>
          <w:spacing w:val="-3"/>
        </w:rPr>
        <w:t>1008 </w:t>
      </w:r>
      <w:r>
        <w:rPr>
          <w:color w:val="231F20"/>
        </w:rPr>
        <w:t>m; en </w:t>
      </w:r>
      <w:r>
        <w:rPr>
          <w:color w:val="231F20"/>
          <w:spacing w:val="-3"/>
        </w:rPr>
        <w:t>contraste </w:t>
      </w:r>
      <w:r>
        <w:rPr>
          <w:color w:val="231F20"/>
        </w:rPr>
        <w:t>con</w:t>
      </w:r>
      <w:r>
        <w:rPr>
          <w:color w:val="231F20"/>
          <w:spacing w:val="-7"/>
        </w:rPr>
        <w:t> </w:t>
      </w:r>
      <w:r>
        <w:rPr>
          <w:color w:val="231F20"/>
        </w:rPr>
        <w:t>el</w:t>
      </w:r>
      <w:r>
        <w:rPr>
          <w:color w:val="231F20"/>
          <w:spacing w:val="-7"/>
        </w:rPr>
        <w:t> </w:t>
      </w:r>
      <w:r>
        <w:rPr>
          <w:color w:val="231F20"/>
          <w:spacing w:val="-3"/>
        </w:rPr>
        <w:t>sitio</w:t>
      </w:r>
      <w:r>
        <w:rPr>
          <w:color w:val="231F20"/>
          <w:spacing w:val="-7"/>
        </w:rPr>
        <w:t> </w:t>
      </w:r>
      <w:r>
        <w:rPr>
          <w:color w:val="231F20"/>
        </w:rPr>
        <w:t>de</w:t>
      </w:r>
      <w:r>
        <w:rPr>
          <w:color w:val="231F20"/>
          <w:spacing w:val="-7"/>
        </w:rPr>
        <w:t> </w:t>
      </w:r>
      <w:r>
        <w:rPr>
          <w:color w:val="231F20"/>
        </w:rPr>
        <w:t>Las</w:t>
      </w:r>
      <w:r>
        <w:rPr>
          <w:color w:val="231F20"/>
          <w:spacing w:val="-18"/>
        </w:rPr>
        <w:t> </w:t>
      </w:r>
      <w:r>
        <w:rPr>
          <w:color w:val="231F20"/>
          <w:spacing w:val="-3"/>
        </w:rPr>
        <w:t>Abejas,</w:t>
      </w:r>
      <w:r>
        <w:rPr>
          <w:color w:val="231F20"/>
          <w:spacing w:val="-7"/>
        </w:rPr>
        <w:t> </w:t>
      </w:r>
      <w:r>
        <w:rPr>
          <w:color w:val="231F20"/>
          <w:spacing w:val="-3"/>
        </w:rPr>
        <w:t>cuyas</w:t>
      </w:r>
      <w:r>
        <w:rPr>
          <w:color w:val="231F20"/>
          <w:spacing w:val="-7"/>
        </w:rPr>
        <w:t> </w:t>
      </w:r>
      <w:r>
        <w:rPr>
          <w:color w:val="231F20"/>
          <w:spacing w:val="-3"/>
        </w:rPr>
        <w:t>colonias</w:t>
      </w:r>
      <w:r>
        <w:rPr>
          <w:color w:val="231F20"/>
          <w:spacing w:val="-7"/>
        </w:rPr>
        <w:t> </w:t>
      </w:r>
      <w:r>
        <w:rPr>
          <w:color w:val="231F20"/>
        </w:rPr>
        <w:t>se</w:t>
      </w:r>
      <w:r>
        <w:rPr>
          <w:color w:val="231F20"/>
          <w:spacing w:val="-7"/>
        </w:rPr>
        <w:t> </w:t>
      </w:r>
      <w:r>
        <w:rPr>
          <w:color w:val="231F20"/>
          <w:spacing w:val="-3"/>
        </w:rPr>
        <w:t>localizaron</w:t>
      </w:r>
      <w:r>
        <w:rPr>
          <w:color w:val="231F20"/>
          <w:spacing w:val="-7"/>
        </w:rPr>
        <w:t> </w:t>
      </w:r>
      <w:r>
        <w:rPr>
          <w:color w:val="231F20"/>
          <w:spacing w:val="-3"/>
        </w:rPr>
        <w:t>entre</w:t>
      </w:r>
      <w:r>
        <w:rPr>
          <w:color w:val="231F20"/>
          <w:spacing w:val="-7"/>
        </w:rPr>
        <w:t> </w:t>
      </w:r>
      <w:r>
        <w:rPr>
          <w:color w:val="231F20"/>
        </w:rPr>
        <w:t>los</w:t>
      </w:r>
      <w:r>
        <w:rPr>
          <w:color w:val="231F20"/>
          <w:spacing w:val="-7"/>
        </w:rPr>
        <w:t> </w:t>
      </w:r>
      <w:r>
        <w:rPr>
          <w:color w:val="231F20"/>
        </w:rPr>
        <w:t>893</w:t>
      </w:r>
      <w:r>
        <w:rPr>
          <w:color w:val="231F20"/>
          <w:spacing w:val="-7"/>
        </w:rPr>
        <w:t> </w:t>
      </w:r>
      <w:r>
        <w:rPr>
          <w:color w:val="231F20"/>
        </w:rPr>
        <w:t>y</w:t>
      </w:r>
      <w:r>
        <w:rPr>
          <w:color w:val="231F20"/>
          <w:spacing w:val="-7"/>
        </w:rPr>
        <w:t> </w:t>
      </w:r>
      <w:r>
        <w:rPr>
          <w:color w:val="231F20"/>
        </w:rPr>
        <w:t>los</w:t>
      </w:r>
      <w:r>
        <w:rPr>
          <w:color w:val="231F20"/>
          <w:spacing w:val="-7"/>
        </w:rPr>
        <w:t> </w:t>
      </w:r>
      <w:r>
        <w:rPr>
          <w:color w:val="231F20"/>
        </w:rPr>
        <w:t>967</w:t>
      </w:r>
      <w:r>
        <w:rPr>
          <w:color w:val="231F20"/>
          <w:spacing w:val="-7"/>
        </w:rPr>
        <w:t> </w:t>
      </w:r>
      <w:r>
        <w:rPr>
          <w:color w:val="231F20"/>
        </w:rPr>
        <w:t>m</w:t>
      </w:r>
      <w:r>
        <w:rPr>
          <w:color w:val="231F20"/>
          <w:spacing w:val="-7"/>
        </w:rPr>
        <w:t> </w:t>
      </w:r>
      <w:r>
        <w:rPr>
          <w:color w:val="231F20"/>
        </w:rPr>
        <w:t>de</w:t>
      </w:r>
      <w:r>
        <w:rPr>
          <w:color w:val="231F20"/>
          <w:spacing w:val="-7"/>
        </w:rPr>
        <w:t> </w:t>
      </w:r>
      <w:r>
        <w:rPr>
          <w:color w:val="231F20"/>
          <w:spacing w:val="-3"/>
        </w:rPr>
        <w:t>altura</w:t>
      </w:r>
      <w:r>
        <w:rPr>
          <w:color w:val="231F20"/>
          <w:spacing w:val="-7"/>
        </w:rPr>
        <w:t> </w:t>
      </w:r>
      <w:r>
        <w:rPr>
          <w:color w:val="231F20"/>
          <w:spacing w:val="-3"/>
        </w:rPr>
        <w:t>(Figura</w:t>
      </w:r>
      <w:r>
        <w:rPr>
          <w:color w:val="231F20"/>
          <w:spacing w:val="-7"/>
        </w:rPr>
        <w:t> </w:t>
      </w:r>
      <w:r>
        <w:rPr>
          <w:color w:val="231F20"/>
          <w:spacing w:val="-3"/>
        </w:rPr>
        <w:t>2).</w:t>
      </w:r>
    </w:p>
    <w:p>
      <w:pPr>
        <w:pStyle w:val="BodyText"/>
        <w:spacing w:before="4"/>
      </w:pPr>
    </w:p>
    <w:p>
      <w:pPr>
        <w:spacing w:before="0"/>
        <w:ind w:left="1489" w:right="1489" w:firstLine="0"/>
        <w:jc w:val="center"/>
        <w:rPr>
          <w:b/>
          <w:i/>
          <w:sz w:val="18"/>
        </w:rPr>
      </w:pPr>
      <w:r>
        <w:rPr>
          <w:b/>
          <w:color w:val="010202"/>
          <w:sz w:val="18"/>
        </w:rPr>
        <w:t>Figura 2. Altitud a la cual se localizaron las colonias de </w:t>
      </w:r>
      <w:r>
        <w:rPr>
          <w:b/>
          <w:i/>
          <w:color w:val="010202"/>
          <w:sz w:val="18"/>
        </w:rPr>
        <w:t>Coryphantha glassii</w:t>
      </w:r>
    </w:p>
    <w:p>
      <w:pPr>
        <w:spacing w:before="9"/>
        <w:ind w:left="1489" w:right="1489" w:firstLine="0"/>
        <w:jc w:val="center"/>
        <w:rPr>
          <w:b/>
          <w:sz w:val="18"/>
        </w:rPr>
      </w:pPr>
      <w:r>
        <w:rPr>
          <w:b/>
          <w:color w:val="010202"/>
          <w:sz w:val="18"/>
        </w:rPr>
        <w:t>durante el muestreo en el Ejido San José del Tapanco, Rioverde S. L. P.</w:t>
      </w:r>
    </w:p>
    <w:p>
      <w:pPr>
        <w:pStyle w:val="BodyText"/>
        <w:spacing w:before="9"/>
        <w:rPr>
          <w:b/>
          <w:sz w:val="15"/>
        </w:rPr>
      </w:pPr>
      <w:r>
        <w:rPr/>
        <w:pict>
          <v:group style="position:absolute;margin-left:109.459pt;margin-top:11.05332pt;width:327.1pt;height:145.35pt;mso-position-horizontal-relative:page;mso-position-vertical-relative:paragraph;z-index:4336;mso-wrap-distance-left:0;mso-wrap-distance-right:0" coordorigin="2189,221" coordsize="6542,2907">
            <v:shape style="position:absolute;left:2194;top:226;width:6532;height:2896" type="#_x0000_t75" stroked="false">
              <v:imagedata r:id="rId84" o:title=""/>
            </v:shape>
            <v:rect style="position:absolute;left:2194;top:226;width:6532;height:2896" filled="false" stroked="true" strokeweight=".5pt" strokecolor="#231f20"/>
            <w10:wrap type="topAndBottom"/>
          </v:group>
        </w:pict>
      </w:r>
    </w:p>
    <w:p>
      <w:pPr>
        <w:pStyle w:val="BodyText"/>
        <w:spacing w:line="247" w:lineRule="auto" w:before="25"/>
        <w:ind w:left="1270" w:right="1271"/>
        <w:jc w:val="both"/>
      </w:pPr>
      <w:r>
        <w:rPr>
          <w:color w:val="231F20"/>
          <w:spacing w:val="-3"/>
        </w:rPr>
        <w:t>En lo </w:t>
      </w:r>
      <w:r>
        <w:rPr>
          <w:color w:val="231F20"/>
          <w:spacing w:val="-4"/>
        </w:rPr>
        <w:t>que refiere </w:t>
      </w:r>
      <w:r>
        <w:rPr>
          <w:color w:val="231F20"/>
          <w:spacing w:val="-3"/>
        </w:rPr>
        <w:t>al </w:t>
      </w:r>
      <w:r>
        <w:rPr>
          <w:color w:val="231F20"/>
          <w:spacing w:val="-5"/>
        </w:rPr>
        <w:t>porcentaje </w:t>
      </w:r>
      <w:r>
        <w:rPr>
          <w:color w:val="231F20"/>
          <w:spacing w:val="-3"/>
        </w:rPr>
        <w:t>de </w:t>
      </w:r>
      <w:r>
        <w:rPr>
          <w:color w:val="231F20"/>
          <w:spacing w:val="-5"/>
        </w:rPr>
        <w:t>pendiente, </w:t>
      </w:r>
      <w:r>
        <w:rPr>
          <w:color w:val="231F20"/>
          <w:spacing w:val="-4"/>
        </w:rPr>
        <w:t>esté </w:t>
      </w:r>
      <w:r>
        <w:rPr>
          <w:color w:val="231F20"/>
          <w:spacing w:val="-3"/>
        </w:rPr>
        <w:t>se </w:t>
      </w:r>
      <w:r>
        <w:rPr>
          <w:color w:val="231F20"/>
          <w:spacing w:val="-4"/>
        </w:rPr>
        <w:t>ubicó entre </w:t>
      </w:r>
      <w:r>
        <w:rPr>
          <w:color w:val="231F20"/>
          <w:spacing w:val="-3"/>
        </w:rPr>
        <w:t>el </w:t>
      </w:r>
      <w:r>
        <w:rPr>
          <w:color w:val="231F20"/>
        </w:rPr>
        <w:t>3 y </w:t>
      </w:r>
      <w:r>
        <w:rPr>
          <w:color w:val="231F20"/>
          <w:spacing w:val="-4"/>
        </w:rPr>
        <w:t>80% con </w:t>
      </w:r>
      <w:r>
        <w:rPr>
          <w:color w:val="231F20"/>
          <w:spacing w:val="-3"/>
        </w:rPr>
        <w:t>un </w:t>
      </w:r>
      <w:r>
        <w:rPr>
          <w:color w:val="231F20"/>
          <w:spacing w:val="-5"/>
        </w:rPr>
        <w:t>promedio </w:t>
      </w:r>
      <w:r>
        <w:rPr>
          <w:color w:val="231F20"/>
          <w:spacing w:val="-3"/>
        </w:rPr>
        <w:t>de </w:t>
      </w:r>
      <w:r>
        <w:rPr>
          <w:color w:val="231F20"/>
          <w:spacing w:val="-4"/>
        </w:rPr>
        <w:t>26%; </w:t>
      </w:r>
      <w:r>
        <w:rPr>
          <w:color w:val="231F20"/>
          <w:spacing w:val="-5"/>
        </w:rPr>
        <w:t>el </w:t>
      </w:r>
      <w:r>
        <w:rPr>
          <w:color w:val="231F20"/>
          <w:spacing w:val="-4"/>
        </w:rPr>
        <w:t>sitio con mayor </w:t>
      </w:r>
      <w:r>
        <w:rPr>
          <w:color w:val="231F20"/>
          <w:spacing w:val="-5"/>
        </w:rPr>
        <w:t>porcentaje </w:t>
      </w:r>
      <w:r>
        <w:rPr>
          <w:color w:val="231F20"/>
          <w:spacing w:val="-3"/>
        </w:rPr>
        <w:t>de </w:t>
      </w:r>
      <w:r>
        <w:rPr>
          <w:color w:val="231F20"/>
          <w:spacing w:val="-5"/>
        </w:rPr>
        <w:t>pendiente </w:t>
      </w:r>
      <w:r>
        <w:rPr>
          <w:color w:val="231F20"/>
          <w:spacing w:val="-4"/>
        </w:rPr>
        <w:t>fue </w:t>
      </w:r>
      <w:r>
        <w:rPr>
          <w:color w:val="231F20"/>
          <w:spacing w:val="-3"/>
        </w:rPr>
        <w:t>La </w:t>
      </w:r>
      <w:r>
        <w:rPr>
          <w:color w:val="231F20"/>
          <w:spacing w:val="-4"/>
        </w:rPr>
        <w:t>Cruz </w:t>
      </w:r>
      <w:r>
        <w:rPr>
          <w:color w:val="231F20"/>
          <w:spacing w:val="-5"/>
        </w:rPr>
        <w:t>(38%), </w:t>
      </w:r>
      <w:r>
        <w:rPr>
          <w:color w:val="231F20"/>
          <w:spacing w:val="-4"/>
        </w:rPr>
        <w:t>con </w:t>
      </w:r>
      <w:r>
        <w:rPr>
          <w:color w:val="231F20"/>
          <w:spacing w:val="-3"/>
        </w:rPr>
        <w:t>un </w:t>
      </w:r>
      <w:r>
        <w:rPr>
          <w:color w:val="231F20"/>
          <w:spacing w:val="-5"/>
        </w:rPr>
        <w:t>porcentaje </w:t>
      </w:r>
      <w:r>
        <w:rPr>
          <w:color w:val="231F20"/>
          <w:spacing w:val="-4"/>
        </w:rPr>
        <w:t>muy </w:t>
      </w:r>
      <w:r>
        <w:rPr>
          <w:color w:val="231F20"/>
          <w:spacing w:val="-5"/>
        </w:rPr>
        <w:t>semejante </w:t>
      </w:r>
      <w:r>
        <w:rPr>
          <w:color w:val="231F20"/>
          <w:spacing w:val="-3"/>
        </w:rPr>
        <w:t>al de </w:t>
      </w:r>
      <w:r>
        <w:rPr>
          <w:color w:val="231F20"/>
          <w:spacing w:val="-5"/>
        </w:rPr>
        <w:t>Las Abejas </w:t>
      </w:r>
      <w:r>
        <w:rPr>
          <w:color w:val="231F20"/>
          <w:spacing w:val="-4"/>
        </w:rPr>
        <w:t>(35%) </w:t>
      </w:r>
      <w:r>
        <w:rPr>
          <w:color w:val="231F20"/>
        </w:rPr>
        <w:t>, </w:t>
      </w:r>
      <w:r>
        <w:rPr>
          <w:color w:val="231F20"/>
          <w:spacing w:val="-3"/>
        </w:rPr>
        <w:t>en el </w:t>
      </w:r>
      <w:r>
        <w:rPr>
          <w:color w:val="231F20"/>
          <w:spacing w:val="-9"/>
        </w:rPr>
        <w:t>Valle </w:t>
      </w:r>
      <w:r>
        <w:rPr>
          <w:color w:val="231F20"/>
          <w:spacing w:val="-5"/>
        </w:rPr>
        <w:t>Florido </w:t>
      </w:r>
      <w:r>
        <w:rPr>
          <w:color w:val="231F20"/>
          <w:spacing w:val="-3"/>
        </w:rPr>
        <w:t>la </w:t>
      </w:r>
      <w:r>
        <w:rPr>
          <w:color w:val="231F20"/>
          <w:spacing w:val="-5"/>
        </w:rPr>
        <w:t>pendiente promedio </w:t>
      </w:r>
      <w:r>
        <w:rPr>
          <w:color w:val="231F20"/>
          <w:spacing w:val="-4"/>
        </w:rPr>
        <w:t>fue </w:t>
      </w:r>
      <w:r>
        <w:rPr>
          <w:color w:val="231F20"/>
          <w:spacing w:val="-3"/>
        </w:rPr>
        <w:t>de </w:t>
      </w:r>
      <w:r>
        <w:rPr>
          <w:color w:val="231F20"/>
          <w:spacing w:val="-4"/>
        </w:rPr>
        <w:t>17%, </w:t>
      </w:r>
      <w:r>
        <w:rPr>
          <w:color w:val="231F20"/>
          <w:spacing w:val="-3"/>
        </w:rPr>
        <w:t>en </w:t>
      </w:r>
      <w:r>
        <w:rPr>
          <w:color w:val="231F20"/>
          <w:spacing w:val="-4"/>
        </w:rPr>
        <w:t>los </w:t>
      </w:r>
      <w:r>
        <w:rPr>
          <w:color w:val="231F20"/>
          <w:spacing w:val="-5"/>
        </w:rPr>
        <w:t>sitios </w:t>
      </w:r>
      <w:r>
        <w:rPr>
          <w:color w:val="231F20"/>
          <w:spacing w:val="-4"/>
        </w:rPr>
        <w:t>donde </w:t>
      </w:r>
      <w:r>
        <w:rPr>
          <w:color w:val="231F20"/>
          <w:spacing w:val="-3"/>
        </w:rPr>
        <w:t>la </w:t>
      </w:r>
      <w:r>
        <w:rPr>
          <w:color w:val="231F20"/>
          <w:spacing w:val="-5"/>
        </w:rPr>
        <w:t>pendiente es elevada</w:t>
      </w:r>
      <w:r>
        <w:rPr>
          <w:color w:val="231F20"/>
          <w:spacing w:val="-17"/>
        </w:rPr>
        <w:t> </w:t>
      </w:r>
      <w:r>
        <w:rPr>
          <w:color w:val="231F20"/>
          <w:spacing w:val="-4"/>
        </w:rPr>
        <w:t>las</w:t>
      </w:r>
      <w:r>
        <w:rPr>
          <w:color w:val="231F20"/>
          <w:spacing w:val="-17"/>
        </w:rPr>
        <w:t> </w:t>
      </w:r>
      <w:r>
        <w:rPr>
          <w:color w:val="231F20"/>
          <w:spacing w:val="-5"/>
        </w:rPr>
        <w:t>colonias</w:t>
      </w:r>
      <w:r>
        <w:rPr>
          <w:color w:val="231F20"/>
          <w:spacing w:val="-17"/>
        </w:rPr>
        <w:t> </w:t>
      </w:r>
      <w:r>
        <w:rPr>
          <w:color w:val="231F20"/>
          <w:spacing w:val="-3"/>
        </w:rPr>
        <w:t>se</w:t>
      </w:r>
      <w:r>
        <w:rPr>
          <w:color w:val="231F20"/>
          <w:spacing w:val="-15"/>
        </w:rPr>
        <w:t> </w:t>
      </w:r>
      <w:r>
        <w:rPr>
          <w:color w:val="231F20"/>
          <w:spacing w:val="-5"/>
        </w:rPr>
        <w:t>localizaron</w:t>
      </w:r>
      <w:r>
        <w:rPr>
          <w:color w:val="231F20"/>
          <w:spacing w:val="-17"/>
        </w:rPr>
        <w:t> </w:t>
      </w:r>
      <w:r>
        <w:rPr>
          <w:color w:val="231F20"/>
          <w:spacing w:val="-5"/>
        </w:rPr>
        <w:t>principalmente</w:t>
      </w:r>
      <w:r>
        <w:rPr>
          <w:color w:val="231F20"/>
          <w:spacing w:val="-15"/>
        </w:rPr>
        <w:t> </w:t>
      </w:r>
      <w:r>
        <w:rPr>
          <w:color w:val="231F20"/>
          <w:spacing w:val="-3"/>
        </w:rPr>
        <w:t>en</w:t>
      </w:r>
      <w:r>
        <w:rPr>
          <w:color w:val="231F20"/>
          <w:spacing w:val="-17"/>
        </w:rPr>
        <w:t> </w:t>
      </w:r>
      <w:r>
        <w:rPr>
          <w:color w:val="231F20"/>
          <w:spacing w:val="-4"/>
        </w:rPr>
        <w:t>las</w:t>
      </w:r>
      <w:r>
        <w:rPr>
          <w:color w:val="231F20"/>
          <w:spacing w:val="-17"/>
        </w:rPr>
        <w:t> </w:t>
      </w:r>
      <w:r>
        <w:rPr>
          <w:color w:val="231F20"/>
          <w:spacing w:val="-5"/>
        </w:rPr>
        <w:t>laderas,</w:t>
      </w:r>
      <w:r>
        <w:rPr>
          <w:color w:val="231F20"/>
          <w:spacing w:val="-17"/>
        </w:rPr>
        <w:t> </w:t>
      </w:r>
      <w:r>
        <w:rPr>
          <w:color w:val="231F20"/>
          <w:spacing w:val="-3"/>
        </w:rPr>
        <w:t>lo</w:t>
      </w:r>
      <w:r>
        <w:rPr>
          <w:color w:val="231F20"/>
          <w:spacing w:val="-17"/>
        </w:rPr>
        <w:t> </w:t>
      </w:r>
      <w:r>
        <w:rPr>
          <w:color w:val="231F20"/>
          <w:spacing w:val="-4"/>
        </w:rPr>
        <w:t>que</w:t>
      </w:r>
      <w:r>
        <w:rPr>
          <w:color w:val="231F20"/>
          <w:spacing w:val="-17"/>
        </w:rPr>
        <w:t> </w:t>
      </w:r>
      <w:r>
        <w:rPr>
          <w:color w:val="231F20"/>
          <w:spacing w:val="-5"/>
        </w:rPr>
        <w:t>contrasta</w:t>
      </w:r>
      <w:r>
        <w:rPr>
          <w:color w:val="231F20"/>
          <w:spacing w:val="-17"/>
        </w:rPr>
        <w:t> </w:t>
      </w:r>
      <w:r>
        <w:rPr>
          <w:color w:val="231F20"/>
          <w:spacing w:val="-4"/>
        </w:rPr>
        <w:t>con</w:t>
      </w:r>
      <w:r>
        <w:rPr>
          <w:color w:val="231F20"/>
          <w:spacing w:val="-17"/>
        </w:rPr>
        <w:t> </w:t>
      </w:r>
      <w:r>
        <w:rPr>
          <w:color w:val="231F20"/>
          <w:spacing w:val="-3"/>
        </w:rPr>
        <w:t>la</w:t>
      </w:r>
      <w:r>
        <w:rPr>
          <w:color w:val="231F20"/>
          <w:spacing w:val="-17"/>
        </w:rPr>
        <w:t> </w:t>
      </w:r>
      <w:r>
        <w:rPr>
          <w:color w:val="231F20"/>
          <w:spacing w:val="-5"/>
        </w:rPr>
        <w:t>prácticamente</w:t>
      </w:r>
      <w:r>
        <w:rPr>
          <w:color w:val="231F20"/>
          <w:spacing w:val="-15"/>
        </w:rPr>
        <w:t> </w:t>
      </w:r>
      <w:r>
        <w:rPr>
          <w:color w:val="231F20"/>
          <w:spacing w:val="-5"/>
        </w:rPr>
        <w:t>nula pendiente</w:t>
      </w:r>
      <w:r>
        <w:rPr>
          <w:color w:val="231F20"/>
          <w:spacing w:val="-8"/>
        </w:rPr>
        <w:t> </w:t>
      </w:r>
      <w:r>
        <w:rPr>
          <w:color w:val="231F20"/>
          <w:spacing w:val="-4"/>
        </w:rPr>
        <w:t>del</w:t>
      </w:r>
      <w:r>
        <w:rPr>
          <w:color w:val="231F20"/>
          <w:spacing w:val="-12"/>
        </w:rPr>
        <w:t> </w:t>
      </w:r>
      <w:r>
        <w:rPr>
          <w:color w:val="231F20"/>
          <w:spacing w:val="-9"/>
        </w:rPr>
        <w:t>Valle</w:t>
      </w:r>
      <w:r>
        <w:rPr>
          <w:color w:val="231F20"/>
          <w:spacing w:val="-8"/>
        </w:rPr>
        <w:t> </w:t>
      </w:r>
      <w:r>
        <w:rPr>
          <w:color w:val="231F20"/>
          <w:spacing w:val="-5"/>
        </w:rPr>
        <w:t>Florido,</w:t>
      </w:r>
      <w:r>
        <w:rPr>
          <w:color w:val="231F20"/>
          <w:spacing w:val="-8"/>
        </w:rPr>
        <w:t> </w:t>
      </w:r>
      <w:r>
        <w:rPr>
          <w:color w:val="231F20"/>
          <w:spacing w:val="-4"/>
        </w:rPr>
        <w:t>donde</w:t>
      </w:r>
      <w:r>
        <w:rPr>
          <w:color w:val="231F20"/>
          <w:spacing w:val="-8"/>
        </w:rPr>
        <w:t> </w:t>
      </w:r>
      <w:r>
        <w:rPr>
          <w:color w:val="231F20"/>
          <w:spacing w:val="-4"/>
        </w:rPr>
        <w:t>las</w:t>
      </w:r>
      <w:r>
        <w:rPr>
          <w:color w:val="231F20"/>
          <w:spacing w:val="-8"/>
        </w:rPr>
        <w:t> </w:t>
      </w:r>
      <w:r>
        <w:rPr>
          <w:color w:val="231F20"/>
          <w:spacing w:val="-5"/>
        </w:rPr>
        <w:t>colonias</w:t>
      </w:r>
      <w:r>
        <w:rPr>
          <w:color w:val="231F20"/>
          <w:spacing w:val="-8"/>
        </w:rPr>
        <w:t> </w:t>
      </w:r>
      <w:r>
        <w:rPr>
          <w:color w:val="231F20"/>
          <w:spacing w:val="-3"/>
        </w:rPr>
        <w:t>se</w:t>
      </w:r>
      <w:r>
        <w:rPr>
          <w:color w:val="231F20"/>
          <w:spacing w:val="-8"/>
        </w:rPr>
        <w:t> </w:t>
      </w:r>
      <w:r>
        <w:rPr>
          <w:color w:val="231F20"/>
          <w:spacing w:val="-5"/>
        </w:rPr>
        <w:t>localizaron</w:t>
      </w:r>
      <w:r>
        <w:rPr>
          <w:color w:val="231F20"/>
          <w:spacing w:val="-8"/>
        </w:rPr>
        <w:t> </w:t>
      </w:r>
      <w:r>
        <w:rPr>
          <w:color w:val="231F20"/>
          <w:spacing w:val="-3"/>
        </w:rPr>
        <w:t>en</w:t>
      </w:r>
      <w:r>
        <w:rPr>
          <w:color w:val="231F20"/>
          <w:spacing w:val="-8"/>
        </w:rPr>
        <w:t> </w:t>
      </w:r>
      <w:r>
        <w:rPr>
          <w:color w:val="231F20"/>
          <w:spacing w:val="-3"/>
        </w:rPr>
        <w:t>la</w:t>
      </w:r>
      <w:r>
        <w:rPr>
          <w:color w:val="231F20"/>
          <w:spacing w:val="-8"/>
        </w:rPr>
        <w:t> </w:t>
      </w:r>
      <w:r>
        <w:rPr>
          <w:color w:val="231F20"/>
          <w:spacing w:val="-4"/>
        </w:rPr>
        <w:t>cima</w:t>
      </w:r>
      <w:r>
        <w:rPr>
          <w:color w:val="231F20"/>
          <w:spacing w:val="-8"/>
        </w:rPr>
        <w:t> </w:t>
      </w:r>
      <w:r>
        <w:rPr>
          <w:color w:val="231F20"/>
          <w:spacing w:val="-3"/>
        </w:rPr>
        <w:t>de</w:t>
      </w:r>
      <w:r>
        <w:rPr>
          <w:color w:val="231F20"/>
          <w:spacing w:val="-8"/>
        </w:rPr>
        <w:t> </w:t>
      </w:r>
      <w:r>
        <w:rPr>
          <w:color w:val="231F20"/>
          <w:spacing w:val="-4"/>
        </w:rPr>
        <w:t>dicha</w:t>
      </w:r>
      <w:r>
        <w:rPr>
          <w:color w:val="231F20"/>
          <w:spacing w:val="-8"/>
        </w:rPr>
        <w:t> </w:t>
      </w:r>
      <w:r>
        <w:rPr>
          <w:color w:val="231F20"/>
          <w:spacing w:val="-5"/>
        </w:rPr>
        <w:t>elevación</w:t>
      </w:r>
      <w:r>
        <w:rPr>
          <w:color w:val="231F20"/>
          <w:spacing w:val="-8"/>
        </w:rPr>
        <w:t> </w:t>
      </w:r>
      <w:r>
        <w:rPr>
          <w:color w:val="231F20"/>
          <w:spacing w:val="-5"/>
        </w:rPr>
        <w:t>(Figura</w:t>
      </w:r>
      <w:r>
        <w:rPr>
          <w:color w:val="231F20"/>
          <w:spacing w:val="-8"/>
        </w:rPr>
        <w:t> </w:t>
      </w:r>
      <w:r>
        <w:rPr>
          <w:color w:val="231F20"/>
          <w:spacing w:val="-5"/>
        </w:rPr>
        <w:t>3).</w:t>
      </w:r>
    </w:p>
    <w:p>
      <w:pPr>
        <w:pStyle w:val="BodyText"/>
        <w:spacing w:before="4"/>
      </w:pPr>
    </w:p>
    <w:p>
      <w:pPr>
        <w:spacing w:before="0"/>
        <w:ind w:left="1489" w:right="1489" w:firstLine="0"/>
        <w:jc w:val="center"/>
        <w:rPr>
          <w:b/>
          <w:i/>
          <w:sz w:val="18"/>
        </w:rPr>
      </w:pPr>
      <w:r>
        <w:rPr>
          <w:b/>
          <w:color w:val="010202"/>
          <w:sz w:val="18"/>
        </w:rPr>
        <w:t>Figura 3. Porcentaje de pendiente en la que se localizan las colonias de </w:t>
      </w:r>
      <w:r>
        <w:rPr>
          <w:b/>
          <w:i/>
          <w:color w:val="010202"/>
          <w:sz w:val="18"/>
        </w:rPr>
        <w:t>Coryphantha glassii</w:t>
      </w:r>
    </w:p>
    <w:p>
      <w:pPr>
        <w:spacing w:before="9"/>
        <w:ind w:left="1489" w:right="1489" w:firstLine="0"/>
        <w:jc w:val="center"/>
        <w:rPr>
          <w:b/>
          <w:sz w:val="18"/>
        </w:rPr>
      </w:pPr>
      <w:r>
        <w:rPr>
          <w:b/>
          <w:color w:val="010202"/>
          <w:sz w:val="18"/>
        </w:rPr>
        <w:t>durante el muestreo en el Ejido San José del Tapanco, Rioverde S. L. P.</w:t>
      </w:r>
    </w:p>
    <w:p>
      <w:pPr>
        <w:pStyle w:val="BodyText"/>
        <w:spacing w:before="9"/>
        <w:rPr>
          <w:b/>
          <w:sz w:val="15"/>
        </w:rPr>
      </w:pPr>
      <w:r>
        <w:rPr/>
        <w:pict>
          <v:group style="position:absolute;margin-left:108.505997pt;margin-top:11.053717pt;width:329pt;height:140.5pt;mso-position-horizontal-relative:page;mso-position-vertical-relative:paragraph;z-index:4360;mso-wrap-distance-left:0;mso-wrap-distance-right:0" coordorigin="2170,221" coordsize="6580,2810">
            <v:shape style="position:absolute;left:2175;top:226;width:6570;height:2800" type="#_x0000_t75" stroked="false">
              <v:imagedata r:id="rId85" o:title=""/>
            </v:shape>
            <v:rect style="position:absolute;left:2175;top:226;width:6570;height:2800" filled="false" stroked="true" strokeweight=".5pt" strokecolor="#231f20"/>
            <w10:wrap type="topAndBottom"/>
          </v:group>
        </w:pict>
      </w:r>
    </w:p>
    <w:p>
      <w:pPr>
        <w:spacing w:after="0"/>
        <w:rPr>
          <w:sz w:val="15"/>
        </w:rPr>
        <w:sectPr>
          <w:footerReference w:type="default" r:id="rId83"/>
          <w:pgSz w:w="10920" w:h="13080"/>
          <w:pgMar w:footer="1025" w:header="0" w:top="420" w:bottom="1220" w:left="0" w:right="0"/>
        </w:sectPr>
      </w:pPr>
    </w:p>
    <w:p>
      <w:pPr>
        <w:pStyle w:val="BodyText"/>
        <w:rPr>
          <w:b/>
          <w:sz w:val="20"/>
        </w:rPr>
      </w:pPr>
    </w:p>
    <w:p>
      <w:pPr>
        <w:pStyle w:val="BodyText"/>
        <w:rPr>
          <w:b/>
          <w:sz w:val="20"/>
        </w:rPr>
      </w:pPr>
    </w:p>
    <w:p>
      <w:pPr>
        <w:pStyle w:val="BodyText"/>
        <w:rPr>
          <w:b/>
          <w:sz w:val="23"/>
        </w:rPr>
      </w:pPr>
    </w:p>
    <w:p>
      <w:pPr>
        <w:pStyle w:val="BodyText"/>
        <w:spacing w:line="247" w:lineRule="auto" w:before="73"/>
        <w:ind w:left="1270" w:right="1267"/>
        <w:jc w:val="both"/>
      </w:pPr>
      <w:r>
        <w:rPr>
          <w:color w:val="231F20"/>
        </w:rPr>
        <w:t>La</w:t>
      </w:r>
      <w:r>
        <w:rPr>
          <w:color w:val="231F20"/>
          <w:spacing w:val="-5"/>
        </w:rPr>
        <w:t> </w:t>
      </w:r>
      <w:r>
        <w:rPr>
          <w:color w:val="231F20"/>
        </w:rPr>
        <w:t>Figura</w:t>
      </w:r>
      <w:r>
        <w:rPr>
          <w:color w:val="231F20"/>
          <w:spacing w:val="-4"/>
        </w:rPr>
        <w:t> </w:t>
      </w:r>
      <w:r>
        <w:rPr>
          <w:color w:val="231F20"/>
        </w:rPr>
        <w:t>4</w:t>
      </w:r>
      <w:r>
        <w:rPr>
          <w:color w:val="231F20"/>
          <w:spacing w:val="-4"/>
        </w:rPr>
        <w:t> </w:t>
      </w:r>
      <w:r>
        <w:rPr>
          <w:color w:val="231F20"/>
        </w:rPr>
        <w:t>presenta</w:t>
      </w:r>
      <w:r>
        <w:rPr>
          <w:color w:val="231F20"/>
          <w:spacing w:val="-5"/>
        </w:rPr>
        <w:t> </w:t>
      </w:r>
      <w:r>
        <w:rPr>
          <w:color w:val="231F20"/>
        </w:rPr>
        <w:t>la</w:t>
      </w:r>
      <w:r>
        <w:rPr>
          <w:color w:val="231F20"/>
          <w:spacing w:val="-5"/>
        </w:rPr>
        <w:t> </w:t>
      </w:r>
      <w:r>
        <w:rPr>
          <w:color w:val="231F20"/>
        </w:rPr>
        <w:t>probable</w:t>
      </w:r>
      <w:r>
        <w:rPr>
          <w:color w:val="231F20"/>
          <w:spacing w:val="-4"/>
        </w:rPr>
        <w:t> </w:t>
      </w:r>
      <w:r>
        <w:rPr>
          <w:color w:val="231F20"/>
        </w:rPr>
        <w:t>distribución</w:t>
      </w:r>
      <w:r>
        <w:rPr>
          <w:color w:val="231F20"/>
          <w:spacing w:val="-5"/>
        </w:rPr>
        <w:t> </w:t>
      </w:r>
      <w:r>
        <w:rPr>
          <w:color w:val="231F20"/>
        </w:rPr>
        <w:t>de</w:t>
      </w:r>
      <w:r>
        <w:rPr>
          <w:color w:val="231F20"/>
          <w:spacing w:val="-5"/>
        </w:rPr>
        <w:t> </w:t>
      </w:r>
      <w:r>
        <w:rPr>
          <w:i/>
          <w:color w:val="231F20"/>
        </w:rPr>
        <w:t>C.</w:t>
      </w:r>
      <w:r>
        <w:rPr>
          <w:i/>
          <w:color w:val="231F20"/>
          <w:spacing w:val="-4"/>
        </w:rPr>
        <w:t> </w:t>
      </w:r>
      <w:r>
        <w:rPr>
          <w:i/>
          <w:color w:val="231F20"/>
        </w:rPr>
        <w:t>glassii</w:t>
      </w:r>
      <w:r>
        <w:rPr>
          <w:i/>
          <w:color w:val="231F20"/>
          <w:spacing w:val="-4"/>
        </w:rPr>
        <w:t> </w:t>
      </w:r>
      <w:r>
        <w:rPr>
          <w:color w:val="231F20"/>
        </w:rPr>
        <w:t>obtenida</w:t>
      </w:r>
      <w:r>
        <w:rPr>
          <w:color w:val="231F20"/>
          <w:spacing w:val="-4"/>
        </w:rPr>
        <w:t> </w:t>
      </w:r>
      <w:r>
        <w:rPr>
          <w:color w:val="231F20"/>
        </w:rPr>
        <w:t>através</w:t>
      </w:r>
      <w:r>
        <w:rPr>
          <w:color w:val="231F20"/>
          <w:spacing w:val="-5"/>
        </w:rPr>
        <w:t> </w:t>
      </w:r>
      <w:r>
        <w:rPr>
          <w:color w:val="231F20"/>
        </w:rPr>
        <w:t>de</w:t>
      </w:r>
      <w:r>
        <w:rPr>
          <w:color w:val="231F20"/>
          <w:spacing w:val="-4"/>
        </w:rPr>
        <w:t> </w:t>
      </w:r>
      <w:r>
        <w:rPr>
          <w:color w:val="231F20"/>
        </w:rPr>
        <w:t>la</w:t>
      </w:r>
      <w:r>
        <w:rPr>
          <w:color w:val="231F20"/>
          <w:spacing w:val="-5"/>
        </w:rPr>
        <w:t> </w:t>
      </w:r>
      <w:r>
        <w:rPr>
          <w:color w:val="231F20"/>
        </w:rPr>
        <w:t>sobreposición</w:t>
      </w:r>
      <w:r>
        <w:rPr>
          <w:color w:val="231F20"/>
          <w:spacing w:val="-4"/>
        </w:rPr>
        <w:t> </w:t>
      </w:r>
      <w:r>
        <w:rPr>
          <w:color w:val="231F20"/>
        </w:rPr>
        <w:t>en</w:t>
      </w:r>
      <w:r>
        <w:rPr>
          <w:color w:val="231F20"/>
          <w:spacing w:val="-4"/>
        </w:rPr>
        <w:t> </w:t>
      </w:r>
      <w:r>
        <w:rPr>
          <w:color w:val="231F20"/>
        </w:rPr>
        <w:t>el software ArcView 3.2 de las siguientes características físicas de su hábitat: (a) Clima: seco semicá- lido (BS1hw) seleccionado del mapa de clima escala 1:1,000,000 (INEGI, 2000); (b) Suelo: Litosol más</w:t>
      </w:r>
      <w:r>
        <w:rPr>
          <w:color w:val="231F20"/>
          <w:spacing w:val="-6"/>
        </w:rPr>
        <w:t> </w:t>
      </w:r>
      <w:r>
        <w:rPr>
          <w:color w:val="231F20"/>
        </w:rPr>
        <w:t>Leptosol</w:t>
      </w:r>
      <w:r>
        <w:rPr>
          <w:color w:val="231F20"/>
          <w:spacing w:val="-6"/>
        </w:rPr>
        <w:t> </w:t>
      </w:r>
      <w:r>
        <w:rPr>
          <w:color w:val="231F20"/>
        </w:rPr>
        <w:t>con</w:t>
      </w:r>
      <w:r>
        <w:rPr>
          <w:color w:val="231F20"/>
          <w:spacing w:val="-6"/>
        </w:rPr>
        <w:t> </w:t>
      </w:r>
      <w:r>
        <w:rPr>
          <w:color w:val="231F20"/>
        </w:rPr>
        <w:t>textura</w:t>
      </w:r>
      <w:r>
        <w:rPr>
          <w:color w:val="231F20"/>
          <w:spacing w:val="-6"/>
        </w:rPr>
        <w:t> </w:t>
      </w:r>
      <w:r>
        <w:rPr>
          <w:color w:val="231F20"/>
        </w:rPr>
        <w:t>media</w:t>
      </w:r>
      <w:r>
        <w:rPr>
          <w:color w:val="231F20"/>
          <w:spacing w:val="-6"/>
        </w:rPr>
        <w:t> </w:t>
      </w:r>
      <w:r>
        <w:rPr>
          <w:color w:val="231F20"/>
        </w:rPr>
        <w:t>y</w:t>
      </w:r>
      <w:r>
        <w:rPr>
          <w:color w:val="231F20"/>
          <w:spacing w:val="-9"/>
        </w:rPr>
        <w:t> </w:t>
      </w:r>
      <w:r>
        <w:rPr>
          <w:color w:val="231F20"/>
          <w:spacing w:val="-3"/>
        </w:rPr>
        <w:t>Vertisol</w:t>
      </w:r>
      <w:r>
        <w:rPr>
          <w:color w:val="231F20"/>
          <w:spacing w:val="-6"/>
        </w:rPr>
        <w:t> </w:t>
      </w:r>
      <w:r>
        <w:rPr>
          <w:color w:val="231F20"/>
        </w:rPr>
        <w:t>pélico</w:t>
      </w:r>
      <w:r>
        <w:rPr>
          <w:color w:val="231F20"/>
          <w:spacing w:val="-6"/>
        </w:rPr>
        <w:t> </w:t>
      </w:r>
      <w:r>
        <w:rPr>
          <w:color w:val="231F20"/>
        </w:rPr>
        <w:t>más</w:t>
      </w:r>
      <w:r>
        <w:rPr>
          <w:color w:val="231F20"/>
          <w:spacing w:val="-6"/>
        </w:rPr>
        <w:t> </w:t>
      </w:r>
      <w:r>
        <w:rPr>
          <w:color w:val="231F20"/>
        </w:rPr>
        <w:t>Castañozem</w:t>
      </w:r>
      <w:r>
        <w:rPr>
          <w:color w:val="231F20"/>
          <w:spacing w:val="-6"/>
        </w:rPr>
        <w:t> </w:t>
      </w:r>
      <w:r>
        <w:rPr>
          <w:color w:val="231F20"/>
        </w:rPr>
        <w:t>cálcico</w:t>
      </w:r>
      <w:r>
        <w:rPr>
          <w:color w:val="231F20"/>
          <w:spacing w:val="-6"/>
        </w:rPr>
        <w:t> </w:t>
      </w:r>
      <w:r>
        <w:rPr>
          <w:color w:val="231F20"/>
        </w:rPr>
        <w:t>y</w:t>
      </w:r>
      <w:r>
        <w:rPr>
          <w:color w:val="231F20"/>
          <w:spacing w:val="-6"/>
        </w:rPr>
        <w:t> </w:t>
      </w:r>
      <w:r>
        <w:rPr>
          <w:color w:val="231F20"/>
        </w:rPr>
        <w:t>Litosol</w:t>
      </w:r>
      <w:r>
        <w:rPr>
          <w:color w:val="231F20"/>
          <w:spacing w:val="-6"/>
        </w:rPr>
        <w:t> </w:t>
      </w:r>
      <w:r>
        <w:rPr>
          <w:color w:val="231F20"/>
        </w:rPr>
        <w:t>con</w:t>
      </w:r>
      <w:r>
        <w:rPr>
          <w:color w:val="231F20"/>
          <w:spacing w:val="-6"/>
        </w:rPr>
        <w:t> </w:t>
      </w:r>
      <w:r>
        <w:rPr>
          <w:color w:val="231F20"/>
        </w:rPr>
        <w:t>textura</w:t>
      </w:r>
      <w:r>
        <w:rPr>
          <w:color w:val="231F20"/>
          <w:spacing w:val="-6"/>
        </w:rPr>
        <w:t> </w:t>
      </w:r>
      <w:r>
        <w:rPr>
          <w:color w:val="231F20"/>
        </w:rPr>
        <w:t>fina, característica previamente seleccionada del mapa edafológico escala 1:1,000,000 (INEGI, 2000)  </w:t>
      </w:r>
      <w:r>
        <w:rPr>
          <w:color w:val="231F20"/>
          <w:spacing w:val="16"/>
        </w:rPr>
        <w:t> </w:t>
      </w:r>
      <w:r>
        <w:rPr>
          <w:color w:val="231F20"/>
        </w:rPr>
        <w:t>y</w:t>
      </w:r>
    </w:p>
    <w:p>
      <w:pPr>
        <w:pStyle w:val="ListParagraph"/>
        <w:numPr>
          <w:ilvl w:val="0"/>
          <w:numId w:val="1"/>
        </w:numPr>
        <w:tabs>
          <w:tab w:pos="1550" w:val="left" w:leader="none"/>
        </w:tabs>
        <w:spacing w:line="247" w:lineRule="auto" w:before="1" w:after="0"/>
        <w:ind w:left="1270" w:right="1267" w:firstLine="0"/>
        <w:jc w:val="both"/>
        <w:rPr>
          <w:sz w:val="21"/>
        </w:rPr>
      </w:pPr>
      <w:r>
        <w:rPr>
          <w:color w:val="231F20"/>
          <w:spacing w:val="-3"/>
          <w:sz w:val="21"/>
        </w:rPr>
        <w:t>Vegetación: </w:t>
      </w:r>
      <w:r>
        <w:rPr>
          <w:color w:val="231F20"/>
          <w:sz w:val="21"/>
        </w:rPr>
        <w:t>matorral submontano del Inventario Nacional Forestal 2001, escala 1:1,000,000.</w:t>
      </w:r>
      <w:r>
        <w:rPr>
          <w:color w:val="231F20"/>
          <w:spacing w:val="-23"/>
          <w:sz w:val="21"/>
        </w:rPr>
        <w:t> </w:t>
      </w:r>
      <w:r>
        <w:rPr>
          <w:color w:val="231F20"/>
          <w:sz w:val="21"/>
        </w:rPr>
        <w:t>Di- cha distribución potencial corresponde a superficies de los municipios de </w:t>
      </w:r>
      <w:r>
        <w:rPr>
          <w:color w:val="231F20"/>
          <w:spacing w:val="-3"/>
          <w:sz w:val="21"/>
        </w:rPr>
        <w:t>Villa </w:t>
      </w:r>
      <w:r>
        <w:rPr>
          <w:color w:val="231F20"/>
          <w:sz w:val="21"/>
        </w:rPr>
        <w:t>Juárez, Santa María del</w:t>
      </w:r>
      <w:r>
        <w:rPr>
          <w:color w:val="231F20"/>
          <w:spacing w:val="-3"/>
          <w:sz w:val="21"/>
        </w:rPr>
        <w:t> </w:t>
      </w:r>
      <w:r>
        <w:rPr>
          <w:color w:val="231F20"/>
          <w:sz w:val="21"/>
        </w:rPr>
        <w:t>Río,</w:t>
      </w:r>
      <w:r>
        <w:rPr>
          <w:color w:val="231F20"/>
          <w:spacing w:val="-3"/>
          <w:sz w:val="21"/>
        </w:rPr>
        <w:t> </w:t>
      </w:r>
      <w:r>
        <w:rPr>
          <w:color w:val="231F20"/>
          <w:sz w:val="21"/>
        </w:rPr>
        <w:t>San</w:t>
      </w:r>
      <w:r>
        <w:rPr>
          <w:color w:val="231F20"/>
          <w:spacing w:val="-3"/>
          <w:sz w:val="21"/>
        </w:rPr>
        <w:t> </w:t>
      </w:r>
      <w:r>
        <w:rPr>
          <w:color w:val="231F20"/>
          <w:sz w:val="21"/>
        </w:rPr>
        <w:t>Nicolás</w:t>
      </w:r>
      <w:r>
        <w:rPr>
          <w:color w:val="231F20"/>
          <w:spacing w:val="-7"/>
          <w:sz w:val="21"/>
        </w:rPr>
        <w:t> </w:t>
      </w:r>
      <w:r>
        <w:rPr>
          <w:color w:val="231F20"/>
          <w:sz w:val="21"/>
        </w:rPr>
        <w:t>Tolentino,</w:t>
      </w:r>
      <w:r>
        <w:rPr>
          <w:color w:val="231F20"/>
          <w:spacing w:val="-3"/>
          <w:sz w:val="21"/>
        </w:rPr>
        <w:t> </w:t>
      </w:r>
      <w:r>
        <w:rPr>
          <w:color w:val="231F20"/>
          <w:sz w:val="21"/>
        </w:rPr>
        <w:t>San</w:t>
      </w:r>
      <w:r>
        <w:rPr>
          <w:color w:val="231F20"/>
          <w:spacing w:val="-3"/>
          <w:sz w:val="21"/>
        </w:rPr>
        <w:t> </w:t>
      </w:r>
      <w:r>
        <w:rPr>
          <w:color w:val="231F20"/>
          <w:sz w:val="21"/>
        </w:rPr>
        <w:t>Ciro</w:t>
      </w:r>
      <w:r>
        <w:rPr>
          <w:color w:val="231F20"/>
          <w:spacing w:val="-3"/>
          <w:sz w:val="21"/>
        </w:rPr>
        <w:t> </w:t>
      </w:r>
      <w:r>
        <w:rPr>
          <w:color w:val="231F20"/>
          <w:sz w:val="21"/>
        </w:rPr>
        <w:t>de</w:t>
      </w:r>
      <w:r>
        <w:rPr>
          <w:color w:val="231F20"/>
          <w:spacing w:val="-15"/>
          <w:sz w:val="21"/>
        </w:rPr>
        <w:t> </w:t>
      </w:r>
      <w:r>
        <w:rPr>
          <w:color w:val="231F20"/>
          <w:sz w:val="21"/>
        </w:rPr>
        <w:t>Acosta,</w:t>
      </w:r>
      <w:r>
        <w:rPr>
          <w:color w:val="231F20"/>
          <w:spacing w:val="-3"/>
          <w:sz w:val="21"/>
        </w:rPr>
        <w:t> </w:t>
      </w:r>
      <w:r>
        <w:rPr>
          <w:color w:val="231F20"/>
          <w:sz w:val="21"/>
        </w:rPr>
        <w:t>Rioverde,</w:t>
      </w:r>
      <w:r>
        <w:rPr>
          <w:color w:val="231F20"/>
          <w:spacing w:val="-3"/>
          <w:sz w:val="21"/>
        </w:rPr>
        <w:t> </w:t>
      </w:r>
      <w:r>
        <w:rPr>
          <w:color w:val="231F20"/>
          <w:sz w:val="21"/>
        </w:rPr>
        <w:t>Rayón,</w:t>
      </w:r>
      <w:r>
        <w:rPr>
          <w:color w:val="231F20"/>
          <w:spacing w:val="-3"/>
          <w:sz w:val="21"/>
        </w:rPr>
        <w:t> </w:t>
      </w:r>
      <w:r>
        <w:rPr>
          <w:color w:val="231F20"/>
          <w:sz w:val="21"/>
        </w:rPr>
        <w:t>Guadalcazar,</w:t>
      </w:r>
      <w:r>
        <w:rPr>
          <w:color w:val="231F20"/>
          <w:spacing w:val="-3"/>
          <w:sz w:val="21"/>
        </w:rPr>
        <w:t> </w:t>
      </w:r>
      <w:r>
        <w:rPr>
          <w:color w:val="231F20"/>
          <w:sz w:val="21"/>
        </w:rPr>
        <w:t>Ciudad</w:t>
      </w:r>
      <w:r>
        <w:rPr>
          <w:color w:val="231F20"/>
          <w:spacing w:val="-3"/>
          <w:sz w:val="21"/>
        </w:rPr>
        <w:t> </w:t>
      </w:r>
      <w:r>
        <w:rPr>
          <w:color w:val="231F20"/>
          <w:sz w:val="21"/>
        </w:rPr>
        <w:t>Fernán- dez, Cerritos y Armadillo de los Infante en San Luís Potosí; así como el municipio de Victoria en Guanajuato;</w:t>
      </w:r>
      <w:r>
        <w:rPr>
          <w:color w:val="231F20"/>
          <w:spacing w:val="-6"/>
          <w:sz w:val="21"/>
        </w:rPr>
        <w:t> </w:t>
      </w:r>
      <w:r>
        <w:rPr>
          <w:color w:val="231F20"/>
          <w:sz w:val="21"/>
        </w:rPr>
        <w:t>lo</w:t>
      </w:r>
      <w:r>
        <w:rPr>
          <w:color w:val="231F20"/>
          <w:spacing w:val="-6"/>
          <w:sz w:val="21"/>
        </w:rPr>
        <w:t> </w:t>
      </w:r>
      <w:r>
        <w:rPr>
          <w:color w:val="231F20"/>
          <w:sz w:val="21"/>
        </w:rPr>
        <w:t>que</w:t>
      </w:r>
      <w:r>
        <w:rPr>
          <w:color w:val="231F20"/>
          <w:spacing w:val="-6"/>
          <w:sz w:val="21"/>
        </w:rPr>
        <w:t> </w:t>
      </w:r>
      <w:r>
        <w:rPr>
          <w:color w:val="231F20"/>
          <w:sz w:val="21"/>
        </w:rPr>
        <w:t>contrasta</w:t>
      </w:r>
      <w:r>
        <w:rPr>
          <w:color w:val="231F20"/>
          <w:spacing w:val="-6"/>
          <w:sz w:val="21"/>
        </w:rPr>
        <w:t> </w:t>
      </w:r>
      <w:r>
        <w:rPr>
          <w:color w:val="231F20"/>
          <w:sz w:val="21"/>
        </w:rPr>
        <w:t>con</w:t>
      </w:r>
      <w:r>
        <w:rPr>
          <w:color w:val="231F20"/>
          <w:spacing w:val="-6"/>
          <w:sz w:val="21"/>
        </w:rPr>
        <w:t> </w:t>
      </w:r>
      <w:r>
        <w:rPr>
          <w:color w:val="231F20"/>
          <w:sz w:val="21"/>
        </w:rPr>
        <w:t>lo</w:t>
      </w:r>
      <w:r>
        <w:rPr>
          <w:color w:val="231F20"/>
          <w:spacing w:val="-6"/>
          <w:sz w:val="21"/>
        </w:rPr>
        <w:t> </w:t>
      </w:r>
      <w:r>
        <w:rPr>
          <w:color w:val="231F20"/>
          <w:sz w:val="21"/>
        </w:rPr>
        <w:t>expuesto</w:t>
      </w:r>
      <w:r>
        <w:rPr>
          <w:color w:val="231F20"/>
          <w:spacing w:val="-6"/>
          <w:sz w:val="21"/>
        </w:rPr>
        <w:t> </w:t>
      </w:r>
      <w:r>
        <w:rPr>
          <w:color w:val="231F20"/>
          <w:sz w:val="21"/>
        </w:rPr>
        <w:t>por</w:t>
      </w:r>
      <w:r>
        <w:rPr>
          <w:color w:val="231F20"/>
          <w:spacing w:val="-6"/>
          <w:sz w:val="21"/>
        </w:rPr>
        <w:t> </w:t>
      </w:r>
      <w:r>
        <w:rPr>
          <w:color w:val="231F20"/>
          <w:sz w:val="21"/>
        </w:rPr>
        <w:t>Dicht</w:t>
      </w:r>
      <w:r>
        <w:rPr>
          <w:color w:val="231F20"/>
          <w:spacing w:val="-6"/>
          <w:sz w:val="21"/>
        </w:rPr>
        <w:t> </w:t>
      </w:r>
      <w:r>
        <w:rPr>
          <w:color w:val="231F20"/>
          <w:sz w:val="21"/>
        </w:rPr>
        <w:t>y</w:t>
      </w:r>
      <w:r>
        <w:rPr>
          <w:color w:val="231F20"/>
          <w:spacing w:val="-6"/>
          <w:sz w:val="21"/>
        </w:rPr>
        <w:t> </w:t>
      </w:r>
      <w:r>
        <w:rPr>
          <w:color w:val="231F20"/>
          <w:sz w:val="21"/>
        </w:rPr>
        <w:t>Lüthy</w:t>
      </w:r>
      <w:r>
        <w:rPr>
          <w:color w:val="231F20"/>
          <w:spacing w:val="-6"/>
          <w:sz w:val="21"/>
        </w:rPr>
        <w:t> </w:t>
      </w:r>
      <w:r>
        <w:rPr>
          <w:color w:val="231F20"/>
          <w:sz w:val="21"/>
        </w:rPr>
        <w:t>(2009),</w:t>
      </w:r>
      <w:r>
        <w:rPr>
          <w:color w:val="231F20"/>
          <w:spacing w:val="-6"/>
          <w:sz w:val="21"/>
        </w:rPr>
        <w:t> </w:t>
      </w:r>
      <w:r>
        <w:rPr>
          <w:color w:val="231F20"/>
          <w:sz w:val="21"/>
        </w:rPr>
        <w:t>debido</w:t>
      </w:r>
      <w:r>
        <w:rPr>
          <w:color w:val="231F20"/>
          <w:spacing w:val="-6"/>
          <w:sz w:val="21"/>
        </w:rPr>
        <w:t> </w:t>
      </w:r>
      <w:r>
        <w:rPr>
          <w:color w:val="231F20"/>
          <w:sz w:val="21"/>
        </w:rPr>
        <w:t>a</w:t>
      </w:r>
      <w:r>
        <w:rPr>
          <w:color w:val="231F20"/>
          <w:spacing w:val="-6"/>
          <w:sz w:val="21"/>
        </w:rPr>
        <w:t> </w:t>
      </w:r>
      <w:r>
        <w:rPr>
          <w:color w:val="231F20"/>
          <w:sz w:val="21"/>
        </w:rPr>
        <w:t>que</w:t>
      </w:r>
      <w:r>
        <w:rPr>
          <w:color w:val="231F20"/>
          <w:spacing w:val="-6"/>
          <w:sz w:val="21"/>
        </w:rPr>
        <w:t> </w:t>
      </w:r>
      <w:r>
        <w:rPr>
          <w:color w:val="231F20"/>
          <w:sz w:val="21"/>
        </w:rPr>
        <w:t>no</w:t>
      </w:r>
      <w:r>
        <w:rPr>
          <w:color w:val="231F20"/>
          <w:spacing w:val="-6"/>
          <w:sz w:val="21"/>
        </w:rPr>
        <w:t> </w:t>
      </w:r>
      <w:r>
        <w:rPr>
          <w:color w:val="231F20"/>
          <w:sz w:val="21"/>
        </w:rPr>
        <w:t>se</w:t>
      </w:r>
      <w:r>
        <w:rPr>
          <w:color w:val="231F20"/>
          <w:spacing w:val="-6"/>
          <w:sz w:val="21"/>
        </w:rPr>
        <w:t> </w:t>
      </w:r>
      <w:r>
        <w:rPr>
          <w:color w:val="231F20"/>
          <w:sz w:val="21"/>
        </w:rPr>
        <w:t>encontra- ron</w:t>
      </w:r>
      <w:r>
        <w:rPr>
          <w:color w:val="231F20"/>
          <w:spacing w:val="-7"/>
          <w:sz w:val="21"/>
        </w:rPr>
        <w:t> </w:t>
      </w:r>
      <w:r>
        <w:rPr>
          <w:color w:val="231F20"/>
          <w:sz w:val="21"/>
        </w:rPr>
        <w:t>las</w:t>
      </w:r>
      <w:r>
        <w:rPr>
          <w:color w:val="231F20"/>
          <w:spacing w:val="-7"/>
          <w:sz w:val="21"/>
        </w:rPr>
        <w:t> </w:t>
      </w:r>
      <w:r>
        <w:rPr>
          <w:color w:val="231F20"/>
          <w:sz w:val="21"/>
        </w:rPr>
        <w:t>características</w:t>
      </w:r>
      <w:r>
        <w:rPr>
          <w:color w:val="231F20"/>
          <w:spacing w:val="-7"/>
          <w:sz w:val="21"/>
        </w:rPr>
        <w:t> </w:t>
      </w:r>
      <w:r>
        <w:rPr>
          <w:color w:val="231F20"/>
          <w:sz w:val="21"/>
        </w:rPr>
        <w:t>físicas</w:t>
      </w:r>
      <w:r>
        <w:rPr>
          <w:color w:val="231F20"/>
          <w:spacing w:val="-7"/>
          <w:sz w:val="21"/>
        </w:rPr>
        <w:t> </w:t>
      </w:r>
      <w:r>
        <w:rPr>
          <w:color w:val="231F20"/>
          <w:sz w:val="21"/>
        </w:rPr>
        <w:t>antes</w:t>
      </w:r>
      <w:r>
        <w:rPr>
          <w:color w:val="231F20"/>
          <w:spacing w:val="-7"/>
          <w:sz w:val="21"/>
        </w:rPr>
        <w:t> </w:t>
      </w:r>
      <w:r>
        <w:rPr>
          <w:color w:val="231F20"/>
          <w:sz w:val="21"/>
        </w:rPr>
        <w:t>descritas</w:t>
      </w:r>
      <w:r>
        <w:rPr>
          <w:color w:val="231F20"/>
          <w:spacing w:val="-7"/>
          <w:sz w:val="21"/>
        </w:rPr>
        <w:t> </w:t>
      </w:r>
      <w:r>
        <w:rPr>
          <w:color w:val="231F20"/>
          <w:sz w:val="21"/>
        </w:rPr>
        <w:t>en</w:t>
      </w:r>
      <w:r>
        <w:rPr>
          <w:color w:val="231F20"/>
          <w:spacing w:val="-7"/>
          <w:sz w:val="21"/>
        </w:rPr>
        <w:t> </w:t>
      </w:r>
      <w:r>
        <w:rPr>
          <w:color w:val="231F20"/>
          <w:sz w:val="21"/>
        </w:rPr>
        <w:t>Querétaro.</w:t>
      </w:r>
      <w:r>
        <w:rPr>
          <w:color w:val="231F20"/>
          <w:spacing w:val="-6"/>
          <w:sz w:val="21"/>
        </w:rPr>
        <w:t> </w:t>
      </w:r>
      <w:r>
        <w:rPr>
          <w:color w:val="231F20"/>
          <w:sz w:val="21"/>
        </w:rPr>
        <w:t>Sin</w:t>
      </w:r>
      <w:r>
        <w:rPr>
          <w:color w:val="231F20"/>
          <w:spacing w:val="-7"/>
          <w:sz w:val="21"/>
        </w:rPr>
        <w:t> </w:t>
      </w:r>
      <w:r>
        <w:rPr>
          <w:color w:val="231F20"/>
          <w:sz w:val="21"/>
        </w:rPr>
        <w:t>embargo</w:t>
      </w:r>
      <w:r>
        <w:rPr>
          <w:color w:val="231F20"/>
          <w:spacing w:val="-7"/>
          <w:sz w:val="21"/>
        </w:rPr>
        <w:t> </w:t>
      </w:r>
      <w:r>
        <w:rPr>
          <w:color w:val="231F20"/>
          <w:sz w:val="21"/>
        </w:rPr>
        <w:t>esta</w:t>
      </w:r>
      <w:r>
        <w:rPr>
          <w:color w:val="231F20"/>
          <w:spacing w:val="-7"/>
          <w:sz w:val="21"/>
        </w:rPr>
        <w:t> </w:t>
      </w:r>
      <w:r>
        <w:rPr>
          <w:color w:val="231F20"/>
          <w:sz w:val="21"/>
        </w:rPr>
        <w:t>distribución</w:t>
      </w:r>
      <w:r>
        <w:rPr>
          <w:color w:val="231F20"/>
          <w:spacing w:val="-7"/>
          <w:sz w:val="21"/>
        </w:rPr>
        <w:t> </w:t>
      </w:r>
      <w:r>
        <w:rPr>
          <w:color w:val="231F20"/>
          <w:sz w:val="21"/>
        </w:rPr>
        <w:t>puede</w:t>
      </w:r>
      <w:r>
        <w:rPr>
          <w:color w:val="231F20"/>
          <w:spacing w:val="-7"/>
          <w:sz w:val="21"/>
        </w:rPr>
        <w:t> </w:t>
      </w:r>
      <w:r>
        <w:rPr>
          <w:color w:val="231F20"/>
          <w:sz w:val="21"/>
        </w:rPr>
        <w:t>tener cierta incertidumbre debido al tamaño de la escala y al bajo detalle, así como la actualización de la cartografía</w:t>
      </w:r>
      <w:r>
        <w:rPr>
          <w:color w:val="231F20"/>
          <w:spacing w:val="-1"/>
          <w:sz w:val="21"/>
        </w:rPr>
        <w:t> </w:t>
      </w:r>
      <w:r>
        <w:rPr>
          <w:color w:val="231F20"/>
          <w:sz w:val="21"/>
        </w:rPr>
        <w:t>utilizada.</w:t>
      </w:r>
    </w:p>
    <w:p>
      <w:pPr>
        <w:pStyle w:val="BodyText"/>
        <w:spacing w:before="5"/>
      </w:pPr>
    </w:p>
    <w:p>
      <w:pPr>
        <w:spacing w:before="0"/>
        <w:ind w:left="1489" w:right="1489" w:firstLine="0"/>
        <w:jc w:val="center"/>
        <w:rPr>
          <w:b/>
          <w:sz w:val="18"/>
        </w:rPr>
      </w:pPr>
      <w:r>
        <w:rPr>
          <w:b/>
          <w:color w:val="010202"/>
          <w:sz w:val="18"/>
        </w:rPr>
        <w:t>Figura 4. Macrolocalización de la probable distribución de </w:t>
      </w:r>
      <w:r>
        <w:rPr>
          <w:b/>
          <w:i/>
          <w:color w:val="010202"/>
          <w:sz w:val="18"/>
        </w:rPr>
        <w:t>Coryphantha glassii</w:t>
      </w:r>
      <w:r>
        <w:rPr>
          <w:b/>
          <w:color w:val="010202"/>
          <w:sz w:val="18"/>
        </w:rPr>
        <w:t>, basado en</w:t>
      </w:r>
    </w:p>
    <w:p>
      <w:pPr>
        <w:spacing w:before="9"/>
        <w:ind w:left="1489" w:right="1489" w:firstLine="0"/>
        <w:jc w:val="center"/>
        <w:rPr>
          <w:b/>
          <w:sz w:val="18"/>
        </w:rPr>
      </w:pPr>
      <w:r>
        <w:rPr>
          <w:b/>
          <w:color w:val="010202"/>
          <w:sz w:val="18"/>
        </w:rPr>
        <w:t>las características físicas de su medio (elaborado a partir de shpfiles de INEGI, 2000)</w:t>
      </w:r>
    </w:p>
    <w:p>
      <w:pPr>
        <w:pStyle w:val="BodyText"/>
        <w:spacing w:before="9"/>
        <w:rPr>
          <w:b/>
          <w:sz w:val="15"/>
        </w:rPr>
      </w:pPr>
      <w:r>
        <w:rPr/>
        <w:drawing>
          <wp:anchor distT="0" distB="0" distL="0" distR="0" allowOverlap="1" layoutInCell="1" locked="0" behindDoc="0" simplePos="0" relativeHeight="4384">
            <wp:simplePos x="0" y="0"/>
            <wp:positionH relativeFrom="page">
              <wp:posOffset>806704</wp:posOffset>
            </wp:positionH>
            <wp:positionV relativeFrom="paragraph">
              <wp:posOffset>140375</wp:posOffset>
            </wp:positionV>
            <wp:extent cx="5307032" cy="2414016"/>
            <wp:effectExtent l="0" t="0" r="0" b="0"/>
            <wp:wrapTopAndBottom/>
            <wp:docPr id="155" name="image59.png" descr=""/>
            <wp:cNvGraphicFramePr>
              <a:graphicFrameLocks noChangeAspect="1"/>
            </wp:cNvGraphicFramePr>
            <a:graphic>
              <a:graphicData uri="http://schemas.openxmlformats.org/drawingml/2006/picture">
                <pic:pic>
                  <pic:nvPicPr>
                    <pic:cNvPr id="156" name="image59.png"/>
                    <pic:cNvPicPr/>
                  </pic:nvPicPr>
                  <pic:blipFill>
                    <a:blip r:embed="rId87" cstate="print"/>
                    <a:stretch>
                      <a:fillRect/>
                    </a:stretch>
                  </pic:blipFill>
                  <pic:spPr>
                    <a:xfrm>
                      <a:off x="0" y="0"/>
                      <a:ext cx="5307032" cy="2414016"/>
                    </a:xfrm>
                    <a:prstGeom prst="rect">
                      <a:avLst/>
                    </a:prstGeom>
                  </pic:spPr>
                </pic:pic>
              </a:graphicData>
            </a:graphic>
          </wp:anchor>
        </w:drawing>
      </w:r>
    </w:p>
    <w:p>
      <w:pPr>
        <w:pStyle w:val="BodyText"/>
        <w:spacing w:before="8"/>
        <w:rPr>
          <w:b/>
          <w:sz w:val="24"/>
        </w:rPr>
      </w:pPr>
    </w:p>
    <w:p>
      <w:pPr>
        <w:pStyle w:val="BodyText"/>
        <w:spacing w:line="247" w:lineRule="auto" w:before="1"/>
        <w:ind w:left="1270" w:right="1268"/>
        <w:jc w:val="both"/>
      </w:pPr>
      <w:r>
        <w:rPr>
          <w:color w:val="231F20"/>
        </w:rPr>
        <w:t>Se</w:t>
      </w:r>
      <w:r>
        <w:rPr>
          <w:color w:val="231F20"/>
          <w:spacing w:val="-11"/>
        </w:rPr>
        <w:t> </w:t>
      </w:r>
      <w:r>
        <w:rPr>
          <w:color w:val="231F20"/>
        </w:rPr>
        <w:t>localizaron</w:t>
      </w:r>
      <w:r>
        <w:rPr>
          <w:color w:val="231F20"/>
          <w:spacing w:val="-11"/>
        </w:rPr>
        <w:t> </w:t>
      </w:r>
      <w:r>
        <w:rPr>
          <w:color w:val="231F20"/>
        </w:rPr>
        <w:t>171</w:t>
      </w:r>
      <w:r>
        <w:rPr>
          <w:color w:val="231F20"/>
          <w:spacing w:val="-11"/>
        </w:rPr>
        <w:t> </w:t>
      </w:r>
      <w:r>
        <w:rPr>
          <w:color w:val="231F20"/>
        </w:rPr>
        <w:t>colonias,</w:t>
      </w:r>
      <w:r>
        <w:rPr>
          <w:color w:val="231F20"/>
          <w:spacing w:val="-11"/>
        </w:rPr>
        <w:t> </w:t>
      </w:r>
      <w:r>
        <w:rPr>
          <w:color w:val="231F20"/>
        </w:rPr>
        <w:t>con</w:t>
      </w:r>
      <w:r>
        <w:rPr>
          <w:color w:val="231F20"/>
          <w:spacing w:val="-11"/>
        </w:rPr>
        <w:t> </w:t>
      </w:r>
      <w:r>
        <w:rPr>
          <w:color w:val="231F20"/>
        </w:rPr>
        <w:t>un</w:t>
      </w:r>
      <w:r>
        <w:rPr>
          <w:color w:val="231F20"/>
          <w:spacing w:val="-11"/>
        </w:rPr>
        <w:t> </w:t>
      </w:r>
      <w:r>
        <w:rPr>
          <w:color w:val="231F20"/>
        </w:rPr>
        <w:t>promedio</w:t>
      </w:r>
      <w:r>
        <w:rPr>
          <w:color w:val="231F20"/>
          <w:spacing w:val="-11"/>
        </w:rPr>
        <w:t> </w:t>
      </w:r>
      <w:r>
        <w:rPr>
          <w:color w:val="231F20"/>
        </w:rPr>
        <w:t>de</w:t>
      </w:r>
      <w:r>
        <w:rPr>
          <w:color w:val="231F20"/>
          <w:spacing w:val="-11"/>
        </w:rPr>
        <w:t> </w:t>
      </w:r>
      <w:r>
        <w:rPr>
          <w:color w:val="231F20"/>
        </w:rPr>
        <w:t>ocho</w:t>
      </w:r>
      <w:r>
        <w:rPr>
          <w:color w:val="231F20"/>
          <w:spacing w:val="-11"/>
        </w:rPr>
        <w:t> </w:t>
      </w:r>
      <w:r>
        <w:rPr>
          <w:color w:val="231F20"/>
        </w:rPr>
        <w:t>individuos</w:t>
      </w:r>
      <w:r>
        <w:rPr>
          <w:color w:val="231F20"/>
          <w:spacing w:val="-11"/>
        </w:rPr>
        <w:t> </w:t>
      </w:r>
      <w:r>
        <w:rPr>
          <w:color w:val="231F20"/>
        </w:rPr>
        <w:t>o</w:t>
      </w:r>
      <w:r>
        <w:rPr>
          <w:color w:val="231F20"/>
          <w:spacing w:val="-11"/>
        </w:rPr>
        <w:t> </w:t>
      </w:r>
      <w:r>
        <w:rPr>
          <w:color w:val="231F20"/>
        </w:rPr>
        <w:t>vástagos</w:t>
      </w:r>
      <w:r>
        <w:rPr>
          <w:color w:val="231F20"/>
          <w:spacing w:val="-11"/>
        </w:rPr>
        <w:t> </w:t>
      </w:r>
      <w:r>
        <w:rPr>
          <w:color w:val="231F20"/>
        </w:rPr>
        <w:t>por</w:t>
      </w:r>
      <w:r>
        <w:rPr>
          <w:color w:val="231F20"/>
          <w:spacing w:val="-11"/>
        </w:rPr>
        <w:t> </w:t>
      </w:r>
      <w:r>
        <w:rPr>
          <w:color w:val="231F20"/>
        </w:rPr>
        <w:t>colonia,</w:t>
      </w:r>
      <w:r>
        <w:rPr>
          <w:color w:val="231F20"/>
          <w:spacing w:val="-11"/>
        </w:rPr>
        <w:t> </w:t>
      </w:r>
      <w:r>
        <w:rPr>
          <w:color w:val="231F20"/>
        </w:rPr>
        <w:t>sobresale</w:t>
      </w:r>
      <w:r>
        <w:rPr>
          <w:color w:val="231F20"/>
          <w:spacing w:val="-10"/>
        </w:rPr>
        <w:t> </w:t>
      </w:r>
      <w:r>
        <w:rPr>
          <w:color w:val="231F20"/>
        </w:rPr>
        <w:t>el </w:t>
      </w:r>
      <w:r>
        <w:rPr>
          <w:color w:val="231F20"/>
          <w:spacing w:val="-5"/>
        </w:rPr>
        <w:t>Valle</w:t>
      </w:r>
      <w:r>
        <w:rPr>
          <w:color w:val="231F20"/>
          <w:spacing w:val="-3"/>
        </w:rPr>
        <w:t> </w:t>
      </w:r>
      <w:r>
        <w:rPr>
          <w:color w:val="231F20"/>
        </w:rPr>
        <w:t>Florido</w:t>
      </w:r>
      <w:r>
        <w:rPr>
          <w:color w:val="231F20"/>
          <w:spacing w:val="-3"/>
        </w:rPr>
        <w:t> </w:t>
      </w:r>
      <w:r>
        <w:rPr>
          <w:color w:val="231F20"/>
        </w:rPr>
        <w:t>con</w:t>
      </w:r>
      <w:r>
        <w:rPr>
          <w:color w:val="231F20"/>
          <w:spacing w:val="-3"/>
        </w:rPr>
        <w:t> </w:t>
      </w:r>
      <w:r>
        <w:rPr>
          <w:color w:val="231F20"/>
        </w:rPr>
        <w:t>un</w:t>
      </w:r>
      <w:r>
        <w:rPr>
          <w:color w:val="231F20"/>
          <w:spacing w:val="-3"/>
        </w:rPr>
        <w:t> </w:t>
      </w:r>
      <w:r>
        <w:rPr>
          <w:color w:val="231F20"/>
        </w:rPr>
        <w:t>promedio</w:t>
      </w:r>
      <w:r>
        <w:rPr>
          <w:color w:val="231F20"/>
          <w:spacing w:val="-3"/>
        </w:rPr>
        <w:t> </w:t>
      </w:r>
      <w:r>
        <w:rPr>
          <w:color w:val="231F20"/>
        </w:rPr>
        <w:t>de</w:t>
      </w:r>
      <w:r>
        <w:rPr>
          <w:color w:val="231F20"/>
          <w:spacing w:val="-3"/>
        </w:rPr>
        <w:t> </w:t>
      </w:r>
      <w:r>
        <w:rPr>
          <w:color w:val="231F20"/>
        </w:rPr>
        <w:t>13</w:t>
      </w:r>
      <w:r>
        <w:rPr>
          <w:color w:val="231F20"/>
          <w:spacing w:val="-3"/>
        </w:rPr>
        <w:t> </w:t>
      </w:r>
      <w:r>
        <w:rPr>
          <w:color w:val="231F20"/>
        </w:rPr>
        <w:t>vástagos</w:t>
      </w:r>
      <w:r>
        <w:rPr>
          <w:color w:val="231F20"/>
          <w:spacing w:val="-3"/>
        </w:rPr>
        <w:t> </w:t>
      </w:r>
      <w:r>
        <w:rPr>
          <w:color w:val="231F20"/>
        </w:rPr>
        <w:t>por</w:t>
      </w:r>
      <w:r>
        <w:rPr>
          <w:color w:val="231F20"/>
          <w:spacing w:val="-3"/>
        </w:rPr>
        <w:t> </w:t>
      </w:r>
      <w:r>
        <w:rPr>
          <w:color w:val="231F20"/>
        </w:rPr>
        <w:t>colonia,</w:t>
      </w:r>
      <w:r>
        <w:rPr>
          <w:color w:val="231F20"/>
          <w:spacing w:val="-3"/>
        </w:rPr>
        <w:t> </w:t>
      </w:r>
      <w:r>
        <w:rPr>
          <w:color w:val="231F20"/>
        </w:rPr>
        <w:t>seguido</w:t>
      </w:r>
      <w:r>
        <w:rPr>
          <w:color w:val="231F20"/>
          <w:spacing w:val="-3"/>
        </w:rPr>
        <w:t> </w:t>
      </w:r>
      <w:r>
        <w:rPr>
          <w:color w:val="231F20"/>
        </w:rPr>
        <w:t>por</w:t>
      </w:r>
      <w:r>
        <w:rPr>
          <w:color w:val="231F20"/>
          <w:spacing w:val="-3"/>
        </w:rPr>
        <w:t> </w:t>
      </w:r>
      <w:r>
        <w:rPr>
          <w:color w:val="231F20"/>
        </w:rPr>
        <w:t>Las</w:t>
      </w:r>
      <w:r>
        <w:rPr>
          <w:color w:val="231F20"/>
          <w:spacing w:val="-15"/>
        </w:rPr>
        <w:t> </w:t>
      </w:r>
      <w:r>
        <w:rPr>
          <w:color w:val="231F20"/>
        </w:rPr>
        <w:t>Abejas</w:t>
      </w:r>
      <w:r>
        <w:rPr>
          <w:color w:val="231F20"/>
          <w:spacing w:val="-3"/>
        </w:rPr>
        <w:t> </w:t>
      </w:r>
      <w:r>
        <w:rPr>
          <w:color w:val="231F20"/>
        </w:rPr>
        <w:t>y</w:t>
      </w:r>
      <w:r>
        <w:rPr>
          <w:color w:val="231F20"/>
          <w:spacing w:val="-3"/>
        </w:rPr>
        <w:t> </w:t>
      </w:r>
      <w:r>
        <w:rPr>
          <w:color w:val="231F20"/>
        </w:rPr>
        <w:t>El</w:t>
      </w:r>
      <w:r>
        <w:rPr>
          <w:color w:val="231F20"/>
          <w:spacing w:val="-3"/>
        </w:rPr>
        <w:t> </w:t>
      </w:r>
      <w:r>
        <w:rPr>
          <w:color w:val="231F20"/>
        </w:rPr>
        <w:t>Panteón</w:t>
      </w:r>
      <w:r>
        <w:rPr>
          <w:color w:val="231F20"/>
          <w:spacing w:val="-3"/>
        </w:rPr>
        <w:t> </w:t>
      </w:r>
      <w:r>
        <w:rPr>
          <w:color w:val="231F20"/>
        </w:rPr>
        <w:t>que mostraron seis y cinco vástagos, respectivamente; el sitio con menor número de vástagos fue el de La Cruz con sólo tres. El número de series de esta cactácea se encuentra estrechamente relacionado con</w:t>
      </w:r>
      <w:r>
        <w:rPr>
          <w:color w:val="231F20"/>
          <w:spacing w:val="-7"/>
        </w:rPr>
        <w:t> </w:t>
      </w:r>
      <w:r>
        <w:rPr>
          <w:color w:val="231F20"/>
        </w:rPr>
        <w:t>la</w:t>
      </w:r>
      <w:r>
        <w:rPr>
          <w:color w:val="231F20"/>
          <w:spacing w:val="-7"/>
        </w:rPr>
        <w:t> </w:t>
      </w:r>
      <w:r>
        <w:rPr>
          <w:color w:val="231F20"/>
        </w:rPr>
        <w:t>edad</w:t>
      </w:r>
      <w:r>
        <w:rPr>
          <w:color w:val="231F20"/>
          <w:spacing w:val="-7"/>
        </w:rPr>
        <w:t> </w:t>
      </w:r>
      <w:r>
        <w:rPr>
          <w:color w:val="231F20"/>
        </w:rPr>
        <w:t>del</w:t>
      </w:r>
      <w:r>
        <w:rPr>
          <w:color w:val="231F20"/>
          <w:spacing w:val="-7"/>
        </w:rPr>
        <w:t> </w:t>
      </w:r>
      <w:r>
        <w:rPr>
          <w:color w:val="231F20"/>
        </w:rPr>
        <w:t>ejemplar,</w:t>
      </w:r>
      <w:r>
        <w:rPr>
          <w:color w:val="231F20"/>
          <w:spacing w:val="-7"/>
        </w:rPr>
        <w:t> </w:t>
      </w:r>
      <w:r>
        <w:rPr>
          <w:color w:val="231F20"/>
        </w:rPr>
        <w:t>al</w:t>
      </w:r>
      <w:r>
        <w:rPr>
          <w:color w:val="231F20"/>
          <w:spacing w:val="-7"/>
        </w:rPr>
        <w:t> </w:t>
      </w:r>
      <w:r>
        <w:rPr>
          <w:color w:val="231F20"/>
        </w:rPr>
        <w:t>igual</w:t>
      </w:r>
      <w:r>
        <w:rPr>
          <w:color w:val="231F20"/>
          <w:spacing w:val="-7"/>
        </w:rPr>
        <w:t> </w:t>
      </w:r>
      <w:r>
        <w:rPr>
          <w:color w:val="231F20"/>
        </w:rPr>
        <w:t>que</w:t>
      </w:r>
      <w:r>
        <w:rPr>
          <w:color w:val="231F20"/>
          <w:spacing w:val="-7"/>
        </w:rPr>
        <w:t> </w:t>
      </w:r>
      <w:r>
        <w:rPr>
          <w:color w:val="231F20"/>
        </w:rPr>
        <w:t>la</w:t>
      </w:r>
      <w:r>
        <w:rPr>
          <w:color w:val="231F20"/>
          <w:spacing w:val="-7"/>
        </w:rPr>
        <w:t> </w:t>
      </w:r>
      <w:r>
        <w:rPr>
          <w:color w:val="231F20"/>
        </w:rPr>
        <w:t>talla</w:t>
      </w:r>
      <w:r>
        <w:rPr>
          <w:color w:val="231F20"/>
          <w:spacing w:val="-7"/>
        </w:rPr>
        <w:t> </w:t>
      </w:r>
      <w:r>
        <w:rPr>
          <w:color w:val="231F20"/>
        </w:rPr>
        <w:t>del</w:t>
      </w:r>
      <w:r>
        <w:rPr>
          <w:color w:val="231F20"/>
          <w:spacing w:val="-7"/>
        </w:rPr>
        <w:t> </w:t>
      </w:r>
      <w:r>
        <w:rPr>
          <w:color w:val="231F20"/>
        </w:rPr>
        <w:t>vástago</w:t>
      </w:r>
      <w:r>
        <w:rPr>
          <w:color w:val="231F20"/>
          <w:spacing w:val="-7"/>
        </w:rPr>
        <w:t> </w:t>
      </w:r>
      <w:r>
        <w:rPr>
          <w:color w:val="231F20"/>
        </w:rPr>
        <w:t>o</w:t>
      </w:r>
      <w:r>
        <w:rPr>
          <w:color w:val="231F20"/>
          <w:spacing w:val="-7"/>
        </w:rPr>
        <w:t> </w:t>
      </w:r>
      <w:r>
        <w:rPr>
          <w:color w:val="231F20"/>
        </w:rPr>
        <w:t>individuo</w:t>
      </w:r>
      <w:r>
        <w:rPr>
          <w:color w:val="231F20"/>
          <w:spacing w:val="-7"/>
        </w:rPr>
        <w:t> </w:t>
      </w:r>
      <w:r>
        <w:rPr>
          <w:color w:val="231F20"/>
        </w:rPr>
        <w:t>y</w:t>
      </w:r>
      <w:r>
        <w:rPr>
          <w:color w:val="231F20"/>
          <w:spacing w:val="-7"/>
        </w:rPr>
        <w:t> </w:t>
      </w:r>
      <w:r>
        <w:rPr>
          <w:color w:val="231F20"/>
        </w:rPr>
        <w:t>con</w:t>
      </w:r>
      <w:r>
        <w:rPr>
          <w:color w:val="231F20"/>
          <w:spacing w:val="-7"/>
        </w:rPr>
        <w:t> </w:t>
      </w:r>
      <w:r>
        <w:rPr>
          <w:color w:val="231F20"/>
        </w:rPr>
        <w:t>la</w:t>
      </w:r>
      <w:r>
        <w:rPr>
          <w:color w:val="231F20"/>
          <w:spacing w:val="-7"/>
        </w:rPr>
        <w:t> </w:t>
      </w:r>
      <w:r>
        <w:rPr>
          <w:color w:val="231F20"/>
        </w:rPr>
        <w:t>condición</w:t>
      </w:r>
      <w:r>
        <w:rPr>
          <w:color w:val="231F20"/>
          <w:spacing w:val="-7"/>
        </w:rPr>
        <w:t> </w:t>
      </w:r>
      <w:r>
        <w:rPr>
          <w:color w:val="231F20"/>
        </w:rPr>
        <w:t>fitosanitaria. Respecto al número de series del individuo con mayor altura, el promedio fue de nueve y los sitios donde se localizaron los ejemplares con el mayor número de series fueron en el </w:t>
      </w:r>
      <w:r>
        <w:rPr>
          <w:color w:val="231F20"/>
          <w:spacing w:val="-5"/>
        </w:rPr>
        <w:t>Valle </w:t>
      </w:r>
      <w:r>
        <w:rPr>
          <w:color w:val="231F20"/>
        </w:rPr>
        <w:t>Florido y El Panteón</w:t>
      </w:r>
      <w:r>
        <w:rPr>
          <w:color w:val="231F20"/>
          <w:spacing w:val="-2"/>
        </w:rPr>
        <w:t> </w:t>
      </w:r>
      <w:r>
        <w:rPr>
          <w:color w:val="231F20"/>
        </w:rPr>
        <w:t>con</w:t>
      </w:r>
      <w:r>
        <w:rPr>
          <w:color w:val="231F20"/>
          <w:spacing w:val="-3"/>
        </w:rPr>
        <w:t> </w:t>
      </w:r>
      <w:r>
        <w:rPr>
          <w:color w:val="231F20"/>
        </w:rPr>
        <w:t>10</w:t>
      </w:r>
      <w:r>
        <w:rPr>
          <w:color w:val="231F20"/>
          <w:spacing w:val="-3"/>
        </w:rPr>
        <w:t> </w:t>
      </w:r>
      <w:r>
        <w:rPr>
          <w:color w:val="231F20"/>
        </w:rPr>
        <w:t>series</w:t>
      </w:r>
      <w:r>
        <w:rPr>
          <w:color w:val="231F20"/>
          <w:spacing w:val="-3"/>
        </w:rPr>
        <w:t> </w:t>
      </w:r>
      <w:r>
        <w:rPr>
          <w:color w:val="231F20"/>
        </w:rPr>
        <w:t>cada</w:t>
      </w:r>
      <w:r>
        <w:rPr>
          <w:color w:val="231F20"/>
          <w:spacing w:val="-3"/>
        </w:rPr>
        <w:t> </w:t>
      </w:r>
      <w:r>
        <w:rPr>
          <w:color w:val="231F20"/>
        </w:rPr>
        <w:t>uno,</w:t>
      </w:r>
      <w:r>
        <w:rPr>
          <w:color w:val="231F20"/>
          <w:spacing w:val="-3"/>
        </w:rPr>
        <w:t> </w:t>
      </w:r>
      <w:r>
        <w:rPr>
          <w:color w:val="231F20"/>
        </w:rPr>
        <w:t>seguidos</w:t>
      </w:r>
      <w:r>
        <w:rPr>
          <w:color w:val="231F20"/>
          <w:spacing w:val="-2"/>
        </w:rPr>
        <w:t> </w:t>
      </w:r>
      <w:r>
        <w:rPr>
          <w:color w:val="231F20"/>
        </w:rPr>
        <w:t>por</w:t>
      </w:r>
      <w:r>
        <w:rPr>
          <w:color w:val="231F20"/>
          <w:spacing w:val="-3"/>
        </w:rPr>
        <w:t> </w:t>
      </w:r>
      <w:r>
        <w:rPr>
          <w:color w:val="231F20"/>
        </w:rPr>
        <w:t>Las</w:t>
      </w:r>
      <w:r>
        <w:rPr>
          <w:color w:val="231F20"/>
          <w:spacing w:val="-15"/>
        </w:rPr>
        <w:t> </w:t>
      </w:r>
      <w:r>
        <w:rPr>
          <w:color w:val="231F20"/>
        </w:rPr>
        <w:t>Abejas</w:t>
      </w:r>
      <w:r>
        <w:rPr>
          <w:color w:val="231F20"/>
          <w:spacing w:val="-3"/>
        </w:rPr>
        <w:t> </w:t>
      </w:r>
      <w:r>
        <w:rPr>
          <w:color w:val="231F20"/>
        </w:rPr>
        <w:t>y</w:t>
      </w:r>
      <w:r>
        <w:rPr>
          <w:color w:val="231F20"/>
          <w:spacing w:val="-3"/>
        </w:rPr>
        <w:t> </w:t>
      </w:r>
      <w:r>
        <w:rPr>
          <w:color w:val="231F20"/>
        </w:rPr>
        <w:t>La</w:t>
      </w:r>
      <w:r>
        <w:rPr>
          <w:color w:val="231F20"/>
          <w:spacing w:val="-3"/>
        </w:rPr>
        <w:t> </w:t>
      </w:r>
      <w:r>
        <w:rPr>
          <w:color w:val="231F20"/>
        </w:rPr>
        <w:t>Cruz</w:t>
      </w:r>
      <w:r>
        <w:rPr>
          <w:color w:val="231F20"/>
          <w:spacing w:val="-3"/>
        </w:rPr>
        <w:t> </w:t>
      </w:r>
      <w:r>
        <w:rPr>
          <w:color w:val="231F20"/>
        </w:rPr>
        <w:t>con</w:t>
      </w:r>
      <w:r>
        <w:rPr>
          <w:color w:val="231F20"/>
          <w:spacing w:val="-3"/>
        </w:rPr>
        <w:t> </w:t>
      </w:r>
      <w:r>
        <w:rPr>
          <w:color w:val="231F20"/>
        </w:rPr>
        <w:t>nueve</w:t>
      </w:r>
      <w:r>
        <w:rPr>
          <w:color w:val="231F20"/>
          <w:spacing w:val="-3"/>
        </w:rPr>
        <w:t> </w:t>
      </w:r>
      <w:r>
        <w:rPr>
          <w:color w:val="231F20"/>
        </w:rPr>
        <w:t>y</w:t>
      </w:r>
      <w:r>
        <w:rPr>
          <w:color w:val="231F20"/>
          <w:spacing w:val="-3"/>
        </w:rPr>
        <w:t> </w:t>
      </w:r>
      <w:r>
        <w:rPr>
          <w:color w:val="231F20"/>
        </w:rPr>
        <w:t>ocho</w:t>
      </w:r>
      <w:r>
        <w:rPr>
          <w:color w:val="231F20"/>
          <w:spacing w:val="-3"/>
        </w:rPr>
        <w:t> </w:t>
      </w:r>
      <w:r>
        <w:rPr>
          <w:color w:val="231F20"/>
        </w:rPr>
        <w:t>series</w:t>
      </w:r>
      <w:r>
        <w:rPr>
          <w:color w:val="231F20"/>
          <w:spacing w:val="-3"/>
        </w:rPr>
        <w:t> </w:t>
      </w:r>
      <w:r>
        <w:rPr>
          <w:color w:val="231F20"/>
        </w:rPr>
        <w:t>en</w:t>
      </w:r>
      <w:r>
        <w:rPr>
          <w:color w:val="231F20"/>
          <w:spacing w:val="-3"/>
        </w:rPr>
        <w:t> </w:t>
      </w:r>
      <w:r>
        <w:rPr>
          <w:color w:val="231F20"/>
        </w:rPr>
        <w:t>pro-</w:t>
      </w:r>
    </w:p>
    <w:p>
      <w:pPr>
        <w:spacing w:after="0" w:line="247" w:lineRule="auto"/>
        <w:jc w:val="both"/>
        <w:sectPr>
          <w:footerReference w:type="default" r:id="rId86"/>
          <w:pgSz w:w="10920" w:h="13080"/>
          <w:pgMar w:footer="965" w:header="0" w:top="420" w:bottom="1160" w:left="0" w:right="0"/>
          <w:pgNumType w:start="101"/>
        </w:sectPr>
      </w:pPr>
    </w:p>
    <w:p>
      <w:pPr>
        <w:pStyle w:val="BodyText"/>
        <w:rPr>
          <w:sz w:val="20"/>
        </w:rPr>
      </w:pPr>
    </w:p>
    <w:p>
      <w:pPr>
        <w:pStyle w:val="BodyText"/>
        <w:rPr>
          <w:sz w:val="20"/>
        </w:rPr>
      </w:pPr>
    </w:p>
    <w:p>
      <w:pPr>
        <w:pStyle w:val="BodyText"/>
        <w:rPr>
          <w:sz w:val="23"/>
        </w:rPr>
      </w:pPr>
    </w:p>
    <w:p>
      <w:pPr>
        <w:pStyle w:val="BodyText"/>
        <w:spacing w:before="73"/>
        <w:ind w:left="1270"/>
        <w:jc w:val="both"/>
      </w:pPr>
      <w:r>
        <w:rPr>
          <w:color w:val="231F20"/>
        </w:rPr>
        <w:t>medio, respectivamente; sin embargo el individuo con mayor edad de acuerdo al número de   series</w:t>
      </w:r>
    </w:p>
    <w:p>
      <w:pPr>
        <w:pStyle w:val="BodyText"/>
        <w:spacing w:line="247" w:lineRule="auto" w:before="8"/>
        <w:ind w:left="1270" w:right="1268"/>
        <w:jc w:val="both"/>
      </w:pPr>
      <w:r>
        <w:rPr>
          <w:color w:val="231F20"/>
        </w:rPr>
        <w:t>(19)</w:t>
      </w:r>
      <w:r>
        <w:rPr>
          <w:color w:val="231F20"/>
          <w:spacing w:val="-9"/>
        </w:rPr>
        <w:t> </w:t>
      </w:r>
      <w:r>
        <w:rPr>
          <w:color w:val="231F20"/>
        </w:rPr>
        <w:t>se</w:t>
      </w:r>
      <w:r>
        <w:rPr>
          <w:color w:val="231F20"/>
          <w:spacing w:val="-9"/>
        </w:rPr>
        <w:t> </w:t>
      </w:r>
      <w:r>
        <w:rPr>
          <w:color w:val="231F20"/>
        </w:rPr>
        <w:t>encontró</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sitio</w:t>
      </w:r>
      <w:r>
        <w:rPr>
          <w:color w:val="231F20"/>
          <w:spacing w:val="-9"/>
        </w:rPr>
        <w:t> </w:t>
      </w:r>
      <w:r>
        <w:rPr>
          <w:color w:val="231F20"/>
        </w:rPr>
        <w:t>Las</w:t>
      </w:r>
      <w:r>
        <w:rPr>
          <w:color w:val="231F20"/>
          <w:spacing w:val="-21"/>
        </w:rPr>
        <w:t> </w:t>
      </w:r>
      <w:r>
        <w:rPr>
          <w:color w:val="231F20"/>
        </w:rPr>
        <w:t>Abejas.</w:t>
      </w:r>
      <w:r>
        <w:rPr>
          <w:color w:val="231F20"/>
          <w:spacing w:val="-9"/>
        </w:rPr>
        <w:t> </w:t>
      </w:r>
      <w:r>
        <w:rPr>
          <w:color w:val="231F20"/>
        </w:rPr>
        <w:t>Respecto</w:t>
      </w:r>
      <w:r>
        <w:rPr>
          <w:color w:val="231F20"/>
          <w:spacing w:val="-9"/>
        </w:rPr>
        <w:t> </w:t>
      </w:r>
      <w:r>
        <w:rPr>
          <w:color w:val="231F20"/>
        </w:rPr>
        <w:t>al</w:t>
      </w:r>
      <w:r>
        <w:rPr>
          <w:color w:val="231F20"/>
          <w:spacing w:val="-9"/>
        </w:rPr>
        <w:t> </w:t>
      </w:r>
      <w:r>
        <w:rPr>
          <w:color w:val="231F20"/>
        </w:rPr>
        <w:t>estado</w:t>
      </w:r>
      <w:r>
        <w:rPr>
          <w:color w:val="231F20"/>
          <w:spacing w:val="-9"/>
        </w:rPr>
        <w:t> </w:t>
      </w:r>
      <w:r>
        <w:rPr>
          <w:color w:val="231F20"/>
        </w:rPr>
        <w:t>fitosanitario</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colonias</w:t>
      </w:r>
      <w:r>
        <w:rPr>
          <w:color w:val="231F20"/>
          <w:spacing w:val="-9"/>
        </w:rPr>
        <w:t> </w:t>
      </w:r>
      <w:r>
        <w:rPr>
          <w:color w:val="231F20"/>
        </w:rPr>
        <w:t>en</w:t>
      </w:r>
      <w:r>
        <w:rPr>
          <w:color w:val="231F20"/>
          <w:spacing w:val="-9"/>
        </w:rPr>
        <w:t> </w:t>
      </w:r>
      <w:r>
        <w:rPr>
          <w:color w:val="231F20"/>
        </w:rPr>
        <w:t>los</w:t>
      </w:r>
      <w:r>
        <w:rPr>
          <w:color w:val="231F20"/>
          <w:spacing w:val="-9"/>
        </w:rPr>
        <w:t> </w:t>
      </w:r>
      <w:r>
        <w:rPr>
          <w:color w:val="231F20"/>
        </w:rPr>
        <w:t>sitios</w:t>
      </w:r>
      <w:r>
        <w:rPr>
          <w:color w:val="231F20"/>
          <w:spacing w:val="-9"/>
        </w:rPr>
        <w:t> </w:t>
      </w:r>
      <w:r>
        <w:rPr>
          <w:color w:val="231F20"/>
        </w:rPr>
        <w:t>de muestreo,</w:t>
      </w:r>
      <w:r>
        <w:rPr>
          <w:color w:val="231F20"/>
          <w:spacing w:val="-4"/>
        </w:rPr>
        <w:t> </w:t>
      </w:r>
      <w:r>
        <w:rPr>
          <w:color w:val="231F20"/>
        </w:rPr>
        <w:t>se</w:t>
      </w:r>
      <w:r>
        <w:rPr>
          <w:color w:val="231F20"/>
          <w:spacing w:val="-4"/>
        </w:rPr>
        <w:t> </w:t>
      </w:r>
      <w:r>
        <w:rPr>
          <w:color w:val="231F20"/>
        </w:rPr>
        <w:t>encontró</w:t>
      </w:r>
      <w:r>
        <w:rPr>
          <w:color w:val="231F20"/>
          <w:spacing w:val="-4"/>
        </w:rPr>
        <w:t> </w:t>
      </w:r>
      <w:r>
        <w:rPr>
          <w:color w:val="231F20"/>
        </w:rPr>
        <w:t>que</w:t>
      </w:r>
      <w:r>
        <w:rPr>
          <w:color w:val="231F20"/>
          <w:spacing w:val="-4"/>
        </w:rPr>
        <w:t> </w:t>
      </w:r>
      <w:r>
        <w:rPr>
          <w:color w:val="231F20"/>
        </w:rPr>
        <w:t>en</w:t>
      </w:r>
      <w:r>
        <w:rPr>
          <w:color w:val="231F20"/>
          <w:spacing w:val="-4"/>
        </w:rPr>
        <w:t> </w:t>
      </w:r>
      <w:r>
        <w:rPr>
          <w:color w:val="231F20"/>
        </w:rPr>
        <w:t>el</w:t>
      </w:r>
      <w:r>
        <w:rPr>
          <w:color w:val="231F20"/>
          <w:spacing w:val="-7"/>
        </w:rPr>
        <w:t> </w:t>
      </w:r>
      <w:r>
        <w:rPr>
          <w:color w:val="231F20"/>
          <w:spacing w:val="-5"/>
        </w:rPr>
        <w:t>Valle</w:t>
      </w:r>
      <w:r>
        <w:rPr>
          <w:color w:val="231F20"/>
          <w:spacing w:val="-4"/>
        </w:rPr>
        <w:t> </w:t>
      </w:r>
      <w:r>
        <w:rPr>
          <w:color w:val="231F20"/>
        </w:rPr>
        <w:t>Florido</w:t>
      </w:r>
      <w:r>
        <w:rPr>
          <w:color w:val="231F20"/>
          <w:spacing w:val="-4"/>
        </w:rPr>
        <w:t> </w:t>
      </w:r>
      <w:r>
        <w:rPr>
          <w:color w:val="231F20"/>
        </w:rPr>
        <w:t>las</w:t>
      </w:r>
      <w:r>
        <w:rPr>
          <w:color w:val="231F20"/>
          <w:spacing w:val="-4"/>
        </w:rPr>
        <w:t> </w:t>
      </w:r>
      <w:r>
        <w:rPr>
          <w:color w:val="231F20"/>
        </w:rPr>
        <w:t>plantas</w:t>
      </w:r>
      <w:r>
        <w:rPr>
          <w:color w:val="231F20"/>
          <w:spacing w:val="-4"/>
        </w:rPr>
        <w:t> </w:t>
      </w:r>
      <w:r>
        <w:rPr>
          <w:color w:val="231F20"/>
        </w:rPr>
        <w:t>tenían</w:t>
      </w:r>
      <w:r>
        <w:rPr>
          <w:color w:val="231F20"/>
          <w:spacing w:val="-4"/>
        </w:rPr>
        <w:t> </w:t>
      </w:r>
      <w:r>
        <w:rPr>
          <w:color w:val="231F20"/>
        </w:rPr>
        <w:t>mejor</w:t>
      </w:r>
      <w:r>
        <w:rPr>
          <w:color w:val="231F20"/>
          <w:spacing w:val="-4"/>
        </w:rPr>
        <w:t> </w:t>
      </w:r>
      <w:r>
        <w:rPr>
          <w:color w:val="231F20"/>
        </w:rPr>
        <w:t>sanidad,</w:t>
      </w:r>
      <w:r>
        <w:rPr>
          <w:color w:val="231F20"/>
          <w:spacing w:val="-4"/>
        </w:rPr>
        <w:t> </w:t>
      </w:r>
      <w:r>
        <w:rPr>
          <w:color w:val="231F20"/>
        </w:rPr>
        <w:t>esto</w:t>
      </w:r>
      <w:r>
        <w:rPr>
          <w:color w:val="231F20"/>
          <w:spacing w:val="-4"/>
        </w:rPr>
        <w:t> </w:t>
      </w:r>
      <w:r>
        <w:rPr>
          <w:color w:val="231F20"/>
        </w:rPr>
        <w:t>se</w:t>
      </w:r>
      <w:r>
        <w:rPr>
          <w:color w:val="231F20"/>
          <w:spacing w:val="-4"/>
        </w:rPr>
        <w:t> </w:t>
      </w:r>
      <w:r>
        <w:rPr>
          <w:color w:val="231F20"/>
        </w:rPr>
        <w:t>puede</w:t>
      </w:r>
      <w:r>
        <w:rPr>
          <w:color w:val="231F20"/>
          <w:spacing w:val="-4"/>
        </w:rPr>
        <w:t> </w:t>
      </w:r>
      <w:r>
        <w:rPr>
          <w:color w:val="231F20"/>
        </w:rPr>
        <w:t>atribuir a</w:t>
      </w:r>
      <w:r>
        <w:rPr>
          <w:color w:val="231F20"/>
          <w:spacing w:val="-6"/>
        </w:rPr>
        <w:t> </w:t>
      </w:r>
      <w:r>
        <w:rPr>
          <w:color w:val="231F20"/>
        </w:rPr>
        <w:t>que</w:t>
      </w:r>
      <w:r>
        <w:rPr>
          <w:color w:val="231F20"/>
          <w:spacing w:val="-6"/>
        </w:rPr>
        <w:t> </w:t>
      </w:r>
      <w:r>
        <w:rPr>
          <w:color w:val="231F20"/>
        </w:rPr>
        <w:t>en</w:t>
      </w:r>
      <w:r>
        <w:rPr>
          <w:color w:val="231F20"/>
          <w:spacing w:val="-7"/>
        </w:rPr>
        <w:t> </w:t>
      </w:r>
      <w:r>
        <w:rPr>
          <w:color w:val="231F20"/>
        </w:rPr>
        <w:t>el</w:t>
      </w:r>
      <w:r>
        <w:rPr>
          <w:color w:val="231F20"/>
          <w:spacing w:val="-7"/>
        </w:rPr>
        <w:t> </w:t>
      </w:r>
      <w:r>
        <w:rPr>
          <w:color w:val="231F20"/>
        </w:rPr>
        <w:t>acceso</w:t>
      </w:r>
      <w:r>
        <w:rPr>
          <w:color w:val="231F20"/>
          <w:spacing w:val="-6"/>
        </w:rPr>
        <w:t> </w:t>
      </w:r>
      <w:r>
        <w:rPr>
          <w:color w:val="231F20"/>
        </w:rPr>
        <w:t>a</w:t>
      </w:r>
      <w:r>
        <w:rPr>
          <w:color w:val="231F20"/>
          <w:spacing w:val="-6"/>
        </w:rPr>
        <w:t> </w:t>
      </w:r>
      <w:r>
        <w:rPr>
          <w:color w:val="231F20"/>
        </w:rPr>
        <w:t>este</w:t>
      </w:r>
      <w:r>
        <w:rPr>
          <w:color w:val="231F20"/>
          <w:spacing w:val="-7"/>
        </w:rPr>
        <w:t> </w:t>
      </w:r>
      <w:r>
        <w:rPr>
          <w:color w:val="231F20"/>
        </w:rPr>
        <w:t>sitio</w:t>
      </w:r>
      <w:r>
        <w:rPr>
          <w:color w:val="231F20"/>
          <w:spacing w:val="-6"/>
        </w:rPr>
        <w:t> </w:t>
      </w:r>
      <w:r>
        <w:rPr>
          <w:color w:val="231F20"/>
        </w:rPr>
        <w:t>hay</w:t>
      </w:r>
      <w:r>
        <w:rPr>
          <w:color w:val="231F20"/>
          <w:spacing w:val="-6"/>
        </w:rPr>
        <w:t> </w:t>
      </w:r>
      <w:r>
        <w:rPr>
          <w:color w:val="231F20"/>
        </w:rPr>
        <w:t>mayor</w:t>
      </w:r>
      <w:r>
        <w:rPr>
          <w:color w:val="231F20"/>
          <w:spacing w:val="-7"/>
        </w:rPr>
        <w:t> </w:t>
      </w:r>
      <w:r>
        <w:rPr>
          <w:color w:val="231F20"/>
        </w:rPr>
        <w:t>pendiente</w:t>
      </w:r>
      <w:r>
        <w:rPr>
          <w:color w:val="231F20"/>
          <w:spacing w:val="-6"/>
        </w:rPr>
        <w:t> </w:t>
      </w:r>
      <w:r>
        <w:rPr>
          <w:color w:val="231F20"/>
        </w:rPr>
        <w:t>lo</w:t>
      </w:r>
      <w:r>
        <w:rPr>
          <w:color w:val="231F20"/>
          <w:spacing w:val="-7"/>
        </w:rPr>
        <w:t> </w:t>
      </w:r>
      <w:r>
        <w:rPr>
          <w:color w:val="231F20"/>
        </w:rPr>
        <w:t>que</w:t>
      </w:r>
      <w:r>
        <w:rPr>
          <w:color w:val="231F20"/>
          <w:spacing w:val="-6"/>
        </w:rPr>
        <w:t> </w:t>
      </w:r>
      <w:r>
        <w:rPr>
          <w:color w:val="231F20"/>
        </w:rPr>
        <w:t>limita</w:t>
      </w:r>
      <w:r>
        <w:rPr>
          <w:color w:val="231F20"/>
          <w:spacing w:val="-7"/>
        </w:rPr>
        <w:t> </w:t>
      </w:r>
      <w:r>
        <w:rPr>
          <w:color w:val="231F20"/>
        </w:rPr>
        <w:t>entrada</w:t>
      </w:r>
      <w:r>
        <w:rPr>
          <w:color w:val="231F20"/>
          <w:spacing w:val="-7"/>
        </w:rPr>
        <w:t> </w:t>
      </w:r>
      <w:r>
        <w:rPr>
          <w:color w:val="231F20"/>
        </w:rPr>
        <w:t>de</w:t>
      </w:r>
      <w:r>
        <w:rPr>
          <w:color w:val="231F20"/>
          <w:spacing w:val="-6"/>
        </w:rPr>
        <w:t> </w:t>
      </w:r>
      <w:r>
        <w:rPr>
          <w:color w:val="231F20"/>
        </w:rPr>
        <w:t>personas</w:t>
      </w:r>
      <w:r>
        <w:rPr>
          <w:color w:val="231F20"/>
          <w:spacing w:val="-7"/>
        </w:rPr>
        <w:t> </w:t>
      </w:r>
      <w:r>
        <w:rPr>
          <w:color w:val="231F20"/>
        </w:rPr>
        <w:t>y</w:t>
      </w:r>
      <w:r>
        <w:rPr>
          <w:color w:val="231F20"/>
          <w:spacing w:val="-7"/>
        </w:rPr>
        <w:t> </w:t>
      </w:r>
      <w:r>
        <w:rPr>
          <w:color w:val="231F20"/>
        </w:rPr>
        <w:t>animales</w:t>
      </w:r>
      <w:r>
        <w:rPr>
          <w:color w:val="231F20"/>
          <w:spacing w:val="-7"/>
        </w:rPr>
        <w:t> </w:t>
      </w:r>
      <w:r>
        <w:rPr>
          <w:color w:val="231F20"/>
        </w:rPr>
        <w:t>la</w:t>
      </w:r>
      <w:r>
        <w:rPr>
          <w:color w:val="231F20"/>
          <w:spacing w:val="-7"/>
        </w:rPr>
        <w:t> </w:t>
      </w:r>
      <w:r>
        <w:rPr>
          <w:color w:val="231F20"/>
        </w:rPr>
        <w:t>es una</w:t>
      </w:r>
      <w:r>
        <w:rPr>
          <w:color w:val="231F20"/>
          <w:spacing w:val="-8"/>
        </w:rPr>
        <w:t> </w:t>
      </w:r>
      <w:r>
        <w:rPr>
          <w:color w:val="231F20"/>
        </w:rPr>
        <w:t>zona</w:t>
      </w:r>
      <w:r>
        <w:rPr>
          <w:color w:val="231F20"/>
          <w:spacing w:val="-9"/>
        </w:rPr>
        <w:t> </w:t>
      </w:r>
      <w:r>
        <w:rPr>
          <w:color w:val="231F20"/>
        </w:rPr>
        <w:t>con</w:t>
      </w:r>
      <w:r>
        <w:rPr>
          <w:color w:val="231F20"/>
          <w:spacing w:val="-9"/>
        </w:rPr>
        <w:t> </w:t>
      </w:r>
      <w:r>
        <w:rPr>
          <w:color w:val="231F20"/>
        </w:rPr>
        <w:t>mayor</w:t>
      </w:r>
      <w:r>
        <w:rPr>
          <w:color w:val="231F20"/>
          <w:spacing w:val="-9"/>
        </w:rPr>
        <w:t> </w:t>
      </w:r>
      <w:r>
        <w:rPr>
          <w:color w:val="231F20"/>
        </w:rPr>
        <w:t>pendiente</w:t>
      </w:r>
      <w:r>
        <w:rPr>
          <w:color w:val="231F20"/>
          <w:spacing w:val="-8"/>
        </w:rPr>
        <w:t> </w:t>
      </w:r>
      <w:r>
        <w:rPr>
          <w:color w:val="231F20"/>
        </w:rPr>
        <w:t>lo</w:t>
      </w:r>
      <w:r>
        <w:rPr>
          <w:color w:val="231F20"/>
          <w:spacing w:val="-8"/>
        </w:rPr>
        <w:t> </w:t>
      </w:r>
      <w:r>
        <w:rPr>
          <w:color w:val="231F20"/>
        </w:rPr>
        <w:t>que</w:t>
      </w:r>
      <w:r>
        <w:rPr>
          <w:color w:val="231F20"/>
          <w:spacing w:val="-8"/>
        </w:rPr>
        <w:t> </w:t>
      </w:r>
      <w:r>
        <w:rPr>
          <w:color w:val="231F20"/>
        </w:rPr>
        <w:t>limita</w:t>
      </w:r>
      <w:r>
        <w:rPr>
          <w:color w:val="231F20"/>
          <w:spacing w:val="-9"/>
        </w:rPr>
        <w:t> </w:t>
      </w:r>
      <w:r>
        <w:rPr>
          <w:color w:val="231F20"/>
        </w:rPr>
        <w:t>el</w:t>
      </w:r>
      <w:r>
        <w:rPr>
          <w:color w:val="231F20"/>
          <w:spacing w:val="-8"/>
        </w:rPr>
        <w:t> </w:t>
      </w:r>
      <w:r>
        <w:rPr>
          <w:color w:val="231F20"/>
        </w:rPr>
        <w:t>acceso</w:t>
      </w:r>
      <w:r>
        <w:rPr>
          <w:color w:val="231F20"/>
          <w:spacing w:val="-9"/>
        </w:rPr>
        <w:t> </w:t>
      </w:r>
      <w:r>
        <w:rPr>
          <w:color w:val="231F20"/>
        </w:rPr>
        <w:t>a</w:t>
      </w:r>
      <w:r>
        <w:rPr>
          <w:color w:val="231F20"/>
          <w:spacing w:val="-8"/>
        </w:rPr>
        <w:t> </w:t>
      </w:r>
      <w:r>
        <w:rPr>
          <w:color w:val="231F20"/>
        </w:rPr>
        <w:t>personas</w:t>
      </w:r>
      <w:r>
        <w:rPr>
          <w:color w:val="231F20"/>
          <w:spacing w:val="-8"/>
        </w:rPr>
        <w:t> </w:t>
      </w:r>
      <w:r>
        <w:rPr>
          <w:color w:val="231F20"/>
        </w:rPr>
        <w:t>y</w:t>
      </w:r>
      <w:r>
        <w:rPr>
          <w:color w:val="231F20"/>
          <w:spacing w:val="-8"/>
        </w:rPr>
        <w:t> </w:t>
      </w:r>
      <w:r>
        <w:rPr>
          <w:color w:val="231F20"/>
        </w:rPr>
        <w:t>animales,</w:t>
      </w:r>
      <w:r>
        <w:rPr>
          <w:color w:val="231F20"/>
          <w:spacing w:val="-9"/>
        </w:rPr>
        <w:t> </w:t>
      </w:r>
      <w:r>
        <w:rPr>
          <w:color w:val="231F20"/>
        </w:rPr>
        <w:t>ésto</w:t>
      </w:r>
      <w:r>
        <w:rPr>
          <w:color w:val="231F20"/>
          <w:spacing w:val="-9"/>
        </w:rPr>
        <w:t> </w:t>
      </w:r>
      <w:r>
        <w:rPr>
          <w:color w:val="231F20"/>
        </w:rPr>
        <w:t>repercute</w:t>
      </w:r>
      <w:r>
        <w:rPr>
          <w:color w:val="231F20"/>
          <w:spacing w:val="-8"/>
        </w:rPr>
        <w:t> </w:t>
      </w:r>
      <w:r>
        <w:rPr>
          <w:color w:val="231F20"/>
        </w:rPr>
        <w:t>en</w:t>
      </w:r>
      <w:r>
        <w:rPr>
          <w:color w:val="231F20"/>
          <w:spacing w:val="-8"/>
        </w:rPr>
        <w:t> </w:t>
      </w:r>
      <w:r>
        <w:rPr>
          <w:color w:val="231F20"/>
        </w:rPr>
        <w:t>menos disturbios</w:t>
      </w:r>
      <w:r>
        <w:rPr>
          <w:color w:val="231F20"/>
          <w:spacing w:val="-5"/>
        </w:rPr>
        <w:t> </w:t>
      </w:r>
      <w:r>
        <w:rPr>
          <w:color w:val="231F20"/>
        </w:rPr>
        <w:t>en</w:t>
      </w:r>
      <w:r>
        <w:rPr>
          <w:color w:val="231F20"/>
          <w:spacing w:val="-5"/>
        </w:rPr>
        <w:t> </w:t>
      </w:r>
      <w:r>
        <w:rPr>
          <w:color w:val="231F20"/>
        </w:rPr>
        <w:t>su</w:t>
      </w:r>
      <w:r>
        <w:rPr>
          <w:color w:val="231F20"/>
          <w:spacing w:val="-5"/>
        </w:rPr>
        <w:t> </w:t>
      </w:r>
      <w:r>
        <w:rPr>
          <w:color w:val="231F20"/>
        </w:rPr>
        <w:t>vegetación;</w:t>
      </w:r>
      <w:r>
        <w:rPr>
          <w:color w:val="231F20"/>
          <w:spacing w:val="-5"/>
        </w:rPr>
        <w:t> </w:t>
      </w:r>
      <w:r>
        <w:rPr>
          <w:color w:val="231F20"/>
        </w:rPr>
        <w:t>además</w:t>
      </w:r>
      <w:r>
        <w:rPr>
          <w:color w:val="231F20"/>
          <w:spacing w:val="-5"/>
        </w:rPr>
        <w:t> </w:t>
      </w:r>
      <w:r>
        <w:rPr>
          <w:color w:val="231F20"/>
        </w:rPr>
        <w:t>este</w:t>
      </w:r>
      <w:r>
        <w:rPr>
          <w:color w:val="231F20"/>
          <w:spacing w:val="-5"/>
        </w:rPr>
        <w:t> </w:t>
      </w:r>
      <w:r>
        <w:rPr>
          <w:color w:val="231F20"/>
        </w:rPr>
        <w:t>tipo</w:t>
      </w:r>
      <w:r>
        <w:rPr>
          <w:color w:val="231F20"/>
          <w:spacing w:val="-5"/>
        </w:rPr>
        <w:t> </w:t>
      </w:r>
      <w:r>
        <w:rPr>
          <w:color w:val="231F20"/>
        </w:rPr>
        <w:t>de</w:t>
      </w:r>
      <w:r>
        <w:rPr>
          <w:color w:val="231F20"/>
          <w:spacing w:val="-5"/>
        </w:rPr>
        <w:t> </w:t>
      </w:r>
      <w:r>
        <w:rPr>
          <w:color w:val="231F20"/>
        </w:rPr>
        <w:t>pendiente</w:t>
      </w:r>
      <w:r>
        <w:rPr>
          <w:color w:val="231F20"/>
          <w:spacing w:val="-5"/>
        </w:rPr>
        <w:t> </w:t>
      </w:r>
      <w:r>
        <w:rPr>
          <w:color w:val="231F20"/>
        </w:rPr>
        <w:t>evita</w:t>
      </w:r>
      <w:r>
        <w:rPr>
          <w:color w:val="231F20"/>
          <w:spacing w:val="-5"/>
        </w:rPr>
        <w:t> </w:t>
      </w:r>
      <w:r>
        <w:rPr>
          <w:color w:val="231F20"/>
        </w:rPr>
        <w:t>inundaciones</w:t>
      </w:r>
      <w:r>
        <w:rPr>
          <w:color w:val="231F20"/>
          <w:spacing w:val="-5"/>
        </w:rPr>
        <w:t> </w:t>
      </w:r>
      <w:r>
        <w:rPr>
          <w:color w:val="231F20"/>
        </w:rPr>
        <w:t>y</w:t>
      </w:r>
      <w:r>
        <w:rPr>
          <w:color w:val="231F20"/>
          <w:spacing w:val="-5"/>
        </w:rPr>
        <w:t> </w:t>
      </w:r>
      <w:r>
        <w:rPr>
          <w:color w:val="231F20"/>
        </w:rPr>
        <w:t>con</w:t>
      </w:r>
      <w:r>
        <w:rPr>
          <w:color w:val="231F20"/>
          <w:spacing w:val="-5"/>
        </w:rPr>
        <w:t> </w:t>
      </w:r>
      <w:r>
        <w:rPr>
          <w:color w:val="231F20"/>
        </w:rPr>
        <w:t>ello</w:t>
      </w:r>
      <w:r>
        <w:rPr>
          <w:color w:val="231F20"/>
          <w:spacing w:val="-5"/>
        </w:rPr>
        <w:t> </w:t>
      </w:r>
      <w:r>
        <w:rPr>
          <w:color w:val="231F20"/>
        </w:rPr>
        <w:t>la</w:t>
      </w:r>
      <w:r>
        <w:rPr>
          <w:color w:val="231F20"/>
          <w:spacing w:val="-5"/>
        </w:rPr>
        <w:t> </w:t>
      </w:r>
      <w:r>
        <w:rPr>
          <w:color w:val="231F20"/>
        </w:rPr>
        <w:t>presencia de enfermedades fungosas o bacterianas; en los sitios restantes (Las Abejas, La Cruz y El Panteón) las plantas tuvieron condición sanitaria</w:t>
      </w:r>
      <w:r>
        <w:rPr>
          <w:color w:val="231F20"/>
          <w:spacing w:val="-24"/>
        </w:rPr>
        <w:t> </w:t>
      </w:r>
      <w:r>
        <w:rPr>
          <w:color w:val="231F20"/>
        </w:rPr>
        <w:t>regular.</w:t>
      </w:r>
    </w:p>
    <w:p>
      <w:pPr>
        <w:pStyle w:val="BodyText"/>
        <w:spacing w:before="10"/>
      </w:pPr>
    </w:p>
    <w:p>
      <w:pPr>
        <w:pStyle w:val="BodyText"/>
        <w:spacing w:line="247" w:lineRule="auto"/>
        <w:ind w:left="1270" w:right="1267"/>
        <w:jc w:val="both"/>
      </w:pPr>
      <w:r>
        <w:rPr>
          <w:color w:val="231F20"/>
        </w:rPr>
        <w:t>En cuanto a la riqueza de los sitios se observó que el </w:t>
      </w:r>
      <w:r>
        <w:rPr>
          <w:color w:val="231F20"/>
          <w:spacing w:val="-5"/>
        </w:rPr>
        <w:t>Valle </w:t>
      </w:r>
      <w:r>
        <w:rPr>
          <w:color w:val="231F20"/>
        </w:rPr>
        <w:t>Florido tuvo mayor número de especies en comparación con los otros sitios, aunque en La Cruz y El Panteón se obtuvo un valor similar; mientras que el sitio con menos especies fue el de Las Abejas. La presencia de un menor número</w:t>
      </w:r>
      <w:r>
        <w:rPr>
          <w:color w:val="231F20"/>
          <w:spacing w:val="-28"/>
        </w:rPr>
        <w:t> </w:t>
      </w:r>
      <w:r>
        <w:rPr>
          <w:color w:val="231F20"/>
        </w:rPr>
        <w:t>de especies en sitios con características similares se puede atribuir al grado de perturbación del</w:t>
      </w:r>
      <w:r>
        <w:rPr>
          <w:color w:val="231F20"/>
          <w:spacing w:val="-31"/>
        </w:rPr>
        <w:t> </w:t>
      </w:r>
      <w:r>
        <w:rPr>
          <w:color w:val="231F20"/>
        </w:rPr>
        <w:t>hábitat, lo cual concuerda con Mostacedo y Fredericksen (2000); por lo anterior se puede deducir que Las Abejas, La Cruz y El Panteón se encuentran más deteriorados, contrastando con el </w:t>
      </w:r>
      <w:r>
        <w:rPr>
          <w:color w:val="231F20"/>
          <w:spacing w:val="-5"/>
        </w:rPr>
        <w:t>Valle </w:t>
      </w:r>
      <w:r>
        <w:rPr>
          <w:color w:val="231F20"/>
        </w:rPr>
        <w:t>Florido donde su riqueza de especies indica un mejor estado de conservación (Figura 5).</w:t>
      </w:r>
    </w:p>
    <w:p>
      <w:pPr>
        <w:pStyle w:val="BodyText"/>
        <w:spacing w:before="5"/>
      </w:pPr>
    </w:p>
    <w:p>
      <w:pPr>
        <w:spacing w:before="0"/>
        <w:ind w:left="1489" w:right="1489" w:firstLine="0"/>
        <w:jc w:val="center"/>
        <w:rPr>
          <w:b/>
          <w:sz w:val="18"/>
        </w:rPr>
      </w:pPr>
      <w:r>
        <w:rPr>
          <w:b/>
          <w:color w:val="010202"/>
          <w:sz w:val="18"/>
        </w:rPr>
        <w:t>Figura 5. Índice de Riqueza de Shannon-Wiener en los sitios donde se muestreo a</w:t>
      </w:r>
    </w:p>
    <w:p>
      <w:pPr>
        <w:spacing w:before="9"/>
        <w:ind w:left="2617" w:right="1279" w:firstLine="0"/>
        <w:jc w:val="left"/>
        <w:rPr>
          <w:b/>
          <w:sz w:val="18"/>
        </w:rPr>
      </w:pPr>
      <w:r>
        <w:rPr>
          <w:b/>
          <w:i/>
          <w:color w:val="010202"/>
          <w:sz w:val="18"/>
        </w:rPr>
        <w:t>C. glassii </w:t>
      </w:r>
      <w:r>
        <w:rPr>
          <w:b/>
          <w:color w:val="010202"/>
          <w:sz w:val="18"/>
        </w:rPr>
        <w:t>en el Ejido San José del Tapanco, municipio de Rioverde, S. L. P.</w:t>
      </w:r>
    </w:p>
    <w:p>
      <w:pPr>
        <w:pStyle w:val="BodyText"/>
        <w:spacing w:before="9"/>
        <w:rPr>
          <w:b/>
          <w:sz w:val="15"/>
        </w:rPr>
      </w:pPr>
      <w:r>
        <w:rPr/>
        <w:pict>
          <v:group style="position:absolute;margin-left:77.125999pt;margin-top:11.05332pt;width:391.75pt;height:155.2pt;mso-position-horizontal-relative:page;mso-position-vertical-relative:paragraph;z-index:4408;mso-wrap-distance-left:0;mso-wrap-distance-right:0" coordorigin="1543,221" coordsize="7835,3104">
            <v:shape style="position:absolute;left:1548;top:226;width:7824;height:3094" type="#_x0000_t75" stroked="false">
              <v:imagedata r:id="rId88" o:title=""/>
            </v:shape>
            <v:rect style="position:absolute;left:1548;top:226;width:7825;height:3094" filled="false" stroked="true" strokeweight=".5pt" strokecolor="#231f20"/>
            <w10:wrap type="topAndBottom"/>
          </v:group>
        </w:pict>
      </w:r>
    </w:p>
    <w:p>
      <w:pPr>
        <w:pStyle w:val="BodyText"/>
        <w:spacing w:before="6"/>
        <w:rPr>
          <w:b/>
          <w:sz w:val="17"/>
        </w:rPr>
      </w:pPr>
    </w:p>
    <w:p>
      <w:pPr>
        <w:pStyle w:val="BodyText"/>
        <w:spacing w:line="247" w:lineRule="auto" w:before="73"/>
        <w:ind w:left="1270" w:right="1268"/>
        <w:jc w:val="both"/>
      </w:pPr>
      <w:r>
        <w:rPr>
          <w:color w:val="231F20"/>
        </w:rPr>
        <w:t>El</w:t>
      </w:r>
      <w:r>
        <w:rPr>
          <w:color w:val="231F20"/>
          <w:spacing w:val="-9"/>
        </w:rPr>
        <w:t> </w:t>
      </w:r>
      <w:r>
        <w:rPr>
          <w:color w:val="231F20"/>
        </w:rPr>
        <w:t>Índice</w:t>
      </w:r>
      <w:r>
        <w:rPr>
          <w:color w:val="231F20"/>
          <w:spacing w:val="-9"/>
        </w:rPr>
        <w:t> </w:t>
      </w:r>
      <w:r>
        <w:rPr>
          <w:color w:val="231F20"/>
        </w:rPr>
        <w:t>de</w:t>
      </w:r>
      <w:r>
        <w:rPr>
          <w:color w:val="231F20"/>
          <w:spacing w:val="-9"/>
        </w:rPr>
        <w:t> </w:t>
      </w:r>
      <w:r>
        <w:rPr>
          <w:color w:val="231F20"/>
        </w:rPr>
        <w:t>Similitud</w:t>
      </w:r>
      <w:r>
        <w:rPr>
          <w:color w:val="231F20"/>
          <w:spacing w:val="-9"/>
        </w:rPr>
        <w:t> </w:t>
      </w:r>
      <w:r>
        <w:rPr>
          <w:color w:val="231F20"/>
        </w:rPr>
        <w:t>expresa</w:t>
      </w:r>
      <w:r>
        <w:rPr>
          <w:color w:val="231F20"/>
          <w:spacing w:val="-9"/>
        </w:rPr>
        <w:t> </w:t>
      </w:r>
      <w:r>
        <w:rPr>
          <w:color w:val="231F20"/>
        </w:rPr>
        <w:t>como</w:t>
      </w:r>
      <w:r>
        <w:rPr>
          <w:color w:val="231F20"/>
          <w:spacing w:val="-9"/>
        </w:rPr>
        <w:t> </w:t>
      </w:r>
      <w:r>
        <w:rPr>
          <w:color w:val="231F20"/>
        </w:rPr>
        <w:t>dos</w:t>
      </w:r>
      <w:r>
        <w:rPr>
          <w:color w:val="231F20"/>
          <w:spacing w:val="-9"/>
        </w:rPr>
        <w:t> </w:t>
      </w:r>
      <w:r>
        <w:rPr>
          <w:color w:val="231F20"/>
        </w:rPr>
        <w:t>muestras</w:t>
      </w:r>
      <w:r>
        <w:rPr>
          <w:color w:val="231F20"/>
          <w:spacing w:val="-9"/>
        </w:rPr>
        <w:t> </w:t>
      </w:r>
      <w:r>
        <w:rPr>
          <w:color w:val="231F20"/>
        </w:rPr>
        <w:t>son</w:t>
      </w:r>
      <w:r>
        <w:rPr>
          <w:color w:val="231F20"/>
          <w:spacing w:val="-9"/>
        </w:rPr>
        <w:t> </w:t>
      </w:r>
      <w:r>
        <w:rPr>
          <w:color w:val="231F20"/>
        </w:rPr>
        <w:t>semejantes</w:t>
      </w:r>
      <w:r>
        <w:rPr>
          <w:color w:val="231F20"/>
          <w:spacing w:val="-9"/>
        </w:rPr>
        <w:t> </w:t>
      </w:r>
      <w:r>
        <w:rPr>
          <w:color w:val="231F20"/>
        </w:rPr>
        <w:t>de</w:t>
      </w:r>
      <w:r>
        <w:rPr>
          <w:color w:val="231F20"/>
          <w:spacing w:val="-9"/>
        </w:rPr>
        <w:t> </w:t>
      </w:r>
      <w:r>
        <w:rPr>
          <w:color w:val="231F20"/>
        </w:rPr>
        <w:t>acuerdo</w:t>
      </w:r>
      <w:r>
        <w:rPr>
          <w:color w:val="231F20"/>
          <w:spacing w:val="-9"/>
        </w:rPr>
        <w:t> </w:t>
      </w:r>
      <w:r>
        <w:rPr>
          <w:color w:val="231F20"/>
        </w:rPr>
        <w:t>a</w:t>
      </w:r>
      <w:r>
        <w:rPr>
          <w:color w:val="231F20"/>
          <w:spacing w:val="-9"/>
        </w:rPr>
        <w:t> </w:t>
      </w:r>
      <w:r>
        <w:rPr>
          <w:color w:val="231F20"/>
        </w:rPr>
        <w:t>las</w:t>
      </w:r>
      <w:r>
        <w:rPr>
          <w:color w:val="231F20"/>
          <w:spacing w:val="-9"/>
        </w:rPr>
        <w:t> </w:t>
      </w:r>
      <w:r>
        <w:rPr>
          <w:color w:val="231F20"/>
        </w:rPr>
        <w:t>especies</w:t>
      </w:r>
      <w:r>
        <w:rPr>
          <w:color w:val="231F20"/>
          <w:spacing w:val="-9"/>
        </w:rPr>
        <w:t> </w:t>
      </w:r>
      <w:r>
        <w:rPr>
          <w:color w:val="231F20"/>
        </w:rPr>
        <w:t>presentes en ellas. El análisis de similitud de los sitios, manejando el Índice de Sorensen y el Índice de</w:t>
      </w:r>
      <w:r>
        <w:rPr>
          <w:color w:val="231F20"/>
          <w:spacing w:val="-36"/>
        </w:rPr>
        <w:t> </w:t>
      </w:r>
      <w:r>
        <w:rPr>
          <w:color w:val="231F20"/>
        </w:rPr>
        <w:t>Simili- tud</w:t>
      </w:r>
      <w:r>
        <w:rPr>
          <w:color w:val="231F20"/>
          <w:spacing w:val="-7"/>
        </w:rPr>
        <w:t> </w:t>
      </w:r>
      <w:r>
        <w:rPr>
          <w:color w:val="231F20"/>
        </w:rPr>
        <w:t>de</w:t>
      </w:r>
      <w:r>
        <w:rPr>
          <w:color w:val="231F20"/>
          <w:spacing w:val="-7"/>
        </w:rPr>
        <w:t> </w:t>
      </w:r>
      <w:r>
        <w:rPr>
          <w:color w:val="231F20"/>
        </w:rPr>
        <w:t>Jaccard</w:t>
      </w:r>
      <w:r>
        <w:rPr>
          <w:color w:val="231F20"/>
          <w:spacing w:val="-7"/>
        </w:rPr>
        <w:t> </w:t>
      </w:r>
      <w:r>
        <w:rPr>
          <w:color w:val="231F20"/>
        </w:rPr>
        <w:t>(ambos</w:t>
      </w:r>
      <w:r>
        <w:rPr>
          <w:color w:val="231F20"/>
          <w:spacing w:val="-7"/>
        </w:rPr>
        <w:t> </w:t>
      </w:r>
      <w:r>
        <w:rPr>
          <w:color w:val="231F20"/>
        </w:rPr>
        <w:t>índices</w:t>
      </w:r>
      <w:r>
        <w:rPr>
          <w:color w:val="231F20"/>
          <w:spacing w:val="-7"/>
        </w:rPr>
        <w:t> </w:t>
      </w:r>
      <w:r>
        <w:rPr>
          <w:color w:val="231F20"/>
        </w:rPr>
        <w:t>cualitativos</w:t>
      </w:r>
      <w:r>
        <w:rPr>
          <w:color w:val="231F20"/>
          <w:spacing w:val="-8"/>
        </w:rPr>
        <w:t> </w:t>
      </w:r>
      <w:r>
        <w:rPr>
          <w:color w:val="231F20"/>
        </w:rPr>
        <w:t>basados</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presencia</w:t>
      </w:r>
      <w:r>
        <w:rPr>
          <w:color w:val="231F20"/>
          <w:spacing w:val="-7"/>
        </w:rPr>
        <w:t> </w:t>
      </w:r>
      <w:r>
        <w:rPr>
          <w:color w:val="231F20"/>
        </w:rPr>
        <w:t>o</w:t>
      </w:r>
      <w:r>
        <w:rPr>
          <w:color w:val="231F20"/>
          <w:spacing w:val="-7"/>
        </w:rPr>
        <w:t> </w:t>
      </w:r>
      <w:r>
        <w:rPr>
          <w:color w:val="231F20"/>
        </w:rPr>
        <w:t>ausencia</w:t>
      </w:r>
      <w:r>
        <w:rPr>
          <w:color w:val="231F20"/>
          <w:spacing w:val="-7"/>
        </w:rPr>
        <w:t> </w:t>
      </w:r>
      <w:r>
        <w:rPr>
          <w:color w:val="231F20"/>
        </w:rPr>
        <w:t>de</w:t>
      </w:r>
      <w:r>
        <w:rPr>
          <w:color w:val="231F20"/>
          <w:spacing w:val="-7"/>
        </w:rPr>
        <w:t> </w:t>
      </w:r>
      <w:r>
        <w:rPr>
          <w:color w:val="231F20"/>
        </w:rPr>
        <w:t>especies</w:t>
      </w:r>
      <w:r>
        <w:rPr>
          <w:color w:val="231F20"/>
          <w:spacing w:val="-7"/>
        </w:rPr>
        <w:t> </w:t>
      </w:r>
      <w:r>
        <w:rPr>
          <w:color w:val="231F20"/>
        </w:rPr>
        <w:t>entre</w:t>
      </w:r>
      <w:r>
        <w:rPr>
          <w:color w:val="231F20"/>
          <w:spacing w:val="-7"/>
        </w:rPr>
        <w:t> </w:t>
      </w:r>
      <w:r>
        <w:rPr>
          <w:color w:val="231F20"/>
        </w:rPr>
        <w:t>sitios de muestreo) arrojaron que los sitios más parecidos fueron: </w:t>
      </w:r>
      <w:r>
        <w:rPr>
          <w:color w:val="231F20"/>
          <w:spacing w:val="-5"/>
        </w:rPr>
        <w:t>Valle </w:t>
      </w:r>
      <w:r>
        <w:rPr>
          <w:color w:val="231F20"/>
        </w:rPr>
        <w:t>Florido en comparación con Las Abejas, Las Abejas con El Panteón y Las Abejas comparado con La Cruz; mientras que los sitios menos semejante en cuanto a especies se refiere fueron El Panteón comparado con La Cruz; por lo anterior se puede deducir que los sitios que tienen mayor contraste de especies son </w:t>
      </w:r>
      <w:r>
        <w:rPr>
          <w:color w:val="231F20"/>
          <w:spacing w:val="-5"/>
        </w:rPr>
        <w:t>Valle </w:t>
      </w:r>
      <w:r>
        <w:rPr>
          <w:color w:val="231F20"/>
        </w:rPr>
        <w:t>Florido y La Cruz, como se puede observar en el cuadro</w:t>
      </w:r>
      <w:r>
        <w:rPr>
          <w:color w:val="231F20"/>
          <w:spacing w:val="-4"/>
        </w:rPr>
        <w:t> </w:t>
      </w:r>
      <w:r>
        <w:rPr>
          <w:color w:val="231F20"/>
        </w:rPr>
        <w:t>1.</w:t>
      </w:r>
    </w:p>
    <w:p>
      <w:pPr>
        <w:spacing w:after="0" w:line="247" w:lineRule="auto"/>
        <w:jc w:val="both"/>
        <w:sectPr>
          <w:pgSz w:w="10920" w:h="13080"/>
          <w:pgMar w:header="0" w:footer="965" w:top="420" w:bottom="1220" w:left="0" w:right="0"/>
        </w:sectPr>
      </w:pPr>
    </w:p>
    <w:p>
      <w:pPr>
        <w:pStyle w:val="BodyText"/>
        <w:rPr>
          <w:sz w:val="20"/>
        </w:rPr>
      </w:pPr>
    </w:p>
    <w:p>
      <w:pPr>
        <w:pStyle w:val="BodyText"/>
        <w:rPr>
          <w:sz w:val="20"/>
        </w:rPr>
      </w:pPr>
    </w:p>
    <w:p>
      <w:pPr>
        <w:pStyle w:val="BodyText"/>
        <w:rPr>
          <w:sz w:val="23"/>
        </w:rPr>
      </w:pPr>
    </w:p>
    <w:p>
      <w:pPr>
        <w:spacing w:line="249" w:lineRule="auto" w:before="77"/>
        <w:ind w:left="2831" w:right="2212" w:hanging="594"/>
        <w:jc w:val="left"/>
        <w:rPr>
          <w:b/>
          <w:sz w:val="18"/>
        </w:rPr>
      </w:pPr>
      <w:r>
        <w:rPr>
          <w:b/>
          <w:color w:val="010202"/>
          <w:sz w:val="18"/>
        </w:rPr>
        <w:t>Cuadro 1. Índice de Similitud de Jaccard e Índice de Similitud de Sorensen aplicado a los sitios de muestreo de acuerdo a las especies presentes en el 2007</w:t>
      </w:r>
    </w:p>
    <w:p>
      <w:pPr>
        <w:pStyle w:val="BodyText"/>
        <w:spacing w:before="7"/>
        <w:rPr>
          <w:b/>
        </w:rPr>
      </w:pPr>
    </w:p>
    <w:tbl>
      <w:tblPr>
        <w:tblW w:w="0" w:type="auto"/>
        <w:jc w:val="left"/>
        <w:tblInd w:w="1270"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top w:w="0" w:type="dxa"/>
          <w:left w:w="0" w:type="dxa"/>
          <w:bottom w:w="0" w:type="dxa"/>
          <w:right w:w="0" w:type="dxa"/>
        </w:tblCellMar>
        <w:tblLook w:val="01E0"/>
      </w:tblPr>
      <w:tblGrid>
        <w:gridCol w:w="2786"/>
        <w:gridCol w:w="2786"/>
        <w:gridCol w:w="2786"/>
      </w:tblGrid>
      <w:tr>
        <w:trPr>
          <w:trHeight w:val="282" w:hRule="exact"/>
        </w:trPr>
        <w:tc>
          <w:tcPr>
            <w:tcW w:w="2786" w:type="dxa"/>
          </w:tcPr>
          <w:p>
            <w:pPr>
              <w:pStyle w:val="TableParagraph"/>
              <w:spacing w:before="24"/>
              <w:ind w:left="121" w:right="121"/>
              <w:jc w:val="center"/>
              <w:rPr>
                <w:b/>
                <w:sz w:val="18"/>
              </w:rPr>
            </w:pPr>
            <w:r>
              <w:rPr>
                <w:b/>
                <w:color w:val="231F20"/>
                <w:sz w:val="18"/>
              </w:rPr>
              <w:t>Sitios</w:t>
            </w:r>
          </w:p>
        </w:tc>
        <w:tc>
          <w:tcPr>
            <w:tcW w:w="2786" w:type="dxa"/>
          </w:tcPr>
          <w:p>
            <w:pPr>
              <w:pStyle w:val="TableParagraph"/>
              <w:spacing w:before="24"/>
              <w:ind w:left="121" w:right="121"/>
              <w:jc w:val="center"/>
              <w:rPr>
                <w:b/>
                <w:sz w:val="18"/>
              </w:rPr>
            </w:pPr>
            <w:r>
              <w:rPr>
                <w:b/>
                <w:color w:val="231F20"/>
                <w:sz w:val="18"/>
              </w:rPr>
              <w:t>Índice de Sorensen</w:t>
            </w:r>
          </w:p>
        </w:tc>
        <w:tc>
          <w:tcPr>
            <w:tcW w:w="2786" w:type="dxa"/>
          </w:tcPr>
          <w:p>
            <w:pPr>
              <w:pStyle w:val="TableParagraph"/>
              <w:spacing w:before="24"/>
              <w:ind w:left="121" w:right="121"/>
              <w:jc w:val="center"/>
              <w:rPr>
                <w:b/>
                <w:sz w:val="18"/>
              </w:rPr>
            </w:pPr>
            <w:r>
              <w:rPr>
                <w:b/>
                <w:color w:val="231F20"/>
                <w:sz w:val="18"/>
              </w:rPr>
              <w:t>Índice de Jaccard</w:t>
            </w:r>
          </w:p>
        </w:tc>
      </w:tr>
      <w:tr>
        <w:trPr>
          <w:trHeight w:val="285" w:hRule="exact"/>
        </w:trPr>
        <w:tc>
          <w:tcPr>
            <w:tcW w:w="2786" w:type="dxa"/>
          </w:tcPr>
          <w:p>
            <w:pPr>
              <w:pStyle w:val="TableParagraph"/>
              <w:ind w:left="0" w:right="628"/>
              <w:jc w:val="right"/>
              <w:rPr>
                <w:sz w:val="18"/>
              </w:rPr>
            </w:pPr>
            <w:r>
              <w:rPr>
                <w:color w:val="231F20"/>
                <w:sz w:val="18"/>
              </w:rPr>
              <w:t>Valle Florido-Abejas</w:t>
            </w:r>
          </w:p>
        </w:tc>
        <w:tc>
          <w:tcPr>
            <w:tcW w:w="2786" w:type="dxa"/>
          </w:tcPr>
          <w:p>
            <w:pPr>
              <w:pStyle w:val="TableParagraph"/>
              <w:ind w:left="121" w:right="121"/>
              <w:jc w:val="center"/>
              <w:rPr>
                <w:sz w:val="18"/>
              </w:rPr>
            </w:pPr>
            <w:r>
              <w:rPr>
                <w:color w:val="231F20"/>
                <w:sz w:val="18"/>
              </w:rPr>
              <w:t>0.70</w:t>
            </w:r>
          </w:p>
        </w:tc>
        <w:tc>
          <w:tcPr>
            <w:tcW w:w="2786" w:type="dxa"/>
          </w:tcPr>
          <w:p>
            <w:pPr>
              <w:pStyle w:val="TableParagraph"/>
              <w:ind w:left="121" w:right="121"/>
              <w:jc w:val="center"/>
              <w:rPr>
                <w:sz w:val="18"/>
              </w:rPr>
            </w:pPr>
            <w:r>
              <w:rPr>
                <w:color w:val="231F20"/>
                <w:sz w:val="18"/>
              </w:rPr>
              <w:t>0.54</w:t>
            </w:r>
          </w:p>
        </w:tc>
      </w:tr>
      <w:tr>
        <w:trPr>
          <w:trHeight w:val="285" w:hRule="exact"/>
        </w:trPr>
        <w:tc>
          <w:tcPr>
            <w:tcW w:w="2786" w:type="dxa"/>
          </w:tcPr>
          <w:p>
            <w:pPr>
              <w:pStyle w:val="TableParagraph"/>
              <w:ind w:left="791"/>
              <w:rPr>
                <w:sz w:val="18"/>
              </w:rPr>
            </w:pPr>
            <w:r>
              <w:rPr>
                <w:color w:val="231F20"/>
                <w:sz w:val="18"/>
              </w:rPr>
              <w:t>Abejas- Panteón</w:t>
            </w:r>
          </w:p>
        </w:tc>
        <w:tc>
          <w:tcPr>
            <w:tcW w:w="2786" w:type="dxa"/>
          </w:tcPr>
          <w:p>
            <w:pPr>
              <w:pStyle w:val="TableParagraph"/>
              <w:ind w:left="121" w:right="121"/>
              <w:jc w:val="center"/>
              <w:rPr>
                <w:sz w:val="18"/>
              </w:rPr>
            </w:pPr>
            <w:r>
              <w:rPr>
                <w:color w:val="231F20"/>
                <w:sz w:val="18"/>
              </w:rPr>
              <w:t>0.70</w:t>
            </w:r>
          </w:p>
        </w:tc>
        <w:tc>
          <w:tcPr>
            <w:tcW w:w="2786" w:type="dxa"/>
          </w:tcPr>
          <w:p>
            <w:pPr>
              <w:pStyle w:val="TableParagraph"/>
              <w:ind w:left="121" w:right="121"/>
              <w:jc w:val="center"/>
              <w:rPr>
                <w:sz w:val="18"/>
              </w:rPr>
            </w:pPr>
            <w:r>
              <w:rPr>
                <w:color w:val="231F20"/>
                <w:sz w:val="18"/>
              </w:rPr>
              <w:t>0.54</w:t>
            </w:r>
          </w:p>
        </w:tc>
      </w:tr>
      <w:tr>
        <w:trPr>
          <w:trHeight w:val="285" w:hRule="exact"/>
        </w:trPr>
        <w:tc>
          <w:tcPr>
            <w:tcW w:w="2786" w:type="dxa"/>
          </w:tcPr>
          <w:p>
            <w:pPr>
              <w:pStyle w:val="TableParagraph"/>
              <w:ind w:left="811"/>
              <w:rPr>
                <w:sz w:val="18"/>
              </w:rPr>
            </w:pPr>
            <w:r>
              <w:rPr>
                <w:color w:val="231F20"/>
                <w:sz w:val="18"/>
              </w:rPr>
              <w:t>Abejas-La Cruz</w:t>
            </w:r>
          </w:p>
        </w:tc>
        <w:tc>
          <w:tcPr>
            <w:tcW w:w="2786" w:type="dxa"/>
          </w:tcPr>
          <w:p>
            <w:pPr>
              <w:pStyle w:val="TableParagraph"/>
              <w:ind w:left="121" w:right="121"/>
              <w:jc w:val="center"/>
              <w:rPr>
                <w:sz w:val="18"/>
              </w:rPr>
            </w:pPr>
            <w:r>
              <w:rPr>
                <w:color w:val="231F20"/>
                <w:sz w:val="18"/>
              </w:rPr>
              <w:t>0.70</w:t>
            </w:r>
          </w:p>
        </w:tc>
        <w:tc>
          <w:tcPr>
            <w:tcW w:w="2786" w:type="dxa"/>
          </w:tcPr>
          <w:p>
            <w:pPr>
              <w:pStyle w:val="TableParagraph"/>
              <w:ind w:left="121" w:right="121"/>
              <w:jc w:val="center"/>
              <w:rPr>
                <w:sz w:val="18"/>
              </w:rPr>
            </w:pPr>
            <w:r>
              <w:rPr>
                <w:color w:val="231F20"/>
                <w:sz w:val="18"/>
              </w:rPr>
              <w:t>0.54</w:t>
            </w:r>
          </w:p>
        </w:tc>
      </w:tr>
      <w:tr>
        <w:trPr>
          <w:trHeight w:val="285" w:hRule="exact"/>
        </w:trPr>
        <w:tc>
          <w:tcPr>
            <w:tcW w:w="2786" w:type="dxa"/>
          </w:tcPr>
          <w:p>
            <w:pPr>
              <w:pStyle w:val="TableParagraph"/>
              <w:ind w:left="0" w:right="588"/>
              <w:jc w:val="right"/>
              <w:rPr>
                <w:sz w:val="18"/>
              </w:rPr>
            </w:pPr>
            <w:r>
              <w:rPr>
                <w:color w:val="231F20"/>
                <w:sz w:val="18"/>
              </w:rPr>
              <w:t>Valle Florido-Panteón</w:t>
            </w:r>
          </w:p>
        </w:tc>
        <w:tc>
          <w:tcPr>
            <w:tcW w:w="2786" w:type="dxa"/>
          </w:tcPr>
          <w:p>
            <w:pPr>
              <w:pStyle w:val="TableParagraph"/>
              <w:ind w:left="121" w:right="121"/>
              <w:jc w:val="center"/>
              <w:rPr>
                <w:sz w:val="18"/>
              </w:rPr>
            </w:pPr>
            <w:r>
              <w:rPr>
                <w:color w:val="231F20"/>
                <w:sz w:val="18"/>
              </w:rPr>
              <w:t>0.70</w:t>
            </w:r>
          </w:p>
        </w:tc>
        <w:tc>
          <w:tcPr>
            <w:tcW w:w="2786" w:type="dxa"/>
          </w:tcPr>
          <w:p>
            <w:pPr>
              <w:pStyle w:val="TableParagraph"/>
              <w:ind w:left="121" w:right="121"/>
              <w:jc w:val="center"/>
              <w:rPr>
                <w:sz w:val="18"/>
              </w:rPr>
            </w:pPr>
            <w:r>
              <w:rPr>
                <w:color w:val="231F20"/>
                <w:sz w:val="18"/>
              </w:rPr>
              <w:t>0.54</w:t>
            </w:r>
          </w:p>
        </w:tc>
      </w:tr>
      <w:tr>
        <w:trPr>
          <w:trHeight w:val="285" w:hRule="exact"/>
        </w:trPr>
        <w:tc>
          <w:tcPr>
            <w:tcW w:w="2786" w:type="dxa"/>
          </w:tcPr>
          <w:p>
            <w:pPr>
              <w:pStyle w:val="TableParagraph"/>
              <w:ind w:left="0" w:right="563"/>
              <w:jc w:val="right"/>
              <w:rPr>
                <w:sz w:val="18"/>
              </w:rPr>
            </w:pPr>
            <w:r>
              <w:rPr>
                <w:color w:val="231F20"/>
                <w:sz w:val="18"/>
              </w:rPr>
              <w:t>Valle Florido -La Cruz</w:t>
            </w:r>
          </w:p>
        </w:tc>
        <w:tc>
          <w:tcPr>
            <w:tcW w:w="2786" w:type="dxa"/>
          </w:tcPr>
          <w:p>
            <w:pPr>
              <w:pStyle w:val="TableParagraph"/>
              <w:ind w:left="121" w:right="121"/>
              <w:jc w:val="center"/>
              <w:rPr>
                <w:sz w:val="18"/>
              </w:rPr>
            </w:pPr>
            <w:r>
              <w:rPr>
                <w:color w:val="231F20"/>
                <w:sz w:val="18"/>
              </w:rPr>
              <w:t>0.67</w:t>
            </w:r>
          </w:p>
        </w:tc>
        <w:tc>
          <w:tcPr>
            <w:tcW w:w="2786" w:type="dxa"/>
          </w:tcPr>
          <w:p>
            <w:pPr>
              <w:pStyle w:val="TableParagraph"/>
              <w:ind w:left="121" w:right="121"/>
              <w:jc w:val="center"/>
              <w:rPr>
                <w:sz w:val="18"/>
              </w:rPr>
            </w:pPr>
            <w:r>
              <w:rPr>
                <w:color w:val="231F20"/>
                <w:sz w:val="18"/>
              </w:rPr>
              <w:t>0.50</w:t>
            </w:r>
          </w:p>
        </w:tc>
      </w:tr>
      <w:tr>
        <w:trPr>
          <w:trHeight w:val="285" w:hRule="exact"/>
        </w:trPr>
        <w:tc>
          <w:tcPr>
            <w:tcW w:w="2786" w:type="dxa"/>
          </w:tcPr>
          <w:p>
            <w:pPr>
              <w:pStyle w:val="TableParagraph"/>
              <w:ind w:left="748"/>
              <w:rPr>
                <w:sz w:val="18"/>
              </w:rPr>
            </w:pPr>
            <w:r>
              <w:rPr>
                <w:color w:val="231F20"/>
                <w:sz w:val="18"/>
              </w:rPr>
              <w:t>Panteón- La Cruz</w:t>
            </w:r>
          </w:p>
        </w:tc>
        <w:tc>
          <w:tcPr>
            <w:tcW w:w="2786" w:type="dxa"/>
          </w:tcPr>
          <w:p>
            <w:pPr>
              <w:pStyle w:val="TableParagraph"/>
              <w:ind w:left="121" w:right="121"/>
              <w:jc w:val="center"/>
              <w:rPr>
                <w:sz w:val="18"/>
              </w:rPr>
            </w:pPr>
            <w:r>
              <w:rPr>
                <w:color w:val="231F20"/>
                <w:sz w:val="18"/>
              </w:rPr>
              <w:t>0.33</w:t>
            </w:r>
          </w:p>
        </w:tc>
        <w:tc>
          <w:tcPr>
            <w:tcW w:w="2786" w:type="dxa"/>
          </w:tcPr>
          <w:p>
            <w:pPr>
              <w:pStyle w:val="TableParagraph"/>
              <w:ind w:left="121" w:right="121"/>
              <w:jc w:val="center"/>
              <w:rPr>
                <w:sz w:val="18"/>
              </w:rPr>
            </w:pPr>
            <w:r>
              <w:rPr>
                <w:color w:val="231F20"/>
                <w:sz w:val="18"/>
              </w:rPr>
              <w:t>0.20</w:t>
            </w:r>
          </w:p>
        </w:tc>
      </w:tr>
    </w:tbl>
    <w:p>
      <w:pPr>
        <w:pStyle w:val="BodyText"/>
        <w:spacing w:before="1"/>
        <w:rPr>
          <w:b/>
          <w:sz w:val="13"/>
        </w:rPr>
      </w:pPr>
    </w:p>
    <w:p>
      <w:pPr>
        <w:pStyle w:val="BodyText"/>
        <w:spacing w:line="247" w:lineRule="auto" w:before="73"/>
        <w:ind w:left="1270" w:right="1267"/>
        <w:jc w:val="both"/>
      </w:pPr>
      <w:r>
        <w:rPr>
          <w:color w:val="231F20"/>
        </w:rPr>
        <w:t>Los resultados del Índice de Similitud aunados a los valores de riqueza de acuerdo al Índice de</w:t>
      </w:r>
      <w:r>
        <w:rPr>
          <w:color w:val="231F20"/>
          <w:spacing w:val="-16"/>
        </w:rPr>
        <w:t> </w:t>
      </w:r>
      <w:r>
        <w:rPr>
          <w:color w:val="231F20"/>
        </w:rPr>
        <w:t>Sha- non-Wiener; así como a la condición sanitaria, la presencia de plantas nodriza y otras</w:t>
      </w:r>
      <w:r>
        <w:rPr>
          <w:color w:val="231F20"/>
          <w:spacing w:val="-36"/>
        </w:rPr>
        <w:t> </w:t>
      </w:r>
      <w:r>
        <w:rPr>
          <w:color w:val="231F20"/>
        </w:rPr>
        <w:t>características de las colonias como el número de individuos y el número de series del individuo de mayor tamaño evidencian que el sitio de muestro </w:t>
      </w:r>
      <w:r>
        <w:rPr>
          <w:color w:val="231F20"/>
          <w:spacing w:val="-5"/>
        </w:rPr>
        <w:t>Valle </w:t>
      </w:r>
      <w:r>
        <w:rPr>
          <w:color w:val="231F20"/>
        </w:rPr>
        <w:t>Florido tiene un mejor estado de conservación, lo que re- percute</w:t>
      </w:r>
      <w:r>
        <w:rPr>
          <w:color w:val="231F20"/>
          <w:spacing w:val="-7"/>
        </w:rPr>
        <w:t> </w:t>
      </w:r>
      <w:r>
        <w:rPr>
          <w:color w:val="231F20"/>
        </w:rPr>
        <w:t>en</w:t>
      </w:r>
      <w:r>
        <w:rPr>
          <w:color w:val="231F20"/>
          <w:spacing w:val="-7"/>
        </w:rPr>
        <w:t> </w:t>
      </w:r>
      <w:r>
        <w:rPr>
          <w:color w:val="231F20"/>
        </w:rPr>
        <w:t>una</w:t>
      </w:r>
      <w:r>
        <w:rPr>
          <w:color w:val="231F20"/>
          <w:spacing w:val="-6"/>
        </w:rPr>
        <w:t> </w:t>
      </w:r>
      <w:r>
        <w:rPr>
          <w:color w:val="231F20"/>
        </w:rPr>
        <w:t>mayor</w:t>
      </w:r>
      <w:r>
        <w:rPr>
          <w:color w:val="231F20"/>
          <w:spacing w:val="-7"/>
        </w:rPr>
        <w:t> </w:t>
      </w:r>
      <w:r>
        <w:rPr>
          <w:color w:val="231F20"/>
        </w:rPr>
        <w:t>presencia</w:t>
      </w:r>
      <w:r>
        <w:rPr>
          <w:color w:val="231F20"/>
          <w:spacing w:val="-7"/>
        </w:rPr>
        <w:t> </w:t>
      </w:r>
      <w:r>
        <w:rPr>
          <w:color w:val="231F20"/>
        </w:rPr>
        <w:t>de</w:t>
      </w:r>
      <w:r>
        <w:rPr>
          <w:color w:val="231F20"/>
          <w:spacing w:val="-6"/>
        </w:rPr>
        <w:t> </w:t>
      </w:r>
      <w:r>
        <w:rPr>
          <w:color w:val="231F20"/>
        </w:rPr>
        <w:t>plantas</w:t>
      </w:r>
      <w:r>
        <w:rPr>
          <w:color w:val="231F20"/>
          <w:spacing w:val="-7"/>
        </w:rPr>
        <w:t> </w:t>
      </w:r>
      <w:r>
        <w:rPr>
          <w:color w:val="231F20"/>
        </w:rPr>
        <w:t>nodrizas,</w:t>
      </w:r>
      <w:r>
        <w:rPr>
          <w:color w:val="231F20"/>
          <w:spacing w:val="-6"/>
        </w:rPr>
        <w:t> </w:t>
      </w:r>
      <w:r>
        <w:rPr>
          <w:color w:val="231F20"/>
        </w:rPr>
        <w:t>una</w:t>
      </w:r>
      <w:r>
        <w:rPr>
          <w:color w:val="231F20"/>
          <w:spacing w:val="-6"/>
        </w:rPr>
        <w:t> </w:t>
      </w:r>
      <w:r>
        <w:rPr>
          <w:color w:val="231F20"/>
        </w:rPr>
        <w:t>mejor</w:t>
      </w:r>
      <w:r>
        <w:rPr>
          <w:color w:val="231F20"/>
          <w:spacing w:val="-7"/>
        </w:rPr>
        <w:t> </w:t>
      </w:r>
      <w:r>
        <w:rPr>
          <w:color w:val="231F20"/>
        </w:rPr>
        <w:t>condición</w:t>
      </w:r>
      <w:r>
        <w:rPr>
          <w:color w:val="231F20"/>
          <w:spacing w:val="-7"/>
        </w:rPr>
        <w:t> </w:t>
      </w:r>
      <w:r>
        <w:rPr>
          <w:color w:val="231F20"/>
        </w:rPr>
        <w:t>sanitaria</w:t>
      </w:r>
      <w:r>
        <w:rPr>
          <w:color w:val="231F20"/>
          <w:spacing w:val="-6"/>
        </w:rPr>
        <w:t> </w:t>
      </w:r>
      <w:r>
        <w:rPr>
          <w:color w:val="231F20"/>
        </w:rPr>
        <w:t>de</w:t>
      </w:r>
      <w:r>
        <w:rPr>
          <w:color w:val="231F20"/>
          <w:spacing w:val="-6"/>
        </w:rPr>
        <w:t> </w:t>
      </w:r>
      <w:r>
        <w:rPr>
          <w:color w:val="231F20"/>
        </w:rPr>
        <w:t>las</w:t>
      </w:r>
      <w:r>
        <w:rPr>
          <w:color w:val="231F20"/>
          <w:spacing w:val="-7"/>
        </w:rPr>
        <w:t> </w:t>
      </w:r>
      <w:r>
        <w:rPr>
          <w:color w:val="231F20"/>
        </w:rPr>
        <w:t>colonias</w:t>
      </w:r>
      <w:r>
        <w:rPr>
          <w:color w:val="231F20"/>
          <w:spacing w:val="-7"/>
        </w:rPr>
        <w:t> </w:t>
      </w:r>
      <w:r>
        <w:rPr>
          <w:color w:val="231F20"/>
        </w:rPr>
        <w:t>de</w:t>
      </w:r>
    </w:p>
    <w:p>
      <w:pPr>
        <w:pStyle w:val="ListParagraph"/>
        <w:numPr>
          <w:ilvl w:val="0"/>
          <w:numId w:val="5"/>
        </w:numPr>
        <w:tabs>
          <w:tab w:pos="1527" w:val="left" w:leader="none"/>
        </w:tabs>
        <w:spacing w:line="247" w:lineRule="auto" w:before="1" w:after="0"/>
        <w:ind w:left="1270" w:right="1268" w:firstLine="0"/>
        <w:jc w:val="both"/>
        <w:rPr>
          <w:color w:val="231F20"/>
          <w:sz w:val="21"/>
        </w:rPr>
      </w:pPr>
      <w:r>
        <w:rPr>
          <w:i/>
          <w:color w:val="231F20"/>
          <w:sz w:val="21"/>
        </w:rPr>
        <w:t>glassii </w:t>
      </w:r>
      <w:r>
        <w:rPr>
          <w:color w:val="231F20"/>
          <w:sz w:val="21"/>
        </w:rPr>
        <w:t>y mejores características de los individuos. Los sitios El Panteón, Las Abejas y La Cruz presentaron un menor número de especies, esto indica que son sitios perturbados; esta perturbación justifica el estado sanitario regular de la mayoría de las colonias de estos</w:t>
      </w:r>
      <w:r>
        <w:rPr>
          <w:color w:val="231F20"/>
          <w:spacing w:val="-11"/>
          <w:sz w:val="21"/>
        </w:rPr>
        <w:t> </w:t>
      </w:r>
      <w:r>
        <w:rPr>
          <w:color w:val="231F20"/>
          <w:sz w:val="21"/>
        </w:rPr>
        <w:t>sitios.</w:t>
      </w:r>
    </w:p>
    <w:p>
      <w:pPr>
        <w:pStyle w:val="BodyText"/>
        <w:spacing w:before="10"/>
      </w:pPr>
    </w:p>
    <w:p>
      <w:pPr>
        <w:spacing w:line="247" w:lineRule="auto" w:before="0"/>
        <w:ind w:left="1270" w:right="1268" w:firstLine="0"/>
        <w:jc w:val="both"/>
        <w:rPr>
          <w:i/>
          <w:sz w:val="21"/>
        </w:rPr>
      </w:pPr>
      <w:r>
        <w:rPr>
          <w:color w:val="231F20"/>
          <w:sz w:val="21"/>
        </w:rPr>
        <w:t>Para conocer la especies vegetales más comunes del medio de C. glassii se muestrearon un total de 3,420 m2 en transectos, encontrando 47 diferentes especies de plantas asociadas a </w:t>
      </w:r>
      <w:r>
        <w:rPr>
          <w:i/>
          <w:color w:val="231F20"/>
          <w:sz w:val="21"/>
        </w:rPr>
        <w:t>C. glassii </w:t>
      </w:r>
      <w:r>
        <w:rPr>
          <w:color w:val="231F20"/>
          <w:sz w:val="21"/>
        </w:rPr>
        <w:t>den- tro de 24 familias de las cuales sobresalen Cactaceae, Boraginaceae, y Fabaceae, las dos primeras concentran más del 28% de las especies, la tercer familia reúne el 12%; mientras que la Asteraceae al igual que la Euphorbiaceae presentan más del 6% cada una (Cuadro 2). Entre otras especies ve- getales que comúnmente se encontraron en los sitios de muestreo fueron: lippia (</w:t>
      </w:r>
      <w:r>
        <w:rPr>
          <w:i/>
          <w:color w:val="231F20"/>
          <w:sz w:val="21"/>
        </w:rPr>
        <w:t>Lippia graveolens </w:t>
      </w:r>
      <w:r>
        <w:rPr>
          <w:color w:val="231F20"/>
          <w:sz w:val="21"/>
        </w:rPr>
        <w:t>Kunth.), escoba [</w:t>
      </w:r>
      <w:r>
        <w:rPr>
          <w:i/>
          <w:color w:val="231F20"/>
          <w:sz w:val="21"/>
        </w:rPr>
        <w:t>Malvastrum tricuspidatum </w:t>
      </w:r>
      <w:r>
        <w:rPr>
          <w:color w:val="231F20"/>
          <w:sz w:val="21"/>
        </w:rPr>
        <w:t>(Ait. f.) Gray variedad </w:t>
      </w:r>
      <w:r>
        <w:rPr>
          <w:i/>
          <w:color w:val="231F20"/>
          <w:sz w:val="21"/>
        </w:rPr>
        <w:t>bicuspidatum </w:t>
      </w:r>
      <w:r>
        <w:rPr>
          <w:color w:val="231F20"/>
          <w:sz w:val="21"/>
        </w:rPr>
        <w:t>S. </w:t>
      </w:r>
      <w:r>
        <w:rPr>
          <w:color w:val="231F20"/>
          <w:spacing w:val="-3"/>
          <w:sz w:val="21"/>
        </w:rPr>
        <w:t>Wats], </w:t>
      </w:r>
      <w:r>
        <w:rPr>
          <w:color w:val="231F20"/>
          <w:sz w:val="21"/>
        </w:rPr>
        <w:t>malaca- tillo o tenaza [</w:t>
      </w:r>
      <w:r>
        <w:rPr>
          <w:i/>
          <w:color w:val="231F20"/>
          <w:sz w:val="21"/>
        </w:rPr>
        <w:t>Pithecellobium pallens </w:t>
      </w:r>
      <w:r>
        <w:rPr>
          <w:color w:val="231F20"/>
          <w:sz w:val="21"/>
        </w:rPr>
        <w:t>(Benth.) Standl.], tullidora [</w:t>
      </w:r>
      <w:r>
        <w:rPr>
          <w:i/>
          <w:color w:val="231F20"/>
          <w:sz w:val="21"/>
        </w:rPr>
        <w:t>Karwinskia humboldtiana </w:t>
      </w:r>
      <w:r>
        <w:rPr>
          <w:color w:val="231F20"/>
          <w:sz w:val="21"/>
        </w:rPr>
        <w:t>(J. A. Schultes) Zucc.], oreja de ratón [</w:t>
      </w:r>
      <w:r>
        <w:rPr>
          <w:i/>
          <w:color w:val="231F20"/>
          <w:sz w:val="21"/>
        </w:rPr>
        <w:t>Bernardia </w:t>
      </w:r>
      <w:r>
        <w:rPr>
          <w:color w:val="231F20"/>
          <w:sz w:val="21"/>
        </w:rPr>
        <w:t>(</w:t>
      </w:r>
      <w:r>
        <w:rPr>
          <w:i/>
          <w:color w:val="231F20"/>
          <w:sz w:val="21"/>
        </w:rPr>
        <w:t>myricifolia</w:t>
      </w:r>
      <w:r>
        <w:rPr>
          <w:color w:val="231F20"/>
          <w:sz w:val="21"/>
        </w:rPr>
        <w:t>) mexicana (Hooker &amp; Arnott) Müller of Aargau],</w:t>
      </w:r>
      <w:r>
        <w:rPr>
          <w:color w:val="231F20"/>
          <w:spacing w:val="-7"/>
          <w:sz w:val="21"/>
        </w:rPr>
        <w:t> </w:t>
      </w:r>
      <w:r>
        <w:rPr>
          <w:color w:val="231F20"/>
          <w:sz w:val="21"/>
        </w:rPr>
        <w:t>ayenia</w:t>
      </w:r>
      <w:r>
        <w:rPr>
          <w:color w:val="231F20"/>
          <w:spacing w:val="-7"/>
          <w:sz w:val="21"/>
        </w:rPr>
        <w:t> </w:t>
      </w:r>
      <w:r>
        <w:rPr>
          <w:color w:val="231F20"/>
          <w:sz w:val="21"/>
        </w:rPr>
        <w:t>(</w:t>
      </w:r>
      <w:r>
        <w:rPr>
          <w:i/>
          <w:color w:val="231F20"/>
          <w:sz w:val="21"/>
        </w:rPr>
        <w:t>Ayenia</w:t>
      </w:r>
      <w:r>
        <w:rPr>
          <w:i/>
          <w:color w:val="231F20"/>
          <w:spacing w:val="-7"/>
          <w:sz w:val="21"/>
        </w:rPr>
        <w:t> </w:t>
      </w:r>
      <w:r>
        <w:rPr>
          <w:i/>
          <w:color w:val="231F20"/>
          <w:sz w:val="21"/>
        </w:rPr>
        <w:t>compacta</w:t>
      </w:r>
      <w:r>
        <w:rPr>
          <w:i/>
          <w:color w:val="231F20"/>
          <w:spacing w:val="-7"/>
          <w:sz w:val="21"/>
        </w:rPr>
        <w:t> </w:t>
      </w:r>
      <w:r>
        <w:rPr>
          <w:color w:val="231F20"/>
          <w:sz w:val="21"/>
        </w:rPr>
        <w:t>Rose),</w:t>
      </w:r>
      <w:r>
        <w:rPr>
          <w:color w:val="231F20"/>
          <w:spacing w:val="-7"/>
          <w:sz w:val="21"/>
        </w:rPr>
        <w:t> </w:t>
      </w:r>
      <w:r>
        <w:rPr>
          <w:color w:val="231F20"/>
          <w:sz w:val="21"/>
        </w:rPr>
        <w:t>palo</w:t>
      </w:r>
      <w:r>
        <w:rPr>
          <w:color w:val="231F20"/>
          <w:spacing w:val="-7"/>
          <w:sz w:val="21"/>
        </w:rPr>
        <w:t> </w:t>
      </w:r>
      <w:r>
        <w:rPr>
          <w:color w:val="231F20"/>
          <w:sz w:val="21"/>
        </w:rPr>
        <w:t>vidrioso</w:t>
      </w:r>
      <w:r>
        <w:rPr>
          <w:color w:val="231F20"/>
          <w:spacing w:val="-7"/>
          <w:sz w:val="21"/>
        </w:rPr>
        <w:t> </w:t>
      </w:r>
      <w:r>
        <w:rPr>
          <w:color w:val="231F20"/>
          <w:sz w:val="21"/>
        </w:rPr>
        <w:t>[</w:t>
      </w:r>
      <w:r>
        <w:rPr>
          <w:i/>
          <w:color w:val="231F20"/>
          <w:sz w:val="21"/>
        </w:rPr>
        <w:t>Neopringlea</w:t>
      </w:r>
      <w:r>
        <w:rPr>
          <w:i/>
          <w:color w:val="231F20"/>
          <w:spacing w:val="-7"/>
          <w:sz w:val="21"/>
        </w:rPr>
        <w:t> </w:t>
      </w:r>
      <w:r>
        <w:rPr>
          <w:i/>
          <w:color w:val="231F20"/>
          <w:sz w:val="21"/>
        </w:rPr>
        <w:t>integrifolia</w:t>
      </w:r>
      <w:r>
        <w:rPr>
          <w:i/>
          <w:color w:val="231F20"/>
          <w:spacing w:val="-8"/>
          <w:sz w:val="21"/>
        </w:rPr>
        <w:t> </w:t>
      </w:r>
      <w:r>
        <w:rPr>
          <w:color w:val="231F20"/>
          <w:sz w:val="21"/>
        </w:rPr>
        <w:t>(Hemsley)</w:t>
      </w:r>
      <w:r>
        <w:rPr>
          <w:color w:val="231F20"/>
          <w:spacing w:val="-7"/>
          <w:sz w:val="21"/>
        </w:rPr>
        <w:t> </w:t>
      </w:r>
      <w:r>
        <w:rPr>
          <w:color w:val="231F20"/>
          <w:sz w:val="21"/>
        </w:rPr>
        <w:t>S.</w:t>
      </w:r>
      <w:r>
        <w:rPr>
          <w:color w:val="231F20"/>
          <w:spacing w:val="-11"/>
          <w:sz w:val="21"/>
        </w:rPr>
        <w:t> </w:t>
      </w:r>
      <w:r>
        <w:rPr>
          <w:color w:val="231F20"/>
          <w:spacing w:val="-5"/>
          <w:sz w:val="21"/>
        </w:rPr>
        <w:t>Wat- </w:t>
      </w:r>
      <w:r>
        <w:rPr>
          <w:color w:val="231F20"/>
          <w:sz w:val="21"/>
        </w:rPr>
        <w:t>son.],</w:t>
      </w:r>
      <w:r>
        <w:rPr>
          <w:color w:val="231F20"/>
          <w:spacing w:val="-12"/>
          <w:sz w:val="21"/>
        </w:rPr>
        <w:t> </w:t>
      </w:r>
      <w:r>
        <w:rPr>
          <w:color w:val="231F20"/>
          <w:sz w:val="21"/>
        </w:rPr>
        <w:t>tenaza</w:t>
      </w:r>
      <w:r>
        <w:rPr>
          <w:color w:val="231F20"/>
          <w:spacing w:val="-12"/>
          <w:sz w:val="21"/>
        </w:rPr>
        <w:t> </w:t>
      </w:r>
      <w:r>
        <w:rPr>
          <w:color w:val="231F20"/>
          <w:sz w:val="21"/>
        </w:rPr>
        <w:t>(</w:t>
      </w:r>
      <w:r>
        <w:rPr>
          <w:i/>
          <w:color w:val="231F20"/>
          <w:sz w:val="21"/>
        </w:rPr>
        <w:t>Acacia</w:t>
      </w:r>
      <w:r>
        <w:rPr>
          <w:i/>
          <w:color w:val="231F20"/>
          <w:spacing w:val="-12"/>
          <w:sz w:val="21"/>
        </w:rPr>
        <w:t> </w:t>
      </w:r>
      <w:r>
        <w:rPr>
          <w:i/>
          <w:color w:val="231F20"/>
          <w:sz w:val="21"/>
        </w:rPr>
        <w:t>macrantha</w:t>
      </w:r>
      <w:r>
        <w:rPr>
          <w:i/>
          <w:color w:val="231F20"/>
          <w:spacing w:val="-12"/>
          <w:sz w:val="21"/>
        </w:rPr>
        <w:t> </w:t>
      </w:r>
      <w:r>
        <w:rPr>
          <w:color w:val="231F20"/>
          <w:sz w:val="21"/>
        </w:rPr>
        <w:t>Humb.</w:t>
      </w:r>
      <w:r>
        <w:rPr>
          <w:color w:val="231F20"/>
          <w:spacing w:val="-12"/>
          <w:sz w:val="21"/>
        </w:rPr>
        <w:t> </w:t>
      </w:r>
      <w:r>
        <w:rPr>
          <w:color w:val="231F20"/>
          <w:sz w:val="21"/>
        </w:rPr>
        <w:t>&amp;</w:t>
      </w:r>
      <w:r>
        <w:rPr>
          <w:color w:val="231F20"/>
          <w:spacing w:val="-12"/>
          <w:sz w:val="21"/>
        </w:rPr>
        <w:t> </w:t>
      </w:r>
      <w:r>
        <w:rPr>
          <w:color w:val="231F20"/>
          <w:sz w:val="21"/>
        </w:rPr>
        <w:t>Bompl.),</w:t>
      </w:r>
      <w:r>
        <w:rPr>
          <w:color w:val="231F20"/>
          <w:spacing w:val="-12"/>
          <w:sz w:val="21"/>
        </w:rPr>
        <w:t> </w:t>
      </w:r>
      <w:r>
        <w:rPr>
          <w:color w:val="231F20"/>
          <w:sz w:val="21"/>
        </w:rPr>
        <w:t>amargoso</w:t>
      </w:r>
      <w:r>
        <w:rPr>
          <w:color w:val="231F20"/>
          <w:spacing w:val="-12"/>
          <w:sz w:val="21"/>
        </w:rPr>
        <w:t> </w:t>
      </w:r>
      <w:r>
        <w:rPr>
          <w:color w:val="231F20"/>
          <w:sz w:val="21"/>
        </w:rPr>
        <w:t>[</w:t>
      </w:r>
      <w:r>
        <w:rPr>
          <w:i/>
          <w:color w:val="231F20"/>
          <w:sz w:val="21"/>
        </w:rPr>
        <w:t>Parthenium</w:t>
      </w:r>
      <w:r>
        <w:rPr>
          <w:i/>
          <w:color w:val="231F20"/>
          <w:spacing w:val="-13"/>
          <w:sz w:val="21"/>
        </w:rPr>
        <w:t> </w:t>
      </w:r>
      <w:r>
        <w:rPr>
          <w:i/>
          <w:color w:val="231F20"/>
          <w:sz w:val="21"/>
        </w:rPr>
        <w:t>hysterophorus</w:t>
      </w:r>
      <w:r>
        <w:rPr>
          <w:i/>
          <w:color w:val="231F20"/>
          <w:spacing w:val="-12"/>
          <w:sz w:val="21"/>
        </w:rPr>
        <w:t> </w:t>
      </w:r>
      <w:r>
        <w:rPr>
          <w:color w:val="231F20"/>
          <w:sz w:val="21"/>
        </w:rPr>
        <w:t>(</w:t>
      </w:r>
      <w:r>
        <w:rPr>
          <w:i/>
          <w:color w:val="231F20"/>
          <w:sz w:val="21"/>
        </w:rPr>
        <w:t>lobatum</w:t>
      </w:r>
      <w:r>
        <w:rPr>
          <w:color w:val="231F20"/>
          <w:sz w:val="21"/>
        </w:rPr>
        <w:t>) L.], biznaga morada [</w:t>
      </w:r>
      <w:r>
        <w:rPr>
          <w:i/>
          <w:color w:val="231F20"/>
          <w:sz w:val="21"/>
        </w:rPr>
        <w:t>Echinocereus pentalophus </w:t>
      </w:r>
      <w:r>
        <w:rPr>
          <w:color w:val="231F20"/>
          <w:sz w:val="21"/>
        </w:rPr>
        <w:t>(D. C.) Rumpler], sangregrado [</w:t>
      </w:r>
      <w:r>
        <w:rPr>
          <w:i/>
          <w:color w:val="231F20"/>
          <w:sz w:val="21"/>
        </w:rPr>
        <w:t>Jatropha dioica </w:t>
      </w:r>
      <w:r>
        <w:rPr>
          <w:color w:val="231F20"/>
          <w:sz w:val="21"/>
        </w:rPr>
        <w:t>variedad </w:t>
      </w:r>
      <w:r>
        <w:rPr>
          <w:i/>
          <w:color w:val="231F20"/>
          <w:sz w:val="21"/>
        </w:rPr>
        <w:t>sessiflora </w:t>
      </w:r>
      <w:r>
        <w:rPr>
          <w:color w:val="231F20"/>
          <w:sz w:val="21"/>
        </w:rPr>
        <w:t>(Kunth.) Mc </w:t>
      </w:r>
      <w:r>
        <w:rPr>
          <w:color w:val="231F20"/>
          <w:spacing w:val="-4"/>
          <w:sz w:val="21"/>
        </w:rPr>
        <w:t>Vaugh], </w:t>
      </w:r>
      <w:r>
        <w:rPr>
          <w:color w:val="231F20"/>
          <w:sz w:val="21"/>
        </w:rPr>
        <w:t>guapilla (</w:t>
      </w:r>
      <w:r>
        <w:rPr>
          <w:i/>
          <w:color w:val="231F20"/>
          <w:sz w:val="21"/>
        </w:rPr>
        <w:t>Hechtia glomerata </w:t>
      </w:r>
      <w:r>
        <w:rPr>
          <w:color w:val="231F20"/>
          <w:sz w:val="21"/>
        </w:rPr>
        <w:t>Zuccarini), cardón [</w:t>
      </w:r>
      <w:r>
        <w:rPr>
          <w:i/>
          <w:color w:val="231F20"/>
          <w:sz w:val="21"/>
        </w:rPr>
        <w:t>Cylindro- </w:t>
      </w:r>
      <w:r>
        <w:rPr>
          <w:i/>
          <w:color w:val="231F20"/>
          <w:sz w:val="21"/>
        </w:rPr>
        <w:t>puntia</w:t>
      </w:r>
      <w:r>
        <w:rPr>
          <w:i/>
          <w:color w:val="231F20"/>
          <w:spacing w:val="-7"/>
          <w:sz w:val="21"/>
        </w:rPr>
        <w:t> </w:t>
      </w:r>
      <w:r>
        <w:rPr>
          <w:i/>
          <w:color w:val="231F20"/>
          <w:sz w:val="21"/>
        </w:rPr>
        <w:t>imbricata</w:t>
      </w:r>
      <w:r>
        <w:rPr>
          <w:i/>
          <w:color w:val="231F20"/>
          <w:spacing w:val="-7"/>
          <w:sz w:val="21"/>
        </w:rPr>
        <w:t> </w:t>
      </w:r>
      <w:r>
        <w:rPr>
          <w:color w:val="231F20"/>
          <w:spacing w:val="-3"/>
          <w:sz w:val="21"/>
        </w:rPr>
        <w:t>(Haw.)</w:t>
      </w:r>
      <w:r>
        <w:rPr>
          <w:color w:val="231F20"/>
          <w:spacing w:val="-7"/>
          <w:sz w:val="21"/>
        </w:rPr>
        <w:t> </w:t>
      </w:r>
      <w:r>
        <w:rPr>
          <w:color w:val="231F20"/>
          <w:sz w:val="21"/>
        </w:rPr>
        <w:t>D.</w:t>
      </w:r>
      <w:r>
        <w:rPr>
          <w:color w:val="231F20"/>
          <w:spacing w:val="-7"/>
          <w:sz w:val="21"/>
        </w:rPr>
        <w:t> </w:t>
      </w:r>
      <w:r>
        <w:rPr>
          <w:color w:val="231F20"/>
          <w:sz w:val="21"/>
        </w:rPr>
        <w:t>C.],</w:t>
      </w:r>
      <w:r>
        <w:rPr>
          <w:color w:val="231F20"/>
          <w:spacing w:val="-7"/>
          <w:sz w:val="21"/>
        </w:rPr>
        <w:t> </w:t>
      </w:r>
      <w:r>
        <w:rPr>
          <w:color w:val="231F20"/>
          <w:sz w:val="21"/>
        </w:rPr>
        <w:t>trompillo</w:t>
      </w:r>
      <w:r>
        <w:rPr>
          <w:color w:val="231F20"/>
          <w:spacing w:val="-7"/>
          <w:sz w:val="21"/>
        </w:rPr>
        <w:t> </w:t>
      </w:r>
      <w:r>
        <w:rPr>
          <w:color w:val="231F20"/>
          <w:sz w:val="21"/>
        </w:rPr>
        <w:t>[</w:t>
      </w:r>
      <w:r>
        <w:rPr>
          <w:i/>
          <w:color w:val="231F20"/>
          <w:sz w:val="21"/>
        </w:rPr>
        <w:t>Cordia</w:t>
      </w:r>
      <w:r>
        <w:rPr>
          <w:i/>
          <w:color w:val="231F20"/>
          <w:spacing w:val="-7"/>
          <w:sz w:val="21"/>
        </w:rPr>
        <w:t> </w:t>
      </w:r>
      <w:r>
        <w:rPr>
          <w:i/>
          <w:color w:val="231F20"/>
          <w:sz w:val="21"/>
        </w:rPr>
        <w:t>boissieri</w:t>
      </w:r>
      <w:r>
        <w:rPr>
          <w:i/>
          <w:color w:val="231F20"/>
          <w:spacing w:val="-7"/>
          <w:sz w:val="21"/>
        </w:rPr>
        <w:t> </w:t>
      </w:r>
      <w:r>
        <w:rPr>
          <w:color w:val="231F20"/>
          <w:sz w:val="21"/>
        </w:rPr>
        <w:t>(</w:t>
      </w:r>
      <w:r>
        <w:rPr>
          <w:i/>
          <w:color w:val="231F20"/>
          <w:sz w:val="21"/>
        </w:rPr>
        <w:t>hartwissiana</w:t>
      </w:r>
      <w:r>
        <w:rPr>
          <w:color w:val="231F20"/>
          <w:sz w:val="21"/>
        </w:rPr>
        <w:t>)</w:t>
      </w:r>
      <w:r>
        <w:rPr>
          <w:color w:val="231F20"/>
          <w:spacing w:val="-19"/>
          <w:sz w:val="21"/>
        </w:rPr>
        <w:t> </w:t>
      </w:r>
      <w:r>
        <w:rPr>
          <w:color w:val="231F20"/>
          <w:sz w:val="21"/>
        </w:rPr>
        <w:t>A.</w:t>
      </w:r>
      <w:r>
        <w:rPr>
          <w:color w:val="231F20"/>
          <w:spacing w:val="-7"/>
          <w:sz w:val="21"/>
        </w:rPr>
        <w:t> </w:t>
      </w:r>
      <w:r>
        <w:rPr>
          <w:color w:val="231F20"/>
          <w:sz w:val="21"/>
        </w:rPr>
        <w:t>D.</w:t>
      </w:r>
      <w:r>
        <w:rPr>
          <w:color w:val="231F20"/>
          <w:spacing w:val="-7"/>
          <w:sz w:val="21"/>
        </w:rPr>
        <w:t> </w:t>
      </w:r>
      <w:r>
        <w:rPr>
          <w:color w:val="231F20"/>
          <w:sz w:val="21"/>
        </w:rPr>
        <w:t>C.],</w:t>
      </w:r>
      <w:r>
        <w:rPr>
          <w:color w:val="231F20"/>
          <w:spacing w:val="-7"/>
          <w:sz w:val="21"/>
        </w:rPr>
        <w:t> </w:t>
      </w:r>
      <w:r>
        <w:rPr>
          <w:color w:val="231F20"/>
          <w:sz w:val="21"/>
        </w:rPr>
        <w:t>nopal</w:t>
      </w:r>
      <w:r>
        <w:rPr>
          <w:color w:val="231F20"/>
          <w:spacing w:val="-7"/>
          <w:sz w:val="21"/>
        </w:rPr>
        <w:t> </w:t>
      </w:r>
      <w:r>
        <w:rPr>
          <w:color w:val="231F20"/>
          <w:sz w:val="21"/>
        </w:rPr>
        <w:t>(</w:t>
      </w:r>
      <w:r>
        <w:rPr>
          <w:i/>
          <w:color w:val="231F20"/>
          <w:sz w:val="21"/>
        </w:rPr>
        <w:t>Opuntia </w:t>
      </w:r>
      <w:r>
        <w:rPr>
          <w:i/>
          <w:color w:val="231F20"/>
          <w:sz w:val="21"/>
        </w:rPr>
        <w:t>lasiacantha </w:t>
      </w:r>
      <w:r>
        <w:rPr>
          <w:color w:val="231F20"/>
          <w:sz w:val="21"/>
        </w:rPr>
        <w:t>Pfeiff.), falsa tullidora [</w:t>
      </w:r>
      <w:r>
        <w:rPr>
          <w:i/>
          <w:color w:val="231F20"/>
          <w:sz w:val="21"/>
        </w:rPr>
        <w:t>Ageratina adenophora </w:t>
      </w:r>
      <w:r>
        <w:rPr>
          <w:color w:val="231F20"/>
          <w:sz w:val="21"/>
        </w:rPr>
        <w:t>(Spreng.) R. M. King &amp; H. Bob.], dora- dilla [</w:t>
      </w:r>
      <w:r>
        <w:rPr>
          <w:i/>
          <w:color w:val="231F20"/>
          <w:sz w:val="21"/>
        </w:rPr>
        <w:t>Selaginella lepidophylla </w:t>
      </w:r>
      <w:r>
        <w:rPr>
          <w:color w:val="231F20"/>
          <w:sz w:val="21"/>
        </w:rPr>
        <w:t>(Hook et Grev) Spring], huizache prieto (</w:t>
      </w:r>
      <w:r>
        <w:rPr>
          <w:i/>
          <w:color w:val="231F20"/>
          <w:sz w:val="21"/>
        </w:rPr>
        <w:t>Acacia constricta </w:t>
      </w:r>
      <w:r>
        <w:rPr>
          <w:color w:val="231F20"/>
          <w:sz w:val="21"/>
        </w:rPr>
        <w:t>Benth.), cuerno de vaca [</w:t>
      </w:r>
      <w:r>
        <w:rPr>
          <w:i/>
          <w:color w:val="231F20"/>
          <w:sz w:val="21"/>
        </w:rPr>
        <w:t>Proboscidea louisianica </w:t>
      </w:r>
      <w:r>
        <w:rPr>
          <w:color w:val="231F20"/>
          <w:spacing w:val="-8"/>
          <w:sz w:val="21"/>
        </w:rPr>
        <w:t>(P. </w:t>
      </w:r>
      <w:r>
        <w:rPr>
          <w:color w:val="231F20"/>
          <w:sz w:val="21"/>
        </w:rPr>
        <w:t>Mill) Thellung ssp fragrans (Lindl) Bretting], copalillo [</w:t>
      </w:r>
      <w:r>
        <w:rPr>
          <w:i/>
          <w:color w:val="231F20"/>
          <w:sz w:val="21"/>
        </w:rPr>
        <w:t>Bursera fagaroides </w:t>
      </w:r>
      <w:r>
        <w:rPr>
          <w:color w:val="231F20"/>
          <w:sz w:val="21"/>
        </w:rPr>
        <w:t>(H. B. K.) Engl.], escobilla o barba de indio (</w:t>
      </w:r>
      <w:r>
        <w:rPr>
          <w:i/>
          <w:color w:val="231F20"/>
          <w:sz w:val="21"/>
        </w:rPr>
        <w:t>Chloris virgata </w:t>
      </w:r>
      <w:r>
        <w:rPr>
          <w:color w:val="231F20"/>
          <w:sz w:val="21"/>
        </w:rPr>
        <w:t>Swartz), uña de gato [</w:t>
      </w:r>
      <w:r>
        <w:rPr>
          <w:i/>
          <w:color w:val="231F20"/>
          <w:sz w:val="21"/>
        </w:rPr>
        <w:t>Mimosa biuncifera </w:t>
      </w:r>
      <w:r>
        <w:rPr>
          <w:color w:val="231F20"/>
          <w:sz w:val="21"/>
        </w:rPr>
        <w:t>Benth. (</w:t>
      </w:r>
      <w:r>
        <w:rPr>
          <w:i/>
          <w:color w:val="231F20"/>
          <w:sz w:val="21"/>
        </w:rPr>
        <w:t>aculeaticarpa</w:t>
      </w:r>
      <w:r>
        <w:rPr>
          <w:color w:val="231F20"/>
          <w:sz w:val="21"/>
        </w:rPr>
        <w:t>) Ort.], pasto barbón (</w:t>
      </w:r>
      <w:r>
        <w:rPr>
          <w:i/>
          <w:color w:val="231F20"/>
          <w:sz w:val="21"/>
        </w:rPr>
        <w:t>Aristida divaricata </w:t>
      </w:r>
      <w:r>
        <w:rPr>
          <w:color w:val="231F20"/>
          <w:sz w:val="21"/>
        </w:rPr>
        <w:t>Humb. et Bonpl.), coryphanta (</w:t>
      </w:r>
      <w:r>
        <w:rPr>
          <w:i/>
          <w:color w:val="231F20"/>
          <w:sz w:val="21"/>
        </w:rPr>
        <w:t>Coryphantha </w:t>
      </w:r>
      <w:r>
        <w:rPr>
          <w:color w:val="231F20"/>
          <w:sz w:val="21"/>
        </w:rPr>
        <w:t>spp.), vara blanca (</w:t>
      </w:r>
      <w:r>
        <w:rPr>
          <w:i/>
          <w:color w:val="231F20"/>
          <w:sz w:val="21"/>
        </w:rPr>
        <w:t>Croton incanus </w:t>
      </w:r>
      <w:r>
        <w:rPr>
          <w:color w:val="231F20"/>
          <w:sz w:val="21"/>
        </w:rPr>
        <w:t>Kunth.), grangeno (</w:t>
      </w:r>
      <w:r>
        <w:rPr>
          <w:i/>
          <w:color w:val="231F20"/>
          <w:sz w:val="21"/>
        </w:rPr>
        <w:t>Celtis</w:t>
      </w:r>
      <w:r>
        <w:rPr>
          <w:i/>
          <w:color w:val="231F20"/>
          <w:spacing w:val="-24"/>
          <w:sz w:val="21"/>
        </w:rPr>
        <w:t> </w:t>
      </w:r>
      <w:r>
        <w:rPr>
          <w:i/>
          <w:color w:val="231F20"/>
          <w:sz w:val="21"/>
        </w:rPr>
        <w:t>pa-</w:t>
      </w:r>
    </w:p>
    <w:p>
      <w:pPr>
        <w:spacing w:after="0" w:line="247" w:lineRule="auto"/>
        <w:jc w:val="both"/>
        <w:rPr>
          <w:sz w:val="21"/>
        </w:rPr>
        <w:sectPr>
          <w:pgSz w:w="10920" w:h="13080"/>
          <w:pgMar w:header="0" w:footer="965" w:top="420" w:bottom="1220" w:left="0" w:right="0"/>
        </w:sectPr>
      </w:pPr>
    </w:p>
    <w:p>
      <w:pPr>
        <w:pStyle w:val="BodyText"/>
        <w:rPr>
          <w:i/>
          <w:sz w:val="20"/>
        </w:rPr>
      </w:pPr>
    </w:p>
    <w:p>
      <w:pPr>
        <w:pStyle w:val="BodyText"/>
        <w:rPr>
          <w:i/>
          <w:sz w:val="20"/>
        </w:rPr>
      </w:pPr>
    </w:p>
    <w:p>
      <w:pPr>
        <w:pStyle w:val="BodyText"/>
        <w:rPr>
          <w:i/>
          <w:sz w:val="23"/>
        </w:rPr>
      </w:pPr>
    </w:p>
    <w:p>
      <w:pPr>
        <w:spacing w:line="247" w:lineRule="auto" w:before="73"/>
        <w:ind w:left="1270" w:right="1268" w:firstLine="0"/>
        <w:jc w:val="both"/>
        <w:rPr>
          <w:i/>
          <w:sz w:val="21"/>
        </w:rPr>
      </w:pPr>
      <w:r>
        <w:rPr>
          <w:i/>
          <w:color w:val="231F20"/>
          <w:sz w:val="21"/>
        </w:rPr>
        <w:t>llida </w:t>
      </w:r>
      <w:r>
        <w:rPr>
          <w:color w:val="231F20"/>
          <w:spacing w:val="-4"/>
          <w:sz w:val="21"/>
        </w:rPr>
        <w:t>Torr.), </w:t>
      </w:r>
      <w:r>
        <w:rPr>
          <w:color w:val="231F20"/>
          <w:sz w:val="21"/>
        </w:rPr>
        <w:t>aceitilla amarilla (</w:t>
      </w:r>
      <w:r>
        <w:rPr>
          <w:i/>
          <w:color w:val="231F20"/>
          <w:sz w:val="21"/>
        </w:rPr>
        <w:t>Bidens </w:t>
      </w:r>
      <w:r>
        <w:rPr>
          <w:color w:val="231F20"/>
          <w:sz w:val="21"/>
        </w:rPr>
        <w:t>spp.), aceitilla blanca (</w:t>
      </w:r>
      <w:r>
        <w:rPr>
          <w:i/>
          <w:color w:val="231F20"/>
          <w:sz w:val="21"/>
        </w:rPr>
        <w:t>Bidens alba </w:t>
      </w:r>
      <w:r>
        <w:rPr>
          <w:color w:val="231F20"/>
          <w:sz w:val="21"/>
        </w:rPr>
        <w:t>L.), garambullo [</w:t>
      </w:r>
      <w:r>
        <w:rPr>
          <w:i/>
          <w:color w:val="231F20"/>
          <w:sz w:val="21"/>
        </w:rPr>
        <w:t>Myrtillo- </w:t>
      </w:r>
      <w:r>
        <w:rPr>
          <w:i/>
          <w:color w:val="231F20"/>
          <w:sz w:val="21"/>
        </w:rPr>
        <w:t>cactus geometrizans </w:t>
      </w:r>
      <w:r>
        <w:rPr>
          <w:color w:val="231F20"/>
          <w:sz w:val="21"/>
        </w:rPr>
        <w:t>(Mart) Console], planta azul del desierto (</w:t>
      </w:r>
      <w:r>
        <w:rPr>
          <w:i/>
          <w:color w:val="231F20"/>
          <w:sz w:val="21"/>
        </w:rPr>
        <w:t>Gilia rigidula </w:t>
      </w:r>
      <w:r>
        <w:rPr>
          <w:color w:val="231F20"/>
          <w:sz w:val="21"/>
        </w:rPr>
        <w:t>L.), biznaga (</w:t>
      </w:r>
      <w:r>
        <w:rPr>
          <w:i/>
          <w:color w:val="231F20"/>
          <w:sz w:val="21"/>
        </w:rPr>
        <w:t>Mammi- </w:t>
      </w:r>
      <w:r>
        <w:rPr>
          <w:i/>
          <w:color w:val="231F20"/>
          <w:sz w:val="21"/>
        </w:rPr>
        <w:t>llaria</w:t>
      </w:r>
      <w:r>
        <w:rPr>
          <w:i/>
          <w:color w:val="231F20"/>
          <w:spacing w:val="-11"/>
          <w:sz w:val="21"/>
        </w:rPr>
        <w:t> </w:t>
      </w:r>
      <w:r>
        <w:rPr>
          <w:i/>
          <w:color w:val="231F20"/>
          <w:sz w:val="21"/>
        </w:rPr>
        <w:t>uncinata</w:t>
      </w:r>
      <w:r>
        <w:rPr>
          <w:i/>
          <w:color w:val="231F20"/>
          <w:spacing w:val="-11"/>
          <w:sz w:val="21"/>
        </w:rPr>
        <w:t> </w:t>
      </w:r>
      <w:r>
        <w:rPr>
          <w:color w:val="231F20"/>
          <w:sz w:val="21"/>
        </w:rPr>
        <w:t>Pfeiffer),</w:t>
      </w:r>
      <w:r>
        <w:rPr>
          <w:color w:val="231F20"/>
          <w:spacing w:val="-11"/>
          <w:sz w:val="21"/>
        </w:rPr>
        <w:t> </w:t>
      </w:r>
      <w:r>
        <w:rPr>
          <w:color w:val="231F20"/>
          <w:sz w:val="21"/>
        </w:rPr>
        <w:t>hierba</w:t>
      </w:r>
      <w:r>
        <w:rPr>
          <w:color w:val="231F20"/>
          <w:spacing w:val="-11"/>
          <w:sz w:val="21"/>
        </w:rPr>
        <w:t> </w:t>
      </w:r>
      <w:r>
        <w:rPr>
          <w:color w:val="231F20"/>
          <w:sz w:val="21"/>
        </w:rPr>
        <w:t>del</w:t>
      </w:r>
      <w:r>
        <w:rPr>
          <w:color w:val="231F20"/>
          <w:spacing w:val="-11"/>
          <w:sz w:val="21"/>
        </w:rPr>
        <w:t> </w:t>
      </w:r>
      <w:r>
        <w:rPr>
          <w:color w:val="231F20"/>
          <w:sz w:val="21"/>
        </w:rPr>
        <w:t>pollo</w:t>
      </w:r>
      <w:r>
        <w:rPr>
          <w:color w:val="231F20"/>
          <w:spacing w:val="-11"/>
          <w:sz w:val="21"/>
        </w:rPr>
        <w:t> </w:t>
      </w:r>
      <w:r>
        <w:rPr>
          <w:color w:val="231F20"/>
          <w:sz w:val="21"/>
        </w:rPr>
        <w:t>(</w:t>
      </w:r>
      <w:r>
        <w:rPr>
          <w:i/>
          <w:color w:val="231F20"/>
          <w:sz w:val="21"/>
        </w:rPr>
        <w:t>Tradescantia</w:t>
      </w:r>
      <w:r>
        <w:rPr>
          <w:i/>
          <w:color w:val="231F20"/>
          <w:spacing w:val="-10"/>
          <w:sz w:val="21"/>
        </w:rPr>
        <w:t> </w:t>
      </w:r>
      <w:r>
        <w:rPr>
          <w:i/>
          <w:color w:val="231F20"/>
          <w:sz w:val="21"/>
        </w:rPr>
        <w:t>crassifolia</w:t>
      </w:r>
      <w:r>
        <w:rPr>
          <w:i/>
          <w:color w:val="231F20"/>
          <w:spacing w:val="-11"/>
          <w:sz w:val="21"/>
        </w:rPr>
        <w:t> </w:t>
      </w:r>
      <w:r>
        <w:rPr>
          <w:color w:val="231F20"/>
          <w:spacing w:val="-3"/>
          <w:sz w:val="21"/>
        </w:rPr>
        <w:t>Cav.),</w:t>
      </w:r>
      <w:r>
        <w:rPr>
          <w:color w:val="231F20"/>
          <w:spacing w:val="-11"/>
          <w:sz w:val="21"/>
        </w:rPr>
        <w:t> </w:t>
      </w:r>
      <w:r>
        <w:rPr>
          <w:color w:val="231F20"/>
          <w:sz w:val="21"/>
        </w:rPr>
        <w:t>tulipán</w:t>
      </w:r>
      <w:r>
        <w:rPr>
          <w:color w:val="231F20"/>
          <w:spacing w:val="-11"/>
          <w:sz w:val="21"/>
        </w:rPr>
        <w:t> </w:t>
      </w:r>
      <w:r>
        <w:rPr>
          <w:color w:val="231F20"/>
          <w:sz w:val="21"/>
        </w:rPr>
        <w:t>de</w:t>
      </w:r>
      <w:r>
        <w:rPr>
          <w:color w:val="231F20"/>
          <w:spacing w:val="-11"/>
          <w:sz w:val="21"/>
        </w:rPr>
        <w:t> </w:t>
      </w:r>
      <w:r>
        <w:rPr>
          <w:color w:val="231F20"/>
          <w:sz w:val="21"/>
        </w:rPr>
        <w:t>monte</w:t>
      </w:r>
      <w:r>
        <w:rPr>
          <w:color w:val="231F20"/>
          <w:spacing w:val="-11"/>
          <w:sz w:val="21"/>
        </w:rPr>
        <w:t> </w:t>
      </w:r>
      <w:r>
        <w:rPr>
          <w:color w:val="231F20"/>
          <w:sz w:val="21"/>
        </w:rPr>
        <w:t>[</w:t>
      </w:r>
      <w:r>
        <w:rPr>
          <w:i/>
          <w:color w:val="231F20"/>
          <w:sz w:val="21"/>
        </w:rPr>
        <w:t>Hibiscus </w:t>
      </w:r>
      <w:r>
        <w:rPr>
          <w:i/>
          <w:color w:val="231F20"/>
          <w:sz w:val="21"/>
        </w:rPr>
        <w:t>martianus</w:t>
      </w:r>
      <w:r>
        <w:rPr>
          <w:i/>
          <w:color w:val="231F20"/>
          <w:spacing w:val="-6"/>
          <w:sz w:val="21"/>
        </w:rPr>
        <w:t> </w:t>
      </w:r>
      <w:r>
        <w:rPr>
          <w:color w:val="231F20"/>
          <w:sz w:val="21"/>
        </w:rPr>
        <w:t>(cardiophyllus)</w:t>
      </w:r>
      <w:r>
        <w:rPr>
          <w:color w:val="231F20"/>
          <w:spacing w:val="-17"/>
          <w:sz w:val="21"/>
        </w:rPr>
        <w:t> </w:t>
      </w:r>
      <w:r>
        <w:rPr>
          <w:color w:val="231F20"/>
          <w:sz w:val="21"/>
        </w:rPr>
        <w:t>A.</w:t>
      </w:r>
      <w:r>
        <w:rPr>
          <w:color w:val="231F20"/>
          <w:spacing w:val="-6"/>
          <w:sz w:val="21"/>
        </w:rPr>
        <w:t> </w:t>
      </w:r>
      <w:r>
        <w:rPr>
          <w:color w:val="231F20"/>
          <w:sz w:val="21"/>
        </w:rPr>
        <w:t>Gray],</w:t>
      </w:r>
      <w:r>
        <w:rPr>
          <w:color w:val="231F20"/>
          <w:spacing w:val="-6"/>
          <w:sz w:val="21"/>
        </w:rPr>
        <w:t> </w:t>
      </w:r>
      <w:r>
        <w:rPr>
          <w:color w:val="231F20"/>
          <w:sz w:val="21"/>
        </w:rPr>
        <w:t>perrillo</w:t>
      </w:r>
      <w:r>
        <w:rPr>
          <w:color w:val="231F20"/>
          <w:spacing w:val="-6"/>
          <w:sz w:val="21"/>
        </w:rPr>
        <w:t> </w:t>
      </w:r>
      <w:r>
        <w:rPr>
          <w:color w:val="231F20"/>
          <w:sz w:val="21"/>
        </w:rPr>
        <w:t>o</w:t>
      </w:r>
      <w:r>
        <w:rPr>
          <w:color w:val="231F20"/>
          <w:spacing w:val="-6"/>
          <w:sz w:val="21"/>
        </w:rPr>
        <w:t> </w:t>
      </w:r>
      <w:r>
        <w:rPr>
          <w:color w:val="231F20"/>
          <w:sz w:val="21"/>
        </w:rPr>
        <w:t>tunilla</w:t>
      </w:r>
      <w:r>
        <w:rPr>
          <w:color w:val="231F20"/>
          <w:spacing w:val="-6"/>
          <w:sz w:val="21"/>
        </w:rPr>
        <w:t> </w:t>
      </w:r>
      <w:r>
        <w:rPr>
          <w:color w:val="231F20"/>
          <w:sz w:val="21"/>
        </w:rPr>
        <w:t>(</w:t>
      </w:r>
      <w:r>
        <w:rPr>
          <w:i/>
          <w:color w:val="231F20"/>
          <w:sz w:val="21"/>
        </w:rPr>
        <w:t>Opuntia</w:t>
      </w:r>
      <w:r>
        <w:rPr>
          <w:i/>
          <w:color w:val="231F20"/>
          <w:spacing w:val="-6"/>
          <w:sz w:val="21"/>
        </w:rPr>
        <w:t> </w:t>
      </w:r>
      <w:r>
        <w:rPr>
          <w:i/>
          <w:color w:val="231F20"/>
          <w:sz w:val="21"/>
        </w:rPr>
        <w:t>leptocaulis</w:t>
      </w:r>
      <w:r>
        <w:rPr>
          <w:i/>
          <w:color w:val="231F20"/>
          <w:spacing w:val="-6"/>
          <w:sz w:val="21"/>
        </w:rPr>
        <w:t> </w:t>
      </w:r>
      <w:r>
        <w:rPr>
          <w:color w:val="231F20"/>
          <w:sz w:val="21"/>
        </w:rPr>
        <w:t>D</w:t>
      </w:r>
      <w:r>
        <w:rPr>
          <w:color w:val="231F20"/>
          <w:spacing w:val="-6"/>
          <w:sz w:val="21"/>
        </w:rPr>
        <w:t> </w:t>
      </w:r>
      <w:r>
        <w:rPr>
          <w:color w:val="231F20"/>
          <w:sz w:val="21"/>
        </w:rPr>
        <w:t>C.),</w:t>
      </w:r>
      <w:r>
        <w:rPr>
          <w:color w:val="231F20"/>
          <w:spacing w:val="-6"/>
          <w:sz w:val="21"/>
        </w:rPr>
        <w:t> </w:t>
      </w:r>
      <w:r>
        <w:rPr>
          <w:color w:val="231F20"/>
          <w:sz w:val="21"/>
        </w:rPr>
        <w:t>falso</w:t>
      </w:r>
      <w:r>
        <w:rPr>
          <w:color w:val="231F20"/>
          <w:spacing w:val="-6"/>
          <w:sz w:val="21"/>
        </w:rPr>
        <w:t> </w:t>
      </w:r>
      <w:r>
        <w:rPr>
          <w:color w:val="231F20"/>
          <w:sz w:val="21"/>
        </w:rPr>
        <w:t>cempasúchitl [</w:t>
      </w:r>
      <w:r>
        <w:rPr>
          <w:i/>
          <w:color w:val="231F20"/>
          <w:sz w:val="21"/>
        </w:rPr>
        <w:t>Acmella oppositifolia </w:t>
      </w:r>
      <w:r>
        <w:rPr>
          <w:color w:val="231F20"/>
          <w:spacing w:val="-3"/>
          <w:sz w:val="21"/>
        </w:rPr>
        <w:t>var. </w:t>
      </w:r>
      <w:r>
        <w:rPr>
          <w:i/>
          <w:color w:val="231F20"/>
          <w:sz w:val="21"/>
        </w:rPr>
        <w:t>oppositifolia </w:t>
      </w:r>
      <w:r>
        <w:rPr>
          <w:color w:val="231F20"/>
          <w:sz w:val="21"/>
        </w:rPr>
        <w:t>(Lam.) R. k. Jansen], biznaguita (</w:t>
      </w:r>
      <w:r>
        <w:rPr>
          <w:i/>
          <w:color w:val="231F20"/>
          <w:sz w:val="21"/>
        </w:rPr>
        <w:t>Mammillaria compressa </w:t>
      </w:r>
      <w:r>
        <w:rPr>
          <w:color w:val="231F20"/>
          <w:sz w:val="21"/>
        </w:rPr>
        <w:t>ssp </w:t>
      </w:r>
      <w:r>
        <w:rPr>
          <w:i/>
          <w:color w:val="231F20"/>
          <w:sz w:val="21"/>
        </w:rPr>
        <w:t>compressa </w:t>
      </w:r>
      <w:r>
        <w:rPr>
          <w:color w:val="231F20"/>
          <w:sz w:val="21"/>
        </w:rPr>
        <w:t>de Candolle), umbela blanca (</w:t>
      </w:r>
      <w:r>
        <w:rPr>
          <w:i/>
          <w:color w:val="231F20"/>
          <w:sz w:val="21"/>
        </w:rPr>
        <w:t>Agapanthus umbellatus </w:t>
      </w:r>
      <w:r>
        <w:rPr>
          <w:color w:val="231F20"/>
          <w:sz w:val="21"/>
        </w:rPr>
        <w:t>L. Her.), orégano [</w:t>
      </w:r>
      <w:r>
        <w:rPr>
          <w:i/>
          <w:color w:val="231F20"/>
          <w:sz w:val="21"/>
        </w:rPr>
        <w:t>Gardoquia </w:t>
      </w:r>
      <w:r>
        <w:rPr>
          <w:i/>
          <w:color w:val="231F20"/>
          <w:sz w:val="21"/>
        </w:rPr>
        <w:t>micromerioide </w:t>
      </w:r>
      <w:r>
        <w:rPr>
          <w:color w:val="231F20"/>
          <w:sz w:val="21"/>
        </w:rPr>
        <w:t>Hemsl. (Schaffner)], muérdago o injerto (</w:t>
      </w:r>
      <w:r>
        <w:rPr>
          <w:i/>
          <w:color w:val="231F20"/>
          <w:sz w:val="21"/>
        </w:rPr>
        <w:t>Phoradendron </w:t>
      </w:r>
      <w:r>
        <w:rPr>
          <w:color w:val="231F20"/>
          <w:sz w:val="21"/>
        </w:rPr>
        <w:t>spp. Solomon, J. D.), gua- yacán del desierto [</w:t>
      </w:r>
      <w:r>
        <w:rPr>
          <w:i/>
          <w:color w:val="231F20"/>
          <w:sz w:val="21"/>
        </w:rPr>
        <w:t>Porliera angustifolia </w:t>
      </w:r>
      <w:r>
        <w:rPr>
          <w:color w:val="231F20"/>
          <w:sz w:val="21"/>
        </w:rPr>
        <w:t>(</w:t>
      </w:r>
      <w:r>
        <w:rPr>
          <w:i/>
          <w:color w:val="231F20"/>
          <w:sz w:val="21"/>
        </w:rPr>
        <w:t>Engelem.</w:t>
      </w:r>
      <w:r>
        <w:rPr>
          <w:color w:val="231F20"/>
          <w:sz w:val="21"/>
        </w:rPr>
        <w:t>) A. Gray], falso girasol (</w:t>
      </w:r>
      <w:r>
        <w:rPr>
          <w:i/>
          <w:color w:val="231F20"/>
          <w:sz w:val="21"/>
        </w:rPr>
        <w:t>Dyssodia </w:t>
      </w:r>
      <w:r>
        <w:rPr>
          <w:i/>
          <w:color w:val="231F20"/>
          <w:spacing w:val="6"/>
          <w:sz w:val="21"/>
        </w:rPr>
        <w:t> </w:t>
      </w:r>
      <w:r>
        <w:rPr>
          <w:i/>
          <w:color w:val="231F20"/>
          <w:sz w:val="21"/>
        </w:rPr>
        <w:t>pentachaeta</w:t>
      </w:r>
    </w:p>
    <w:p>
      <w:pPr>
        <w:pStyle w:val="ListParagraph"/>
        <w:numPr>
          <w:ilvl w:val="0"/>
          <w:numId w:val="5"/>
        </w:numPr>
        <w:tabs>
          <w:tab w:pos="1546" w:val="left" w:leader="none"/>
        </w:tabs>
        <w:spacing w:line="247" w:lineRule="auto" w:before="1" w:after="0"/>
        <w:ind w:left="1270" w:right="1268" w:firstLine="0"/>
        <w:jc w:val="both"/>
        <w:rPr>
          <w:color w:val="231F20"/>
          <w:sz w:val="21"/>
        </w:rPr>
      </w:pPr>
      <w:r>
        <w:rPr>
          <w:color w:val="231F20"/>
          <w:sz w:val="21"/>
        </w:rPr>
        <w:t>C.), dragón o perrito rojo [</w:t>
      </w:r>
      <w:r>
        <w:rPr>
          <w:i/>
          <w:color w:val="231F20"/>
          <w:sz w:val="21"/>
        </w:rPr>
        <w:t>Maurandya antirrhiniflora </w:t>
      </w:r>
      <w:r>
        <w:rPr>
          <w:color w:val="231F20"/>
          <w:sz w:val="21"/>
        </w:rPr>
        <w:t>(</w:t>
      </w:r>
      <w:r>
        <w:rPr>
          <w:i/>
          <w:color w:val="231F20"/>
          <w:sz w:val="21"/>
        </w:rPr>
        <w:t>personata</w:t>
      </w:r>
      <w:r>
        <w:rPr>
          <w:color w:val="231F20"/>
          <w:sz w:val="21"/>
        </w:rPr>
        <w:t>) Humb. &amp; Bonpl. Ex. Willd. Rothm], chaparro (</w:t>
      </w:r>
      <w:r>
        <w:rPr>
          <w:i/>
          <w:color w:val="231F20"/>
          <w:sz w:val="21"/>
        </w:rPr>
        <w:t>Acacia ridigula</w:t>
      </w:r>
      <w:r>
        <w:rPr>
          <w:color w:val="231F20"/>
          <w:sz w:val="21"/>
        </w:rPr>
        <w:t>), acahual o lampote (</w:t>
      </w:r>
      <w:r>
        <w:rPr>
          <w:i/>
          <w:color w:val="231F20"/>
          <w:sz w:val="21"/>
        </w:rPr>
        <w:t>Tithonia sp</w:t>
      </w:r>
      <w:r>
        <w:rPr>
          <w:color w:val="231F20"/>
          <w:sz w:val="21"/>
        </w:rPr>
        <w:t>), palma china </w:t>
      </w:r>
      <w:r>
        <w:rPr>
          <w:color w:val="231F20"/>
          <w:spacing w:val="-4"/>
          <w:sz w:val="21"/>
        </w:rPr>
        <w:t>(</w:t>
      </w:r>
      <w:r>
        <w:rPr>
          <w:i/>
          <w:color w:val="231F20"/>
          <w:spacing w:val="-4"/>
          <w:sz w:val="21"/>
        </w:rPr>
        <w:t>Yuca </w:t>
      </w:r>
      <w:r>
        <w:rPr>
          <w:i/>
          <w:color w:val="231F20"/>
          <w:sz w:val="21"/>
        </w:rPr>
        <w:t>filifera </w:t>
      </w:r>
      <w:r>
        <w:rPr>
          <w:color w:val="231F20"/>
          <w:sz w:val="21"/>
        </w:rPr>
        <w:t>Chabaud.), tijera (</w:t>
      </w:r>
      <w:r>
        <w:rPr>
          <w:i/>
          <w:color w:val="231F20"/>
          <w:sz w:val="21"/>
        </w:rPr>
        <w:t>Acacia schaffneri </w:t>
      </w:r>
      <w:r>
        <w:rPr>
          <w:color w:val="231F20"/>
          <w:sz w:val="21"/>
        </w:rPr>
        <w:t>S. </w:t>
      </w:r>
      <w:r>
        <w:rPr>
          <w:color w:val="231F20"/>
          <w:spacing w:val="-3"/>
          <w:sz w:val="21"/>
        </w:rPr>
        <w:t>Wats). </w:t>
      </w:r>
      <w:r>
        <w:rPr>
          <w:color w:val="231F20"/>
          <w:sz w:val="21"/>
        </w:rPr>
        <w:t>Las especies más importantes en los sitios fueron lip- pia, escoba, malacatillo, tullidora, oreja de ratón, ayenia, palo vidrioso, tenaza, amargoso, biznaga morada, sangregrado, guapilla, cardón, trompillo, nopal, falsa tullidora, doradilla, huizache prieto, cuerno de vaca y</w:t>
      </w:r>
      <w:r>
        <w:rPr>
          <w:color w:val="231F20"/>
          <w:spacing w:val="-1"/>
          <w:sz w:val="21"/>
        </w:rPr>
        <w:t> </w:t>
      </w:r>
      <w:r>
        <w:rPr>
          <w:color w:val="231F20"/>
          <w:sz w:val="21"/>
        </w:rPr>
        <w:t>copalillo.</w:t>
      </w:r>
    </w:p>
    <w:p>
      <w:pPr>
        <w:pStyle w:val="BodyText"/>
        <w:spacing w:before="5"/>
      </w:pPr>
    </w:p>
    <w:p>
      <w:pPr>
        <w:spacing w:before="0"/>
        <w:ind w:left="2705" w:right="1279" w:firstLine="0"/>
        <w:jc w:val="left"/>
        <w:rPr>
          <w:b/>
          <w:sz w:val="18"/>
        </w:rPr>
      </w:pPr>
      <w:r>
        <w:rPr>
          <w:b/>
          <w:color w:val="010202"/>
          <w:sz w:val="18"/>
        </w:rPr>
        <w:t>Cuadro 2. Familias y número de especies vegetales asociadas a C. glassii</w:t>
      </w:r>
    </w:p>
    <w:p>
      <w:pPr>
        <w:pStyle w:val="BodyText"/>
        <w:spacing w:before="4"/>
        <w:rPr>
          <w:b/>
          <w:sz w:val="22"/>
        </w:rPr>
      </w:pPr>
    </w:p>
    <w:tbl>
      <w:tblPr>
        <w:tblW w:w="0" w:type="auto"/>
        <w:jc w:val="left"/>
        <w:tblInd w:w="1282"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top w:w="0" w:type="dxa"/>
          <w:left w:w="0" w:type="dxa"/>
          <w:bottom w:w="0" w:type="dxa"/>
          <w:right w:w="0" w:type="dxa"/>
        </w:tblCellMar>
        <w:tblLook w:val="01E0"/>
      </w:tblPr>
      <w:tblGrid>
        <w:gridCol w:w="784"/>
        <w:gridCol w:w="3978"/>
        <w:gridCol w:w="1791"/>
        <w:gridCol w:w="1781"/>
      </w:tblGrid>
      <w:tr>
        <w:trPr>
          <w:trHeight w:val="334" w:hRule="exact"/>
        </w:trPr>
        <w:tc>
          <w:tcPr>
            <w:tcW w:w="784" w:type="dxa"/>
          </w:tcPr>
          <w:p>
            <w:pPr/>
          </w:p>
        </w:tc>
        <w:tc>
          <w:tcPr>
            <w:tcW w:w="3978" w:type="dxa"/>
          </w:tcPr>
          <w:p>
            <w:pPr>
              <w:pStyle w:val="TableParagraph"/>
              <w:spacing w:before="24"/>
              <w:ind w:left="1081" w:right="1081"/>
              <w:jc w:val="center"/>
              <w:rPr>
                <w:b/>
                <w:sz w:val="18"/>
              </w:rPr>
            </w:pPr>
            <w:r>
              <w:rPr>
                <w:b/>
                <w:color w:val="231F20"/>
                <w:sz w:val="18"/>
              </w:rPr>
              <w:t>Familia</w:t>
            </w:r>
          </w:p>
        </w:tc>
        <w:tc>
          <w:tcPr>
            <w:tcW w:w="1791" w:type="dxa"/>
          </w:tcPr>
          <w:p>
            <w:pPr>
              <w:pStyle w:val="TableParagraph"/>
              <w:spacing w:before="24"/>
              <w:ind w:left="110" w:right="110"/>
              <w:jc w:val="center"/>
              <w:rPr>
                <w:b/>
                <w:sz w:val="18"/>
              </w:rPr>
            </w:pPr>
            <w:r>
              <w:rPr>
                <w:b/>
                <w:color w:val="231F20"/>
                <w:sz w:val="18"/>
              </w:rPr>
              <w:t>Número de especies</w:t>
            </w:r>
          </w:p>
        </w:tc>
        <w:tc>
          <w:tcPr>
            <w:tcW w:w="1781" w:type="dxa"/>
          </w:tcPr>
          <w:p>
            <w:pPr>
              <w:pStyle w:val="TableParagraph"/>
              <w:spacing w:before="24"/>
              <w:ind w:left="445" w:right="445"/>
              <w:jc w:val="center"/>
              <w:rPr>
                <w:b/>
                <w:sz w:val="18"/>
              </w:rPr>
            </w:pPr>
            <w:r>
              <w:rPr>
                <w:b/>
                <w:color w:val="231F20"/>
                <w:sz w:val="18"/>
              </w:rPr>
              <w:t>Porcentaje</w:t>
            </w:r>
          </w:p>
        </w:tc>
      </w:tr>
      <w:tr>
        <w:trPr>
          <w:trHeight w:val="299" w:hRule="exact"/>
        </w:trPr>
        <w:tc>
          <w:tcPr>
            <w:tcW w:w="784" w:type="dxa"/>
          </w:tcPr>
          <w:p>
            <w:pPr>
              <w:pStyle w:val="TableParagraph"/>
              <w:spacing w:before="22"/>
              <w:ind w:left="0"/>
              <w:jc w:val="center"/>
              <w:rPr>
                <w:sz w:val="20"/>
              </w:rPr>
            </w:pPr>
            <w:r>
              <w:rPr>
                <w:color w:val="231F20"/>
                <w:sz w:val="20"/>
              </w:rPr>
              <w:t>1</w:t>
            </w:r>
          </w:p>
        </w:tc>
        <w:tc>
          <w:tcPr>
            <w:tcW w:w="3978" w:type="dxa"/>
          </w:tcPr>
          <w:p>
            <w:pPr>
              <w:pStyle w:val="TableParagraph"/>
              <w:spacing w:before="22"/>
              <w:ind w:left="1081" w:right="1081"/>
              <w:jc w:val="center"/>
              <w:rPr>
                <w:sz w:val="20"/>
              </w:rPr>
            </w:pPr>
            <w:r>
              <w:rPr>
                <w:color w:val="231F20"/>
                <w:sz w:val="20"/>
              </w:rPr>
              <w:t>Cactaceae</w:t>
            </w:r>
          </w:p>
        </w:tc>
        <w:tc>
          <w:tcPr>
            <w:tcW w:w="1791" w:type="dxa"/>
          </w:tcPr>
          <w:p>
            <w:pPr>
              <w:pStyle w:val="TableParagraph"/>
              <w:spacing w:before="22"/>
              <w:ind w:left="0"/>
              <w:jc w:val="center"/>
              <w:rPr>
                <w:sz w:val="20"/>
              </w:rPr>
            </w:pPr>
            <w:r>
              <w:rPr>
                <w:color w:val="231F20"/>
                <w:sz w:val="20"/>
              </w:rPr>
              <w:t>7</w:t>
            </w:r>
          </w:p>
        </w:tc>
        <w:tc>
          <w:tcPr>
            <w:tcW w:w="1781" w:type="dxa"/>
          </w:tcPr>
          <w:p>
            <w:pPr>
              <w:pStyle w:val="TableParagraph"/>
              <w:spacing w:before="22"/>
              <w:ind w:left="445" w:right="445"/>
              <w:jc w:val="center"/>
              <w:rPr>
                <w:sz w:val="20"/>
              </w:rPr>
            </w:pPr>
            <w:r>
              <w:rPr>
                <w:color w:val="231F20"/>
                <w:sz w:val="20"/>
              </w:rPr>
              <w:t>14.89</w:t>
            </w:r>
          </w:p>
        </w:tc>
      </w:tr>
      <w:tr>
        <w:trPr>
          <w:trHeight w:val="299" w:hRule="exact"/>
        </w:trPr>
        <w:tc>
          <w:tcPr>
            <w:tcW w:w="784" w:type="dxa"/>
          </w:tcPr>
          <w:p>
            <w:pPr>
              <w:pStyle w:val="TableParagraph"/>
              <w:spacing w:before="22"/>
              <w:ind w:left="0"/>
              <w:jc w:val="center"/>
              <w:rPr>
                <w:sz w:val="20"/>
              </w:rPr>
            </w:pPr>
            <w:r>
              <w:rPr>
                <w:color w:val="231F20"/>
                <w:sz w:val="20"/>
              </w:rPr>
              <w:t>2</w:t>
            </w:r>
          </w:p>
        </w:tc>
        <w:tc>
          <w:tcPr>
            <w:tcW w:w="3978" w:type="dxa"/>
          </w:tcPr>
          <w:p>
            <w:pPr>
              <w:pStyle w:val="TableParagraph"/>
              <w:spacing w:before="22"/>
              <w:ind w:left="1081" w:right="1081"/>
              <w:jc w:val="center"/>
              <w:rPr>
                <w:sz w:val="20"/>
              </w:rPr>
            </w:pPr>
            <w:r>
              <w:rPr>
                <w:color w:val="231F20"/>
                <w:sz w:val="20"/>
              </w:rPr>
              <w:t>Boraginaceae</w:t>
            </w:r>
          </w:p>
        </w:tc>
        <w:tc>
          <w:tcPr>
            <w:tcW w:w="1791" w:type="dxa"/>
          </w:tcPr>
          <w:p>
            <w:pPr>
              <w:pStyle w:val="TableParagraph"/>
              <w:spacing w:before="22"/>
              <w:ind w:left="0"/>
              <w:jc w:val="center"/>
              <w:rPr>
                <w:sz w:val="20"/>
              </w:rPr>
            </w:pPr>
            <w:r>
              <w:rPr>
                <w:color w:val="231F20"/>
                <w:sz w:val="20"/>
              </w:rPr>
              <w:t>7</w:t>
            </w:r>
          </w:p>
        </w:tc>
        <w:tc>
          <w:tcPr>
            <w:tcW w:w="1781" w:type="dxa"/>
          </w:tcPr>
          <w:p>
            <w:pPr>
              <w:pStyle w:val="TableParagraph"/>
              <w:spacing w:before="22"/>
              <w:ind w:left="445" w:right="445"/>
              <w:jc w:val="center"/>
              <w:rPr>
                <w:sz w:val="20"/>
              </w:rPr>
            </w:pPr>
            <w:r>
              <w:rPr>
                <w:color w:val="231F20"/>
                <w:sz w:val="20"/>
              </w:rPr>
              <w:t>14.89</w:t>
            </w:r>
          </w:p>
        </w:tc>
      </w:tr>
      <w:tr>
        <w:trPr>
          <w:trHeight w:val="299" w:hRule="exact"/>
        </w:trPr>
        <w:tc>
          <w:tcPr>
            <w:tcW w:w="784" w:type="dxa"/>
          </w:tcPr>
          <w:p>
            <w:pPr>
              <w:pStyle w:val="TableParagraph"/>
              <w:spacing w:before="22"/>
              <w:ind w:left="0"/>
              <w:jc w:val="center"/>
              <w:rPr>
                <w:sz w:val="20"/>
              </w:rPr>
            </w:pPr>
            <w:r>
              <w:rPr>
                <w:color w:val="231F20"/>
                <w:sz w:val="20"/>
              </w:rPr>
              <w:t>3</w:t>
            </w:r>
          </w:p>
        </w:tc>
        <w:tc>
          <w:tcPr>
            <w:tcW w:w="3978" w:type="dxa"/>
          </w:tcPr>
          <w:p>
            <w:pPr>
              <w:pStyle w:val="TableParagraph"/>
              <w:spacing w:before="22"/>
              <w:ind w:left="1081" w:right="1081"/>
              <w:jc w:val="center"/>
              <w:rPr>
                <w:sz w:val="20"/>
              </w:rPr>
            </w:pPr>
            <w:r>
              <w:rPr>
                <w:color w:val="231F20"/>
                <w:sz w:val="20"/>
              </w:rPr>
              <w:t>Fabaceae</w:t>
            </w:r>
          </w:p>
        </w:tc>
        <w:tc>
          <w:tcPr>
            <w:tcW w:w="1791" w:type="dxa"/>
          </w:tcPr>
          <w:p>
            <w:pPr>
              <w:pStyle w:val="TableParagraph"/>
              <w:spacing w:before="22"/>
              <w:ind w:left="0"/>
              <w:jc w:val="center"/>
              <w:rPr>
                <w:sz w:val="20"/>
              </w:rPr>
            </w:pPr>
            <w:r>
              <w:rPr>
                <w:color w:val="231F20"/>
                <w:sz w:val="20"/>
              </w:rPr>
              <w:t>6</w:t>
            </w:r>
          </w:p>
        </w:tc>
        <w:tc>
          <w:tcPr>
            <w:tcW w:w="1781" w:type="dxa"/>
          </w:tcPr>
          <w:p>
            <w:pPr>
              <w:pStyle w:val="TableParagraph"/>
              <w:spacing w:before="22"/>
              <w:ind w:left="445" w:right="445"/>
              <w:jc w:val="center"/>
              <w:rPr>
                <w:sz w:val="20"/>
              </w:rPr>
            </w:pPr>
            <w:r>
              <w:rPr>
                <w:color w:val="231F20"/>
                <w:sz w:val="20"/>
              </w:rPr>
              <w:t>12.77</w:t>
            </w:r>
          </w:p>
        </w:tc>
      </w:tr>
      <w:tr>
        <w:trPr>
          <w:trHeight w:val="299" w:hRule="exact"/>
        </w:trPr>
        <w:tc>
          <w:tcPr>
            <w:tcW w:w="784" w:type="dxa"/>
          </w:tcPr>
          <w:p>
            <w:pPr>
              <w:pStyle w:val="TableParagraph"/>
              <w:spacing w:before="21"/>
              <w:ind w:left="0"/>
              <w:jc w:val="center"/>
              <w:rPr>
                <w:sz w:val="20"/>
              </w:rPr>
            </w:pPr>
            <w:r>
              <w:rPr>
                <w:color w:val="231F20"/>
                <w:sz w:val="20"/>
              </w:rPr>
              <w:t>4</w:t>
            </w:r>
          </w:p>
        </w:tc>
        <w:tc>
          <w:tcPr>
            <w:tcW w:w="3978" w:type="dxa"/>
          </w:tcPr>
          <w:p>
            <w:pPr>
              <w:pStyle w:val="TableParagraph"/>
              <w:spacing w:before="21"/>
              <w:ind w:left="1082" w:right="1081"/>
              <w:jc w:val="center"/>
              <w:rPr>
                <w:sz w:val="20"/>
              </w:rPr>
            </w:pPr>
            <w:r>
              <w:rPr>
                <w:color w:val="231F20"/>
                <w:sz w:val="20"/>
              </w:rPr>
              <w:t>Euphorbiaceae</w:t>
            </w:r>
          </w:p>
        </w:tc>
        <w:tc>
          <w:tcPr>
            <w:tcW w:w="1791" w:type="dxa"/>
          </w:tcPr>
          <w:p>
            <w:pPr>
              <w:pStyle w:val="TableParagraph"/>
              <w:spacing w:before="21"/>
              <w:ind w:left="1"/>
              <w:jc w:val="center"/>
              <w:rPr>
                <w:sz w:val="20"/>
              </w:rPr>
            </w:pPr>
            <w:r>
              <w:rPr>
                <w:color w:val="231F20"/>
                <w:sz w:val="20"/>
              </w:rPr>
              <w:t>3</w:t>
            </w:r>
          </w:p>
        </w:tc>
        <w:tc>
          <w:tcPr>
            <w:tcW w:w="1781" w:type="dxa"/>
          </w:tcPr>
          <w:p>
            <w:pPr>
              <w:pStyle w:val="TableParagraph"/>
              <w:spacing w:before="21"/>
              <w:ind w:left="445" w:right="444"/>
              <w:jc w:val="center"/>
              <w:rPr>
                <w:sz w:val="20"/>
              </w:rPr>
            </w:pPr>
            <w:r>
              <w:rPr>
                <w:color w:val="231F20"/>
                <w:sz w:val="20"/>
              </w:rPr>
              <w:t>6.38</w:t>
            </w:r>
          </w:p>
        </w:tc>
      </w:tr>
      <w:tr>
        <w:trPr>
          <w:trHeight w:val="299" w:hRule="exact"/>
        </w:trPr>
        <w:tc>
          <w:tcPr>
            <w:tcW w:w="784" w:type="dxa"/>
          </w:tcPr>
          <w:p>
            <w:pPr>
              <w:pStyle w:val="TableParagraph"/>
              <w:spacing w:before="21"/>
              <w:ind w:left="1"/>
              <w:jc w:val="center"/>
              <w:rPr>
                <w:sz w:val="20"/>
              </w:rPr>
            </w:pPr>
            <w:r>
              <w:rPr>
                <w:color w:val="231F20"/>
                <w:sz w:val="20"/>
              </w:rPr>
              <w:t>5</w:t>
            </w:r>
          </w:p>
        </w:tc>
        <w:tc>
          <w:tcPr>
            <w:tcW w:w="3978" w:type="dxa"/>
          </w:tcPr>
          <w:p>
            <w:pPr>
              <w:pStyle w:val="TableParagraph"/>
              <w:spacing w:before="21"/>
              <w:ind w:left="1082" w:right="1081"/>
              <w:jc w:val="center"/>
              <w:rPr>
                <w:sz w:val="20"/>
              </w:rPr>
            </w:pPr>
            <w:r>
              <w:rPr>
                <w:color w:val="231F20"/>
                <w:sz w:val="20"/>
              </w:rPr>
              <w:t>Asteraceae</w:t>
            </w:r>
          </w:p>
        </w:tc>
        <w:tc>
          <w:tcPr>
            <w:tcW w:w="1791" w:type="dxa"/>
          </w:tcPr>
          <w:p>
            <w:pPr>
              <w:pStyle w:val="TableParagraph"/>
              <w:spacing w:before="21"/>
              <w:ind w:left="1"/>
              <w:jc w:val="center"/>
              <w:rPr>
                <w:sz w:val="20"/>
              </w:rPr>
            </w:pPr>
            <w:r>
              <w:rPr>
                <w:color w:val="231F20"/>
                <w:sz w:val="20"/>
              </w:rPr>
              <w:t>3</w:t>
            </w:r>
          </w:p>
        </w:tc>
        <w:tc>
          <w:tcPr>
            <w:tcW w:w="1781" w:type="dxa"/>
          </w:tcPr>
          <w:p>
            <w:pPr>
              <w:pStyle w:val="TableParagraph"/>
              <w:spacing w:before="21"/>
              <w:ind w:left="445" w:right="444"/>
              <w:jc w:val="center"/>
              <w:rPr>
                <w:sz w:val="20"/>
              </w:rPr>
            </w:pPr>
            <w:r>
              <w:rPr>
                <w:color w:val="231F20"/>
                <w:sz w:val="20"/>
              </w:rPr>
              <w:t>6.38</w:t>
            </w:r>
          </w:p>
        </w:tc>
      </w:tr>
      <w:tr>
        <w:trPr>
          <w:trHeight w:val="299" w:hRule="exact"/>
        </w:trPr>
        <w:tc>
          <w:tcPr>
            <w:tcW w:w="784" w:type="dxa"/>
          </w:tcPr>
          <w:p>
            <w:pPr>
              <w:pStyle w:val="TableParagraph"/>
              <w:spacing w:before="21"/>
              <w:ind w:left="1"/>
              <w:jc w:val="center"/>
              <w:rPr>
                <w:sz w:val="20"/>
              </w:rPr>
            </w:pPr>
            <w:r>
              <w:rPr>
                <w:color w:val="231F20"/>
                <w:sz w:val="20"/>
              </w:rPr>
              <w:t>6</w:t>
            </w:r>
          </w:p>
        </w:tc>
        <w:tc>
          <w:tcPr>
            <w:tcW w:w="3978" w:type="dxa"/>
          </w:tcPr>
          <w:p>
            <w:pPr>
              <w:pStyle w:val="TableParagraph"/>
              <w:spacing w:before="21"/>
              <w:ind w:left="1082" w:right="1081"/>
              <w:jc w:val="center"/>
              <w:rPr>
                <w:sz w:val="20"/>
              </w:rPr>
            </w:pPr>
            <w:r>
              <w:rPr>
                <w:color w:val="231F20"/>
                <w:sz w:val="20"/>
              </w:rPr>
              <w:t>Poaceae</w:t>
            </w:r>
          </w:p>
        </w:tc>
        <w:tc>
          <w:tcPr>
            <w:tcW w:w="1791" w:type="dxa"/>
          </w:tcPr>
          <w:p>
            <w:pPr>
              <w:pStyle w:val="TableParagraph"/>
              <w:spacing w:before="21"/>
              <w:ind w:left="1"/>
              <w:jc w:val="center"/>
              <w:rPr>
                <w:sz w:val="20"/>
              </w:rPr>
            </w:pPr>
            <w:r>
              <w:rPr>
                <w:color w:val="231F20"/>
                <w:sz w:val="20"/>
              </w:rPr>
              <w:t>2</w:t>
            </w:r>
          </w:p>
        </w:tc>
        <w:tc>
          <w:tcPr>
            <w:tcW w:w="1781" w:type="dxa"/>
          </w:tcPr>
          <w:p>
            <w:pPr>
              <w:pStyle w:val="TableParagraph"/>
              <w:spacing w:before="21"/>
              <w:ind w:left="445" w:right="444"/>
              <w:jc w:val="center"/>
              <w:rPr>
                <w:sz w:val="20"/>
              </w:rPr>
            </w:pPr>
            <w:r>
              <w:rPr>
                <w:color w:val="231F20"/>
                <w:sz w:val="20"/>
              </w:rPr>
              <w:t>4.26</w:t>
            </w:r>
          </w:p>
        </w:tc>
      </w:tr>
      <w:tr>
        <w:trPr>
          <w:trHeight w:val="299" w:hRule="exact"/>
        </w:trPr>
        <w:tc>
          <w:tcPr>
            <w:tcW w:w="784" w:type="dxa"/>
          </w:tcPr>
          <w:p>
            <w:pPr>
              <w:pStyle w:val="TableParagraph"/>
              <w:spacing w:before="21"/>
              <w:ind w:left="1"/>
              <w:jc w:val="center"/>
              <w:rPr>
                <w:sz w:val="20"/>
              </w:rPr>
            </w:pPr>
            <w:r>
              <w:rPr>
                <w:color w:val="231F20"/>
                <w:sz w:val="20"/>
              </w:rPr>
              <w:t>7</w:t>
            </w:r>
          </w:p>
        </w:tc>
        <w:tc>
          <w:tcPr>
            <w:tcW w:w="3978" w:type="dxa"/>
          </w:tcPr>
          <w:p>
            <w:pPr>
              <w:pStyle w:val="TableParagraph"/>
              <w:spacing w:before="21"/>
              <w:ind w:left="1082" w:right="1081"/>
              <w:jc w:val="center"/>
              <w:rPr>
                <w:sz w:val="20"/>
              </w:rPr>
            </w:pPr>
            <w:r>
              <w:rPr>
                <w:color w:val="231F20"/>
                <w:sz w:val="20"/>
              </w:rPr>
              <w:t>Malvaceae</w:t>
            </w:r>
          </w:p>
        </w:tc>
        <w:tc>
          <w:tcPr>
            <w:tcW w:w="1791" w:type="dxa"/>
          </w:tcPr>
          <w:p>
            <w:pPr>
              <w:pStyle w:val="TableParagraph"/>
              <w:spacing w:before="21"/>
              <w:ind w:left="1"/>
              <w:jc w:val="center"/>
              <w:rPr>
                <w:sz w:val="20"/>
              </w:rPr>
            </w:pPr>
            <w:r>
              <w:rPr>
                <w:color w:val="231F20"/>
                <w:sz w:val="20"/>
              </w:rPr>
              <w:t>2</w:t>
            </w:r>
          </w:p>
        </w:tc>
        <w:tc>
          <w:tcPr>
            <w:tcW w:w="1781" w:type="dxa"/>
          </w:tcPr>
          <w:p>
            <w:pPr>
              <w:pStyle w:val="TableParagraph"/>
              <w:spacing w:before="21"/>
              <w:ind w:left="445" w:right="444"/>
              <w:jc w:val="center"/>
              <w:rPr>
                <w:sz w:val="20"/>
              </w:rPr>
            </w:pPr>
            <w:r>
              <w:rPr>
                <w:color w:val="231F20"/>
                <w:sz w:val="20"/>
              </w:rPr>
              <w:t>4.26</w:t>
            </w:r>
          </w:p>
        </w:tc>
      </w:tr>
      <w:tr>
        <w:trPr>
          <w:trHeight w:val="299" w:hRule="exact"/>
        </w:trPr>
        <w:tc>
          <w:tcPr>
            <w:tcW w:w="784" w:type="dxa"/>
          </w:tcPr>
          <w:p>
            <w:pPr>
              <w:pStyle w:val="TableParagraph"/>
              <w:spacing w:before="21"/>
              <w:ind w:left="1"/>
              <w:jc w:val="center"/>
              <w:rPr>
                <w:sz w:val="20"/>
              </w:rPr>
            </w:pPr>
            <w:r>
              <w:rPr>
                <w:color w:val="231F20"/>
                <w:sz w:val="20"/>
              </w:rPr>
              <w:t>8</w:t>
            </w:r>
          </w:p>
        </w:tc>
        <w:tc>
          <w:tcPr>
            <w:tcW w:w="3978" w:type="dxa"/>
          </w:tcPr>
          <w:p>
            <w:pPr>
              <w:pStyle w:val="TableParagraph"/>
              <w:spacing w:before="21"/>
              <w:ind w:left="1082" w:right="1081"/>
              <w:jc w:val="center"/>
              <w:rPr>
                <w:sz w:val="20"/>
              </w:rPr>
            </w:pPr>
            <w:r>
              <w:rPr>
                <w:color w:val="231F20"/>
                <w:sz w:val="20"/>
              </w:rPr>
              <w:t>Zygophyllaceae</w:t>
            </w:r>
          </w:p>
        </w:tc>
        <w:tc>
          <w:tcPr>
            <w:tcW w:w="1791" w:type="dxa"/>
          </w:tcPr>
          <w:p>
            <w:pPr>
              <w:pStyle w:val="TableParagraph"/>
              <w:spacing w:before="21"/>
              <w:ind w:left="1"/>
              <w:jc w:val="center"/>
              <w:rPr>
                <w:sz w:val="20"/>
              </w:rPr>
            </w:pPr>
            <w:r>
              <w:rPr>
                <w:color w:val="231F20"/>
                <w:sz w:val="20"/>
              </w:rPr>
              <w:t>1</w:t>
            </w:r>
          </w:p>
        </w:tc>
        <w:tc>
          <w:tcPr>
            <w:tcW w:w="1781" w:type="dxa"/>
          </w:tcPr>
          <w:p>
            <w:pPr>
              <w:pStyle w:val="TableParagraph"/>
              <w:spacing w:before="21"/>
              <w:ind w:left="445" w:right="444"/>
              <w:jc w:val="center"/>
              <w:rPr>
                <w:sz w:val="20"/>
              </w:rPr>
            </w:pPr>
            <w:r>
              <w:rPr>
                <w:color w:val="231F20"/>
                <w:sz w:val="20"/>
              </w:rPr>
              <w:t>2.13</w:t>
            </w:r>
          </w:p>
        </w:tc>
      </w:tr>
      <w:tr>
        <w:trPr>
          <w:trHeight w:val="299" w:hRule="exact"/>
        </w:trPr>
        <w:tc>
          <w:tcPr>
            <w:tcW w:w="784" w:type="dxa"/>
          </w:tcPr>
          <w:p>
            <w:pPr>
              <w:pStyle w:val="TableParagraph"/>
              <w:spacing w:before="21"/>
              <w:ind w:left="1"/>
              <w:jc w:val="center"/>
              <w:rPr>
                <w:sz w:val="20"/>
              </w:rPr>
            </w:pPr>
            <w:r>
              <w:rPr>
                <w:color w:val="231F20"/>
                <w:sz w:val="20"/>
              </w:rPr>
              <w:t>9</w:t>
            </w:r>
          </w:p>
        </w:tc>
        <w:tc>
          <w:tcPr>
            <w:tcW w:w="3978" w:type="dxa"/>
          </w:tcPr>
          <w:p>
            <w:pPr>
              <w:pStyle w:val="TableParagraph"/>
              <w:spacing w:before="21"/>
              <w:ind w:left="1082" w:right="1081"/>
              <w:jc w:val="center"/>
              <w:rPr>
                <w:sz w:val="20"/>
              </w:rPr>
            </w:pPr>
            <w:r>
              <w:rPr>
                <w:color w:val="231F20"/>
                <w:sz w:val="20"/>
              </w:rPr>
              <w:t>Viscaceae</w:t>
            </w:r>
          </w:p>
        </w:tc>
        <w:tc>
          <w:tcPr>
            <w:tcW w:w="1791" w:type="dxa"/>
          </w:tcPr>
          <w:p>
            <w:pPr>
              <w:pStyle w:val="TableParagraph"/>
              <w:spacing w:before="21"/>
              <w:ind w:left="1"/>
              <w:jc w:val="center"/>
              <w:rPr>
                <w:sz w:val="20"/>
              </w:rPr>
            </w:pPr>
            <w:r>
              <w:rPr>
                <w:color w:val="231F20"/>
                <w:sz w:val="20"/>
              </w:rPr>
              <w:t>1</w:t>
            </w:r>
          </w:p>
        </w:tc>
        <w:tc>
          <w:tcPr>
            <w:tcW w:w="1781" w:type="dxa"/>
          </w:tcPr>
          <w:p>
            <w:pPr>
              <w:pStyle w:val="TableParagraph"/>
              <w:spacing w:before="21"/>
              <w:ind w:left="445" w:right="444"/>
              <w:jc w:val="center"/>
              <w:rPr>
                <w:sz w:val="20"/>
              </w:rPr>
            </w:pPr>
            <w:r>
              <w:rPr>
                <w:color w:val="231F20"/>
                <w:sz w:val="20"/>
              </w:rPr>
              <w:t>2.13</w:t>
            </w:r>
          </w:p>
        </w:tc>
      </w:tr>
      <w:tr>
        <w:trPr>
          <w:trHeight w:val="299" w:hRule="exact"/>
        </w:trPr>
        <w:tc>
          <w:tcPr>
            <w:tcW w:w="784" w:type="dxa"/>
          </w:tcPr>
          <w:p>
            <w:pPr>
              <w:pStyle w:val="TableParagraph"/>
              <w:spacing w:before="21"/>
              <w:ind w:left="260" w:right="259"/>
              <w:jc w:val="center"/>
              <w:rPr>
                <w:sz w:val="20"/>
              </w:rPr>
            </w:pPr>
            <w:r>
              <w:rPr>
                <w:color w:val="231F20"/>
                <w:sz w:val="20"/>
              </w:rPr>
              <w:t>10</w:t>
            </w:r>
          </w:p>
        </w:tc>
        <w:tc>
          <w:tcPr>
            <w:tcW w:w="3978" w:type="dxa"/>
          </w:tcPr>
          <w:p>
            <w:pPr>
              <w:pStyle w:val="TableParagraph"/>
              <w:spacing w:before="21"/>
              <w:ind w:left="1083" w:right="1081"/>
              <w:jc w:val="center"/>
              <w:rPr>
                <w:sz w:val="20"/>
              </w:rPr>
            </w:pPr>
            <w:r>
              <w:rPr>
                <w:color w:val="231F20"/>
                <w:sz w:val="20"/>
              </w:rPr>
              <w:t>Verbenaceae</w:t>
            </w:r>
          </w:p>
        </w:tc>
        <w:tc>
          <w:tcPr>
            <w:tcW w:w="1791" w:type="dxa"/>
          </w:tcPr>
          <w:p>
            <w:pPr>
              <w:pStyle w:val="TableParagraph"/>
              <w:spacing w:before="21"/>
              <w:ind w:left="1"/>
              <w:jc w:val="center"/>
              <w:rPr>
                <w:sz w:val="20"/>
              </w:rPr>
            </w:pPr>
            <w:r>
              <w:rPr>
                <w:color w:val="231F20"/>
                <w:sz w:val="20"/>
              </w:rPr>
              <w:t>1</w:t>
            </w:r>
          </w:p>
        </w:tc>
        <w:tc>
          <w:tcPr>
            <w:tcW w:w="1781" w:type="dxa"/>
          </w:tcPr>
          <w:p>
            <w:pPr>
              <w:pStyle w:val="TableParagraph"/>
              <w:spacing w:before="21"/>
              <w:ind w:left="445" w:right="444"/>
              <w:jc w:val="center"/>
              <w:rPr>
                <w:sz w:val="20"/>
              </w:rPr>
            </w:pPr>
            <w:r>
              <w:rPr>
                <w:color w:val="231F20"/>
                <w:sz w:val="20"/>
              </w:rPr>
              <w:t>2.13</w:t>
            </w:r>
          </w:p>
        </w:tc>
      </w:tr>
      <w:tr>
        <w:trPr>
          <w:trHeight w:val="299" w:hRule="exact"/>
        </w:trPr>
        <w:tc>
          <w:tcPr>
            <w:tcW w:w="784" w:type="dxa"/>
          </w:tcPr>
          <w:p>
            <w:pPr>
              <w:pStyle w:val="TableParagraph"/>
              <w:spacing w:before="21"/>
              <w:ind w:left="257" w:right="260"/>
              <w:jc w:val="center"/>
              <w:rPr>
                <w:sz w:val="20"/>
              </w:rPr>
            </w:pPr>
            <w:r>
              <w:rPr>
                <w:color w:val="231F20"/>
                <w:sz w:val="20"/>
              </w:rPr>
              <w:t>11</w:t>
            </w:r>
          </w:p>
        </w:tc>
        <w:tc>
          <w:tcPr>
            <w:tcW w:w="3978" w:type="dxa"/>
          </w:tcPr>
          <w:p>
            <w:pPr>
              <w:pStyle w:val="TableParagraph"/>
              <w:spacing w:before="21"/>
              <w:ind w:left="1082" w:right="1081"/>
              <w:jc w:val="center"/>
              <w:rPr>
                <w:sz w:val="20"/>
              </w:rPr>
            </w:pPr>
            <w:r>
              <w:rPr>
                <w:color w:val="231F20"/>
                <w:sz w:val="20"/>
              </w:rPr>
              <w:t>Ulmaceae</w:t>
            </w:r>
          </w:p>
        </w:tc>
        <w:tc>
          <w:tcPr>
            <w:tcW w:w="1791" w:type="dxa"/>
          </w:tcPr>
          <w:p>
            <w:pPr>
              <w:pStyle w:val="TableParagraph"/>
              <w:spacing w:before="21"/>
              <w:ind w:left="1"/>
              <w:jc w:val="center"/>
              <w:rPr>
                <w:sz w:val="20"/>
              </w:rPr>
            </w:pPr>
            <w:r>
              <w:rPr>
                <w:color w:val="231F20"/>
                <w:sz w:val="20"/>
              </w:rPr>
              <w:t>1</w:t>
            </w:r>
          </w:p>
        </w:tc>
        <w:tc>
          <w:tcPr>
            <w:tcW w:w="1781" w:type="dxa"/>
          </w:tcPr>
          <w:p>
            <w:pPr>
              <w:pStyle w:val="TableParagraph"/>
              <w:spacing w:before="21"/>
              <w:ind w:left="445" w:right="444"/>
              <w:jc w:val="center"/>
              <w:rPr>
                <w:sz w:val="20"/>
              </w:rPr>
            </w:pPr>
            <w:r>
              <w:rPr>
                <w:color w:val="231F20"/>
                <w:sz w:val="20"/>
              </w:rPr>
              <w:t>2.13</w:t>
            </w:r>
          </w:p>
        </w:tc>
      </w:tr>
      <w:tr>
        <w:trPr>
          <w:trHeight w:val="299" w:hRule="exact"/>
        </w:trPr>
        <w:tc>
          <w:tcPr>
            <w:tcW w:w="784" w:type="dxa"/>
          </w:tcPr>
          <w:p>
            <w:pPr>
              <w:pStyle w:val="TableParagraph"/>
              <w:spacing w:before="21"/>
              <w:ind w:left="260" w:right="258"/>
              <w:jc w:val="center"/>
              <w:rPr>
                <w:sz w:val="20"/>
              </w:rPr>
            </w:pPr>
            <w:r>
              <w:rPr>
                <w:color w:val="231F20"/>
                <w:sz w:val="20"/>
              </w:rPr>
              <w:t>12</w:t>
            </w:r>
          </w:p>
        </w:tc>
        <w:tc>
          <w:tcPr>
            <w:tcW w:w="3978" w:type="dxa"/>
          </w:tcPr>
          <w:p>
            <w:pPr>
              <w:pStyle w:val="TableParagraph"/>
              <w:spacing w:before="21"/>
              <w:ind w:left="1082" w:right="1081"/>
              <w:jc w:val="center"/>
              <w:rPr>
                <w:sz w:val="20"/>
              </w:rPr>
            </w:pPr>
            <w:r>
              <w:rPr>
                <w:color w:val="231F20"/>
                <w:sz w:val="20"/>
              </w:rPr>
              <w:t>Sterculiaceae</w:t>
            </w:r>
          </w:p>
        </w:tc>
        <w:tc>
          <w:tcPr>
            <w:tcW w:w="1791" w:type="dxa"/>
          </w:tcPr>
          <w:p>
            <w:pPr>
              <w:pStyle w:val="TableParagraph"/>
              <w:spacing w:before="21"/>
              <w:ind w:left="1"/>
              <w:jc w:val="center"/>
              <w:rPr>
                <w:sz w:val="20"/>
              </w:rPr>
            </w:pPr>
            <w:r>
              <w:rPr>
                <w:color w:val="231F20"/>
                <w:sz w:val="20"/>
              </w:rPr>
              <w:t>1</w:t>
            </w:r>
          </w:p>
        </w:tc>
        <w:tc>
          <w:tcPr>
            <w:tcW w:w="1781" w:type="dxa"/>
          </w:tcPr>
          <w:p>
            <w:pPr>
              <w:pStyle w:val="TableParagraph"/>
              <w:spacing w:before="21"/>
              <w:ind w:left="445" w:right="444"/>
              <w:jc w:val="center"/>
              <w:rPr>
                <w:sz w:val="20"/>
              </w:rPr>
            </w:pPr>
            <w:r>
              <w:rPr>
                <w:color w:val="231F20"/>
                <w:sz w:val="20"/>
              </w:rPr>
              <w:t>2.13</w:t>
            </w:r>
          </w:p>
        </w:tc>
      </w:tr>
      <w:tr>
        <w:trPr>
          <w:trHeight w:val="299" w:hRule="exact"/>
        </w:trPr>
        <w:tc>
          <w:tcPr>
            <w:tcW w:w="784" w:type="dxa"/>
          </w:tcPr>
          <w:p>
            <w:pPr>
              <w:pStyle w:val="TableParagraph"/>
              <w:spacing w:before="21"/>
              <w:ind w:left="260" w:right="258"/>
              <w:jc w:val="center"/>
              <w:rPr>
                <w:sz w:val="20"/>
              </w:rPr>
            </w:pPr>
            <w:r>
              <w:rPr>
                <w:color w:val="231F20"/>
                <w:sz w:val="20"/>
              </w:rPr>
              <w:t>13</w:t>
            </w:r>
          </w:p>
        </w:tc>
        <w:tc>
          <w:tcPr>
            <w:tcW w:w="3978" w:type="dxa"/>
          </w:tcPr>
          <w:p>
            <w:pPr>
              <w:pStyle w:val="TableParagraph"/>
              <w:spacing w:before="21"/>
              <w:ind w:left="1082" w:right="1081"/>
              <w:jc w:val="center"/>
              <w:rPr>
                <w:sz w:val="20"/>
              </w:rPr>
            </w:pPr>
            <w:r>
              <w:rPr>
                <w:color w:val="231F20"/>
                <w:sz w:val="20"/>
              </w:rPr>
              <w:t>Scrophulariaceae</w:t>
            </w:r>
          </w:p>
        </w:tc>
        <w:tc>
          <w:tcPr>
            <w:tcW w:w="1791" w:type="dxa"/>
          </w:tcPr>
          <w:p>
            <w:pPr>
              <w:pStyle w:val="TableParagraph"/>
              <w:spacing w:before="21"/>
              <w:ind w:left="1"/>
              <w:jc w:val="center"/>
              <w:rPr>
                <w:sz w:val="20"/>
              </w:rPr>
            </w:pPr>
            <w:r>
              <w:rPr>
                <w:color w:val="231F20"/>
                <w:sz w:val="20"/>
              </w:rPr>
              <w:t>1</w:t>
            </w:r>
          </w:p>
        </w:tc>
        <w:tc>
          <w:tcPr>
            <w:tcW w:w="1781" w:type="dxa"/>
          </w:tcPr>
          <w:p>
            <w:pPr>
              <w:pStyle w:val="TableParagraph"/>
              <w:spacing w:before="21"/>
              <w:ind w:left="445" w:right="444"/>
              <w:jc w:val="center"/>
              <w:rPr>
                <w:sz w:val="20"/>
              </w:rPr>
            </w:pPr>
            <w:r>
              <w:rPr>
                <w:color w:val="231F20"/>
                <w:sz w:val="20"/>
              </w:rPr>
              <w:t>2.13</w:t>
            </w:r>
          </w:p>
        </w:tc>
      </w:tr>
      <w:tr>
        <w:trPr>
          <w:trHeight w:val="299" w:hRule="exact"/>
        </w:trPr>
        <w:tc>
          <w:tcPr>
            <w:tcW w:w="784" w:type="dxa"/>
          </w:tcPr>
          <w:p>
            <w:pPr>
              <w:pStyle w:val="TableParagraph"/>
              <w:spacing w:before="21"/>
              <w:ind w:left="260" w:right="258"/>
              <w:jc w:val="center"/>
              <w:rPr>
                <w:sz w:val="20"/>
              </w:rPr>
            </w:pPr>
            <w:r>
              <w:rPr>
                <w:color w:val="231F20"/>
                <w:sz w:val="20"/>
              </w:rPr>
              <w:t>14</w:t>
            </w:r>
          </w:p>
        </w:tc>
        <w:tc>
          <w:tcPr>
            <w:tcW w:w="3978" w:type="dxa"/>
          </w:tcPr>
          <w:p>
            <w:pPr>
              <w:pStyle w:val="TableParagraph"/>
              <w:spacing w:before="21"/>
              <w:ind w:left="1082" w:right="1081"/>
              <w:jc w:val="center"/>
              <w:rPr>
                <w:sz w:val="20"/>
              </w:rPr>
            </w:pPr>
            <w:r>
              <w:rPr>
                <w:color w:val="231F20"/>
                <w:sz w:val="20"/>
              </w:rPr>
              <w:t>Rhamnaceae</w:t>
            </w:r>
          </w:p>
        </w:tc>
        <w:tc>
          <w:tcPr>
            <w:tcW w:w="1791" w:type="dxa"/>
          </w:tcPr>
          <w:p>
            <w:pPr>
              <w:pStyle w:val="TableParagraph"/>
              <w:spacing w:before="21"/>
              <w:ind w:left="1"/>
              <w:jc w:val="center"/>
              <w:rPr>
                <w:sz w:val="20"/>
              </w:rPr>
            </w:pPr>
            <w:r>
              <w:rPr>
                <w:color w:val="231F20"/>
                <w:sz w:val="20"/>
              </w:rPr>
              <w:t>1</w:t>
            </w:r>
          </w:p>
        </w:tc>
        <w:tc>
          <w:tcPr>
            <w:tcW w:w="1781" w:type="dxa"/>
          </w:tcPr>
          <w:p>
            <w:pPr>
              <w:pStyle w:val="TableParagraph"/>
              <w:spacing w:before="21"/>
              <w:ind w:left="445" w:right="444"/>
              <w:jc w:val="center"/>
              <w:rPr>
                <w:sz w:val="20"/>
              </w:rPr>
            </w:pPr>
            <w:r>
              <w:rPr>
                <w:color w:val="231F20"/>
                <w:sz w:val="20"/>
              </w:rPr>
              <w:t>2.13</w:t>
            </w:r>
          </w:p>
        </w:tc>
      </w:tr>
      <w:tr>
        <w:trPr>
          <w:trHeight w:val="299" w:hRule="exact"/>
        </w:trPr>
        <w:tc>
          <w:tcPr>
            <w:tcW w:w="784" w:type="dxa"/>
          </w:tcPr>
          <w:p>
            <w:pPr>
              <w:pStyle w:val="TableParagraph"/>
              <w:spacing w:before="21"/>
              <w:ind w:left="260" w:right="258"/>
              <w:jc w:val="center"/>
              <w:rPr>
                <w:sz w:val="20"/>
              </w:rPr>
            </w:pPr>
            <w:r>
              <w:rPr>
                <w:color w:val="231F20"/>
                <w:sz w:val="20"/>
              </w:rPr>
              <w:t>15</w:t>
            </w:r>
          </w:p>
        </w:tc>
        <w:tc>
          <w:tcPr>
            <w:tcW w:w="3978" w:type="dxa"/>
          </w:tcPr>
          <w:p>
            <w:pPr>
              <w:pStyle w:val="TableParagraph"/>
              <w:spacing w:before="21"/>
              <w:ind w:left="1083" w:right="1081"/>
              <w:jc w:val="center"/>
              <w:rPr>
                <w:sz w:val="20"/>
              </w:rPr>
            </w:pPr>
            <w:r>
              <w:rPr>
                <w:color w:val="231F20"/>
                <w:sz w:val="20"/>
              </w:rPr>
              <w:t>Pteridofita</w:t>
            </w:r>
          </w:p>
        </w:tc>
        <w:tc>
          <w:tcPr>
            <w:tcW w:w="1791" w:type="dxa"/>
          </w:tcPr>
          <w:p>
            <w:pPr>
              <w:pStyle w:val="TableParagraph"/>
              <w:spacing w:before="21"/>
              <w:ind w:left="1"/>
              <w:jc w:val="center"/>
              <w:rPr>
                <w:sz w:val="20"/>
              </w:rPr>
            </w:pPr>
            <w:r>
              <w:rPr>
                <w:color w:val="231F20"/>
                <w:sz w:val="20"/>
              </w:rPr>
              <w:t>1</w:t>
            </w:r>
          </w:p>
        </w:tc>
        <w:tc>
          <w:tcPr>
            <w:tcW w:w="1781" w:type="dxa"/>
          </w:tcPr>
          <w:p>
            <w:pPr>
              <w:pStyle w:val="TableParagraph"/>
              <w:spacing w:before="21"/>
              <w:ind w:left="445" w:right="444"/>
              <w:jc w:val="center"/>
              <w:rPr>
                <w:sz w:val="20"/>
              </w:rPr>
            </w:pPr>
            <w:r>
              <w:rPr>
                <w:color w:val="231F20"/>
                <w:sz w:val="20"/>
              </w:rPr>
              <w:t>2.13</w:t>
            </w:r>
          </w:p>
        </w:tc>
      </w:tr>
      <w:tr>
        <w:trPr>
          <w:trHeight w:val="299" w:hRule="exact"/>
        </w:trPr>
        <w:tc>
          <w:tcPr>
            <w:tcW w:w="784" w:type="dxa"/>
          </w:tcPr>
          <w:p>
            <w:pPr>
              <w:pStyle w:val="TableParagraph"/>
              <w:spacing w:before="21"/>
              <w:ind w:left="260" w:right="258"/>
              <w:jc w:val="center"/>
              <w:rPr>
                <w:sz w:val="20"/>
              </w:rPr>
            </w:pPr>
            <w:r>
              <w:rPr>
                <w:color w:val="231F20"/>
                <w:sz w:val="20"/>
              </w:rPr>
              <w:t>16</w:t>
            </w:r>
          </w:p>
        </w:tc>
        <w:tc>
          <w:tcPr>
            <w:tcW w:w="3978" w:type="dxa"/>
          </w:tcPr>
          <w:p>
            <w:pPr>
              <w:pStyle w:val="TableParagraph"/>
              <w:spacing w:before="21"/>
              <w:ind w:left="1082" w:right="1081"/>
              <w:jc w:val="center"/>
              <w:rPr>
                <w:sz w:val="20"/>
              </w:rPr>
            </w:pPr>
            <w:r>
              <w:rPr>
                <w:color w:val="231F20"/>
                <w:sz w:val="20"/>
              </w:rPr>
              <w:t>Polemioniaceae</w:t>
            </w:r>
          </w:p>
        </w:tc>
        <w:tc>
          <w:tcPr>
            <w:tcW w:w="1791" w:type="dxa"/>
          </w:tcPr>
          <w:p>
            <w:pPr>
              <w:pStyle w:val="TableParagraph"/>
              <w:spacing w:before="21"/>
              <w:ind w:left="1"/>
              <w:jc w:val="center"/>
              <w:rPr>
                <w:sz w:val="20"/>
              </w:rPr>
            </w:pPr>
            <w:r>
              <w:rPr>
                <w:color w:val="231F20"/>
                <w:sz w:val="20"/>
              </w:rPr>
              <w:t>1</w:t>
            </w:r>
          </w:p>
        </w:tc>
        <w:tc>
          <w:tcPr>
            <w:tcW w:w="1781" w:type="dxa"/>
          </w:tcPr>
          <w:p>
            <w:pPr>
              <w:pStyle w:val="TableParagraph"/>
              <w:spacing w:before="21"/>
              <w:ind w:left="445" w:right="444"/>
              <w:jc w:val="center"/>
              <w:rPr>
                <w:sz w:val="20"/>
              </w:rPr>
            </w:pPr>
            <w:r>
              <w:rPr>
                <w:color w:val="231F20"/>
                <w:sz w:val="20"/>
              </w:rPr>
              <w:t>2.13</w:t>
            </w:r>
          </w:p>
        </w:tc>
      </w:tr>
      <w:tr>
        <w:trPr>
          <w:trHeight w:val="299" w:hRule="exact"/>
        </w:trPr>
        <w:tc>
          <w:tcPr>
            <w:tcW w:w="784" w:type="dxa"/>
          </w:tcPr>
          <w:p>
            <w:pPr>
              <w:pStyle w:val="TableParagraph"/>
              <w:spacing w:before="21"/>
              <w:ind w:left="260" w:right="258"/>
              <w:jc w:val="center"/>
              <w:rPr>
                <w:sz w:val="20"/>
              </w:rPr>
            </w:pPr>
            <w:r>
              <w:rPr>
                <w:color w:val="231F20"/>
                <w:sz w:val="20"/>
              </w:rPr>
              <w:t>17</w:t>
            </w:r>
          </w:p>
        </w:tc>
        <w:tc>
          <w:tcPr>
            <w:tcW w:w="3978" w:type="dxa"/>
          </w:tcPr>
          <w:p>
            <w:pPr>
              <w:pStyle w:val="TableParagraph"/>
              <w:spacing w:before="21"/>
              <w:ind w:left="1082" w:right="1081"/>
              <w:jc w:val="center"/>
              <w:rPr>
                <w:sz w:val="20"/>
              </w:rPr>
            </w:pPr>
            <w:r>
              <w:rPr>
                <w:color w:val="231F20"/>
                <w:sz w:val="20"/>
              </w:rPr>
              <w:t>Martinaceae</w:t>
            </w:r>
          </w:p>
        </w:tc>
        <w:tc>
          <w:tcPr>
            <w:tcW w:w="1791" w:type="dxa"/>
          </w:tcPr>
          <w:p>
            <w:pPr>
              <w:pStyle w:val="TableParagraph"/>
              <w:spacing w:before="21"/>
              <w:ind w:left="2"/>
              <w:jc w:val="center"/>
              <w:rPr>
                <w:sz w:val="20"/>
              </w:rPr>
            </w:pPr>
            <w:r>
              <w:rPr>
                <w:color w:val="231F20"/>
                <w:sz w:val="20"/>
              </w:rPr>
              <w:t>1</w:t>
            </w:r>
          </w:p>
        </w:tc>
        <w:tc>
          <w:tcPr>
            <w:tcW w:w="1781" w:type="dxa"/>
          </w:tcPr>
          <w:p>
            <w:pPr>
              <w:pStyle w:val="TableParagraph"/>
              <w:spacing w:before="21"/>
              <w:ind w:left="445" w:right="443"/>
              <w:jc w:val="center"/>
              <w:rPr>
                <w:sz w:val="20"/>
              </w:rPr>
            </w:pPr>
            <w:r>
              <w:rPr>
                <w:color w:val="231F20"/>
                <w:sz w:val="20"/>
              </w:rPr>
              <w:t>2.13</w:t>
            </w:r>
          </w:p>
        </w:tc>
      </w:tr>
      <w:tr>
        <w:trPr>
          <w:trHeight w:val="299" w:hRule="exact"/>
        </w:trPr>
        <w:tc>
          <w:tcPr>
            <w:tcW w:w="784" w:type="dxa"/>
          </w:tcPr>
          <w:p>
            <w:pPr>
              <w:pStyle w:val="TableParagraph"/>
              <w:spacing w:before="20"/>
              <w:ind w:left="260" w:right="258"/>
              <w:jc w:val="center"/>
              <w:rPr>
                <w:sz w:val="20"/>
              </w:rPr>
            </w:pPr>
            <w:r>
              <w:rPr>
                <w:color w:val="231F20"/>
                <w:sz w:val="20"/>
              </w:rPr>
              <w:t>18</w:t>
            </w:r>
          </w:p>
        </w:tc>
        <w:tc>
          <w:tcPr>
            <w:tcW w:w="3978" w:type="dxa"/>
          </w:tcPr>
          <w:p>
            <w:pPr>
              <w:pStyle w:val="TableParagraph"/>
              <w:spacing w:before="20"/>
              <w:ind w:left="1082" w:right="1081"/>
              <w:jc w:val="center"/>
              <w:rPr>
                <w:sz w:val="20"/>
              </w:rPr>
            </w:pPr>
            <w:r>
              <w:rPr>
                <w:color w:val="231F20"/>
                <w:sz w:val="20"/>
              </w:rPr>
              <w:t>Liliacea o Alliaceae</w:t>
            </w:r>
          </w:p>
        </w:tc>
        <w:tc>
          <w:tcPr>
            <w:tcW w:w="1791" w:type="dxa"/>
          </w:tcPr>
          <w:p>
            <w:pPr>
              <w:pStyle w:val="TableParagraph"/>
              <w:spacing w:before="20"/>
              <w:ind w:left="2"/>
              <w:jc w:val="center"/>
              <w:rPr>
                <w:sz w:val="20"/>
              </w:rPr>
            </w:pPr>
            <w:r>
              <w:rPr>
                <w:color w:val="231F20"/>
                <w:sz w:val="20"/>
              </w:rPr>
              <w:t>1</w:t>
            </w:r>
          </w:p>
        </w:tc>
        <w:tc>
          <w:tcPr>
            <w:tcW w:w="1781" w:type="dxa"/>
          </w:tcPr>
          <w:p>
            <w:pPr>
              <w:pStyle w:val="TableParagraph"/>
              <w:spacing w:before="20"/>
              <w:ind w:left="445" w:right="443"/>
              <w:jc w:val="center"/>
              <w:rPr>
                <w:sz w:val="20"/>
              </w:rPr>
            </w:pPr>
            <w:r>
              <w:rPr>
                <w:color w:val="231F20"/>
                <w:sz w:val="20"/>
              </w:rPr>
              <w:t>2.13</w:t>
            </w:r>
          </w:p>
        </w:tc>
      </w:tr>
      <w:tr>
        <w:trPr>
          <w:trHeight w:val="299" w:hRule="exact"/>
        </w:trPr>
        <w:tc>
          <w:tcPr>
            <w:tcW w:w="784" w:type="dxa"/>
          </w:tcPr>
          <w:p>
            <w:pPr>
              <w:pStyle w:val="TableParagraph"/>
              <w:spacing w:before="20"/>
              <w:ind w:left="260" w:right="258"/>
              <w:jc w:val="center"/>
              <w:rPr>
                <w:sz w:val="20"/>
              </w:rPr>
            </w:pPr>
            <w:r>
              <w:rPr>
                <w:color w:val="231F20"/>
                <w:sz w:val="20"/>
              </w:rPr>
              <w:t>19</w:t>
            </w:r>
          </w:p>
        </w:tc>
        <w:tc>
          <w:tcPr>
            <w:tcW w:w="3978" w:type="dxa"/>
          </w:tcPr>
          <w:p>
            <w:pPr>
              <w:pStyle w:val="TableParagraph"/>
              <w:spacing w:before="20"/>
              <w:ind w:left="1083" w:right="1081"/>
              <w:jc w:val="center"/>
              <w:rPr>
                <w:sz w:val="20"/>
              </w:rPr>
            </w:pPr>
            <w:r>
              <w:rPr>
                <w:color w:val="231F20"/>
                <w:sz w:val="20"/>
              </w:rPr>
              <w:t>Lamiaceae o Labiatae</w:t>
            </w:r>
          </w:p>
        </w:tc>
        <w:tc>
          <w:tcPr>
            <w:tcW w:w="1791" w:type="dxa"/>
          </w:tcPr>
          <w:p>
            <w:pPr>
              <w:pStyle w:val="TableParagraph"/>
              <w:spacing w:before="20"/>
              <w:ind w:left="2"/>
              <w:jc w:val="center"/>
              <w:rPr>
                <w:sz w:val="20"/>
              </w:rPr>
            </w:pPr>
            <w:r>
              <w:rPr>
                <w:color w:val="231F20"/>
                <w:sz w:val="20"/>
              </w:rPr>
              <w:t>1</w:t>
            </w:r>
          </w:p>
        </w:tc>
        <w:tc>
          <w:tcPr>
            <w:tcW w:w="1781" w:type="dxa"/>
          </w:tcPr>
          <w:p>
            <w:pPr>
              <w:pStyle w:val="TableParagraph"/>
              <w:spacing w:before="20"/>
              <w:ind w:left="445" w:right="443"/>
              <w:jc w:val="center"/>
              <w:rPr>
                <w:sz w:val="20"/>
              </w:rPr>
            </w:pPr>
            <w:r>
              <w:rPr>
                <w:color w:val="231F20"/>
                <w:sz w:val="20"/>
              </w:rPr>
              <w:t>2.13</w:t>
            </w:r>
          </w:p>
        </w:tc>
      </w:tr>
    </w:tbl>
    <w:p>
      <w:pPr>
        <w:spacing w:after="0"/>
        <w:jc w:val="center"/>
        <w:rPr>
          <w:sz w:val="20"/>
        </w:rPr>
        <w:sectPr>
          <w:pgSz w:w="10920" w:h="13080"/>
          <w:pgMar w:header="0" w:footer="965" w:top="420" w:bottom="1220" w:left="0" w:right="0"/>
        </w:sectPr>
      </w:pPr>
    </w:p>
    <w:p>
      <w:pPr>
        <w:pStyle w:val="BodyText"/>
        <w:rPr>
          <w:b/>
          <w:sz w:val="20"/>
        </w:rPr>
      </w:pPr>
    </w:p>
    <w:p>
      <w:pPr>
        <w:pStyle w:val="BodyText"/>
        <w:rPr>
          <w:b/>
          <w:sz w:val="20"/>
        </w:rPr>
      </w:pPr>
    </w:p>
    <w:p>
      <w:pPr>
        <w:pStyle w:val="BodyText"/>
        <w:rPr>
          <w:b/>
          <w:sz w:val="20"/>
        </w:rPr>
      </w:pPr>
    </w:p>
    <w:p>
      <w:pPr>
        <w:pStyle w:val="BodyText"/>
        <w:spacing w:before="8"/>
        <w:rPr>
          <w:b/>
          <w:sz w:val="13"/>
        </w:rPr>
      </w:pPr>
    </w:p>
    <w:tbl>
      <w:tblPr>
        <w:tblW w:w="0" w:type="auto"/>
        <w:jc w:val="left"/>
        <w:tblInd w:w="1282"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top w:w="0" w:type="dxa"/>
          <w:left w:w="0" w:type="dxa"/>
          <w:bottom w:w="0" w:type="dxa"/>
          <w:right w:w="0" w:type="dxa"/>
        </w:tblCellMar>
        <w:tblLook w:val="01E0"/>
      </w:tblPr>
      <w:tblGrid>
        <w:gridCol w:w="784"/>
        <w:gridCol w:w="3978"/>
        <w:gridCol w:w="1791"/>
        <w:gridCol w:w="1781"/>
      </w:tblGrid>
      <w:tr>
        <w:trPr>
          <w:trHeight w:val="299" w:hRule="exact"/>
        </w:trPr>
        <w:tc>
          <w:tcPr>
            <w:tcW w:w="784" w:type="dxa"/>
          </w:tcPr>
          <w:p>
            <w:pPr>
              <w:pStyle w:val="TableParagraph"/>
              <w:spacing w:before="22"/>
              <w:ind w:left="260" w:right="260"/>
              <w:jc w:val="center"/>
              <w:rPr>
                <w:sz w:val="20"/>
              </w:rPr>
            </w:pPr>
            <w:r>
              <w:rPr>
                <w:color w:val="231F20"/>
                <w:sz w:val="20"/>
              </w:rPr>
              <w:t>20</w:t>
            </w:r>
          </w:p>
        </w:tc>
        <w:tc>
          <w:tcPr>
            <w:tcW w:w="3978" w:type="dxa"/>
          </w:tcPr>
          <w:p>
            <w:pPr>
              <w:pStyle w:val="TableParagraph"/>
              <w:spacing w:before="22"/>
              <w:ind w:left="0" w:right="1394"/>
              <w:jc w:val="right"/>
              <w:rPr>
                <w:sz w:val="20"/>
              </w:rPr>
            </w:pPr>
            <w:r>
              <w:rPr>
                <w:color w:val="231F20"/>
                <w:sz w:val="20"/>
              </w:rPr>
              <w:t>Flacourtiaceae</w:t>
            </w:r>
          </w:p>
        </w:tc>
        <w:tc>
          <w:tcPr>
            <w:tcW w:w="1791" w:type="dxa"/>
          </w:tcPr>
          <w:p>
            <w:pPr>
              <w:pStyle w:val="TableParagraph"/>
              <w:spacing w:before="22"/>
              <w:ind w:left="0"/>
              <w:jc w:val="center"/>
              <w:rPr>
                <w:sz w:val="20"/>
              </w:rPr>
            </w:pPr>
            <w:r>
              <w:rPr>
                <w:color w:val="231F20"/>
                <w:sz w:val="20"/>
              </w:rPr>
              <w:t>1</w:t>
            </w:r>
          </w:p>
        </w:tc>
        <w:tc>
          <w:tcPr>
            <w:tcW w:w="1781" w:type="dxa"/>
          </w:tcPr>
          <w:p>
            <w:pPr>
              <w:pStyle w:val="TableParagraph"/>
              <w:spacing w:before="22"/>
              <w:ind w:left="445" w:right="445"/>
              <w:jc w:val="center"/>
              <w:rPr>
                <w:sz w:val="20"/>
              </w:rPr>
            </w:pPr>
            <w:r>
              <w:rPr>
                <w:color w:val="231F20"/>
                <w:sz w:val="20"/>
              </w:rPr>
              <w:t>2.13</w:t>
            </w:r>
          </w:p>
        </w:tc>
      </w:tr>
      <w:tr>
        <w:trPr>
          <w:trHeight w:val="299" w:hRule="exact"/>
        </w:trPr>
        <w:tc>
          <w:tcPr>
            <w:tcW w:w="784" w:type="dxa"/>
          </w:tcPr>
          <w:p>
            <w:pPr>
              <w:pStyle w:val="TableParagraph"/>
              <w:spacing w:before="22"/>
              <w:ind w:left="260" w:right="260"/>
              <w:jc w:val="center"/>
              <w:rPr>
                <w:sz w:val="20"/>
              </w:rPr>
            </w:pPr>
            <w:r>
              <w:rPr>
                <w:color w:val="231F20"/>
                <w:sz w:val="20"/>
              </w:rPr>
              <w:t>21</w:t>
            </w:r>
          </w:p>
        </w:tc>
        <w:tc>
          <w:tcPr>
            <w:tcW w:w="3978" w:type="dxa"/>
          </w:tcPr>
          <w:p>
            <w:pPr>
              <w:pStyle w:val="TableParagraph"/>
              <w:spacing w:before="22"/>
              <w:ind w:left="0" w:right="1333"/>
              <w:jc w:val="right"/>
              <w:rPr>
                <w:sz w:val="20"/>
              </w:rPr>
            </w:pPr>
            <w:r>
              <w:rPr>
                <w:color w:val="231F20"/>
                <w:sz w:val="20"/>
              </w:rPr>
              <w:t>Commelinaceae</w:t>
            </w:r>
          </w:p>
        </w:tc>
        <w:tc>
          <w:tcPr>
            <w:tcW w:w="1791" w:type="dxa"/>
          </w:tcPr>
          <w:p>
            <w:pPr>
              <w:pStyle w:val="TableParagraph"/>
              <w:spacing w:before="22"/>
              <w:ind w:left="0"/>
              <w:jc w:val="center"/>
              <w:rPr>
                <w:sz w:val="20"/>
              </w:rPr>
            </w:pPr>
            <w:r>
              <w:rPr>
                <w:color w:val="231F20"/>
                <w:sz w:val="20"/>
              </w:rPr>
              <w:t>1</w:t>
            </w:r>
          </w:p>
        </w:tc>
        <w:tc>
          <w:tcPr>
            <w:tcW w:w="1781" w:type="dxa"/>
          </w:tcPr>
          <w:p>
            <w:pPr>
              <w:pStyle w:val="TableParagraph"/>
              <w:spacing w:before="22"/>
              <w:ind w:left="445" w:right="445"/>
              <w:jc w:val="center"/>
              <w:rPr>
                <w:sz w:val="20"/>
              </w:rPr>
            </w:pPr>
            <w:r>
              <w:rPr>
                <w:color w:val="231F20"/>
                <w:sz w:val="20"/>
              </w:rPr>
              <w:t>2.13</w:t>
            </w:r>
          </w:p>
        </w:tc>
      </w:tr>
      <w:tr>
        <w:trPr>
          <w:trHeight w:val="299" w:hRule="exact"/>
        </w:trPr>
        <w:tc>
          <w:tcPr>
            <w:tcW w:w="784" w:type="dxa"/>
          </w:tcPr>
          <w:p>
            <w:pPr>
              <w:pStyle w:val="TableParagraph"/>
              <w:spacing w:before="22"/>
              <w:ind w:left="260" w:right="260"/>
              <w:jc w:val="center"/>
              <w:rPr>
                <w:sz w:val="20"/>
              </w:rPr>
            </w:pPr>
            <w:r>
              <w:rPr>
                <w:color w:val="231F20"/>
                <w:sz w:val="20"/>
              </w:rPr>
              <w:t>22</w:t>
            </w:r>
          </w:p>
        </w:tc>
        <w:tc>
          <w:tcPr>
            <w:tcW w:w="3978" w:type="dxa"/>
          </w:tcPr>
          <w:p>
            <w:pPr>
              <w:pStyle w:val="TableParagraph"/>
              <w:spacing w:before="22"/>
              <w:ind w:left="1081" w:right="1081"/>
              <w:jc w:val="center"/>
              <w:rPr>
                <w:sz w:val="20"/>
              </w:rPr>
            </w:pPr>
            <w:r>
              <w:rPr>
                <w:color w:val="231F20"/>
                <w:sz w:val="20"/>
              </w:rPr>
              <w:t>Burseraceae</w:t>
            </w:r>
          </w:p>
        </w:tc>
        <w:tc>
          <w:tcPr>
            <w:tcW w:w="1791" w:type="dxa"/>
          </w:tcPr>
          <w:p>
            <w:pPr>
              <w:pStyle w:val="TableParagraph"/>
              <w:spacing w:before="22"/>
              <w:ind w:left="0"/>
              <w:jc w:val="center"/>
              <w:rPr>
                <w:sz w:val="20"/>
              </w:rPr>
            </w:pPr>
            <w:r>
              <w:rPr>
                <w:color w:val="231F20"/>
                <w:sz w:val="20"/>
              </w:rPr>
              <w:t>1</w:t>
            </w:r>
          </w:p>
        </w:tc>
        <w:tc>
          <w:tcPr>
            <w:tcW w:w="1781" w:type="dxa"/>
          </w:tcPr>
          <w:p>
            <w:pPr>
              <w:pStyle w:val="TableParagraph"/>
              <w:spacing w:before="22"/>
              <w:ind w:left="445" w:right="445"/>
              <w:jc w:val="center"/>
              <w:rPr>
                <w:sz w:val="20"/>
              </w:rPr>
            </w:pPr>
            <w:r>
              <w:rPr>
                <w:color w:val="231F20"/>
                <w:sz w:val="20"/>
              </w:rPr>
              <w:t>2.13</w:t>
            </w:r>
          </w:p>
        </w:tc>
      </w:tr>
      <w:tr>
        <w:trPr>
          <w:trHeight w:val="299" w:hRule="exact"/>
        </w:trPr>
        <w:tc>
          <w:tcPr>
            <w:tcW w:w="784" w:type="dxa"/>
          </w:tcPr>
          <w:p>
            <w:pPr>
              <w:pStyle w:val="TableParagraph"/>
              <w:spacing w:before="21"/>
              <w:ind w:left="260" w:right="260"/>
              <w:jc w:val="center"/>
              <w:rPr>
                <w:sz w:val="20"/>
              </w:rPr>
            </w:pPr>
            <w:r>
              <w:rPr>
                <w:color w:val="231F20"/>
                <w:sz w:val="20"/>
              </w:rPr>
              <w:t>23</w:t>
            </w:r>
          </w:p>
        </w:tc>
        <w:tc>
          <w:tcPr>
            <w:tcW w:w="3978" w:type="dxa"/>
          </w:tcPr>
          <w:p>
            <w:pPr>
              <w:pStyle w:val="TableParagraph"/>
              <w:spacing w:before="21"/>
              <w:ind w:left="0" w:right="1427"/>
              <w:jc w:val="right"/>
              <w:rPr>
                <w:sz w:val="20"/>
              </w:rPr>
            </w:pPr>
            <w:r>
              <w:rPr>
                <w:color w:val="231F20"/>
                <w:sz w:val="20"/>
              </w:rPr>
              <w:t>Bromeliaceae</w:t>
            </w:r>
          </w:p>
        </w:tc>
        <w:tc>
          <w:tcPr>
            <w:tcW w:w="1791" w:type="dxa"/>
          </w:tcPr>
          <w:p>
            <w:pPr>
              <w:pStyle w:val="TableParagraph"/>
              <w:spacing w:before="21"/>
              <w:ind w:left="0"/>
              <w:jc w:val="center"/>
              <w:rPr>
                <w:sz w:val="20"/>
              </w:rPr>
            </w:pPr>
            <w:r>
              <w:rPr>
                <w:color w:val="231F20"/>
                <w:sz w:val="20"/>
              </w:rPr>
              <w:t>1</w:t>
            </w:r>
          </w:p>
        </w:tc>
        <w:tc>
          <w:tcPr>
            <w:tcW w:w="1781" w:type="dxa"/>
          </w:tcPr>
          <w:p>
            <w:pPr>
              <w:pStyle w:val="TableParagraph"/>
              <w:spacing w:before="21"/>
              <w:ind w:left="445" w:right="445"/>
              <w:jc w:val="center"/>
              <w:rPr>
                <w:sz w:val="20"/>
              </w:rPr>
            </w:pPr>
            <w:r>
              <w:rPr>
                <w:color w:val="231F20"/>
                <w:sz w:val="20"/>
              </w:rPr>
              <w:t>2.13</w:t>
            </w:r>
          </w:p>
        </w:tc>
      </w:tr>
      <w:tr>
        <w:trPr>
          <w:trHeight w:val="299" w:hRule="exact"/>
        </w:trPr>
        <w:tc>
          <w:tcPr>
            <w:tcW w:w="784" w:type="dxa"/>
          </w:tcPr>
          <w:p>
            <w:pPr>
              <w:pStyle w:val="TableParagraph"/>
              <w:spacing w:before="21"/>
              <w:ind w:left="260" w:right="260"/>
              <w:jc w:val="center"/>
              <w:rPr>
                <w:sz w:val="20"/>
              </w:rPr>
            </w:pPr>
            <w:r>
              <w:rPr>
                <w:color w:val="231F20"/>
                <w:sz w:val="20"/>
              </w:rPr>
              <w:t>24</w:t>
            </w:r>
          </w:p>
        </w:tc>
        <w:tc>
          <w:tcPr>
            <w:tcW w:w="3978" w:type="dxa"/>
          </w:tcPr>
          <w:p>
            <w:pPr>
              <w:pStyle w:val="TableParagraph"/>
              <w:spacing w:before="21"/>
              <w:ind w:left="1081" w:right="1081"/>
              <w:jc w:val="center"/>
              <w:rPr>
                <w:sz w:val="20"/>
              </w:rPr>
            </w:pPr>
            <w:r>
              <w:rPr>
                <w:color w:val="231F20"/>
                <w:sz w:val="20"/>
              </w:rPr>
              <w:t>Agavaceae</w:t>
            </w:r>
          </w:p>
        </w:tc>
        <w:tc>
          <w:tcPr>
            <w:tcW w:w="1791" w:type="dxa"/>
          </w:tcPr>
          <w:p>
            <w:pPr>
              <w:pStyle w:val="TableParagraph"/>
              <w:spacing w:before="21"/>
              <w:ind w:left="0"/>
              <w:jc w:val="center"/>
              <w:rPr>
                <w:sz w:val="20"/>
              </w:rPr>
            </w:pPr>
            <w:r>
              <w:rPr>
                <w:color w:val="231F20"/>
                <w:sz w:val="20"/>
              </w:rPr>
              <w:t>1</w:t>
            </w:r>
          </w:p>
        </w:tc>
        <w:tc>
          <w:tcPr>
            <w:tcW w:w="1781" w:type="dxa"/>
          </w:tcPr>
          <w:p>
            <w:pPr>
              <w:pStyle w:val="TableParagraph"/>
              <w:spacing w:before="21"/>
              <w:ind w:left="445" w:right="445"/>
              <w:jc w:val="center"/>
              <w:rPr>
                <w:sz w:val="20"/>
              </w:rPr>
            </w:pPr>
            <w:r>
              <w:rPr>
                <w:color w:val="231F20"/>
                <w:sz w:val="20"/>
              </w:rPr>
              <w:t>2.13</w:t>
            </w:r>
          </w:p>
        </w:tc>
      </w:tr>
      <w:tr>
        <w:trPr>
          <w:trHeight w:val="299" w:hRule="exact"/>
        </w:trPr>
        <w:tc>
          <w:tcPr>
            <w:tcW w:w="784" w:type="dxa"/>
          </w:tcPr>
          <w:p>
            <w:pPr/>
          </w:p>
        </w:tc>
        <w:tc>
          <w:tcPr>
            <w:tcW w:w="3978" w:type="dxa"/>
          </w:tcPr>
          <w:p>
            <w:pPr>
              <w:pStyle w:val="TableParagraph"/>
              <w:spacing w:before="21"/>
              <w:ind w:left="1081" w:right="1081"/>
              <w:jc w:val="center"/>
              <w:rPr>
                <w:sz w:val="20"/>
              </w:rPr>
            </w:pPr>
            <w:r>
              <w:rPr>
                <w:color w:val="231F20"/>
                <w:sz w:val="20"/>
              </w:rPr>
              <w:t>Total</w:t>
            </w:r>
          </w:p>
        </w:tc>
        <w:tc>
          <w:tcPr>
            <w:tcW w:w="1791" w:type="dxa"/>
          </w:tcPr>
          <w:p>
            <w:pPr>
              <w:pStyle w:val="TableParagraph"/>
              <w:spacing w:before="21"/>
              <w:ind w:left="110" w:right="110"/>
              <w:jc w:val="center"/>
              <w:rPr>
                <w:sz w:val="20"/>
              </w:rPr>
            </w:pPr>
            <w:r>
              <w:rPr>
                <w:color w:val="231F20"/>
                <w:sz w:val="20"/>
              </w:rPr>
              <w:t>47</w:t>
            </w:r>
          </w:p>
        </w:tc>
        <w:tc>
          <w:tcPr>
            <w:tcW w:w="1781" w:type="dxa"/>
          </w:tcPr>
          <w:p>
            <w:pPr>
              <w:pStyle w:val="TableParagraph"/>
              <w:spacing w:before="21"/>
              <w:ind w:left="445" w:right="445"/>
              <w:jc w:val="center"/>
              <w:rPr>
                <w:sz w:val="20"/>
              </w:rPr>
            </w:pPr>
            <w:r>
              <w:rPr>
                <w:color w:val="231F20"/>
                <w:sz w:val="20"/>
              </w:rPr>
              <w:t>100.00</w:t>
            </w:r>
          </w:p>
        </w:tc>
      </w:tr>
    </w:tbl>
    <w:p>
      <w:pPr>
        <w:pStyle w:val="BodyText"/>
        <w:spacing w:before="1"/>
        <w:rPr>
          <w:b/>
          <w:sz w:val="13"/>
        </w:rPr>
      </w:pPr>
    </w:p>
    <w:p>
      <w:pPr>
        <w:pStyle w:val="BodyText"/>
        <w:spacing w:line="247" w:lineRule="auto" w:before="73"/>
        <w:ind w:left="1270" w:right="1268"/>
        <w:jc w:val="both"/>
      </w:pPr>
      <w:r>
        <w:rPr>
          <w:color w:val="231F20"/>
        </w:rPr>
        <w:t>El</w:t>
      </w:r>
      <w:r>
        <w:rPr>
          <w:color w:val="231F20"/>
          <w:spacing w:val="-8"/>
        </w:rPr>
        <w:t> </w:t>
      </w:r>
      <w:r>
        <w:rPr>
          <w:color w:val="231F20"/>
        </w:rPr>
        <w:t>54%</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colonias</w:t>
      </w:r>
      <w:r>
        <w:rPr>
          <w:color w:val="231F20"/>
          <w:spacing w:val="-8"/>
        </w:rPr>
        <w:t> </w:t>
      </w:r>
      <w:r>
        <w:rPr>
          <w:color w:val="231F20"/>
        </w:rPr>
        <w:t>(93</w:t>
      </w:r>
      <w:r>
        <w:rPr>
          <w:color w:val="231F20"/>
          <w:spacing w:val="-8"/>
        </w:rPr>
        <w:t> </w:t>
      </w:r>
      <w:r>
        <w:rPr>
          <w:color w:val="231F20"/>
        </w:rPr>
        <w:t>ejemplares)</w:t>
      </w:r>
      <w:r>
        <w:rPr>
          <w:color w:val="231F20"/>
          <w:spacing w:val="-8"/>
        </w:rPr>
        <w:t> </w:t>
      </w:r>
      <w:r>
        <w:rPr>
          <w:color w:val="231F20"/>
        </w:rPr>
        <w:t>se</w:t>
      </w:r>
      <w:r>
        <w:rPr>
          <w:color w:val="231F20"/>
          <w:spacing w:val="-8"/>
        </w:rPr>
        <w:t> </w:t>
      </w:r>
      <w:r>
        <w:rPr>
          <w:color w:val="231F20"/>
        </w:rPr>
        <w:t>situaron</w:t>
      </w:r>
      <w:r>
        <w:rPr>
          <w:color w:val="231F20"/>
          <w:spacing w:val="-8"/>
        </w:rPr>
        <w:t> </w:t>
      </w:r>
      <w:r>
        <w:rPr>
          <w:color w:val="231F20"/>
        </w:rPr>
        <w:t>bajo</w:t>
      </w:r>
      <w:r>
        <w:rPr>
          <w:color w:val="231F20"/>
          <w:spacing w:val="-8"/>
        </w:rPr>
        <w:t> </w:t>
      </w:r>
      <w:r>
        <w:rPr>
          <w:color w:val="231F20"/>
        </w:rPr>
        <w:t>una</w:t>
      </w:r>
      <w:r>
        <w:rPr>
          <w:color w:val="231F20"/>
          <w:spacing w:val="-8"/>
        </w:rPr>
        <w:t> </w:t>
      </w:r>
      <w:r>
        <w:rPr>
          <w:color w:val="231F20"/>
        </w:rPr>
        <w:t>planta</w:t>
      </w:r>
      <w:r>
        <w:rPr>
          <w:color w:val="231F20"/>
          <w:spacing w:val="-8"/>
        </w:rPr>
        <w:t> </w:t>
      </w:r>
      <w:r>
        <w:rPr>
          <w:color w:val="231F20"/>
        </w:rPr>
        <w:t>nodriza;</w:t>
      </w:r>
      <w:r>
        <w:rPr>
          <w:color w:val="231F20"/>
          <w:spacing w:val="-8"/>
        </w:rPr>
        <w:t> </w:t>
      </w:r>
      <w:r>
        <w:rPr>
          <w:color w:val="231F20"/>
        </w:rPr>
        <w:t>el</w:t>
      </w:r>
      <w:r>
        <w:rPr>
          <w:color w:val="231F20"/>
          <w:spacing w:val="-8"/>
        </w:rPr>
        <w:t> </w:t>
      </w:r>
      <w:r>
        <w:rPr>
          <w:color w:val="231F20"/>
        </w:rPr>
        <w:t>sitio</w:t>
      </w:r>
      <w:r>
        <w:rPr>
          <w:color w:val="231F20"/>
          <w:spacing w:val="-8"/>
        </w:rPr>
        <w:t> </w:t>
      </w:r>
      <w:r>
        <w:rPr>
          <w:color w:val="231F20"/>
        </w:rPr>
        <w:t>donde</w:t>
      </w:r>
      <w:r>
        <w:rPr>
          <w:color w:val="231F20"/>
          <w:spacing w:val="-8"/>
        </w:rPr>
        <w:t> </w:t>
      </w:r>
      <w:r>
        <w:rPr>
          <w:color w:val="231F20"/>
        </w:rPr>
        <w:t>se</w:t>
      </w:r>
      <w:r>
        <w:rPr>
          <w:color w:val="231F20"/>
          <w:spacing w:val="-8"/>
        </w:rPr>
        <w:t> </w:t>
      </w:r>
      <w:r>
        <w:rPr>
          <w:color w:val="231F20"/>
        </w:rPr>
        <w:t>encontró mayor presencia de </w:t>
      </w:r>
      <w:r>
        <w:rPr>
          <w:i/>
          <w:color w:val="231F20"/>
        </w:rPr>
        <w:t>C. glassii </w:t>
      </w:r>
      <w:r>
        <w:rPr>
          <w:color w:val="231F20"/>
        </w:rPr>
        <w:t>fue en el </w:t>
      </w:r>
      <w:r>
        <w:rPr>
          <w:color w:val="231F20"/>
          <w:spacing w:val="-5"/>
        </w:rPr>
        <w:t>Valle </w:t>
      </w:r>
      <w:r>
        <w:rPr>
          <w:color w:val="231F20"/>
        </w:rPr>
        <w:t>Florido con 66 plantas cuyo porcentaje de nodrizas</w:t>
      </w:r>
      <w:r>
        <w:rPr>
          <w:color w:val="231F20"/>
          <w:spacing w:val="-17"/>
        </w:rPr>
        <w:t> </w:t>
      </w:r>
      <w:r>
        <w:rPr>
          <w:color w:val="231F20"/>
        </w:rPr>
        <w:t>fue de</w:t>
      </w:r>
      <w:r>
        <w:rPr>
          <w:color w:val="231F20"/>
          <w:spacing w:val="-10"/>
        </w:rPr>
        <w:t> </w:t>
      </w:r>
      <w:r>
        <w:rPr>
          <w:color w:val="231F20"/>
        </w:rPr>
        <w:t>57.58%,</w:t>
      </w:r>
      <w:r>
        <w:rPr>
          <w:color w:val="231F20"/>
          <w:spacing w:val="-10"/>
        </w:rPr>
        <w:t> </w:t>
      </w:r>
      <w:r>
        <w:rPr>
          <w:color w:val="231F20"/>
        </w:rPr>
        <w:t>seguido</w:t>
      </w:r>
      <w:r>
        <w:rPr>
          <w:color w:val="231F20"/>
          <w:spacing w:val="-10"/>
        </w:rPr>
        <w:t> </w:t>
      </w:r>
      <w:r>
        <w:rPr>
          <w:color w:val="231F20"/>
        </w:rPr>
        <w:t>por</w:t>
      </w:r>
      <w:r>
        <w:rPr>
          <w:color w:val="231F20"/>
          <w:spacing w:val="-10"/>
        </w:rPr>
        <w:t> </w:t>
      </w:r>
      <w:r>
        <w:rPr>
          <w:color w:val="231F20"/>
        </w:rPr>
        <w:t>los</w:t>
      </w:r>
      <w:r>
        <w:rPr>
          <w:color w:val="231F20"/>
          <w:spacing w:val="-10"/>
        </w:rPr>
        <w:t> </w:t>
      </w:r>
      <w:r>
        <w:rPr>
          <w:color w:val="231F20"/>
        </w:rPr>
        <w:t>sitios</w:t>
      </w:r>
      <w:r>
        <w:rPr>
          <w:color w:val="231F20"/>
          <w:spacing w:val="-10"/>
        </w:rPr>
        <w:t> </w:t>
      </w:r>
      <w:r>
        <w:rPr>
          <w:color w:val="231F20"/>
        </w:rPr>
        <w:t>denominados</w:t>
      </w:r>
      <w:r>
        <w:rPr>
          <w:color w:val="231F20"/>
          <w:spacing w:val="-10"/>
        </w:rPr>
        <w:t> </w:t>
      </w:r>
      <w:r>
        <w:rPr>
          <w:color w:val="231F20"/>
        </w:rPr>
        <w:t>Las</w:t>
      </w:r>
      <w:r>
        <w:rPr>
          <w:color w:val="231F20"/>
          <w:spacing w:val="-22"/>
        </w:rPr>
        <w:t> </w:t>
      </w:r>
      <w:r>
        <w:rPr>
          <w:color w:val="231F20"/>
        </w:rPr>
        <w:t>Abejas</w:t>
      </w:r>
      <w:r>
        <w:rPr>
          <w:color w:val="231F20"/>
          <w:spacing w:val="-10"/>
        </w:rPr>
        <w:t> </w:t>
      </w:r>
      <w:r>
        <w:rPr>
          <w:color w:val="231F20"/>
        </w:rPr>
        <w:t>con</w:t>
      </w:r>
      <w:r>
        <w:rPr>
          <w:color w:val="231F20"/>
          <w:spacing w:val="-10"/>
        </w:rPr>
        <w:t> </w:t>
      </w:r>
      <w:r>
        <w:rPr>
          <w:color w:val="231F20"/>
        </w:rPr>
        <w:t>42</w:t>
      </w:r>
      <w:r>
        <w:rPr>
          <w:color w:val="231F20"/>
          <w:spacing w:val="-10"/>
        </w:rPr>
        <w:t> </w:t>
      </w:r>
      <w:r>
        <w:rPr>
          <w:color w:val="231F20"/>
        </w:rPr>
        <w:t>ejemplares</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cuales</w:t>
      </w:r>
      <w:r>
        <w:rPr>
          <w:color w:val="231F20"/>
          <w:spacing w:val="-10"/>
        </w:rPr>
        <w:t> </w:t>
      </w:r>
      <w:r>
        <w:rPr>
          <w:color w:val="231F20"/>
        </w:rPr>
        <w:t>el</w:t>
      </w:r>
      <w:r>
        <w:rPr>
          <w:color w:val="231F20"/>
          <w:spacing w:val="-10"/>
        </w:rPr>
        <w:t> </w:t>
      </w:r>
      <w:r>
        <w:rPr>
          <w:color w:val="231F20"/>
        </w:rPr>
        <w:t>42.86% contaban con nodriza; en El Panteón se hallaron 41 colonias con un 56% de nodrizaje </w:t>
      </w:r>
      <w:r>
        <w:rPr>
          <w:color w:val="231F20"/>
          <w:spacing w:val="-7"/>
        </w:rPr>
        <w:t>y, </w:t>
      </w:r>
      <w:r>
        <w:rPr>
          <w:color w:val="231F20"/>
        </w:rPr>
        <w:t>finalmente en La Cruz se localizaron únicamente 22 colonias que representan el 12% de las colonias muestrea- das con 63.64% de nodrizaje.</w:t>
      </w:r>
    </w:p>
    <w:p>
      <w:pPr>
        <w:pStyle w:val="BodyText"/>
        <w:spacing w:before="10"/>
      </w:pPr>
    </w:p>
    <w:p>
      <w:pPr>
        <w:pStyle w:val="BodyText"/>
        <w:spacing w:line="247" w:lineRule="auto"/>
        <w:ind w:left="1270" w:right="1268"/>
        <w:jc w:val="both"/>
      </w:pPr>
      <w:r>
        <w:rPr>
          <w:color w:val="231F20"/>
        </w:rPr>
        <w:t>En cuanto a las plantas nodriza, se encontraron 30 especies y se observó que éstas pertenecían a 13 familias, donde Cactaceae concentró el 23% de las especies, Fabaceae un 16.68% al igual que</w:t>
      </w:r>
      <w:r>
        <w:rPr>
          <w:color w:val="231F20"/>
          <w:spacing w:val="-25"/>
        </w:rPr>
        <w:t> </w:t>
      </w:r>
      <w:r>
        <w:rPr>
          <w:color w:val="231F20"/>
        </w:rPr>
        <w:t>Aste- raceae, un 10% Euphorbiaceae, 6% Malvaceae; las familias antes mencionadas se consideran como las principales de acuerdo al número de especies nodriza en las que se reportan (Cuadro</w:t>
      </w:r>
      <w:r>
        <w:rPr>
          <w:color w:val="231F20"/>
          <w:spacing w:val="-6"/>
        </w:rPr>
        <w:t> </w:t>
      </w:r>
      <w:r>
        <w:rPr>
          <w:color w:val="231F20"/>
        </w:rPr>
        <w:t>3).</w:t>
      </w:r>
    </w:p>
    <w:p>
      <w:pPr>
        <w:pStyle w:val="BodyText"/>
        <w:spacing w:before="10"/>
      </w:pPr>
    </w:p>
    <w:p>
      <w:pPr>
        <w:spacing w:line="247" w:lineRule="auto" w:before="0"/>
        <w:ind w:left="1270" w:right="1267" w:firstLine="0"/>
        <w:jc w:val="both"/>
        <w:rPr>
          <w:sz w:val="21"/>
        </w:rPr>
      </w:pPr>
      <w:r>
        <w:rPr>
          <w:color w:val="231F20"/>
          <w:sz w:val="21"/>
        </w:rPr>
        <w:t>Las especies nodriza encontradas por medio del cuadrante son: Lippia u oreganillo (</w:t>
      </w:r>
      <w:r>
        <w:rPr>
          <w:i/>
          <w:color w:val="231F20"/>
          <w:sz w:val="21"/>
        </w:rPr>
        <w:t>Lippia graveo- </w:t>
      </w:r>
      <w:r>
        <w:rPr>
          <w:i/>
          <w:color w:val="231F20"/>
          <w:sz w:val="21"/>
        </w:rPr>
        <w:t>lens </w:t>
      </w:r>
      <w:r>
        <w:rPr>
          <w:color w:val="231F20"/>
          <w:sz w:val="21"/>
        </w:rPr>
        <w:t>Kunth.), escoba [</w:t>
      </w:r>
      <w:r>
        <w:rPr>
          <w:i/>
          <w:color w:val="231F20"/>
          <w:sz w:val="21"/>
        </w:rPr>
        <w:t>Malvastrum tricuspidatum </w:t>
      </w:r>
      <w:r>
        <w:rPr>
          <w:color w:val="231F20"/>
          <w:sz w:val="21"/>
        </w:rPr>
        <w:t>(Ait. f.) Gray variedad bicuspidatum S.</w:t>
      </w:r>
      <w:r>
        <w:rPr>
          <w:color w:val="231F20"/>
          <w:spacing w:val="-37"/>
          <w:sz w:val="21"/>
        </w:rPr>
        <w:t> </w:t>
      </w:r>
      <w:r>
        <w:rPr>
          <w:color w:val="231F20"/>
          <w:spacing w:val="-3"/>
          <w:sz w:val="21"/>
        </w:rPr>
        <w:t>Wats], </w:t>
      </w:r>
      <w:r>
        <w:rPr>
          <w:color w:val="231F20"/>
          <w:sz w:val="21"/>
        </w:rPr>
        <w:t>palo vidrioso</w:t>
      </w:r>
      <w:r>
        <w:rPr>
          <w:color w:val="231F20"/>
          <w:spacing w:val="-6"/>
          <w:sz w:val="21"/>
        </w:rPr>
        <w:t> </w:t>
      </w:r>
      <w:r>
        <w:rPr>
          <w:color w:val="231F20"/>
          <w:sz w:val="21"/>
        </w:rPr>
        <w:t>[</w:t>
      </w:r>
      <w:r>
        <w:rPr>
          <w:i/>
          <w:color w:val="231F20"/>
          <w:sz w:val="21"/>
        </w:rPr>
        <w:t>Neopringlea</w:t>
      </w:r>
      <w:r>
        <w:rPr>
          <w:i/>
          <w:color w:val="231F20"/>
          <w:spacing w:val="-6"/>
          <w:sz w:val="21"/>
        </w:rPr>
        <w:t> </w:t>
      </w:r>
      <w:r>
        <w:rPr>
          <w:i/>
          <w:color w:val="231F20"/>
          <w:sz w:val="21"/>
        </w:rPr>
        <w:t>integrifolia</w:t>
      </w:r>
      <w:r>
        <w:rPr>
          <w:i/>
          <w:color w:val="231F20"/>
          <w:spacing w:val="-6"/>
          <w:sz w:val="21"/>
        </w:rPr>
        <w:t> </w:t>
      </w:r>
      <w:r>
        <w:rPr>
          <w:color w:val="231F20"/>
          <w:sz w:val="21"/>
        </w:rPr>
        <w:t>(</w:t>
      </w:r>
      <w:r>
        <w:rPr>
          <w:i/>
          <w:color w:val="231F20"/>
          <w:sz w:val="21"/>
        </w:rPr>
        <w:t>Hemsley</w:t>
      </w:r>
      <w:r>
        <w:rPr>
          <w:color w:val="231F20"/>
          <w:sz w:val="21"/>
        </w:rPr>
        <w:t>)</w:t>
      </w:r>
      <w:r>
        <w:rPr>
          <w:color w:val="231F20"/>
          <w:spacing w:val="-6"/>
          <w:sz w:val="21"/>
        </w:rPr>
        <w:t> </w:t>
      </w:r>
      <w:r>
        <w:rPr>
          <w:color w:val="231F20"/>
          <w:sz w:val="21"/>
        </w:rPr>
        <w:t>S.</w:t>
      </w:r>
      <w:r>
        <w:rPr>
          <w:color w:val="231F20"/>
          <w:spacing w:val="-9"/>
          <w:sz w:val="21"/>
        </w:rPr>
        <w:t> </w:t>
      </w:r>
      <w:r>
        <w:rPr>
          <w:color w:val="231F20"/>
          <w:spacing w:val="-3"/>
          <w:sz w:val="21"/>
        </w:rPr>
        <w:t>Watson],</w:t>
      </w:r>
      <w:r>
        <w:rPr>
          <w:color w:val="231F20"/>
          <w:spacing w:val="-6"/>
          <w:sz w:val="21"/>
        </w:rPr>
        <w:t> </w:t>
      </w:r>
      <w:r>
        <w:rPr>
          <w:color w:val="231F20"/>
          <w:sz w:val="21"/>
        </w:rPr>
        <w:t>tenaza</w:t>
      </w:r>
      <w:r>
        <w:rPr>
          <w:color w:val="231F20"/>
          <w:spacing w:val="-6"/>
          <w:sz w:val="21"/>
        </w:rPr>
        <w:t> </w:t>
      </w:r>
      <w:r>
        <w:rPr>
          <w:color w:val="231F20"/>
          <w:sz w:val="21"/>
        </w:rPr>
        <w:t>(</w:t>
      </w:r>
      <w:r>
        <w:rPr>
          <w:i/>
          <w:color w:val="231F20"/>
          <w:sz w:val="21"/>
        </w:rPr>
        <w:t>Acacia</w:t>
      </w:r>
      <w:r>
        <w:rPr>
          <w:i/>
          <w:color w:val="231F20"/>
          <w:spacing w:val="-6"/>
          <w:sz w:val="21"/>
        </w:rPr>
        <w:t> </w:t>
      </w:r>
      <w:r>
        <w:rPr>
          <w:i/>
          <w:color w:val="231F20"/>
          <w:sz w:val="21"/>
        </w:rPr>
        <w:t>macrantha</w:t>
      </w:r>
      <w:r>
        <w:rPr>
          <w:i/>
          <w:color w:val="231F20"/>
          <w:spacing w:val="-5"/>
          <w:sz w:val="21"/>
        </w:rPr>
        <w:t> </w:t>
      </w:r>
      <w:r>
        <w:rPr>
          <w:color w:val="231F20"/>
          <w:sz w:val="21"/>
        </w:rPr>
        <w:t>Humb.</w:t>
      </w:r>
      <w:r>
        <w:rPr>
          <w:color w:val="231F20"/>
          <w:spacing w:val="-6"/>
          <w:sz w:val="21"/>
        </w:rPr>
        <w:t> </w:t>
      </w:r>
      <w:r>
        <w:rPr>
          <w:color w:val="231F20"/>
          <w:sz w:val="21"/>
        </w:rPr>
        <w:t>&amp;</w:t>
      </w:r>
      <w:r>
        <w:rPr>
          <w:color w:val="231F20"/>
          <w:spacing w:val="-6"/>
          <w:sz w:val="21"/>
        </w:rPr>
        <w:t> </w:t>
      </w:r>
      <w:r>
        <w:rPr>
          <w:color w:val="231F20"/>
          <w:sz w:val="21"/>
        </w:rPr>
        <w:t>Bom- pl.),</w:t>
      </w:r>
      <w:r>
        <w:rPr>
          <w:color w:val="231F20"/>
          <w:spacing w:val="-10"/>
          <w:sz w:val="21"/>
        </w:rPr>
        <w:t> </w:t>
      </w:r>
      <w:r>
        <w:rPr>
          <w:color w:val="231F20"/>
          <w:sz w:val="21"/>
        </w:rPr>
        <w:t>malacatillo</w:t>
      </w:r>
      <w:r>
        <w:rPr>
          <w:color w:val="231F20"/>
          <w:spacing w:val="-11"/>
          <w:sz w:val="21"/>
        </w:rPr>
        <w:t> </w:t>
      </w:r>
      <w:r>
        <w:rPr>
          <w:color w:val="231F20"/>
          <w:sz w:val="21"/>
        </w:rPr>
        <w:t>[</w:t>
      </w:r>
      <w:r>
        <w:rPr>
          <w:i/>
          <w:color w:val="231F20"/>
          <w:sz w:val="21"/>
        </w:rPr>
        <w:t>Pithecellobium</w:t>
      </w:r>
      <w:r>
        <w:rPr>
          <w:i/>
          <w:color w:val="231F20"/>
          <w:spacing w:val="-11"/>
          <w:sz w:val="21"/>
        </w:rPr>
        <w:t> </w:t>
      </w:r>
      <w:r>
        <w:rPr>
          <w:i/>
          <w:color w:val="231F20"/>
          <w:sz w:val="21"/>
        </w:rPr>
        <w:t>pallens</w:t>
      </w:r>
      <w:r>
        <w:rPr>
          <w:i/>
          <w:color w:val="231F20"/>
          <w:spacing w:val="-10"/>
          <w:sz w:val="21"/>
        </w:rPr>
        <w:t> </w:t>
      </w:r>
      <w:r>
        <w:rPr>
          <w:color w:val="231F20"/>
          <w:sz w:val="21"/>
        </w:rPr>
        <w:t>(Benth.)</w:t>
      </w:r>
      <w:r>
        <w:rPr>
          <w:color w:val="231F20"/>
          <w:spacing w:val="-10"/>
          <w:sz w:val="21"/>
        </w:rPr>
        <w:t> </w:t>
      </w:r>
      <w:r>
        <w:rPr>
          <w:color w:val="231F20"/>
          <w:sz w:val="21"/>
        </w:rPr>
        <w:t>Standl.],</w:t>
      </w:r>
      <w:r>
        <w:rPr>
          <w:color w:val="231F20"/>
          <w:spacing w:val="-10"/>
          <w:sz w:val="21"/>
        </w:rPr>
        <w:t> </w:t>
      </w:r>
      <w:r>
        <w:rPr>
          <w:color w:val="231F20"/>
          <w:sz w:val="21"/>
        </w:rPr>
        <w:t>tullidora</w:t>
      </w:r>
      <w:r>
        <w:rPr>
          <w:color w:val="231F20"/>
          <w:spacing w:val="-10"/>
          <w:sz w:val="21"/>
        </w:rPr>
        <w:t> </w:t>
      </w:r>
      <w:r>
        <w:rPr>
          <w:color w:val="231F20"/>
          <w:sz w:val="21"/>
        </w:rPr>
        <w:t>[</w:t>
      </w:r>
      <w:r>
        <w:rPr>
          <w:i/>
          <w:color w:val="231F20"/>
          <w:sz w:val="21"/>
        </w:rPr>
        <w:t>Karwinskia</w:t>
      </w:r>
      <w:r>
        <w:rPr>
          <w:i/>
          <w:color w:val="231F20"/>
          <w:spacing w:val="-10"/>
          <w:sz w:val="21"/>
        </w:rPr>
        <w:t> </w:t>
      </w:r>
      <w:r>
        <w:rPr>
          <w:i/>
          <w:color w:val="231F20"/>
          <w:sz w:val="21"/>
        </w:rPr>
        <w:t>humboldtiana</w:t>
      </w:r>
      <w:r>
        <w:rPr>
          <w:i/>
          <w:color w:val="231F20"/>
          <w:spacing w:val="-10"/>
          <w:sz w:val="21"/>
        </w:rPr>
        <w:t> </w:t>
      </w:r>
      <w:r>
        <w:rPr>
          <w:color w:val="231F20"/>
          <w:sz w:val="21"/>
        </w:rPr>
        <w:t>(J.</w:t>
      </w:r>
      <w:r>
        <w:rPr>
          <w:color w:val="231F20"/>
          <w:spacing w:val="-21"/>
          <w:sz w:val="21"/>
        </w:rPr>
        <w:t> </w:t>
      </w:r>
      <w:r>
        <w:rPr>
          <w:color w:val="231F20"/>
          <w:sz w:val="21"/>
        </w:rPr>
        <w:t>A. Schultes) Zucc.], sangregrado [</w:t>
      </w:r>
      <w:r>
        <w:rPr>
          <w:i/>
          <w:color w:val="231F20"/>
          <w:sz w:val="21"/>
        </w:rPr>
        <w:t>Jatropha dioica </w:t>
      </w:r>
      <w:r>
        <w:rPr>
          <w:color w:val="231F20"/>
          <w:sz w:val="21"/>
        </w:rPr>
        <w:t>variedad </w:t>
      </w:r>
      <w:r>
        <w:rPr>
          <w:i/>
          <w:color w:val="231F20"/>
          <w:sz w:val="21"/>
        </w:rPr>
        <w:t>sessiflora </w:t>
      </w:r>
      <w:r>
        <w:rPr>
          <w:color w:val="231F20"/>
          <w:sz w:val="21"/>
        </w:rPr>
        <w:t>(Kunth.) Mc </w:t>
      </w:r>
      <w:r>
        <w:rPr>
          <w:color w:val="231F20"/>
          <w:spacing w:val="-3"/>
          <w:sz w:val="21"/>
        </w:rPr>
        <w:t>Vaugh.], </w:t>
      </w:r>
      <w:r>
        <w:rPr>
          <w:color w:val="231F20"/>
          <w:sz w:val="21"/>
        </w:rPr>
        <w:t>amargoso [</w:t>
      </w:r>
      <w:r>
        <w:rPr>
          <w:i/>
          <w:color w:val="231F20"/>
          <w:sz w:val="21"/>
        </w:rPr>
        <w:t>Parthenium</w:t>
      </w:r>
      <w:r>
        <w:rPr>
          <w:i/>
          <w:color w:val="231F20"/>
          <w:spacing w:val="-9"/>
          <w:sz w:val="21"/>
        </w:rPr>
        <w:t> </w:t>
      </w:r>
      <w:r>
        <w:rPr>
          <w:i/>
          <w:color w:val="231F20"/>
          <w:sz w:val="21"/>
        </w:rPr>
        <w:t>hysterophorus</w:t>
      </w:r>
      <w:r>
        <w:rPr>
          <w:i/>
          <w:color w:val="231F20"/>
          <w:spacing w:val="-9"/>
          <w:sz w:val="21"/>
        </w:rPr>
        <w:t> </w:t>
      </w:r>
      <w:r>
        <w:rPr>
          <w:color w:val="231F20"/>
          <w:sz w:val="21"/>
        </w:rPr>
        <w:t>(</w:t>
      </w:r>
      <w:r>
        <w:rPr>
          <w:i/>
          <w:color w:val="231F20"/>
          <w:sz w:val="21"/>
        </w:rPr>
        <w:t>lobatum</w:t>
      </w:r>
      <w:r>
        <w:rPr>
          <w:color w:val="231F20"/>
          <w:sz w:val="21"/>
        </w:rPr>
        <w:t>)</w:t>
      </w:r>
      <w:r>
        <w:rPr>
          <w:color w:val="231F20"/>
          <w:spacing w:val="-9"/>
          <w:sz w:val="21"/>
        </w:rPr>
        <w:t> </w:t>
      </w:r>
      <w:r>
        <w:rPr>
          <w:color w:val="231F20"/>
          <w:sz w:val="21"/>
        </w:rPr>
        <w:t>L.],</w:t>
      </w:r>
      <w:r>
        <w:rPr>
          <w:color w:val="231F20"/>
          <w:spacing w:val="-9"/>
          <w:sz w:val="21"/>
        </w:rPr>
        <w:t> </w:t>
      </w:r>
      <w:r>
        <w:rPr>
          <w:color w:val="231F20"/>
          <w:sz w:val="21"/>
        </w:rPr>
        <w:t>biznaga</w:t>
      </w:r>
      <w:r>
        <w:rPr>
          <w:color w:val="231F20"/>
          <w:spacing w:val="-9"/>
          <w:sz w:val="21"/>
        </w:rPr>
        <w:t> </w:t>
      </w:r>
      <w:r>
        <w:rPr>
          <w:color w:val="231F20"/>
          <w:sz w:val="21"/>
        </w:rPr>
        <w:t>morada</w:t>
      </w:r>
      <w:r>
        <w:rPr>
          <w:color w:val="231F20"/>
          <w:spacing w:val="-9"/>
          <w:sz w:val="21"/>
        </w:rPr>
        <w:t> </w:t>
      </w:r>
      <w:r>
        <w:rPr>
          <w:color w:val="231F20"/>
          <w:sz w:val="21"/>
        </w:rPr>
        <w:t>[</w:t>
      </w:r>
      <w:r>
        <w:rPr>
          <w:i/>
          <w:color w:val="231F20"/>
          <w:sz w:val="21"/>
        </w:rPr>
        <w:t>Echinocereus</w:t>
      </w:r>
      <w:r>
        <w:rPr>
          <w:i/>
          <w:color w:val="231F20"/>
          <w:spacing w:val="-9"/>
          <w:sz w:val="21"/>
        </w:rPr>
        <w:t> </w:t>
      </w:r>
      <w:r>
        <w:rPr>
          <w:i/>
          <w:color w:val="231F20"/>
          <w:sz w:val="21"/>
        </w:rPr>
        <w:t>pentalophus</w:t>
      </w:r>
      <w:r>
        <w:rPr>
          <w:i/>
          <w:color w:val="231F20"/>
          <w:spacing w:val="-9"/>
          <w:sz w:val="21"/>
        </w:rPr>
        <w:t> </w:t>
      </w:r>
      <w:r>
        <w:rPr>
          <w:color w:val="231F20"/>
          <w:sz w:val="21"/>
        </w:rPr>
        <w:t>(D.</w:t>
      </w:r>
      <w:r>
        <w:rPr>
          <w:color w:val="231F20"/>
          <w:spacing w:val="-9"/>
          <w:sz w:val="21"/>
        </w:rPr>
        <w:t> </w:t>
      </w:r>
      <w:r>
        <w:rPr>
          <w:color w:val="231F20"/>
          <w:sz w:val="21"/>
        </w:rPr>
        <w:t>C.)</w:t>
      </w:r>
      <w:r>
        <w:rPr>
          <w:color w:val="231F20"/>
          <w:spacing w:val="-9"/>
          <w:sz w:val="21"/>
        </w:rPr>
        <w:t> </w:t>
      </w:r>
      <w:r>
        <w:rPr>
          <w:color w:val="231F20"/>
          <w:sz w:val="21"/>
        </w:rPr>
        <w:t>Rum- pler], guapilla (</w:t>
      </w:r>
      <w:r>
        <w:rPr>
          <w:i/>
          <w:color w:val="231F20"/>
          <w:sz w:val="21"/>
        </w:rPr>
        <w:t>Hechtia glomerata </w:t>
      </w:r>
      <w:r>
        <w:rPr>
          <w:color w:val="231F20"/>
          <w:sz w:val="21"/>
        </w:rPr>
        <w:t>Zuccarini), perrillo o tunilla (</w:t>
      </w:r>
      <w:r>
        <w:rPr>
          <w:i/>
          <w:color w:val="231F20"/>
          <w:sz w:val="21"/>
        </w:rPr>
        <w:t>Opuntia leptocaulis </w:t>
      </w:r>
      <w:r>
        <w:rPr>
          <w:color w:val="231F20"/>
          <w:sz w:val="21"/>
        </w:rPr>
        <w:t>D. C.), nopal (</w:t>
      </w:r>
      <w:r>
        <w:rPr>
          <w:i/>
          <w:color w:val="231F20"/>
          <w:sz w:val="21"/>
        </w:rPr>
        <w:t>Opuntia lasiacantha </w:t>
      </w:r>
      <w:r>
        <w:rPr>
          <w:color w:val="231F20"/>
          <w:sz w:val="21"/>
        </w:rPr>
        <w:t>Pfeiff.), dragón o perrito rojo [</w:t>
      </w:r>
      <w:r>
        <w:rPr>
          <w:i/>
          <w:color w:val="231F20"/>
          <w:sz w:val="21"/>
        </w:rPr>
        <w:t>Maurandya antirrhiniflora </w:t>
      </w:r>
      <w:r>
        <w:rPr>
          <w:color w:val="231F20"/>
          <w:sz w:val="21"/>
        </w:rPr>
        <w:t>(</w:t>
      </w:r>
      <w:r>
        <w:rPr>
          <w:i/>
          <w:color w:val="231F20"/>
          <w:sz w:val="21"/>
        </w:rPr>
        <w:t>personata</w:t>
      </w:r>
      <w:r>
        <w:rPr>
          <w:color w:val="231F20"/>
          <w:sz w:val="21"/>
        </w:rPr>
        <w:t>) Humb. &amp; Bonpl. ex. Willd. Rothm], pasto barbón (</w:t>
      </w:r>
      <w:r>
        <w:rPr>
          <w:i/>
          <w:color w:val="231F20"/>
          <w:sz w:val="21"/>
        </w:rPr>
        <w:t>Aristida divaricata </w:t>
      </w:r>
      <w:r>
        <w:rPr>
          <w:color w:val="231F20"/>
          <w:sz w:val="21"/>
        </w:rPr>
        <w:t>Humb. et Bonpl.), uña de gato [</w:t>
      </w:r>
      <w:r>
        <w:rPr>
          <w:i/>
          <w:color w:val="231F20"/>
          <w:sz w:val="21"/>
        </w:rPr>
        <w:t>Mi- </w:t>
      </w:r>
      <w:r>
        <w:rPr>
          <w:i/>
          <w:color w:val="231F20"/>
          <w:sz w:val="21"/>
        </w:rPr>
        <w:t>mosa biuncifera </w:t>
      </w:r>
      <w:r>
        <w:rPr>
          <w:color w:val="231F20"/>
          <w:sz w:val="21"/>
        </w:rPr>
        <w:t>Benth. (</w:t>
      </w:r>
      <w:r>
        <w:rPr>
          <w:i/>
          <w:color w:val="231F20"/>
          <w:sz w:val="21"/>
        </w:rPr>
        <w:t>aculeaticarpa</w:t>
      </w:r>
      <w:r>
        <w:rPr>
          <w:color w:val="231F20"/>
          <w:sz w:val="21"/>
        </w:rPr>
        <w:t>) Ort.], biznaguita (</w:t>
      </w:r>
      <w:r>
        <w:rPr>
          <w:i/>
          <w:color w:val="231F20"/>
          <w:sz w:val="21"/>
        </w:rPr>
        <w:t>Mammillaria compressa </w:t>
      </w:r>
      <w:r>
        <w:rPr>
          <w:color w:val="231F20"/>
          <w:sz w:val="21"/>
        </w:rPr>
        <w:t>spp. compressa de</w:t>
      </w:r>
      <w:r>
        <w:rPr>
          <w:color w:val="231F20"/>
          <w:spacing w:val="-12"/>
          <w:sz w:val="21"/>
        </w:rPr>
        <w:t> </w:t>
      </w:r>
      <w:r>
        <w:rPr>
          <w:color w:val="231F20"/>
          <w:sz w:val="21"/>
        </w:rPr>
        <w:t>Candolle),</w:t>
      </w:r>
      <w:r>
        <w:rPr>
          <w:color w:val="231F20"/>
          <w:spacing w:val="-12"/>
          <w:sz w:val="21"/>
        </w:rPr>
        <w:t> </w:t>
      </w:r>
      <w:r>
        <w:rPr>
          <w:color w:val="231F20"/>
          <w:sz w:val="21"/>
        </w:rPr>
        <w:t>trompillo</w:t>
      </w:r>
      <w:r>
        <w:rPr>
          <w:color w:val="231F20"/>
          <w:spacing w:val="-13"/>
          <w:sz w:val="21"/>
        </w:rPr>
        <w:t> </w:t>
      </w:r>
      <w:r>
        <w:rPr>
          <w:color w:val="231F20"/>
          <w:sz w:val="21"/>
        </w:rPr>
        <w:t>[</w:t>
      </w:r>
      <w:r>
        <w:rPr>
          <w:i/>
          <w:color w:val="231F20"/>
          <w:sz w:val="21"/>
        </w:rPr>
        <w:t>Cordia</w:t>
      </w:r>
      <w:r>
        <w:rPr>
          <w:i/>
          <w:color w:val="231F20"/>
          <w:spacing w:val="-12"/>
          <w:sz w:val="21"/>
        </w:rPr>
        <w:t> </w:t>
      </w:r>
      <w:r>
        <w:rPr>
          <w:i/>
          <w:color w:val="231F20"/>
          <w:sz w:val="21"/>
        </w:rPr>
        <w:t>boissieri</w:t>
      </w:r>
      <w:r>
        <w:rPr>
          <w:i/>
          <w:color w:val="231F20"/>
          <w:spacing w:val="-12"/>
          <w:sz w:val="21"/>
        </w:rPr>
        <w:t> </w:t>
      </w:r>
      <w:r>
        <w:rPr>
          <w:color w:val="231F20"/>
          <w:sz w:val="21"/>
        </w:rPr>
        <w:t>(</w:t>
      </w:r>
      <w:r>
        <w:rPr>
          <w:i/>
          <w:color w:val="231F20"/>
          <w:sz w:val="21"/>
        </w:rPr>
        <w:t>hartwissiana</w:t>
      </w:r>
      <w:r>
        <w:rPr>
          <w:color w:val="231F20"/>
          <w:sz w:val="21"/>
        </w:rPr>
        <w:t>)</w:t>
      </w:r>
      <w:r>
        <w:rPr>
          <w:color w:val="231F20"/>
          <w:spacing w:val="-24"/>
          <w:sz w:val="21"/>
        </w:rPr>
        <w:t> </w:t>
      </w:r>
      <w:r>
        <w:rPr>
          <w:color w:val="231F20"/>
          <w:sz w:val="21"/>
        </w:rPr>
        <w:t>A.</w:t>
      </w:r>
      <w:r>
        <w:rPr>
          <w:color w:val="231F20"/>
          <w:spacing w:val="-12"/>
          <w:sz w:val="21"/>
        </w:rPr>
        <w:t> </w:t>
      </w:r>
      <w:r>
        <w:rPr>
          <w:color w:val="231F20"/>
          <w:sz w:val="21"/>
        </w:rPr>
        <w:t>D.</w:t>
      </w:r>
      <w:r>
        <w:rPr>
          <w:color w:val="231F20"/>
          <w:spacing w:val="-12"/>
          <w:sz w:val="21"/>
        </w:rPr>
        <w:t> </w:t>
      </w:r>
      <w:r>
        <w:rPr>
          <w:color w:val="231F20"/>
          <w:sz w:val="21"/>
        </w:rPr>
        <w:t>C.],</w:t>
      </w:r>
      <w:r>
        <w:rPr>
          <w:color w:val="231F20"/>
          <w:spacing w:val="-12"/>
          <w:sz w:val="21"/>
        </w:rPr>
        <w:t> </w:t>
      </w:r>
      <w:r>
        <w:rPr>
          <w:color w:val="231F20"/>
          <w:sz w:val="21"/>
        </w:rPr>
        <w:t>cardón</w:t>
      </w:r>
      <w:r>
        <w:rPr>
          <w:color w:val="231F20"/>
          <w:spacing w:val="-13"/>
          <w:sz w:val="21"/>
        </w:rPr>
        <w:t> </w:t>
      </w:r>
      <w:r>
        <w:rPr>
          <w:color w:val="231F20"/>
          <w:sz w:val="21"/>
        </w:rPr>
        <w:t>[</w:t>
      </w:r>
      <w:r>
        <w:rPr>
          <w:i/>
          <w:color w:val="231F20"/>
          <w:sz w:val="21"/>
        </w:rPr>
        <w:t>Cylindropuntia</w:t>
      </w:r>
      <w:r>
        <w:rPr>
          <w:i/>
          <w:color w:val="231F20"/>
          <w:spacing w:val="-12"/>
          <w:sz w:val="21"/>
        </w:rPr>
        <w:t> </w:t>
      </w:r>
      <w:r>
        <w:rPr>
          <w:i/>
          <w:color w:val="231F20"/>
          <w:sz w:val="21"/>
        </w:rPr>
        <w:t>imbricata </w:t>
      </w:r>
      <w:r>
        <w:rPr>
          <w:color w:val="231F20"/>
          <w:spacing w:val="-3"/>
          <w:sz w:val="21"/>
        </w:rPr>
        <w:t>(Haw.) </w:t>
      </w:r>
      <w:r>
        <w:rPr>
          <w:color w:val="231F20"/>
          <w:sz w:val="21"/>
        </w:rPr>
        <w:t>D. C.], huizache prieto (</w:t>
      </w:r>
      <w:r>
        <w:rPr>
          <w:i/>
          <w:color w:val="231F20"/>
          <w:sz w:val="21"/>
        </w:rPr>
        <w:t>Acacia constricta </w:t>
      </w:r>
      <w:r>
        <w:rPr>
          <w:color w:val="231F20"/>
          <w:sz w:val="21"/>
        </w:rPr>
        <w:t>Benth.), cuerno de vaca [</w:t>
      </w:r>
      <w:r>
        <w:rPr>
          <w:i/>
          <w:color w:val="231F20"/>
          <w:sz w:val="21"/>
        </w:rPr>
        <w:t>Proboscidea louisianica </w:t>
      </w:r>
      <w:r>
        <w:rPr>
          <w:color w:val="231F20"/>
          <w:spacing w:val="-8"/>
          <w:sz w:val="21"/>
        </w:rPr>
        <w:t>(P. </w:t>
      </w:r>
      <w:r>
        <w:rPr>
          <w:color w:val="231F20"/>
          <w:sz w:val="21"/>
        </w:rPr>
        <w:t>Mill) Thellung spp. fragrans (Lindl) Bretting], garambullo [</w:t>
      </w:r>
      <w:r>
        <w:rPr>
          <w:i/>
          <w:color w:val="231F20"/>
          <w:sz w:val="21"/>
        </w:rPr>
        <w:t>Myrtillocactus geometrizans </w:t>
      </w:r>
      <w:r>
        <w:rPr>
          <w:color w:val="231F20"/>
          <w:sz w:val="21"/>
        </w:rPr>
        <w:t>(Mart) Console], falsa tullidora [</w:t>
      </w:r>
      <w:r>
        <w:rPr>
          <w:i/>
          <w:color w:val="231F20"/>
          <w:sz w:val="21"/>
        </w:rPr>
        <w:t>Ageratina adenophora </w:t>
      </w:r>
      <w:r>
        <w:rPr>
          <w:color w:val="231F20"/>
          <w:sz w:val="21"/>
        </w:rPr>
        <w:t>(Spreng.) R. M. King &amp; H. Bob.], copalillo [</w:t>
      </w:r>
      <w:r>
        <w:rPr>
          <w:i/>
          <w:color w:val="231F20"/>
          <w:sz w:val="21"/>
        </w:rPr>
        <w:t>Bur- </w:t>
      </w:r>
      <w:r>
        <w:rPr>
          <w:i/>
          <w:color w:val="231F20"/>
          <w:sz w:val="21"/>
        </w:rPr>
        <w:t>sera fagaroides </w:t>
      </w:r>
      <w:r>
        <w:rPr>
          <w:color w:val="231F20"/>
          <w:sz w:val="21"/>
        </w:rPr>
        <w:t>(H .B. K.) Engl.], vara blanca (</w:t>
      </w:r>
      <w:r>
        <w:rPr>
          <w:i/>
          <w:color w:val="231F20"/>
          <w:sz w:val="21"/>
        </w:rPr>
        <w:t>Croton incanus </w:t>
      </w:r>
      <w:r>
        <w:rPr>
          <w:color w:val="231F20"/>
          <w:sz w:val="21"/>
        </w:rPr>
        <w:t>Kunth.), escobilla o barba de indio (</w:t>
      </w:r>
      <w:r>
        <w:rPr>
          <w:i/>
          <w:color w:val="231F20"/>
          <w:sz w:val="21"/>
        </w:rPr>
        <w:t>Chloris virgata </w:t>
      </w:r>
      <w:r>
        <w:rPr>
          <w:color w:val="231F20"/>
          <w:sz w:val="21"/>
        </w:rPr>
        <w:t>Swartz), </w:t>
      </w:r>
      <w:r>
        <w:rPr>
          <w:i/>
          <w:color w:val="231F20"/>
          <w:sz w:val="21"/>
        </w:rPr>
        <w:t>coryphanta </w:t>
      </w:r>
      <w:r>
        <w:rPr>
          <w:color w:val="231F20"/>
          <w:sz w:val="21"/>
        </w:rPr>
        <w:t>(</w:t>
      </w:r>
      <w:r>
        <w:rPr>
          <w:i/>
          <w:color w:val="231F20"/>
          <w:sz w:val="21"/>
        </w:rPr>
        <w:t>Coryphantha </w:t>
      </w:r>
      <w:r>
        <w:rPr>
          <w:color w:val="231F20"/>
          <w:sz w:val="21"/>
        </w:rPr>
        <w:t>spp.); de acuerdo al promedio de su Índice de </w:t>
      </w:r>
      <w:r>
        <w:rPr>
          <w:color w:val="231F20"/>
          <w:spacing w:val="-5"/>
          <w:sz w:val="21"/>
        </w:rPr>
        <w:t>Valor </w:t>
      </w:r>
      <w:r>
        <w:rPr>
          <w:color w:val="231F20"/>
          <w:sz w:val="21"/>
        </w:rPr>
        <w:t>de Importancia (I. </w:t>
      </w:r>
      <w:r>
        <w:rPr>
          <w:color w:val="231F20"/>
          <w:spacing w:val="-14"/>
          <w:sz w:val="21"/>
        </w:rPr>
        <w:t>V. </w:t>
      </w:r>
      <w:r>
        <w:rPr>
          <w:color w:val="231F20"/>
          <w:sz w:val="21"/>
        </w:rPr>
        <w:t>I.) las especies más sobresalientes son lippia, escoba, palo vidrioso, te- naza y malacatillo.</w:t>
      </w:r>
    </w:p>
    <w:p>
      <w:pPr>
        <w:spacing w:after="0" w:line="247" w:lineRule="auto"/>
        <w:jc w:val="both"/>
        <w:rPr>
          <w:sz w:val="21"/>
        </w:rPr>
        <w:sectPr>
          <w:pgSz w:w="10920" w:h="13080"/>
          <w:pgMar w:header="0" w:footer="965" w:top="420" w:bottom="1220" w:left="0" w:right="0"/>
        </w:sectPr>
      </w:pPr>
    </w:p>
    <w:p>
      <w:pPr>
        <w:pStyle w:val="BodyText"/>
        <w:rPr>
          <w:sz w:val="20"/>
        </w:rPr>
      </w:pPr>
    </w:p>
    <w:p>
      <w:pPr>
        <w:pStyle w:val="BodyText"/>
        <w:rPr>
          <w:sz w:val="20"/>
        </w:rPr>
      </w:pPr>
    </w:p>
    <w:p>
      <w:pPr>
        <w:pStyle w:val="BodyText"/>
        <w:rPr>
          <w:sz w:val="23"/>
        </w:rPr>
      </w:pPr>
    </w:p>
    <w:p>
      <w:pPr>
        <w:spacing w:before="77"/>
        <w:ind w:left="1302" w:right="0" w:firstLine="0"/>
        <w:jc w:val="left"/>
        <w:rPr>
          <w:b/>
          <w:sz w:val="18"/>
        </w:rPr>
      </w:pPr>
      <w:r>
        <w:rPr>
          <w:b/>
          <w:color w:val="010202"/>
          <w:sz w:val="18"/>
        </w:rPr>
        <w:t>Cuadro 3. Familia y número de especies vegetales por familia que fungen como plantas nodrizas de C. glassii</w:t>
      </w:r>
    </w:p>
    <w:p>
      <w:pPr>
        <w:pStyle w:val="BodyText"/>
        <w:spacing w:before="4"/>
        <w:rPr>
          <w:b/>
          <w:sz w:val="22"/>
        </w:rPr>
      </w:pPr>
    </w:p>
    <w:tbl>
      <w:tblPr>
        <w:tblW w:w="0" w:type="auto"/>
        <w:jc w:val="left"/>
        <w:tblInd w:w="1239"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top w:w="0" w:type="dxa"/>
          <w:left w:w="0" w:type="dxa"/>
          <w:bottom w:w="0" w:type="dxa"/>
          <w:right w:w="0" w:type="dxa"/>
        </w:tblCellMar>
        <w:tblLook w:val="01E0"/>
      </w:tblPr>
      <w:tblGrid>
        <w:gridCol w:w="1008"/>
        <w:gridCol w:w="3926"/>
        <w:gridCol w:w="2090"/>
        <w:gridCol w:w="1397"/>
      </w:tblGrid>
      <w:tr>
        <w:trPr>
          <w:trHeight w:val="291" w:hRule="exact"/>
        </w:trPr>
        <w:tc>
          <w:tcPr>
            <w:tcW w:w="1008" w:type="dxa"/>
          </w:tcPr>
          <w:p>
            <w:pPr/>
          </w:p>
        </w:tc>
        <w:tc>
          <w:tcPr>
            <w:tcW w:w="3926" w:type="dxa"/>
          </w:tcPr>
          <w:p>
            <w:pPr>
              <w:pStyle w:val="TableParagraph"/>
              <w:spacing w:before="24"/>
              <w:ind w:left="1313" w:right="1313"/>
              <w:jc w:val="center"/>
              <w:rPr>
                <w:b/>
                <w:sz w:val="18"/>
              </w:rPr>
            </w:pPr>
            <w:r>
              <w:rPr>
                <w:b/>
                <w:color w:val="231F20"/>
                <w:sz w:val="18"/>
              </w:rPr>
              <w:t>Familia</w:t>
            </w:r>
          </w:p>
        </w:tc>
        <w:tc>
          <w:tcPr>
            <w:tcW w:w="2090" w:type="dxa"/>
          </w:tcPr>
          <w:p>
            <w:pPr>
              <w:pStyle w:val="TableParagraph"/>
              <w:spacing w:before="24"/>
              <w:ind w:left="260" w:right="260"/>
              <w:jc w:val="center"/>
              <w:rPr>
                <w:b/>
                <w:sz w:val="18"/>
              </w:rPr>
            </w:pPr>
            <w:r>
              <w:rPr>
                <w:b/>
                <w:color w:val="231F20"/>
                <w:sz w:val="18"/>
              </w:rPr>
              <w:t>Número de especies</w:t>
            </w:r>
          </w:p>
        </w:tc>
        <w:tc>
          <w:tcPr>
            <w:tcW w:w="1397" w:type="dxa"/>
          </w:tcPr>
          <w:p>
            <w:pPr>
              <w:pStyle w:val="TableParagraph"/>
              <w:spacing w:before="24"/>
              <w:ind w:left="253" w:right="253"/>
              <w:jc w:val="center"/>
              <w:rPr>
                <w:b/>
                <w:sz w:val="18"/>
              </w:rPr>
            </w:pPr>
            <w:r>
              <w:rPr>
                <w:b/>
                <w:color w:val="231F20"/>
                <w:sz w:val="18"/>
              </w:rPr>
              <w:t>Porcentaje</w:t>
            </w:r>
          </w:p>
        </w:tc>
      </w:tr>
      <w:tr>
        <w:trPr>
          <w:trHeight w:val="291" w:hRule="exact"/>
        </w:trPr>
        <w:tc>
          <w:tcPr>
            <w:tcW w:w="1008" w:type="dxa"/>
          </w:tcPr>
          <w:p>
            <w:pPr>
              <w:pStyle w:val="TableParagraph"/>
              <w:spacing w:before="12"/>
              <w:ind w:left="0"/>
              <w:jc w:val="center"/>
              <w:rPr>
                <w:rFonts w:ascii="Palatino Linotype"/>
                <w:sz w:val="18"/>
              </w:rPr>
            </w:pPr>
            <w:r>
              <w:rPr>
                <w:rFonts w:ascii="Palatino Linotype"/>
                <w:color w:val="231F20"/>
                <w:w w:val="96"/>
                <w:sz w:val="18"/>
              </w:rPr>
              <w:t>1</w:t>
            </w:r>
          </w:p>
        </w:tc>
        <w:tc>
          <w:tcPr>
            <w:tcW w:w="3926" w:type="dxa"/>
          </w:tcPr>
          <w:p>
            <w:pPr>
              <w:pStyle w:val="TableParagraph"/>
              <w:ind w:left="1313" w:right="1313"/>
              <w:jc w:val="center"/>
              <w:rPr>
                <w:sz w:val="18"/>
              </w:rPr>
            </w:pPr>
            <w:r>
              <w:rPr>
                <w:color w:val="231F20"/>
                <w:sz w:val="18"/>
              </w:rPr>
              <w:t>Cactaceae</w:t>
            </w:r>
          </w:p>
        </w:tc>
        <w:tc>
          <w:tcPr>
            <w:tcW w:w="2090" w:type="dxa"/>
          </w:tcPr>
          <w:p>
            <w:pPr>
              <w:pStyle w:val="TableParagraph"/>
              <w:ind w:left="0"/>
              <w:jc w:val="center"/>
              <w:rPr>
                <w:sz w:val="18"/>
              </w:rPr>
            </w:pPr>
            <w:r>
              <w:rPr>
                <w:color w:val="231F20"/>
                <w:sz w:val="18"/>
              </w:rPr>
              <w:t>7</w:t>
            </w:r>
          </w:p>
        </w:tc>
        <w:tc>
          <w:tcPr>
            <w:tcW w:w="1397" w:type="dxa"/>
          </w:tcPr>
          <w:p>
            <w:pPr>
              <w:pStyle w:val="TableParagraph"/>
              <w:ind w:left="253" w:right="253"/>
              <w:jc w:val="center"/>
              <w:rPr>
                <w:sz w:val="18"/>
              </w:rPr>
            </w:pPr>
            <w:r>
              <w:rPr>
                <w:color w:val="231F20"/>
                <w:sz w:val="18"/>
              </w:rPr>
              <w:t>23.33</w:t>
            </w:r>
          </w:p>
        </w:tc>
      </w:tr>
      <w:tr>
        <w:trPr>
          <w:trHeight w:val="291" w:hRule="exact"/>
        </w:trPr>
        <w:tc>
          <w:tcPr>
            <w:tcW w:w="1008" w:type="dxa"/>
          </w:tcPr>
          <w:p>
            <w:pPr>
              <w:pStyle w:val="TableParagraph"/>
              <w:spacing w:before="12"/>
              <w:ind w:left="0"/>
              <w:jc w:val="center"/>
              <w:rPr>
                <w:rFonts w:ascii="Palatino Linotype"/>
                <w:sz w:val="18"/>
              </w:rPr>
            </w:pPr>
            <w:r>
              <w:rPr>
                <w:rFonts w:ascii="Palatino Linotype"/>
                <w:color w:val="231F20"/>
                <w:w w:val="96"/>
                <w:sz w:val="18"/>
              </w:rPr>
              <w:t>2</w:t>
            </w:r>
          </w:p>
        </w:tc>
        <w:tc>
          <w:tcPr>
            <w:tcW w:w="3926" w:type="dxa"/>
          </w:tcPr>
          <w:p>
            <w:pPr>
              <w:pStyle w:val="TableParagraph"/>
              <w:ind w:left="1313" w:right="1313"/>
              <w:jc w:val="center"/>
              <w:rPr>
                <w:sz w:val="18"/>
              </w:rPr>
            </w:pPr>
            <w:r>
              <w:rPr>
                <w:color w:val="231F20"/>
                <w:sz w:val="18"/>
              </w:rPr>
              <w:t>Asteraceae</w:t>
            </w:r>
          </w:p>
        </w:tc>
        <w:tc>
          <w:tcPr>
            <w:tcW w:w="2090" w:type="dxa"/>
          </w:tcPr>
          <w:p>
            <w:pPr>
              <w:pStyle w:val="TableParagraph"/>
              <w:ind w:left="0"/>
              <w:jc w:val="center"/>
              <w:rPr>
                <w:sz w:val="18"/>
              </w:rPr>
            </w:pPr>
            <w:r>
              <w:rPr>
                <w:color w:val="231F20"/>
                <w:sz w:val="18"/>
              </w:rPr>
              <w:t>5</w:t>
            </w:r>
          </w:p>
        </w:tc>
        <w:tc>
          <w:tcPr>
            <w:tcW w:w="1397" w:type="dxa"/>
          </w:tcPr>
          <w:p>
            <w:pPr>
              <w:pStyle w:val="TableParagraph"/>
              <w:ind w:left="253" w:right="253"/>
              <w:jc w:val="center"/>
              <w:rPr>
                <w:sz w:val="18"/>
              </w:rPr>
            </w:pPr>
            <w:r>
              <w:rPr>
                <w:color w:val="231F20"/>
                <w:sz w:val="18"/>
              </w:rPr>
              <w:t>16.67</w:t>
            </w:r>
          </w:p>
        </w:tc>
      </w:tr>
      <w:tr>
        <w:trPr>
          <w:trHeight w:val="291" w:hRule="exact"/>
        </w:trPr>
        <w:tc>
          <w:tcPr>
            <w:tcW w:w="1008" w:type="dxa"/>
          </w:tcPr>
          <w:p>
            <w:pPr>
              <w:pStyle w:val="TableParagraph"/>
              <w:spacing w:before="12"/>
              <w:ind w:left="0"/>
              <w:jc w:val="center"/>
              <w:rPr>
                <w:rFonts w:ascii="Palatino Linotype"/>
                <w:sz w:val="18"/>
              </w:rPr>
            </w:pPr>
            <w:r>
              <w:rPr>
                <w:rFonts w:ascii="Palatino Linotype"/>
                <w:color w:val="231F20"/>
                <w:w w:val="96"/>
                <w:sz w:val="18"/>
              </w:rPr>
              <w:t>3</w:t>
            </w:r>
          </w:p>
        </w:tc>
        <w:tc>
          <w:tcPr>
            <w:tcW w:w="3926" w:type="dxa"/>
          </w:tcPr>
          <w:p>
            <w:pPr>
              <w:pStyle w:val="TableParagraph"/>
              <w:spacing w:before="27"/>
              <w:ind w:left="1313" w:right="1313"/>
              <w:jc w:val="center"/>
              <w:rPr>
                <w:sz w:val="18"/>
              </w:rPr>
            </w:pPr>
            <w:r>
              <w:rPr>
                <w:color w:val="231F20"/>
                <w:sz w:val="18"/>
              </w:rPr>
              <w:t>Fabaceae</w:t>
            </w:r>
          </w:p>
        </w:tc>
        <w:tc>
          <w:tcPr>
            <w:tcW w:w="2090" w:type="dxa"/>
          </w:tcPr>
          <w:p>
            <w:pPr>
              <w:pStyle w:val="TableParagraph"/>
              <w:spacing w:before="27"/>
              <w:ind w:left="0"/>
              <w:jc w:val="center"/>
              <w:rPr>
                <w:sz w:val="18"/>
              </w:rPr>
            </w:pPr>
            <w:r>
              <w:rPr>
                <w:color w:val="231F20"/>
                <w:sz w:val="18"/>
              </w:rPr>
              <w:t>5</w:t>
            </w:r>
          </w:p>
        </w:tc>
        <w:tc>
          <w:tcPr>
            <w:tcW w:w="1397" w:type="dxa"/>
          </w:tcPr>
          <w:p>
            <w:pPr>
              <w:pStyle w:val="TableParagraph"/>
              <w:spacing w:before="27"/>
              <w:ind w:left="253" w:right="253"/>
              <w:jc w:val="center"/>
              <w:rPr>
                <w:sz w:val="18"/>
              </w:rPr>
            </w:pPr>
            <w:r>
              <w:rPr>
                <w:color w:val="231F20"/>
                <w:sz w:val="18"/>
              </w:rPr>
              <w:t>16.67</w:t>
            </w:r>
          </w:p>
        </w:tc>
      </w:tr>
      <w:tr>
        <w:trPr>
          <w:trHeight w:val="291" w:hRule="exact"/>
        </w:trPr>
        <w:tc>
          <w:tcPr>
            <w:tcW w:w="1008" w:type="dxa"/>
          </w:tcPr>
          <w:p>
            <w:pPr>
              <w:pStyle w:val="TableParagraph"/>
              <w:spacing w:before="12"/>
              <w:ind w:left="0"/>
              <w:jc w:val="center"/>
              <w:rPr>
                <w:rFonts w:ascii="Palatino Linotype"/>
                <w:sz w:val="18"/>
              </w:rPr>
            </w:pPr>
            <w:r>
              <w:rPr>
                <w:rFonts w:ascii="Palatino Linotype"/>
                <w:color w:val="231F20"/>
                <w:w w:val="96"/>
                <w:sz w:val="18"/>
              </w:rPr>
              <w:t>4</w:t>
            </w:r>
          </w:p>
        </w:tc>
        <w:tc>
          <w:tcPr>
            <w:tcW w:w="3926" w:type="dxa"/>
          </w:tcPr>
          <w:p>
            <w:pPr>
              <w:pStyle w:val="TableParagraph"/>
              <w:spacing w:before="27"/>
              <w:ind w:left="1313" w:right="1313"/>
              <w:jc w:val="center"/>
              <w:rPr>
                <w:sz w:val="18"/>
              </w:rPr>
            </w:pPr>
            <w:r>
              <w:rPr>
                <w:color w:val="231F20"/>
                <w:sz w:val="18"/>
              </w:rPr>
              <w:t>Euphorbiaceae</w:t>
            </w:r>
          </w:p>
        </w:tc>
        <w:tc>
          <w:tcPr>
            <w:tcW w:w="2090" w:type="dxa"/>
          </w:tcPr>
          <w:p>
            <w:pPr>
              <w:pStyle w:val="TableParagraph"/>
              <w:spacing w:before="27"/>
              <w:ind w:left="0"/>
              <w:jc w:val="center"/>
              <w:rPr>
                <w:sz w:val="18"/>
              </w:rPr>
            </w:pPr>
            <w:r>
              <w:rPr>
                <w:color w:val="231F20"/>
                <w:sz w:val="18"/>
              </w:rPr>
              <w:t>3</w:t>
            </w:r>
          </w:p>
        </w:tc>
        <w:tc>
          <w:tcPr>
            <w:tcW w:w="1397" w:type="dxa"/>
          </w:tcPr>
          <w:p>
            <w:pPr>
              <w:pStyle w:val="TableParagraph"/>
              <w:spacing w:before="27"/>
              <w:ind w:left="253" w:right="253"/>
              <w:jc w:val="center"/>
              <w:rPr>
                <w:sz w:val="18"/>
              </w:rPr>
            </w:pPr>
            <w:r>
              <w:rPr>
                <w:color w:val="231F20"/>
                <w:sz w:val="18"/>
              </w:rPr>
              <w:t>10.00</w:t>
            </w:r>
          </w:p>
        </w:tc>
      </w:tr>
      <w:tr>
        <w:trPr>
          <w:trHeight w:val="291" w:hRule="exact"/>
        </w:trPr>
        <w:tc>
          <w:tcPr>
            <w:tcW w:w="1008" w:type="dxa"/>
          </w:tcPr>
          <w:p>
            <w:pPr>
              <w:pStyle w:val="TableParagraph"/>
              <w:spacing w:before="12"/>
              <w:ind w:left="0"/>
              <w:jc w:val="center"/>
              <w:rPr>
                <w:rFonts w:ascii="Palatino Linotype"/>
                <w:sz w:val="18"/>
              </w:rPr>
            </w:pPr>
            <w:r>
              <w:rPr>
                <w:rFonts w:ascii="Palatino Linotype"/>
                <w:color w:val="231F20"/>
                <w:w w:val="96"/>
                <w:sz w:val="18"/>
              </w:rPr>
              <w:t>5</w:t>
            </w:r>
          </w:p>
        </w:tc>
        <w:tc>
          <w:tcPr>
            <w:tcW w:w="3926" w:type="dxa"/>
          </w:tcPr>
          <w:p>
            <w:pPr>
              <w:pStyle w:val="TableParagraph"/>
              <w:spacing w:before="27"/>
              <w:ind w:left="1313" w:right="1313"/>
              <w:jc w:val="center"/>
              <w:rPr>
                <w:sz w:val="18"/>
              </w:rPr>
            </w:pPr>
            <w:r>
              <w:rPr>
                <w:color w:val="231F20"/>
                <w:sz w:val="18"/>
              </w:rPr>
              <w:t>Malvaceae</w:t>
            </w:r>
          </w:p>
        </w:tc>
        <w:tc>
          <w:tcPr>
            <w:tcW w:w="2090" w:type="dxa"/>
          </w:tcPr>
          <w:p>
            <w:pPr>
              <w:pStyle w:val="TableParagraph"/>
              <w:spacing w:before="27"/>
              <w:ind w:left="0"/>
              <w:jc w:val="center"/>
              <w:rPr>
                <w:sz w:val="18"/>
              </w:rPr>
            </w:pPr>
            <w:r>
              <w:rPr>
                <w:color w:val="231F20"/>
                <w:sz w:val="18"/>
              </w:rPr>
              <w:t>2</w:t>
            </w:r>
          </w:p>
        </w:tc>
        <w:tc>
          <w:tcPr>
            <w:tcW w:w="1397" w:type="dxa"/>
          </w:tcPr>
          <w:p>
            <w:pPr>
              <w:pStyle w:val="TableParagraph"/>
              <w:spacing w:before="27"/>
              <w:ind w:left="253" w:right="253"/>
              <w:jc w:val="center"/>
              <w:rPr>
                <w:sz w:val="18"/>
              </w:rPr>
            </w:pPr>
            <w:r>
              <w:rPr>
                <w:color w:val="231F20"/>
                <w:sz w:val="18"/>
              </w:rPr>
              <w:t>6.67</w:t>
            </w:r>
          </w:p>
        </w:tc>
      </w:tr>
      <w:tr>
        <w:trPr>
          <w:trHeight w:val="291" w:hRule="exact"/>
        </w:trPr>
        <w:tc>
          <w:tcPr>
            <w:tcW w:w="1008" w:type="dxa"/>
          </w:tcPr>
          <w:p>
            <w:pPr>
              <w:pStyle w:val="TableParagraph"/>
              <w:spacing w:before="12"/>
              <w:ind w:left="0"/>
              <w:jc w:val="center"/>
              <w:rPr>
                <w:rFonts w:ascii="Palatino Linotype"/>
                <w:sz w:val="18"/>
              </w:rPr>
            </w:pPr>
            <w:r>
              <w:rPr>
                <w:rFonts w:ascii="Palatino Linotype"/>
                <w:color w:val="231F20"/>
                <w:w w:val="96"/>
                <w:sz w:val="18"/>
              </w:rPr>
              <w:t>6</w:t>
            </w:r>
          </w:p>
        </w:tc>
        <w:tc>
          <w:tcPr>
            <w:tcW w:w="3926" w:type="dxa"/>
          </w:tcPr>
          <w:p>
            <w:pPr>
              <w:pStyle w:val="TableParagraph"/>
              <w:spacing w:before="27"/>
              <w:ind w:left="1313" w:right="1313"/>
              <w:jc w:val="center"/>
              <w:rPr>
                <w:sz w:val="18"/>
              </w:rPr>
            </w:pPr>
            <w:r>
              <w:rPr>
                <w:color w:val="231F20"/>
                <w:sz w:val="18"/>
              </w:rPr>
              <w:t>Boraginaceae</w:t>
            </w:r>
          </w:p>
        </w:tc>
        <w:tc>
          <w:tcPr>
            <w:tcW w:w="2090" w:type="dxa"/>
          </w:tcPr>
          <w:p>
            <w:pPr>
              <w:pStyle w:val="TableParagraph"/>
              <w:spacing w:before="27"/>
              <w:ind w:left="0"/>
              <w:jc w:val="center"/>
              <w:rPr>
                <w:sz w:val="18"/>
              </w:rPr>
            </w:pPr>
            <w:r>
              <w:rPr>
                <w:color w:val="231F20"/>
                <w:sz w:val="18"/>
              </w:rPr>
              <w:t>1</w:t>
            </w:r>
          </w:p>
        </w:tc>
        <w:tc>
          <w:tcPr>
            <w:tcW w:w="1397" w:type="dxa"/>
          </w:tcPr>
          <w:p>
            <w:pPr>
              <w:pStyle w:val="TableParagraph"/>
              <w:spacing w:before="27"/>
              <w:ind w:left="253" w:right="253"/>
              <w:jc w:val="center"/>
              <w:rPr>
                <w:sz w:val="18"/>
              </w:rPr>
            </w:pPr>
            <w:r>
              <w:rPr>
                <w:color w:val="231F20"/>
                <w:sz w:val="18"/>
              </w:rPr>
              <w:t>3.33</w:t>
            </w:r>
          </w:p>
        </w:tc>
      </w:tr>
      <w:tr>
        <w:trPr>
          <w:trHeight w:val="291" w:hRule="exact"/>
        </w:trPr>
        <w:tc>
          <w:tcPr>
            <w:tcW w:w="1008" w:type="dxa"/>
          </w:tcPr>
          <w:p>
            <w:pPr>
              <w:pStyle w:val="TableParagraph"/>
              <w:spacing w:before="12"/>
              <w:ind w:left="0"/>
              <w:jc w:val="center"/>
              <w:rPr>
                <w:rFonts w:ascii="Palatino Linotype"/>
                <w:sz w:val="18"/>
              </w:rPr>
            </w:pPr>
            <w:r>
              <w:rPr>
                <w:rFonts w:ascii="Palatino Linotype"/>
                <w:color w:val="231F20"/>
                <w:w w:val="96"/>
                <w:sz w:val="18"/>
              </w:rPr>
              <w:t>7</w:t>
            </w:r>
          </w:p>
        </w:tc>
        <w:tc>
          <w:tcPr>
            <w:tcW w:w="3926" w:type="dxa"/>
          </w:tcPr>
          <w:p>
            <w:pPr>
              <w:pStyle w:val="TableParagraph"/>
              <w:ind w:left="1313" w:right="1313"/>
              <w:jc w:val="center"/>
              <w:rPr>
                <w:sz w:val="18"/>
              </w:rPr>
            </w:pPr>
            <w:r>
              <w:rPr>
                <w:color w:val="231F20"/>
                <w:sz w:val="18"/>
              </w:rPr>
              <w:t>Bromeliaceae</w:t>
            </w:r>
          </w:p>
        </w:tc>
        <w:tc>
          <w:tcPr>
            <w:tcW w:w="2090" w:type="dxa"/>
          </w:tcPr>
          <w:p>
            <w:pPr>
              <w:pStyle w:val="TableParagraph"/>
              <w:ind w:left="0"/>
              <w:jc w:val="center"/>
              <w:rPr>
                <w:sz w:val="18"/>
              </w:rPr>
            </w:pPr>
            <w:r>
              <w:rPr>
                <w:color w:val="231F20"/>
                <w:sz w:val="18"/>
              </w:rPr>
              <w:t>1</w:t>
            </w:r>
          </w:p>
        </w:tc>
        <w:tc>
          <w:tcPr>
            <w:tcW w:w="1397" w:type="dxa"/>
          </w:tcPr>
          <w:p>
            <w:pPr>
              <w:pStyle w:val="TableParagraph"/>
              <w:ind w:left="253" w:right="253"/>
              <w:jc w:val="center"/>
              <w:rPr>
                <w:sz w:val="18"/>
              </w:rPr>
            </w:pPr>
            <w:r>
              <w:rPr>
                <w:color w:val="231F20"/>
                <w:sz w:val="18"/>
              </w:rPr>
              <w:t>3.33</w:t>
            </w:r>
          </w:p>
        </w:tc>
      </w:tr>
      <w:tr>
        <w:trPr>
          <w:trHeight w:val="291" w:hRule="exact"/>
        </w:trPr>
        <w:tc>
          <w:tcPr>
            <w:tcW w:w="1008" w:type="dxa"/>
          </w:tcPr>
          <w:p>
            <w:pPr>
              <w:pStyle w:val="TableParagraph"/>
              <w:spacing w:before="12"/>
              <w:ind w:left="0"/>
              <w:jc w:val="center"/>
              <w:rPr>
                <w:rFonts w:ascii="Palatino Linotype"/>
                <w:sz w:val="18"/>
              </w:rPr>
            </w:pPr>
            <w:r>
              <w:rPr>
                <w:rFonts w:ascii="Palatino Linotype"/>
                <w:color w:val="231F20"/>
                <w:w w:val="96"/>
                <w:sz w:val="18"/>
              </w:rPr>
              <w:t>8</w:t>
            </w:r>
          </w:p>
        </w:tc>
        <w:tc>
          <w:tcPr>
            <w:tcW w:w="3926" w:type="dxa"/>
          </w:tcPr>
          <w:p>
            <w:pPr>
              <w:pStyle w:val="TableParagraph"/>
              <w:ind w:left="1313" w:right="1313"/>
              <w:jc w:val="center"/>
              <w:rPr>
                <w:sz w:val="18"/>
              </w:rPr>
            </w:pPr>
            <w:r>
              <w:rPr>
                <w:color w:val="231F20"/>
                <w:sz w:val="18"/>
              </w:rPr>
              <w:t>Burseraceae</w:t>
            </w:r>
          </w:p>
        </w:tc>
        <w:tc>
          <w:tcPr>
            <w:tcW w:w="2090" w:type="dxa"/>
          </w:tcPr>
          <w:p>
            <w:pPr>
              <w:pStyle w:val="TableParagraph"/>
              <w:ind w:left="0"/>
              <w:jc w:val="center"/>
              <w:rPr>
                <w:sz w:val="18"/>
              </w:rPr>
            </w:pPr>
            <w:r>
              <w:rPr>
                <w:color w:val="231F20"/>
                <w:sz w:val="18"/>
              </w:rPr>
              <w:t>1</w:t>
            </w:r>
          </w:p>
        </w:tc>
        <w:tc>
          <w:tcPr>
            <w:tcW w:w="1397" w:type="dxa"/>
          </w:tcPr>
          <w:p>
            <w:pPr>
              <w:pStyle w:val="TableParagraph"/>
              <w:ind w:left="253" w:right="253"/>
              <w:jc w:val="center"/>
              <w:rPr>
                <w:sz w:val="18"/>
              </w:rPr>
            </w:pPr>
            <w:r>
              <w:rPr>
                <w:color w:val="231F20"/>
                <w:sz w:val="18"/>
              </w:rPr>
              <w:t>3.33</w:t>
            </w:r>
          </w:p>
        </w:tc>
      </w:tr>
      <w:tr>
        <w:trPr>
          <w:trHeight w:val="291" w:hRule="exact"/>
        </w:trPr>
        <w:tc>
          <w:tcPr>
            <w:tcW w:w="1008" w:type="dxa"/>
          </w:tcPr>
          <w:p>
            <w:pPr>
              <w:pStyle w:val="TableParagraph"/>
              <w:spacing w:before="12"/>
              <w:ind w:left="0"/>
              <w:jc w:val="center"/>
              <w:rPr>
                <w:rFonts w:ascii="Palatino Linotype"/>
                <w:sz w:val="18"/>
              </w:rPr>
            </w:pPr>
            <w:r>
              <w:rPr>
                <w:rFonts w:ascii="Palatino Linotype"/>
                <w:color w:val="231F20"/>
                <w:w w:val="96"/>
                <w:sz w:val="18"/>
              </w:rPr>
              <w:t>9</w:t>
            </w:r>
          </w:p>
        </w:tc>
        <w:tc>
          <w:tcPr>
            <w:tcW w:w="3926" w:type="dxa"/>
          </w:tcPr>
          <w:p>
            <w:pPr>
              <w:pStyle w:val="TableParagraph"/>
              <w:ind w:left="1313" w:right="1312"/>
              <w:jc w:val="center"/>
              <w:rPr>
                <w:sz w:val="18"/>
              </w:rPr>
            </w:pPr>
            <w:r>
              <w:rPr>
                <w:color w:val="231F20"/>
                <w:sz w:val="18"/>
              </w:rPr>
              <w:t>Flacourtiaceae</w:t>
            </w:r>
          </w:p>
        </w:tc>
        <w:tc>
          <w:tcPr>
            <w:tcW w:w="2090" w:type="dxa"/>
          </w:tcPr>
          <w:p>
            <w:pPr>
              <w:pStyle w:val="TableParagraph"/>
              <w:ind w:left="0"/>
              <w:jc w:val="center"/>
              <w:rPr>
                <w:sz w:val="18"/>
              </w:rPr>
            </w:pPr>
            <w:r>
              <w:rPr>
                <w:color w:val="231F20"/>
                <w:sz w:val="18"/>
              </w:rPr>
              <w:t>1</w:t>
            </w:r>
          </w:p>
        </w:tc>
        <w:tc>
          <w:tcPr>
            <w:tcW w:w="1397" w:type="dxa"/>
          </w:tcPr>
          <w:p>
            <w:pPr>
              <w:pStyle w:val="TableParagraph"/>
              <w:ind w:left="253" w:right="252"/>
              <w:jc w:val="center"/>
              <w:rPr>
                <w:sz w:val="18"/>
              </w:rPr>
            </w:pPr>
            <w:r>
              <w:rPr>
                <w:color w:val="231F20"/>
                <w:sz w:val="18"/>
              </w:rPr>
              <w:t>3.33</w:t>
            </w:r>
          </w:p>
        </w:tc>
      </w:tr>
      <w:tr>
        <w:trPr>
          <w:trHeight w:val="291" w:hRule="exact"/>
        </w:trPr>
        <w:tc>
          <w:tcPr>
            <w:tcW w:w="1008" w:type="dxa"/>
          </w:tcPr>
          <w:p>
            <w:pPr>
              <w:pStyle w:val="TableParagraph"/>
              <w:spacing w:before="12"/>
              <w:ind w:left="384" w:right="383"/>
              <w:jc w:val="center"/>
              <w:rPr>
                <w:rFonts w:ascii="Palatino Linotype"/>
                <w:sz w:val="18"/>
              </w:rPr>
            </w:pPr>
            <w:r>
              <w:rPr>
                <w:rFonts w:ascii="Palatino Linotype"/>
                <w:color w:val="231F20"/>
                <w:sz w:val="18"/>
              </w:rPr>
              <w:t>10</w:t>
            </w:r>
          </w:p>
        </w:tc>
        <w:tc>
          <w:tcPr>
            <w:tcW w:w="3926" w:type="dxa"/>
          </w:tcPr>
          <w:p>
            <w:pPr>
              <w:pStyle w:val="TableParagraph"/>
              <w:ind w:left="1313" w:right="1313"/>
              <w:jc w:val="center"/>
              <w:rPr>
                <w:sz w:val="18"/>
              </w:rPr>
            </w:pPr>
            <w:r>
              <w:rPr>
                <w:color w:val="231F20"/>
                <w:sz w:val="18"/>
              </w:rPr>
              <w:t>Martinaceae</w:t>
            </w:r>
          </w:p>
        </w:tc>
        <w:tc>
          <w:tcPr>
            <w:tcW w:w="2090" w:type="dxa"/>
          </w:tcPr>
          <w:p>
            <w:pPr>
              <w:pStyle w:val="TableParagraph"/>
              <w:ind w:left="0"/>
              <w:jc w:val="center"/>
              <w:rPr>
                <w:sz w:val="18"/>
              </w:rPr>
            </w:pPr>
            <w:r>
              <w:rPr>
                <w:color w:val="231F20"/>
                <w:sz w:val="18"/>
              </w:rPr>
              <w:t>1</w:t>
            </w:r>
          </w:p>
        </w:tc>
        <w:tc>
          <w:tcPr>
            <w:tcW w:w="1397" w:type="dxa"/>
          </w:tcPr>
          <w:p>
            <w:pPr>
              <w:pStyle w:val="TableParagraph"/>
              <w:ind w:left="253" w:right="252"/>
              <w:jc w:val="center"/>
              <w:rPr>
                <w:sz w:val="18"/>
              </w:rPr>
            </w:pPr>
            <w:r>
              <w:rPr>
                <w:color w:val="231F20"/>
                <w:sz w:val="18"/>
              </w:rPr>
              <w:t>3.33</w:t>
            </w:r>
          </w:p>
        </w:tc>
      </w:tr>
      <w:tr>
        <w:trPr>
          <w:trHeight w:val="291" w:hRule="exact"/>
        </w:trPr>
        <w:tc>
          <w:tcPr>
            <w:tcW w:w="1008" w:type="dxa"/>
          </w:tcPr>
          <w:p>
            <w:pPr>
              <w:pStyle w:val="TableParagraph"/>
              <w:spacing w:before="12"/>
              <w:ind w:left="384" w:right="383"/>
              <w:jc w:val="center"/>
              <w:rPr>
                <w:rFonts w:ascii="Palatino Linotype"/>
                <w:sz w:val="18"/>
              </w:rPr>
            </w:pPr>
            <w:r>
              <w:rPr>
                <w:rFonts w:ascii="Palatino Linotype"/>
                <w:color w:val="231F20"/>
                <w:sz w:val="18"/>
              </w:rPr>
              <w:t>11</w:t>
            </w:r>
          </w:p>
        </w:tc>
        <w:tc>
          <w:tcPr>
            <w:tcW w:w="3926" w:type="dxa"/>
          </w:tcPr>
          <w:p>
            <w:pPr>
              <w:pStyle w:val="TableParagraph"/>
              <w:ind w:left="1313" w:right="1312"/>
              <w:jc w:val="center"/>
              <w:rPr>
                <w:sz w:val="18"/>
              </w:rPr>
            </w:pPr>
            <w:r>
              <w:rPr>
                <w:color w:val="231F20"/>
                <w:sz w:val="18"/>
              </w:rPr>
              <w:t>Rhamnaceae</w:t>
            </w:r>
          </w:p>
        </w:tc>
        <w:tc>
          <w:tcPr>
            <w:tcW w:w="2090" w:type="dxa"/>
          </w:tcPr>
          <w:p>
            <w:pPr>
              <w:pStyle w:val="TableParagraph"/>
              <w:ind w:left="1"/>
              <w:jc w:val="center"/>
              <w:rPr>
                <w:sz w:val="18"/>
              </w:rPr>
            </w:pPr>
            <w:r>
              <w:rPr>
                <w:color w:val="231F20"/>
                <w:sz w:val="18"/>
              </w:rPr>
              <w:t>1</w:t>
            </w:r>
          </w:p>
        </w:tc>
        <w:tc>
          <w:tcPr>
            <w:tcW w:w="1397" w:type="dxa"/>
          </w:tcPr>
          <w:p>
            <w:pPr>
              <w:pStyle w:val="TableParagraph"/>
              <w:ind w:left="253" w:right="252"/>
              <w:jc w:val="center"/>
              <w:rPr>
                <w:sz w:val="18"/>
              </w:rPr>
            </w:pPr>
            <w:r>
              <w:rPr>
                <w:color w:val="231F20"/>
                <w:sz w:val="18"/>
              </w:rPr>
              <w:t>3.33</w:t>
            </w:r>
          </w:p>
        </w:tc>
      </w:tr>
      <w:tr>
        <w:trPr>
          <w:trHeight w:val="291" w:hRule="exact"/>
        </w:trPr>
        <w:tc>
          <w:tcPr>
            <w:tcW w:w="1008" w:type="dxa"/>
          </w:tcPr>
          <w:p>
            <w:pPr>
              <w:pStyle w:val="TableParagraph"/>
              <w:spacing w:before="12"/>
              <w:ind w:left="384" w:right="383"/>
              <w:jc w:val="center"/>
              <w:rPr>
                <w:rFonts w:ascii="Palatino Linotype"/>
                <w:sz w:val="18"/>
              </w:rPr>
            </w:pPr>
            <w:r>
              <w:rPr>
                <w:rFonts w:ascii="Palatino Linotype"/>
                <w:color w:val="231F20"/>
                <w:sz w:val="18"/>
              </w:rPr>
              <w:t>12</w:t>
            </w:r>
          </w:p>
        </w:tc>
        <w:tc>
          <w:tcPr>
            <w:tcW w:w="3926" w:type="dxa"/>
          </w:tcPr>
          <w:p>
            <w:pPr>
              <w:pStyle w:val="TableParagraph"/>
              <w:spacing w:before="27"/>
              <w:ind w:left="1313" w:right="1313"/>
              <w:jc w:val="center"/>
              <w:rPr>
                <w:sz w:val="18"/>
              </w:rPr>
            </w:pPr>
            <w:r>
              <w:rPr>
                <w:color w:val="231F20"/>
                <w:sz w:val="18"/>
              </w:rPr>
              <w:t>Scrophulariaceae</w:t>
            </w:r>
          </w:p>
        </w:tc>
        <w:tc>
          <w:tcPr>
            <w:tcW w:w="2090" w:type="dxa"/>
          </w:tcPr>
          <w:p>
            <w:pPr>
              <w:pStyle w:val="TableParagraph"/>
              <w:spacing w:before="27"/>
              <w:ind w:left="1"/>
              <w:jc w:val="center"/>
              <w:rPr>
                <w:sz w:val="18"/>
              </w:rPr>
            </w:pPr>
            <w:r>
              <w:rPr>
                <w:color w:val="231F20"/>
                <w:sz w:val="18"/>
              </w:rPr>
              <w:t>1</w:t>
            </w:r>
          </w:p>
        </w:tc>
        <w:tc>
          <w:tcPr>
            <w:tcW w:w="1397" w:type="dxa"/>
          </w:tcPr>
          <w:p>
            <w:pPr>
              <w:pStyle w:val="TableParagraph"/>
              <w:spacing w:before="27"/>
              <w:ind w:left="253" w:right="252"/>
              <w:jc w:val="center"/>
              <w:rPr>
                <w:sz w:val="18"/>
              </w:rPr>
            </w:pPr>
            <w:r>
              <w:rPr>
                <w:color w:val="231F20"/>
                <w:sz w:val="18"/>
              </w:rPr>
              <w:t>3.33</w:t>
            </w:r>
          </w:p>
        </w:tc>
      </w:tr>
      <w:tr>
        <w:trPr>
          <w:trHeight w:val="291" w:hRule="exact"/>
        </w:trPr>
        <w:tc>
          <w:tcPr>
            <w:tcW w:w="1008" w:type="dxa"/>
          </w:tcPr>
          <w:p>
            <w:pPr>
              <w:pStyle w:val="TableParagraph"/>
              <w:spacing w:before="12"/>
              <w:ind w:left="384" w:right="383"/>
              <w:jc w:val="center"/>
              <w:rPr>
                <w:rFonts w:ascii="Palatino Linotype"/>
                <w:sz w:val="18"/>
              </w:rPr>
            </w:pPr>
            <w:r>
              <w:rPr>
                <w:rFonts w:ascii="Palatino Linotype"/>
                <w:color w:val="231F20"/>
                <w:sz w:val="18"/>
              </w:rPr>
              <w:t>13</w:t>
            </w:r>
          </w:p>
        </w:tc>
        <w:tc>
          <w:tcPr>
            <w:tcW w:w="3926" w:type="dxa"/>
          </w:tcPr>
          <w:p>
            <w:pPr>
              <w:pStyle w:val="TableParagraph"/>
              <w:spacing w:before="27"/>
              <w:ind w:left="1313" w:right="1312"/>
              <w:jc w:val="center"/>
              <w:rPr>
                <w:sz w:val="18"/>
              </w:rPr>
            </w:pPr>
            <w:r>
              <w:rPr>
                <w:color w:val="231F20"/>
                <w:sz w:val="18"/>
              </w:rPr>
              <w:t>Verbenaceae</w:t>
            </w:r>
          </w:p>
        </w:tc>
        <w:tc>
          <w:tcPr>
            <w:tcW w:w="2090" w:type="dxa"/>
          </w:tcPr>
          <w:p>
            <w:pPr>
              <w:pStyle w:val="TableParagraph"/>
              <w:spacing w:before="27"/>
              <w:ind w:left="1"/>
              <w:jc w:val="center"/>
              <w:rPr>
                <w:sz w:val="18"/>
              </w:rPr>
            </w:pPr>
            <w:r>
              <w:rPr>
                <w:color w:val="231F20"/>
                <w:sz w:val="18"/>
              </w:rPr>
              <w:t>1</w:t>
            </w:r>
          </w:p>
        </w:tc>
        <w:tc>
          <w:tcPr>
            <w:tcW w:w="1397" w:type="dxa"/>
          </w:tcPr>
          <w:p>
            <w:pPr>
              <w:pStyle w:val="TableParagraph"/>
              <w:spacing w:before="27"/>
              <w:ind w:left="253" w:right="252"/>
              <w:jc w:val="center"/>
              <w:rPr>
                <w:sz w:val="18"/>
              </w:rPr>
            </w:pPr>
            <w:r>
              <w:rPr>
                <w:color w:val="231F20"/>
                <w:sz w:val="18"/>
              </w:rPr>
              <w:t>3.33</w:t>
            </w:r>
          </w:p>
        </w:tc>
      </w:tr>
      <w:tr>
        <w:trPr>
          <w:trHeight w:val="381" w:hRule="exact"/>
        </w:trPr>
        <w:tc>
          <w:tcPr>
            <w:tcW w:w="1008" w:type="dxa"/>
          </w:tcPr>
          <w:p>
            <w:pPr/>
          </w:p>
        </w:tc>
        <w:tc>
          <w:tcPr>
            <w:tcW w:w="3926" w:type="dxa"/>
          </w:tcPr>
          <w:p>
            <w:pPr>
              <w:pStyle w:val="TableParagraph"/>
              <w:spacing w:before="27"/>
              <w:ind w:left="1313" w:right="1312"/>
              <w:jc w:val="center"/>
              <w:rPr>
                <w:sz w:val="18"/>
              </w:rPr>
            </w:pPr>
            <w:r>
              <w:rPr>
                <w:color w:val="231F20"/>
                <w:sz w:val="18"/>
              </w:rPr>
              <w:t>Total</w:t>
            </w:r>
          </w:p>
        </w:tc>
        <w:tc>
          <w:tcPr>
            <w:tcW w:w="2090" w:type="dxa"/>
          </w:tcPr>
          <w:p>
            <w:pPr>
              <w:pStyle w:val="TableParagraph"/>
              <w:spacing w:before="27"/>
              <w:ind w:left="260" w:right="259"/>
              <w:jc w:val="center"/>
              <w:rPr>
                <w:sz w:val="18"/>
              </w:rPr>
            </w:pPr>
            <w:r>
              <w:rPr>
                <w:color w:val="231F20"/>
                <w:sz w:val="18"/>
              </w:rPr>
              <w:t>30</w:t>
            </w:r>
          </w:p>
        </w:tc>
        <w:tc>
          <w:tcPr>
            <w:tcW w:w="1397" w:type="dxa"/>
          </w:tcPr>
          <w:p>
            <w:pPr>
              <w:pStyle w:val="TableParagraph"/>
              <w:spacing w:before="27"/>
              <w:ind w:left="253" w:right="252"/>
              <w:jc w:val="center"/>
              <w:rPr>
                <w:sz w:val="18"/>
              </w:rPr>
            </w:pPr>
            <w:r>
              <w:rPr>
                <w:color w:val="231F20"/>
                <w:sz w:val="18"/>
              </w:rPr>
              <w:t>100.00</w:t>
            </w:r>
          </w:p>
        </w:tc>
      </w:tr>
    </w:tbl>
    <w:p>
      <w:pPr>
        <w:pStyle w:val="BodyText"/>
        <w:spacing w:before="4"/>
        <w:rPr>
          <w:b/>
          <w:sz w:val="11"/>
        </w:rPr>
      </w:pPr>
    </w:p>
    <w:p>
      <w:pPr>
        <w:pStyle w:val="Heading3"/>
        <w:spacing w:before="69"/>
      </w:pPr>
      <w:r>
        <w:rPr>
          <w:color w:val="010202"/>
        </w:rPr>
        <w:t>Conclusiones</w:t>
      </w:r>
    </w:p>
    <w:p>
      <w:pPr>
        <w:pStyle w:val="BodyText"/>
        <w:spacing w:before="10"/>
        <w:rPr>
          <w:b/>
        </w:rPr>
      </w:pPr>
    </w:p>
    <w:p>
      <w:pPr>
        <w:pStyle w:val="BodyText"/>
        <w:spacing w:line="247" w:lineRule="auto"/>
        <w:ind w:left="1270" w:right="1266"/>
        <w:jc w:val="both"/>
      </w:pPr>
      <w:r>
        <w:rPr>
          <w:color w:val="231F20"/>
          <w:spacing w:val="-3"/>
        </w:rPr>
        <w:t>La</w:t>
      </w:r>
      <w:r>
        <w:rPr>
          <w:color w:val="231F20"/>
          <w:spacing w:val="-12"/>
        </w:rPr>
        <w:t> </w:t>
      </w:r>
      <w:r>
        <w:rPr>
          <w:color w:val="231F20"/>
          <w:spacing w:val="-5"/>
        </w:rPr>
        <w:t>mayor</w:t>
      </w:r>
      <w:r>
        <w:rPr>
          <w:color w:val="231F20"/>
          <w:spacing w:val="-13"/>
        </w:rPr>
        <w:t> </w:t>
      </w:r>
      <w:r>
        <w:rPr>
          <w:color w:val="231F20"/>
          <w:spacing w:val="-6"/>
        </w:rPr>
        <w:t>concentración</w:t>
      </w:r>
      <w:r>
        <w:rPr>
          <w:color w:val="231F20"/>
          <w:spacing w:val="-13"/>
        </w:rPr>
        <w:t> </w:t>
      </w:r>
      <w:r>
        <w:rPr>
          <w:color w:val="231F20"/>
          <w:spacing w:val="-3"/>
        </w:rPr>
        <w:t>de</w:t>
      </w:r>
      <w:r>
        <w:rPr>
          <w:color w:val="231F20"/>
          <w:spacing w:val="-12"/>
        </w:rPr>
        <w:t> </w:t>
      </w:r>
      <w:r>
        <w:rPr>
          <w:color w:val="231F20"/>
          <w:spacing w:val="-6"/>
        </w:rPr>
        <w:t>colonias</w:t>
      </w:r>
      <w:r>
        <w:rPr>
          <w:color w:val="231F20"/>
          <w:spacing w:val="-13"/>
        </w:rPr>
        <w:t> </w:t>
      </w:r>
      <w:r>
        <w:rPr>
          <w:color w:val="231F20"/>
          <w:spacing w:val="-3"/>
        </w:rPr>
        <w:t>de</w:t>
      </w:r>
      <w:r>
        <w:rPr>
          <w:color w:val="231F20"/>
          <w:spacing w:val="-12"/>
        </w:rPr>
        <w:t> </w:t>
      </w:r>
      <w:r>
        <w:rPr>
          <w:i/>
          <w:color w:val="231F20"/>
          <w:spacing w:val="-3"/>
        </w:rPr>
        <w:t>C.</w:t>
      </w:r>
      <w:r>
        <w:rPr>
          <w:i/>
          <w:color w:val="231F20"/>
          <w:spacing w:val="-12"/>
        </w:rPr>
        <w:t> </w:t>
      </w:r>
      <w:r>
        <w:rPr>
          <w:i/>
          <w:color w:val="231F20"/>
          <w:spacing w:val="-6"/>
        </w:rPr>
        <w:t>glassii</w:t>
      </w:r>
      <w:r>
        <w:rPr>
          <w:i/>
          <w:color w:val="231F20"/>
          <w:spacing w:val="-12"/>
        </w:rPr>
        <w:t> </w:t>
      </w:r>
      <w:r>
        <w:rPr>
          <w:color w:val="231F20"/>
          <w:spacing w:val="-3"/>
        </w:rPr>
        <w:t>se</w:t>
      </w:r>
      <w:r>
        <w:rPr>
          <w:color w:val="231F20"/>
          <w:spacing w:val="-12"/>
        </w:rPr>
        <w:t> </w:t>
      </w:r>
      <w:r>
        <w:rPr>
          <w:color w:val="231F20"/>
          <w:spacing w:val="-6"/>
        </w:rPr>
        <w:t>encontró</w:t>
      </w:r>
      <w:r>
        <w:rPr>
          <w:color w:val="231F20"/>
          <w:spacing w:val="-12"/>
        </w:rPr>
        <w:t> </w:t>
      </w:r>
      <w:r>
        <w:rPr>
          <w:color w:val="231F20"/>
          <w:spacing w:val="-6"/>
        </w:rPr>
        <w:t>distribuida</w:t>
      </w:r>
      <w:r>
        <w:rPr>
          <w:color w:val="231F20"/>
          <w:spacing w:val="-12"/>
        </w:rPr>
        <w:t> </w:t>
      </w:r>
      <w:r>
        <w:rPr>
          <w:color w:val="231F20"/>
          <w:spacing w:val="-3"/>
        </w:rPr>
        <w:t>en</w:t>
      </w:r>
      <w:r>
        <w:rPr>
          <w:color w:val="231F20"/>
          <w:spacing w:val="-12"/>
        </w:rPr>
        <w:t> </w:t>
      </w:r>
      <w:r>
        <w:rPr>
          <w:color w:val="231F20"/>
          <w:spacing w:val="-3"/>
        </w:rPr>
        <w:t>el</w:t>
      </w:r>
      <w:r>
        <w:rPr>
          <w:color w:val="231F20"/>
          <w:spacing w:val="-12"/>
        </w:rPr>
        <w:t> </w:t>
      </w:r>
      <w:r>
        <w:rPr>
          <w:color w:val="231F20"/>
          <w:spacing w:val="-5"/>
        </w:rPr>
        <w:t>sitio</w:t>
      </w:r>
      <w:r>
        <w:rPr>
          <w:color w:val="231F20"/>
          <w:spacing w:val="-16"/>
        </w:rPr>
        <w:t> </w:t>
      </w:r>
      <w:r>
        <w:rPr>
          <w:color w:val="231F20"/>
          <w:spacing w:val="-10"/>
        </w:rPr>
        <w:t>Valle</w:t>
      </w:r>
      <w:r>
        <w:rPr>
          <w:color w:val="231F20"/>
          <w:spacing w:val="-12"/>
        </w:rPr>
        <w:t> </w:t>
      </w:r>
      <w:r>
        <w:rPr>
          <w:color w:val="231F20"/>
          <w:spacing w:val="-6"/>
        </w:rPr>
        <w:t>Florido,</w:t>
      </w:r>
      <w:r>
        <w:rPr>
          <w:color w:val="231F20"/>
          <w:spacing w:val="-12"/>
        </w:rPr>
        <w:t> </w:t>
      </w:r>
      <w:r>
        <w:rPr>
          <w:color w:val="231F20"/>
          <w:spacing w:val="-3"/>
        </w:rPr>
        <w:t>el</w:t>
      </w:r>
      <w:r>
        <w:rPr>
          <w:color w:val="231F20"/>
          <w:spacing w:val="-12"/>
        </w:rPr>
        <w:t> </w:t>
      </w:r>
      <w:r>
        <w:rPr>
          <w:color w:val="231F20"/>
          <w:spacing w:val="-5"/>
        </w:rPr>
        <w:t>cual</w:t>
      </w:r>
      <w:r>
        <w:rPr>
          <w:color w:val="231F20"/>
          <w:spacing w:val="-12"/>
        </w:rPr>
        <w:t> </w:t>
      </w:r>
      <w:r>
        <w:rPr>
          <w:color w:val="231F20"/>
          <w:spacing w:val="-6"/>
        </w:rPr>
        <w:t>se caracterizó </w:t>
      </w:r>
      <w:r>
        <w:rPr>
          <w:color w:val="231F20"/>
          <w:spacing w:val="-4"/>
        </w:rPr>
        <w:t>por </w:t>
      </w:r>
      <w:r>
        <w:rPr>
          <w:color w:val="231F20"/>
          <w:spacing w:val="-3"/>
        </w:rPr>
        <w:t>un </w:t>
      </w:r>
      <w:r>
        <w:rPr>
          <w:color w:val="231F20"/>
          <w:spacing w:val="-5"/>
        </w:rPr>
        <w:t>mejor estado </w:t>
      </w:r>
      <w:r>
        <w:rPr>
          <w:color w:val="231F20"/>
          <w:spacing w:val="-3"/>
        </w:rPr>
        <w:t>de </w:t>
      </w:r>
      <w:r>
        <w:rPr>
          <w:color w:val="231F20"/>
          <w:spacing w:val="-6"/>
        </w:rPr>
        <w:t>conservación, </w:t>
      </w:r>
      <w:r>
        <w:rPr>
          <w:color w:val="231F20"/>
          <w:spacing w:val="-3"/>
        </w:rPr>
        <w:t>lo </w:t>
      </w:r>
      <w:r>
        <w:rPr>
          <w:color w:val="231F20"/>
          <w:spacing w:val="-4"/>
        </w:rPr>
        <w:t>que </w:t>
      </w:r>
      <w:r>
        <w:rPr>
          <w:color w:val="231F20"/>
          <w:spacing w:val="-6"/>
        </w:rPr>
        <w:t>repercutió </w:t>
      </w:r>
      <w:r>
        <w:rPr>
          <w:color w:val="231F20"/>
          <w:spacing w:val="-3"/>
        </w:rPr>
        <w:t>en </w:t>
      </w:r>
      <w:r>
        <w:rPr>
          <w:color w:val="231F20"/>
          <w:spacing w:val="-4"/>
        </w:rPr>
        <w:t>una </w:t>
      </w:r>
      <w:r>
        <w:rPr>
          <w:color w:val="231F20"/>
          <w:spacing w:val="-5"/>
        </w:rPr>
        <w:t>mayor </w:t>
      </w:r>
      <w:r>
        <w:rPr>
          <w:color w:val="231F20"/>
          <w:spacing w:val="-6"/>
        </w:rPr>
        <w:t>presencia </w:t>
      </w:r>
      <w:r>
        <w:rPr>
          <w:color w:val="231F20"/>
          <w:spacing w:val="-3"/>
        </w:rPr>
        <w:t>de </w:t>
      </w:r>
      <w:r>
        <w:rPr>
          <w:color w:val="231F20"/>
          <w:spacing w:val="-6"/>
        </w:rPr>
        <w:t>plantas </w:t>
      </w:r>
      <w:r>
        <w:rPr>
          <w:color w:val="231F20"/>
          <w:spacing w:val="-4"/>
        </w:rPr>
        <w:t>no- </w:t>
      </w:r>
      <w:r>
        <w:rPr>
          <w:color w:val="231F20"/>
          <w:spacing w:val="-6"/>
        </w:rPr>
        <w:t>drizas,</w:t>
      </w:r>
      <w:r>
        <w:rPr>
          <w:color w:val="231F20"/>
          <w:spacing w:val="-11"/>
        </w:rPr>
        <w:t> </w:t>
      </w:r>
      <w:r>
        <w:rPr>
          <w:color w:val="231F20"/>
          <w:spacing w:val="-4"/>
        </w:rPr>
        <w:t>una</w:t>
      </w:r>
      <w:r>
        <w:rPr>
          <w:color w:val="231F20"/>
          <w:spacing w:val="-11"/>
        </w:rPr>
        <w:t> </w:t>
      </w:r>
      <w:r>
        <w:rPr>
          <w:color w:val="231F20"/>
          <w:spacing w:val="-5"/>
        </w:rPr>
        <w:t>mejor</w:t>
      </w:r>
      <w:r>
        <w:rPr>
          <w:color w:val="231F20"/>
          <w:spacing w:val="-11"/>
        </w:rPr>
        <w:t> </w:t>
      </w:r>
      <w:r>
        <w:rPr>
          <w:color w:val="231F20"/>
          <w:spacing w:val="-6"/>
        </w:rPr>
        <w:t>condición</w:t>
      </w:r>
      <w:r>
        <w:rPr>
          <w:color w:val="231F20"/>
          <w:spacing w:val="-11"/>
        </w:rPr>
        <w:t> </w:t>
      </w:r>
      <w:r>
        <w:rPr>
          <w:color w:val="231F20"/>
          <w:spacing w:val="-6"/>
        </w:rPr>
        <w:t>sanitaria</w:t>
      </w:r>
      <w:r>
        <w:rPr>
          <w:color w:val="231F20"/>
          <w:spacing w:val="-10"/>
        </w:rPr>
        <w:t> </w:t>
      </w:r>
      <w:r>
        <w:rPr>
          <w:color w:val="231F20"/>
          <w:spacing w:val="-3"/>
        </w:rPr>
        <w:t>de</w:t>
      </w:r>
      <w:r>
        <w:rPr>
          <w:color w:val="231F20"/>
          <w:spacing w:val="-11"/>
        </w:rPr>
        <w:t> </w:t>
      </w:r>
      <w:r>
        <w:rPr>
          <w:color w:val="231F20"/>
          <w:spacing w:val="-4"/>
        </w:rPr>
        <w:t>las</w:t>
      </w:r>
      <w:r>
        <w:rPr>
          <w:color w:val="231F20"/>
          <w:spacing w:val="-11"/>
        </w:rPr>
        <w:t> </w:t>
      </w:r>
      <w:r>
        <w:rPr>
          <w:color w:val="231F20"/>
          <w:spacing w:val="-6"/>
        </w:rPr>
        <w:t>colonias</w:t>
      </w:r>
      <w:r>
        <w:rPr>
          <w:color w:val="231F20"/>
          <w:spacing w:val="-11"/>
        </w:rPr>
        <w:t> </w:t>
      </w:r>
      <w:r>
        <w:rPr>
          <w:color w:val="231F20"/>
        </w:rPr>
        <w:t>y</w:t>
      </w:r>
      <w:r>
        <w:rPr>
          <w:color w:val="231F20"/>
          <w:spacing w:val="-11"/>
        </w:rPr>
        <w:t> </w:t>
      </w:r>
      <w:r>
        <w:rPr>
          <w:color w:val="231F20"/>
          <w:spacing w:val="-6"/>
        </w:rPr>
        <w:t>mejores</w:t>
      </w:r>
      <w:r>
        <w:rPr>
          <w:color w:val="231F20"/>
          <w:spacing w:val="-11"/>
        </w:rPr>
        <w:t> </w:t>
      </w:r>
      <w:r>
        <w:rPr>
          <w:color w:val="231F20"/>
          <w:spacing w:val="-6"/>
        </w:rPr>
        <w:t>características</w:t>
      </w:r>
      <w:r>
        <w:rPr>
          <w:color w:val="231F20"/>
          <w:spacing w:val="-11"/>
        </w:rPr>
        <w:t> </w:t>
      </w:r>
      <w:r>
        <w:rPr>
          <w:color w:val="231F20"/>
          <w:spacing w:val="-3"/>
        </w:rPr>
        <w:t>de</w:t>
      </w:r>
      <w:r>
        <w:rPr>
          <w:color w:val="231F20"/>
          <w:spacing w:val="-11"/>
        </w:rPr>
        <w:t> </w:t>
      </w:r>
      <w:r>
        <w:rPr>
          <w:color w:val="231F20"/>
          <w:spacing w:val="-4"/>
        </w:rPr>
        <w:t>los</w:t>
      </w:r>
      <w:r>
        <w:rPr>
          <w:color w:val="231F20"/>
          <w:spacing w:val="-11"/>
        </w:rPr>
        <w:t> </w:t>
      </w:r>
      <w:r>
        <w:rPr>
          <w:color w:val="231F20"/>
          <w:spacing w:val="-6"/>
        </w:rPr>
        <w:t>individuos</w:t>
      </w:r>
      <w:r>
        <w:rPr>
          <w:color w:val="231F20"/>
          <w:spacing w:val="-11"/>
        </w:rPr>
        <w:t> </w:t>
      </w:r>
      <w:r>
        <w:rPr>
          <w:color w:val="231F20"/>
        </w:rPr>
        <w:t>o</w:t>
      </w:r>
      <w:r>
        <w:rPr>
          <w:color w:val="231F20"/>
          <w:spacing w:val="-11"/>
        </w:rPr>
        <w:t> </w:t>
      </w:r>
      <w:r>
        <w:rPr>
          <w:color w:val="231F20"/>
          <w:spacing w:val="-6"/>
        </w:rPr>
        <w:t>vástagos.</w:t>
      </w:r>
    </w:p>
    <w:p>
      <w:pPr>
        <w:pStyle w:val="BodyText"/>
        <w:spacing w:before="10"/>
      </w:pPr>
    </w:p>
    <w:p>
      <w:pPr>
        <w:pStyle w:val="BodyText"/>
        <w:spacing w:line="247" w:lineRule="auto"/>
        <w:ind w:left="1270" w:right="1268"/>
        <w:jc w:val="both"/>
      </w:pPr>
      <w:r>
        <w:rPr>
          <w:color w:val="231F20"/>
        </w:rPr>
        <w:t>La</w:t>
      </w:r>
      <w:r>
        <w:rPr>
          <w:color w:val="231F20"/>
          <w:spacing w:val="-5"/>
        </w:rPr>
        <w:t> </w:t>
      </w:r>
      <w:r>
        <w:rPr>
          <w:color w:val="231F20"/>
        </w:rPr>
        <w:t>pronunciada</w:t>
      </w:r>
      <w:r>
        <w:rPr>
          <w:color w:val="231F20"/>
          <w:spacing w:val="-5"/>
        </w:rPr>
        <w:t> </w:t>
      </w:r>
      <w:r>
        <w:rPr>
          <w:color w:val="231F20"/>
        </w:rPr>
        <w:t>pendiente</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zona</w:t>
      </w:r>
      <w:r>
        <w:rPr>
          <w:color w:val="231F20"/>
          <w:spacing w:val="-5"/>
        </w:rPr>
        <w:t> </w:t>
      </w:r>
      <w:r>
        <w:rPr>
          <w:color w:val="231F20"/>
        </w:rPr>
        <w:t>acceso</w:t>
      </w:r>
      <w:r>
        <w:rPr>
          <w:color w:val="231F20"/>
          <w:spacing w:val="-5"/>
        </w:rPr>
        <w:t> </w:t>
      </w:r>
      <w:r>
        <w:rPr>
          <w:color w:val="231F20"/>
        </w:rPr>
        <w:t>al</w:t>
      </w:r>
      <w:r>
        <w:rPr>
          <w:color w:val="231F20"/>
          <w:spacing w:val="-5"/>
        </w:rPr>
        <w:t> </w:t>
      </w:r>
      <w:r>
        <w:rPr>
          <w:color w:val="231F20"/>
        </w:rPr>
        <w:t>sitio</w:t>
      </w:r>
      <w:r>
        <w:rPr>
          <w:color w:val="231F20"/>
          <w:spacing w:val="-9"/>
        </w:rPr>
        <w:t> </w:t>
      </w:r>
      <w:r>
        <w:rPr>
          <w:color w:val="231F20"/>
          <w:spacing w:val="-5"/>
        </w:rPr>
        <w:t>Valle </w:t>
      </w:r>
      <w:r>
        <w:rPr>
          <w:color w:val="231F20"/>
        </w:rPr>
        <w:t>Florido</w:t>
      </w:r>
      <w:r>
        <w:rPr>
          <w:color w:val="231F20"/>
          <w:spacing w:val="-5"/>
        </w:rPr>
        <w:t> </w:t>
      </w:r>
      <w:r>
        <w:rPr>
          <w:color w:val="231F20"/>
        </w:rPr>
        <w:t>influye</w:t>
      </w:r>
      <w:r>
        <w:rPr>
          <w:color w:val="231F20"/>
          <w:spacing w:val="-5"/>
        </w:rPr>
        <w:t> </w:t>
      </w:r>
      <w:r>
        <w:rPr>
          <w:color w:val="231F20"/>
        </w:rPr>
        <w:t>positivamente</w:t>
      </w:r>
      <w:r>
        <w:rPr>
          <w:color w:val="231F20"/>
          <w:spacing w:val="-5"/>
        </w:rPr>
        <w:t> </w:t>
      </w:r>
      <w:r>
        <w:rPr>
          <w:color w:val="231F20"/>
        </w:rPr>
        <w:t>en</w:t>
      </w:r>
      <w:r>
        <w:rPr>
          <w:color w:val="231F20"/>
          <w:spacing w:val="-5"/>
        </w:rPr>
        <w:t> </w:t>
      </w:r>
      <w:r>
        <w:rPr>
          <w:color w:val="231F20"/>
        </w:rPr>
        <w:t>un</w:t>
      </w:r>
      <w:r>
        <w:rPr>
          <w:color w:val="231F20"/>
          <w:spacing w:val="-5"/>
        </w:rPr>
        <w:t> </w:t>
      </w:r>
      <w:r>
        <w:rPr>
          <w:color w:val="231F20"/>
        </w:rPr>
        <w:t>menor grado</w:t>
      </w:r>
      <w:r>
        <w:rPr>
          <w:color w:val="231F20"/>
          <w:spacing w:val="-5"/>
        </w:rPr>
        <w:t> </w:t>
      </w:r>
      <w:r>
        <w:rPr>
          <w:color w:val="231F20"/>
        </w:rPr>
        <w:t>de</w:t>
      </w:r>
      <w:r>
        <w:rPr>
          <w:color w:val="231F20"/>
          <w:spacing w:val="-5"/>
        </w:rPr>
        <w:t> </w:t>
      </w:r>
      <w:r>
        <w:rPr>
          <w:color w:val="231F20"/>
        </w:rPr>
        <w:t>perturbación</w:t>
      </w:r>
      <w:r>
        <w:rPr>
          <w:color w:val="231F20"/>
          <w:spacing w:val="-5"/>
        </w:rPr>
        <w:t> </w:t>
      </w:r>
      <w:r>
        <w:rPr>
          <w:color w:val="231F20"/>
        </w:rPr>
        <w:t>y</w:t>
      </w:r>
      <w:r>
        <w:rPr>
          <w:color w:val="231F20"/>
          <w:spacing w:val="-5"/>
        </w:rPr>
        <w:t> </w:t>
      </w:r>
      <w:r>
        <w:rPr>
          <w:color w:val="231F20"/>
        </w:rPr>
        <w:t>los</w:t>
      </w:r>
      <w:r>
        <w:rPr>
          <w:color w:val="231F20"/>
          <w:spacing w:val="-5"/>
        </w:rPr>
        <w:t> </w:t>
      </w:r>
      <w:r>
        <w:rPr>
          <w:color w:val="231F20"/>
        </w:rPr>
        <w:t>sitios</w:t>
      </w:r>
      <w:r>
        <w:rPr>
          <w:color w:val="231F20"/>
          <w:spacing w:val="-4"/>
        </w:rPr>
        <w:t> </w:t>
      </w:r>
      <w:r>
        <w:rPr>
          <w:color w:val="231F20"/>
        </w:rPr>
        <w:t>La</w:t>
      </w:r>
      <w:r>
        <w:rPr>
          <w:color w:val="231F20"/>
          <w:spacing w:val="-5"/>
        </w:rPr>
        <w:t> </w:t>
      </w:r>
      <w:r>
        <w:rPr>
          <w:color w:val="231F20"/>
        </w:rPr>
        <w:t>Cruz,</w:t>
      </w:r>
      <w:r>
        <w:rPr>
          <w:color w:val="231F20"/>
          <w:spacing w:val="-5"/>
        </w:rPr>
        <w:t> </w:t>
      </w:r>
      <w:r>
        <w:rPr>
          <w:color w:val="231F20"/>
        </w:rPr>
        <w:t>Las</w:t>
      </w:r>
      <w:r>
        <w:rPr>
          <w:color w:val="231F20"/>
          <w:spacing w:val="-17"/>
        </w:rPr>
        <w:t> </w:t>
      </w:r>
      <w:r>
        <w:rPr>
          <w:color w:val="231F20"/>
        </w:rPr>
        <w:t>Abejas</w:t>
      </w:r>
      <w:r>
        <w:rPr>
          <w:color w:val="231F20"/>
          <w:spacing w:val="-4"/>
        </w:rPr>
        <w:t> </w:t>
      </w:r>
      <w:r>
        <w:rPr>
          <w:color w:val="231F20"/>
        </w:rPr>
        <w:t>y</w:t>
      </w:r>
      <w:r>
        <w:rPr>
          <w:color w:val="231F20"/>
          <w:spacing w:val="-5"/>
        </w:rPr>
        <w:t> </w:t>
      </w:r>
      <w:r>
        <w:rPr>
          <w:color w:val="231F20"/>
        </w:rPr>
        <w:t>El</w:t>
      </w:r>
      <w:r>
        <w:rPr>
          <w:color w:val="231F20"/>
          <w:spacing w:val="-5"/>
        </w:rPr>
        <w:t> </w:t>
      </w:r>
      <w:r>
        <w:rPr>
          <w:color w:val="231F20"/>
        </w:rPr>
        <w:t>Panteón</w:t>
      </w:r>
      <w:r>
        <w:rPr>
          <w:color w:val="231F20"/>
          <w:spacing w:val="-4"/>
        </w:rPr>
        <w:t> </w:t>
      </w:r>
      <w:r>
        <w:rPr>
          <w:color w:val="231F20"/>
        </w:rPr>
        <w:t>presentaron</w:t>
      </w:r>
      <w:r>
        <w:rPr>
          <w:color w:val="231F20"/>
          <w:spacing w:val="-5"/>
        </w:rPr>
        <w:t> </w:t>
      </w:r>
      <w:r>
        <w:rPr>
          <w:color w:val="231F20"/>
        </w:rPr>
        <w:t>un</w:t>
      </w:r>
      <w:r>
        <w:rPr>
          <w:color w:val="231F20"/>
          <w:spacing w:val="-5"/>
        </w:rPr>
        <w:t> </w:t>
      </w:r>
      <w:r>
        <w:rPr>
          <w:color w:val="231F20"/>
        </w:rPr>
        <w:t>mayor</w:t>
      </w:r>
      <w:r>
        <w:rPr>
          <w:color w:val="231F20"/>
          <w:spacing w:val="-5"/>
        </w:rPr>
        <w:t> </w:t>
      </w:r>
      <w:r>
        <w:rPr>
          <w:color w:val="231F20"/>
        </w:rPr>
        <w:t>deterioro, lo que se dedujo de los Índices de Riqueza y similitud.</w:t>
      </w:r>
    </w:p>
    <w:p>
      <w:pPr>
        <w:pStyle w:val="BodyText"/>
        <w:spacing w:before="10"/>
      </w:pPr>
    </w:p>
    <w:p>
      <w:pPr>
        <w:pStyle w:val="BodyText"/>
        <w:spacing w:line="247" w:lineRule="auto"/>
        <w:ind w:left="1270" w:right="1268"/>
        <w:jc w:val="both"/>
      </w:pPr>
      <w:r>
        <w:rPr>
          <w:color w:val="231F20"/>
        </w:rPr>
        <w:t>El</w:t>
      </w:r>
      <w:r>
        <w:rPr>
          <w:color w:val="231F20"/>
          <w:spacing w:val="-5"/>
        </w:rPr>
        <w:t> </w:t>
      </w:r>
      <w:r>
        <w:rPr>
          <w:color w:val="231F20"/>
        </w:rPr>
        <w:t>deterioro</w:t>
      </w:r>
      <w:r>
        <w:rPr>
          <w:color w:val="231F20"/>
          <w:spacing w:val="-5"/>
        </w:rPr>
        <w:t> </w:t>
      </w:r>
      <w:r>
        <w:rPr>
          <w:color w:val="231F20"/>
        </w:rPr>
        <w:t>del</w:t>
      </w:r>
      <w:r>
        <w:rPr>
          <w:color w:val="231F20"/>
          <w:spacing w:val="-5"/>
        </w:rPr>
        <w:t> </w:t>
      </w:r>
      <w:r>
        <w:rPr>
          <w:color w:val="231F20"/>
        </w:rPr>
        <w:t>hábitat</w:t>
      </w:r>
      <w:r>
        <w:rPr>
          <w:color w:val="231F20"/>
          <w:spacing w:val="-5"/>
        </w:rPr>
        <w:t> </w:t>
      </w:r>
      <w:r>
        <w:rPr>
          <w:color w:val="231F20"/>
        </w:rPr>
        <w:t>de</w:t>
      </w:r>
      <w:r>
        <w:rPr>
          <w:color w:val="231F20"/>
          <w:spacing w:val="-5"/>
        </w:rPr>
        <w:t> </w:t>
      </w:r>
      <w:r>
        <w:rPr>
          <w:color w:val="231F20"/>
        </w:rPr>
        <w:t>esta</w:t>
      </w:r>
      <w:r>
        <w:rPr>
          <w:color w:val="231F20"/>
          <w:spacing w:val="-5"/>
        </w:rPr>
        <w:t> </w:t>
      </w:r>
      <w:r>
        <w:rPr>
          <w:color w:val="231F20"/>
        </w:rPr>
        <w:t>cactácea</w:t>
      </w:r>
      <w:r>
        <w:rPr>
          <w:color w:val="231F20"/>
          <w:spacing w:val="-5"/>
        </w:rPr>
        <w:t> </w:t>
      </w:r>
      <w:r>
        <w:rPr>
          <w:color w:val="231F20"/>
        </w:rPr>
        <w:t>se</w:t>
      </w:r>
      <w:r>
        <w:rPr>
          <w:color w:val="231F20"/>
          <w:spacing w:val="-5"/>
        </w:rPr>
        <w:t> </w:t>
      </w:r>
      <w:r>
        <w:rPr>
          <w:color w:val="231F20"/>
        </w:rPr>
        <w:t>debía</w:t>
      </w:r>
      <w:r>
        <w:rPr>
          <w:color w:val="231F20"/>
          <w:spacing w:val="-5"/>
        </w:rPr>
        <w:t> </w:t>
      </w:r>
      <w:r>
        <w:rPr>
          <w:color w:val="231F20"/>
        </w:rPr>
        <w:t>principalmente</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introducción</w:t>
      </w:r>
      <w:r>
        <w:rPr>
          <w:color w:val="231F20"/>
          <w:spacing w:val="-6"/>
        </w:rPr>
        <w:t> </w:t>
      </w:r>
      <w:r>
        <w:rPr>
          <w:color w:val="231F20"/>
        </w:rPr>
        <w:t>de</w:t>
      </w:r>
      <w:r>
        <w:rPr>
          <w:color w:val="231F20"/>
          <w:spacing w:val="-5"/>
        </w:rPr>
        <w:t> </w:t>
      </w:r>
      <w:r>
        <w:rPr>
          <w:color w:val="231F20"/>
        </w:rPr>
        <w:t>ganado</w:t>
      </w:r>
      <w:r>
        <w:rPr>
          <w:color w:val="231F20"/>
          <w:spacing w:val="-5"/>
        </w:rPr>
        <w:t> </w:t>
      </w:r>
      <w:r>
        <w:rPr>
          <w:color w:val="231F20"/>
        </w:rPr>
        <w:t>bovino, la</w:t>
      </w:r>
      <w:r>
        <w:rPr>
          <w:color w:val="231F20"/>
          <w:spacing w:val="-5"/>
        </w:rPr>
        <w:t> </w:t>
      </w:r>
      <w:r>
        <w:rPr>
          <w:color w:val="231F20"/>
        </w:rPr>
        <w:t>cual</w:t>
      </w:r>
      <w:r>
        <w:rPr>
          <w:color w:val="231F20"/>
          <w:spacing w:val="-5"/>
        </w:rPr>
        <w:t> </w:t>
      </w:r>
      <w:r>
        <w:rPr>
          <w:color w:val="231F20"/>
        </w:rPr>
        <w:t>se</w:t>
      </w:r>
      <w:r>
        <w:rPr>
          <w:color w:val="231F20"/>
          <w:spacing w:val="-4"/>
        </w:rPr>
        <w:t> </w:t>
      </w:r>
      <w:r>
        <w:rPr>
          <w:color w:val="231F20"/>
        </w:rPr>
        <w:t>realiza</w:t>
      </w:r>
      <w:r>
        <w:rPr>
          <w:color w:val="231F20"/>
          <w:spacing w:val="-5"/>
        </w:rPr>
        <w:t> </w:t>
      </w:r>
      <w:r>
        <w:rPr>
          <w:color w:val="231F20"/>
        </w:rPr>
        <w:t>sin</w:t>
      </w:r>
      <w:r>
        <w:rPr>
          <w:color w:val="231F20"/>
          <w:spacing w:val="-4"/>
        </w:rPr>
        <w:t> </w:t>
      </w:r>
      <w:r>
        <w:rPr>
          <w:color w:val="231F20"/>
        </w:rPr>
        <w:t>considerar</w:t>
      </w:r>
      <w:r>
        <w:rPr>
          <w:color w:val="231F20"/>
          <w:spacing w:val="-4"/>
        </w:rPr>
        <w:t> </w:t>
      </w:r>
      <w:r>
        <w:rPr>
          <w:color w:val="231F20"/>
        </w:rPr>
        <w:t>de</w:t>
      </w:r>
      <w:r>
        <w:rPr>
          <w:color w:val="231F20"/>
          <w:spacing w:val="-4"/>
        </w:rPr>
        <w:t> </w:t>
      </w:r>
      <w:r>
        <w:rPr>
          <w:color w:val="231F20"/>
        </w:rPr>
        <w:t>la</w:t>
      </w:r>
      <w:r>
        <w:rPr>
          <w:color w:val="231F20"/>
          <w:spacing w:val="-5"/>
        </w:rPr>
        <w:t> </w:t>
      </w:r>
      <w:r>
        <w:rPr>
          <w:color w:val="231F20"/>
        </w:rPr>
        <w:t>capacidad</w:t>
      </w:r>
      <w:r>
        <w:rPr>
          <w:color w:val="231F20"/>
          <w:spacing w:val="-5"/>
        </w:rPr>
        <w:t> </w:t>
      </w:r>
      <w:r>
        <w:rPr>
          <w:color w:val="231F20"/>
        </w:rPr>
        <w:t>de</w:t>
      </w:r>
      <w:r>
        <w:rPr>
          <w:color w:val="231F20"/>
          <w:spacing w:val="-5"/>
        </w:rPr>
        <w:t> </w:t>
      </w:r>
      <w:r>
        <w:rPr>
          <w:color w:val="231F20"/>
        </w:rPr>
        <w:t>carga</w:t>
      </w:r>
      <w:r>
        <w:rPr>
          <w:color w:val="231F20"/>
          <w:spacing w:val="-5"/>
        </w:rPr>
        <w:t> </w:t>
      </w:r>
      <w:r>
        <w:rPr>
          <w:color w:val="231F20"/>
        </w:rPr>
        <w:t>del</w:t>
      </w:r>
      <w:r>
        <w:rPr>
          <w:color w:val="231F20"/>
          <w:spacing w:val="-5"/>
        </w:rPr>
        <w:t> </w:t>
      </w:r>
      <w:r>
        <w:rPr>
          <w:color w:val="231F20"/>
        </w:rPr>
        <w:t>ecosistema;</w:t>
      </w:r>
      <w:r>
        <w:rPr>
          <w:color w:val="231F20"/>
          <w:spacing w:val="-5"/>
        </w:rPr>
        <w:t> </w:t>
      </w:r>
      <w:r>
        <w:rPr>
          <w:color w:val="231F20"/>
        </w:rPr>
        <w:t>cuya</w:t>
      </w:r>
      <w:r>
        <w:rPr>
          <w:color w:val="231F20"/>
          <w:spacing w:val="-5"/>
        </w:rPr>
        <w:t> </w:t>
      </w:r>
      <w:r>
        <w:rPr>
          <w:color w:val="231F20"/>
        </w:rPr>
        <w:t>pendiente</w:t>
      </w:r>
      <w:r>
        <w:rPr>
          <w:color w:val="231F20"/>
          <w:spacing w:val="-5"/>
        </w:rPr>
        <w:t> </w:t>
      </w:r>
      <w:r>
        <w:rPr>
          <w:color w:val="231F20"/>
        </w:rPr>
        <w:t>lo</w:t>
      </w:r>
      <w:r>
        <w:rPr>
          <w:color w:val="231F20"/>
          <w:spacing w:val="-5"/>
        </w:rPr>
        <w:t> </w:t>
      </w:r>
      <w:r>
        <w:rPr>
          <w:color w:val="231F20"/>
        </w:rPr>
        <w:t>convierte en sitio vulnerable a la</w:t>
      </w:r>
      <w:r>
        <w:rPr>
          <w:color w:val="231F20"/>
          <w:spacing w:val="-5"/>
        </w:rPr>
        <w:t> </w:t>
      </w:r>
      <w:r>
        <w:rPr>
          <w:color w:val="231F20"/>
        </w:rPr>
        <w:t>erosión.</w:t>
      </w:r>
    </w:p>
    <w:p>
      <w:pPr>
        <w:pStyle w:val="BodyText"/>
        <w:spacing w:before="10"/>
      </w:pPr>
    </w:p>
    <w:p>
      <w:pPr>
        <w:pStyle w:val="BodyText"/>
        <w:ind w:left="1270"/>
        <w:jc w:val="both"/>
      </w:pPr>
      <w:r>
        <w:rPr>
          <w:color w:val="231F20"/>
        </w:rPr>
        <w:t>Las 47 especies de plantas que se asocian a </w:t>
      </w:r>
      <w:r>
        <w:rPr>
          <w:i/>
          <w:color w:val="231F20"/>
        </w:rPr>
        <w:t>C. glassii </w:t>
      </w:r>
      <w:r>
        <w:rPr>
          <w:color w:val="231F20"/>
        </w:rPr>
        <w:t>pertenecen a 24 familias, de las cuales sólo 30</w:t>
      </w:r>
    </w:p>
    <w:p>
      <w:pPr>
        <w:pStyle w:val="BodyText"/>
        <w:spacing w:before="8"/>
        <w:ind w:left="1270"/>
        <w:jc w:val="both"/>
      </w:pPr>
      <w:r>
        <w:rPr>
          <w:color w:val="231F20"/>
        </w:rPr>
        <w:t>especies de 13 familias son nodrizas de dicha cactácea.</w:t>
      </w:r>
    </w:p>
    <w:p>
      <w:pPr>
        <w:pStyle w:val="BodyText"/>
        <w:spacing w:before="5"/>
        <w:rPr>
          <w:sz w:val="22"/>
        </w:rPr>
      </w:pPr>
    </w:p>
    <w:p>
      <w:pPr>
        <w:pStyle w:val="BodyText"/>
        <w:spacing w:line="247" w:lineRule="auto"/>
        <w:ind w:left="1270" w:right="1268"/>
        <w:jc w:val="both"/>
      </w:pPr>
      <w:r>
        <w:rPr>
          <w:color w:val="231F20"/>
        </w:rPr>
        <w:t>El 54% de las colonias se situaron bajo una planta nodriza y el 23% de las especies nodriza son de la familia Cactaceae; la Fabaceae concentró 16.68% al igual que la Asteraceae, 10% pertenece a Euphorbiaceae, 6% para Malvaceae.</w:t>
      </w:r>
    </w:p>
    <w:p>
      <w:pPr>
        <w:spacing w:after="0" w:line="247" w:lineRule="auto"/>
        <w:jc w:val="both"/>
        <w:sectPr>
          <w:pgSz w:w="10920" w:h="13080"/>
          <w:pgMar w:header="0" w:footer="965" w:top="420" w:bottom="1220" w:left="0" w:right="0"/>
        </w:sectPr>
      </w:pPr>
    </w:p>
    <w:p>
      <w:pPr>
        <w:pStyle w:val="BodyText"/>
        <w:rPr>
          <w:sz w:val="20"/>
        </w:rPr>
      </w:pPr>
    </w:p>
    <w:p>
      <w:pPr>
        <w:pStyle w:val="BodyText"/>
        <w:rPr>
          <w:sz w:val="20"/>
        </w:rPr>
      </w:pPr>
    </w:p>
    <w:p>
      <w:pPr>
        <w:pStyle w:val="BodyText"/>
        <w:rPr>
          <w:sz w:val="23"/>
        </w:rPr>
      </w:pPr>
    </w:p>
    <w:p>
      <w:pPr>
        <w:pStyle w:val="BodyText"/>
        <w:spacing w:line="247" w:lineRule="auto" w:before="73"/>
        <w:ind w:left="1270" w:right="1268"/>
        <w:jc w:val="both"/>
      </w:pPr>
      <w:r>
        <w:rPr>
          <w:color w:val="231F20"/>
        </w:rPr>
        <w:t>Las principales especies nodriza encontradas son lippia (Lippia graveolens Kunth.), escoba [Mal- vastrum tricuspidatum (Ait. f.) Gray variedad bicuspidatum S. </w:t>
      </w:r>
      <w:r>
        <w:rPr>
          <w:color w:val="231F20"/>
          <w:spacing w:val="-3"/>
        </w:rPr>
        <w:t>Wats], </w:t>
      </w:r>
      <w:r>
        <w:rPr>
          <w:color w:val="231F20"/>
        </w:rPr>
        <w:t>palo vidrioso [Neopringlea integrifolia (Hemsley) S. </w:t>
      </w:r>
      <w:r>
        <w:rPr>
          <w:color w:val="231F20"/>
          <w:spacing w:val="-3"/>
        </w:rPr>
        <w:t>Watson], </w:t>
      </w:r>
      <w:r>
        <w:rPr>
          <w:color w:val="231F20"/>
        </w:rPr>
        <w:t>tenaza (Acacia macrantha Humb. &amp; Bompl.), malacatillo [Pithe- cellobium pallens (Benth.) Standl.], tullidora [Karwinskia humboldtiana (J .A. Schultes) Zucc.] y sangregrado [Jatropha dioica variedad sessiflora (Kunth.) Mc </w:t>
      </w:r>
      <w:r>
        <w:rPr>
          <w:color w:val="231F20"/>
          <w:spacing w:val="-3"/>
        </w:rPr>
        <w:t>Vaugh.].</w:t>
      </w:r>
    </w:p>
    <w:p>
      <w:pPr>
        <w:pStyle w:val="BodyText"/>
        <w:spacing w:before="8"/>
        <w:rPr>
          <w:sz w:val="22"/>
        </w:rPr>
      </w:pPr>
    </w:p>
    <w:p>
      <w:pPr>
        <w:pStyle w:val="Heading3"/>
        <w:spacing w:before="1"/>
      </w:pPr>
      <w:r>
        <w:rPr>
          <w:color w:val="010202"/>
        </w:rPr>
        <w:t>Literatura citada</w:t>
      </w:r>
    </w:p>
    <w:p>
      <w:pPr>
        <w:pStyle w:val="BodyText"/>
        <w:spacing w:before="7"/>
        <w:rPr>
          <w:b/>
        </w:rPr>
      </w:pPr>
    </w:p>
    <w:p>
      <w:pPr>
        <w:spacing w:line="249" w:lineRule="auto" w:before="0"/>
        <w:ind w:left="1270" w:right="1268" w:firstLine="0"/>
        <w:jc w:val="both"/>
        <w:rPr>
          <w:sz w:val="19"/>
        </w:rPr>
      </w:pPr>
      <w:r>
        <w:rPr>
          <w:color w:val="231F20"/>
          <w:sz w:val="19"/>
        </w:rPr>
        <w:t>Dicht, R. </w:t>
      </w:r>
      <w:r>
        <w:rPr>
          <w:color w:val="231F20"/>
          <w:spacing w:val="-6"/>
          <w:sz w:val="19"/>
        </w:rPr>
        <w:t>F., </w:t>
      </w:r>
      <w:r>
        <w:rPr>
          <w:color w:val="231F20"/>
          <w:spacing w:val="-3"/>
          <w:sz w:val="19"/>
        </w:rPr>
        <w:t>Lüthy, </w:t>
      </w:r>
      <w:r>
        <w:rPr>
          <w:color w:val="231F20"/>
          <w:sz w:val="19"/>
        </w:rPr>
        <w:t>A, D. 2009. Coryphantha Glassii. [En línea] http://www.coryphantha/vivaelcact.mht (con- sultada el </w:t>
      </w:r>
      <w:r>
        <w:rPr>
          <w:color w:val="231F20"/>
          <w:spacing w:val="-4"/>
          <w:sz w:val="19"/>
        </w:rPr>
        <w:t>11 </w:t>
      </w:r>
      <w:r>
        <w:rPr>
          <w:color w:val="231F20"/>
          <w:sz w:val="19"/>
        </w:rPr>
        <w:t>de Septiembre de 2009).</w:t>
      </w:r>
    </w:p>
    <w:p>
      <w:pPr>
        <w:pStyle w:val="BodyText"/>
        <w:spacing w:before="10"/>
        <w:rPr>
          <w:sz w:val="19"/>
        </w:rPr>
      </w:pPr>
    </w:p>
    <w:p>
      <w:pPr>
        <w:spacing w:line="249" w:lineRule="auto" w:before="0"/>
        <w:ind w:left="1270" w:right="1268" w:firstLine="0"/>
        <w:jc w:val="both"/>
        <w:rPr>
          <w:sz w:val="19"/>
        </w:rPr>
      </w:pPr>
      <w:r>
        <w:rPr>
          <w:color w:val="231F20"/>
          <w:sz w:val="19"/>
        </w:rPr>
        <w:t>Gerrero,</w:t>
      </w:r>
      <w:r>
        <w:rPr>
          <w:color w:val="231F20"/>
          <w:spacing w:val="-13"/>
          <w:sz w:val="19"/>
        </w:rPr>
        <w:t> </w:t>
      </w:r>
      <w:r>
        <w:rPr>
          <w:color w:val="231F20"/>
          <w:sz w:val="19"/>
        </w:rPr>
        <w:t>A.</w:t>
      </w:r>
      <w:r>
        <w:rPr>
          <w:color w:val="231F20"/>
          <w:spacing w:val="-3"/>
          <w:sz w:val="19"/>
        </w:rPr>
        <w:t> </w:t>
      </w:r>
      <w:r>
        <w:rPr>
          <w:color w:val="231F20"/>
          <w:sz w:val="19"/>
        </w:rPr>
        <w:t>G.</w:t>
      </w:r>
      <w:r>
        <w:rPr>
          <w:color w:val="231F20"/>
          <w:spacing w:val="-3"/>
          <w:sz w:val="19"/>
        </w:rPr>
        <w:t> </w:t>
      </w:r>
      <w:r>
        <w:rPr>
          <w:color w:val="231F20"/>
          <w:sz w:val="19"/>
        </w:rPr>
        <w:t>2005.</w:t>
      </w:r>
      <w:r>
        <w:rPr>
          <w:color w:val="231F20"/>
          <w:spacing w:val="-3"/>
          <w:sz w:val="19"/>
        </w:rPr>
        <w:t> </w:t>
      </w:r>
      <w:r>
        <w:rPr>
          <w:color w:val="231F20"/>
          <w:sz w:val="19"/>
        </w:rPr>
        <w:t>Caracterización</w:t>
      </w:r>
      <w:r>
        <w:rPr>
          <w:color w:val="231F20"/>
          <w:spacing w:val="-3"/>
          <w:sz w:val="19"/>
        </w:rPr>
        <w:t> </w:t>
      </w:r>
      <w:r>
        <w:rPr>
          <w:color w:val="231F20"/>
          <w:sz w:val="19"/>
        </w:rPr>
        <w:t>poblacional</w:t>
      </w:r>
      <w:r>
        <w:rPr>
          <w:color w:val="231F20"/>
          <w:spacing w:val="-3"/>
          <w:sz w:val="19"/>
        </w:rPr>
        <w:t> </w:t>
      </w:r>
      <w:r>
        <w:rPr>
          <w:color w:val="231F20"/>
          <w:sz w:val="19"/>
        </w:rPr>
        <w:t>de</w:t>
      </w:r>
      <w:r>
        <w:rPr>
          <w:color w:val="231F20"/>
          <w:spacing w:val="-3"/>
          <w:sz w:val="19"/>
        </w:rPr>
        <w:t> </w:t>
      </w:r>
      <w:r>
        <w:rPr>
          <w:color w:val="231F20"/>
          <w:sz w:val="19"/>
        </w:rPr>
        <w:t>cinco</w:t>
      </w:r>
      <w:r>
        <w:rPr>
          <w:color w:val="231F20"/>
          <w:spacing w:val="-3"/>
          <w:sz w:val="19"/>
        </w:rPr>
        <w:t> </w:t>
      </w:r>
      <w:r>
        <w:rPr>
          <w:color w:val="231F20"/>
          <w:sz w:val="19"/>
        </w:rPr>
        <w:t>especies</w:t>
      </w:r>
      <w:r>
        <w:rPr>
          <w:color w:val="231F20"/>
          <w:spacing w:val="-3"/>
          <w:sz w:val="19"/>
        </w:rPr>
        <w:t> </w:t>
      </w:r>
      <w:r>
        <w:rPr>
          <w:color w:val="231F20"/>
          <w:sz w:val="19"/>
        </w:rPr>
        <w:t>arbóreas</w:t>
      </w:r>
      <w:r>
        <w:rPr>
          <w:color w:val="231F20"/>
          <w:spacing w:val="-3"/>
          <w:sz w:val="19"/>
        </w:rPr>
        <w:t> </w:t>
      </w:r>
      <w:r>
        <w:rPr>
          <w:color w:val="231F20"/>
          <w:sz w:val="19"/>
        </w:rPr>
        <w:t>ecológicamente</w:t>
      </w:r>
      <w:r>
        <w:rPr>
          <w:color w:val="231F20"/>
          <w:spacing w:val="-3"/>
          <w:sz w:val="19"/>
        </w:rPr>
        <w:t> </w:t>
      </w:r>
      <w:r>
        <w:rPr>
          <w:color w:val="231F20"/>
          <w:sz w:val="19"/>
        </w:rPr>
        <w:t>importantes</w:t>
      </w:r>
      <w:r>
        <w:rPr>
          <w:color w:val="231F20"/>
          <w:spacing w:val="-3"/>
          <w:sz w:val="19"/>
        </w:rPr>
        <w:t> </w:t>
      </w:r>
      <w:r>
        <w:rPr>
          <w:color w:val="231F20"/>
          <w:sz w:val="19"/>
        </w:rPr>
        <w:t>en</w:t>
      </w:r>
      <w:r>
        <w:rPr>
          <w:color w:val="231F20"/>
          <w:spacing w:val="-3"/>
          <w:sz w:val="19"/>
        </w:rPr>
        <w:t> </w:t>
      </w:r>
      <w:r>
        <w:rPr>
          <w:color w:val="231F20"/>
          <w:sz w:val="19"/>
        </w:rPr>
        <w:t>el Corredor Biológico Turrialba Jiménez, Costa Rica. </w:t>
      </w:r>
      <w:r>
        <w:rPr>
          <w:color w:val="231F20"/>
          <w:spacing w:val="-3"/>
          <w:sz w:val="19"/>
        </w:rPr>
        <w:t>Tesis </w:t>
      </w:r>
      <w:r>
        <w:rPr>
          <w:color w:val="231F20"/>
          <w:sz w:val="19"/>
        </w:rPr>
        <w:t>de Magister Scientiae en Manejo y Conservación de Bosques Tropicales y Biodiversidad. Programa de Educación para el Desarrollo y la Conservación del Centro Agronómico Tropical de Investigación y Enseñanza. Turrialba, Costa Rica. 70</w:t>
      </w:r>
      <w:r>
        <w:rPr>
          <w:color w:val="231F20"/>
          <w:spacing w:val="-31"/>
          <w:sz w:val="19"/>
        </w:rPr>
        <w:t> </w:t>
      </w:r>
      <w:r>
        <w:rPr>
          <w:color w:val="231F20"/>
          <w:sz w:val="19"/>
        </w:rPr>
        <w:t>p.</w:t>
      </w:r>
    </w:p>
    <w:p>
      <w:pPr>
        <w:pStyle w:val="BodyText"/>
        <w:spacing w:before="10"/>
        <w:rPr>
          <w:sz w:val="19"/>
        </w:rPr>
      </w:pPr>
    </w:p>
    <w:p>
      <w:pPr>
        <w:spacing w:line="249" w:lineRule="auto" w:before="0"/>
        <w:ind w:left="1270" w:right="1268" w:firstLine="0"/>
        <w:jc w:val="both"/>
        <w:rPr>
          <w:sz w:val="19"/>
        </w:rPr>
      </w:pPr>
      <w:r>
        <w:rPr>
          <w:color w:val="231F20"/>
          <w:sz w:val="19"/>
        </w:rPr>
        <w:t>Imágenes de satélite. 2009. [En línea] Glcfapp.umiacs.umd.edu/glcf/Lansat/WRS2/p027r45 5t860314.TM- EarthSat-Orthorecitified/ (consultada el 28 de Julio del 2009).</w:t>
      </w:r>
    </w:p>
    <w:p>
      <w:pPr>
        <w:pStyle w:val="BodyText"/>
        <w:spacing w:before="10"/>
        <w:rPr>
          <w:sz w:val="19"/>
        </w:rPr>
      </w:pPr>
    </w:p>
    <w:p>
      <w:pPr>
        <w:spacing w:before="0"/>
        <w:ind w:left="1270" w:right="0" w:firstLine="0"/>
        <w:jc w:val="both"/>
        <w:rPr>
          <w:sz w:val="19"/>
        </w:rPr>
      </w:pPr>
      <w:r>
        <w:rPr>
          <w:color w:val="231F20"/>
          <w:sz w:val="19"/>
        </w:rPr>
        <w:t>INEGI. 1997. Carta topográfica, edafológica, de vegetación y geológica. Clave: F14D21 Escala 1:50000.</w:t>
      </w:r>
    </w:p>
    <w:p>
      <w:pPr>
        <w:pStyle w:val="BodyText"/>
        <w:spacing w:before="7"/>
        <w:rPr>
          <w:sz w:val="20"/>
        </w:rPr>
      </w:pPr>
    </w:p>
    <w:p>
      <w:pPr>
        <w:spacing w:line="249" w:lineRule="auto" w:before="0"/>
        <w:ind w:left="1270" w:right="1268" w:firstLine="0"/>
        <w:jc w:val="both"/>
        <w:rPr>
          <w:sz w:val="19"/>
        </w:rPr>
      </w:pPr>
      <w:r>
        <w:rPr>
          <w:color w:val="231F20"/>
          <w:sz w:val="19"/>
        </w:rPr>
        <w:t>INEGI. 2000. Conjunto de datos vectoriales de la serie topográfica y de recursos naturales escala 1:1000000 y continúo</w:t>
      </w:r>
      <w:r>
        <w:rPr>
          <w:color w:val="231F20"/>
          <w:spacing w:val="-7"/>
          <w:sz w:val="19"/>
        </w:rPr>
        <w:t> </w:t>
      </w:r>
      <w:r>
        <w:rPr>
          <w:color w:val="231F20"/>
          <w:sz w:val="19"/>
        </w:rPr>
        <w:t>de</w:t>
      </w:r>
      <w:r>
        <w:rPr>
          <w:color w:val="231F20"/>
          <w:spacing w:val="-7"/>
          <w:sz w:val="19"/>
        </w:rPr>
        <w:t> </w:t>
      </w:r>
      <w:r>
        <w:rPr>
          <w:color w:val="231F20"/>
          <w:sz w:val="19"/>
        </w:rPr>
        <w:t>elevaciones.</w:t>
      </w:r>
      <w:r>
        <w:rPr>
          <w:color w:val="231F20"/>
          <w:spacing w:val="-7"/>
          <w:sz w:val="19"/>
        </w:rPr>
        <w:t> </w:t>
      </w:r>
      <w:r>
        <w:rPr>
          <w:color w:val="231F20"/>
          <w:sz w:val="19"/>
        </w:rPr>
        <w:t>[En</w:t>
      </w:r>
      <w:r>
        <w:rPr>
          <w:color w:val="231F20"/>
          <w:spacing w:val="-7"/>
          <w:sz w:val="19"/>
        </w:rPr>
        <w:t> </w:t>
      </w:r>
      <w:r>
        <w:rPr>
          <w:color w:val="231F20"/>
          <w:sz w:val="19"/>
        </w:rPr>
        <w:t>línea]</w:t>
      </w:r>
      <w:r>
        <w:rPr>
          <w:color w:val="231F20"/>
          <w:spacing w:val="-7"/>
          <w:sz w:val="19"/>
        </w:rPr>
        <w:t> </w:t>
      </w:r>
      <w:hyperlink r:id="rId89">
        <w:r>
          <w:rPr>
            <w:color w:val="231F20"/>
            <w:sz w:val="19"/>
          </w:rPr>
          <w:t>http://www.inegi.org.mx/inegi/default.aspx?s=geo&amp;c=911</w:t>
        </w:r>
      </w:hyperlink>
      <w:r>
        <w:rPr>
          <w:color w:val="231F20"/>
          <w:spacing w:val="-7"/>
          <w:sz w:val="19"/>
        </w:rPr>
        <w:t> </w:t>
      </w:r>
      <w:r>
        <w:rPr>
          <w:color w:val="231F20"/>
          <w:sz w:val="19"/>
        </w:rPr>
        <w:t>(consultada</w:t>
      </w:r>
      <w:r>
        <w:rPr>
          <w:color w:val="231F20"/>
          <w:spacing w:val="-7"/>
          <w:sz w:val="19"/>
        </w:rPr>
        <w:t> </w:t>
      </w:r>
      <w:r>
        <w:rPr>
          <w:color w:val="231F20"/>
          <w:sz w:val="19"/>
        </w:rPr>
        <w:t>el</w:t>
      </w:r>
      <w:r>
        <w:rPr>
          <w:color w:val="231F20"/>
          <w:spacing w:val="-7"/>
          <w:sz w:val="19"/>
        </w:rPr>
        <w:t> </w:t>
      </w:r>
      <w:r>
        <w:rPr>
          <w:color w:val="231F20"/>
          <w:sz w:val="19"/>
        </w:rPr>
        <w:t>9 de septiembre del 2009)</w:t>
      </w:r>
    </w:p>
    <w:p>
      <w:pPr>
        <w:pStyle w:val="BodyText"/>
        <w:spacing w:before="10"/>
        <w:rPr>
          <w:sz w:val="19"/>
        </w:rPr>
      </w:pPr>
    </w:p>
    <w:p>
      <w:pPr>
        <w:spacing w:line="249" w:lineRule="auto" w:before="0"/>
        <w:ind w:left="1270" w:right="1268" w:firstLine="0"/>
        <w:jc w:val="both"/>
        <w:rPr>
          <w:sz w:val="19"/>
        </w:rPr>
      </w:pPr>
      <w:r>
        <w:rPr>
          <w:color w:val="231F20"/>
          <w:sz w:val="19"/>
        </w:rPr>
        <w:t>Moreno, C. E. 2001. Métodos para medir la biodiversidad. M&amp;T–Manuales y Tesis SEA, vol. 1. Zaragoza, España. 84 p.</w:t>
      </w:r>
    </w:p>
    <w:p>
      <w:pPr>
        <w:pStyle w:val="BodyText"/>
        <w:spacing w:before="10"/>
        <w:rPr>
          <w:sz w:val="19"/>
        </w:rPr>
      </w:pPr>
    </w:p>
    <w:p>
      <w:pPr>
        <w:spacing w:line="249" w:lineRule="auto" w:before="0"/>
        <w:ind w:left="1270" w:right="1268" w:firstLine="0"/>
        <w:jc w:val="both"/>
        <w:rPr>
          <w:sz w:val="19"/>
        </w:rPr>
      </w:pPr>
      <w:r>
        <w:rPr>
          <w:color w:val="231F20"/>
          <w:sz w:val="19"/>
        </w:rPr>
        <w:t>Mostacedo,</w:t>
      </w:r>
      <w:r>
        <w:rPr>
          <w:color w:val="231F20"/>
          <w:spacing w:val="-5"/>
          <w:sz w:val="19"/>
        </w:rPr>
        <w:t> </w:t>
      </w:r>
      <w:r>
        <w:rPr>
          <w:color w:val="231F20"/>
          <w:sz w:val="19"/>
        </w:rPr>
        <w:t>B.</w:t>
      </w:r>
      <w:r>
        <w:rPr>
          <w:color w:val="231F20"/>
          <w:spacing w:val="-5"/>
          <w:sz w:val="19"/>
        </w:rPr>
        <w:t> </w:t>
      </w:r>
      <w:r>
        <w:rPr>
          <w:color w:val="231F20"/>
          <w:sz w:val="19"/>
        </w:rPr>
        <w:t>y</w:t>
      </w:r>
      <w:r>
        <w:rPr>
          <w:color w:val="231F20"/>
          <w:spacing w:val="-5"/>
          <w:sz w:val="19"/>
        </w:rPr>
        <w:t> </w:t>
      </w:r>
      <w:r>
        <w:rPr>
          <w:color w:val="231F20"/>
          <w:sz w:val="19"/>
        </w:rPr>
        <w:t>Fredericksen.</w:t>
      </w:r>
      <w:r>
        <w:rPr>
          <w:color w:val="231F20"/>
          <w:spacing w:val="-9"/>
          <w:sz w:val="19"/>
        </w:rPr>
        <w:t> </w:t>
      </w:r>
      <w:r>
        <w:rPr>
          <w:color w:val="231F20"/>
          <w:spacing w:val="-8"/>
          <w:sz w:val="19"/>
        </w:rPr>
        <w:t>T,</w:t>
      </w:r>
      <w:r>
        <w:rPr>
          <w:color w:val="231F20"/>
          <w:spacing w:val="-5"/>
          <w:sz w:val="19"/>
        </w:rPr>
        <w:t> </w:t>
      </w:r>
      <w:r>
        <w:rPr>
          <w:color w:val="231F20"/>
          <w:sz w:val="19"/>
        </w:rPr>
        <w:t>S.</w:t>
      </w:r>
      <w:r>
        <w:rPr>
          <w:color w:val="231F20"/>
          <w:spacing w:val="-5"/>
          <w:sz w:val="19"/>
        </w:rPr>
        <w:t> </w:t>
      </w:r>
      <w:r>
        <w:rPr>
          <w:color w:val="231F20"/>
          <w:sz w:val="19"/>
        </w:rPr>
        <w:t>2000.</w:t>
      </w:r>
      <w:r>
        <w:rPr>
          <w:color w:val="231F20"/>
          <w:spacing w:val="-5"/>
          <w:sz w:val="19"/>
        </w:rPr>
        <w:t> </w:t>
      </w:r>
      <w:r>
        <w:rPr>
          <w:color w:val="231F20"/>
          <w:sz w:val="19"/>
        </w:rPr>
        <w:t>Manual</w:t>
      </w:r>
      <w:r>
        <w:rPr>
          <w:color w:val="231F20"/>
          <w:spacing w:val="-5"/>
          <w:sz w:val="19"/>
        </w:rPr>
        <w:t> </w:t>
      </w:r>
      <w:r>
        <w:rPr>
          <w:color w:val="231F20"/>
          <w:sz w:val="19"/>
        </w:rPr>
        <w:t>de</w:t>
      </w:r>
      <w:r>
        <w:rPr>
          <w:color w:val="231F20"/>
          <w:spacing w:val="-5"/>
          <w:sz w:val="19"/>
        </w:rPr>
        <w:t> </w:t>
      </w:r>
      <w:r>
        <w:rPr>
          <w:color w:val="231F20"/>
          <w:sz w:val="19"/>
        </w:rPr>
        <w:t>métodos</w:t>
      </w:r>
      <w:r>
        <w:rPr>
          <w:color w:val="231F20"/>
          <w:spacing w:val="-5"/>
          <w:sz w:val="19"/>
        </w:rPr>
        <w:t> </w:t>
      </w:r>
      <w:r>
        <w:rPr>
          <w:color w:val="231F20"/>
          <w:sz w:val="19"/>
        </w:rPr>
        <w:t>básicos</w:t>
      </w:r>
      <w:r>
        <w:rPr>
          <w:color w:val="231F20"/>
          <w:spacing w:val="-5"/>
          <w:sz w:val="19"/>
        </w:rPr>
        <w:t> </w:t>
      </w:r>
      <w:r>
        <w:rPr>
          <w:color w:val="231F20"/>
          <w:sz w:val="19"/>
        </w:rPr>
        <w:t>de</w:t>
      </w:r>
      <w:r>
        <w:rPr>
          <w:color w:val="231F20"/>
          <w:spacing w:val="-5"/>
          <w:sz w:val="19"/>
        </w:rPr>
        <w:t> </w:t>
      </w:r>
      <w:r>
        <w:rPr>
          <w:color w:val="231F20"/>
          <w:sz w:val="19"/>
        </w:rPr>
        <w:t>muestreo</w:t>
      </w:r>
      <w:r>
        <w:rPr>
          <w:color w:val="231F20"/>
          <w:spacing w:val="-5"/>
          <w:sz w:val="19"/>
        </w:rPr>
        <w:t> </w:t>
      </w:r>
      <w:r>
        <w:rPr>
          <w:color w:val="231F20"/>
          <w:sz w:val="19"/>
        </w:rPr>
        <w:t>y</w:t>
      </w:r>
      <w:r>
        <w:rPr>
          <w:color w:val="231F20"/>
          <w:spacing w:val="-5"/>
          <w:sz w:val="19"/>
        </w:rPr>
        <w:t> </w:t>
      </w:r>
      <w:r>
        <w:rPr>
          <w:color w:val="231F20"/>
          <w:sz w:val="19"/>
        </w:rPr>
        <w:t>análisis</w:t>
      </w:r>
      <w:r>
        <w:rPr>
          <w:color w:val="231F20"/>
          <w:spacing w:val="-5"/>
          <w:sz w:val="19"/>
        </w:rPr>
        <w:t> </w:t>
      </w:r>
      <w:r>
        <w:rPr>
          <w:color w:val="231F20"/>
          <w:sz w:val="19"/>
        </w:rPr>
        <w:t>de</w:t>
      </w:r>
      <w:r>
        <w:rPr>
          <w:color w:val="231F20"/>
          <w:spacing w:val="-5"/>
          <w:sz w:val="19"/>
        </w:rPr>
        <w:t> </w:t>
      </w:r>
      <w:r>
        <w:rPr>
          <w:color w:val="231F20"/>
          <w:sz w:val="19"/>
        </w:rPr>
        <w:t>ecología</w:t>
      </w:r>
      <w:r>
        <w:rPr>
          <w:color w:val="231F20"/>
          <w:spacing w:val="-5"/>
          <w:sz w:val="19"/>
        </w:rPr>
        <w:t> </w:t>
      </w:r>
      <w:r>
        <w:rPr>
          <w:color w:val="231F20"/>
          <w:sz w:val="19"/>
        </w:rPr>
        <w:t>vege- tal. Proyecto de manejo forestal sustentable (BOLFOR). Santa Cruz, Bolivia. 28-51.</w:t>
      </w:r>
    </w:p>
    <w:p>
      <w:pPr>
        <w:pStyle w:val="BodyText"/>
        <w:spacing w:before="10"/>
        <w:rPr>
          <w:sz w:val="19"/>
        </w:rPr>
      </w:pPr>
    </w:p>
    <w:p>
      <w:pPr>
        <w:spacing w:before="0"/>
        <w:ind w:left="1270" w:right="0" w:firstLine="0"/>
        <w:jc w:val="both"/>
        <w:rPr>
          <w:sz w:val="19"/>
        </w:rPr>
      </w:pPr>
      <w:r>
        <w:rPr>
          <w:color w:val="231F20"/>
          <w:sz w:val="19"/>
        </w:rPr>
        <w:t>Rzedowski, J. 1978. Vegetación de México. Edit. Limusa, México.789 p.</w:t>
      </w:r>
    </w:p>
    <w:p>
      <w:pPr>
        <w:pStyle w:val="BodyText"/>
        <w:spacing w:before="7"/>
        <w:rPr>
          <w:sz w:val="20"/>
        </w:rPr>
      </w:pPr>
    </w:p>
    <w:p>
      <w:pPr>
        <w:spacing w:line="249" w:lineRule="auto" w:before="0"/>
        <w:ind w:left="1270" w:right="1268" w:firstLine="0"/>
        <w:jc w:val="both"/>
        <w:rPr>
          <w:sz w:val="19"/>
        </w:rPr>
      </w:pPr>
      <w:r>
        <w:rPr>
          <w:color w:val="231F20"/>
          <w:sz w:val="19"/>
        </w:rPr>
        <w:t>Sarabia, H. S. 2007. Determinantes ecológicas y patrones de distribución de las poblaciones de Coryphantha glassii Dicht &amp;</w:t>
      </w:r>
      <w:r>
        <w:rPr>
          <w:color w:val="231F20"/>
          <w:spacing w:val="-34"/>
          <w:sz w:val="19"/>
        </w:rPr>
        <w:t> </w:t>
      </w:r>
      <w:r>
        <w:rPr>
          <w:color w:val="231F20"/>
          <w:sz w:val="19"/>
        </w:rPr>
        <w:t>A. Lüthy (Cactaceae) en el sureste de Rioverde, S. L. </w:t>
      </w:r>
      <w:r>
        <w:rPr>
          <w:color w:val="231F20"/>
          <w:spacing w:val="-11"/>
          <w:sz w:val="19"/>
        </w:rPr>
        <w:t>P. </w:t>
      </w:r>
      <w:r>
        <w:rPr>
          <w:color w:val="231F20"/>
          <w:spacing w:val="-3"/>
          <w:sz w:val="19"/>
        </w:rPr>
        <w:t>Tesis </w:t>
      </w:r>
      <w:r>
        <w:rPr>
          <w:color w:val="231F20"/>
          <w:sz w:val="19"/>
        </w:rPr>
        <w:t>de licenciatura, Departamento de Agroecología. Universidad Autónoma Chapingo. Chapingo, México:</w:t>
      </w:r>
      <w:r>
        <w:rPr>
          <w:color w:val="231F20"/>
          <w:spacing w:val="-11"/>
          <w:sz w:val="19"/>
        </w:rPr>
        <w:t> </w:t>
      </w:r>
      <w:r>
        <w:rPr>
          <w:color w:val="231F20"/>
          <w:sz w:val="19"/>
        </w:rPr>
        <w:t>3-50.</w:t>
      </w:r>
    </w:p>
    <w:p>
      <w:pPr>
        <w:pStyle w:val="BodyText"/>
        <w:spacing w:before="10"/>
        <w:rPr>
          <w:sz w:val="19"/>
        </w:rPr>
      </w:pPr>
    </w:p>
    <w:p>
      <w:pPr>
        <w:spacing w:line="249" w:lineRule="auto" w:before="0"/>
        <w:ind w:left="1270" w:right="1268" w:firstLine="0"/>
        <w:jc w:val="both"/>
        <w:rPr>
          <w:sz w:val="19"/>
        </w:rPr>
      </w:pPr>
      <w:r>
        <w:rPr>
          <w:color w:val="231F20"/>
          <w:sz w:val="19"/>
        </w:rPr>
        <w:t>SEDUVOP, 2007. Plan de desarrollo urbano de Rioverde, S. L. P. [En línea] </w:t>
      </w:r>
      <w:hyperlink r:id="rId90">
        <w:r>
          <w:rPr>
            <w:color w:val="231F20"/>
            <w:sz w:val="19"/>
          </w:rPr>
          <w:t>http://www.rioverdeslp.gob.mx/</w:t>
        </w:r>
      </w:hyperlink>
      <w:r>
        <w:rPr>
          <w:color w:val="231F20"/>
          <w:sz w:val="19"/>
        </w:rPr>
        <w:t> media/diagnostico.pdf (consultado el 10 de septiembre de 2009).</w:t>
      </w:r>
    </w:p>
    <w:p>
      <w:pPr>
        <w:pStyle w:val="BodyText"/>
        <w:spacing w:before="10"/>
        <w:rPr>
          <w:sz w:val="19"/>
        </w:rPr>
      </w:pPr>
    </w:p>
    <w:p>
      <w:pPr>
        <w:spacing w:before="0"/>
        <w:ind w:left="1270" w:right="0" w:firstLine="0"/>
        <w:jc w:val="both"/>
        <w:rPr>
          <w:sz w:val="19"/>
        </w:rPr>
      </w:pPr>
      <w:r>
        <w:rPr>
          <w:color w:val="231F20"/>
          <w:sz w:val="19"/>
        </w:rPr>
        <w:t>SEMARNAP y UNAM 2001. Mapa en formato shpfile Inventario Forestal Nacional. Escala 1:250 000.</w:t>
      </w:r>
    </w:p>
    <w:p>
      <w:pPr>
        <w:pStyle w:val="BodyText"/>
        <w:spacing w:before="7"/>
        <w:rPr>
          <w:sz w:val="20"/>
        </w:rPr>
      </w:pPr>
    </w:p>
    <w:p>
      <w:pPr>
        <w:spacing w:line="273" w:lineRule="auto" w:before="0"/>
        <w:ind w:left="1270" w:right="1272" w:firstLine="0"/>
        <w:jc w:val="both"/>
        <w:rPr>
          <w:sz w:val="19"/>
        </w:rPr>
      </w:pPr>
      <w:r>
        <w:rPr>
          <w:color w:val="231F20"/>
          <w:spacing w:val="-9"/>
          <w:sz w:val="19"/>
        </w:rPr>
        <w:t>Verdú,</w:t>
      </w:r>
      <w:r>
        <w:rPr>
          <w:color w:val="231F20"/>
          <w:spacing w:val="-15"/>
          <w:sz w:val="19"/>
        </w:rPr>
        <w:t> </w:t>
      </w:r>
      <w:r>
        <w:rPr>
          <w:color w:val="231F20"/>
          <w:spacing w:val="-3"/>
          <w:sz w:val="19"/>
        </w:rPr>
        <w:t>M.</w:t>
      </w:r>
      <w:r>
        <w:rPr>
          <w:color w:val="231F20"/>
          <w:spacing w:val="-15"/>
          <w:sz w:val="19"/>
        </w:rPr>
        <w:t> </w:t>
      </w:r>
      <w:r>
        <w:rPr>
          <w:color w:val="231F20"/>
          <w:spacing w:val="-5"/>
          <w:sz w:val="19"/>
        </w:rPr>
        <w:t>2008.</w:t>
      </w:r>
      <w:r>
        <w:rPr>
          <w:color w:val="231F20"/>
          <w:spacing w:val="-15"/>
          <w:sz w:val="19"/>
        </w:rPr>
        <w:t> </w:t>
      </w:r>
      <w:r>
        <w:rPr>
          <w:color w:val="231F20"/>
          <w:spacing w:val="-5"/>
          <w:sz w:val="19"/>
        </w:rPr>
        <w:t>Redes</w:t>
      </w:r>
      <w:r>
        <w:rPr>
          <w:color w:val="231F20"/>
          <w:spacing w:val="-15"/>
          <w:sz w:val="19"/>
        </w:rPr>
        <w:t> </w:t>
      </w:r>
      <w:r>
        <w:rPr>
          <w:color w:val="231F20"/>
          <w:spacing w:val="-6"/>
          <w:sz w:val="19"/>
        </w:rPr>
        <w:t>complejas</w:t>
      </w:r>
      <w:r>
        <w:rPr>
          <w:color w:val="231F20"/>
          <w:spacing w:val="-15"/>
          <w:sz w:val="19"/>
        </w:rPr>
        <w:t> </w:t>
      </w:r>
      <w:r>
        <w:rPr>
          <w:color w:val="231F20"/>
          <w:spacing w:val="-3"/>
          <w:sz w:val="19"/>
        </w:rPr>
        <w:t>de</w:t>
      </w:r>
      <w:r>
        <w:rPr>
          <w:color w:val="231F20"/>
          <w:spacing w:val="-15"/>
          <w:sz w:val="19"/>
        </w:rPr>
        <w:t> </w:t>
      </w:r>
      <w:r>
        <w:rPr>
          <w:color w:val="231F20"/>
          <w:spacing w:val="-6"/>
          <w:sz w:val="19"/>
        </w:rPr>
        <w:t>interacciones</w:t>
      </w:r>
      <w:r>
        <w:rPr>
          <w:color w:val="231F20"/>
          <w:spacing w:val="-15"/>
          <w:sz w:val="19"/>
        </w:rPr>
        <w:t> </w:t>
      </w:r>
      <w:r>
        <w:rPr>
          <w:color w:val="231F20"/>
          <w:spacing w:val="-6"/>
          <w:sz w:val="19"/>
        </w:rPr>
        <w:t>planta-planta:</w:t>
      </w:r>
      <w:r>
        <w:rPr>
          <w:color w:val="231F20"/>
          <w:spacing w:val="-15"/>
          <w:sz w:val="19"/>
        </w:rPr>
        <w:t> </w:t>
      </w:r>
      <w:r>
        <w:rPr>
          <w:color w:val="231F20"/>
          <w:spacing w:val="-6"/>
          <w:sz w:val="19"/>
        </w:rPr>
        <w:t>facilitación</w:t>
      </w:r>
      <w:r>
        <w:rPr>
          <w:color w:val="231F20"/>
          <w:spacing w:val="-15"/>
          <w:sz w:val="19"/>
        </w:rPr>
        <w:t> </w:t>
      </w:r>
      <w:r>
        <w:rPr>
          <w:color w:val="231F20"/>
          <w:sz w:val="19"/>
        </w:rPr>
        <w:t>y</w:t>
      </w:r>
      <w:r>
        <w:rPr>
          <w:color w:val="231F20"/>
          <w:spacing w:val="-15"/>
          <w:sz w:val="19"/>
        </w:rPr>
        <w:t> </w:t>
      </w:r>
      <w:r>
        <w:rPr>
          <w:color w:val="231F20"/>
          <w:spacing w:val="-6"/>
          <w:sz w:val="19"/>
        </w:rPr>
        <w:t>competencia.</w:t>
      </w:r>
      <w:r>
        <w:rPr>
          <w:color w:val="231F20"/>
          <w:spacing w:val="-15"/>
          <w:sz w:val="19"/>
        </w:rPr>
        <w:t> </w:t>
      </w:r>
      <w:r>
        <w:rPr>
          <w:color w:val="231F20"/>
          <w:spacing w:val="-6"/>
          <w:sz w:val="19"/>
        </w:rPr>
        <w:t>Simposio</w:t>
      </w:r>
      <w:r>
        <w:rPr>
          <w:color w:val="231F20"/>
          <w:spacing w:val="-15"/>
          <w:sz w:val="19"/>
        </w:rPr>
        <w:t> </w:t>
      </w:r>
      <w:r>
        <w:rPr>
          <w:color w:val="231F20"/>
          <w:spacing w:val="-6"/>
          <w:sz w:val="19"/>
        </w:rPr>
        <w:t>internacional</w:t>
      </w:r>
      <w:r>
        <w:rPr>
          <w:color w:val="231F20"/>
          <w:spacing w:val="-15"/>
          <w:sz w:val="19"/>
        </w:rPr>
        <w:t> </w:t>
      </w:r>
      <w:r>
        <w:rPr>
          <w:color w:val="231F20"/>
          <w:spacing w:val="-6"/>
          <w:sz w:val="19"/>
        </w:rPr>
        <w:t>del </w:t>
      </w:r>
      <w:r>
        <w:rPr>
          <w:color w:val="231F20"/>
          <w:spacing w:val="-5"/>
          <w:sz w:val="19"/>
        </w:rPr>
        <w:t>Centro</w:t>
      </w:r>
      <w:r>
        <w:rPr>
          <w:color w:val="231F20"/>
          <w:spacing w:val="-9"/>
          <w:sz w:val="19"/>
        </w:rPr>
        <w:t> </w:t>
      </w:r>
      <w:r>
        <w:rPr>
          <w:color w:val="231F20"/>
          <w:spacing w:val="-3"/>
          <w:sz w:val="19"/>
        </w:rPr>
        <w:t>de</w:t>
      </w:r>
      <w:r>
        <w:rPr>
          <w:color w:val="231F20"/>
          <w:spacing w:val="-9"/>
          <w:sz w:val="19"/>
        </w:rPr>
        <w:t> </w:t>
      </w:r>
      <w:r>
        <w:rPr>
          <w:color w:val="231F20"/>
          <w:spacing w:val="-6"/>
          <w:sz w:val="19"/>
        </w:rPr>
        <w:t>Investigaciones</w:t>
      </w:r>
      <w:r>
        <w:rPr>
          <w:color w:val="231F20"/>
          <w:spacing w:val="-9"/>
          <w:sz w:val="19"/>
        </w:rPr>
        <w:t> </w:t>
      </w:r>
      <w:r>
        <w:rPr>
          <w:color w:val="231F20"/>
          <w:spacing w:val="-5"/>
          <w:sz w:val="19"/>
        </w:rPr>
        <w:t>sobre</w:t>
      </w:r>
      <w:r>
        <w:rPr>
          <w:color w:val="231F20"/>
          <w:spacing w:val="-9"/>
          <w:sz w:val="19"/>
        </w:rPr>
        <w:t> </w:t>
      </w:r>
      <w:r>
        <w:rPr>
          <w:color w:val="231F20"/>
          <w:spacing w:val="-6"/>
          <w:sz w:val="19"/>
        </w:rPr>
        <w:t>Desertificación</w:t>
      </w:r>
      <w:r>
        <w:rPr>
          <w:color w:val="231F20"/>
          <w:spacing w:val="-9"/>
          <w:sz w:val="19"/>
        </w:rPr>
        <w:t> </w:t>
      </w:r>
      <w:r>
        <w:rPr>
          <w:color w:val="231F20"/>
          <w:spacing w:val="-5"/>
          <w:sz w:val="19"/>
        </w:rPr>
        <w:t>–CIDE-</w:t>
      </w:r>
      <w:r>
        <w:rPr>
          <w:color w:val="231F20"/>
          <w:spacing w:val="-9"/>
          <w:sz w:val="19"/>
        </w:rPr>
        <w:t> </w:t>
      </w:r>
      <w:r>
        <w:rPr>
          <w:color w:val="231F20"/>
          <w:spacing w:val="-6"/>
          <w:sz w:val="19"/>
        </w:rPr>
        <w:t>(CSIC/UV/GV)</w:t>
      </w:r>
      <w:r>
        <w:rPr>
          <w:color w:val="231F20"/>
          <w:spacing w:val="-9"/>
          <w:sz w:val="19"/>
        </w:rPr>
        <w:t> </w:t>
      </w:r>
      <w:r>
        <w:rPr>
          <w:color w:val="231F20"/>
          <w:spacing w:val="-6"/>
          <w:sz w:val="19"/>
        </w:rPr>
        <w:t>(CSIC/UV/GV),</w:t>
      </w:r>
      <w:r>
        <w:rPr>
          <w:color w:val="231F20"/>
          <w:spacing w:val="-13"/>
          <w:sz w:val="19"/>
        </w:rPr>
        <w:t> </w:t>
      </w:r>
      <w:r>
        <w:rPr>
          <w:color w:val="231F20"/>
          <w:spacing w:val="-8"/>
          <w:sz w:val="19"/>
        </w:rPr>
        <w:t>Valencia,</w:t>
      </w:r>
      <w:r>
        <w:rPr>
          <w:color w:val="231F20"/>
          <w:spacing w:val="-9"/>
          <w:sz w:val="19"/>
        </w:rPr>
        <w:t> </w:t>
      </w:r>
      <w:r>
        <w:rPr>
          <w:color w:val="231F20"/>
          <w:spacing w:val="-6"/>
          <w:sz w:val="19"/>
        </w:rPr>
        <w:t>España.</w:t>
      </w:r>
      <w:r>
        <w:rPr>
          <w:color w:val="231F20"/>
          <w:spacing w:val="-9"/>
          <w:sz w:val="19"/>
        </w:rPr>
        <w:t> </w:t>
      </w:r>
      <w:r>
        <w:rPr>
          <w:color w:val="231F20"/>
          <w:spacing w:val="-6"/>
          <w:sz w:val="19"/>
        </w:rPr>
        <w:t>Octubre.</w:t>
      </w:r>
    </w:p>
    <w:p>
      <w:pPr>
        <w:spacing w:after="0" w:line="273" w:lineRule="auto"/>
        <w:jc w:val="both"/>
        <w:rPr>
          <w:sz w:val="19"/>
        </w:rPr>
        <w:sectPr>
          <w:pgSz w:w="10920" w:h="13080"/>
          <w:pgMar w:header="0" w:footer="965" w:top="420" w:bottom="1220" w:left="0" w:right="0"/>
        </w:sectPr>
      </w:pPr>
    </w:p>
    <w:p>
      <w:pPr>
        <w:pStyle w:val="BodyText"/>
        <w:rPr>
          <w:sz w:val="20"/>
        </w:rPr>
      </w:pPr>
    </w:p>
    <w:p>
      <w:pPr>
        <w:pStyle w:val="BodyText"/>
        <w:rPr>
          <w:sz w:val="20"/>
        </w:rPr>
      </w:pPr>
    </w:p>
    <w:p>
      <w:pPr>
        <w:pStyle w:val="BodyText"/>
        <w:spacing w:before="6"/>
        <w:rPr>
          <w:sz w:val="23"/>
        </w:rPr>
      </w:pPr>
    </w:p>
    <w:p>
      <w:pPr>
        <w:spacing w:before="69"/>
        <w:ind w:left="1489" w:right="1489" w:firstLine="0"/>
        <w:jc w:val="center"/>
        <w:rPr>
          <w:rFonts w:ascii="Trebuchet MS" w:hAnsi="Trebuchet MS"/>
          <w:i/>
          <w:sz w:val="24"/>
        </w:rPr>
      </w:pPr>
      <w:r>
        <w:rPr>
          <w:rFonts w:ascii="Trebuchet MS" w:hAnsi="Trebuchet MS"/>
          <w:i/>
          <w:color w:val="010202"/>
          <w:sz w:val="24"/>
        </w:rPr>
        <w:t>Artemio Cruz León</w:t>
      </w: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spacing w:before="1"/>
        <w:rPr>
          <w:rFonts w:ascii="Trebuchet MS"/>
          <w:i/>
          <w:sz w:val="19"/>
        </w:rPr>
      </w:pPr>
    </w:p>
    <w:p>
      <w:pPr>
        <w:pStyle w:val="Heading1"/>
        <w:spacing w:line="247" w:lineRule="auto"/>
        <w:ind w:left="1747" w:right="1745"/>
      </w:pPr>
      <w:bookmarkStart w:name="_TOC_250004" w:id="7"/>
      <w:r>
        <w:rPr>
          <w:color w:val="010202"/>
        </w:rPr>
        <w:t>JOCOTES Y JOBOS EN MÉXICO. </w:t>
      </w:r>
      <w:r>
        <w:rPr>
          <w:color w:val="010202"/>
          <w:spacing w:val="-9"/>
        </w:rPr>
        <w:t>AVANCES </w:t>
      </w:r>
      <w:r>
        <w:rPr>
          <w:color w:val="010202"/>
        </w:rPr>
        <w:t>EN LOS ESTUDIOS DE </w:t>
      </w:r>
      <w:r>
        <w:rPr>
          <w:color w:val="010202"/>
          <w:spacing w:val="-5"/>
        </w:rPr>
        <w:t>FRUTALES </w:t>
      </w:r>
      <w:bookmarkEnd w:id="7"/>
      <w:r>
        <w:rPr>
          <w:color w:val="010202"/>
        </w:rPr>
        <w:t>MARGINALES</w:t>
      </w:r>
    </w:p>
    <w:p>
      <w:pPr>
        <w:pStyle w:val="BodyText"/>
        <w:rPr>
          <w:rFonts w:ascii="Trebuchet MS"/>
          <w:b/>
          <w:sz w:val="36"/>
        </w:rPr>
      </w:pPr>
    </w:p>
    <w:p>
      <w:pPr>
        <w:pStyle w:val="BodyText"/>
        <w:spacing w:before="7"/>
        <w:rPr>
          <w:rFonts w:ascii="Trebuchet MS"/>
          <w:b/>
          <w:sz w:val="47"/>
        </w:rPr>
      </w:pPr>
    </w:p>
    <w:p>
      <w:pPr>
        <w:spacing w:before="0"/>
        <w:ind w:left="1270" w:right="0" w:firstLine="0"/>
        <w:jc w:val="both"/>
        <w:rPr>
          <w:b/>
          <w:sz w:val="24"/>
        </w:rPr>
      </w:pPr>
      <w:r>
        <w:rPr>
          <w:b/>
          <w:color w:val="010202"/>
          <w:sz w:val="24"/>
        </w:rPr>
        <w:t>Introducción</w:t>
      </w:r>
    </w:p>
    <w:p>
      <w:pPr>
        <w:pStyle w:val="BodyText"/>
        <w:spacing w:before="10"/>
        <w:rPr>
          <w:b/>
        </w:rPr>
      </w:pPr>
    </w:p>
    <w:p>
      <w:pPr>
        <w:pStyle w:val="BodyText"/>
        <w:spacing w:line="247" w:lineRule="auto"/>
        <w:ind w:left="1270" w:right="1267"/>
        <w:jc w:val="both"/>
      </w:pPr>
      <w:r>
        <w:rPr>
          <w:color w:val="231F20"/>
        </w:rPr>
        <w:t>El</w:t>
      </w:r>
      <w:r>
        <w:rPr>
          <w:color w:val="231F20"/>
          <w:spacing w:val="-9"/>
        </w:rPr>
        <w:t> </w:t>
      </w:r>
      <w:r>
        <w:rPr>
          <w:color w:val="231F20"/>
        </w:rPr>
        <w:t>género</w:t>
      </w:r>
      <w:r>
        <w:rPr>
          <w:color w:val="231F20"/>
          <w:spacing w:val="-9"/>
        </w:rPr>
        <w:t> </w:t>
      </w:r>
      <w:r>
        <w:rPr>
          <w:i/>
          <w:color w:val="231F20"/>
        </w:rPr>
        <w:t>Spondias</w:t>
      </w:r>
      <w:r>
        <w:rPr>
          <w:i/>
          <w:color w:val="231F20"/>
          <w:spacing w:val="-9"/>
        </w:rPr>
        <w:t> </w:t>
      </w:r>
      <w:r>
        <w:rPr>
          <w:color w:val="231F20"/>
        </w:rPr>
        <w:t>sp</w:t>
      </w:r>
      <w:r>
        <w:rPr>
          <w:color w:val="231F20"/>
          <w:spacing w:val="-9"/>
        </w:rPr>
        <w:t> </w:t>
      </w:r>
      <w:r>
        <w:rPr>
          <w:color w:val="231F20"/>
        </w:rPr>
        <w:t>(anacardiácea)</w:t>
      </w:r>
      <w:r>
        <w:rPr>
          <w:color w:val="231F20"/>
          <w:spacing w:val="-9"/>
        </w:rPr>
        <w:t> </w:t>
      </w:r>
      <w:r>
        <w:rPr>
          <w:color w:val="231F20"/>
        </w:rPr>
        <w:t>en</w:t>
      </w:r>
      <w:r>
        <w:rPr>
          <w:color w:val="231F20"/>
          <w:spacing w:val="-9"/>
        </w:rPr>
        <w:t> </w:t>
      </w:r>
      <w:r>
        <w:rPr>
          <w:color w:val="231F20"/>
        </w:rPr>
        <w:t>México</w:t>
      </w:r>
      <w:r>
        <w:rPr>
          <w:color w:val="231F20"/>
          <w:spacing w:val="-9"/>
        </w:rPr>
        <w:t> </w:t>
      </w:r>
      <w:r>
        <w:rPr>
          <w:color w:val="231F20"/>
        </w:rPr>
        <w:t>está</w:t>
      </w:r>
      <w:r>
        <w:rPr>
          <w:color w:val="231F20"/>
          <w:spacing w:val="-9"/>
        </w:rPr>
        <w:t> </w:t>
      </w:r>
      <w:r>
        <w:rPr>
          <w:color w:val="231F20"/>
        </w:rPr>
        <w:t>representado</w:t>
      </w:r>
      <w:r>
        <w:rPr>
          <w:color w:val="231F20"/>
          <w:spacing w:val="-9"/>
        </w:rPr>
        <w:t> </w:t>
      </w:r>
      <w:r>
        <w:rPr>
          <w:color w:val="231F20"/>
        </w:rPr>
        <w:t>por</w:t>
      </w:r>
      <w:r>
        <w:rPr>
          <w:color w:val="231F20"/>
          <w:spacing w:val="-9"/>
        </w:rPr>
        <w:t> </w:t>
      </w:r>
      <w:r>
        <w:rPr>
          <w:color w:val="231F20"/>
        </w:rPr>
        <w:t>3</w:t>
      </w:r>
      <w:r>
        <w:rPr>
          <w:color w:val="231F20"/>
          <w:spacing w:val="-9"/>
        </w:rPr>
        <w:t> </w:t>
      </w:r>
      <w:r>
        <w:rPr>
          <w:color w:val="231F20"/>
        </w:rPr>
        <w:t>especies</w:t>
      </w:r>
      <w:r>
        <w:rPr>
          <w:color w:val="231F20"/>
          <w:spacing w:val="-9"/>
        </w:rPr>
        <w:t> </w:t>
      </w:r>
      <w:r>
        <w:rPr>
          <w:color w:val="231F20"/>
        </w:rPr>
        <w:t>botánicas,</w:t>
      </w:r>
      <w:r>
        <w:rPr>
          <w:color w:val="231F20"/>
          <w:spacing w:val="-9"/>
        </w:rPr>
        <w:t> </w:t>
      </w:r>
      <w:r>
        <w:rPr>
          <w:color w:val="231F20"/>
        </w:rPr>
        <w:t>la</w:t>
      </w:r>
      <w:r>
        <w:rPr>
          <w:color w:val="231F20"/>
          <w:spacing w:val="-9"/>
        </w:rPr>
        <w:t> </w:t>
      </w:r>
      <w:r>
        <w:rPr>
          <w:color w:val="231F20"/>
        </w:rPr>
        <w:t>cirue- la mexicana o jocote </w:t>
      </w:r>
      <w:r>
        <w:rPr>
          <w:i/>
          <w:color w:val="231F20"/>
        </w:rPr>
        <w:t>Spondias purpurea </w:t>
      </w:r>
      <w:r>
        <w:rPr>
          <w:color w:val="231F20"/>
        </w:rPr>
        <w:t>L. se incluye entre las especies de frutales tropicales habi- tante del trópico seco, el jobo </w:t>
      </w:r>
      <w:r>
        <w:rPr>
          <w:i/>
          <w:color w:val="231F20"/>
        </w:rPr>
        <w:t>Spondias mombin </w:t>
      </w:r>
      <w:r>
        <w:rPr>
          <w:color w:val="231F20"/>
        </w:rPr>
        <w:t>L. y el jobo verde, </w:t>
      </w:r>
      <w:r>
        <w:rPr>
          <w:i/>
          <w:color w:val="231F20"/>
        </w:rPr>
        <w:t>Spondias radlkoferi </w:t>
      </w:r>
      <w:r>
        <w:rPr>
          <w:color w:val="231F20"/>
        </w:rPr>
        <w:t>J. D.</w:t>
      </w:r>
      <w:r>
        <w:rPr>
          <w:color w:val="231F20"/>
          <w:spacing w:val="-33"/>
        </w:rPr>
        <w:t> </w:t>
      </w:r>
      <w:r>
        <w:rPr>
          <w:color w:val="231F20"/>
        </w:rPr>
        <w:t>Smith, estas dos últimas de distribución en zonas tropicales húmedas o en las márgenes de las corrientes</w:t>
      </w:r>
      <w:r>
        <w:rPr>
          <w:color w:val="231F20"/>
          <w:spacing w:val="-26"/>
        </w:rPr>
        <w:t> </w:t>
      </w:r>
      <w:r>
        <w:rPr>
          <w:color w:val="231F20"/>
        </w:rPr>
        <w:t>de agua de algunas zonas cálido subhúmedas. Existen registros de una nueva especie del género loca- lizada en </w:t>
      </w:r>
      <w:r>
        <w:rPr>
          <w:color w:val="231F20"/>
          <w:spacing w:val="-3"/>
        </w:rPr>
        <w:t>Yucatán. </w:t>
      </w:r>
      <w:r>
        <w:rPr>
          <w:color w:val="231F20"/>
        </w:rPr>
        <w:t>El jocote se incluye como especie domesticada y por ello es posible encontrarla bajo cultivo en sistemas de explotación</w:t>
      </w:r>
      <w:r>
        <w:rPr>
          <w:color w:val="231F20"/>
          <w:spacing w:val="-10"/>
        </w:rPr>
        <w:t> </w:t>
      </w:r>
      <w:r>
        <w:rPr>
          <w:color w:val="231F20"/>
        </w:rPr>
        <w:t>diversos.</w:t>
      </w:r>
    </w:p>
    <w:p>
      <w:pPr>
        <w:pStyle w:val="BodyText"/>
        <w:spacing w:before="10"/>
      </w:pPr>
    </w:p>
    <w:p>
      <w:pPr>
        <w:pStyle w:val="BodyText"/>
        <w:spacing w:line="247" w:lineRule="auto"/>
        <w:ind w:left="1270" w:right="1267"/>
        <w:jc w:val="both"/>
      </w:pPr>
      <w:r>
        <w:rPr>
          <w:color w:val="231F20"/>
        </w:rPr>
        <w:t>A </w:t>
      </w:r>
      <w:r>
        <w:rPr>
          <w:color w:val="231F20"/>
          <w:spacing w:val="-5"/>
        </w:rPr>
        <w:t>nivel </w:t>
      </w:r>
      <w:r>
        <w:rPr>
          <w:color w:val="231F20"/>
          <w:spacing w:val="-6"/>
        </w:rPr>
        <w:t>nacional </w:t>
      </w:r>
      <w:r>
        <w:rPr>
          <w:color w:val="231F20"/>
          <w:spacing w:val="-3"/>
        </w:rPr>
        <w:t>se </w:t>
      </w:r>
      <w:r>
        <w:rPr>
          <w:color w:val="231F20"/>
          <w:spacing w:val="-6"/>
        </w:rPr>
        <w:t>reportan </w:t>
      </w:r>
      <w:r>
        <w:rPr>
          <w:color w:val="231F20"/>
          <w:spacing w:val="-4"/>
        </w:rPr>
        <w:t>más </w:t>
      </w:r>
      <w:r>
        <w:rPr>
          <w:color w:val="231F20"/>
          <w:spacing w:val="-3"/>
        </w:rPr>
        <w:t>de </w:t>
      </w:r>
      <w:r>
        <w:rPr>
          <w:color w:val="231F20"/>
          <w:spacing w:val="-5"/>
        </w:rPr>
        <w:t>12,000 </w:t>
      </w:r>
      <w:r>
        <w:rPr>
          <w:color w:val="231F20"/>
          <w:spacing w:val="-6"/>
        </w:rPr>
        <w:t>hectáreas sembradas, ubicadas </w:t>
      </w:r>
      <w:r>
        <w:rPr>
          <w:color w:val="231F20"/>
          <w:spacing w:val="-3"/>
        </w:rPr>
        <w:t>en 21 </w:t>
      </w:r>
      <w:r>
        <w:rPr>
          <w:color w:val="231F20"/>
          <w:spacing w:val="-6"/>
        </w:rPr>
        <w:t>estados </w:t>
      </w:r>
      <w:r>
        <w:rPr>
          <w:color w:val="231F20"/>
          <w:spacing w:val="-3"/>
        </w:rPr>
        <w:t>de </w:t>
      </w:r>
      <w:r>
        <w:rPr>
          <w:color w:val="231F20"/>
          <w:spacing w:val="-6"/>
        </w:rPr>
        <w:t>nuestro país, </w:t>
      </w:r>
      <w:r>
        <w:rPr>
          <w:color w:val="231F20"/>
          <w:spacing w:val="-4"/>
        </w:rPr>
        <w:t>sin </w:t>
      </w:r>
      <w:r>
        <w:rPr>
          <w:color w:val="231F20"/>
          <w:spacing w:val="-6"/>
        </w:rPr>
        <w:t>embargo, únicamente, Puebla, Chiapas </w:t>
      </w:r>
      <w:r>
        <w:rPr>
          <w:color w:val="231F20"/>
        </w:rPr>
        <w:t>y </w:t>
      </w:r>
      <w:r>
        <w:rPr>
          <w:color w:val="231F20"/>
          <w:spacing w:val="-6"/>
        </w:rPr>
        <w:t>Sinaloa, cultivan alrededor </w:t>
      </w:r>
      <w:r>
        <w:rPr>
          <w:color w:val="231F20"/>
          <w:spacing w:val="-4"/>
        </w:rPr>
        <w:t>del </w:t>
      </w:r>
      <w:r>
        <w:rPr>
          <w:color w:val="231F20"/>
          <w:spacing w:val="-3"/>
        </w:rPr>
        <w:t>62 </w:t>
      </w:r>
      <w:r>
        <w:rPr>
          <w:color w:val="231F20"/>
        </w:rPr>
        <w:t>% </w:t>
      </w:r>
      <w:r>
        <w:rPr>
          <w:color w:val="231F20"/>
          <w:spacing w:val="-3"/>
        </w:rPr>
        <w:t>de la </w:t>
      </w:r>
      <w:r>
        <w:rPr>
          <w:color w:val="231F20"/>
          <w:spacing w:val="-5"/>
        </w:rPr>
        <w:t>superficie </w:t>
      </w:r>
      <w:r>
        <w:rPr>
          <w:color w:val="231F20"/>
          <w:spacing w:val="-6"/>
        </w:rPr>
        <w:t>sembra- </w:t>
      </w:r>
      <w:r>
        <w:rPr>
          <w:color w:val="231F20"/>
          <w:spacing w:val="-4"/>
        </w:rPr>
        <w:t>da, </w:t>
      </w:r>
      <w:r>
        <w:rPr>
          <w:color w:val="231F20"/>
          <w:spacing w:val="-5"/>
        </w:rPr>
        <w:t>misma </w:t>
      </w:r>
      <w:r>
        <w:rPr>
          <w:color w:val="231F20"/>
          <w:spacing w:val="-4"/>
        </w:rPr>
        <w:t>que </w:t>
      </w:r>
      <w:r>
        <w:rPr>
          <w:color w:val="231F20"/>
          <w:spacing w:val="-3"/>
        </w:rPr>
        <w:t>se </w:t>
      </w:r>
      <w:r>
        <w:rPr>
          <w:color w:val="231F20"/>
          <w:spacing w:val="-5"/>
        </w:rPr>
        <w:t>lleva </w:t>
      </w:r>
      <w:r>
        <w:rPr>
          <w:color w:val="231F20"/>
        </w:rPr>
        <w:t>a </w:t>
      </w:r>
      <w:r>
        <w:rPr>
          <w:color w:val="231F20"/>
          <w:spacing w:val="-5"/>
        </w:rPr>
        <w:t>cabo </w:t>
      </w:r>
      <w:r>
        <w:rPr>
          <w:color w:val="231F20"/>
          <w:spacing w:val="-3"/>
        </w:rPr>
        <w:t>en </w:t>
      </w:r>
      <w:r>
        <w:rPr>
          <w:color w:val="231F20"/>
          <w:spacing w:val="-6"/>
        </w:rPr>
        <w:t>plantaciones comerciales </w:t>
      </w:r>
      <w:r>
        <w:rPr>
          <w:color w:val="231F20"/>
        </w:rPr>
        <w:t>y </w:t>
      </w:r>
      <w:r>
        <w:rPr>
          <w:color w:val="231F20"/>
          <w:spacing w:val="-3"/>
        </w:rPr>
        <w:t>en </w:t>
      </w:r>
      <w:r>
        <w:rPr>
          <w:color w:val="231F20"/>
          <w:spacing w:val="-6"/>
        </w:rPr>
        <w:t>pequeños huertos </w:t>
      </w:r>
      <w:r>
        <w:rPr>
          <w:color w:val="231F20"/>
          <w:spacing w:val="-3"/>
        </w:rPr>
        <w:t>de </w:t>
      </w:r>
      <w:r>
        <w:rPr>
          <w:color w:val="231F20"/>
          <w:spacing w:val="-6"/>
        </w:rPr>
        <w:t>traspatio, </w:t>
      </w:r>
      <w:r>
        <w:rPr>
          <w:color w:val="231F20"/>
          <w:spacing w:val="-4"/>
        </w:rPr>
        <w:t>por </w:t>
      </w:r>
      <w:r>
        <w:rPr>
          <w:color w:val="231F20"/>
          <w:spacing w:val="-6"/>
        </w:rPr>
        <w:t>esto último,</w:t>
      </w:r>
      <w:r>
        <w:rPr>
          <w:color w:val="231F20"/>
          <w:spacing w:val="-11"/>
        </w:rPr>
        <w:t> </w:t>
      </w:r>
      <w:r>
        <w:rPr>
          <w:color w:val="231F20"/>
          <w:spacing w:val="-3"/>
        </w:rPr>
        <w:t>el</w:t>
      </w:r>
      <w:r>
        <w:rPr>
          <w:color w:val="231F20"/>
          <w:spacing w:val="-11"/>
        </w:rPr>
        <w:t> </w:t>
      </w:r>
      <w:r>
        <w:rPr>
          <w:color w:val="231F20"/>
          <w:spacing w:val="-5"/>
        </w:rPr>
        <w:t>número</w:t>
      </w:r>
      <w:r>
        <w:rPr>
          <w:color w:val="231F20"/>
          <w:spacing w:val="-11"/>
        </w:rPr>
        <w:t> </w:t>
      </w:r>
      <w:r>
        <w:rPr>
          <w:color w:val="231F20"/>
          <w:spacing w:val="-3"/>
        </w:rPr>
        <w:t>de</w:t>
      </w:r>
      <w:r>
        <w:rPr>
          <w:color w:val="231F20"/>
          <w:spacing w:val="-11"/>
        </w:rPr>
        <w:t> </w:t>
      </w:r>
      <w:r>
        <w:rPr>
          <w:color w:val="231F20"/>
          <w:spacing w:val="-6"/>
        </w:rPr>
        <w:t>unidades</w:t>
      </w:r>
      <w:r>
        <w:rPr>
          <w:color w:val="231F20"/>
          <w:spacing w:val="-11"/>
        </w:rPr>
        <w:t> </w:t>
      </w:r>
      <w:r>
        <w:rPr>
          <w:color w:val="231F20"/>
          <w:spacing w:val="-3"/>
        </w:rPr>
        <w:t>de</w:t>
      </w:r>
      <w:r>
        <w:rPr>
          <w:color w:val="231F20"/>
          <w:spacing w:val="-11"/>
        </w:rPr>
        <w:t> </w:t>
      </w:r>
      <w:r>
        <w:rPr>
          <w:color w:val="231F20"/>
          <w:spacing w:val="-6"/>
        </w:rPr>
        <w:t>producción</w:t>
      </w:r>
      <w:r>
        <w:rPr>
          <w:color w:val="231F20"/>
          <w:spacing w:val="-11"/>
        </w:rPr>
        <w:t> </w:t>
      </w:r>
      <w:r>
        <w:rPr>
          <w:color w:val="231F20"/>
          <w:spacing w:val="-5"/>
        </w:rPr>
        <w:t>beneficiadas</w:t>
      </w:r>
      <w:r>
        <w:rPr>
          <w:color w:val="231F20"/>
          <w:spacing w:val="-11"/>
        </w:rPr>
        <w:t> </w:t>
      </w:r>
      <w:r>
        <w:rPr>
          <w:color w:val="231F20"/>
          <w:spacing w:val="-4"/>
        </w:rPr>
        <w:t>con</w:t>
      </w:r>
      <w:r>
        <w:rPr>
          <w:color w:val="231F20"/>
          <w:spacing w:val="-11"/>
        </w:rPr>
        <w:t> </w:t>
      </w:r>
      <w:r>
        <w:rPr>
          <w:color w:val="231F20"/>
          <w:spacing w:val="-3"/>
        </w:rPr>
        <w:t>la</w:t>
      </w:r>
      <w:r>
        <w:rPr>
          <w:color w:val="231F20"/>
          <w:spacing w:val="-11"/>
        </w:rPr>
        <w:t> </w:t>
      </w:r>
      <w:r>
        <w:rPr>
          <w:color w:val="231F20"/>
          <w:spacing w:val="-6"/>
        </w:rPr>
        <w:t>producción</w:t>
      </w:r>
      <w:r>
        <w:rPr>
          <w:color w:val="231F20"/>
          <w:spacing w:val="-11"/>
        </w:rPr>
        <w:t> </w:t>
      </w:r>
      <w:r>
        <w:rPr>
          <w:color w:val="231F20"/>
          <w:spacing w:val="-3"/>
        </w:rPr>
        <w:t>de</w:t>
      </w:r>
      <w:r>
        <w:rPr>
          <w:color w:val="231F20"/>
          <w:spacing w:val="-11"/>
        </w:rPr>
        <w:t> </w:t>
      </w:r>
      <w:r>
        <w:rPr>
          <w:color w:val="231F20"/>
          <w:spacing w:val="-6"/>
        </w:rPr>
        <w:t>ciruela</w:t>
      </w:r>
      <w:r>
        <w:rPr>
          <w:color w:val="231F20"/>
          <w:spacing w:val="-11"/>
        </w:rPr>
        <w:t> </w:t>
      </w:r>
      <w:r>
        <w:rPr>
          <w:color w:val="231F20"/>
          <w:spacing w:val="-6"/>
        </w:rPr>
        <w:t>mexicana</w:t>
      </w:r>
      <w:r>
        <w:rPr>
          <w:color w:val="231F20"/>
          <w:spacing w:val="-11"/>
        </w:rPr>
        <w:t> </w:t>
      </w:r>
      <w:r>
        <w:rPr>
          <w:color w:val="231F20"/>
          <w:spacing w:val="-5"/>
        </w:rPr>
        <w:t>debe</w:t>
      </w:r>
      <w:r>
        <w:rPr>
          <w:color w:val="231F20"/>
          <w:spacing w:val="-11"/>
        </w:rPr>
        <w:t> </w:t>
      </w:r>
      <w:r>
        <w:rPr>
          <w:color w:val="231F20"/>
          <w:spacing w:val="-6"/>
        </w:rPr>
        <w:t>ser aproximada</w:t>
      </w:r>
      <w:r>
        <w:rPr>
          <w:color w:val="231F20"/>
          <w:spacing w:val="-13"/>
        </w:rPr>
        <w:t> </w:t>
      </w:r>
      <w:r>
        <w:rPr>
          <w:color w:val="231F20"/>
        </w:rPr>
        <w:t>a</w:t>
      </w:r>
      <w:r>
        <w:rPr>
          <w:color w:val="231F20"/>
          <w:spacing w:val="-12"/>
        </w:rPr>
        <w:t> </w:t>
      </w:r>
      <w:r>
        <w:rPr>
          <w:color w:val="231F20"/>
          <w:spacing w:val="-4"/>
        </w:rPr>
        <w:t>las</w:t>
      </w:r>
      <w:r>
        <w:rPr>
          <w:color w:val="231F20"/>
          <w:spacing w:val="-13"/>
        </w:rPr>
        <w:t> </w:t>
      </w:r>
      <w:r>
        <w:rPr>
          <w:color w:val="231F20"/>
          <w:spacing w:val="-5"/>
        </w:rPr>
        <w:t>50,000</w:t>
      </w:r>
      <w:r>
        <w:rPr>
          <w:color w:val="231F20"/>
          <w:spacing w:val="-12"/>
        </w:rPr>
        <w:t> </w:t>
      </w:r>
      <w:r>
        <w:rPr>
          <w:color w:val="231F20"/>
          <w:spacing w:val="-6"/>
        </w:rPr>
        <w:t>familias.</w:t>
      </w:r>
      <w:r>
        <w:rPr>
          <w:color w:val="231F20"/>
          <w:spacing w:val="-12"/>
        </w:rPr>
        <w:t> </w:t>
      </w:r>
      <w:r>
        <w:rPr>
          <w:color w:val="231F20"/>
          <w:spacing w:val="-4"/>
        </w:rPr>
        <w:t>Las</w:t>
      </w:r>
      <w:r>
        <w:rPr>
          <w:color w:val="231F20"/>
          <w:spacing w:val="-13"/>
        </w:rPr>
        <w:t> </w:t>
      </w:r>
      <w:r>
        <w:rPr>
          <w:i/>
          <w:color w:val="231F20"/>
          <w:spacing w:val="-6"/>
        </w:rPr>
        <w:t>Spondias</w:t>
      </w:r>
      <w:r>
        <w:rPr>
          <w:i/>
          <w:color w:val="231F20"/>
          <w:spacing w:val="-12"/>
        </w:rPr>
        <w:t> </w:t>
      </w:r>
      <w:r>
        <w:rPr>
          <w:color w:val="231F20"/>
          <w:spacing w:val="-4"/>
        </w:rPr>
        <w:t>sp.</w:t>
      </w:r>
      <w:r>
        <w:rPr>
          <w:color w:val="231F20"/>
          <w:spacing w:val="-12"/>
        </w:rPr>
        <w:t> </w:t>
      </w:r>
      <w:r>
        <w:rPr>
          <w:color w:val="231F20"/>
          <w:spacing w:val="-3"/>
        </w:rPr>
        <w:t>en</w:t>
      </w:r>
      <w:r>
        <w:rPr>
          <w:color w:val="231F20"/>
          <w:spacing w:val="-13"/>
        </w:rPr>
        <w:t> </w:t>
      </w:r>
      <w:r>
        <w:rPr>
          <w:color w:val="231F20"/>
          <w:spacing w:val="-5"/>
        </w:rPr>
        <w:t>México</w:t>
      </w:r>
      <w:r>
        <w:rPr>
          <w:color w:val="231F20"/>
          <w:spacing w:val="-12"/>
        </w:rPr>
        <w:t> </w:t>
      </w:r>
      <w:r>
        <w:rPr>
          <w:color w:val="231F20"/>
          <w:spacing w:val="-4"/>
        </w:rPr>
        <w:t>son</w:t>
      </w:r>
      <w:r>
        <w:rPr>
          <w:color w:val="231F20"/>
          <w:spacing w:val="-12"/>
        </w:rPr>
        <w:t> </w:t>
      </w:r>
      <w:r>
        <w:rPr>
          <w:color w:val="231F20"/>
          <w:spacing w:val="-6"/>
        </w:rPr>
        <w:t>importantes</w:t>
      </w:r>
      <w:r>
        <w:rPr>
          <w:color w:val="231F20"/>
          <w:spacing w:val="-13"/>
        </w:rPr>
        <w:t> </w:t>
      </w:r>
      <w:r>
        <w:rPr>
          <w:color w:val="231F20"/>
          <w:spacing w:val="-4"/>
        </w:rPr>
        <w:t>por</w:t>
      </w:r>
      <w:r>
        <w:rPr>
          <w:color w:val="231F20"/>
          <w:spacing w:val="-13"/>
        </w:rPr>
        <w:t> </w:t>
      </w:r>
      <w:r>
        <w:rPr>
          <w:color w:val="231F20"/>
          <w:spacing w:val="-3"/>
        </w:rPr>
        <w:t>su</w:t>
      </w:r>
      <w:r>
        <w:rPr>
          <w:color w:val="231F20"/>
          <w:spacing w:val="-12"/>
        </w:rPr>
        <w:t> </w:t>
      </w:r>
      <w:r>
        <w:rPr>
          <w:color w:val="231F20"/>
          <w:spacing w:val="-6"/>
        </w:rPr>
        <w:t>utilización</w:t>
      </w:r>
      <w:r>
        <w:rPr>
          <w:color w:val="231F20"/>
          <w:spacing w:val="-12"/>
        </w:rPr>
        <w:t> </w:t>
      </w:r>
      <w:r>
        <w:rPr>
          <w:color w:val="231F20"/>
          <w:spacing w:val="-4"/>
        </w:rPr>
        <w:t>del</w:t>
      </w:r>
      <w:r>
        <w:rPr>
          <w:color w:val="231F20"/>
          <w:spacing w:val="-12"/>
        </w:rPr>
        <w:t> </w:t>
      </w:r>
      <w:r>
        <w:rPr>
          <w:color w:val="231F20"/>
          <w:spacing w:val="-6"/>
        </w:rPr>
        <w:t>fruto, </w:t>
      </w:r>
      <w:r>
        <w:rPr>
          <w:color w:val="231F20"/>
          <w:spacing w:val="-4"/>
        </w:rPr>
        <w:t>sin </w:t>
      </w:r>
      <w:r>
        <w:rPr>
          <w:color w:val="231F20"/>
          <w:spacing w:val="-6"/>
        </w:rPr>
        <w:t>embargo, </w:t>
      </w:r>
      <w:r>
        <w:rPr>
          <w:color w:val="231F20"/>
          <w:spacing w:val="-4"/>
        </w:rPr>
        <w:t>los </w:t>
      </w:r>
      <w:r>
        <w:rPr>
          <w:color w:val="231F20"/>
          <w:spacing w:val="-6"/>
        </w:rPr>
        <w:t>trabajos </w:t>
      </w:r>
      <w:r>
        <w:rPr>
          <w:color w:val="231F20"/>
          <w:spacing w:val="-3"/>
        </w:rPr>
        <w:t>de </w:t>
      </w:r>
      <w:r>
        <w:rPr>
          <w:color w:val="231F20"/>
          <w:spacing w:val="-6"/>
        </w:rPr>
        <w:t>investigación </w:t>
      </w:r>
      <w:r>
        <w:rPr>
          <w:color w:val="231F20"/>
          <w:spacing w:val="-4"/>
        </w:rPr>
        <w:t>son </w:t>
      </w:r>
      <w:r>
        <w:rPr>
          <w:color w:val="231F20"/>
          <w:spacing w:val="-6"/>
        </w:rPr>
        <w:t>escasos, </w:t>
      </w:r>
      <w:r>
        <w:rPr>
          <w:color w:val="231F20"/>
          <w:spacing w:val="-3"/>
        </w:rPr>
        <w:t>en </w:t>
      </w:r>
      <w:r>
        <w:rPr>
          <w:color w:val="231F20"/>
          <w:spacing w:val="-5"/>
        </w:rPr>
        <w:t>virtud </w:t>
      </w:r>
      <w:r>
        <w:rPr>
          <w:color w:val="231F20"/>
        </w:rPr>
        <w:t>a </w:t>
      </w:r>
      <w:r>
        <w:rPr>
          <w:color w:val="231F20"/>
          <w:spacing w:val="-4"/>
        </w:rPr>
        <w:t>que son </w:t>
      </w:r>
      <w:r>
        <w:rPr>
          <w:color w:val="231F20"/>
          <w:spacing w:val="-6"/>
        </w:rPr>
        <w:t>especies marginales </w:t>
      </w:r>
      <w:r>
        <w:rPr>
          <w:color w:val="231F20"/>
        </w:rPr>
        <w:t>y </w:t>
      </w:r>
      <w:r>
        <w:rPr>
          <w:color w:val="231F20"/>
          <w:spacing w:val="-5"/>
        </w:rPr>
        <w:t>hasta </w:t>
      </w:r>
      <w:r>
        <w:rPr>
          <w:color w:val="231F20"/>
          <w:spacing w:val="-6"/>
        </w:rPr>
        <w:t>el momento </w:t>
      </w:r>
      <w:r>
        <w:rPr>
          <w:color w:val="231F20"/>
          <w:spacing w:val="-3"/>
        </w:rPr>
        <w:t>su </w:t>
      </w:r>
      <w:r>
        <w:rPr>
          <w:color w:val="231F20"/>
          <w:spacing w:val="-6"/>
        </w:rPr>
        <w:t>comercialización </w:t>
      </w:r>
      <w:r>
        <w:rPr>
          <w:color w:val="231F20"/>
          <w:spacing w:val="-3"/>
        </w:rPr>
        <w:t>se </w:t>
      </w:r>
      <w:r>
        <w:rPr>
          <w:color w:val="231F20"/>
          <w:spacing w:val="-6"/>
        </w:rPr>
        <w:t>encuentra </w:t>
      </w:r>
      <w:r>
        <w:rPr>
          <w:color w:val="231F20"/>
        </w:rPr>
        <w:t>a </w:t>
      </w:r>
      <w:r>
        <w:rPr>
          <w:color w:val="231F20"/>
          <w:spacing w:val="-5"/>
        </w:rPr>
        <w:t>nivel local </w:t>
      </w:r>
      <w:r>
        <w:rPr>
          <w:color w:val="231F20"/>
        </w:rPr>
        <w:t>y </w:t>
      </w:r>
      <w:r>
        <w:rPr>
          <w:color w:val="231F20"/>
          <w:spacing w:val="-6"/>
        </w:rPr>
        <w:t>regional </w:t>
      </w:r>
      <w:r>
        <w:rPr>
          <w:color w:val="231F20"/>
        </w:rPr>
        <w:t>y </w:t>
      </w:r>
      <w:r>
        <w:rPr>
          <w:color w:val="231F20"/>
          <w:spacing w:val="-4"/>
        </w:rPr>
        <w:t>los </w:t>
      </w:r>
      <w:r>
        <w:rPr>
          <w:color w:val="231F20"/>
          <w:spacing w:val="-6"/>
        </w:rPr>
        <w:t>procesos </w:t>
      </w:r>
      <w:r>
        <w:rPr>
          <w:color w:val="231F20"/>
          <w:spacing w:val="-3"/>
        </w:rPr>
        <w:t>de </w:t>
      </w:r>
      <w:r>
        <w:rPr>
          <w:color w:val="231F20"/>
          <w:spacing w:val="-6"/>
        </w:rPr>
        <w:t>trasformación son escasos,</w:t>
      </w:r>
      <w:r>
        <w:rPr>
          <w:color w:val="231F20"/>
          <w:spacing w:val="-14"/>
        </w:rPr>
        <w:t> </w:t>
      </w:r>
      <w:r>
        <w:rPr>
          <w:color w:val="231F20"/>
          <w:spacing w:val="-3"/>
        </w:rPr>
        <w:t>de</w:t>
      </w:r>
      <w:r>
        <w:rPr>
          <w:color w:val="231F20"/>
          <w:spacing w:val="-14"/>
        </w:rPr>
        <w:t> </w:t>
      </w:r>
      <w:r>
        <w:rPr>
          <w:color w:val="231F20"/>
          <w:spacing w:val="-3"/>
        </w:rPr>
        <w:t>la</w:t>
      </w:r>
      <w:r>
        <w:rPr>
          <w:color w:val="231F20"/>
          <w:spacing w:val="-14"/>
        </w:rPr>
        <w:t> </w:t>
      </w:r>
      <w:r>
        <w:rPr>
          <w:color w:val="231F20"/>
          <w:spacing w:val="-5"/>
        </w:rPr>
        <w:t>misma</w:t>
      </w:r>
      <w:r>
        <w:rPr>
          <w:color w:val="231F20"/>
          <w:spacing w:val="-14"/>
        </w:rPr>
        <w:t> </w:t>
      </w:r>
      <w:r>
        <w:rPr>
          <w:color w:val="231F20"/>
          <w:spacing w:val="-5"/>
        </w:rPr>
        <w:t>manera</w:t>
      </w:r>
      <w:r>
        <w:rPr>
          <w:color w:val="231F20"/>
          <w:spacing w:val="-14"/>
        </w:rPr>
        <w:t> </w:t>
      </w:r>
      <w:r>
        <w:rPr>
          <w:color w:val="231F20"/>
          <w:spacing w:val="-3"/>
        </w:rPr>
        <w:t>se</w:t>
      </w:r>
      <w:r>
        <w:rPr>
          <w:color w:val="231F20"/>
          <w:spacing w:val="-12"/>
        </w:rPr>
        <w:t> </w:t>
      </w:r>
      <w:r>
        <w:rPr>
          <w:color w:val="231F20"/>
          <w:spacing w:val="-6"/>
        </w:rPr>
        <w:t>desconoce</w:t>
      </w:r>
      <w:r>
        <w:rPr>
          <w:color w:val="231F20"/>
          <w:spacing w:val="-12"/>
        </w:rPr>
        <w:t> </w:t>
      </w:r>
      <w:r>
        <w:rPr>
          <w:color w:val="231F20"/>
          <w:spacing w:val="-3"/>
        </w:rPr>
        <w:t>la</w:t>
      </w:r>
      <w:r>
        <w:rPr>
          <w:color w:val="231F20"/>
          <w:spacing w:val="-14"/>
        </w:rPr>
        <w:t> </w:t>
      </w:r>
      <w:r>
        <w:rPr>
          <w:color w:val="231F20"/>
          <w:spacing w:val="-6"/>
        </w:rPr>
        <w:t>magnitud</w:t>
      </w:r>
      <w:r>
        <w:rPr>
          <w:color w:val="231F20"/>
          <w:spacing w:val="-14"/>
        </w:rPr>
        <w:t> </w:t>
      </w:r>
      <w:r>
        <w:rPr>
          <w:color w:val="231F20"/>
          <w:spacing w:val="-3"/>
        </w:rPr>
        <w:t>de</w:t>
      </w:r>
      <w:r>
        <w:rPr>
          <w:color w:val="231F20"/>
          <w:spacing w:val="-14"/>
        </w:rPr>
        <w:t> </w:t>
      </w:r>
      <w:r>
        <w:rPr>
          <w:color w:val="231F20"/>
          <w:spacing w:val="-3"/>
        </w:rPr>
        <w:t>la</w:t>
      </w:r>
      <w:r>
        <w:rPr>
          <w:color w:val="231F20"/>
          <w:spacing w:val="-14"/>
        </w:rPr>
        <w:t> </w:t>
      </w:r>
      <w:r>
        <w:rPr>
          <w:color w:val="231F20"/>
          <w:spacing w:val="-6"/>
        </w:rPr>
        <w:t>diversidad</w:t>
      </w:r>
      <w:r>
        <w:rPr>
          <w:color w:val="231F20"/>
          <w:spacing w:val="-12"/>
        </w:rPr>
        <w:t> </w:t>
      </w:r>
      <w:r>
        <w:rPr>
          <w:color w:val="231F20"/>
          <w:spacing w:val="-6"/>
        </w:rPr>
        <w:t>genética</w:t>
      </w:r>
      <w:r>
        <w:rPr>
          <w:color w:val="231F20"/>
          <w:spacing w:val="-12"/>
        </w:rPr>
        <w:t> </w:t>
      </w:r>
      <w:r>
        <w:rPr>
          <w:color w:val="231F20"/>
          <w:spacing w:val="-3"/>
        </w:rPr>
        <w:t>de</w:t>
      </w:r>
      <w:r>
        <w:rPr>
          <w:color w:val="231F20"/>
          <w:spacing w:val="-14"/>
        </w:rPr>
        <w:t> </w:t>
      </w:r>
      <w:r>
        <w:rPr>
          <w:color w:val="231F20"/>
          <w:spacing w:val="-4"/>
        </w:rPr>
        <w:t>las</w:t>
      </w:r>
      <w:r>
        <w:rPr>
          <w:color w:val="231F20"/>
          <w:spacing w:val="-14"/>
        </w:rPr>
        <w:t> </w:t>
      </w:r>
      <w:r>
        <w:rPr>
          <w:color w:val="231F20"/>
          <w:spacing w:val="-6"/>
        </w:rPr>
        <w:t>especies</w:t>
      </w:r>
      <w:r>
        <w:rPr>
          <w:color w:val="231F20"/>
          <w:spacing w:val="-14"/>
        </w:rPr>
        <w:t> </w:t>
      </w:r>
      <w:r>
        <w:rPr>
          <w:color w:val="231F20"/>
        </w:rPr>
        <w:t>y</w:t>
      </w:r>
      <w:r>
        <w:rPr>
          <w:color w:val="231F20"/>
          <w:spacing w:val="-14"/>
        </w:rPr>
        <w:t> </w:t>
      </w:r>
      <w:r>
        <w:rPr>
          <w:color w:val="231F20"/>
          <w:spacing w:val="-6"/>
        </w:rPr>
        <w:t>tampoco </w:t>
      </w:r>
      <w:r>
        <w:rPr>
          <w:color w:val="231F20"/>
          <w:spacing w:val="-3"/>
        </w:rPr>
        <w:t>se </w:t>
      </w:r>
      <w:r>
        <w:rPr>
          <w:color w:val="231F20"/>
          <w:spacing w:val="-5"/>
        </w:rPr>
        <w:t>tiene bancos </w:t>
      </w:r>
      <w:r>
        <w:rPr>
          <w:color w:val="231F20"/>
          <w:spacing w:val="-3"/>
        </w:rPr>
        <w:t>de </w:t>
      </w:r>
      <w:r>
        <w:rPr>
          <w:color w:val="231F20"/>
          <w:spacing w:val="-6"/>
        </w:rPr>
        <w:t>semillas </w:t>
      </w:r>
      <w:r>
        <w:rPr>
          <w:color w:val="231F20"/>
        </w:rPr>
        <w:t>o </w:t>
      </w:r>
      <w:r>
        <w:rPr>
          <w:color w:val="231F20"/>
          <w:spacing w:val="-3"/>
        </w:rPr>
        <w:t>de </w:t>
      </w:r>
      <w:r>
        <w:rPr>
          <w:color w:val="231F20"/>
          <w:spacing w:val="-6"/>
        </w:rPr>
        <w:t>material vegetativo </w:t>
      </w:r>
      <w:r>
        <w:rPr>
          <w:color w:val="231F20"/>
          <w:spacing w:val="-4"/>
        </w:rPr>
        <w:t>que </w:t>
      </w:r>
      <w:r>
        <w:rPr>
          <w:color w:val="231F20"/>
          <w:spacing w:val="-6"/>
        </w:rPr>
        <w:t>ejemplifiquen </w:t>
      </w:r>
      <w:r>
        <w:rPr>
          <w:color w:val="231F20"/>
          <w:spacing w:val="-3"/>
        </w:rPr>
        <w:t>la </w:t>
      </w:r>
      <w:r>
        <w:rPr>
          <w:color w:val="231F20"/>
          <w:spacing w:val="-6"/>
        </w:rPr>
        <w:t>diversidad </w:t>
      </w:r>
      <w:r>
        <w:rPr>
          <w:color w:val="231F20"/>
          <w:spacing w:val="-3"/>
        </w:rPr>
        <w:t>de </w:t>
      </w:r>
      <w:r>
        <w:rPr>
          <w:color w:val="231F20"/>
          <w:spacing w:val="-4"/>
        </w:rPr>
        <w:t>las </w:t>
      </w:r>
      <w:r>
        <w:rPr>
          <w:color w:val="231F20"/>
          <w:spacing w:val="-6"/>
        </w:rPr>
        <w:t>especies, por </w:t>
      </w:r>
      <w:r>
        <w:rPr>
          <w:color w:val="231F20"/>
          <w:spacing w:val="-5"/>
        </w:rPr>
        <w:t>ello </w:t>
      </w:r>
      <w:r>
        <w:rPr>
          <w:color w:val="231F20"/>
          <w:spacing w:val="-6"/>
        </w:rPr>
        <w:t>resulta fundamental </w:t>
      </w:r>
      <w:r>
        <w:rPr>
          <w:color w:val="231F20"/>
          <w:spacing w:val="-3"/>
        </w:rPr>
        <w:t>la </w:t>
      </w:r>
      <w:r>
        <w:rPr>
          <w:color w:val="231F20"/>
          <w:spacing w:val="-6"/>
        </w:rPr>
        <w:t>investigación </w:t>
      </w:r>
      <w:r>
        <w:rPr>
          <w:color w:val="231F20"/>
          <w:spacing w:val="-3"/>
        </w:rPr>
        <w:t>en </w:t>
      </w:r>
      <w:r>
        <w:rPr>
          <w:color w:val="231F20"/>
          <w:spacing w:val="-6"/>
        </w:rPr>
        <w:t>recursos genéticos </w:t>
      </w:r>
      <w:r>
        <w:rPr>
          <w:color w:val="231F20"/>
          <w:spacing w:val="-3"/>
        </w:rPr>
        <w:t>de </w:t>
      </w:r>
      <w:r>
        <w:rPr>
          <w:color w:val="231F20"/>
          <w:spacing w:val="-5"/>
        </w:rPr>
        <w:t>este </w:t>
      </w:r>
      <w:r>
        <w:rPr>
          <w:color w:val="231F20"/>
          <w:spacing w:val="-6"/>
        </w:rPr>
        <w:t>género, </w:t>
      </w:r>
      <w:r>
        <w:rPr>
          <w:color w:val="231F20"/>
          <w:spacing w:val="-3"/>
        </w:rPr>
        <w:t>de </w:t>
      </w:r>
      <w:r>
        <w:rPr>
          <w:color w:val="231F20"/>
          <w:spacing w:val="-4"/>
        </w:rPr>
        <w:t>tal </w:t>
      </w:r>
      <w:r>
        <w:rPr>
          <w:color w:val="231F20"/>
          <w:spacing w:val="-5"/>
        </w:rPr>
        <w:t>manera </w:t>
      </w:r>
      <w:r>
        <w:rPr>
          <w:color w:val="231F20"/>
          <w:spacing w:val="-4"/>
        </w:rPr>
        <w:t>que </w:t>
      </w:r>
      <w:r>
        <w:rPr>
          <w:color w:val="231F20"/>
          <w:spacing w:val="-3"/>
        </w:rPr>
        <w:t>se </w:t>
      </w:r>
      <w:r>
        <w:rPr>
          <w:color w:val="231F20"/>
          <w:spacing w:val="-6"/>
        </w:rPr>
        <w:t>pueda establecer</w:t>
      </w:r>
      <w:r>
        <w:rPr>
          <w:color w:val="231F20"/>
          <w:spacing w:val="-13"/>
        </w:rPr>
        <w:t> </w:t>
      </w:r>
      <w:r>
        <w:rPr>
          <w:color w:val="231F20"/>
          <w:spacing w:val="-3"/>
        </w:rPr>
        <w:t>la</w:t>
      </w:r>
      <w:r>
        <w:rPr>
          <w:color w:val="231F20"/>
          <w:spacing w:val="-12"/>
        </w:rPr>
        <w:t> </w:t>
      </w:r>
      <w:r>
        <w:rPr>
          <w:color w:val="231F20"/>
          <w:spacing w:val="-6"/>
        </w:rPr>
        <w:t>diversidad,</w:t>
      </w:r>
      <w:r>
        <w:rPr>
          <w:color w:val="231F20"/>
          <w:spacing w:val="-12"/>
        </w:rPr>
        <w:t> </w:t>
      </w:r>
      <w:r>
        <w:rPr>
          <w:color w:val="231F20"/>
          <w:spacing w:val="-4"/>
        </w:rPr>
        <w:t>las</w:t>
      </w:r>
      <w:r>
        <w:rPr>
          <w:color w:val="231F20"/>
          <w:spacing w:val="-13"/>
        </w:rPr>
        <w:t> </w:t>
      </w:r>
      <w:r>
        <w:rPr>
          <w:color w:val="231F20"/>
          <w:spacing w:val="-6"/>
        </w:rPr>
        <w:t>estrategias</w:t>
      </w:r>
      <w:r>
        <w:rPr>
          <w:color w:val="231F20"/>
          <w:spacing w:val="-13"/>
        </w:rPr>
        <w:t> </w:t>
      </w:r>
      <w:r>
        <w:rPr>
          <w:color w:val="231F20"/>
          <w:spacing w:val="-3"/>
        </w:rPr>
        <w:t>de</w:t>
      </w:r>
      <w:r>
        <w:rPr>
          <w:color w:val="231F20"/>
          <w:spacing w:val="-12"/>
        </w:rPr>
        <w:t> </w:t>
      </w:r>
      <w:r>
        <w:rPr>
          <w:color w:val="231F20"/>
          <w:spacing w:val="-6"/>
        </w:rPr>
        <w:t>conservación</w:t>
      </w:r>
      <w:r>
        <w:rPr>
          <w:color w:val="231F20"/>
          <w:spacing w:val="-13"/>
        </w:rPr>
        <w:t> </w:t>
      </w:r>
      <w:r>
        <w:rPr>
          <w:color w:val="231F20"/>
        </w:rPr>
        <w:t>y</w:t>
      </w:r>
      <w:r>
        <w:rPr>
          <w:color w:val="231F20"/>
          <w:spacing w:val="-12"/>
        </w:rPr>
        <w:t> </w:t>
      </w:r>
      <w:r>
        <w:rPr>
          <w:color w:val="231F20"/>
          <w:spacing w:val="-4"/>
        </w:rPr>
        <w:t>uso</w:t>
      </w:r>
      <w:r>
        <w:rPr>
          <w:color w:val="231F20"/>
          <w:spacing w:val="-12"/>
        </w:rPr>
        <w:t> </w:t>
      </w:r>
      <w:r>
        <w:rPr>
          <w:color w:val="231F20"/>
          <w:spacing w:val="-6"/>
        </w:rPr>
        <w:t>sustentable</w:t>
      </w:r>
      <w:r>
        <w:rPr>
          <w:color w:val="231F20"/>
          <w:spacing w:val="-12"/>
        </w:rPr>
        <w:t> </w:t>
      </w:r>
      <w:r>
        <w:rPr>
          <w:color w:val="231F20"/>
          <w:spacing w:val="-3"/>
        </w:rPr>
        <w:t>de</w:t>
      </w:r>
      <w:r>
        <w:rPr>
          <w:color w:val="231F20"/>
          <w:spacing w:val="-12"/>
        </w:rPr>
        <w:t> </w:t>
      </w:r>
      <w:r>
        <w:rPr>
          <w:color w:val="231F20"/>
          <w:spacing w:val="-4"/>
        </w:rPr>
        <w:t>los</w:t>
      </w:r>
      <w:r>
        <w:rPr>
          <w:color w:val="231F20"/>
          <w:spacing w:val="-13"/>
        </w:rPr>
        <w:t> </w:t>
      </w:r>
      <w:r>
        <w:rPr>
          <w:color w:val="231F20"/>
          <w:spacing w:val="-6"/>
        </w:rPr>
        <w:t>recursos</w:t>
      </w:r>
      <w:r>
        <w:rPr>
          <w:color w:val="231F20"/>
          <w:spacing w:val="-12"/>
        </w:rPr>
        <w:t> </w:t>
      </w:r>
      <w:r>
        <w:rPr>
          <w:color w:val="231F20"/>
          <w:spacing w:val="-6"/>
        </w:rPr>
        <w:t>genéticos</w:t>
      </w:r>
      <w:r>
        <w:rPr>
          <w:color w:val="231F20"/>
          <w:spacing w:val="-12"/>
        </w:rPr>
        <w:t> </w:t>
      </w:r>
      <w:r>
        <w:rPr>
          <w:color w:val="231F20"/>
          <w:spacing w:val="-3"/>
        </w:rPr>
        <w:t>de</w:t>
      </w:r>
      <w:r>
        <w:rPr>
          <w:color w:val="231F20"/>
          <w:spacing w:val="-12"/>
        </w:rPr>
        <w:t> </w:t>
      </w:r>
      <w:r>
        <w:rPr>
          <w:color w:val="231F20"/>
          <w:spacing w:val="-6"/>
        </w:rPr>
        <w:t>estas plantas mexicanas. </w:t>
      </w:r>
      <w:r>
        <w:rPr>
          <w:color w:val="231F20"/>
          <w:spacing w:val="-4"/>
        </w:rPr>
        <w:t>Por </w:t>
      </w:r>
      <w:r>
        <w:rPr>
          <w:color w:val="231F20"/>
          <w:spacing w:val="-5"/>
        </w:rPr>
        <w:t>ello </w:t>
      </w:r>
      <w:r>
        <w:rPr>
          <w:color w:val="231F20"/>
          <w:spacing w:val="-3"/>
        </w:rPr>
        <w:t>la </w:t>
      </w:r>
      <w:r>
        <w:rPr>
          <w:color w:val="231F20"/>
          <w:spacing w:val="-4"/>
        </w:rPr>
        <w:t>Red </w:t>
      </w:r>
      <w:r>
        <w:rPr>
          <w:color w:val="231F20"/>
          <w:spacing w:val="-3"/>
        </w:rPr>
        <w:t>de </w:t>
      </w:r>
      <w:r>
        <w:rPr>
          <w:color w:val="231F20"/>
          <w:spacing w:val="-6"/>
        </w:rPr>
        <w:t>Ciruela, realizó trabajos </w:t>
      </w:r>
      <w:r>
        <w:rPr>
          <w:color w:val="231F20"/>
          <w:spacing w:val="-3"/>
        </w:rPr>
        <w:t>de </w:t>
      </w:r>
      <w:r>
        <w:rPr>
          <w:color w:val="231F20"/>
          <w:spacing w:val="-6"/>
        </w:rPr>
        <w:t>diagnóstico </w:t>
      </w:r>
      <w:r>
        <w:rPr>
          <w:color w:val="231F20"/>
        </w:rPr>
        <w:t>y </w:t>
      </w:r>
      <w:r>
        <w:rPr>
          <w:color w:val="231F20"/>
          <w:spacing w:val="-3"/>
        </w:rPr>
        <w:t>ha </w:t>
      </w:r>
      <w:r>
        <w:rPr>
          <w:color w:val="231F20"/>
          <w:spacing w:val="-6"/>
        </w:rPr>
        <w:t>iniciado </w:t>
      </w:r>
      <w:r>
        <w:rPr>
          <w:color w:val="231F20"/>
          <w:spacing w:val="-4"/>
        </w:rPr>
        <w:t>los </w:t>
      </w:r>
      <w:r>
        <w:rPr>
          <w:color w:val="231F20"/>
          <w:spacing w:val="-6"/>
        </w:rPr>
        <w:t>trabajos de colecta,</w:t>
      </w:r>
      <w:r>
        <w:rPr>
          <w:color w:val="231F20"/>
          <w:spacing w:val="-10"/>
        </w:rPr>
        <w:t> </w:t>
      </w:r>
      <w:r>
        <w:rPr>
          <w:color w:val="231F20"/>
          <w:spacing w:val="-6"/>
        </w:rPr>
        <w:t>caracterización,</w:t>
      </w:r>
      <w:r>
        <w:rPr>
          <w:color w:val="231F20"/>
          <w:spacing w:val="-12"/>
        </w:rPr>
        <w:t> </w:t>
      </w:r>
      <w:r>
        <w:rPr>
          <w:color w:val="231F20"/>
          <w:spacing w:val="-5"/>
        </w:rPr>
        <w:t>para</w:t>
      </w:r>
      <w:r>
        <w:rPr>
          <w:color w:val="231F20"/>
          <w:spacing w:val="-10"/>
        </w:rPr>
        <w:t> </w:t>
      </w:r>
      <w:r>
        <w:rPr>
          <w:color w:val="231F20"/>
          <w:spacing w:val="-6"/>
        </w:rPr>
        <w:t>establecer</w:t>
      </w:r>
      <w:r>
        <w:rPr>
          <w:color w:val="231F20"/>
          <w:spacing w:val="-10"/>
        </w:rPr>
        <w:t> </w:t>
      </w:r>
      <w:r>
        <w:rPr>
          <w:color w:val="231F20"/>
          <w:spacing w:val="-3"/>
        </w:rPr>
        <w:t>la</w:t>
      </w:r>
      <w:r>
        <w:rPr>
          <w:color w:val="231F20"/>
          <w:spacing w:val="-10"/>
        </w:rPr>
        <w:t> </w:t>
      </w:r>
      <w:r>
        <w:rPr>
          <w:color w:val="231F20"/>
          <w:spacing w:val="-6"/>
        </w:rPr>
        <w:t>estrategia</w:t>
      </w:r>
      <w:r>
        <w:rPr>
          <w:color w:val="231F20"/>
          <w:spacing w:val="-10"/>
        </w:rPr>
        <w:t> </w:t>
      </w:r>
      <w:r>
        <w:rPr>
          <w:color w:val="231F20"/>
          <w:spacing w:val="-3"/>
        </w:rPr>
        <w:t>de</w:t>
      </w:r>
      <w:r>
        <w:rPr>
          <w:color w:val="231F20"/>
          <w:spacing w:val="-10"/>
        </w:rPr>
        <w:t> </w:t>
      </w:r>
      <w:r>
        <w:rPr>
          <w:color w:val="231F20"/>
          <w:spacing w:val="-6"/>
        </w:rPr>
        <w:t>conservación</w:t>
      </w:r>
      <w:r>
        <w:rPr>
          <w:color w:val="231F20"/>
          <w:spacing w:val="-12"/>
        </w:rPr>
        <w:t> </w:t>
      </w:r>
      <w:r>
        <w:rPr>
          <w:color w:val="231F20"/>
          <w:spacing w:val="-3"/>
        </w:rPr>
        <w:t>in</w:t>
      </w:r>
      <w:r>
        <w:rPr>
          <w:color w:val="231F20"/>
          <w:spacing w:val="-10"/>
        </w:rPr>
        <w:t> </w:t>
      </w:r>
      <w:r>
        <w:rPr>
          <w:color w:val="231F20"/>
          <w:spacing w:val="-5"/>
        </w:rPr>
        <w:t>situ</w:t>
      </w:r>
      <w:r>
        <w:rPr>
          <w:color w:val="231F20"/>
          <w:spacing w:val="-10"/>
        </w:rPr>
        <w:t> </w:t>
      </w:r>
      <w:r>
        <w:rPr>
          <w:color w:val="231F20"/>
        </w:rPr>
        <w:t>y</w:t>
      </w:r>
      <w:r>
        <w:rPr>
          <w:color w:val="231F20"/>
          <w:spacing w:val="-10"/>
        </w:rPr>
        <w:t> </w:t>
      </w:r>
      <w:r>
        <w:rPr>
          <w:color w:val="231F20"/>
          <w:spacing w:val="-3"/>
        </w:rPr>
        <w:t>ex</w:t>
      </w:r>
      <w:r>
        <w:rPr>
          <w:color w:val="231F20"/>
          <w:spacing w:val="-10"/>
        </w:rPr>
        <w:t> </w:t>
      </w:r>
      <w:r>
        <w:rPr>
          <w:color w:val="231F20"/>
          <w:spacing w:val="-5"/>
        </w:rPr>
        <w:t>situ,</w:t>
      </w:r>
      <w:r>
        <w:rPr>
          <w:color w:val="231F20"/>
          <w:spacing w:val="-10"/>
        </w:rPr>
        <w:t> </w:t>
      </w:r>
      <w:r>
        <w:rPr>
          <w:color w:val="231F20"/>
          <w:spacing w:val="-5"/>
        </w:rPr>
        <w:t>además</w:t>
      </w:r>
      <w:r>
        <w:rPr>
          <w:color w:val="231F20"/>
          <w:spacing w:val="-10"/>
        </w:rPr>
        <w:t> </w:t>
      </w:r>
      <w:r>
        <w:rPr>
          <w:color w:val="231F20"/>
          <w:spacing w:val="-3"/>
        </w:rPr>
        <w:t>de</w:t>
      </w:r>
      <w:r>
        <w:rPr>
          <w:color w:val="231F20"/>
          <w:spacing w:val="-10"/>
        </w:rPr>
        <w:t> </w:t>
      </w:r>
      <w:r>
        <w:rPr>
          <w:color w:val="231F20"/>
          <w:spacing w:val="-4"/>
        </w:rPr>
        <w:t>las</w:t>
      </w:r>
      <w:r>
        <w:rPr>
          <w:color w:val="231F20"/>
          <w:spacing w:val="-10"/>
        </w:rPr>
        <w:t> </w:t>
      </w:r>
      <w:r>
        <w:rPr>
          <w:color w:val="231F20"/>
          <w:spacing w:val="-5"/>
        </w:rPr>
        <w:t>accio- </w:t>
      </w:r>
      <w:r>
        <w:rPr>
          <w:color w:val="231F20"/>
          <w:spacing w:val="-4"/>
        </w:rPr>
        <w:t>nes </w:t>
      </w:r>
      <w:r>
        <w:rPr>
          <w:color w:val="231F20"/>
          <w:spacing w:val="-3"/>
        </w:rPr>
        <w:t>de </w:t>
      </w:r>
      <w:r>
        <w:rPr>
          <w:color w:val="231F20"/>
          <w:spacing w:val="-6"/>
        </w:rPr>
        <w:t>potenciación </w:t>
      </w:r>
      <w:r>
        <w:rPr>
          <w:color w:val="231F20"/>
        </w:rPr>
        <w:t>y </w:t>
      </w:r>
      <w:r>
        <w:rPr>
          <w:color w:val="231F20"/>
          <w:spacing w:val="-6"/>
        </w:rPr>
        <w:t>creación </w:t>
      </w:r>
      <w:r>
        <w:rPr>
          <w:color w:val="231F20"/>
          <w:spacing w:val="-3"/>
        </w:rPr>
        <w:t>de </w:t>
      </w:r>
      <w:r>
        <w:rPr>
          <w:color w:val="231F20"/>
          <w:spacing w:val="-6"/>
        </w:rPr>
        <w:t>capacidades </w:t>
      </w:r>
      <w:r>
        <w:rPr>
          <w:color w:val="231F20"/>
          <w:spacing w:val="-3"/>
        </w:rPr>
        <w:t>de </w:t>
      </w:r>
      <w:r>
        <w:rPr>
          <w:color w:val="231F20"/>
          <w:spacing w:val="-4"/>
        </w:rPr>
        <w:t>los </w:t>
      </w:r>
      <w:r>
        <w:rPr>
          <w:color w:val="231F20"/>
          <w:spacing w:val="-6"/>
        </w:rPr>
        <w:t>posibles</w:t>
      </w:r>
      <w:r>
        <w:rPr>
          <w:color w:val="231F20"/>
          <w:spacing w:val="-4"/>
        </w:rPr>
        <w:t> </w:t>
      </w:r>
      <w:r>
        <w:rPr>
          <w:color w:val="231F20"/>
          <w:spacing w:val="-6"/>
        </w:rPr>
        <w:t>usuarios.</w:t>
      </w:r>
    </w:p>
    <w:p>
      <w:pPr>
        <w:pStyle w:val="BodyText"/>
        <w:spacing w:before="11"/>
        <w:rPr>
          <w:sz w:val="20"/>
        </w:rPr>
      </w:pPr>
    </w:p>
    <w:p>
      <w:pPr>
        <w:spacing w:line="247" w:lineRule="auto" w:before="0"/>
        <w:ind w:left="1590" w:right="1237" w:firstLine="0"/>
        <w:jc w:val="left"/>
        <w:rPr>
          <w:rFonts w:ascii="Trebuchet MS" w:hAnsi="Trebuchet MS"/>
          <w:sz w:val="16"/>
        </w:rPr>
      </w:pPr>
      <w:r>
        <w:rPr>
          <w:rFonts w:ascii="Trebuchet MS" w:hAnsi="Trebuchet MS"/>
          <w:color w:val="231F20"/>
          <w:sz w:val="16"/>
        </w:rPr>
        <w:t>Universidad Autónoma Chapingo. e-mail: cruzla59@yahoo.com.ar; Miguel Uribe Gómez; Pedro Correa Navarro; María del Rocío Ruenes Morales. Universidad Autónoma de Yucatán; Teresa terrazas Salgado. Universidad Nacio- nal Autónoma de México; Héctor Tovar Soto. Instituto Tecnológico de Ciudad Altamirano.</w:t>
      </w:r>
    </w:p>
    <w:p>
      <w:pPr>
        <w:spacing w:after="0" w:line="247" w:lineRule="auto"/>
        <w:jc w:val="left"/>
        <w:rPr>
          <w:rFonts w:ascii="Trebuchet MS" w:hAnsi="Trebuchet MS"/>
          <w:sz w:val="16"/>
        </w:rPr>
        <w:sectPr>
          <w:pgSz w:w="10920" w:h="13080"/>
          <w:pgMar w:header="0" w:footer="965" w:top="420" w:bottom="1220" w:left="0" w:right="0"/>
        </w:sectPr>
      </w:pPr>
    </w:p>
    <w:p>
      <w:pPr>
        <w:pStyle w:val="BodyText"/>
        <w:rPr>
          <w:rFonts w:ascii="Trebuchet MS"/>
          <w:sz w:val="20"/>
        </w:rPr>
      </w:pPr>
    </w:p>
    <w:p>
      <w:pPr>
        <w:pStyle w:val="BodyText"/>
        <w:rPr>
          <w:rFonts w:ascii="Trebuchet MS"/>
          <w:sz w:val="20"/>
        </w:rPr>
      </w:pPr>
    </w:p>
    <w:p>
      <w:pPr>
        <w:pStyle w:val="BodyText"/>
        <w:spacing w:before="9"/>
        <w:rPr>
          <w:rFonts w:ascii="Trebuchet MS"/>
        </w:rPr>
      </w:pPr>
    </w:p>
    <w:p>
      <w:pPr>
        <w:pStyle w:val="Heading3"/>
        <w:spacing w:before="69"/>
      </w:pPr>
      <w:r>
        <w:rPr>
          <w:color w:val="010202"/>
        </w:rPr>
        <w:t>Materiales y métodos</w:t>
      </w:r>
    </w:p>
    <w:p>
      <w:pPr>
        <w:pStyle w:val="BodyText"/>
        <w:spacing w:before="10"/>
        <w:rPr>
          <w:b/>
        </w:rPr>
      </w:pPr>
    </w:p>
    <w:p>
      <w:pPr>
        <w:pStyle w:val="BodyText"/>
        <w:spacing w:line="247" w:lineRule="auto"/>
        <w:ind w:left="1270" w:right="1267"/>
        <w:jc w:val="both"/>
      </w:pPr>
      <w:r>
        <w:rPr>
          <w:color w:val="231F20"/>
        </w:rPr>
        <w:t>Las actividades de la red de ciruela han estado ligadas a acciones relacionadas con los aspectos de conocimiento de especies de </w:t>
      </w:r>
      <w:r>
        <w:rPr>
          <w:i/>
          <w:color w:val="231F20"/>
        </w:rPr>
        <w:t>Spondias </w:t>
      </w:r>
      <w:r>
        <w:rPr>
          <w:color w:val="231F20"/>
        </w:rPr>
        <w:t>sp reportadas para México, por ello el primer trabajo fue la revisión de los ejemplares de herbario de 12 instituciones, tres de ellas internacionales, de donde   se obtuvo el dato de 735 muestras herbarios para el género. Con esta información se concluye la existencia de solo tres especies. A partir de esta información se iniciaron los trabajos de colecta de frutos con fines de caracterización de la diversidad genética de Spondias purpurea. Posteriormente, se colectó material vegetativo representativo de los tipos identificados en lagunas regiones de nues- tro país. Dado que la reproducción de esta especie es vegetativa y que las semillas, por lo general, no germinan, se colectaron materiales para ser establecidos en dos bancos de trabajo, uno en Méri- da </w:t>
      </w:r>
      <w:r>
        <w:rPr>
          <w:color w:val="231F20"/>
          <w:spacing w:val="-4"/>
        </w:rPr>
        <w:t>Yucatán </w:t>
      </w:r>
      <w:r>
        <w:rPr>
          <w:color w:val="231F20"/>
        </w:rPr>
        <w:t>y el otro en Ciudad Altamirano, Guerrero, en donde se realizarán las caracterizaciones pertinentes y posteriormente se enviarán los materiales al Centro Nacional de conservación de las especies. Paralelamente se han realizado trabajos de investigación etnobotánica y se ha trabajado</w:t>
      </w:r>
      <w:r>
        <w:rPr>
          <w:color w:val="231F20"/>
          <w:spacing w:val="-28"/>
        </w:rPr>
        <w:t> </w:t>
      </w:r>
      <w:r>
        <w:rPr>
          <w:color w:val="231F20"/>
        </w:rPr>
        <w:t>en la</w:t>
      </w:r>
      <w:r>
        <w:rPr>
          <w:color w:val="231F20"/>
          <w:spacing w:val="-5"/>
        </w:rPr>
        <w:t> </w:t>
      </w:r>
      <w:r>
        <w:rPr>
          <w:color w:val="231F20"/>
        </w:rPr>
        <w:t>conformación</w:t>
      </w:r>
      <w:r>
        <w:rPr>
          <w:color w:val="231F20"/>
          <w:spacing w:val="-6"/>
        </w:rPr>
        <w:t> </w:t>
      </w:r>
      <w:r>
        <w:rPr>
          <w:color w:val="231F20"/>
        </w:rPr>
        <w:t>de</w:t>
      </w:r>
      <w:r>
        <w:rPr>
          <w:color w:val="231F20"/>
          <w:spacing w:val="-5"/>
        </w:rPr>
        <w:t> </w:t>
      </w:r>
      <w:r>
        <w:rPr>
          <w:color w:val="231F20"/>
        </w:rPr>
        <w:t>la</w:t>
      </w:r>
      <w:r>
        <w:rPr>
          <w:color w:val="231F20"/>
          <w:spacing w:val="-5"/>
        </w:rPr>
        <w:t> </w:t>
      </w:r>
      <w:r>
        <w:rPr>
          <w:color w:val="231F20"/>
        </w:rPr>
        <w:t>red</w:t>
      </w:r>
      <w:r>
        <w:rPr>
          <w:color w:val="231F20"/>
          <w:spacing w:val="-5"/>
        </w:rPr>
        <w:t> </w:t>
      </w:r>
      <w:r>
        <w:rPr>
          <w:color w:val="231F20"/>
        </w:rPr>
        <w:t>de</w:t>
      </w:r>
      <w:r>
        <w:rPr>
          <w:color w:val="231F20"/>
          <w:spacing w:val="-5"/>
        </w:rPr>
        <w:t> </w:t>
      </w:r>
      <w:r>
        <w:rPr>
          <w:color w:val="231F20"/>
        </w:rPr>
        <w:t>ciruela.</w:t>
      </w:r>
      <w:r>
        <w:rPr>
          <w:color w:val="231F20"/>
          <w:spacing w:val="-17"/>
        </w:rPr>
        <w:t> </w:t>
      </w:r>
      <w:r>
        <w:rPr>
          <w:color w:val="231F20"/>
        </w:rPr>
        <w:t>Actualmente</w:t>
      </w:r>
      <w:r>
        <w:rPr>
          <w:color w:val="231F20"/>
          <w:spacing w:val="-4"/>
        </w:rPr>
        <w:t> </w:t>
      </w:r>
      <w:r>
        <w:rPr>
          <w:color w:val="231F20"/>
        </w:rPr>
        <w:t>se</w:t>
      </w:r>
      <w:r>
        <w:rPr>
          <w:color w:val="231F20"/>
          <w:spacing w:val="-5"/>
        </w:rPr>
        <w:t> </w:t>
      </w:r>
      <w:r>
        <w:rPr>
          <w:color w:val="231F20"/>
        </w:rPr>
        <w:t>trabaja</w:t>
      </w:r>
      <w:r>
        <w:rPr>
          <w:color w:val="231F20"/>
          <w:spacing w:val="-5"/>
        </w:rPr>
        <w:t> </w:t>
      </w:r>
      <w:r>
        <w:rPr>
          <w:color w:val="231F20"/>
        </w:rPr>
        <w:t>en</w:t>
      </w:r>
      <w:r>
        <w:rPr>
          <w:color w:val="231F20"/>
          <w:spacing w:val="-5"/>
        </w:rPr>
        <w:t> </w:t>
      </w:r>
      <w:r>
        <w:rPr>
          <w:color w:val="231F20"/>
        </w:rPr>
        <w:t>incremento</w:t>
      </w:r>
      <w:r>
        <w:rPr>
          <w:color w:val="231F20"/>
          <w:spacing w:val="-6"/>
        </w:rPr>
        <w:t> </w:t>
      </w:r>
      <w:r>
        <w:rPr>
          <w:color w:val="231F20"/>
        </w:rPr>
        <w:t>de</w:t>
      </w:r>
      <w:r>
        <w:rPr>
          <w:color w:val="231F20"/>
          <w:spacing w:val="-5"/>
        </w:rPr>
        <w:t> </w:t>
      </w:r>
      <w:r>
        <w:rPr>
          <w:color w:val="231F20"/>
        </w:rPr>
        <w:t>los</w:t>
      </w:r>
      <w:r>
        <w:rPr>
          <w:color w:val="231F20"/>
          <w:spacing w:val="-5"/>
        </w:rPr>
        <w:t> </w:t>
      </w:r>
      <w:r>
        <w:rPr>
          <w:color w:val="231F20"/>
        </w:rPr>
        <w:t>lugares</w:t>
      </w:r>
      <w:r>
        <w:rPr>
          <w:color w:val="231F20"/>
          <w:spacing w:val="-5"/>
        </w:rPr>
        <w:t> </w:t>
      </w:r>
      <w:r>
        <w:rPr>
          <w:color w:val="231F20"/>
        </w:rPr>
        <w:t>colectados y la descripción de los sistemas de cultivo utilizados en el</w:t>
      </w:r>
      <w:r>
        <w:rPr>
          <w:color w:val="231F20"/>
          <w:spacing w:val="-10"/>
        </w:rPr>
        <w:t> </w:t>
      </w:r>
      <w:r>
        <w:rPr>
          <w:color w:val="231F20"/>
        </w:rPr>
        <w:t>género.</w:t>
      </w:r>
    </w:p>
    <w:p>
      <w:pPr>
        <w:pStyle w:val="BodyText"/>
        <w:spacing w:before="9"/>
        <w:rPr>
          <w:sz w:val="22"/>
        </w:rPr>
      </w:pPr>
    </w:p>
    <w:p>
      <w:pPr>
        <w:pStyle w:val="Heading3"/>
        <w:spacing w:before="1"/>
      </w:pPr>
      <w:r>
        <w:rPr>
          <w:color w:val="010202"/>
        </w:rPr>
        <w:t>Análisis y discusión de resultados</w:t>
      </w:r>
    </w:p>
    <w:p>
      <w:pPr>
        <w:pStyle w:val="BodyText"/>
        <w:spacing w:before="10"/>
        <w:rPr>
          <w:b/>
        </w:rPr>
      </w:pPr>
    </w:p>
    <w:p>
      <w:pPr>
        <w:pStyle w:val="BodyText"/>
        <w:spacing w:line="247" w:lineRule="auto"/>
        <w:ind w:left="1270" w:right="1267"/>
        <w:jc w:val="both"/>
      </w:pPr>
      <w:r>
        <w:rPr>
          <w:color w:val="231F20"/>
        </w:rPr>
        <w:t>Las</w:t>
      </w:r>
      <w:r>
        <w:rPr>
          <w:color w:val="231F20"/>
          <w:spacing w:val="-11"/>
        </w:rPr>
        <w:t> </w:t>
      </w:r>
      <w:r>
        <w:rPr>
          <w:color w:val="231F20"/>
        </w:rPr>
        <w:t>actividades</w:t>
      </w:r>
      <w:r>
        <w:rPr>
          <w:color w:val="231F20"/>
          <w:spacing w:val="-12"/>
        </w:rPr>
        <w:t> </w:t>
      </w:r>
      <w:r>
        <w:rPr>
          <w:color w:val="231F20"/>
        </w:rPr>
        <w:t>de</w:t>
      </w:r>
      <w:r>
        <w:rPr>
          <w:color w:val="231F20"/>
          <w:spacing w:val="-11"/>
        </w:rPr>
        <w:t> </w:t>
      </w:r>
      <w:r>
        <w:rPr>
          <w:color w:val="231F20"/>
        </w:rPr>
        <w:t>investigación</w:t>
      </w:r>
      <w:r>
        <w:rPr>
          <w:color w:val="231F20"/>
          <w:spacing w:val="-11"/>
        </w:rPr>
        <w:t> </w:t>
      </w:r>
      <w:r>
        <w:rPr>
          <w:color w:val="231F20"/>
        </w:rPr>
        <w:t>asociadas</w:t>
      </w:r>
      <w:r>
        <w:rPr>
          <w:color w:val="231F20"/>
          <w:spacing w:val="-12"/>
        </w:rPr>
        <w:t> </w:t>
      </w:r>
      <w:r>
        <w:rPr>
          <w:color w:val="231F20"/>
        </w:rPr>
        <w:t>al</w:t>
      </w:r>
      <w:r>
        <w:rPr>
          <w:color w:val="231F20"/>
          <w:spacing w:val="-11"/>
        </w:rPr>
        <w:t> </w:t>
      </w:r>
      <w:r>
        <w:rPr>
          <w:color w:val="231F20"/>
        </w:rPr>
        <w:t>proyecto</w:t>
      </w:r>
      <w:r>
        <w:rPr>
          <w:color w:val="231F20"/>
          <w:spacing w:val="-11"/>
        </w:rPr>
        <w:t> </w:t>
      </w:r>
      <w:r>
        <w:rPr>
          <w:color w:val="231F20"/>
        </w:rPr>
        <w:t>han</w:t>
      </w:r>
      <w:r>
        <w:rPr>
          <w:color w:val="231F20"/>
          <w:spacing w:val="-11"/>
        </w:rPr>
        <w:t> </w:t>
      </w:r>
      <w:r>
        <w:rPr>
          <w:color w:val="231F20"/>
        </w:rPr>
        <w:t>sido</w:t>
      </w:r>
      <w:r>
        <w:rPr>
          <w:color w:val="231F20"/>
          <w:spacing w:val="-11"/>
        </w:rPr>
        <w:t> </w:t>
      </w:r>
      <w:r>
        <w:rPr>
          <w:color w:val="231F20"/>
        </w:rPr>
        <w:t>diversas</w:t>
      </w:r>
      <w:r>
        <w:rPr>
          <w:color w:val="231F20"/>
          <w:spacing w:val="-11"/>
        </w:rPr>
        <w:t> </w:t>
      </w:r>
      <w:r>
        <w:rPr>
          <w:color w:val="231F20"/>
        </w:rPr>
        <w:t>y</w:t>
      </w:r>
      <w:r>
        <w:rPr>
          <w:color w:val="231F20"/>
          <w:spacing w:val="-11"/>
        </w:rPr>
        <w:t> </w:t>
      </w:r>
      <w:r>
        <w:rPr>
          <w:color w:val="231F20"/>
        </w:rPr>
        <w:t>los</w:t>
      </w:r>
      <w:r>
        <w:rPr>
          <w:color w:val="231F20"/>
          <w:spacing w:val="-11"/>
        </w:rPr>
        <w:t> </w:t>
      </w:r>
      <w:r>
        <w:rPr>
          <w:color w:val="231F20"/>
        </w:rPr>
        <w:t>resultados</w:t>
      </w:r>
      <w:r>
        <w:rPr>
          <w:color w:val="231F20"/>
          <w:spacing w:val="-11"/>
        </w:rPr>
        <w:t> </w:t>
      </w:r>
      <w:r>
        <w:rPr>
          <w:color w:val="231F20"/>
        </w:rPr>
        <w:t>han</w:t>
      </w:r>
      <w:r>
        <w:rPr>
          <w:color w:val="231F20"/>
          <w:spacing w:val="-11"/>
        </w:rPr>
        <w:t> </w:t>
      </w:r>
      <w:r>
        <w:rPr>
          <w:color w:val="231F20"/>
        </w:rPr>
        <w:t>permiti- do</w:t>
      </w:r>
      <w:r>
        <w:rPr>
          <w:color w:val="231F20"/>
          <w:spacing w:val="-8"/>
        </w:rPr>
        <w:t> </w:t>
      </w:r>
      <w:r>
        <w:rPr>
          <w:color w:val="231F20"/>
        </w:rPr>
        <w:t>conocer</w:t>
      </w:r>
      <w:r>
        <w:rPr>
          <w:color w:val="231F20"/>
          <w:spacing w:val="-9"/>
        </w:rPr>
        <w:t> </w:t>
      </w:r>
      <w:r>
        <w:rPr>
          <w:color w:val="231F20"/>
        </w:rPr>
        <w:t>paulatinamente</w:t>
      </w:r>
      <w:r>
        <w:rPr>
          <w:color w:val="231F20"/>
          <w:spacing w:val="-8"/>
        </w:rPr>
        <w:t> </w:t>
      </w:r>
      <w:r>
        <w:rPr>
          <w:color w:val="231F20"/>
        </w:rPr>
        <w:t>al</w:t>
      </w:r>
      <w:r>
        <w:rPr>
          <w:color w:val="231F20"/>
          <w:spacing w:val="-8"/>
        </w:rPr>
        <w:t> </w:t>
      </w:r>
      <w:r>
        <w:rPr>
          <w:color w:val="231F20"/>
        </w:rPr>
        <w:t>conjunto</w:t>
      </w:r>
      <w:r>
        <w:rPr>
          <w:color w:val="231F20"/>
          <w:spacing w:val="-9"/>
        </w:rPr>
        <w:t> </w:t>
      </w:r>
      <w:r>
        <w:rPr>
          <w:color w:val="231F20"/>
        </w:rPr>
        <w:t>de</w:t>
      </w:r>
      <w:r>
        <w:rPr>
          <w:color w:val="231F20"/>
          <w:spacing w:val="-8"/>
        </w:rPr>
        <w:t> </w:t>
      </w:r>
      <w:r>
        <w:rPr>
          <w:color w:val="231F20"/>
        </w:rPr>
        <w:t>especies</w:t>
      </w:r>
      <w:r>
        <w:rPr>
          <w:color w:val="231F20"/>
          <w:spacing w:val="-9"/>
        </w:rPr>
        <w:t> </w:t>
      </w:r>
      <w:r>
        <w:rPr>
          <w:color w:val="231F20"/>
        </w:rPr>
        <w:t>pertenecientes</w:t>
      </w:r>
      <w:r>
        <w:rPr>
          <w:color w:val="231F20"/>
          <w:spacing w:val="-8"/>
        </w:rPr>
        <w:t> </w:t>
      </w:r>
      <w:r>
        <w:rPr>
          <w:color w:val="231F20"/>
        </w:rPr>
        <w:t>al</w:t>
      </w:r>
      <w:r>
        <w:rPr>
          <w:color w:val="231F20"/>
          <w:spacing w:val="-8"/>
        </w:rPr>
        <w:t> </w:t>
      </w:r>
      <w:r>
        <w:rPr>
          <w:color w:val="231F20"/>
        </w:rPr>
        <w:t>género.</w:t>
      </w:r>
      <w:r>
        <w:rPr>
          <w:color w:val="231F20"/>
          <w:spacing w:val="-8"/>
        </w:rPr>
        <w:t> </w:t>
      </w:r>
      <w:r>
        <w:rPr>
          <w:color w:val="231F20"/>
        </w:rPr>
        <w:t>El</w:t>
      </w:r>
      <w:r>
        <w:rPr>
          <w:color w:val="231F20"/>
          <w:spacing w:val="-8"/>
        </w:rPr>
        <w:t> </w:t>
      </w:r>
      <w:r>
        <w:rPr>
          <w:color w:val="231F20"/>
        </w:rPr>
        <w:t>diagnóstico</w:t>
      </w:r>
      <w:r>
        <w:rPr>
          <w:color w:val="231F20"/>
          <w:spacing w:val="-8"/>
        </w:rPr>
        <w:t> </w:t>
      </w:r>
      <w:r>
        <w:rPr>
          <w:color w:val="231F20"/>
        </w:rPr>
        <w:t>realizado como</w:t>
      </w:r>
      <w:r>
        <w:rPr>
          <w:color w:val="231F20"/>
          <w:spacing w:val="-6"/>
        </w:rPr>
        <w:t> </w:t>
      </w:r>
      <w:r>
        <w:rPr>
          <w:color w:val="231F20"/>
        </w:rPr>
        <w:t>tarea</w:t>
      </w:r>
      <w:r>
        <w:rPr>
          <w:color w:val="231F20"/>
          <w:spacing w:val="-7"/>
        </w:rPr>
        <w:t> </w:t>
      </w:r>
      <w:r>
        <w:rPr>
          <w:color w:val="231F20"/>
        </w:rPr>
        <w:t>inicial</w:t>
      </w:r>
      <w:r>
        <w:rPr>
          <w:color w:val="231F20"/>
          <w:spacing w:val="-7"/>
        </w:rPr>
        <w:t> </w:t>
      </w:r>
      <w:r>
        <w:rPr>
          <w:color w:val="231F20"/>
        </w:rPr>
        <w:t>de</w:t>
      </w:r>
      <w:r>
        <w:rPr>
          <w:color w:val="231F20"/>
          <w:spacing w:val="-6"/>
        </w:rPr>
        <w:t> </w:t>
      </w:r>
      <w:r>
        <w:rPr>
          <w:color w:val="231F20"/>
        </w:rPr>
        <w:t>la</w:t>
      </w:r>
      <w:r>
        <w:rPr>
          <w:color w:val="231F20"/>
          <w:spacing w:val="-6"/>
        </w:rPr>
        <w:t> </w:t>
      </w:r>
      <w:r>
        <w:rPr>
          <w:color w:val="231F20"/>
        </w:rPr>
        <w:t>red</w:t>
      </w:r>
      <w:r>
        <w:rPr>
          <w:color w:val="231F20"/>
          <w:spacing w:val="-6"/>
        </w:rPr>
        <w:t> </w:t>
      </w:r>
      <w:r>
        <w:rPr>
          <w:color w:val="231F20"/>
        </w:rPr>
        <w:t>de</w:t>
      </w:r>
      <w:r>
        <w:rPr>
          <w:color w:val="231F20"/>
          <w:spacing w:val="-6"/>
        </w:rPr>
        <w:t> </w:t>
      </w:r>
      <w:r>
        <w:rPr>
          <w:color w:val="231F20"/>
        </w:rPr>
        <w:t>ciruela</w:t>
      </w:r>
      <w:r>
        <w:rPr>
          <w:color w:val="231F20"/>
          <w:spacing w:val="-7"/>
        </w:rPr>
        <w:t> </w:t>
      </w:r>
      <w:r>
        <w:rPr>
          <w:color w:val="231F20"/>
        </w:rPr>
        <w:t>permitió</w:t>
      </w:r>
      <w:r>
        <w:rPr>
          <w:color w:val="231F20"/>
          <w:spacing w:val="41"/>
        </w:rPr>
        <w:t> </w:t>
      </w:r>
      <w:r>
        <w:rPr>
          <w:color w:val="231F20"/>
        </w:rPr>
        <w:t>establecer</w:t>
      </w:r>
      <w:r>
        <w:rPr>
          <w:color w:val="231F20"/>
          <w:spacing w:val="-7"/>
        </w:rPr>
        <w:t> </w:t>
      </w:r>
      <w:r>
        <w:rPr>
          <w:color w:val="231F20"/>
        </w:rPr>
        <w:t>el</w:t>
      </w:r>
      <w:r>
        <w:rPr>
          <w:color w:val="231F20"/>
          <w:spacing w:val="-6"/>
        </w:rPr>
        <w:t> </w:t>
      </w:r>
      <w:r>
        <w:rPr>
          <w:color w:val="231F20"/>
        </w:rPr>
        <w:t>estado</w:t>
      </w:r>
      <w:r>
        <w:rPr>
          <w:color w:val="231F20"/>
          <w:spacing w:val="-7"/>
        </w:rPr>
        <w:t> </w:t>
      </w:r>
      <w:r>
        <w:rPr>
          <w:color w:val="231F20"/>
        </w:rPr>
        <w:t>del</w:t>
      </w:r>
      <w:r>
        <w:rPr>
          <w:color w:val="231F20"/>
          <w:spacing w:val="-6"/>
        </w:rPr>
        <w:t> </w:t>
      </w:r>
      <w:r>
        <w:rPr>
          <w:color w:val="231F20"/>
        </w:rPr>
        <w:t>arte</w:t>
      </w:r>
      <w:r>
        <w:rPr>
          <w:color w:val="231F20"/>
          <w:spacing w:val="-7"/>
        </w:rPr>
        <w:t> </w:t>
      </w:r>
      <w:r>
        <w:rPr>
          <w:color w:val="231F20"/>
        </w:rPr>
        <w:t>de</w:t>
      </w:r>
      <w:r>
        <w:rPr>
          <w:color w:val="231F20"/>
          <w:spacing w:val="-6"/>
        </w:rPr>
        <w:t> </w:t>
      </w:r>
      <w:r>
        <w:rPr>
          <w:color w:val="231F20"/>
        </w:rPr>
        <w:t>la</w:t>
      </w:r>
      <w:r>
        <w:rPr>
          <w:color w:val="231F20"/>
          <w:spacing w:val="-6"/>
        </w:rPr>
        <w:t> </w:t>
      </w:r>
      <w:r>
        <w:rPr>
          <w:color w:val="231F20"/>
        </w:rPr>
        <w:t>investigación</w:t>
      </w:r>
      <w:r>
        <w:rPr>
          <w:color w:val="231F20"/>
          <w:spacing w:val="-7"/>
        </w:rPr>
        <w:t> </w:t>
      </w:r>
      <w:r>
        <w:rPr>
          <w:color w:val="231F20"/>
        </w:rPr>
        <w:t>sobre el tema, las conclusiones establecen que estas especies son marginales y salvo excepciones en algu- nas tesis y trabajos aislados, no son temas de investigación en nuestro país, esto contrasta con algu- nos</w:t>
      </w:r>
      <w:r>
        <w:rPr>
          <w:color w:val="231F20"/>
          <w:spacing w:val="-9"/>
        </w:rPr>
        <w:t> </w:t>
      </w:r>
      <w:r>
        <w:rPr>
          <w:color w:val="231F20"/>
        </w:rPr>
        <w:t>trabajos</w:t>
      </w:r>
      <w:r>
        <w:rPr>
          <w:color w:val="231F20"/>
          <w:spacing w:val="-9"/>
        </w:rPr>
        <w:t> </w:t>
      </w:r>
      <w:r>
        <w:rPr>
          <w:color w:val="231F20"/>
        </w:rPr>
        <w:t>en</w:t>
      </w:r>
      <w:r>
        <w:rPr>
          <w:color w:val="231F20"/>
          <w:spacing w:val="34"/>
        </w:rPr>
        <w:t> </w:t>
      </w:r>
      <w:r>
        <w:rPr>
          <w:color w:val="231F20"/>
        </w:rPr>
        <w:t>el</w:t>
      </w:r>
      <w:r>
        <w:rPr>
          <w:color w:val="231F20"/>
          <w:spacing w:val="-9"/>
        </w:rPr>
        <w:t> </w:t>
      </w:r>
      <w:r>
        <w:rPr>
          <w:color w:val="231F20"/>
        </w:rPr>
        <w:t>extranjero,</w:t>
      </w:r>
      <w:r>
        <w:rPr>
          <w:color w:val="231F20"/>
          <w:spacing w:val="-10"/>
        </w:rPr>
        <w:t> </w:t>
      </w:r>
      <w:r>
        <w:rPr>
          <w:color w:val="231F20"/>
        </w:rPr>
        <w:t>tal</w:t>
      </w:r>
      <w:r>
        <w:rPr>
          <w:color w:val="231F20"/>
          <w:spacing w:val="-9"/>
        </w:rPr>
        <w:t> </w:t>
      </w:r>
      <w:r>
        <w:rPr>
          <w:color w:val="231F20"/>
        </w:rPr>
        <w:t>es</w:t>
      </w:r>
      <w:r>
        <w:rPr>
          <w:color w:val="231F20"/>
          <w:spacing w:val="-9"/>
        </w:rPr>
        <w:t> </w:t>
      </w:r>
      <w:r>
        <w:rPr>
          <w:color w:val="231F20"/>
        </w:rPr>
        <w:t>el</w:t>
      </w:r>
      <w:r>
        <w:rPr>
          <w:color w:val="231F20"/>
          <w:spacing w:val="-9"/>
        </w:rPr>
        <w:t> </w:t>
      </w:r>
      <w:r>
        <w:rPr>
          <w:color w:val="231F20"/>
        </w:rPr>
        <w:t>caso</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trabajos</w:t>
      </w:r>
      <w:r>
        <w:rPr>
          <w:color w:val="231F20"/>
          <w:spacing w:val="-9"/>
        </w:rPr>
        <w:t> </w:t>
      </w:r>
      <w:r>
        <w:rPr>
          <w:color w:val="231F20"/>
        </w:rPr>
        <w:t>de</w:t>
      </w:r>
      <w:r>
        <w:rPr>
          <w:color w:val="231F20"/>
          <w:spacing w:val="-9"/>
        </w:rPr>
        <w:t> </w:t>
      </w:r>
      <w:r>
        <w:rPr>
          <w:color w:val="231F20"/>
        </w:rPr>
        <w:t>Miller</w:t>
      </w:r>
      <w:r>
        <w:rPr>
          <w:color w:val="231F20"/>
          <w:spacing w:val="-9"/>
        </w:rPr>
        <w:t> </w:t>
      </w:r>
      <w:r>
        <w:rPr>
          <w:i/>
          <w:color w:val="231F20"/>
        </w:rPr>
        <w:t>et</w:t>
      </w:r>
      <w:r>
        <w:rPr>
          <w:i/>
          <w:color w:val="231F20"/>
          <w:spacing w:val="-9"/>
        </w:rPr>
        <w:t> </w:t>
      </w:r>
      <w:r>
        <w:rPr>
          <w:i/>
          <w:color w:val="231F20"/>
        </w:rPr>
        <w:t>al.</w:t>
      </w:r>
      <w:r>
        <w:rPr>
          <w:i/>
          <w:color w:val="231F20"/>
          <w:spacing w:val="-9"/>
        </w:rPr>
        <w:t> </w:t>
      </w:r>
      <w:r>
        <w:rPr>
          <w:color w:val="231F20"/>
        </w:rPr>
        <w:t>(2005</w:t>
      </w:r>
      <w:r>
        <w:rPr>
          <w:color w:val="231F20"/>
          <w:spacing w:val="-9"/>
        </w:rPr>
        <w:t> </w:t>
      </w:r>
      <w:r>
        <w:rPr>
          <w:color w:val="231F20"/>
        </w:rPr>
        <w:t>y</w:t>
      </w:r>
      <w:r>
        <w:rPr>
          <w:color w:val="231F20"/>
          <w:spacing w:val="-9"/>
        </w:rPr>
        <w:t> </w:t>
      </w:r>
      <w:r>
        <w:rPr>
          <w:color w:val="231F20"/>
        </w:rPr>
        <w:t>2006).</w:t>
      </w:r>
      <w:r>
        <w:rPr>
          <w:color w:val="231F20"/>
          <w:spacing w:val="-13"/>
        </w:rPr>
        <w:t> </w:t>
      </w:r>
      <w:r>
        <w:rPr>
          <w:color w:val="231F20"/>
        </w:rPr>
        <w:t>También,</w:t>
      </w:r>
      <w:r>
        <w:rPr>
          <w:color w:val="231F20"/>
          <w:spacing w:val="-9"/>
        </w:rPr>
        <w:t> </w:t>
      </w:r>
      <w:r>
        <w:rPr>
          <w:color w:val="231F20"/>
        </w:rPr>
        <w:t>en las colectas de germoplasma de las especies del género que nos ocupa, desaparecieron junto con las instituciones, existen algunos trabajos aislados, pero hace falta el trabajo sistemático para reunir la diversidad</w:t>
      </w:r>
      <w:r>
        <w:rPr>
          <w:color w:val="231F20"/>
          <w:spacing w:val="-10"/>
        </w:rPr>
        <w:t> </w:t>
      </w:r>
      <w:r>
        <w:rPr>
          <w:color w:val="231F20"/>
        </w:rPr>
        <w:t>genética,</w:t>
      </w:r>
      <w:r>
        <w:rPr>
          <w:color w:val="231F20"/>
          <w:spacing w:val="-10"/>
        </w:rPr>
        <w:t> </w:t>
      </w:r>
      <w:r>
        <w:rPr>
          <w:color w:val="231F20"/>
        </w:rPr>
        <w:t>esto</w:t>
      </w:r>
      <w:r>
        <w:rPr>
          <w:color w:val="231F20"/>
          <w:spacing w:val="-10"/>
        </w:rPr>
        <w:t> </w:t>
      </w:r>
      <w:r>
        <w:rPr>
          <w:color w:val="231F20"/>
        </w:rPr>
        <w:t>se</w:t>
      </w:r>
      <w:r>
        <w:rPr>
          <w:color w:val="231F20"/>
          <w:spacing w:val="-10"/>
        </w:rPr>
        <w:t> </w:t>
      </w:r>
      <w:r>
        <w:rPr>
          <w:color w:val="231F20"/>
        </w:rPr>
        <w:t>dificultad,</w:t>
      </w:r>
      <w:r>
        <w:rPr>
          <w:color w:val="231F20"/>
          <w:spacing w:val="-10"/>
        </w:rPr>
        <w:t> </w:t>
      </w:r>
      <w:r>
        <w:rPr>
          <w:color w:val="231F20"/>
        </w:rPr>
        <w:t>ya</w:t>
      </w:r>
      <w:r>
        <w:rPr>
          <w:color w:val="231F20"/>
          <w:spacing w:val="-10"/>
        </w:rPr>
        <w:t> </w:t>
      </w:r>
      <w:r>
        <w:rPr>
          <w:color w:val="231F20"/>
        </w:rPr>
        <w:t>que</w:t>
      </w:r>
      <w:r>
        <w:rPr>
          <w:color w:val="231F20"/>
          <w:spacing w:val="-10"/>
        </w:rPr>
        <w:t> </w:t>
      </w:r>
      <w:r>
        <w:rPr>
          <w:color w:val="231F20"/>
        </w:rPr>
        <w:t>cuando</w:t>
      </w:r>
      <w:r>
        <w:rPr>
          <w:color w:val="231F20"/>
          <w:spacing w:val="-10"/>
        </w:rPr>
        <w:t> </w:t>
      </w:r>
      <w:r>
        <w:rPr>
          <w:color w:val="231F20"/>
        </w:rPr>
        <w:t>menos</w:t>
      </w:r>
      <w:r>
        <w:rPr>
          <w:color w:val="231F20"/>
          <w:spacing w:val="-10"/>
        </w:rPr>
        <w:t> </w:t>
      </w:r>
      <w:r>
        <w:rPr>
          <w:color w:val="231F20"/>
        </w:rPr>
        <w:t>para</w:t>
      </w:r>
      <w:r>
        <w:rPr>
          <w:color w:val="231F20"/>
          <w:spacing w:val="-10"/>
        </w:rPr>
        <w:t> </w:t>
      </w:r>
      <w:r>
        <w:rPr>
          <w:i/>
          <w:color w:val="231F20"/>
        </w:rPr>
        <w:t>Spondias</w:t>
      </w:r>
      <w:r>
        <w:rPr>
          <w:i/>
          <w:color w:val="231F20"/>
          <w:spacing w:val="-10"/>
        </w:rPr>
        <w:t> </w:t>
      </w:r>
      <w:r>
        <w:rPr>
          <w:i/>
          <w:color w:val="231F20"/>
        </w:rPr>
        <w:t>purpurea</w:t>
      </w:r>
      <w:r>
        <w:rPr>
          <w:color w:val="231F20"/>
        </w:rPr>
        <w:t>,</w:t>
      </w:r>
      <w:r>
        <w:rPr>
          <w:color w:val="231F20"/>
          <w:spacing w:val="-10"/>
        </w:rPr>
        <w:t> </w:t>
      </w:r>
      <w:r>
        <w:rPr>
          <w:color w:val="231F20"/>
        </w:rPr>
        <w:t>la</w:t>
      </w:r>
      <w:r>
        <w:rPr>
          <w:color w:val="231F20"/>
          <w:spacing w:val="-10"/>
        </w:rPr>
        <w:t> </w:t>
      </w:r>
      <w:r>
        <w:rPr>
          <w:color w:val="231F20"/>
        </w:rPr>
        <w:t>propagación vegetativa es obligatoria y esto tienen consecuencias sobre la infraestructura de colecta, habrá que mantener</w:t>
      </w:r>
      <w:r>
        <w:rPr>
          <w:color w:val="231F20"/>
          <w:spacing w:val="-11"/>
        </w:rPr>
        <w:t> </w:t>
      </w:r>
      <w:r>
        <w:rPr>
          <w:color w:val="231F20"/>
        </w:rPr>
        <w:t>colecciones</w:t>
      </w:r>
      <w:r>
        <w:rPr>
          <w:color w:val="231F20"/>
          <w:spacing w:val="-11"/>
        </w:rPr>
        <w:t> </w:t>
      </w:r>
      <w:r>
        <w:rPr>
          <w:color w:val="231F20"/>
        </w:rPr>
        <w:t>vivas</w:t>
      </w:r>
      <w:r>
        <w:rPr>
          <w:color w:val="231F20"/>
          <w:spacing w:val="-10"/>
        </w:rPr>
        <w:t> </w:t>
      </w:r>
      <w:r>
        <w:rPr>
          <w:color w:val="231F20"/>
        </w:rPr>
        <w:t>en</w:t>
      </w:r>
      <w:r>
        <w:rPr>
          <w:color w:val="231F20"/>
          <w:spacing w:val="-10"/>
        </w:rPr>
        <w:t> </w:t>
      </w:r>
      <w:r>
        <w:rPr>
          <w:color w:val="231F20"/>
        </w:rPr>
        <w:t>lugares</w:t>
      </w:r>
      <w:r>
        <w:rPr>
          <w:color w:val="231F20"/>
          <w:spacing w:val="-10"/>
        </w:rPr>
        <w:t> </w:t>
      </w:r>
      <w:r>
        <w:rPr>
          <w:color w:val="231F20"/>
        </w:rPr>
        <w:t>específicos</w:t>
      </w:r>
      <w:r>
        <w:rPr>
          <w:color w:val="231F20"/>
          <w:spacing w:val="-10"/>
        </w:rPr>
        <w:t> </w:t>
      </w:r>
      <w:r>
        <w:rPr>
          <w:color w:val="231F20"/>
        </w:rPr>
        <w:t>que</w:t>
      </w:r>
      <w:r>
        <w:rPr>
          <w:color w:val="231F20"/>
          <w:spacing w:val="-10"/>
        </w:rPr>
        <w:t> </w:t>
      </w:r>
      <w:r>
        <w:rPr>
          <w:color w:val="231F20"/>
        </w:rPr>
        <w:t>resultan</w:t>
      </w:r>
      <w:r>
        <w:rPr>
          <w:color w:val="231F20"/>
          <w:spacing w:val="-11"/>
        </w:rPr>
        <w:t> </w:t>
      </w:r>
      <w:r>
        <w:rPr>
          <w:color w:val="231F20"/>
        </w:rPr>
        <w:t>en</w:t>
      </w:r>
      <w:r>
        <w:rPr>
          <w:color w:val="231F20"/>
          <w:spacing w:val="-10"/>
        </w:rPr>
        <w:t> </w:t>
      </w:r>
      <w:r>
        <w:rPr>
          <w:color w:val="231F20"/>
        </w:rPr>
        <w:t>altos</w:t>
      </w:r>
      <w:r>
        <w:rPr>
          <w:color w:val="231F20"/>
          <w:spacing w:val="-10"/>
        </w:rPr>
        <w:t> </w:t>
      </w:r>
      <w:r>
        <w:rPr>
          <w:color w:val="231F20"/>
        </w:rPr>
        <w:t>costos</w:t>
      </w:r>
      <w:r>
        <w:rPr>
          <w:color w:val="231F20"/>
          <w:spacing w:val="-10"/>
        </w:rPr>
        <w:t> </w:t>
      </w:r>
      <w:r>
        <w:rPr>
          <w:color w:val="231F20"/>
        </w:rPr>
        <w:t>y</w:t>
      </w:r>
      <w:r>
        <w:rPr>
          <w:color w:val="231F20"/>
          <w:spacing w:val="-10"/>
        </w:rPr>
        <w:t> </w:t>
      </w:r>
      <w:r>
        <w:rPr>
          <w:color w:val="231F20"/>
        </w:rPr>
        <w:t>con</w:t>
      </w:r>
      <w:r>
        <w:rPr>
          <w:color w:val="231F20"/>
          <w:spacing w:val="23"/>
        </w:rPr>
        <w:t> </w:t>
      </w:r>
      <w:r>
        <w:rPr>
          <w:color w:val="231F20"/>
        </w:rPr>
        <w:t>riesgo</w:t>
      </w:r>
      <w:r>
        <w:rPr>
          <w:color w:val="231F20"/>
          <w:spacing w:val="-10"/>
        </w:rPr>
        <w:t> </w:t>
      </w:r>
      <w:r>
        <w:rPr>
          <w:color w:val="231F20"/>
        </w:rPr>
        <w:t>de</w:t>
      </w:r>
      <w:r>
        <w:rPr>
          <w:color w:val="231F20"/>
          <w:spacing w:val="-10"/>
        </w:rPr>
        <w:t> </w:t>
      </w:r>
      <w:r>
        <w:rPr>
          <w:color w:val="231F20"/>
        </w:rPr>
        <w:t>pérdi- da.</w:t>
      </w:r>
      <w:r>
        <w:rPr>
          <w:color w:val="231F20"/>
          <w:spacing w:val="-8"/>
        </w:rPr>
        <w:t> </w:t>
      </w:r>
      <w:r>
        <w:rPr>
          <w:color w:val="231F20"/>
        </w:rPr>
        <w:t>Para</w:t>
      </w:r>
      <w:r>
        <w:rPr>
          <w:color w:val="231F20"/>
          <w:spacing w:val="-8"/>
        </w:rPr>
        <w:t> </w:t>
      </w:r>
      <w:r>
        <w:rPr>
          <w:color w:val="231F20"/>
        </w:rPr>
        <w:t>las</w:t>
      </w:r>
      <w:r>
        <w:rPr>
          <w:color w:val="231F20"/>
          <w:spacing w:val="-8"/>
        </w:rPr>
        <w:t> </w:t>
      </w:r>
      <w:r>
        <w:rPr>
          <w:color w:val="231F20"/>
        </w:rPr>
        <w:t>otras</w:t>
      </w:r>
      <w:r>
        <w:rPr>
          <w:color w:val="231F20"/>
          <w:spacing w:val="-8"/>
        </w:rPr>
        <w:t> </w:t>
      </w:r>
      <w:r>
        <w:rPr>
          <w:color w:val="231F20"/>
        </w:rPr>
        <w:t>dos</w:t>
      </w:r>
      <w:r>
        <w:rPr>
          <w:color w:val="231F20"/>
          <w:spacing w:val="-8"/>
        </w:rPr>
        <w:t> </w:t>
      </w:r>
      <w:r>
        <w:rPr>
          <w:color w:val="231F20"/>
        </w:rPr>
        <w:t>especies,</w:t>
      </w:r>
      <w:r>
        <w:rPr>
          <w:color w:val="231F20"/>
          <w:spacing w:val="-8"/>
        </w:rPr>
        <w:t> </w:t>
      </w:r>
      <w:r>
        <w:rPr>
          <w:color w:val="231F20"/>
        </w:rPr>
        <w:t>las</w:t>
      </w:r>
      <w:r>
        <w:rPr>
          <w:color w:val="231F20"/>
          <w:spacing w:val="-8"/>
        </w:rPr>
        <w:t> </w:t>
      </w:r>
      <w:r>
        <w:rPr>
          <w:color w:val="231F20"/>
        </w:rPr>
        <w:t>colecciones</w:t>
      </w:r>
      <w:r>
        <w:rPr>
          <w:color w:val="231F20"/>
          <w:spacing w:val="-8"/>
        </w:rPr>
        <w:t> </w:t>
      </w:r>
      <w:r>
        <w:rPr>
          <w:color w:val="231F20"/>
        </w:rPr>
        <w:t>vivas</w:t>
      </w:r>
      <w:r>
        <w:rPr>
          <w:color w:val="231F20"/>
          <w:spacing w:val="-8"/>
        </w:rPr>
        <w:t> </w:t>
      </w:r>
      <w:r>
        <w:rPr>
          <w:color w:val="231F20"/>
        </w:rPr>
        <w:t>pueden</w:t>
      </w:r>
      <w:r>
        <w:rPr>
          <w:color w:val="231F20"/>
          <w:spacing w:val="-8"/>
        </w:rPr>
        <w:t> </w:t>
      </w:r>
      <w:r>
        <w:rPr>
          <w:color w:val="231F20"/>
        </w:rPr>
        <w:t>ser</w:t>
      </w:r>
      <w:r>
        <w:rPr>
          <w:color w:val="231F20"/>
          <w:spacing w:val="-8"/>
        </w:rPr>
        <w:t> </w:t>
      </w:r>
      <w:r>
        <w:rPr>
          <w:color w:val="231F20"/>
        </w:rPr>
        <w:t>sustituidas</w:t>
      </w:r>
      <w:r>
        <w:rPr>
          <w:color w:val="231F20"/>
          <w:spacing w:val="-7"/>
        </w:rPr>
        <w:t> </w:t>
      </w:r>
      <w:r>
        <w:rPr>
          <w:color w:val="231F20"/>
        </w:rPr>
        <w:t>por</w:t>
      </w:r>
      <w:r>
        <w:rPr>
          <w:color w:val="231F20"/>
          <w:spacing w:val="-8"/>
        </w:rPr>
        <w:t> </w:t>
      </w:r>
      <w:r>
        <w:rPr>
          <w:color w:val="231F20"/>
        </w:rPr>
        <w:t>semilla,</w:t>
      </w:r>
      <w:r>
        <w:rPr>
          <w:color w:val="231F20"/>
          <w:spacing w:val="-7"/>
        </w:rPr>
        <w:t> </w:t>
      </w:r>
      <w:r>
        <w:rPr>
          <w:color w:val="231F20"/>
        </w:rPr>
        <w:t>sin</w:t>
      </w:r>
      <w:r>
        <w:rPr>
          <w:color w:val="231F20"/>
          <w:spacing w:val="-8"/>
        </w:rPr>
        <w:t> </w:t>
      </w:r>
      <w:r>
        <w:rPr>
          <w:color w:val="231F20"/>
        </w:rPr>
        <w:t>embargo, la longevidad de estas es algo poco estudiado y por su condición de cultivo tropical, la viabilidad pudiera ser limitada a largo plazo. Con la información de los herbarios fue posible establecer que únicamente existen tres especies del género </w:t>
      </w:r>
      <w:r>
        <w:rPr>
          <w:i/>
          <w:color w:val="231F20"/>
        </w:rPr>
        <w:t>Spondias </w:t>
      </w:r>
      <w:r>
        <w:rPr>
          <w:color w:val="231F20"/>
        </w:rPr>
        <w:t>en México, a saber: </w:t>
      </w:r>
      <w:r>
        <w:rPr>
          <w:i/>
          <w:color w:val="231F20"/>
        </w:rPr>
        <w:t>S. purpurea</w:t>
      </w:r>
      <w:r>
        <w:rPr>
          <w:color w:val="231F20"/>
        </w:rPr>
        <w:t>, </w:t>
      </w:r>
      <w:r>
        <w:rPr>
          <w:i/>
          <w:color w:val="231F20"/>
        </w:rPr>
        <w:t>S. mombin</w:t>
      </w:r>
      <w:r>
        <w:rPr>
          <w:i/>
          <w:color w:val="231F20"/>
          <w:spacing w:val="-12"/>
        </w:rPr>
        <w:t> </w:t>
      </w:r>
      <w:r>
        <w:rPr>
          <w:color w:val="231F20"/>
        </w:rPr>
        <w:t>y</w:t>
      </w:r>
    </w:p>
    <w:p>
      <w:pPr>
        <w:pStyle w:val="ListParagraph"/>
        <w:numPr>
          <w:ilvl w:val="0"/>
          <w:numId w:val="6"/>
        </w:numPr>
        <w:tabs>
          <w:tab w:pos="1481" w:val="left" w:leader="none"/>
        </w:tabs>
        <w:spacing w:line="240" w:lineRule="auto" w:before="1" w:after="0"/>
        <w:ind w:left="1480" w:right="0" w:hanging="210"/>
        <w:jc w:val="both"/>
        <w:rPr>
          <w:sz w:val="21"/>
        </w:rPr>
      </w:pPr>
      <w:r>
        <w:rPr>
          <w:i/>
          <w:color w:val="231F20"/>
          <w:sz w:val="21"/>
        </w:rPr>
        <w:t>radlkoferi </w:t>
      </w:r>
      <w:r>
        <w:rPr>
          <w:color w:val="231F20"/>
          <w:sz w:val="21"/>
        </w:rPr>
        <w:t>en México, a pesar de que la CONABIO menciona la existencia de una nueva</w:t>
      </w:r>
      <w:r>
        <w:rPr>
          <w:color w:val="231F20"/>
          <w:spacing w:val="-9"/>
          <w:sz w:val="21"/>
        </w:rPr>
        <w:t> </w:t>
      </w:r>
      <w:r>
        <w:rPr>
          <w:color w:val="231F20"/>
          <w:sz w:val="21"/>
        </w:rPr>
        <w:t>especie.</w:t>
      </w:r>
    </w:p>
    <w:p>
      <w:pPr>
        <w:pStyle w:val="BodyText"/>
        <w:spacing w:before="5"/>
        <w:rPr>
          <w:sz w:val="22"/>
        </w:rPr>
      </w:pPr>
    </w:p>
    <w:p>
      <w:pPr>
        <w:pStyle w:val="BodyText"/>
        <w:spacing w:line="247" w:lineRule="auto"/>
        <w:ind w:left="1270" w:right="1267"/>
        <w:jc w:val="both"/>
      </w:pPr>
      <w:r>
        <w:rPr>
          <w:color w:val="231F20"/>
        </w:rPr>
        <w:t>Con</w:t>
      </w:r>
      <w:r>
        <w:rPr>
          <w:color w:val="231F20"/>
          <w:spacing w:val="-11"/>
        </w:rPr>
        <w:t> </w:t>
      </w:r>
      <w:r>
        <w:rPr>
          <w:color w:val="231F20"/>
        </w:rPr>
        <w:t>base</w:t>
      </w:r>
      <w:r>
        <w:rPr>
          <w:color w:val="231F20"/>
          <w:spacing w:val="-11"/>
        </w:rPr>
        <w:t> </w:t>
      </w:r>
      <w:r>
        <w:rPr>
          <w:color w:val="231F20"/>
        </w:rPr>
        <w:t>en</w:t>
      </w:r>
      <w:r>
        <w:rPr>
          <w:color w:val="231F20"/>
          <w:spacing w:val="-11"/>
        </w:rPr>
        <w:t> </w:t>
      </w:r>
      <w:r>
        <w:rPr>
          <w:color w:val="231F20"/>
        </w:rPr>
        <w:t>los</w:t>
      </w:r>
      <w:r>
        <w:rPr>
          <w:color w:val="231F20"/>
          <w:spacing w:val="-11"/>
        </w:rPr>
        <w:t> </w:t>
      </w:r>
      <w:r>
        <w:rPr>
          <w:color w:val="231F20"/>
        </w:rPr>
        <w:t>trabajos</w:t>
      </w:r>
      <w:r>
        <w:rPr>
          <w:color w:val="231F20"/>
          <w:spacing w:val="-12"/>
        </w:rPr>
        <w:t> </w:t>
      </w:r>
      <w:r>
        <w:rPr>
          <w:color w:val="231F20"/>
        </w:rPr>
        <w:t>Etnobotánicos</w:t>
      </w:r>
      <w:r>
        <w:rPr>
          <w:color w:val="231F20"/>
          <w:spacing w:val="-12"/>
        </w:rPr>
        <w:t> </w:t>
      </w:r>
      <w:r>
        <w:rPr>
          <w:color w:val="231F20"/>
        </w:rPr>
        <w:t>se</w:t>
      </w:r>
      <w:r>
        <w:rPr>
          <w:color w:val="231F20"/>
          <w:spacing w:val="-11"/>
        </w:rPr>
        <w:t> </w:t>
      </w:r>
      <w:r>
        <w:rPr>
          <w:color w:val="231F20"/>
        </w:rPr>
        <w:t>ha</w:t>
      </w:r>
      <w:r>
        <w:rPr>
          <w:color w:val="231F20"/>
          <w:spacing w:val="-11"/>
        </w:rPr>
        <w:t> </w:t>
      </w:r>
      <w:r>
        <w:rPr>
          <w:color w:val="231F20"/>
        </w:rPr>
        <w:t>reunido</w:t>
      </w:r>
      <w:r>
        <w:rPr>
          <w:color w:val="231F20"/>
          <w:spacing w:val="-11"/>
        </w:rPr>
        <w:t> </w:t>
      </w:r>
      <w:r>
        <w:rPr>
          <w:color w:val="231F20"/>
        </w:rPr>
        <w:t>información</w:t>
      </w:r>
      <w:r>
        <w:rPr>
          <w:color w:val="231F20"/>
          <w:spacing w:val="-12"/>
        </w:rPr>
        <w:t> </w:t>
      </w:r>
      <w:r>
        <w:rPr>
          <w:color w:val="231F20"/>
        </w:rPr>
        <w:t>sobre</w:t>
      </w:r>
      <w:r>
        <w:rPr>
          <w:color w:val="231F20"/>
          <w:spacing w:val="-11"/>
        </w:rPr>
        <w:t> </w:t>
      </w:r>
      <w:r>
        <w:rPr>
          <w:color w:val="231F20"/>
        </w:rPr>
        <w:t>la</w:t>
      </w:r>
      <w:r>
        <w:rPr>
          <w:color w:val="231F20"/>
          <w:spacing w:val="-11"/>
        </w:rPr>
        <w:t> </w:t>
      </w:r>
      <w:r>
        <w:rPr>
          <w:color w:val="231F20"/>
        </w:rPr>
        <w:t>diversidad</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especies, en esta primera fase se tiene un acercamiento a jocote (</w:t>
      </w:r>
      <w:r>
        <w:rPr>
          <w:i/>
          <w:color w:val="231F20"/>
        </w:rPr>
        <w:t>Spondias purpurea</w:t>
      </w:r>
      <w:r>
        <w:rPr>
          <w:color w:val="231F20"/>
        </w:rPr>
        <w:t>), y es evidente una gran diversidad</w:t>
      </w:r>
      <w:r>
        <w:rPr>
          <w:color w:val="231F20"/>
          <w:spacing w:val="-5"/>
        </w:rPr>
        <w:t> </w:t>
      </w:r>
      <w:r>
        <w:rPr>
          <w:color w:val="231F20"/>
        </w:rPr>
        <w:t>localizada</w:t>
      </w:r>
      <w:r>
        <w:rPr>
          <w:color w:val="231F20"/>
          <w:spacing w:val="-5"/>
        </w:rPr>
        <w:t> </w:t>
      </w:r>
      <w:r>
        <w:rPr>
          <w:color w:val="231F20"/>
        </w:rPr>
        <w:t>en</w:t>
      </w:r>
      <w:r>
        <w:rPr>
          <w:color w:val="231F20"/>
          <w:spacing w:val="-5"/>
        </w:rPr>
        <w:t> </w:t>
      </w:r>
      <w:r>
        <w:rPr>
          <w:color w:val="231F20"/>
        </w:rPr>
        <w:t>los</w:t>
      </w:r>
      <w:r>
        <w:rPr>
          <w:color w:val="231F20"/>
          <w:spacing w:val="-5"/>
        </w:rPr>
        <w:t> </w:t>
      </w:r>
      <w:r>
        <w:rPr>
          <w:color w:val="231F20"/>
        </w:rPr>
        <w:t>huertos</w:t>
      </w:r>
      <w:r>
        <w:rPr>
          <w:color w:val="231F20"/>
          <w:spacing w:val="-5"/>
        </w:rPr>
        <w:t> </w:t>
      </w:r>
      <w:r>
        <w:rPr>
          <w:color w:val="231F20"/>
        </w:rPr>
        <w:t>familiares.</w:t>
      </w:r>
      <w:r>
        <w:rPr>
          <w:color w:val="231F20"/>
          <w:spacing w:val="-8"/>
        </w:rPr>
        <w:t> </w:t>
      </w:r>
      <w:r>
        <w:rPr>
          <w:color w:val="231F20"/>
          <w:spacing w:val="-3"/>
        </w:rPr>
        <w:t>También</w:t>
      </w:r>
      <w:r>
        <w:rPr>
          <w:color w:val="231F20"/>
          <w:spacing w:val="-5"/>
        </w:rPr>
        <w:t> </w:t>
      </w:r>
      <w:r>
        <w:rPr>
          <w:color w:val="231F20"/>
        </w:rPr>
        <w:t>la</w:t>
      </w:r>
      <w:r>
        <w:rPr>
          <w:color w:val="231F20"/>
          <w:spacing w:val="-5"/>
        </w:rPr>
        <w:t> </w:t>
      </w:r>
      <w:r>
        <w:rPr>
          <w:color w:val="231F20"/>
        </w:rPr>
        <w:t>existencia</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tipos</w:t>
      </w:r>
      <w:r>
        <w:rPr>
          <w:color w:val="231F20"/>
          <w:spacing w:val="-5"/>
        </w:rPr>
        <w:t> </w:t>
      </w:r>
      <w:r>
        <w:rPr>
          <w:color w:val="231F20"/>
        </w:rPr>
        <w:t>silvestres,</w:t>
      </w:r>
      <w:r>
        <w:rPr>
          <w:color w:val="231F20"/>
          <w:spacing w:val="-4"/>
        </w:rPr>
        <w:t> </w:t>
      </w:r>
      <w:r>
        <w:rPr>
          <w:color w:val="231F20"/>
        </w:rPr>
        <w:t>mismos que son aprovechados por los campesinos para consumo de frutos en diferentes platillos regionales que</w:t>
      </w:r>
      <w:r>
        <w:rPr>
          <w:color w:val="231F20"/>
          <w:spacing w:val="19"/>
        </w:rPr>
        <w:t> </w:t>
      </w:r>
      <w:r>
        <w:rPr>
          <w:color w:val="231F20"/>
        </w:rPr>
        <w:t>enriquecen</w:t>
      </w:r>
      <w:r>
        <w:rPr>
          <w:color w:val="231F20"/>
          <w:spacing w:val="18"/>
        </w:rPr>
        <w:t> </w:t>
      </w:r>
      <w:r>
        <w:rPr>
          <w:color w:val="231F20"/>
        </w:rPr>
        <w:t>la</w:t>
      </w:r>
      <w:r>
        <w:rPr>
          <w:color w:val="231F20"/>
          <w:spacing w:val="19"/>
        </w:rPr>
        <w:t> </w:t>
      </w:r>
      <w:r>
        <w:rPr>
          <w:color w:val="231F20"/>
        </w:rPr>
        <w:t>culinaria</w:t>
      </w:r>
      <w:r>
        <w:rPr>
          <w:color w:val="231F20"/>
          <w:spacing w:val="18"/>
        </w:rPr>
        <w:t> </w:t>
      </w:r>
      <w:r>
        <w:rPr>
          <w:color w:val="231F20"/>
        </w:rPr>
        <w:t>mexicana,</w:t>
      </w:r>
      <w:r>
        <w:rPr>
          <w:color w:val="231F20"/>
          <w:spacing w:val="18"/>
        </w:rPr>
        <w:t> </w:t>
      </w:r>
      <w:r>
        <w:rPr>
          <w:color w:val="231F20"/>
        </w:rPr>
        <w:t>ya</w:t>
      </w:r>
      <w:r>
        <w:rPr>
          <w:color w:val="231F20"/>
          <w:spacing w:val="19"/>
        </w:rPr>
        <w:t> </w:t>
      </w:r>
      <w:r>
        <w:rPr>
          <w:color w:val="231F20"/>
        </w:rPr>
        <w:t>que</w:t>
      </w:r>
      <w:r>
        <w:rPr>
          <w:color w:val="231F20"/>
          <w:spacing w:val="19"/>
        </w:rPr>
        <w:t> </w:t>
      </w:r>
      <w:r>
        <w:rPr>
          <w:color w:val="231F20"/>
        </w:rPr>
        <w:t>se</w:t>
      </w:r>
      <w:r>
        <w:rPr>
          <w:color w:val="231F20"/>
          <w:spacing w:val="19"/>
        </w:rPr>
        <w:t> </w:t>
      </w:r>
      <w:r>
        <w:rPr>
          <w:color w:val="231F20"/>
        </w:rPr>
        <w:t>encuentran</w:t>
      </w:r>
      <w:r>
        <w:rPr>
          <w:color w:val="231F20"/>
          <w:spacing w:val="18"/>
        </w:rPr>
        <w:t> </w:t>
      </w:r>
      <w:r>
        <w:rPr>
          <w:color w:val="231F20"/>
        </w:rPr>
        <w:t>preparados</w:t>
      </w:r>
      <w:r>
        <w:rPr>
          <w:color w:val="231F20"/>
          <w:spacing w:val="19"/>
        </w:rPr>
        <w:t> </w:t>
      </w:r>
      <w:r>
        <w:rPr>
          <w:color w:val="231F20"/>
        </w:rPr>
        <w:t>como</w:t>
      </w:r>
      <w:r>
        <w:rPr>
          <w:color w:val="231F20"/>
          <w:spacing w:val="19"/>
        </w:rPr>
        <w:t> </w:t>
      </w:r>
      <w:r>
        <w:rPr>
          <w:color w:val="231F20"/>
        </w:rPr>
        <w:t>sopas,</w:t>
      </w:r>
      <w:r>
        <w:rPr>
          <w:color w:val="231F20"/>
          <w:spacing w:val="19"/>
        </w:rPr>
        <w:t> </w:t>
      </w:r>
      <w:r>
        <w:rPr>
          <w:color w:val="231F20"/>
        </w:rPr>
        <w:t>plato</w:t>
      </w:r>
      <w:r>
        <w:rPr>
          <w:color w:val="231F20"/>
          <w:spacing w:val="19"/>
        </w:rPr>
        <w:t> </w:t>
      </w:r>
      <w:r>
        <w:rPr>
          <w:color w:val="231F20"/>
        </w:rPr>
        <w:t>fuerte,</w:t>
      </w:r>
    </w:p>
    <w:p>
      <w:pPr>
        <w:spacing w:after="0" w:line="247" w:lineRule="auto"/>
        <w:jc w:val="both"/>
        <w:sectPr>
          <w:pgSz w:w="10920" w:h="13080"/>
          <w:pgMar w:header="0" w:footer="965" w:top="420" w:bottom="1220" w:left="0" w:right="0"/>
        </w:sectPr>
      </w:pPr>
    </w:p>
    <w:p>
      <w:pPr>
        <w:pStyle w:val="BodyText"/>
        <w:rPr>
          <w:sz w:val="20"/>
        </w:rPr>
      </w:pPr>
    </w:p>
    <w:p>
      <w:pPr>
        <w:pStyle w:val="BodyText"/>
        <w:rPr>
          <w:sz w:val="20"/>
        </w:rPr>
      </w:pPr>
    </w:p>
    <w:p>
      <w:pPr>
        <w:pStyle w:val="BodyText"/>
        <w:rPr>
          <w:sz w:val="23"/>
        </w:rPr>
      </w:pPr>
    </w:p>
    <w:p>
      <w:pPr>
        <w:pStyle w:val="BodyText"/>
        <w:spacing w:line="247" w:lineRule="auto" w:before="73"/>
        <w:ind w:left="1270" w:right="1267"/>
        <w:jc w:val="both"/>
      </w:pPr>
      <w:r>
        <w:rPr>
          <w:color w:val="231F20"/>
        </w:rPr>
        <w:t>postres y bebidas frescas y embriagantes. La diversidad de jocotes se conserva a nivel de huerto fa- miliar,</w:t>
      </w:r>
      <w:r>
        <w:rPr>
          <w:color w:val="231F20"/>
          <w:spacing w:val="-6"/>
        </w:rPr>
        <w:t> </w:t>
      </w:r>
      <w:r>
        <w:rPr>
          <w:color w:val="231F20"/>
        </w:rPr>
        <w:t>y</w:t>
      </w:r>
      <w:r>
        <w:rPr>
          <w:color w:val="231F20"/>
          <w:spacing w:val="-6"/>
        </w:rPr>
        <w:t> </w:t>
      </w:r>
      <w:r>
        <w:rPr>
          <w:color w:val="231F20"/>
        </w:rPr>
        <w:t>algunos</w:t>
      </w:r>
      <w:r>
        <w:rPr>
          <w:color w:val="231F20"/>
          <w:spacing w:val="-6"/>
        </w:rPr>
        <w:t> </w:t>
      </w:r>
      <w:r>
        <w:rPr>
          <w:color w:val="231F20"/>
        </w:rPr>
        <w:t>tipos</w:t>
      </w:r>
      <w:r>
        <w:rPr>
          <w:color w:val="231F20"/>
          <w:spacing w:val="-6"/>
        </w:rPr>
        <w:t> </w:t>
      </w:r>
      <w:r>
        <w:rPr>
          <w:color w:val="231F20"/>
        </w:rPr>
        <w:t>sobresalientes</w:t>
      </w:r>
      <w:r>
        <w:rPr>
          <w:color w:val="231F20"/>
          <w:spacing w:val="-5"/>
        </w:rPr>
        <w:t> </w:t>
      </w:r>
      <w:r>
        <w:rPr>
          <w:color w:val="231F20"/>
        </w:rPr>
        <w:t>se</w:t>
      </w:r>
      <w:r>
        <w:rPr>
          <w:color w:val="231F20"/>
          <w:spacing w:val="-6"/>
        </w:rPr>
        <w:t> </w:t>
      </w:r>
      <w:r>
        <w:rPr>
          <w:color w:val="231F20"/>
        </w:rPr>
        <w:t>ubican</w:t>
      </w:r>
      <w:r>
        <w:rPr>
          <w:color w:val="231F20"/>
          <w:spacing w:val="-6"/>
        </w:rPr>
        <w:t> </w:t>
      </w:r>
      <w:r>
        <w:rPr>
          <w:color w:val="231F20"/>
        </w:rPr>
        <w:t>en</w:t>
      </w:r>
      <w:r>
        <w:rPr>
          <w:color w:val="231F20"/>
          <w:spacing w:val="-6"/>
        </w:rPr>
        <w:t> </w:t>
      </w:r>
      <w:r>
        <w:rPr>
          <w:color w:val="231F20"/>
        </w:rPr>
        <w:t>plantaciones</w:t>
      </w:r>
      <w:r>
        <w:rPr>
          <w:color w:val="231F20"/>
          <w:spacing w:val="-6"/>
        </w:rPr>
        <w:t> </w:t>
      </w:r>
      <w:r>
        <w:rPr>
          <w:color w:val="231F20"/>
        </w:rPr>
        <w:t>comerciales,</w:t>
      </w:r>
      <w:r>
        <w:rPr>
          <w:color w:val="231F20"/>
          <w:spacing w:val="-6"/>
        </w:rPr>
        <w:t> </w:t>
      </w:r>
      <w:r>
        <w:rPr>
          <w:color w:val="231F20"/>
        </w:rPr>
        <w:t>para</w:t>
      </w:r>
      <w:r>
        <w:rPr>
          <w:color w:val="231F20"/>
          <w:spacing w:val="-6"/>
        </w:rPr>
        <w:t> </w:t>
      </w:r>
      <w:r>
        <w:rPr>
          <w:color w:val="231F20"/>
        </w:rPr>
        <w:t>el</w:t>
      </w:r>
      <w:r>
        <w:rPr>
          <w:color w:val="231F20"/>
          <w:spacing w:val="-6"/>
        </w:rPr>
        <w:t> </w:t>
      </w:r>
      <w:r>
        <w:rPr>
          <w:color w:val="231F20"/>
        </w:rPr>
        <w:t>jobo</w:t>
      </w:r>
      <w:r>
        <w:rPr>
          <w:color w:val="231F20"/>
          <w:spacing w:val="-6"/>
        </w:rPr>
        <w:t> </w:t>
      </w:r>
      <w:r>
        <w:rPr>
          <w:color w:val="231F20"/>
        </w:rPr>
        <w:t>amarillo</w:t>
      </w:r>
      <w:r>
        <w:rPr>
          <w:color w:val="231F20"/>
          <w:spacing w:val="-6"/>
        </w:rPr>
        <w:t> </w:t>
      </w:r>
      <w:r>
        <w:rPr>
          <w:color w:val="231F20"/>
        </w:rPr>
        <w:t>se ha</w:t>
      </w:r>
      <w:r>
        <w:rPr>
          <w:color w:val="231F20"/>
          <w:spacing w:val="-12"/>
        </w:rPr>
        <w:t> </w:t>
      </w:r>
      <w:r>
        <w:rPr>
          <w:color w:val="231F20"/>
        </w:rPr>
        <w:t>pasado</w:t>
      </w:r>
      <w:r>
        <w:rPr>
          <w:color w:val="231F20"/>
          <w:spacing w:val="-12"/>
        </w:rPr>
        <w:t> </w:t>
      </w:r>
      <w:r>
        <w:rPr>
          <w:color w:val="231F20"/>
        </w:rPr>
        <w:t>a</w:t>
      </w:r>
      <w:r>
        <w:rPr>
          <w:color w:val="231F20"/>
          <w:spacing w:val="-12"/>
        </w:rPr>
        <w:t> </w:t>
      </w:r>
      <w:r>
        <w:rPr>
          <w:color w:val="231F20"/>
        </w:rPr>
        <w:t>la</w:t>
      </w:r>
      <w:r>
        <w:rPr>
          <w:color w:val="231F20"/>
          <w:spacing w:val="-13"/>
        </w:rPr>
        <w:t> </w:t>
      </w:r>
      <w:r>
        <w:rPr>
          <w:color w:val="231F20"/>
        </w:rPr>
        <w:t>fase</w:t>
      </w:r>
      <w:r>
        <w:rPr>
          <w:color w:val="231F20"/>
          <w:spacing w:val="-12"/>
        </w:rPr>
        <w:t> </w:t>
      </w:r>
      <w:r>
        <w:rPr>
          <w:color w:val="231F20"/>
        </w:rPr>
        <w:t>de</w:t>
      </w:r>
      <w:r>
        <w:rPr>
          <w:color w:val="231F20"/>
          <w:spacing w:val="-12"/>
        </w:rPr>
        <w:t> </w:t>
      </w:r>
      <w:r>
        <w:rPr>
          <w:color w:val="231F20"/>
        </w:rPr>
        <w:t>selección</w:t>
      </w:r>
      <w:r>
        <w:rPr>
          <w:color w:val="231F20"/>
          <w:spacing w:val="-12"/>
        </w:rPr>
        <w:t> </w:t>
      </w:r>
      <w:r>
        <w:rPr>
          <w:color w:val="231F20"/>
        </w:rPr>
        <w:t>de</w:t>
      </w:r>
      <w:r>
        <w:rPr>
          <w:color w:val="231F20"/>
          <w:spacing w:val="-12"/>
        </w:rPr>
        <w:t> </w:t>
      </w:r>
      <w:r>
        <w:rPr>
          <w:color w:val="231F20"/>
        </w:rPr>
        <w:t>tipos</w:t>
      </w:r>
      <w:r>
        <w:rPr>
          <w:color w:val="231F20"/>
          <w:spacing w:val="-13"/>
        </w:rPr>
        <w:t> </w:t>
      </w:r>
      <w:r>
        <w:rPr>
          <w:color w:val="231F20"/>
        </w:rPr>
        <w:t>con</w:t>
      </w:r>
      <w:r>
        <w:rPr>
          <w:color w:val="231F20"/>
          <w:spacing w:val="-13"/>
        </w:rPr>
        <w:t> </w:t>
      </w:r>
      <w:r>
        <w:rPr>
          <w:color w:val="231F20"/>
        </w:rPr>
        <w:t>frutos</w:t>
      </w:r>
      <w:r>
        <w:rPr>
          <w:color w:val="231F20"/>
          <w:spacing w:val="-12"/>
        </w:rPr>
        <w:t> </w:t>
      </w:r>
      <w:r>
        <w:rPr>
          <w:color w:val="231F20"/>
        </w:rPr>
        <w:t>sobresalientes,</w:t>
      </w:r>
      <w:r>
        <w:rPr>
          <w:color w:val="231F20"/>
          <w:spacing w:val="-13"/>
        </w:rPr>
        <w:t> </w:t>
      </w:r>
      <w:r>
        <w:rPr>
          <w:color w:val="231F20"/>
        </w:rPr>
        <w:t>los</w:t>
      </w:r>
      <w:r>
        <w:rPr>
          <w:color w:val="231F20"/>
          <w:spacing w:val="-12"/>
        </w:rPr>
        <w:t> </w:t>
      </w:r>
      <w:r>
        <w:rPr>
          <w:color w:val="231F20"/>
        </w:rPr>
        <w:t>cuales</w:t>
      </w:r>
      <w:r>
        <w:rPr>
          <w:color w:val="231F20"/>
          <w:spacing w:val="-13"/>
        </w:rPr>
        <w:t> </w:t>
      </w:r>
      <w:r>
        <w:rPr>
          <w:color w:val="231F20"/>
        </w:rPr>
        <w:t>se</w:t>
      </w:r>
      <w:r>
        <w:rPr>
          <w:color w:val="231F20"/>
          <w:spacing w:val="-12"/>
        </w:rPr>
        <w:t> </w:t>
      </w:r>
      <w:r>
        <w:rPr>
          <w:color w:val="231F20"/>
        </w:rPr>
        <w:t>encuentran</w:t>
      </w:r>
      <w:r>
        <w:rPr>
          <w:color w:val="231F20"/>
          <w:spacing w:val="-13"/>
        </w:rPr>
        <w:t> </w:t>
      </w:r>
      <w:r>
        <w:rPr>
          <w:color w:val="231F20"/>
        </w:rPr>
        <w:t>en</w:t>
      </w:r>
      <w:r>
        <w:rPr>
          <w:color w:val="231F20"/>
          <w:spacing w:val="-13"/>
        </w:rPr>
        <w:t> </w:t>
      </w:r>
      <w:r>
        <w:rPr>
          <w:color w:val="231F20"/>
        </w:rPr>
        <w:t>huertos familiares</w:t>
      </w:r>
      <w:r>
        <w:rPr>
          <w:color w:val="231F20"/>
          <w:spacing w:val="-12"/>
        </w:rPr>
        <w:t> </w:t>
      </w:r>
      <w:r>
        <w:rPr>
          <w:color w:val="231F20"/>
        </w:rPr>
        <w:t>en</w:t>
      </w:r>
      <w:r>
        <w:rPr>
          <w:color w:val="231F20"/>
          <w:spacing w:val="-12"/>
        </w:rPr>
        <w:t> </w:t>
      </w:r>
      <w:r>
        <w:rPr>
          <w:color w:val="231F20"/>
        </w:rPr>
        <w:t>algunas</w:t>
      </w:r>
      <w:r>
        <w:rPr>
          <w:color w:val="231F20"/>
          <w:spacing w:val="-12"/>
        </w:rPr>
        <w:t> </w:t>
      </w:r>
      <w:r>
        <w:rPr>
          <w:color w:val="231F20"/>
        </w:rPr>
        <w:t>comunidades</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Cuenca</w:t>
      </w:r>
      <w:r>
        <w:rPr>
          <w:color w:val="231F20"/>
          <w:spacing w:val="-12"/>
        </w:rPr>
        <w:t> </w:t>
      </w:r>
      <w:r>
        <w:rPr>
          <w:color w:val="231F20"/>
        </w:rPr>
        <w:t>del</w:t>
      </w:r>
      <w:r>
        <w:rPr>
          <w:color w:val="231F20"/>
          <w:spacing w:val="-12"/>
        </w:rPr>
        <w:t> </w:t>
      </w:r>
      <w:r>
        <w:rPr>
          <w:color w:val="231F20"/>
        </w:rPr>
        <w:t>Río</w:t>
      </w:r>
      <w:r>
        <w:rPr>
          <w:color w:val="231F20"/>
          <w:spacing w:val="-12"/>
        </w:rPr>
        <w:t> </w:t>
      </w:r>
      <w:r>
        <w:rPr>
          <w:color w:val="231F20"/>
        </w:rPr>
        <w:t>Papaloapan,</w:t>
      </w:r>
      <w:r>
        <w:rPr>
          <w:color w:val="231F20"/>
          <w:spacing w:val="-11"/>
        </w:rPr>
        <w:t> </w:t>
      </w:r>
      <w:r>
        <w:rPr>
          <w:color w:val="231F20"/>
        </w:rPr>
        <w:t>en</w:t>
      </w:r>
      <w:r>
        <w:rPr>
          <w:color w:val="231F20"/>
          <w:spacing w:val="-12"/>
        </w:rPr>
        <w:t> </w:t>
      </w:r>
      <w:r>
        <w:rPr>
          <w:color w:val="231F20"/>
        </w:rPr>
        <w:t>tanto</w:t>
      </w:r>
      <w:r>
        <w:rPr>
          <w:color w:val="231F20"/>
          <w:spacing w:val="-12"/>
        </w:rPr>
        <w:t> </w:t>
      </w:r>
      <w:r>
        <w:rPr>
          <w:color w:val="231F20"/>
        </w:rPr>
        <w:t>que</w:t>
      </w:r>
      <w:r>
        <w:rPr>
          <w:color w:val="231F20"/>
          <w:spacing w:val="-12"/>
        </w:rPr>
        <w:t> </w:t>
      </w:r>
      <w:r>
        <w:rPr>
          <w:color w:val="231F20"/>
        </w:rPr>
        <w:t>en</w:t>
      </w:r>
      <w:r>
        <w:rPr>
          <w:color w:val="231F20"/>
          <w:spacing w:val="-12"/>
        </w:rPr>
        <w:t> </w:t>
      </w:r>
      <w:r>
        <w:rPr>
          <w:color w:val="231F20"/>
        </w:rPr>
        <w:t>los</w:t>
      </w:r>
      <w:r>
        <w:rPr>
          <w:color w:val="231F20"/>
          <w:spacing w:val="-12"/>
        </w:rPr>
        <w:t> </w:t>
      </w:r>
      <w:r>
        <w:rPr>
          <w:color w:val="231F20"/>
        </w:rPr>
        <w:t>cercos</w:t>
      </w:r>
      <w:r>
        <w:rPr>
          <w:color w:val="231F20"/>
          <w:spacing w:val="-12"/>
        </w:rPr>
        <w:t> </w:t>
      </w:r>
      <w:r>
        <w:rPr>
          <w:color w:val="231F20"/>
        </w:rPr>
        <w:t>vivos la</w:t>
      </w:r>
      <w:r>
        <w:rPr>
          <w:color w:val="231F20"/>
          <w:spacing w:val="-9"/>
        </w:rPr>
        <w:t> </w:t>
      </w:r>
      <w:r>
        <w:rPr>
          <w:color w:val="231F20"/>
        </w:rPr>
        <w:t>selección</w:t>
      </w:r>
      <w:r>
        <w:rPr>
          <w:color w:val="231F20"/>
          <w:spacing w:val="-8"/>
        </w:rPr>
        <w:t> </w:t>
      </w:r>
      <w:r>
        <w:rPr>
          <w:color w:val="231F20"/>
        </w:rPr>
        <w:t>de</w:t>
      </w:r>
      <w:r>
        <w:rPr>
          <w:color w:val="231F20"/>
          <w:spacing w:val="-9"/>
        </w:rPr>
        <w:t> </w:t>
      </w:r>
      <w:r>
        <w:rPr>
          <w:color w:val="231F20"/>
        </w:rPr>
        <w:t>frutos</w:t>
      </w:r>
      <w:r>
        <w:rPr>
          <w:color w:val="231F20"/>
          <w:spacing w:val="-9"/>
        </w:rPr>
        <w:t> </w:t>
      </w:r>
      <w:r>
        <w:rPr>
          <w:color w:val="231F20"/>
        </w:rPr>
        <w:t>no</w:t>
      </w:r>
      <w:r>
        <w:rPr>
          <w:color w:val="231F20"/>
          <w:spacing w:val="-9"/>
        </w:rPr>
        <w:t> </w:t>
      </w:r>
      <w:r>
        <w:rPr>
          <w:color w:val="231F20"/>
        </w:rPr>
        <w:t>es</w:t>
      </w:r>
      <w:r>
        <w:rPr>
          <w:color w:val="231F20"/>
          <w:spacing w:val="-9"/>
        </w:rPr>
        <w:t> </w:t>
      </w:r>
      <w:r>
        <w:rPr>
          <w:color w:val="231F20"/>
        </w:rPr>
        <w:t>evidente,</w:t>
      </w:r>
      <w:r>
        <w:rPr>
          <w:color w:val="231F20"/>
          <w:spacing w:val="-9"/>
        </w:rPr>
        <w:t> </w:t>
      </w:r>
      <w:r>
        <w:rPr>
          <w:color w:val="231F20"/>
        </w:rPr>
        <w:t>aquí</w:t>
      </w:r>
      <w:r>
        <w:rPr>
          <w:color w:val="231F20"/>
          <w:spacing w:val="-9"/>
        </w:rPr>
        <w:t> </w:t>
      </w:r>
      <w:r>
        <w:rPr>
          <w:color w:val="231F20"/>
        </w:rPr>
        <w:t>se</w:t>
      </w:r>
      <w:r>
        <w:rPr>
          <w:color w:val="231F20"/>
          <w:spacing w:val="-9"/>
        </w:rPr>
        <w:t> </w:t>
      </w:r>
      <w:r>
        <w:rPr>
          <w:color w:val="231F20"/>
        </w:rPr>
        <w:t>aprovecha</w:t>
      </w:r>
      <w:r>
        <w:rPr>
          <w:color w:val="231F20"/>
          <w:spacing w:val="-9"/>
        </w:rPr>
        <w:t> </w:t>
      </w:r>
      <w:r>
        <w:rPr>
          <w:color w:val="231F20"/>
        </w:rPr>
        <w:t>su</w:t>
      </w:r>
      <w:r>
        <w:rPr>
          <w:color w:val="231F20"/>
          <w:spacing w:val="-9"/>
        </w:rPr>
        <w:t> </w:t>
      </w:r>
      <w:r>
        <w:rPr>
          <w:color w:val="231F20"/>
        </w:rPr>
        <w:t>capacidad</w:t>
      </w:r>
      <w:r>
        <w:rPr>
          <w:color w:val="231F20"/>
          <w:spacing w:val="-9"/>
        </w:rPr>
        <w:t> </w:t>
      </w:r>
      <w:r>
        <w:rPr>
          <w:color w:val="231F20"/>
        </w:rPr>
        <w:t>de</w:t>
      </w:r>
      <w:r>
        <w:rPr>
          <w:color w:val="231F20"/>
          <w:spacing w:val="-9"/>
        </w:rPr>
        <w:t> </w:t>
      </w:r>
      <w:r>
        <w:rPr>
          <w:color w:val="231F20"/>
        </w:rPr>
        <w:t>reproducción</w:t>
      </w:r>
      <w:r>
        <w:rPr>
          <w:color w:val="231F20"/>
          <w:spacing w:val="-9"/>
        </w:rPr>
        <w:t> </w:t>
      </w:r>
      <w:r>
        <w:rPr>
          <w:color w:val="231F20"/>
        </w:rPr>
        <w:t>vegetativa</w:t>
      </w:r>
      <w:r>
        <w:rPr>
          <w:color w:val="231F20"/>
          <w:spacing w:val="-9"/>
        </w:rPr>
        <w:t> </w:t>
      </w:r>
      <w:r>
        <w:rPr>
          <w:color w:val="231F20"/>
        </w:rPr>
        <w:t>y</w:t>
      </w:r>
      <w:r>
        <w:rPr>
          <w:color w:val="231F20"/>
          <w:spacing w:val="-9"/>
        </w:rPr>
        <w:t> </w:t>
      </w:r>
      <w:r>
        <w:rPr>
          <w:color w:val="231F20"/>
        </w:rPr>
        <w:t>su resistencia a inundaciones</w:t>
      </w:r>
      <w:r>
        <w:rPr>
          <w:color w:val="231F20"/>
          <w:spacing w:val="-1"/>
        </w:rPr>
        <w:t> </w:t>
      </w:r>
      <w:r>
        <w:rPr>
          <w:color w:val="231F20"/>
        </w:rPr>
        <w:t>temporales.</w:t>
      </w:r>
    </w:p>
    <w:p>
      <w:pPr>
        <w:pStyle w:val="BodyText"/>
        <w:spacing w:before="10"/>
      </w:pPr>
    </w:p>
    <w:p>
      <w:pPr>
        <w:pStyle w:val="BodyText"/>
        <w:spacing w:line="247" w:lineRule="auto"/>
        <w:ind w:left="1270" w:right="1266"/>
        <w:jc w:val="both"/>
      </w:pPr>
      <w:r>
        <w:rPr>
          <w:color w:val="231F20"/>
        </w:rPr>
        <w:t>A</w:t>
      </w:r>
      <w:r>
        <w:rPr>
          <w:color w:val="231F20"/>
          <w:spacing w:val="-23"/>
        </w:rPr>
        <w:t> </w:t>
      </w:r>
      <w:r>
        <w:rPr>
          <w:color w:val="231F20"/>
        </w:rPr>
        <w:t>partir</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primeros</w:t>
      </w:r>
      <w:r>
        <w:rPr>
          <w:color w:val="231F20"/>
          <w:spacing w:val="-13"/>
        </w:rPr>
        <w:t> </w:t>
      </w:r>
      <w:r>
        <w:rPr>
          <w:color w:val="231F20"/>
        </w:rPr>
        <w:t>trabajos</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red</w:t>
      </w:r>
      <w:r>
        <w:rPr>
          <w:color w:val="231F20"/>
          <w:spacing w:val="-13"/>
        </w:rPr>
        <w:t> </w:t>
      </w:r>
      <w:r>
        <w:rPr>
          <w:color w:val="231F20"/>
        </w:rPr>
        <w:t>de</w:t>
      </w:r>
      <w:r>
        <w:rPr>
          <w:color w:val="231F20"/>
          <w:spacing w:val="-13"/>
        </w:rPr>
        <w:t> </w:t>
      </w:r>
      <w:r>
        <w:rPr>
          <w:color w:val="231F20"/>
        </w:rPr>
        <w:t>ciruela,</w:t>
      </w:r>
      <w:r>
        <w:rPr>
          <w:color w:val="231F20"/>
          <w:spacing w:val="-13"/>
        </w:rPr>
        <w:t> </w:t>
      </w:r>
      <w:r>
        <w:rPr>
          <w:color w:val="231F20"/>
        </w:rPr>
        <w:t>se</w:t>
      </w:r>
      <w:r>
        <w:rPr>
          <w:color w:val="231F20"/>
          <w:spacing w:val="-13"/>
        </w:rPr>
        <w:t> </w:t>
      </w:r>
      <w:r>
        <w:rPr>
          <w:color w:val="231F20"/>
        </w:rPr>
        <w:t>realizó</w:t>
      </w:r>
      <w:r>
        <w:rPr>
          <w:color w:val="231F20"/>
          <w:spacing w:val="-13"/>
        </w:rPr>
        <w:t> </w:t>
      </w:r>
      <w:r>
        <w:rPr>
          <w:color w:val="231F20"/>
        </w:rPr>
        <w:t>una</w:t>
      </w:r>
      <w:r>
        <w:rPr>
          <w:color w:val="231F20"/>
          <w:spacing w:val="-13"/>
        </w:rPr>
        <w:t> </w:t>
      </w:r>
      <w:r>
        <w:rPr>
          <w:color w:val="231F20"/>
        </w:rPr>
        <w:t>recolección</w:t>
      </w:r>
      <w:r>
        <w:rPr>
          <w:color w:val="231F20"/>
          <w:spacing w:val="-13"/>
        </w:rPr>
        <w:t> </w:t>
      </w:r>
      <w:r>
        <w:rPr>
          <w:color w:val="231F20"/>
        </w:rPr>
        <w:t>planificada</w:t>
      </w:r>
      <w:r>
        <w:rPr>
          <w:color w:val="231F20"/>
          <w:spacing w:val="-13"/>
        </w:rPr>
        <w:t> </w:t>
      </w:r>
      <w:r>
        <w:rPr>
          <w:color w:val="231F20"/>
        </w:rPr>
        <w:t>de</w:t>
      </w:r>
      <w:r>
        <w:rPr>
          <w:color w:val="231F20"/>
          <w:spacing w:val="-13"/>
        </w:rPr>
        <w:t> </w:t>
      </w:r>
      <w:r>
        <w:rPr>
          <w:color w:val="231F20"/>
        </w:rPr>
        <w:t>germo- plasma que ha llevado por un lado a la colecta de material vegetativo de los tipos regionales, se </w:t>
      </w:r>
      <w:r>
        <w:rPr>
          <w:color w:val="231F20"/>
          <w:spacing w:val="-2"/>
        </w:rPr>
        <w:t>han </w:t>
      </w:r>
      <w:r>
        <w:rPr>
          <w:color w:val="231F20"/>
        </w:rPr>
        <w:t>colectado</w:t>
      </w:r>
      <w:r>
        <w:rPr>
          <w:color w:val="231F20"/>
          <w:spacing w:val="-16"/>
        </w:rPr>
        <w:t> </w:t>
      </w:r>
      <w:r>
        <w:rPr>
          <w:color w:val="231F20"/>
        </w:rPr>
        <w:t>nueve</w:t>
      </w:r>
      <w:r>
        <w:rPr>
          <w:color w:val="231F20"/>
          <w:spacing w:val="-16"/>
        </w:rPr>
        <w:t> </w:t>
      </w:r>
      <w:r>
        <w:rPr>
          <w:color w:val="231F20"/>
        </w:rPr>
        <w:t>regiones</w:t>
      </w:r>
      <w:r>
        <w:rPr>
          <w:color w:val="231F20"/>
          <w:spacing w:val="-16"/>
        </w:rPr>
        <w:t> </w:t>
      </w:r>
      <w:r>
        <w:rPr>
          <w:color w:val="231F20"/>
        </w:rPr>
        <w:t>del</w:t>
      </w:r>
      <w:r>
        <w:rPr>
          <w:color w:val="231F20"/>
          <w:spacing w:val="-16"/>
        </w:rPr>
        <w:t> </w:t>
      </w:r>
      <w:r>
        <w:rPr>
          <w:color w:val="231F20"/>
        </w:rPr>
        <w:t>país</w:t>
      </w:r>
      <w:r>
        <w:rPr>
          <w:color w:val="231F20"/>
          <w:spacing w:val="-16"/>
        </w:rPr>
        <w:t> </w:t>
      </w:r>
      <w:r>
        <w:rPr>
          <w:color w:val="231F20"/>
        </w:rPr>
        <w:t>en</w:t>
      </w:r>
      <w:r>
        <w:rPr>
          <w:color w:val="231F20"/>
          <w:spacing w:val="-16"/>
        </w:rPr>
        <w:t> </w:t>
      </w:r>
      <w:r>
        <w:rPr>
          <w:color w:val="231F20"/>
        </w:rPr>
        <w:t>donde</w:t>
      </w:r>
      <w:r>
        <w:rPr>
          <w:color w:val="231F20"/>
          <w:spacing w:val="-16"/>
        </w:rPr>
        <w:t> </w:t>
      </w:r>
      <w:r>
        <w:rPr>
          <w:color w:val="231F20"/>
        </w:rPr>
        <w:t>los</w:t>
      </w:r>
      <w:r>
        <w:rPr>
          <w:color w:val="231F20"/>
          <w:spacing w:val="-16"/>
        </w:rPr>
        <w:t> </w:t>
      </w:r>
      <w:r>
        <w:rPr>
          <w:color w:val="231F20"/>
        </w:rPr>
        <w:t>jocotes</w:t>
      </w:r>
      <w:r>
        <w:rPr>
          <w:color w:val="231F20"/>
          <w:spacing w:val="-16"/>
        </w:rPr>
        <w:t> </w:t>
      </w:r>
      <w:r>
        <w:rPr>
          <w:color w:val="231F20"/>
        </w:rPr>
        <w:t>son</w:t>
      </w:r>
      <w:r>
        <w:rPr>
          <w:color w:val="231F20"/>
          <w:spacing w:val="-16"/>
        </w:rPr>
        <w:t> </w:t>
      </w:r>
      <w:r>
        <w:rPr>
          <w:color w:val="231F20"/>
        </w:rPr>
        <w:t>importantes</w:t>
      </w:r>
      <w:r>
        <w:rPr>
          <w:color w:val="231F20"/>
          <w:spacing w:val="-16"/>
        </w:rPr>
        <w:t> </w:t>
      </w:r>
      <w:r>
        <w:rPr>
          <w:color w:val="231F20"/>
        </w:rPr>
        <w:t>(ver</w:t>
      </w:r>
      <w:r>
        <w:rPr>
          <w:color w:val="231F20"/>
          <w:spacing w:val="-16"/>
        </w:rPr>
        <w:t> </w:t>
      </w:r>
      <w:r>
        <w:rPr>
          <w:color w:val="231F20"/>
        </w:rPr>
        <w:t>figura</w:t>
      </w:r>
      <w:r>
        <w:rPr>
          <w:color w:val="231F20"/>
          <w:spacing w:val="-16"/>
        </w:rPr>
        <w:t> </w:t>
      </w:r>
      <w:r>
        <w:rPr>
          <w:color w:val="231F20"/>
        </w:rPr>
        <w:t>1),</w:t>
      </w:r>
      <w:r>
        <w:rPr>
          <w:color w:val="231F20"/>
          <w:spacing w:val="-16"/>
        </w:rPr>
        <w:t> </w:t>
      </w:r>
      <w:r>
        <w:rPr>
          <w:color w:val="231F20"/>
        </w:rPr>
        <w:t>esto</w:t>
      </w:r>
      <w:r>
        <w:rPr>
          <w:color w:val="231F20"/>
          <w:spacing w:val="-16"/>
        </w:rPr>
        <w:t> </w:t>
      </w:r>
      <w:r>
        <w:rPr>
          <w:color w:val="231F20"/>
        </w:rPr>
        <w:t>ha</w:t>
      </w:r>
      <w:r>
        <w:rPr>
          <w:color w:val="231F20"/>
          <w:spacing w:val="-16"/>
        </w:rPr>
        <w:t> </w:t>
      </w:r>
      <w:r>
        <w:rPr>
          <w:color w:val="231F20"/>
        </w:rPr>
        <w:t>permiti- do</w:t>
      </w:r>
      <w:r>
        <w:rPr>
          <w:color w:val="231F20"/>
          <w:spacing w:val="-7"/>
        </w:rPr>
        <w:t> </w:t>
      </w:r>
      <w:r>
        <w:rPr>
          <w:color w:val="231F20"/>
        </w:rPr>
        <w:t>un</w:t>
      </w:r>
      <w:r>
        <w:rPr>
          <w:color w:val="231F20"/>
          <w:spacing w:val="-7"/>
        </w:rPr>
        <w:t> </w:t>
      </w:r>
      <w:r>
        <w:rPr>
          <w:color w:val="231F20"/>
        </w:rPr>
        <w:t>acercamiento</w:t>
      </w:r>
      <w:r>
        <w:rPr>
          <w:color w:val="231F20"/>
          <w:spacing w:val="-8"/>
        </w:rPr>
        <w:t> </w:t>
      </w:r>
      <w:r>
        <w:rPr>
          <w:color w:val="231F20"/>
        </w:rPr>
        <w:t>a</w:t>
      </w:r>
      <w:r>
        <w:rPr>
          <w:color w:val="231F20"/>
          <w:spacing w:val="-7"/>
        </w:rPr>
        <w:t> </w:t>
      </w:r>
      <w:r>
        <w:rPr>
          <w:color w:val="231F20"/>
        </w:rPr>
        <w:t>la</w:t>
      </w:r>
      <w:r>
        <w:rPr>
          <w:color w:val="231F20"/>
          <w:spacing w:val="-7"/>
        </w:rPr>
        <w:t> </w:t>
      </w:r>
      <w:r>
        <w:rPr>
          <w:color w:val="231F20"/>
        </w:rPr>
        <w:t>diversidad</w:t>
      </w:r>
      <w:r>
        <w:rPr>
          <w:color w:val="231F20"/>
          <w:spacing w:val="-7"/>
        </w:rPr>
        <w:t> </w:t>
      </w:r>
      <w:r>
        <w:rPr>
          <w:color w:val="231F20"/>
        </w:rPr>
        <w:t>en</w:t>
      </w:r>
      <w:r>
        <w:rPr>
          <w:color w:val="231F20"/>
          <w:spacing w:val="-7"/>
        </w:rPr>
        <w:t> </w:t>
      </w:r>
      <w:r>
        <w:rPr>
          <w:color w:val="231F20"/>
        </w:rPr>
        <w:t>sus</w:t>
      </w:r>
      <w:r>
        <w:rPr>
          <w:color w:val="231F20"/>
          <w:spacing w:val="-7"/>
        </w:rPr>
        <w:t> </w:t>
      </w:r>
      <w:r>
        <w:rPr>
          <w:color w:val="231F20"/>
        </w:rPr>
        <w:t>manifestaciones</w:t>
      </w:r>
      <w:r>
        <w:rPr>
          <w:color w:val="231F20"/>
          <w:spacing w:val="-8"/>
        </w:rPr>
        <w:t> </w:t>
      </w:r>
      <w:r>
        <w:rPr>
          <w:color w:val="231F20"/>
        </w:rPr>
        <w:t>regionales</w:t>
      </w:r>
      <w:r>
        <w:rPr>
          <w:color w:val="231F20"/>
          <w:spacing w:val="-7"/>
        </w:rPr>
        <w:t> </w:t>
      </w:r>
      <w:r>
        <w:rPr>
          <w:color w:val="231F20"/>
        </w:rPr>
        <w:t>y</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obtención</w:t>
      </w:r>
      <w:r>
        <w:rPr>
          <w:color w:val="231F20"/>
          <w:spacing w:val="-7"/>
        </w:rPr>
        <w:t> </w:t>
      </w:r>
      <w:r>
        <w:rPr>
          <w:color w:val="231F20"/>
        </w:rPr>
        <w:t>de</w:t>
      </w:r>
      <w:r>
        <w:rPr>
          <w:color w:val="231F20"/>
          <w:spacing w:val="-7"/>
        </w:rPr>
        <w:t> </w:t>
      </w:r>
      <w:r>
        <w:rPr>
          <w:color w:val="231F20"/>
        </w:rPr>
        <w:t>más</w:t>
      </w:r>
      <w:r>
        <w:rPr>
          <w:color w:val="231F20"/>
          <w:spacing w:val="-7"/>
        </w:rPr>
        <w:t> </w:t>
      </w:r>
      <w:r>
        <w:rPr>
          <w:color w:val="231F20"/>
        </w:rPr>
        <w:t>de</w:t>
      </w:r>
      <w:r>
        <w:rPr>
          <w:color w:val="231F20"/>
          <w:spacing w:val="-7"/>
        </w:rPr>
        <w:t> </w:t>
      </w:r>
      <w:r>
        <w:rPr>
          <w:color w:val="231F20"/>
          <w:spacing w:val="-2"/>
        </w:rPr>
        <w:t>150 </w:t>
      </w:r>
      <w:r>
        <w:rPr>
          <w:color w:val="231F20"/>
        </w:rPr>
        <w:t>tipos</w:t>
      </w:r>
      <w:r>
        <w:rPr>
          <w:color w:val="231F20"/>
          <w:spacing w:val="-10"/>
        </w:rPr>
        <w:t> </w:t>
      </w:r>
      <w:r>
        <w:rPr>
          <w:color w:val="231F20"/>
        </w:rPr>
        <w:t>diferentes,</w:t>
      </w:r>
      <w:r>
        <w:rPr>
          <w:color w:val="231F20"/>
          <w:spacing w:val="-10"/>
        </w:rPr>
        <w:t> </w:t>
      </w:r>
      <w:r>
        <w:rPr>
          <w:color w:val="231F20"/>
        </w:rPr>
        <w:t>mismos</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han</w:t>
      </w:r>
      <w:r>
        <w:rPr>
          <w:color w:val="231F20"/>
          <w:spacing w:val="-10"/>
        </w:rPr>
        <w:t> </w:t>
      </w:r>
      <w:r>
        <w:rPr>
          <w:color w:val="231F20"/>
        </w:rPr>
        <w:t>establecidos</w:t>
      </w:r>
      <w:r>
        <w:rPr>
          <w:color w:val="231F20"/>
          <w:spacing w:val="-10"/>
        </w:rPr>
        <w:t> </w:t>
      </w:r>
      <w:r>
        <w:rPr>
          <w:color w:val="231F20"/>
        </w:rPr>
        <w:t>en</w:t>
      </w:r>
      <w:r>
        <w:rPr>
          <w:color w:val="231F20"/>
          <w:spacing w:val="-10"/>
        </w:rPr>
        <w:t> </w:t>
      </w:r>
      <w:r>
        <w:rPr>
          <w:color w:val="231F20"/>
        </w:rPr>
        <w:t>dos</w:t>
      </w:r>
      <w:r>
        <w:rPr>
          <w:color w:val="231F20"/>
          <w:spacing w:val="-10"/>
        </w:rPr>
        <w:t> </w:t>
      </w:r>
      <w:r>
        <w:rPr>
          <w:color w:val="231F20"/>
        </w:rPr>
        <w:t>bancos</w:t>
      </w:r>
      <w:r>
        <w:rPr>
          <w:color w:val="231F20"/>
          <w:spacing w:val="-10"/>
        </w:rPr>
        <w:t> </w:t>
      </w:r>
      <w:r>
        <w:rPr>
          <w:color w:val="231F20"/>
        </w:rPr>
        <w:t>de</w:t>
      </w:r>
      <w:r>
        <w:rPr>
          <w:color w:val="231F20"/>
          <w:spacing w:val="-10"/>
        </w:rPr>
        <w:t> </w:t>
      </w:r>
      <w:r>
        <w:rPr>
          <w:color w:val="231F20"/>
        </w:rPr>
        <w:t>trabajo,</w:t>
      </w:r>
      <w:r>
        <w:rPr>
          <w:color w:val="231F20"/>
          <w:spacing w:val="-10"/>
        </w:rPr>
        <w:t> </w:t>
      </w:r>
      <w:r>
        <w:rPr>
          <w:color w:val="231F20"/>
        </w:rPr>
        <w:t>uno</w:t>
      </w:r>
      <w:r>
        <w:rPr>
          <w:color w:val="231F20"/>
          <w:spacing w:val="-10"/>
        </w:rPr>
        <w:t> </w:t>
      </w:r>
      <w:r>
        <w:rPr>
          <w:color w:val="231F20"/>
        </w:rPr>
        <w:t>en</w:t>
      </w:r>
      <w:r>
        <w:rPr>
          <w:color w:val="231F20"/>
          <w:spacing w:val="-10"/>
        </w:rPr>
        <w:t> </w:t>
      </w:r>
      <w:r>
        <w:rPr>
          <w:color w:val="231F20"/>
        </w:rPr>
        <w:t>Mérida,</w:t>
      </w:r>
      <w:r>
        <w:rPr>
          <w:color w:val="231F20"/>
          <w:spacing w:val="-17"/>
        </w:rPr>
        <w:t> </w:t>
      </w:r>
      <w:r>
        <w:rPr>
          <w:color w:val="231F20"/>
          <w:spacing w:val="-5"/>
        </w:rPr>
        <w:t>Yucatán</w:t>
      </w:r>
      <w:r>
        <w:rPr>
          <w:color w:val="231F20"/>
          <w:spacing w:val="34"/>
        </w:rPr>
        <w:t> </w:t>
      </w:r>
      <w:r>
        <w:rPr>
          <w:color w:val="231F20"/>
        </w:rPr>
        <w:t>y el</w:t>
      </w:r>
      <w:r>
        <w:rPr>
          <w:color w:val="231F20"/>
          <w:spacing w:val="-4"/>
        </w:rPr>
        <w:t> </w:t>
      </w:r>
      <w:r>
        <w:rPr>
          <w:color w:val="231F20"/>
        </w:rPr>
        <w:t>otro</w:t>
      </w:r>
      <w:r>
        <w:rPr>
          <w:color w:val="231F20"/>
          <w:spacing w:val="-4"/>
        </w:rPr>
        <w:t> </w:t>
      </w:r>
      <w:r>
        <w:rPr>
          <w:color w:val="231F20"/>
        </w:rPr>
        <w:t>en</w:t>
      </w:r>
      <w:r>
        <w:rPr>
          <w:color w:val="231F20"/>
          <w:spacing w:val="-4"/>
        </w:rPr>
        <w:t> </w:t>
      </w:r>
      <w:r>
        <w:rPr>
          <w:color w:val="231F20"/>
        </w:rPr>
        <w:t>Ciudad</w:t>
      </w:r>
      <w:r>
        <w:rPr>
          <w:color w:val="231F20"/>
          <w:spacing w:val="-14"/>
        </w:rPr>
        <w:t> </w:t>
      </w:r>
      <w:r>
        <w:rPr>
          <w:color w:val="231F20"/>
        </w:rPr>
        <w:t>Altamirano,</w:t>
      </w:r>
      <w:r>
        <w:rPr>
          <w:color w:val="231F20"/>
          <w:spacing w:val="-3"/>
        </w:rPr>
        <w:t> </w:t>
      </w:r>
      <w:r>
        <w:rPr>
          <w:color w:val="231F20"/>
        </w:rPr>
        <w:t>Guerrero,</w:t>
      </w:r>
      <w:r>
        <w:rPr>
          <w:color w:val="231F20"/>
          <w:spacing w:val="-4"/>
        </w:rPr>
        <w:t> </w:t>
      </w:r>
      <w:r>
        <w:rPr>
          <w:color w:val="231F20"/>
        </w:rPr>
        <w:t>en</w:t>
      </w:r>
      <w:r>
        <w:rPr>
          <w:color w:val="231F20"/>
          <w:spacing w:val="-4"/>
        </w:rPr>
        <w:t> </w:t>
      </w:r>
      <w:r>
        <w:rPr>
          <w:color w:val="231F20"/>
        </w:rPr>
        <w:t>estos</w:t>
      </w:r>
      <w:r>
        <w:rPr>
          <w:color w:val="231F20"/>
          <w:spacing w:val="-4"/>
        </w:rPr>
        <w:t> </w:t>
      </w:r>
      <w:r>
        <w:rPr>
          <w:color w:val="231F20"/>
        </w:rPr>
        <w:t>sitios</w:t>
      </w:r>
      <w:r>
        <w:rPr>
          <w:color w:val="231F20"/>
          <w:spacing w:val="-4"/>
        </w:rPr>
        <w:t> </w:t>
      </w:r>
      <w:r>
        <w:rPr>
          <w:color w:val="231F20"/>
        </w:rPr>
        <w:t>se</w:t>
      </w:r>
      <w:r>
        <w:rPr>
          <w:color w:val="231F20"/>
          <w:spacing w:val="-4"/>
        </w:rPr>
        <w:t> </w:t>
      </w:r>
      <w:r>
        <w:rPr>
          <w:color w:val="231F20"/>
        </w:rPr>
        <w:t>han</w:t>
      </w:r>
      <w:r>
        <w:rPr>
          <w:color w:val="231F20"/>
          <w:spacing w:val="-4"/>
        </w:rPr>
        <w:t> </w:t>
      </w:r>
      <w:r>
        <w:rPr>
          <w:color w:val="231F20"/>
        </w:rPr>
        <w:t>establecido</w:t>
      </w:r>
      <w:r>
        <w:rPr>
          <w:color w:val="231F20"/>
          <w:spacing w:val="-5"/>
        </w:rPr>
        <w:t> </w:t>
      </w:r>
      <w:r>
        <w:rPr>
          <w:color w:val="231F20"/>
        </w:rPr>
        <w:t>3</w:t>
      </w:r>
      <w:r>
        <w:rPr>
          <w:color w:val="231F20"/>
          <w:spacing w:val="-4"/>
        </w:rPr>
        <w:t> </w:t>
      </w:r>
      <w:r>
        <w:rPr>
          <w:color w:val="231F20"/>
        </w:rPr>
        <w:t>individuos</w:t>
      </w:r>
      <w:r>
        <w:rPr>
          <w:color w:val="231F20"/>
          <w:spacing w:val="-5"/>
        </w:rPr>
        <w:t> </w:t>
      </w:r>
      <w:r>
        <w:rPr>
          <w:color w:val="231F20"/>
        </w:rPr>
        <w:t>por</w:t>
      </w:r>
      <w:r>
        <w:rPr>
          <w:color w:val="231F20"/>
          <w:spacing w:val="-4"/>
        </w:rPr>
        <w:t> </w:t>
      </w:r>
      <w:r>
        <w:rPr>
          <w:color w:val="231F20"/>
        </w:rPr>
        <w:t>colecta</w:t>
      </w:r>
      <w:r>
        <w:rPr>
          <w:color w:val="231F20"/>
          <w:spacing w:val="-4"/>
        </w:rPr>
        <w:t> </w:t>
      </w:r>
      <w:r>
        <w:rPr>
          <w:color w:val="231F20"/>
        </w:rPr>
        <w:t>y serán</w:t>
      </w:r>
      <w:r>
        <w:rPr>
          <w:color w:val="231F20"/>
          <w:spacing w:val="-21"/>
        </w:rPr>
        <w:t> </w:t>
      </w:r>
      <w:r>
        <w:rPr>
          <w:color w:val="231F20"/>
        </w:rPr>
        <w:t>utilizados</w:t>
      </w:r>
      <w:r>
        <w:rPr>
          <w:color w:val="231F20"/>
          <w:spacing w:val="-21"/>
        </w:rPr>
        <w:t> </w:t>
      </w:r>
      <w:r>
        <w:rPr>
          <w:color w:val="231F20"/>
        </w:rPr>
        <w:t>para</w:t>
      </w:r>
      <w:r>
        <w:rPr>
          <w:color w:val="231F20"/>
          <w:spacing w:val="-21"/>
        </w:rPr>
        <w:t> </w:t>
      </w:r>
      <w:r>
        <w:rPr>
          <w:color w:val="231F20"/>
        </w:rPr>
        <w:t>hacer</w:t>
      </w:r>
      <w:r>
        <w:rPr>
          <w:color w:val="231F20"/>
          <w:spacing w:val="-21"/>
        </w:rPr>
        <w:t> </w:t>
      </w:r>
      <w:r>
        <w:rPr>
          <w:color w:val="231F20"/>
        </w:rPr>
        <w:t>diferentes</w:t>
      </w:r>
      <w:r>
        <w:rPr>
          <w:color w:val="231F20"/>
          <w:spacing w:val="-21"/>
        </w:rPr>
        <w:t> </w:t>
      </w:r>
      <w:r>
        <w:rPr>
          <w:color w:val="231F20"/>
        </w:rPr>
        <w:t>estudios</w:t>
      </w:r>
      <w:r>
        <w:rPr>
          <w:color w:val="231F20"/>
          <w:spacing w:val="-21"/>
        </w:rPr>
        <w:t> </w:t>
      </w:r>
      <w:r>
        <w:rPr>
          <w:color w:val="231F20"/>
        </w:rPr>
        <w:t>de</w:t>
      </w:r>
      <w:r>
        <w:rPr>
          <w:color w:val="231F20"/>
          <w:spacing w:val="-21"/>
        </w:rPr>
        <w:t> </w:t>
      </w:r>
      <w:r>
        <w:rPr>
          <w:color w:val="231F20"/>
        </w:rPr>
        <w:t>caracterización</w:t>
      </w:r>
      <w:r>
        <w:rPr>
          <w:color w:val="231F20"/>
          <w:spacing w:val="-21"/>
        </w:rPr>
        <w:t> </w:t>
      </w:r>
      <w:r>
        <w:rPr>
          <w:color w:val="231F20"/>
        </w:rPr>
        <w:t>y</w:t>
      </w:r>
      <w:r>
        <w:rPr>
          <w:color w:val="231F20"/>
          <w:spacing w:val="-21"/>
        </w:rPr>
        <w:t> </w:t>
      </w:r>
      <w:r>
        <w:rPr>
          <w:color w:val="231F20"/>
        </w:rPr>
        <w:t>la</w:t>
      </w:r>
      <w:r>
        <w:rPr>
          <w:color w:val="231F20"/>
          <w:spacing w:val="-21"/>
        </w:rPr>
        <w:t> </w:t>
      </w:r>
      <w:r>
        <w:rPr>
          <w:color w:val="231F20"/>
        </w:rPr>
        <w:t>obtención</w:t>
      </w:r>
      <w:r>
        <w:rPr>
          <w:color w:val="231F20"/>
          <w:spacing w:val="-21"/>
        </w:rPr>
        <w:t> </w:t>
      </w:r>
      <w:r>
        <w:rPr>
          <w:color w:val="231F20"/>
        </w:rPr>
        <w:t>del</w:t>
      </w:r>
      <w:r>
        <w:rPr>
          <w:color w:val="231F20"/>
          <w:spacing w:val="-21"/>
        </w:rPr>
        <w:t> </w:t>
      </w:r>
      <w:r>
        <w:rPr>
          <w:color w:val="231F20"/>
        </w:rPr>
        <w:t>material</w:t>
      </w:r>
      <w:r>
        <w:rPr>
          <w:color w:val="231F20"/>
          <w:spacing w:val="-21"/>
        </w:rPr>
        <w:t> </w:t>
      </w:r>
      <w:r>
        <w:rPr>
          <w:color w:val="231F20"/>
        </w:rPr>
        <w:t>definitivo para</w:t>
      </w:r>
      <w:r>
        <w:rPr>
          <w:color w:val="231F20"/>
          <w:spacing w:val="-5"/>
        </w:rPr>
        <w:t> </w:t>
      </w:r>
      <w:r>
        <w:rPr>
          <w:color w:val="231F20"/>
        </w:rPr>
        <w:t>el</w:t>
      </w:r>
      <w:r>
        <w:rPr>
          <w:color w:val="231F20"/>
          <w:spacing w:val="-5"/>
        </w:rPr>
        <w:t> </w:t>
      </w:r>
      <w:r>
        <w:rPr>
          <w:color w:val="231F20"/>
        </w:rPr>
        <w:t>banco</w:t>
      </w:r>
      <w:r>
        <w:rPr>
          <w:color w:val="231F20"/>
          <w:spacing w:val="-5"/>
        </w:rPr>
        <w:t> </w:t>
      </w:r>
      <w:r>
        <w:rPr>
          <w:color w:val="231F20"/>
        </w:rPr>
        <w:t>nacional.</w:t>
      </w:r>
      <w:r>
        <w:rPr>
          <w:color w:val="231F20"/>
          <w:spacing w:val="-5"/>
        </w:rPr>
        <w:t> </w:t>
      </w:r>
      <w:r>
        <w:rPr>
          <w:color w:val="231F20"/>
        </w:rPr>
        <w:t>Complemento</w:t>
      </w:r>
      <w:r>
        <w:rPr>
          <w:color w:val="231F20"/>
          <w:spacing w:val="-5"/>
        </w:rPr>
        <w:t> </w:t>
      </w:r>
      <w:r>
        <w:rPr>
          <w:color w:val="231F20"/>
        </w:rPr>
        <w:t>a</w:t>
      </w:r>
      <w:r>
        <w:rPr>
          <w:color w:val="231F20"/>
          <w:spacing w:val="-5"/>
        </w:rPr>
        <w:t> </w:t>
      </w:r>
      <w:r>
        <w:rPr>
          <w:color w:val="231F20"/>
        </w:rPr>
        <w:t>lo</w:t>
      </w:r>
      <w:r>
        <w:rPr>
          <w:color w:val="231F20"/>
          <w:spacing w:val="-5"/>
        </w:rPr>
        <w:t> </w:t>
      </w:r>
      <w:r>
        <w:rPr>
          <w:color w:val="231F20"/>
        </w:rPr>
        <w:t>anterior</w:t>
      </w:r>
      <w:r>
        <w:rPr>
          <w:color w:val="231F20"/>
          <w:spacing w:val="-6"/>
        </w:rPr>
        <w:t> </w:t>
      </w:r>
      <w:r>
        <w:rPr>
          <w:color w:val="231F20"/>
        </w:rPr>
        <w:t>se</w:t>
      </w:r>
      <w:r>
        <w:rPr>
          <w:color w:val="231F20"/>
          <w:spacing w:val="-5"/>
        </w:rPr>
        <w:t> </w:t>
      </w:r>
      <w:r>
        <w:rPr>
          <w:color w:val="231F20"/>
        </w:rPr>
        <w:t>han</w:t>
      </w:r>
      <w:r>
        <w:rPr>
          <w:color w:val="231F20"/>
          <w:spacing w:val="-5"/>
        </w:rPr>
        <w:t> </w:t>
      </w:r>
      <w:r>
        <w:rPr>
          <w:color w:val="231F20"/>
        </w:rPr>
        <w:t>colectado</w:t>
      </w:r>
      <w:r>
        <w:rPr>
          <w:color w:val="231F20"/>
          <w:spacing w:val="-6"/>
        </w:rPr>
        <w:t> </w:t>
      </w:r>
      <w:r>
        <w:rPr>
          <w:color w:val="231F20"/>
        </w:rPr>
        <w:t>frutos</w:t>
      </w:r>
      <w:r>
        <w:rPr>
          <w:color w:val="231F20"/>
          <w:spacing w:val="-5"/>
        </w:rPr>
        <w:t> </w:t>
      </w:r>
      <w:r>
        <w:rPr>
          <w:color w:val="231F20"/>
        </w:rPr>
        <w:t>para</w:t>
      </w:r>
      <w:r>
        <w:rPr>
          <w:color w:val="231F20"/>
          <w:spacing w:val="-5"/>
        </w:rPr>
        <w:t> </w:t>
      </w:r>
      <w:r>
        <w:rPr>
          <w:color w:val="231F20"/>
        </w:rPr>
        <w:t>la</w:t>
      </w:r>
      <w:r>
        <w:rPr>
          <w:color w:val="231F20"/>
          <w:spacing w:val="-5"/>
        </w:rPr>
        <w:t> </w:t>
      </w:r>
      <w:r>
        <w:rPr>
          <w:color w:val="231F20"/>
        </w:rPr>
        <w:t>caracterización</w:t>
      </w:r>
      <w:r>
        <w:rPr>
          <w:color w:val="231F20"/>
          <w:spacing w:val="-6"/>
        </w:rPr>
        <w:t> </w:t>
      </w:r>
      <w:r>
        <w:rPr>
          <w:color w:val="231F20"/>
        </w:rPr>
        <w:t>de las</w:t>
      </w:r>
      <w:r>
        <w:rPr>
          <w:color w:val="231F20"/>
          <w:spacing w:val="-5"/>
        </w:rPr>
        <w:t> </w:t>
      </w:r>
      <w:r>
        <w:rPr>
          <w:color w:val="231F20"/>
        </w:rPr>
        <w:t>variantes</w:t>
      </w:r>
      <w:r>
        <w:rPr>
          <w:color w:val="231F20"/>
          <w:spacing w:val="-5"/>
        </w:rPr>
        <w:t> </w:t>
      </w:r>
      <w:r>
        <w:rPr>
          <w:color w:val="231F20"/>
        </w:rPr>
        <w:t>de</w:t>
      </w:r>
      <w:r>
        <w:rPr>
          <w:color w:val="231F20"/>
          <w:spacing w:val="-5"/>
        </w:rPr>
        <w:t> </w:t>
      </w:r>
      <w:r>
        <w:rPr>
          <w:color w:val="231F20"/>
        </w:rPr>
        <w:t>frutos</w:t>
      </w:r>
      <w:r>
        <w:rPr>
          <w:color w:val="231F20"/>
          <w:spacing w:val="-5"/>
        </w:rPr>
        <w:t> </w:t>
      </w:r>
      <w:r>
        <w:rPr>
          <w:color w:val="231F20"/>
        </w:rPr>
        <w:t>y</w:t>
      </w:r>
      <w:r>
        <w:rPr>
          <w:color w:val="231F20"/>
          <w:spacing w:val="-5"/>
        </w:rPr>
        <w:t> </w:t>
      </w:r>
      <w:r>
        <w:rPr>
          <w:color w:val="231F20"/>
        </w:rPr>
        <w:t>obtener</w:t>
      </w:r>
      <w:r>
        <w:rPr>
          <w:color w:val="231F20"/>
          <w:spacing w:val="-5"/>
        </w:rPr>
        <w:t> </w:t>
      </w:r>
      <w:r>
        <w:rPr>
          <w:color w:val="231F20"/>
        </w:rPr>
        <w:t>un</w:t>
      </w:r>
      <w:r>
        <w:rPr>
          <w:color w:val="231F20"/>
          <w:spacing w:val="-5"/>
        </w:rPr>
        <w:t> </w:t>
      </w:r>
      <w:r>
        <w:rPr>
          <w:color w:val="231F20"/>
        </w:rPr>
        <w:t>primer</w:t>
      </w:r>
      <w:r>
        <w:rPr>
          <w:color w:val="231F20"/>
          <w:spacing w:val="-5"/>
        </w:rPr>
        <w:t> </w:t>
      </w:r>
      <w:r>
        <w:rPr>
          <w:color w:val="231F20"/>
        </w:rPr>
        <w:t>acercamiento</w:t>
      </w:r>
      <w:r>
        <w:rPr>
          <w:color w:val="231F20"/>
          <w:spacing w:val="-6"/>
        </w:rPr>
        <w:t> </w:t>
      </w:r>
      <w:r>
        <w:rPr>
          <w:color w:val="231F20"/>
        </w:rPr>
        <w:t>a</w:t>
      </w:r>
      <w:r>
        <w:rPr>
          <w:color w:val="231F20"/>
          <w:spacing w:val="-5"/>
        </w:rPr>
        <w:t> </w:t>
      </w:r>
      <w:r>
        <w:rPr>
          <w:color w:val="231F20"/>
        </w:rPr>
        <w:t>la</w:t>
      </w:r>
      <w:r>
        <w:rPr>
          <w:color w:val="231F20"/>
          <w:spacing w:val="-5"/>
        </w:rPr>
        <w:t> </w:t>
      </w:r>
      <w:r>
        <w:rPr>
          <w:color w:val="231F20"/>
        </w:rPr>
        <w:t>diversidad,</w:t>
      </w:r>
      <w:r>
        <w:rPr>
          <w:color w:val="231F20"/>
          <w:spacing w:val="-5"/>
        </w:rPr>
        <w:t> </w:t>
      </w:r>
      <w:r>
        <w:rPr>
          <w:color w:val="231F20"/>
        </w:rPr>
        <w:t>vista</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spacing w:val="-3"/>
        </w:rPr>
        <w:t>órgano</w:t>
      </w:r>
      <w:r>
        <w:rPr>
          <w:color w:val="231F20"/>
          <w:spacing w:val="-5"/>
        </w:rPr>
        <w:t> </w:t>
      </w:r>
      <w:r>
        <w:rPr>
          <w:color w:val="231F20"/>
        </w:rPr>
        <w:t>de</w:t>
      </w:r>
      <w:r>
        <w:rPr>
          <w:color w:val="231F20"/>
          <w:spacing w:val="-5"/>
        </w:rPr>
        <w:t> </w:t>
      </w:r>
      <w:r>
        <w:rPr>
          <w:color w:val="231F20"/>
        </w:rPr>
        <w:t>mayor interés</w:t>
      </w:r>
      <w:r>
        <w:rPr>
          <w:color w:val="231F20"/>
          <w:spacing w:val="-8"/>
        </w:rPr>
        <w:t> </w:t>
      </w:r>
      <w:r>
        <w:rPr>
          <w:color w:val="231F20"/>
        </w:rPr>
        <w:t>por</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consume,</w:t>
      </w:r>
      <w:r>
        <w:rPr>
          <w:color w:val="231F20"/>
          <w:spacing w:val="-8"/>
        </w:rPr>
        <w:t> </w:t>
      </w:r>
      <w:r>
        <w:rPr>
          <w:color w:val="231F20"/>
        </w:rPr>
        <w:t>es</w:t>
      </w:r>
      <w:r>
        <w:rPr>
          <w:color w:val="231F20"/>
          <w:spacing w:val="-8"/>
        </w:rPr>
        <w:t> </w:t>
      </w:r>
      <w:r>
        <w:rPr>
          <w:color w:val="231F20"/>
        </w:rPr>
        <w:t>decir</w:t>
      </w:r>
      <w:r>
        <w:rPr>
          <w:color w:val="231F20"/>
          <w:spacing w:val="-8"/>
        </w:rPr>
        <w:t> </w:t>
      </w:r>
      <w:r>
        <w:rPr>
          <w:color w:val="231F20"/>
        </w:rPr>
        <w:t>el</w:t>
      </w:r>
      <w:r>
        <w:rPr>
          <w:color w:val="231F20"/>
          <w:spacing w:val="-8"/>
        </w:rPr>
        <w:t> </w:t>
      </w:r>
      <w:r>
        <w:rPr>
          <w:color w:val="231F20"/>
        </w:rPr>
        <w:t>fruto.</w:t>
      </w:r>
      <w:r>
        <w:rPr>
          <w:color w:val="231F20"/>
          <w:spacing w:val="-8"/>
        </w:rPr>
        <w:t> </w:t>
      </w:r>
      <w:r>
        <w:rPr>
          <w:color w:val="231F20"/>
        </w:rPr>
        <w:t>Esto</w:t>
      </w:r>
      <w:r>
        <w:rPr>
          <w:color w:val="231F20"/>
          <w:spacing w:val="-8"/>
        </w:rPr>
        <w:t> </w:t>
      </w:r>
      <w:r>
        <w:rPr>
          <w:color w:val="231F20"/>
        </w:rPr>
        <w:t>nos</w:t>
      </w:r>
      <w:r>
        <w:rPr>
          <w:color w:val="231F20"/>
          <w:spacing w:val="-8"/>
        </w:rPr>
        <w:t> </w:t>
      </w:r>
      <w:r>
        <w:rPr>
          <w:color w:val="231F20"/>
        </w:rPr>
        <w:t>ha</w:t>
      </w:r>
      <w:r>
        <w:rPr>
          <w:color w:val="231F20"/>
          <w:spacing w:val="-8"/>
        </w:rPr>
        <w:t> </w:t>
      </w:r>
      <w:r>
        <w:rPr>
          <w:color w:val="231F20"/>
        </w:rPr>
        <w:t>llevado</w:t>
      </w:r>
      <w:r>
        <w:rPr>
          <w:color w:val="231F20"/>
          <w:spacing w:val="-8"/>
        </w:rPr>
        <w:t> </w:t>
      </w:r>
      <w:r>
        <w:rPr>
          <w:color w:val="231F20"/>
        </w:rPr>
        <w:t>a</w:t>
      </w:r>
      <w:r>
        <w:rPr>
          <w:color w:val="231F20"/>
          <w:spacing w:val="-8"/>
        </w:rPr>
        <w:t> </w:t>
      </w:r>
      <w:r>
        <w:rPr>
          <w:color w:val="231F20"/>
        </w:rPr>
        <w:t>establecer</w:t>
      </w:r>
      <w:r>
        <w:rPr>
          <w:color w:val="231F20"/>
          <w:spacing w:val="-8"/>
        </w:rPr>
        <w:t> </w:t>
      </w:r>
      <w:r>
        <w:rPr>
          <w:color w:val="231F20"/>
        </w:rPr>
        <w:t>que</w:t>
      </w:r>
      <w:r>
        <w:rPr>
          <w:color w:val="231F20"/>
          <w:spacing w:val="-8"/>
        </w:rPr>
        <w:t> </w:t>
      </w:r>
      <w:r>
        <w:rPr>
          <w:color w:val="231F20"/>
        </w:rPr>
        <w:t>la</w:t>
      </w:r>
      <w:r>
        <w:rPr>
          <w:color w:val="231F20"/>
          <w:spacing w:val="-8"/>
        </w:rPr>
        <w:t> </w:t>
      </w:r>
      <w:r>
        <w:rPr>
          <w:color w:val="231F20"/>
        </w:rPr>
        <w:t>diversidad</w:t>
      </w:r>
      <w:r>
        <w:rPr>
          <w:color w:val="231F20"/>
          <w:spacing w:val="-8"/>
        </w:rPr>
        <w:t> </w:t>
      </w:r>
      <w:r>
        <w:rPr>
          <w:color w:val="231F20"/>
        </w:rPr>
        <w:t>de</w:t>
      </w:r>
      <w:r>
        <w:rPr>
          <w:color w:val="231F20"/>
          <w:spacing w:val="-8"/>
        </w:rPr>
        <w:t> </w:t>
      </w:r>
      <w:r>
        <w:rPr>
          <w:color w:val="231F20"/>
        </w:rPr>
        <w:t>las ciruelas con base a frutos se encuentra alrededor de 12 variantes por región de trabajo, que sumadas se eleva de manera importante. Con la inclusión de variantes silvestres dentro de las colectas se ha establecido</w:t>
      </w:r>
      <w:r>
        <w:rPr>
          <w:color w:val="231F20"/>
          <w:spacing w:val="-12"/>
        </w:rPr>
        <w:t> </w:t>
      </w:r>
      <w:r>
        <w:rPr>
          <w:color w:val="231F20"/>
        </w:rPr>
        <w:t>los</w:t>
      </w:r>
      <w:r>
        <w:rPr>
          <w:color w:val="231F20"/>
          <w:spacing w:val="-12"/>
        </w:rPr>
        <w:t> </w:t>
      </w:r>
      <w:r>
        <w:rPr>
          <w:color w:val="231F20"/>
        </w:rPr>
        <w:t>contrastes</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frutos</w:t>
      </w:r>
      <w:r>
        <w:rPr>
          <w:color w:val="231F20"/>
          <w:spacing w:val="-12"/>
        </w:rPr>
        <w:t> </w:t>
      </w:r>
      <w:r>
        <w:rPr>
          <w:color w:val="231F20"/>
        </w:rPr>
        <w:t>entre</w:t>
      </w:r>
      <w:r>
        <w:rPr>
          <w:color w:val="231F20"/>
          <w:spacing w:val="-12"/>
        </w:rPr>
        <w:t> </w:t>
      </w:r>
      <w:r>
        <w:rPr>
          <w:color w:val="231F20"/>
        </w:rPr>
        <w:t>las</w:t>
      </w:r>
      <w:r>
        <w:rPr>
          <w:color w:val="231F20"/>
          <w:spacing w:val="-12"/>
        </w:rPr>
        <w:t> </w:t>
      </w:r>
      <w:r>
        <w:rPr>
          <w:color w:val="231F20"/>
        </w:rPr>
        <w:t>variantes</w:t>
      </w:r>
      <w:r>
        <w:rPr>
          <w:color w:val="231F20"/>
          <w:spacing w:val="-11"/>
        </w:rPr>
        <w:t> </w:t>
      </w:r>
      <w:r>
        <w:rPr>
          <w:color w:val="231F20"/>
        </w:rPr>
        <w:t>domesticadas</w:t>
      </w:r>
      <w:r>
        <w:rPr>
          <w:color w:val="231F20"/>
          <w:spacing w:val="-11"/>
        </w:rPr>
        <w:t> </w:t>
      </w:r>
      <w:r>
        <w:rPr>
          <w:color w:val="231F20"/>
        </w:rPr>
        <w:t>y</w:t>
      </w:r>
      <w:r>
        <w:rPr>
          <w:color w:val="231F20"/>
          <w:spacing w:val="-12"/>
        </w:rPr>
        <w:t> </w:t>
      </w:r>
      <w:r>
        <w:rPr>
          <w:color w:val="231F20"/>
        </w:rPr>
        <w:t>las</w:t>
      </w:r>
      <w:r>
        <w:rPr>
          <w:color w:val="231F20"/>
          <w:spacing w:val="-12"/>
        </w:rPr>
        <w:t> </w:t>
      </w:r>
      <w:r>
        <w:rPr>
          <w:color w:val="231F20"/>
        </w:rPr>
        <w:t>silvestres.</w:t>
      </w:r>
    </w:p>
    <w:p>
      <w:pPr>
        <w:pStyle w:val="BodyText"/>
        <w:spacing w:before="5"/>
      </w:pPr>
    </w:p>
    <w:p>
      <w:pPr>
        <w:spacing w:before="0"/>
        <w:ind w:left="2650" w:right="1279" w:firstLine="0"/>
        <w:jc w:val="left"/>
        <w:rPr>
          <w:b/>
          <w:sz w:val="18"/>
        </w:rPr>
      </w:pPr>
      <w:r>
        <w:rPr>
          <w:b/>
          <w:color w:val="010202"/>
          <w:sz w:val="18"/>
        </w:rPr>
        <w:t>Figura 1. Sitios de colectas de </w:t>
      </w:r>
      <w:r>
        <w:rPr>
          <w:b/>
          <w:i/>
          <w:color w:val="010202"/>
          <w:sz w:val="18"/>
        </w:rPr>
        <w:t>Spondias </w:t>
      </w:r>
      <w:r>
        <w:rPr>
          <w:b/>
          <w:color w:val="010202"/>
          <w:sz w:val="18"/>
        </w:rPr>
        <w:t>sp realizadas por la red de ciruela</w:t>
      </w:r>
    </w:p>
    <w:p>
      <w:pPr>
        <w:pStyle w:val="BodyText"/>
        <w:spacing w:before="9"/>
        <w:rPr>
          <w:b/>
          <w:sz w:val="15"/>
        </w:rPr>
      </w:pPr>
      <w:r>
        <w:rPr/>
        <w:drawing>
          <wp:anchor distT="0" distB="0" distL="0" distR="0" allowOverlap="1" layoutInCell="1" locked="0" behindDoc="0" simplePos="0" relativeHeight="4432">
            <wp:simplePos x="0" y="0"/>
            <wp:positionH relativeFrom="page">
              <wp:posOffset>1563001</wp:posOffset>
            </wp:positionH>
            <wp:positionV relativeFrom="paragraph">
              <wp:posOffset>140377</wp:posOffset>
            </wp:positionV>
            <wp:extent cx="3721631" cy="2875788"/>
            <wp:effectExtent l="0" t="0" r="0" b="0"/>
            <wp:wrapTopAndBottom/>
            <wp:docPr id="157" name="image61.jpeg" descr=""/>
            <wp:cNvGraphicFramePr>
              <a:graphicFrameLocks noChangeAspect="1"/>
            </wp:cNvGraphicFramePr>
            <a:graphic>
              <a:graphicData uri="http://schemas.openxmlformats.org/drawingml/2006/picture">
                <pic:pic>
                  <pic:nvPicPr>
                    <pic:cNvPr id="158" name="image61.jpeg"/>
                    <pic:cNvPicPr/>
                  </pic:nvPicPr>
                  <pic:blipFill>
                    <a:blip r:embed="rId91" cstate="print"/>
                    <a:stretch>
                      <a:fillRect/>
                    </a:stretch>
                  </pic:blipFill>
                  <pic:spPr>
                    <a:xfrm>
                      <a:off x="0" y="0"/>
                      <a:ext cx="3721631" cy="2875788"/>
                    </a:xfrm>
                    <a:prstGeom prst="rect">
                      <a:avLst/>
                    </a:prstGeom>
                  </pic:spPr>
                </pic:pic>
              </a:graphicData>
            </a:graphic>
          </wp:anchor>
        </w:drawing>
      </w:r>
    </w:p>
    <w:p>
      <w:pPr>
        <w:spacing w:after="0"/>
        <w:rPr>
          <w:sz w:val="15"/>
        </w:rPr>
        <w:sectPr>
          <w:pgSz w:w="10920" w:h="13080"/>
          <w:pgMar w:header="0" w:footer="965" w:top="420" w:bottom="1220" w:left="0" w:right="0"/>
        </w:sectPr>
      </w:pPr>
    </w:p>
    <w:p>
      <w:pPr>
        <w:pStyle w:val="BodyText"/>
        <w:rPr>
          <w:b/>
          <w:sz w:val="20"/>
        </w:rPr>
      </w:pPr>
    </w:p>
    <w:p>
      <w:pPr>
        <w:pStyle w:val="BodyText"/>
        <w:rPr>
          <w:b/>
          <w:sz w:val="20"/>
        </w:rPr>
      </w:pPr>
    </w:p>
    <w:p>
      <w:pPr>
        <w:pStyle w:val="BodyText"/>
        <w:rPr>
          <w:b/>
          <w:sz w:val="23"/>
        </w:rPr>
      </w:pPr>
    </w:p>
    <w:p>
      <w:pPr>
        <w:pStyle w:val="BodyText"/>
        <w:spacing w:line="247" w:lineRule="auto" w:before="73"/>
        <w:ind w:left="1270" w:right="1267"/>
        <w:jc w:val="both"/>
      </w:pPr>
      <w:r>
        <w:rPr>
          <w:color w:val="231F20"/>
        </w:rPr>
        <w:t>Con</w:t>
      </w:r>
      <w:r>
        <w:rPr>
          <w:color w:val="231F20"/>
          <w:spacing w:val="-4"/>
        </w:rPr>
        <w:t> </w:t>
      </w:r>
      <w:r>
        <w:rPr>
          <w:color w:val="231F20"/>
        </w:rPr>
        <w:t>el</w:t>
      </w:r>
      <w:r>
        <w:rPr>
          <w:color w:val="231F20"/>
          <w:spacing w:val="-4"/>
        </w:rPr>
        <w:t> </w:t>
      </w:r>
      <w:r>
        <w:rPr>
          <w:color w:val="231F20"/>
        </w:rPr>
        <w:t>establecimiento</w:t>
      </w:r>
      <w:r>
        <w:rPr>
          <w:color w:val="231F20"/>
          <w:spacing w:val="-5"/>
        </w:rPr>
        <w:t> </w:t>
      </w:r>
      <w:r>
        <w:rPr>
          <w:color w:val="231F20"/>
        </w:rPr>
        <w:t>de</w:t>
      </w:r>
      <w:r>
        <w:rPr>
          <w:color w:val="231F20"/>
          <w:spacing w:val="-4"/>
        </w:rPr>
        <w:t> </w:t>
      </w:r>
      <w:r>
        <w:rPr>
          <w:color w:val="231F20"/>
        </w:rPr>
        <w:t>los</w:t>
      </w:r>
      <w:r>
        <w:rPr>
          <w:color w:val="231F20"/>
          <w:spacing w:val="-4"/>
        </w:rPr>
        <w:t> </w:t>
      </w:r>
      <w:r>
        <w:rPr>
          <w:color w:val="231F20"/>
        </w:rPr>
        <w:t>materiales</w:t>
      </w:r>
      <w:r>
        <w:rPr>
          <w:color w:val="231F20"/>
          <w:spacing w:val="-5"/>
        </w:rPr>
        <w:t> </w:t>
      </w:r>
      <w:r>
        <w:rPr>
          <w:color w:val="231F20"/>
        </w:rPr>
        <w:t>colectados</w:t>
      </w:r>
      <w:r>
        <w:rPr>
          <w:color w:val="231F20"/>
          <w:spacing w:val="-5"/>
        </w:rPr>
        <w:t> </w:t>
      </w:r>
      <w:r>
        <w:rPr>
          <w:color w:val="231F20"/>
        </w:rPr>
        <w:t>en</w:t>
      </w:r>
      <w:r>
        <w:rPr>
          <w:color w:val="231F20"/>
          <w:spacing w:val="-4"/>
        </w:rPr>
        <w:t> </w:t>
      </w:r>
      <w:r>
        <w:rPr>
          <w:color w:val="231F20"/>
        </w:rPr>
        <w:t>los</w:t>
      </w:r>
      <w:r>
        <w:rPr>
          <w:color w:val="231F20"/>
          <w:spacing w:val="-4"/>
        </w:rPr>
        <w:t> </w:t>
      </w:r>
      <w:r>
        <w:rPr>
          <w:color w:val="231F20"/>
        </w:rPr>
        <w:t>bancos</w:t>
      </w:r>
      <w:r>
        <w:rPr>
          <w:color w:val="231F20"/>
          <w:spacing w:val="-4"/>
        </w:rPr>
        <w:t> </w:t>
      </w:r>
      <w:r>
        <w:rPr>
          <w:color w:val="231F20"/>
        </w:rPr>
        <w:t>de</w:t>
      </w:r>
      <w:r>
        <w:rPr>
          <w:color w:val="231F20"/>
          <w:spacing w:val="-4"/>
        </w:rPr>
        <w:t> </w:t>
      </w:r>
      <w:r>
        <w:rPr>
          <w:color w:val="231F20"/>
        </w:rPr>
        <w:t>trabajo</w:t>
      </w:r>
      <w:r>
        <w:rPr>
          <w:color w:val="231F20"/>
          <w:spacing w:val="-4"/>
        </w:rPr>
        <w:t> </w:t>
      </w:r>
      <w:r>
        <w:rPr>
          <w:color w:val="231F20"/>
        </w:rPr>
        <w:t>y</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colectas</w:t>
      </w:r>
      <w:r>
        <w:rPr>
          <w:color w:val="231F20"/>
          <w:spacing w:val="-4"/>
        </w:rPr>
        <w:t> </w:t>
      </w:r>
      <w:r>
        <w:rPr>
          <w:color w:val="231F20"/>
        </w:rPr>
        <w:t>de</w:t>
      </w:r>
      <w:r>
        <w:rPr>
          <w:color w:val="231F20"/>
          <w:spacing w:val="-4"/>
        </w:rPr>
        <w:t> </w:t>
      </w:r>
      <w:r>
        <w:rPr>
          <w:color w:val="231F20"/>
        </w:rPr>
        <w:t>fru- tos de diferentes variantes, se ha iniciado la fase de caracterización de los recursos fitogenéticos de ciruela, en donde se incluye los aspectos taxonómicos, de caracterización Botánica, de la</w:t>
      </w:r>
      <w:r>
        <w:rPr>
          <w:color w:val="231F20"/>
          <w:spacing w:val="-12"/>
        </w:rPr>
        <w:t> </w:t>
      </w:r>
      <w:r>
        <w:rPr>
          <w:color w:val="231F20"/>
        </w:rPr>
        <w:t>diversidad genética y morfológica y de los aspectos agronómicos, estos últimos requieren tiempo prolongados, bajo la consideración de que se trata de plantas perennes y de ciclos anuales. Complementario a lo anterior,</w:t>
      </w:r>
      <w:r>
        <w:rPr>
          <w:color w:val="231F20"/>
          <w:spacing w:val="-6"/>
        </w:rPr>
        <w:t> </w:t>
      </w:r>
      <w:r>
        <w:rPr>
          <w:color w:val="231F20"/>
        </w:rPr>
        <w:t>los</w:t>
      </w:r>
      <w:r>
        <w:rPr>
          <w:color w:val="231F20"/>
          <w:spacing w:val="-6"/>
        </w:rPr>
        <w:t> </w:t>
      </w:r>
      <w:r>
        <w:rPr>
          <w:color w:val="231F20"/>
        </w:rPr>
        <w:t>materiales</w:t>
      </w:r>
      <w:r>
        <w:rPr>
          <w:color w:val="231F20"/>
          <w:spacing w:val="-6"/>
        </w:rPr>
        <w:t> </w:t>
      </w:r>
      <w:r>
        <w:rPr>
          <w:color w:val="231F20"/>
        </w:rPr>
        <w:t>establecidos</w:t>
      </w:r>
      <w:r>
        <w:rPr>
          <w:color w:val="231F20"/>
          <w:spacing w:val="-6"/>
        </w:rPr>
        <w:t> </w:t>
      </w:r>
      <w:r>
        <w:rPr>
          <w:color w:val="231F20"/>
        </w:rPr>
        <w:t>servirán</w:t>
      </w:r>
      <w:r>
        <w:rPr>
          <w:color w:val="231F20"/>
          <w:spacing w:val="-5"/>
        </w:rPr>
        <w:t> </w:t>
      </w:r>
      <w:r>
        <w:rPr>
          <w:color w:val="231F20"/>
        </w:rPr>
        <w:t>para</w:t>
      </w:r>
      <w:r>
        <w:rPr>
          <w:color w:val="231F20"/>
          <w:spacing w:val="-6"/>
        </w:rPr>
        <w:t> </w:t>
      </w:r>
      <w:r>
        <w:rPr>
          <w:color w:val="231F20"/>
        </w:rPr>
        <w:t>las</w:t>
      </w:r>
      <w:r>
        <w:rPr>
          <w:color w:val="231F20"/>
          <w:spacing w:val="-6"/>
        </w:rPr>
        <w:t> </w:t>
      </w:r>
      <w:r>
        <w:rPr>
          <w:color w:val="231F20"/>
        </w:rPr>
        <w:t>caracterizaciones</w:t>
      </w:r>
      <w:r>
        <w:rPr>
          <w:color w:val="231F20"/>
          <w:spacing w:val="-7"/>
        </w:rPr>
        <w:t> </w:t>
      </w:r>
      <w:r>
        <w:rPr>
          <w:color w:val="231F20"/>
        </w:rPr>
        <w:t>varietales</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elaboración</w:t>
      </w:r>
      <w:r>
        <w:rPr>
          <w:color w:val="231F20"/>
          <w:spacing w:val="-6"/>
        </w:rPr>
        <w:t> </w:t>
      </w:r>
      <w:r>
        <w:rPr>
          <w:color w:val="231F20"/>
        </w:rPr>
        <w:t>de las guías necesarias en estos</w:t>
      </w:r>
      <w:r>
        <w:rPr>
          <w:color w:val="231F20"/>
          <w:spacing w:val="-3"/>
        </w:rPr>
        <w:t> </w:t>
      </w:r>
      <w:r>
        <w:rPr>
          <w:color w:val="231F20"/>
        </w:rPr>
        <w:t>estudios.</w:t>
      </w:r>
    </w:p>
    <w:p>
      <w:pPr>
        <w:pStyle w:val="BodyText"/>
        <w:spacing w:before="10"/>
      </w:pPr>
    </w:p>
    <w:p>
      <w:pPr>
        <w:pStyle w:val="BodyText"/>
        <w:spacing w:line="247" w:lineRule="auto"/>
        <w:ind w:left="1270" w:right="1267"/>
        <w:jc w:val="both"/>
      </w:pPr>
      <w:r>
        <w:rPr>
          <w:color w:val="231F20"/>
        </w:rPr>
        <w:t>El grupo de trabajo de la red de ciruela ha crecido ampliando el número de investigadores y de ins- tituciones</w:t>
      </w:r>
      <w:r>
        <w:rPr>
          <w:color w:val="231F20"/>
          <w:spacing w:val="-8"/>
        </w:rPr>
        <w:t> </w:t>
      </w:r>
      <w:r>
        <w:rPr>
          <w:color w:val="231F20"/>
        </w:rPr>
        <w:t>participantes,</w:t>
      </w:r>
      <w:r>
        <w:rPr>
          <w:color w:val="231F20"/>
          <w:spacing w:val="-8"/>
        </w:rPr>
        <w:t> </w:t>
      </w:r>
      <w:r>
        <w:rPr>
          <w:color w:val="231F20"/>
        </w:rPr>
        <w:t>la</w:t>
      </w:r>
      <w:r>
        <w:rPr>
          <w:color w:val="231F20"/>
          <w:spacing w:val="-7"/>
        </w:rPr>
        <w:t> </w:t>
      </w:r>
      <w:r>
        <w:rPr>
          <w:color w:val="231F20"/>
        </w:rPr>
        <w:t>integración</w:t>
      </w:r>
      <w:r>
        <w:rPr>
          <w:color w:val="231F20"/>
          <w:spacing w:val="-8"/>
        </w:rPr>
        <w:t> </w:t>
      </w:r>
      <w:r>
        <w:rPr>
          <w:color w:val="231F20"/>
        </w:rPr>
        <w:t>de</w:t>
      </w:r>
      <w:r>
        <w:rPr>
          <w:color w:val="231F20"/>
          <w:spacing w:val="40"/>
        </w:rPr>
        <w:t> </w:t>
      </w:r>
      <w:r>
        <w:rPr>
          <w:color w:val="231F20"/>
        </w:rPr>
        <w:t>nuevos</w:t>
      </w:r>
      <w:r>
        <w:rPr>
          <w:color w:val="231F20"/>
          <w:spacing w:val="-7"/>
        </w:rPr>
        <w:t> </w:t>
      </w:r>
      <w:r>
        <w:rPr>
          <w:color w:val="231F20"/>
        </w:rPr>
        <w:t>miembros</w:t>
      </w:r>
      <w:r>
        <w:rPr>
          <w:color w:val="231F20"/>
          <w:spacing w:val="-8"/>
        </w:rPr>
        <w:t> </w:t>
      </w:r>
      <w:r>
        <w:rPr>
          <w:color w:val="231F20"/>
        </w:rPr>
        <w:t>se</w:t>
      </w:r>
      <w:r>
        <w:rPr>
          <w:color w:val="231F20"/>
          <w:spacing w:val="-7"/>
        </w:rPr>
        <w:t> </w:t>
      </w:r>
      <w:r>
        <w:rPr>
          <w:color w:val="231F20"/>
        </w:rPr>
        <w:t>hace</w:t>
      </w:r>
      <w:r>
        <w:rPr>
          <w:color w:val="231F20"/>
          <w:spacing w:val="-7"/>
        </w:rPr>
        <w:t> </w:t>
      </w:r>
      <w:r>
        <w:rPr>
          <w:color w:val="231F20"/>
        </w:rPr>
        <w:t>con</w:t>
      </w:r>
      <w:r>
        <w:rPr>
          <w:color w:val="231F20"/>
          <w:spacing w:val="-7"/>
        </w:rPr>
        <w:t> </w:t>
      </w:r>
      <w:r>
        <w:rPr>
          <w:color w:val="231F20"/>
        </w:rPr>
        <w:t>base</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especialidad</w:t>
      </w:r>
      <w:r>
        <w:rPr>
          <w:color w:val="231F20"/>
          <w:spacing w:val="-8"/>
        </w:rPr>
        <w:t> </w:t>
      </w:r>
      <w:r>
        <w:rPr>
          <w:color w:val="231F20"/>
        </w:rPr>
        <w:t>de</w:t>
      </w:r>
      <w:r>
        <w:rPr>
          <w:color w:val="231F20"/>
          <w:spacing w:val="-7"/>
        </w:rPr>
        <w:t> </w:t>
      </w:r>
      <w:r>
        <w:rPr>
          <w:color w:val="231F20"/>
        </w:rPr>
        <w:t>los candidatos y su pertinencia en las temáticas definidas en plan estratégico, también ha sido posible  el trabajo interdisciplinario que ha logrado nuevos enfoques y resultados novedosos de los trabajos. La interacción entre los investigadores ha permitido el acceso a equipos y la participación de espe- cialistas que facilitan y son una garantía del trabajo realizado, de otra manera se requiere de</w:t>
      </w:r>
      <w:r>
        <w:rPr>
          <w:color w:val="231F20"/>
          <w:spacing w:val="-35"/>
        </w:rPr>
        <w:t> </w:t>
      </w:r>
      <w:r>
        <w:rPr>
          <w:color w:val="231F20"/>
        </w:rPr>
        <w:t>grandes inversiones en</w:t>
      </w:r>
      <w:r>
        <w:rPr>
          <w:color w:val="231F20"/>
          <w:spacing w:val="-2"/>
        </w:rPr>
        <w:t> </w:t>
      </w:r>
      <w:r>
        <w:rPr>
          <w:color w:val="231F20"/>
        </w:rPr>
        <w:t>equipos.</w:t>
      </w:r>
    </w:p>
    <w:p>
      <w:pPr>
        <w:pStyle w:val="BodyText"/>
        <w:spacing w:before="10"/>
      </w:pPr>
    </w:p>
    <w:p>
      <w:pPr>
        <w:pStyle w:val="BodyText"/>
        <w:spacing w:line="247" w:lineRule="auto"/>
        <w:ind w:left="1270" w:right="1265"/>
        <w:jc w:val="both"/>
      </w:pPr>
      <w:r>
        <w:rPr>
          <w:color w:val="231F20"/>
        </w:rPr>
        <w:t>La</w:t>
      </w:r>
      <w:r>
        <w:rPr>
          <w:color w:val="231F20"/>
          <w:spacing w:val="-7"/>
        </w:rPr>
        <w:t> </w:t>
      </w:r>
      <w:r>
        <w:rPr>
          <w:color w:val="231F20"/>
        </w:rPr>
        <w:t>participación</w:t>
      </w:r>
      <w:r>
        <w:rPr>
          <w:color w:val="231F20"/>
          <w:spacing w:val="-7"/>
        </w:rPr>
        <w:t> </w:t>
      </w:r>
      <w:r>
        <w:rPr>
          <w:color w:val="231F20"/>
        </w:rPr>
        <w:t>de</w:t>
      </w:r>
      <w:r>
        <w:rPr>
          <w:color w:val="231F20"/>
          <w:spacing w:val="-7"/>
        </w:rPr>
        <w:t> </w:t>
      </w:r>
      <w:r>
        <w:rPr>
          <w:color w:val="231F20"/>
        </w:rPr>
        <w:t>diferentes</w:t>
      </w:r>
      <w:r>
        <w:rPr>
          <w:color w:val="231F20"/>
          <w:spacing w:val="-7"/>
        </w:rPr>
        <w:t> </w:t>
      </w:r>
      <w:r>
        <w:rPr>
          <w:color w:val="231F20"/>
        </w:rPr>
        <w:t>instituciones</w:t>
      </w:r>
      <w:r>
        <w:rPr>
          <w:color w:val="231F20"/>
          <w:spacing w:val="-8"/>
        </w:rPr>
        <w:t> </w:t>
      </w:r>
      <w:r>
        <w:rPr>
          <w:color w:val="231F20"/>
        </w:rPr>
        <w:t>e</w:t>
      </w:r>
      <w:r>
        <w:rPr>
          <w:color w:val="231F20"/>
          <w:spacing w:val="-7"/>
        </w:rPr>
        <w:t> </w:t>
      </w:r>
      <w:r>
        <w:rPr>
          <w:color w:val="231F20"/>
        </w:rPr>
        <w:t>investigadores</w:t>
      </w:r>
      <w:r>
        <w:rPr>
          <w:color w:val="231F20"/>
          <w:spacing w:val="-8"/>
        </w:rPr>
        <w:t> </w:t>
      </w:r>
      <w:r>
        <w:rPr>
          <w:color w:val="231F20"/>
        </w:rPr>
        <w:t>en</w:t>
      </w:r>
      <w:r>
        <w:rPr>
          <w:color w:val="231F20"/>
          <w:spacing w:val="-7"/>
        </w:rPr>
        <w:t> </w:t>
      </w:r>
      <w:r>
        <w:rPr>
          <w:color w:val="231F20"/>
        </w:rPr>
        <w:t>la</w:t>
      </w:r>
      <w:r>
        <w:rPr>
          <w:color w:val="231F20"/>
          <w:spacing w:val="-7"/>
        </w:rPr>
        <w:t> </w:t>
      </w:r>
      <w:r>
        <w:rPr>
          <w:color w:val="231F20"/>
        </w:rPr>
        <w:t>red</w:t>
      </w:r>
      <w:r>
        <w:rPr>
          <w:color w:val="231F20"/>
          <w:spacing w:val="-7"/>
        </w:rPr>
        <w:t> </w:t>
      </w:r>
      <w:r>
        <w:rPr>
          <w:color w:val="231F20"/>
        </w:rPr>
        <w:t>de</w:t>
      </w:r>
      <w:r>
        <w:rPr>
          <w:color w:val="231F20"/>
          <w:spacing w:val="-7"/>
        </w:rPr>
        <w:t> </w:t>
      </w:r>
      <w:r>
        <w:rPr>
          <w:color w:val="231F20"/>
        </w:rPr>
        <w:t>ciruela</w:t>
      </w:r>
      <w:r>
        <w:rPr>
          <w:color w:val="231F20"/>
          <w:spacing w:val="-7"/>
        </w:rPr>
        <w:t> </w:t>
      </w:r>
      <w:r>
        <w:rPr>
          <w:color w:val="231F20"/>
        </w:rPr>
        <w:t>ha</w:t>
      </w:r>
      <w:r>
        <w:rPr>
          <w:color w:val="231F20"/>
          <w:spacing w:val="-7"/>
        </w:rPr>
        <w:t> </w:t>
      </w:r>
      <w:r>
        <w:rPr>
          <w:color w:val="231F20"/>
        </w:rPr>
        <w:t>permitido</w:t>
      </w:r>
      <w:r>
        <w:rPr>
          <w:color w:val="231F20"/>
          <w:spacing w:val="-7"/>
        </w:rPr>
        <w:t> </w:t>
      </w:r>
      <w:r>
        <w:rPr>
          <w:color w:val="231F20"/>
        </w:rPr>
        <w:t>el</w:t>
      </w:r>
      <w:r>
        <w:rPr>
          <w:color w:val="231F20"/>
          <w:spacing w:val="-7"/>
        </w:rPr>
        <w:t> </w:t>
      </w:r>
      <w:r>
        <w:rPr>
          <w:color w:val="231F20"/>
        </w:rPr>
        <w:t>esta- blecimiento de un plan estratégico, que plantea como prioridad continuar con la recolección de ma- terial vegetativo de </w:t>
      </w:r>
      <w:r>
        <w:rPr>
          <w:i/>
          <w:color w:val="231F20"/>
        </w:rPr>
        <w:t>Spondias </w:t>
      </w:r>
      <w:r>
        <w:rPr>
          <w:i/>
          <w:color w:val="231F20"/>
          <w:spacing w:val="-3"/>
        </w:rPr>
        <w:t>purpurea </w:t>
      </w:r>
      <w:r>
        <w:rPr>
          <w:color w:val="231F20"/>
        </w:rPr>
        <w:t>hasta completar una muestra suficiente de la mayor parte </w:t>
      </w:r>
      <w:r>
        <w:rPr>
          <w:color w:val="231F20"/>
          <w:spacing w:val="-2"/>
        </w:rPr>
        <w:t>del </w:t>
      </w:r>
      <w:r>
        <w:rPr>
          <w:color w:val="231F20"/>
        </w:rPr>
        <w:t>país,</w:t>
      </w:r>
      <w:r>
        <w:rPr>
          <w:color w:val="231F20"/>
          <w:spacing w:val="-5"/>
        </w:rPr>
        <w:t> </w:t>
      </w:r>
      <w:r>
        <w:rPr>
          <w:color w:val="231F20"/>
        </w:rPr>
        <w:t>particularmente</w:t>
      </w:r>
      <w:r>
        <w:rPr>
          <w:color w:val="231F20"/>
          <w:spacing w:val="-4"/>
        </w:rPr>
        <w:t> </w:t>
      </w:r>
      <w:r>
        <w:rPr>
          <w:color w:val="231F20"/>
        </w:rPr>
        <w:t>se</w:t>
      </w:r>
      <w:r>
        <w:rPr>
          <w:color w:val="231F20"/>
          <w:spacing w:val="-5"/>
        </w:rPr>
        <w:t> </w:t>
      </w:r>
      <w:r>
        <w:rPr>
          <w:color w:val="231F20"/>
        </w:rPr>
        <w:t>plantea</w:t>
      </w:r>
      <w:r>
        <w:rPr>
          <w:color w:val="231F20"/>
          <w:spacing w:val="-4"/>
        </w:rPr>
        <w:t> </w:t>
      </w:r>
      <w:r>
        <w:rPr>
          <w:color w:val="231F20"/>
        </w:rPr>
        <w:t>la</w:t>
      </w:r>
      <w:r>
        <w:rPr>
          <w:color w:val="231F20"/>
          <w:spacing w:val="-5"/>
        </w:rPr>
        <w:t> </w:t>
      </w:r>
      <w:r>
        <w:rPr>
          <w:color w:val="231F20"/>
        </w:rPr>
        <w:t>colecta</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materiales</w:t>
      </w:r>
      <w:r>
        <w:rPr>
          <w:color w:val="231F20"/>
          <w:spacing w:val="-5"/>
        </w:rPr>
        <w:t> </w:t>
      </w:r>
      <w:r>
        <w:rPr>
          <w:color w:val="231F20"/>
        </w:rPr>
        <w:t>que</w:t>
      </w:r>
      <w:r>
        <w:rPr>
          <w:color w:val="231F20"/>
          <w:spacing w:val="-5"/>
        </w:rPr>
        <w:t> </w:t>
      </w:r>
      <w:r>
        <w:rPr>
          <w:color w:val="231F20"/>
        </w:rPr>
        <w:t>crecen</w:t>
      </w:r>
      <w:r>
        <w:rPr>
          <w:color w:val="231F20"/>
          <w:spacing w:val="-5"/>
        </w:rPr>
        <w:t> </w:t>
      </w:r>
      <w:r>
        <w:rPr>
          <w:color w:val="231F20"/>
        </w:rPr>
        <w:t>a</w:t>
      </w:r>
      <w:r>
        <w:rPr>
          <w:color w:val="231F20"/>
          <w:spacing w:val="-5"/>
        </w:rPr>
        <w:t> </w:t>
      </w:r>
      <w:r>
        <w:rPr>
          <w:color w:val="231F20"/>
        </w:rPr>
        <w:t>1700</w:t>
      </w:r>
      <w:r>
        <w:rPr>
          <w:color w:val="231F20"/>
          <w:spacing w:val="-5"/>
        </w:rPr>
        <w:t> </w:t>
      </w:r>
      <w:r>
        <w:rPr>
          <w:color w:val="231F20"/>
        </w:rPr>
        <w:t>msnm,</w:t>
      </w:r>
      <w:r>
        <w:rPr>
          <w:color w:val="231F20"/>
          <w:spacing w:val="-5"/>
        </w:rPr>
        <w:t> </w:t>
      </w:r>
      <w:r>
        <w:rPr>
          <w:color w:val="231F20"/>
        </w:rPr>
        <w:t>ya</w:t>
      </w:r>
      <w:r>
        <w:rPr>
          <w:color w:val="231F20"/>
          <w:spacing w:val="-5"/>
        </w:rPr>
        <w:t> </w:t>
      </w:r>
      <w:r>
        <w:rPr>
          <w:color w:val="231F20"/>
        </w:rPr>
        <w:t>que</w:t>
      </w:r>
      <w:r>
        <w:rPr>
          <w:color w:val="231F20"/>
          <w:spacing w:val="-5"/>
        </w:rPr>
        <w:t> </w:t>
      </w:r>
      <w:r>
        <w:rPr>
          <w:color w:val="231F20"/>
        </w:rPr>
        <w:t>por</w:t>
      </w:r>
      <w:r>
        <w:rPr>
          <w:color w:val="231F20"/>
          <w:spacing w:val="-5"/>
        </w:rPr>
        <w:t> </w:t>
      </w:r>
      <w:r>
        <w:rPr>
          <w:color w:val="231F20"/>
          <w:spacing w:val="-2"/>
        </w:rPr>
        <w:t>sus </w:t>
      </w:r>
      <w:r>
        <w:rPr>
          <w:color w:val="231F20"/>
        </w:rPr>
        <w:t>características de calidad de fruto, vida de anaquel, producción y demanda, resultan los más prome- tedores en procesos de mejoramiento. Además de colectar las regiones que tradicionalmente </w:t>
      </w:r>
      <w:r>
        <w:rPr>
          <w:color w:val="231F20"/>
          <w:spacing w:val="-2"/>
        </w:rPr>
        <w:t>poseen </w:t>
      </w:r>
      <w:r>
        <w:rPr>
          <w:color w:val="231F20"/>
        </w:rPr>
        <w:t>una</w:t>
      </w:r>
      <w:r>
        <w:rPr>
          <w:color w:val="231F20"/>
          <w:spacing w:val="-14"/>
        </w:rPr>
        <w:t> </w:t>
      </w:r>
      <w:r>
        <w:rPr>
          <w:color w:val="231F20"/>
        </w:rPr>
        <w:t>gran</w:t>
      </w:r>
      <w:r>
        <w:rPr>
          <w:color w:val="231F20"/>
          <w:spacing w:val="-14"/>
        </w:rPr>
        <w:t> </w:t>
      </w:r>
      <w:r>
        <w:rPr>
          <w:color w:val="231F20"/>
        </w:rPr>
        <w:t>diversidad,</w:t>
      </w:r>
      <w:r>
        <w:rPr>
          <w:color w:val="231F20"/>
          <w:spacing w:val="-14"/>
        </w:rPr>
        <w:t> </w:t>
      </w:r>
      <w:r>
        <w:rPr>
          <w:color w:val="231F20"/>
        </w:rPr>
        <w:t>esto</w:t>
      </w:r>
      <w:r>
        <w:rPr>
          <w:color w:val="231F20"/>
          <w:spacing w:val="-14"/>
        </w:rPr>
        <w:t> </w:t>
      </w:r>
      <w:r>
        <w:rPr>
          <w:color w:val="231F20"/>
        </w:rPr>
        <w:t>es</w:t>
      </w:r>
      <w:r>
        <w:rPr>
          <w:color w:val="231F20"/>
          <w:spacing w:val="-14"/>
        </w:rPr>
        <w:t> </w:t>
      </w:r>
      <w:r>
        <w:rPr>
          <w:color w:val="231F20"/>
        </w:rPr>
        <w:t>Oaxaca</w:t>
      </w:r>
      <w:r>
        <w:rPr>
          <w:color w:val="231F20"/>
          <w:spacing w:val="-14"/>
        </w:rPr>
        <w:t> </w:t>
      </w:r>
      <w:r>
        <w:rPr>
          <w:color w:val="231F20"/>
        </w:rPr>
        <w:t>y</w:t>
      </w:r>
      <w:r>
        <w:rPr>
          <w:color w:val="231F20"/>
          <w:spacing w:val="-14"/>
        </w:rPr>
        <w:t> </w:t>
      </w:r>
      <w:r>
        <w:rPr>
          <w:color w:val="231F20"/>
        </w:rPr>
        <w:t>Chiapas,</w:t>
      </w:r>
      <w:r>
        <w:rPr>
          <w:color w:val="231F20"/>
          <w:spacing w:val="-14"/>
        </w:rPr>
        <w:t> </w:t>
      </w:r>
      <w:r>
        <w:rPr>
          <w:color w:val="231F20"/>
        </w:rPr>
        <w:t>estados</w:t>
      </w:r>
      <w:r>
        <w:rPr>
          <w:color w:val="231F20"/>
          <w:spacing w:val="-14"/>
        </w:rPr>
        <w:t> </w:t>
      </w:r>
      <w:r>
        <w:rPr>
          <w:color w:val="231F20"/>
        </w:rPr>
        <w:t>a</w:t>
      </w:r>
      <w:r>
        <w:rPr>
          <w:color w:val="231F20"/>
          <w:spacing w:val="-14"/>
        </w:rPr>
        <w:t> </w:t>
      </w:r>
      <w:r>
        <w:rPr>
          <w:color w:val="231F20"/>
        </w:rPr>
        <w:t>los</w:t>
      </w:r>
      <w:r>
        <w:rPr>
          <w:color w:val="231F20"/>
          <w:spacing w:val="-14"/>
        </w:rPr>
        <w:t> </w:t>
      </w:r>
      <w:r>
        <w:rPr>
          <w:color w:val="231F20"/>
        </w:rPr>
        <w:t>cuales</w:t>
      </w:r>
      <w:r>
        <w:rPr>
          <w:color w:val="231F20"/>
          <w:spacing w:val="-14"/>
        </w:rPr>
        <w:t> </w:t>
      </w:r>
      <w:r>
        <w:rPr>
          <w:color w:val="231F20"/>
        </w:rPr>
        <w:t>se</w:t>
      </w:r>
      <w:r>
        <w:rPr>
          <w:color w:val="231F20"/>
          <w:spacing w:val="-14"/>
        </w:rPr>
        <w:t> </w:t>
      </w:r>
      <w:r>
        <w:rPr>
          <w:color w:val="231F20"/>
        </w:rPr>
        <w:t>les</w:t>
      </w:r>
      <w:r>
        <w:rPr>
          <w:color w:val="231F20"/>
          <w:spacing w:val="-14"/>
        </w:rPr>
        <w:t> </w:t>
      </w:r>
      <w:r>
        <w:rPr>
          <w:color w:val="231F20"/>
        </w:rPr>
        <w:t>asigna</w:t>
      </w:r>
      <w:r>
        <w:rPr>
          <w:color w:val="231F20"/>
          <w:spacing w:val="-14"/>
        </w:rPr>
        <w:t> </w:t>
      </w:r>
      <w:r>
        <w:rPr>
          <w:color w:val="231F20"/>
        </w:rPr>
        <w:t>la</w:t>
      </w:r>
      <w:r>
        <w:rPr>
          <w:color w:val="231F20"/>
          <w:spacing w:val="-14"/>
        </w:rPr>
        <w:t> </w:t>
      </w:r>
      <w:r>
        <w:rPr>
          <w:color w:val="231F20"/>
        </w:rPr>
        <w:t>más</w:t>
      </w:r>
      <w:r>
        <w:rPr>
          <w:color w:val="231F20"/>
          <w:spacing w:val="-14"/>
        </w:rPr>
        <w:t> </w:t>
      </w:r>
      <w:r>
        <w:rPr>
          <w:color w:val="231F20"/>
        </w:rPr>
        <w:t>alta</w:t>
      </w:r>
      <w:r>
        <w:rPr>
          <w:color w:val="231F20"/>
          <w:spacing w:val="-14"/>
        </w:rPr>
        <w:t> </w:t>
      </w:r>
      <w:r>
        <w:rPr>
          <w:color w:val="231F20"/>
        </w:rPr>
        <w:t>prioridad. Adicionalmente se platea la colecta de </w:t>
      </w:r>
      <w:r>
        <w:rPr>
          <w:i/>
          <w:color w:val="231F20"/>
        </w:rPr>
        <w:t>Spondias mombin</w:t>
      </w:r>
      <w:r>
        <w:rPr>
          <w:color w:val="231F20"/>
        </w:rPr>
        <w:t>, los cuales, a pesar de una aparente menor diversidad</w:t>
      </w:r>
      <w:r>
        <w:rPr>
          <w:color w:val="231F20"/>
          <w:spacing w:val="-8"/>
        </w:rPr>
        <w:t> </w:t>
      </w:r>
      <w:r>
        <w:rPr>
          <w:color w:val="231F20"/>
        </w:rPr>
        <w:t>o</w:t>
      </w:r>
      <w:r>
        <w:rPr>
          <w:color w:val="231F20"/>
          <w:spacing w:val="37"/>
        </w:rPr>
        <w:t> </w:t>
      </w:r>
      <w:r>
        <w:rPr>
          <w:color w:val="231F20"/>
        </w:rPr>
        <w:t>localización</w:t>
      </w:r>
      <w:r>
        <w:rPr>
          <w:color w:val="231F20"/>
          <w:spacing w:val="-9"/>
        </w:rPr>
        <w:t> </w:t>
      </w:r>
      <w:r>
        <w:rPr>
          <w:color w:val="231F20"/>
        </w:rPr>
        <w:t>de</w:t>
      </w:r>
      <w:r>
        <w:rPr>
          <w:color w:val="231F20"/>
          <w:spacing w:val="-8"/>
        </w:rPr>
        <w:t> </w:t>
      </w:r>
      <w:r>
        <w:rPr>
          <w:color w:val="231F20"/>
        </w:rPr>
        <w:t>la</w:t>
      </w:r>
      <w:r>
        <w:rPr>
          <w:color w:val="231F20"/>
          <w:spacing w:val="-8"/>
        </w:rPr>
        <w:t> </w:t>
      </w:r>
      <w:r>
        <w:rPr>
          <w:color w:val="231F20"/>
        </w:rPr>
        <w:t>misma</w:t>
      </w:r>
      <w:r>
        <w:rPr>
          <w:color w:val="231F20"/>
          <w:spacing w:val="-8"/>
        </w:rPr>
        <w:t> </w:t>
      </w:r>
      <w:r>
        <w:rPr>
          <w:color w:val="231F20"/>
        </w:rPr>
        <w:t>en</w:t>
      </w:r>
      <w:r>
        <w:rPr>
          <w:color w:val="231F20"/>
          <w:spacing w:val="-8"/>
        </w:rPr>
        <w:t> </w:t>
      </w:r>
      <w:r>
        <w:rPr>
          <w:color w:val="231F20"/>
        </w:rPr>
        <w:t>algunos</w:t>
      </w:r>
      <w:r>
        <w:rPr>
          <w:color w:val="231F20"/>
          <w:spacing w:val="-9"/>
        </w:rPr>
        <w:t> </w:t>
      </w:r>
      <w:r>
        <w:rPr>
          <w:color w:val="231F20"/>
        </w:rPr>
        <w:t>lugares</w:t>
      </w:r>
      <w:r>
        <w:rPr>
          <w:color w:val="231F20"/>
          <w:spacing w:val="-9"/>
        </w:rPr>
        <w:t> </w:t>
      </w:r>
      <w:r>
        <w:rPr>
          <w:color w:val="231F20"/>
        </w:rPr>
        <w:t>lluviosos,</w:t>
      </w:r>
      <w:r>
        <w:rPr>
          <w:color w:val="231F20"/>
          <w:spacing w:val="-9"/>
        </w:rPr>
        <w:t> </w:t>
      </w:r>
      <w:r>
        <w:rPr>
          <w:color w:val="231F20"/>
        </w:rPr>
        <w:t>resulta</w:t>
      </w:r>
      <w:r>
        <w:rPr>
          <w:color w:val="231F20"/>
          <w:spacing w:val="-8"/>
        </w:rPr>
        <w:t> </w:t>
      </w:r>
      <w:r>
        <w:rPr>
          <w:color w:val="231F20"/>
        </w:rPr>
        <w:t>de</w:t>
      </w:r>
      <w:r>
        <w:rPr>
          <w:color w:val="231F20"/>
          <w:spacing w:val="-8"/>
        </w:rPr>
        <w:t> </w:t>
      </w:r>
      <w:r>
        <w:rPr>
          <w:color w:val="231F20"/>
        </w:rPr>
        <w:t>importante</w:t>
      </w:r>
      <w:r>
        <w:rPr>
          <w:color w:val="231F20"/>
          <w:spacing w:val="-9"/>
        </w:rPr>
        <w:t> </w:t>
      </w:r>
      <w:r>
        <w:rPr>
          <w:color w:val="231F20"/>
        </w:rPr>
        <w:t>explorar</w:t>
      </w:r>
      <w:r>
        <w:rPr>
          <w:color w:val="231F20"/>
          <w:spacing w:val="-9"/>
        </w:rPr>
        <w:t> </w:t>
      </w:r>
      <w:r>
        <w:rPr>
          <w:color w:val="231F20"/>
        </w:rPr>
        <w:t>la diversidad</w:t>
      </w:r>
      <w:r>
        <w:rPr>
          <w:color w:val="231F20"/>
          <w:spacing w:val="-9"/>
        </w:rPr>
        <w:t> </w:t>
      </w:r>
      <w:r>
        <w:rPr>
          <w:color w:val="231F20"/>
        </w:rPr>
        <w:t>y</w:t>
      </w:r>
      <w:r>
        <w:rPr>
          <w:color w:val="231F20"/>
          <w:spacing w:val="-9"/>
        </w:rPr>
        <w:t> </w:t>
      </w:r>
      <w:r>
        <w:rPr>
          <w:color w:val="231F20"/>
        </w:rPr>
        <w:t>el</w:t>
      </w:r>
      <w:r>
        <w:rPr>
          <w:color w:val="231F20"/>
          <w:spacing w:val="-9"/>
        </w:rPr>
        <w:t> </w:t>
      </w:r>
      <w:r>
        <w:rPr>
          <w:color w:val="231F20"/>
        </w:rPr>
        <w:t>conocimiento</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tiene</w:t>
      </w:r>
      <w:r>
        <w:rPr>
          <w:color w:val="231F20"/>
          <w:spacing w:val="-9"/>
        </w:rPr>
        <w:t> </w:t>
      </w:r>
      <w:r>
        <w:rPr>
          <w:color w:val="231F20"/>
        </w:rPr>
        <w:t>de</w:t>
      </w:r>
      <w:r>
        <w:rPr>
          <w:color w:val="231F20"/>
          <w:spacing w:val="-9"/>
        </w:rPr>
        <w:t> </w:t>
      </w:r>
      <w:r>
        <w:rPr>
          <w:color w:val="231F20"/>
        </w:rPr>
        <w:t>esta</w:t>
      </w:r>
      <w:r>
        <w:rPr>
          <w:color w:val="231F20"/>
          <w:spacing w:val="-9"/>
        </w:rPr>
        <w:t> </w:t>
      </w:r>
      <w:r>
        <w:rPr>
          <w:color w:val="231F20"/>
        </w:rPr>
        <w:t>especie.</w:t>
      </w:r>
      <w:r>
        <w:rPr>
          <w:color w:val="231F20"/>
          <w:spacing w:val="-9"/>
        </w:rPr>
        <w:t> </w:t>
      </w:r>
      <w:r>
        <w:rPr>
          <w:color w:val="231F20"/>
        </w:rPr>
        <w:t>Por</w:t>
      </w:r>
      <w:r>
        <w:rPr>
          <w:color w:val="231F20"/>
          <w:spacing w:val="-9"/>
        </w:rPr>
        <w:t> </w:t>
      </w:r>
      <w:r>
        <w:rPr>
          <w:color w:val="231F20"/>
        </w:rPr>
        <w:t>último,</w:t>
      </w:r>
      <w:r>
        <w:rPr>
          <w:color w:val="231F20"/>
          <w:spacing w:val="-9"/>
        </w:rPr>
        <w:t> </w:t>
      </w:r>
      <w:r>
        <w:rPr>
          <w:color w:val="231F20"/>
        </w:rPr>
        <w:t>se</w:t>
      </w:r>
      <w:r>
        <w:rPr>
          <w:color w:val="231F20"/>
          <w:spacing w:val="-9"/>
        </w:rPr>
        <w:t> </w:t>
      </w:r>
      <w:r>
        <w:rPr>
          <w:color w:val="231F20"/>
        </w:rPr>
        <w:t>requiere</w:t>
      </w:r>
      <w:r>
        <w:rPr>
          <w:color w:val="231F20"/>
          <w:spacing w:val="-9"/>
        </w:rPr>
        <w:t> </w:t>
      </w:r>
      <w:r>
        <w:rPr>
          <w:color w:val="231F20"/>
        </w:rPr>
        <w:t>recolectar</w:t>
      </w:r>
      <w:r>
        <w:rPr>
          <w:color w:val="231F20"/>
          <w:spacing w:val="-8"/>
        </w:rPr>
        <w:t> </w:t>
      </w:r>
      <w:r>
        <w:rPr>
          <w:color w:val="231F20"/>
        </w:rPr>
        <w:t>muestras de</w:t>
      </w:r>
      <w:r>
        <w:rPr>
          <w:color w:val="231F20"/>
          <w:spacing w:val="-8"/>
        </w:rPr>
        <w:t> </w:t>
      </w:r>
      <w:r>
        <w:rPr>
          <w:color w:val="231F20"/>
        </w:rPr>
        <w:t>jobo</w:t>
      </w:r>
      <w:r>
        <w:rPr>
          <w:color w:val="231F20"/>
          <w:spacing w:val="-9"/>
        </w:rPr>
        <w:t> </w:t>
      </w:r>
      <w:r>
        <w:rPr>
          <w:color w:val="231F20"/>
        </w:rPr>
        <w:t>verde,</w:t>
      </w:r>
      <w:r>
        <w:rPr>
          <w:color w:val="231F20"/>
          <w:spacing w:val="-8"/>
        </w:rPr>
        <w:t> </w:t>
      </w:r>
      <w:r>
        <w:rPr>
          <w:color w:val="231F20"/>
        </w:rPr>
        <w:t>mismo</w:t>
      </w:r>
      <w:r>
        <w:rPr>
          <w:color w:val="231F20"/>
          <w:spacing w:val="-9"/>
        </w:rPr>
        <w:t> </w:t>
      </w:r>
      <w:r>
        <w:rPr>
          <w:color w:val="231F20"/>
        </w:rPr>
        <w:t>que</w:t>
      </w:r>
      <w:r>
        <w:rPr>
          <w:color w:val="231F20"/>
          <w:spacing w:val="-8"/>
        </w:rPr>
        <w:t> </w:t>
      </w:r>
      <w:r>
        <w:rPr>
          <w:color w:val="231F20"/>
        </w:rPr>
        <w:t>resulta</w:t>
      </w:r>
      <w:r>
        <w:rPr>
          <w:color w:val="231F20"/>
          <w:spacing w:val="-8"/>
        </w:rPr>
        <w:t> </w:t>
      </w:r>
      <w:r>
        <w:rPr>
          <w:color w:val="231F20"/>
        </w:rPr>
        <w:t>más</w:t>
      </w:r>
      <w:r>
        <w:rPr>
          <w:color w:val="231F20"/>
          <w:spacing w:val="-9"/>
        </w:rPr>
        <w:t> </w:t>
      </w:r>
      <w:r>
        <w:rPr>
          <w:color w:val="231F20"/>
        </w:rPr>
        <w:t>escaso</w:t>
      </w:r>
      <w:r>
        <w:rPr>
          <w:color w:val="231F20"/>
          <w:spacing w:val="-9"/>
        </w:rPr>
        <w:t> </w:t>
      </w:r>
      <w:r>
        <w:rPr>
          <w:color w:val="231F20"/>
        </w:rPr>
        <w:t>y</w:t>
      </w:r>
      <w:r>
        <w:rPr>
          <w:color w:val="231F20"/>
          <w:spacing w:val="-9"/>
        </w:rPr>
        <w:t> </w:t>
      </w:r>
      <w:r>
        <w:rPr>
          <w:color w:val="231F20"/>
        </w:rPr>
        <w:t>su</w:t>
      </w:r>
      <w:r>
        <w:rPr>
          <w:color w:val="231F20"/>
          <w:spacing w:val="-8"/>
        </w:rPr>
        <w:t> </w:t>
      </w:r>
      <w:r>
        <w:rPr>
          <w:color w:val="231F20"/>
        </w:rPr>
        <w:t>utilización</w:t>
      </w:r>
      <w:r>
        <w:rPr>
          <w:color w:val="231F20"/>
          <w:spacing w:val="-8"/>
        </w:rPr>
        <w:t> </w:t>
      </w:r>
      <w:r>
        <w:rPr>
          <w:color w:val="231F20"/>
        </w:rPr>
        <w:t>como</w:t>
      </w:r>
      <w:r>
        <w:rPr>
          <w:color w:val="231F20"/>
          <w:spacing w:val="-9"/>
        </w:rPr>
        <w:t> </w:t>
      </w:r>
      <w:r>
        <w:rPr>
          <w:color w:val="231F20"/>
        </w:rPr>
        <w:t>fruto</w:t>
      </w:r>
      <w:r>
        <w:rPr>
          <w:color w:val="231F20"/>
          <w:spacing w:val="-8"/>
        </w:rPr>
        <w:t> </w:t>
      </w:r>
      <w:r>
        <w:rPr>
          <w:color w:val="231F20"/>
        </w:rPr>
        <w:t>es</w:t>
      </w:r>
      <w:r>
        <w:rPr>
          <w:color w:val="231F20"/>
          <w:spacing w:val="-9"/>
        </w:rPr>
        <w:t> </w:t>
      </w:r>
      <w:r>
        <w:rPr>
          <w:color w:val="231F20"/>
        </w:rPr>
        <w:t>poco</w:t>
      </w:r>
      <w:r>
        <w:rPr>
          <w:color w:val="231F20"/>
          <w:spacing w:val="-8"/>
        </w:rPr>
        <w:t> </w:t>
      </w:r>
      <w:r>
        <w:rPr>
          <w:color w:val="231F20"/>
        </w:rPr>
        <w:t>frecuente.</w:t>
      </w:r>
      <w:r>
        <w:rPr>
          <w:color w:val="231F20"/>
          <w:spacing w:val="-8"/>
        </w:rPr>
        <w:t> </w:t>
      </w:r>
      <w:r>
        <w:rPr>
          <w:color w:val="231F20"/>
        </w:rPr>
        <w:t>Paralela- mente se realizan trabajos especializados de caracterización botánica de las colectas, determinación del</w:t>
      </w:r>
      <w:r>
        <w:rPr>
          <w:color w:val="231F20"/>
          <w:spacing w:val="-9"/>
        </w:rPr>
        <w:t> </w:t>
      </w:r>
      <w:r>
        <w:rPr>
          <w:color w:val="231F20"/>
        </w:rPr>
        <w:t>número</w:t>
      </w:r>
      <w:r>
        <w:rPr>
          <w:color w:val="231F20"/>
          <w:spacing w:val="-9"/>
        </w:rPr>
        <w:t> </w:t>
      </w:r>
      <w:r>
        <w:rPr>
          <w:color w:val="231F20"/>
        </w:rPr>
        <w:t>cromosómico</w:t>
      </w:r>
      <w:r>
        <w:rPr>
          <w:color w:val="231F20"/>
          <w:spacing w:val="-9"/>
        </w:rPr>
        <w:t> </w:t>
      </w:r>
      <w:r>
        <w:rPr>
          <w:color w:val="231F20"/>
        </w:rPr>
        <w:t>y</w:t>
      </w:r>
      <w:r>
        <w:rPr>
          <w:color w:val="231F20"/>
          <w:spacing w:val="-9"/>
        </w:rPr>
        <w:t> </w:t>
      </w:r>
      <w:r>
        <w:rPr>
          <w:color w:val="231F20"/>
        </w:rPr>
        <w:t>de</w:t>
      </w:r>
      <w:r>
        <w:rPr>
          <w:color w:val="231F20"/>
          <w:spacing w:val="-19"/>
        </w:rPr>
        <w:t> </w:t>
      </w:r>
      <w:r>
        <w:rPr>
          <w:color w:val="231F20"/>
        </w:rPr>
        <w:t>ADN,</w:t>
      </w:r>
      <w:r>
        <w:rPr>
          <w:color w:val="231F20"/>
          <w:spacing w:val="-9"/>
        </w:rPr>
        <w:t> </w:t>
      </w:r>
      <w:r>
        <w:rPr>
          <w:color w:val="231F20"/>
        </w:rPr>
        <w:t>con</w:t>
      </w:r>
      <w:r>
        <w:rPr>
          <w:color w:val="231F20"/>
          <w:spacing w:val="-9"/>
        </w:rPr>
        <w:t> </w:t>
      </w:r>
      <w:r>
        <w:rPr>
          <w:color w:val="231F20"/>
        </w:rPr>
        <w:t>lo</w:t>
      </w:r>
      <w:r>
        <w:rPr>
          <w:color w:val="231F20"/>
          <w:spacing w:val="-9"/>
        </w:rPr>
        <w:t> </w:t>
      </w:r>
      <w:r>
        <w:rPr>
          <w:color w:val="231F20"/>
        </w:rPr>
        <w:t>cual</w:t>
      </w:r>
      <w:r>
        <w:rPr>
          <w:color w:val="231F20"/>
          <w:spacing w:val="-9"/>
        </w:rPr>
        <w:t> </w:t>
      </w:r>
      <w:r>
        <w:rPr>
          <w:color w:val="231F20"/>
        </w:rPr>
        <w:t>se</w:t>
      </w:r>
      <w:r>
        <w:rPr>
          <w:color w:val="231F20"/>
          <w:spacing w:val="-9"/>
        </w:rPr>
        <w:t> </w:t>
      </w:r>
      <w:r>
        <w:rPr>
          <w:color w:val="231F20"/>
        </w:rPr>
        <w:t>podrá</w:t>
      </w:r>
      <w:r>
        <w:rPr>
          <w:color w:val="231F20"/>
          <w:spacing w:val="-9"/>
        </w:rPr>
        <w:t> </w:t>
      </w:r>
      <w:r>
        <w:rPr>
          <w:color w:val="231F20"/>
        </w:rPr>
        <w:t>establecer</w:t>
      </w:r>
      <w:r>
        <w:rPr>
          <w:color w:val="231F20"/>
          <w:spacing w:val="37"/>
        </w:rPr>
        <w:t> </w:t>
      </w:r>
      <w:r>
        <w:rPr>
          <w:color w:val="231F20"/>
        </w:rPr>
        <w:t>con</w:t>
      </w:r>
      <w:r>
        <w:rPr>
          <w:color w:val="231F20"/>
          <w:spacing w:val="-9"/>
        </w:rPr>
        <w:t> </w:t>
      </w:r>
      <w:r>
        <w:rPr>
          <w:color w:val="231F20"/>
        </w:rPr>
        <w:t>precisión</w:t>
      </w:r>
      <w:r>
        <w:rPr>
          <w:color w:val="231F20"/>
          <w:spacing w:val="-9"/>
        </w:rPr>
        <w:t> </w:t>
      </w:r>
      <w:r>
        <w:rPr>
          <w:color w:val="231F20"/>
        </w:rPr>
        <w:t>las</w:t>
      </w:r>
      <w:r>
        <w:rPr>
          <w:color w:val="231F20"/>
          <w:spacing w:val="-9"/>
        </w:rPr>
        <w:t> </w:t>
      </w:r>
      <w:r>
        <w:rPr>
          <w:color w:val="231F20"/>
        </w:rPr>
        <w:t>especies</w:t>
      </w:r>
      <w:r>
        <w:rPr>
          <w:color w:val="231F20"/>
          <w:spacing w:val="-9"/>
        </w:rPr>
        <w:t> </w:t>
      </w:r>
      <w:r>
        <w:rPr>
          <w:color w:val="231F20"/>
        </w:rPr>
        <w:t>y</w:t>
      </w:r>
      <w:r>
        <w:rPr>
          <w:color w:val="231F20"/>
          <w:spacing w:val="-9"/>
        </w:rPr>
        <w:t> </w:t>
      </w:r>
      <w:r>
        <w:rPr>
          <w:color w:val="231F20"/>
          <w:spacing w:val="-2"/>
        </w:rPr>
        <w:t>sus </w:t>
      </w:r>
      <w:r>
        <w:rPr>
          <w:color w:val="231F20"/>
        </w:rPr>
        <w:t>variantes.</w:t>
      </w:r>
      <w:r>
        <w:rPr>
          <w:color w:val="231F20"/>
          <w:spacing w:val="-9"/>
        </w:rPr>
        <w:t> </w:t>
      </w:r>
      <w:r>
        <w:rPr>
          <w:color w:val="231F20"/>
        </w:rPr>
        <w:t>Complementario</w:t>
      </w:r>
      <w:r>
        <w:rPr>
          <w:color w:val="231F20"/>
          <w:spacing w:val="-8"/>
        </w:rPr>
        <w:t> </w:t>
      </w:r>
      <w:r>
        <w:rPr>
          <w:color w:val="231F20"/>
        </w:rPr>
        <w:t>a</w:t>
      </w:r>
      <w:r>
        <w:rPr>
          <w:color w:val="231F20"/>
          <w:spacing w:val="-9"/>
        </w:rPr>
        <w:t> </w:t>
      </w:r>
      <w:r>
        <w:rPr>
          <w:color w:val="231F20"/>
        </w:rPr>
        <w:t>lo</w:t>
      </w:r>
      <w:r>
        <w:rPr>
          <w:color w:val="231F20"/>
          <w:spacing w:val="-9"/>
        </w:rPr>
        <w:t> </w:t>
      </w:r>
      <w:r>
        <w:rPr>
          <w:color w:val="231F20"/>
        </w:rPr>
        <w:t>anterior</w:t>
      </w:r>
      <w:r>
        <w:rPr>
          <w:color w:val="231F20"/>
          <w:spacing w:val="-9"/>
        </w:rPr>
        <w:t> </w:t>
      </w:r>
      <w:r>
        <w:rPr>
          <w:color w:val="231F20"/>
        </w:rPr>
        <w:t>se</w:t>
      </w:r>
      <w:r>
        <w:rPr>
          <w:color w:val="231F20"/>
          <w:spacing w:val="-9"/>
        </w:rPr>
        <w:t> </w:t>
      </w:r>
      <w:r>
        <w:rPr>
          <w:color w:val="231F20"/>
        </w:rPr>
        <w:t>encuentra</w:t>
      </w:r>
      <w:r>
        <w:rPr>
          <w:color w:val="231F20"/>
          <w:spacing w:val="-9"/>
        </w:rPr>
        <w:t> </w:t>
      </w:r>
      <w:r>
        <w:rPr>
          <w:color w:val="231F20"/>
        </w:rPr>
        <w:t>las</w:t>
      </w:r>
      <w:r>
        <w:rPr>
          <w:color w:val="231F20"/>
          <w:spacing w:val="-9"/>
        </w:rPr>
        <w:t> </w:t>
      </w:r>
      <w:r>
        <w:rPr>
          <w:color w:val="231F20"/>
        </w:rPr>
        <w:t>caracterizaciones</w:t>
      </w:r>
      <w:r>
        <w:rPr>
          <w:color w:val="231F20"/>
          <w:spacing w:val="-9"/>
        </w:rPr>
        <w:t> </w:t>
      </w:r>
      <w:r>
        <w:rPr>
          <w:color w:val="231F20"/>
        </w:rPr>
        <w:t>agronómicas,</w:t>
      </w:r>
      <w:r>
        <w:rPr>
          <w:color w:val="231F20"/>
          <w:spacing w:val="-9"/>
        </w:rPr>
        <w:t> </w:t>
      </w:r>
      <w:r>
        <w:rPr>
          <w:color w:val="231F20"/>
        </w:rPr>
        <w:t>mismas</w:t>
      </w:r>
      <w:r>
        <w:rPr>
          <w:color w:val="231F20"/>
          <w:spacing w:val="-9"/>
        </w:rPr>
        <w:t> </w:t>
      </w:r>
      <w:r>
        <w:rPr>
          <w:color w:val="231F20"/>
          <w:spacing w:val="-2"/>
        </w:rPr>
        <w:t>que </w:t>
      </w:r>
      <w:r>
        <w:rPr>
          <w:color w:val="231F20"/>
        </w:rPr>
        <w:t>iniciarán</w:t>
      </w:r>
      <w:r>
        <w:rPr>
          <w:color w:val="231F20"/>
          <w:spacing w:val="-20"/>
        </w:rPr>
        <w:t> </w:t>
      </w:r>
      <w:r>
        <w:rPr>
          <w:color w:val="231F20"/>
        </w:rPr>
        <w:t>cuando</w:t>
      </w:r>
      <w:r>
        <w:rPr>
          <w:color w:val="231F20"/>
          <w:spacing w:val="-20"/>
        </w:rPr>
        <w:t> </w:t>
      </w:r>
      <w:r>
        <w:rPr>
          <w:color w:val="231F20"/>
        </w:rPr>
        <w:t>las</w:t>
      </w:r>
      <w:r>
        <w:rPr>
          <w:color w:val="231F20"/>
          <w:spacing w:val="-20"/>
        </w:rPr>
        <w:t> </w:t>
      </w:r>
      <w:r>
        <w:rPr>
          <w:color w:val="231F20"/>
        </w:rPr>
        <w:t>colectas</w:t>
      </w:r>
      <w:r>
        <w:rPr>
          <w:color w:val="231F20"/>
          <w:spacing w:val="-20"/>
        </w:rPr>
        <w:t> </w:t>
      </w:r>
      <w:r>
        <w:rPr>
          <w:color w:val="231F20"/>
        </w:rPr>
        <w:t>establecidas</w:t>
      </w:r>
      <w:r>
        <w:rPr>
          <w:color w:val="231F20"/>
          <w:spacing w:val="-20"/>
        </w:rPr>
        <w:t> </w:t>
      </w:r>
      <w:r>
        <w:rPr>
          <w:color w:val="231F20"/>
        </w:rPr>
        <w:t>inicien</w:t>
      </w:r>
      <w:r>
        <w:rPr>
          <w:color w:val="231F20"/>
          <w:spacing w:val="-20"/>
        </w:rPr>
        <w:t> </w:t>
      </w:r>
      <w:r>
        <w:rPr>
          <w:color w:val="231F20"/>
        </w:rPr>
        <w:t>ciclos</w:t>
      </w:r>
      <w:r>
        <w:rPr>
          <w:color w:val="231F20"/>
          <w:spacing w:val="-20"/>
        </w:rPr>
        <w:t> </w:t>
      </w:r>
      <w:r>
        <w:rPr>
          <w:color w:val="231F20"/>
        </w:rPr>
        <w:t>de</w:t>
      </w:r>
      <w:r>
        <w:rPr>
          <w:color w:val="231F20"/>
          <w:spacing w:val="-20"/>
        </w:rPr>
        <w:t> </w:t>
      </w:r>
      <w:r>
        <w:rPr>
          <w:color w:val="231F20"/>
        </w:rPr>
        <w:t>producción</w:t>
      </w:r>
      <w:r>
        <w:rPr>
          <w:color w:val="231F20"/>
          <w:spacing w:val="-20"/>
        </w:rPr>
        <w:t> </w:t>
      </w:r>
      <w:r>
        <w:rPr>
          <w:color w:val="231F20"/>
        </w:rPr>
        <w:t>en</w:t>
      </w:r>
      <w:r>
        <w:rPr>
          <w:color w:val="231F20"/>
          <w:spacing w:val="-20"/>
        </w:rPr>
        <w:t> </w:t>
      </w:r>
      <w:r>
        <w:rPr>
          <w:color w:val="231F20"/>
        </w:rPr>
        <w:t>las</w:t>
      </w:r>
      <w:r>
        <w:rPr>
          <w:color w:val="231F20"/>
          <w:spacing w:val="-20"/>
        </w:rPr>
        <w:t> </w:t>
      </w:r>
      <w:r>
        <w:rPr>
          <w:color w:val="231F20"/>
        </w:rPr>
        <w:t>condiciones</w:t>
      </w:r>
      <w:r>
        <w:rPr>
          <w:color w:val="231F20"/>
          <w:spacing w:val="-20"/>
        </w:rPr>
        <w:t> </w:t>
      </w:r>
      <w:r>
        <w:rPr>
          <w:color w:val="231F20"/>
        </w:rPr>
        <w:t>establecidas. Como</w:t>
      </w:r>
      <w:r>
        <w:rPr>
          <w:color w:val="231F20"/>
          <w:spacing w:val="-10"/>
        </w:rPr>
        <w:t> </w:t>
      </w:r>
      <w:r>
        <w:rPr>
          <w:color w:val="231F20"/>
        </w:rPr>
        <w:t>una</w:t>
      </w:r>
      <w:r>
        <w:rPr>
          <w:color w:val="231F20"/>
          <w:spacing w:val="-10"/>
        </w:rPr>
        <w:t> </w:t>
      </w:r>
      <w:r>
        <w:rPr>
          <w:color w:val="231F20"/>
        </w:rPr>
        <w:t>estrategia</w:t>
      </w:r>
      <w:r>
        <w:rPr>
          <w:color w:val="231F20"/>
          <w:spacing w:val="-10"/>
        </w:rPr>
        <w:t> </w:t>
      </w:r>
      <w:r>
        <w:rPr>
          <w:color w:val="231F20"/>
        </w:rPr>
        <w:t>de</w:t>
      </w:r>
      <w:r>
        <w:rPr>
          <w:color w:val="231F20"/>
          <w:spacing w:val="33"/>
        </w:rPr>
        <w:t> </w:t>
      </w:r>
      <w:r>
        <w:rPr>
          <w:color w:val="231F20"/>
        </w:rPr>
        <w:t>investigación</w:t>
      </w:r>
      <w:r>
        <w:rPr>
          <w:color w:val="231F20"/>
          <w:spacing w:val="-11"/>
        </w:rPr>
        <w:t> </w:t>
      </w:r>
      <w:r>
        <w:rPr>
          <w:color w:val="231F20"/>
        </w:rPr>
        <w:t>de</w:t>
      </w:r>
      <w:r>
        <w:rPr>
          <w:color w:val="231F20"/>
          <w:spacing w:val="-10"/>
        </w:rPr>
        <w:t> </w:t>
      </w:r>
      <w:r>
        <w:rPr>
          <w:color w:val="231F20"/>
        </w:rPr>
        <w:t>campo</w:t>
      </w:r>
      <w:r>
        <w:rPr>
          <w:color w:val="231F20"/>
          <w:spacing w:val="-10"/>
        </w:rPr>
        <w:t> </w:t>
      </w:r>
      <w:r>
        <w:rPr>
          <w:color w:val="231F20"/>
        </w:rPr>
        <w:t>y</w:t>
      </w:r>
      <w:r>
        <w:rPr>
          <w:color w:val="231F20"/>
          <w:spacing w:val="-10"/>
        </w:rPr>
        <w:t> </w:t>
      </w:r>
      <w:r>
        <w:rPr>
          <w:color w:val="231F20"/>
        </w:rPr>
        <w:t>en</w:t>
      </w:r>
      <w:r>
        <w:rPr>
          <w:color w:val="231F20"/>
          <w:spacing w:val="-10"/>
        </w:rPr>
        <w:t> </w:t>
      </w:r>
      <w:r>
        <w:rPr>
          <w:color w:val="231F20"/>
        </w:rPr>
        <w:t>interacción</w:t>
      </w:r>
      <w:r>
        <w:rPr>
          <w:color w:val="231F20"/>
          <w:spacing w:val="-11"/>
        </w:rPr>
        <w:t> </w:t>
      </w:r>
      <w:r>
        <w:rPr>
          <w:color w:val="231F20"/>
        </w:rPr>
        <w:t>con</w:t>
      </w:r>
      <w:r>
        <w:rPr>
          <w:color w:val="231F20"/>
          <w:spacing w:val="-10"/>
        </w:rPr>
        <w:t> </w:t>
      </w:r>
      <w:r>
        <w:rPr>
          <w:color w:val="231F20"/>
        </w:rPr>
        <w:t>los</w:t>
      </w:r>
      <w:r>
        <w:rPr>
          <w:color w:val="231F20"/>
          <w:spacing w:val="-10"/>
        </w:rPr>
        <w:t> </w:t>
      </w:r>
      <w:r>
        <w:rPr>
          <w:color w:val="231F20"/>
        </w:rPr>
        <w:t>campesinos,</w:t>
      </w:r>
      <w:r>
        <w:rPr>
          <w:color w:val="231F20"/>
          <w:spacing w:val="-11"/>
        </w:rPr>
        <w:t> </w:t>
      </w:r>
      <w:r>
        <w:rPr>
          <w:color w:val="231F20"/>
        </w:rPr>
        <w:t>hombres</w:t>
      </w:r>
      <w:r>
        <w:rPr>
          <w:color w:val="231F20"/>
          <w:spacing w:val="-10"/>
        </w:rPr>
        <w:t> </w:t>
      </w:r>
      <w:r>
        <w:rPr>
          <w:color w:val="231F20"/>
        </w:rPr>
        <w:t>y</w:t>
      </w:r>
      <w:r>
        <w:rPr>
          <w:color w:val="231F20"/>
          <w:spacing w:val="-10"/>
        </w:rPr>
        <w:t> </w:t>
      </w:r>
      <w:r>
        <w:rPr>
          <w:color w:val="231F20"/>
        </w:rPr>
        <w:t>mu- jeres,</w:t>
      </w:r>
      <w:r>
        <w:rPr>
          <w:color w:val="231F20"/>
          <w:spacing w:val="-10"/>
        </w:rPr>
        <w:t> </w:t>
      </w:r>
      <w:r>
        <w:rPr>
          <w:color w:val="231F20"/>
        </w:rPr>
        <w:t>relacionados</w:t>
      </w:r>
      <w:r>
        <w:rPr>
          <w:color w:val="231F20"/>
          <w:spacing w:val="-10"/>
        </w:rPr>
        <w:t> </w:t>
      </w:r>
      <w:r>
        <w:rPr>
          <w:color w:val="231F20"/>
        </w:rPr>
        <w:t>con</w:t>
      </w:r>
      <w:r>
        <w:rPr>
          <w:color w:val="231F20"/>
          <w:spacing w:val="-10"/>
        </w:rPr>
        <w:t> </w:t>
      </w:r>
      <w:r>
        <w:rPr>
          <w:color w:val="231F20"/>
        </w:rPr>
        <w:t>las</w:t>
      </w:r>
      <w:r>
        <w:rPr>
          <w:color w:val="231F20"/>
          <w:spacing w:val="-10"/>
        </w:rPr>
        <w:t> </w:t>
      </w:r>
      <w:r>
        <w:rPr>
          <w:color w:val="231F20"/>
        </w:rPr>
        <w:t>especies,</w:t>
      </w:r>
      <w:r>
        <w:rPr>
          <w:color w:val="231F20"/>
          <w:spacing w:val="-11"/>
        </w:rPr>
        <w:t> </w:t>
      </w:r>
      <w:r>
        <w:rPr>
          <w:color w:val="231F20"/>
        </w:rPr>
        <w:t>se</w:t>
      </w:r>
      <w:r>
        <w:rPr>
          <w:color w:val="231F20"/>
          <w:spacing w:val="-10"/>
        </w:rPr>
        <w:t> </w:t>
      </w:r>
      <w:r>
        <w:rPr>
          <w:color w:val="231F20"/>
        </w:rPr>
        <w:t>plantea</w:t>
      </w:r>
      <w:r>
        <w:rPr>
          <w:color w:val="231F20"/>
          <w:spacing w:val="-10"/>
        </w:rPr>
        <w:t> </w:t>
      </w:r>
      <w:r>
        <w:rPr>
          <w:color w:val="231F20"/>
        </w:rPr>
        <w:t>trabajos</w:t>
      </w:r>
      <w:r>
        <w:rPr>
          <w:color w:val="231F20"/>
          <w:spacing w:val="-11"/>
        </w:rPr>
        <w:t> </w:t>
      </w:r>
      <w:r>
        <w:rPr>
          <w:color w:val="231F20"/>
        </w:rPr>
        <w:t>participativos,</w:t>
      </w:r>
      <w:r>
        <w:rPr>
          <w:color w:val="231F20"/>
          <w:spacing w:val="-10"/>
        </w:rPr>
        <w:t> </w:t>
      </w:r>
      <w:r>
        <w:rPr>
          <w:color w:val="231F20"/>
        </w:rPr>
        <w:t>en</w:t>
      </w:r>
      <w:r>
        <w:rPr>
          <w:color w:val="231F20"/>
          <w:spacing w:val="-10"/>
        </w:rPr>
        <w:t> </w:t>
      </w:r>
      <w:r>
        <w:rPr>
          <w:color w:val="231F20"/>
        </w:rPr>
        <w:t>donde</w:t>
      </w:r>
      <w:r>
        <w:rPr>
          <w:color w:val="231F20"/>
          <w:spacing w:val="-10"/>
        </w:rPr>
        <w:t> </w:t>
      </w:r>
      <w:r>
        <w:rPr>
          <w:color w:val="231F20"/>
        </w:rPr>
        <w:t>se</w:t>
      </w:r>
      <w:r>
        <w:rPr>
          <w:color w:val="231F20"/>
          <w:spacing w:val="-10"/>
        </w:rPr>
        <w:t> </w:t>
      </w:r>
      <w:r>
        <w:rPr>
          <w:color w:val="231F20"/>
        </w:rPr>
        <w:t>promuevan</w:t>
      </w:r>
      <w:r>
        <w:rPr>
          <w:color w:val="231F20"/>
          <w:spacing w:val="-10"/>
        </w:rPr>
        <w:t> </w:t>
      </w:r>
      <w:r>
        <w:rPr>
          <w:color w:val="231F20"/>
        </w:rPr>
        <w:t>accio- nes</w:t>
      </w:r>
      <w:r>
        <w:rPr>
          <w:color w:val="231F20"/>
          <w:spacing w:val="-12"/>
        </w:rPr>
        <w:t> </w:t>
      </w:r>
      <w:r>
        <w:rPr>
          <w:color w:val="231F20"/>
        </w:rPr>
        <w:t>de</w:t>
      </w:r>
      <w:r>
        <w:rPr>
          <w:color w:val="231F20"/>
          <w:spacing w:val="-12"/>
        </w:rPr>
        <w:t> </w:t>
      </w:r>
      <w:r>
        <w:rPr>
          <w:color w:val="231F20"/>
        </w:rPr>
        <w:t>conocimiento,</w:t>
      </w:r>
      <w:r>
        <w:rPr>
          <w:color w:val="231F20"/>
          <w:spacing w:val="-12"/>
        </w:rPr>
        <w:t> </w:t>
      </w:r>
      <w:r>
        <w:rPr>
          <w:color w:val="231F20"/>
        </w:rPr>
        <w:t>difusión</w:t>
      </w:r>
      <w:r>
        <w:rPr>
          <w:color w:val="231F20"/>
          <w:spacing w:val="-12"/>
        </w:rPr>
        <w:t> </w:t>
      </w:r>
      <w:r>
        <w:rPr>
          <w:color w:val="231F20"/>
        </w:rPr>
        <w:t>y</w:t>
      </w:r>
      <w:r>
        <w:rPr>
          <w:color w:val="231F20"/>
          <w:spacing w:val="-12"/>
        </w:rPr>
        <w:t> </w:t>
      </w:r>
      <w:r>
        <w:rPr>
          <w:color w:val="231F20"/>
        </w:rPr>
        <w:t>nuevas</w:t>
      </w:r>
      <w:r>
        <w:rPr>
          <w:color w:val="231F20"/>
          <w:spacing w:val="-12"/>
        </w:rPr>
        <w:t> </w:t>
      </w:r>
      <w:r>
        <w:rPr>
          <w:color w:val="231F20"/>
        </w:rPr>
        <w:t>formas</w:t>
      </w:r>
      <w:r>
        <w:rPr>
          <w:color w:val="231F20"/>
          <w:spacing w:val="-12"/>
        </w:rPr>
        <w:t> </w:t>
      </w:r>
      <w:r>
        <w:rPr>
          <w:color w:val="231F20"/>
        </w:rPr>
        <w:t>de</w:t>
      </w:r>
      <w:r>
        <w:rPr>
          <w:color w:val="231F20"/>
          <w:spacing w:val="-12"/>
        </w:rPr>
        <w:t> </w:t>
      </w:r>
      <w:r>
        <w:rPr>
          <w:color w:val="231F20"/>
        </w:rPr>
        <w:t>aprovechamiento,</w:t>
      </w:r>
      <w:r>
        <w:rPr>
          <w:color w:val="231F20"/>
          <w:spacing w:val="-12"/>
        </w:rPr>
        <w:t> </w:t>
      </w:r>
      <w:r>
        <w:rPr>
          <w:color w:val="231F20"/>
        </w:rPr>
        <w:t>revaloración</w:t>
      </w:r>
      <w:r>
        <w:rPr>
          <w:color w:val="231F20"/>
          <w:spacing w:val="-12"/>
        </w:rPr>
        <w:t> </w:t>
      </w:r>
      <w:r>
        <w:rPr>
          <w:color w:val="231F20"/>
        </w:rPr>
        <w:t>y</w:t>
      </w:r>
      <w:r>
        <w:rPr>
          <w:color w:val="231F20"/>
          <w:spacing w:val="-12"/>
        </w:rPr>
        <w:t> </w:t>
      </w:r>
      <w:r>
        <w:rPr>
          <w:color w:val="231F20"/>
        </w:rPr>
        <w:t>valoración</w:t>
      </w:r>
      <w:r>
        <w:rPr>
          <w:color w:val="231F20"/>
          <w:spacing w:val="-12"/>
        </w:rPr>
        <w:t> </w:t>
      </w:r>
      <w:r>
        <w:rPr>
          <w:color w:val="231F20"/>
        </w:rPr>
        <w:t>de</w:t>
      </w:r>
      <w:r>
        <w:rPr>
          <w:color w:val="231F20"/>
          <w:spacing w:val="-12"/>
        </w:rPr>
        <w:t> </w:t>
      </w:r>
      <w:r>
        <w:rPr>
          <w:color w:val="231F20"/>
        </w:rPr>
        <w:t>las especies</w:t>
      </w:r>
      <w:r>
        <w:rPr>
          <w:color w:val="231F20"/>
          <w:spacing w:val="-10"/>
        </w:rPr>
        <w:t> </w:t>
      </w:r>
      <w:r>
        <w:rPr>
          <w:color w:val="231F20"/>
        </w:rPr>
        <w:t>de</w:t>
      </w:r>
      <w:r>
        <w:rPr>
          <w:color w:val="231F20"/>
          <w:spacing w:val="-10"/>
        </w:rPr>
        <w:t> </w:t>
      </w:r>
      <w:r>
        <w:rPr>
          <w:color w:val="231F20"/>
        </w:rPr>
        <w:t>Spodias,</w:t>
      </w:r>
      <w:r>
        <w:rPr>
          <w:color w:val="231F20"/>
          <w:spacing w:val="-10"/>
        </w:rPr>
        <w:t> </w:t>
      </w:r>
      <w:r>
        <w:rPr>
          <w:color w:val="231F20"/>
        </w:rPr>
        <w:t>de</w:t>
      </w:r>
      <w:r>
        <w:rPr>
          <w:color w:val="231F20"/>
          <w:spacing w:val="-10"/>
        </w:rPr>
        <w:t> </w:t>
      </w:r>
      <w:r>
        <w:rPr>
          <w:color w:val="231F20"/>
        </w:rPr>
        <w:t>tal</w:t>
      </w:r>
      <w:r>
        <w:rPr>
          <w:color w:val="231F20"/>
          <w:spacing w:val="-10"/>
        </w:rPr>
        <w:t> </w:t>
      </w:r>
      <w:r>
        <w:rPr>
          <w:color w:val="231F20"/>
        </w:rPr>
        <w:t>manera</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encamine</w:t>
      </w:r>
      <w:r>
        <w:rPr>
          <w:color w:val="231F20"/>
          <w:spacing w:val="-10"/>
        </w:rPr>
        <w:t> </w:t>
      </w:r>
      <w:r>
        <w:rPr>
          <w:color w:val="231F20"/>
        </w:rPr>
        <w:t>a</w:t>
      </w:r>
      <w:r>
        <w:rPr>
          <w:color w:val="231F20"/>
          <w:spacing w:val="-10"/>
        </w:rPr>
        <w:t> </w:t>
      </w:r>
      <w:r>
        <w:rPr>
          <w:color w:val="231F20"/>
        </w:rPr>
        <w:t>un</w:t>
      </w:r>
      <w:r>
        <w:rPr>
          <w:color w:val="231F20"/>
          <w:spacing w:val="-10"/>
        </w:rPr>
        <w:t> </w:t>
      </w:r>
      <w:r>
        <w:rPr>
          <w:color w:val="231F20"/>
        </w:rPr>
        <w:t>uso</w:t>
      </w:r>
      <w:r>
        <w:rPr>
          <w:color w:val="231F20"/>
          <w:spacing w:val="-10"/>
        </w:rPr>
        <w:t> </w:t>
      </w:r>
      <w:r>
        <w:rPr>
          <w:color w:val="231F20"/>
        </w:rPr>
        <w:t>sustentable</w:t>
      </w:r>
      <w:r>
        <w:rPr>
          <w:color w:val="231F20"/>
          <w:spacing w:val="-10"/>
        </w:rPr>
        <w:t> </w:t>
      </w:r>
      <w:r>
        <w:rPr>
          <w:color w:val="231F20"/>
        </w:rPr>
        <w:t>de</w:t>
      </w:r>
      <w:r>
        <w:rPr>
          <w:color w:val="231F20"/>
          <w:spacing w:val="-10"/>
        </w:rPr>
        <w:t> </w:t>
      </w:r>
      <w:r>
        <w:rPr>
          <w:color w:val="231F20"/>
        </w:rPr>
        <w:t>estos</w:t>
      </w:r>
      <w:r>
        <w:rPr>
          <w:color w:val="231F20"/>
          <w:spacing w:val="-10"/>
        </w:rPr>
        <w:t> </w:t>
      </w:r>
      <w:r>
        <w:rPr>
          <w:color w:val="231F20"/>
        </w:rPr>
        <w:t>recursos</w:t>
      </w:r>
      <w:r>
        <w:rPr>
          <w:color w:val="231F20"/>
          <w:spacing w:val="-10"/>
        </w:rPr>
        <w:t> </w:t>
      </w:r>
      <w:r>
        <w:rPr>
          <w:color w:val="231F20"/>
        </w:rPr>
        <w:t>genéticos.</w:t>
      </w:r>
    </w:p>
    <w:p>
      <w:pPr>
        <w:pStyle w:val="BodyText"/>
        <w:rPr>
          <w:sz w:val="23"/>
        </w:rPr>
      </w:pPr>
    </w:p>
    <w:p>
      <w:pPr>
        <w:pStyle w:val="Heading3"/>
      </w:pPr>
      <w:r>
        <w:rPr>
          <w:color w:val="010202"/>
        </w:rPr>
        <w:t>Conclusiones</w:t>
      </w:r>
    </w:p>
    <w:p>
      <w:pPr>
        <w:pStyle w:val="BodyText"/>
        <w:spacing w:before="10"/>
        <w:rPr>
          <w:b/>
        </w:rPr>
      </w:pPr>
    </w:p>
    <w:p>
      <w:pPr>
        <w:pStyle w:val="BodyText"/>
        <w:spacing w:line="247" w:lineRule="auto"/>
        <w:ind w:left="1270" w:right="1267"/>
        <w:jc w:val="both"/>
      </w:pPr>
      <w:r>
        <w:rPr>
          <w:color w:val="231F20"/>
        </w:rPr>
        <w:t>El género Spondias en México se encuentra representado por tres especies, de las cuales Spondias purpurea L.es originaria de nuestro país, se encuentra domesticada y se cultiva en plantaciones co- merciales</w:t>
      </w:r>
      <w:r>
        <w:rPr>
          <w:color w:val="231F20"/>
          <w:spacing w:val="-6"/>
        </w:rPr>
        <w:t> </w:t>
      </w:r>
      <w:r>
        <w:rPr>
          <w:color w:val="231F20"/>
        </w:rPr>
        <w:t>y</w:t>
      </w:r>
      <w:r>
        <w:rPr>
          <w:color w:val="231F20"/>
          <w:spacing w:val="-5"/>
        </w:rPr>
        <w:t> </w:t>
      </w:r>
      <w:r>
        <w:rPr>
          <w:color w:val="231F20"/>
        </w:rPr>
        <w:t>huertos</w:t>
      </w:r>
      <w:r>
        <w:rPr>
          <w:color w:val="231F20"/>
          <w:spacing w:val="-5"/>
        </w:rPr>
        <w:t> </w:t>
      </w:r>
      <w:r>
        <w:rPr>
          <w:color w:val="231F20"/>
        </w:rPr>
        <w:t>familiares.</w:t>
      </w:r>
      <w:r>
        <w:rPr>
          <w:color w:val="231F20"/>
          <w:spacing w:val="-16"/>
        </w:rPr>
        <w:t> </w:t>
      </w:r>
      <w:r>
        <w:rPr>
          <w:color w:val="231F20"/>
        </w:rPr>
        <w:t>Además</w:t>
      </w:r>
      <w:r>
        <w:rPr>
          <w:color w:val="231F20"/>
          <w:spacing w:val="-5"/>
        </w:rPr>
        <w:t> </w:t>
      </w:r>
      <w:r>
        <w:rPr>
          <w:color w:val="231F20"/>
        </w:rPr>
        <w:t>se</w:t>
      </w:r>
      <w:r>
        <w:rPr>
          <w:color w:val="231F20"/>
          <w:spacing w:val="-5"/>
        </w:rPr>
        <w:t> </w:t>
      </w:r>
      <w:r>
        <w:rPr>
          <w:color w:val="231F20"/>
        </w:rPr>
        <w:t>aprovechan</w:t>
      </w:r>
      <w:r>
        <w:rPr>
          <w:color w:val="231F20"/>
          <w:spacing w:val="-6"/>
        </w:rPr>
        <w:t> </w:t>
      </w:r>
      <w:r>
        <w:rPr>
          <w:color w:val="231F20"/>
        </w:rPr>
        <w:t>por</w:t>
      </w:r>
      <w:r>
        <w:rPr>
          <w:color w:val="231F20"/>
          <w:spacing w:val="-5"/>
        </w:rPr>
        <w:t> </w:t>
      </w:r>
      <w:r>
        <w:rPr>
          <w:color w:val="231F20"/>
        </w:rPr>
        <w:t>los</w:t>
      </w:r>
      <w:r>
        <w:rPr>
          <w:color w:val="231F20"/>
          <w:spacing w:val="-5"/>
        </w:rPr>
        <w:t> </w:t>
      </w:r>
      <w:r>
        <w:rPr>
          <w:color w:val="231F20"/>
        </w:rPr>
        <w:t>campesinos</w:t>
      </w:r>
      <w:r>
        <w:rPr>
          <w:color w:val="231F20"/>
          <w:spacing w:val="-6"/>
        </w:rPr>
        <w:t> </w:t>
      </w:r>
      <w:r>
        <w:rPr>
          <w:color w:val="231F20"/>
        </w:rPr>
        <w:t>las</w:t>
      </w:r>
      <w:r>
        <w:rPr>
          <w:color w:val="231F20"/>
          <w:spacing w:val="-5"/>
        </w:rPr>
        <w:t> </w:t>
      </w:r>
      <w:r>
        <w:rPr>
          <w:color w:val="231F20"/>
        </w:rPr>
        <w:t>variantes</w:t>
      </w:r>
      <w:r>
        <w:rPr>
          <w:color w:val="231F20"/>
          <w:spacing w:val="-5"/>
        </w:rPr>
        <w:t> </w:t>
      </w:r>
      <w:r>
        <w:rPr>
          <w:color w:val="231F20"/>
        </w:rPr>
        <w:t>silvestres,</w:t>
      </w:r>
      <w:r>
        <w:rPr>
          <w:color w:val="231F20"/>
          <w:spacing w:val="-4"/>
        </w:rPr>
        <w:t> </w:t>
      </w:r>
      <w:r>
        <w:rPr>
          <w:color w:val="231F20"/>
        </w:rPr>
        <w:t>lo</w:t>
      </w:r>
    </w:p>
    <w:p>
      <w:pPr>
        <w:spacing w:after="0" w:line="247" w:lineRule="auto"/>
        <w:jc w:val="both"/>
        <w:sectPr>
          <w:pgSz w:w="10920" w:h="13080"/>
          <w:pgMar w:header="0" w:footer="965" w:top="420" w:bottom="1220" w:left="0" w:right="0"/>
        </w:sectPr>
      </w:pPr>
    </w:p>
    <w:p>
      <w:pPr>
        <w:pStyle w:val="BodyText"/>
        <w:rPr>
          <w:sz w:val="20"/>
        </w:rPr>
      </w:pPr>
    </w:p>
    <w:p>
      <w:pPr>
        <w:pStyle w:val="BodyText"/>
        <w:rPr>
          <w:sz w:val="20"/>
        </w:rPr>
      </w:pPr>
    </w:p>
    <w:p>
      <w:pPr>
        <w:pStyle w:val="BodyText"/>
        <w:rPr>
          <w:sz w:val="23"/>
        </w:rPr>
      </w:pPr>
    </w:p>
    <w:p>
      <w:pPr>
        <w:pStyle w:val="BodyText"/>
        <w:spacing w:line="247" w:lineRule="auto" w:before="73"/>
        <w:ind w:left="1270" w:right="1267"/>
        <w:jc w:val="both"/>
      </w:pPr>
      <w:r>
        <w:rPr>
          <w:color w:val="231F20"/>
        </w:rPr>
        <w:t>que</w:t>
      </w:r>
      <w:r>
        <w:rPr>
          <w:color w:val="231F20"/>
          <w:spacing w:val="-2"/>
        </w:rPr>
        <w:t> </w:t>
      </w:r>
      <w:r>
        <w:rPr>
          <w:color w:val="231F20"/>
        </w:rPr>
        <w:t>hace</w:t>
      </w:r>
      <w:r>
        <w:rPr>
          <w:color w:val="231F20"/>
          <w:spacing w:val="-2"/>
        </w:rPr>
        <w:t> </w:t>
      </w:r>
      <w:r>
        <w:rPr>
          <w:color w:val="231F20"/>
        </w:rPr>
        <w:t>de</w:t>
      </w:r>
      <w:r>
        <w:rPr>
          <w:color w:val="231F20"/>
          <w:spacing w:val="-2"/>
        </w:rPr>
        <w:t> </w:t>
      </w:r>
      <w:r>
        <w:rPr>
          <w:color w:val="231F20"/>
        </w:rPr>
        <w:t>los</w:t>
      </w:r>
      <w:r>
        <w:rPr>
          <w:color w:val="231F20"/>
          <w:spacing w:val="-2"/>
        </w:rPr>
        <w:t> </w:t>
      </w:r>
      <w:r>
        <w:rPr>
          <w:color w:val="231F20"/>
        </w:rPr>
        <w:t>jocotes</w:t>
      </w:r>
      <w:r>
        <w:rPr>
          <w:color w:val="231F20"/>
          <w:spacing w:val="-2"/>
        </w:rPr>
        <w:t> </w:t>
      </w:r>
      <w:r>
        <w:rPr>
          <w:color w:val="231F20"/>
        </w:rPr>
        <w:t>una</w:t>
      </w:r>
      <w:r>
        <w:rPr>
          <w:color w:val="231F20"/>
          <w:spacing w:val="-2"/>
        </w:rPr>
        <w:t> </w:t>
      </w:r>
      <w:r>
        <w:rPr>
          <w:color w:val="231F20"/>
        </w:rPr>
        <w:t>planta</w:t>
      </w:r>
      <w:r>
        <w:rPr>
          <w:color w:val="231F20"/>
          <w:spacing w:val="-2"/>
        </w:rPr>
        <w:t> </w:t>
      </w:r>
      <w:r>
        <w:rPr>
          <w:color w:val="231F20"/>
        </w:rPr>
        <w:t>con</w:t>
      </w:r>
      <w:r>
        <w:rPr>
          <w:color w:val="231F20"/>
          <w:spacing w:val="-2"/>
        </w:rPr>
        <w:t> </w:t>
      </w:r>
      <w:r>
        <w:rPr>
          <w:color w:val="231F20"/>
        </w:rPr>
        <w:t>gran</w:t>
      </w:r>
      <w:r>
        <w:rPr>
          <w:color w:val="231F20"/>
          <w:spacing w:val="-2"/>
        </w:rPr>
        <w:t> </w:t>
      </w:r>
      <w:r>
        <w:rPr>
          <w:color w:val="231F20"/>
        </w:rPr>
        <w:t>diversidad</w:t>
      </w:r>
      <w:r>
        <w:rPr>
          <w:color w:val="231F20"/>
          <w:spacing w:val="-2"/>
        </w:rPr>
        <w:t> </w:t>
      </w:r>
      <w:r>
        <w:rPr>
          <w:color w:val="231F20"/>
        </w:rPr>
        <w:t>fenotípica</w:t>
      </w:r>
      <w:r>
        <w:rPr>
          <w:color w:val="231F20"/>
          <w:spacing w:val="-2"/>
        </w:rPr>
        <w:t> </w:t>
      </w:r>
      <w:r>
        <w:rPr>
          <w:color w:val="231F20"/>
        </w:rPr>
        <w:t>de</w:t>
      </w:r>
      <w:r>
        <w:rPr>
          <w:color w:val="231F20"/>
          <w:spacing w:val="-2"/>
        </w:rPr>
        <w:t> </w:t>
      </w:r>
      <w:r>
        <w:rPr>
          <w:color w:val="231F20"/>
        </w:rPr>
        <w:t>frutos</w:t>
      </w:r>
      <w:r>
        <w:rPr>
          <w:color w:val="231F20"/>
          <w:spacing w:val="-2"/>
        </w:rPr>
        <w:t> </w:t>
      </w:r>
      <w:r>
        <w:rPr>
          <w:color w:val="231F20"/>
        </w:rPr>
        <w:t>y</w:t>
      </w:r>
      <w:r>
        <w:rPr>
          <w:color w:val="231F20"/>
          <w:spacing w:val="-2"/>
        </w:rPr>
        <w:t> </w:t>
      </w:r>
      <w:r>
        <w:rPr>
          <w:color w:val="231F20"/>
        </w:rPr>
        <w:t>formas</w:t>
      </w:r>
      <w:r>
        <w:rPr>
          <w:color w:val="231F20"/>
          <w:spacing w:val="-2"/>
        </w:rPr>
        <w:t> </w:t>
      </w:r>
      <w:r>
        <w:rPr>
          <w:color w:val="231F20"/>
        </w:rPr>
        <w:t>de</w:t>
      </w:r>
      <w:r>
        <w:rPr>
          <w:color w:val="231F20"/>
          <w:spacing w:val="-2"/>
        </w:rPr>
        <w:t> </w:t>
      </w:r>
      <w:r>
        <w:rPr>
          <w:color w:val="231F20"/>
        </w:rPr>
        <w:t>uso.</w:t>
      </w:r>
      <w:r>
        <w:rPr>
          <w:color w:val="231F20"/>
          <w:spacing w:val="-2"/>
        </w:rPr>
        <w:t> </w:t>
      </w:r>
      <w:r>
        <w:rPr>
          <w:color w:val="231F20"/>
        </w:rPr>
        <w:t>El</w:t>
      </w:r>
      <w:r>
        <w:rPr>
          <w:color w:val="231F20"/>
          <w:spacing w:val="-2"/>
        </w:rPr>
        <w:t> </w:t>
      </w:r>
      <w:r>
        <w:rPr>
          <w:color w:val="231F20"/>
        </w:rPr>
        <w:t>jobo, Spondias mombin, es una especie que se encuentra en procesos iniciales de cultivo, se han</w:t>
      </w:r>
      <w:r>
        <w:rPr>
          <w:color w:val="231F20"/>
          <w:spacing w:val="-36"/>
        </w:rPr>
        <w:t> </w:t>
      </w:r>
      <w:r>
        <w:rPr>
          <w:color w:val="231F20"/>
        </w:rPr>
        <w:t>seleccio- nado variantes de interés por sus frutos y se aprovecha como planta en cercos vivos y árboles para sombra en las zonas tropicales</w:t>
      </w:r>
      <w:r>
        <w:rPr>
          <w:color w:val="231F20"/>
          <w:spacing w:val="-9"/>
        </w:rPr>
        <w:t> </w:t>
      </w:r>
      <w:r>
        <w:rPr>
          <w:color w:val="231F20"/>
        </w:rPr>
        <w:t>lluviosas.</w:t>
      </w:r>
    </w:p>
    <w:p>
      <w:pPr>
        <w:pStyle w:val="BodyText"/>
        <w:spacing w:before="10"/>
      </w:pPr>
    </w:p>
    <w:p>
      <w:pPr>
        <w:pStyle w:val="BodyText"/>
        <w:spacing w:line="247" w:lineRule="auto"/>
        <w:ind w:left="1270" w:right="1267"/>
        <w:jc w:val="both"/>
      </w:pPr>
      <w:r>
        <w:rPr>
          <w:color w:val="231F20"/>
        </w:rPr>
        <w:t>Las especies de Spondias en México han recibido poco interés por los estudiosos, de ellas el jocote es</w:t>
      </w:r>
      <w:r>
        <w:rPr>
          <w:color w:val="231F20"/>
          <w:spacing w:val="-5"/>
        </w:rPr>
        <w:t> </w:t>
      </w:r>
      <w:r>
        <w:rPr>
          <w:color w:val="231F20"/>
        </w:rPr>
        <w:t>un</w:t>
      </w:r>
      <w:r>
        <w:rPr>
          <w:color w:val="231F20"/>
          <w:spacing w:val="-4"/>
        </w:rPr>
        <w:t> </w:t>
      </w:r>
      <w:r>
        <w:rPr>
          <w:color w:val="231F20"/>
        </w:rPr>
        <w:t>cultivo</w:t>
      </w:r>
      <w:r>
        <w:rPr>
          <w:color w:val="231F20"/>
          <w:spacing w:val="-5"/>
        </w:rPr>
        <w:t> </w:t>
      </w:r>
      <w:r>
        <w:rPr>
          <w:color w:val="231F20"/>
        </w:rPr>
        <w:t>con</w:t>
      </w:r>
      <w:r>
        <w:rPr>
          <w:color w:val="231F20"/>
          <w:spacing w:val="-5"/>
        </w:rPr>
        <w:t> </w:t>
      </w:r>
      <w:r>
        <w:rPr>
          <w:color w:val="231F20"/>
        </w:rPr>
        <w:t>una</w:t>
      </w:r>
      <w:r>
        <w:rPr>
          <w:color w:val="231F20"/>
          <w:spacing w:val="-4"/>
        </w:rPr>
        <w:t> </w:t>
      </w:r>
      <w:r>
        <w:rPr>
          <w:color w:val="231F20"/>
        </w:rPr>
        <w:t>tradición</w:t>
      </w:r>
      <w:r>
        <w:rPr>
          <w:color w:val="231F20"/>
          <w:spacing w:val="-5"/>
        </w:rPr>
        <w:t> </w:t>
      </w:r>
      <w:r>
        <w:rPr>
          <w:color w:val="231F20"/>
        </w:rPr>
        <w:t>ancestral</w:t>
      </w:r>
      <w:r>
        <w:rPr>
          <w:color w:val="231F20"/>
          <w:spacing w:val="-5"/>
        </w:rPr>
        <w:t> </w:t>
      </w:r>
      <w:r>
        <w:rPr>
          <w:color w:val="231F20"/>
        </w:rPr>
        <w:t>y</w:t>
      </w:r>
      <w:r>
        <w:rPr>
          <w:color w:val="231F20"/>
          <w:spacing w:val="-4"/>
        </w:rPr>
        <w:t> </w:t>
      </w:r>
      <w:r>
        <w:rPr>
          <w:color w:val="231F20"/>
        </w:rPr>
        <w:t>con</w:t>
      </w:r>
      <w:r>
        <w:rPr>
          <w:color w:val="231F20"/>
          <w:spacing w:val="-5"/>
        </w:rPr>
        <w:t> </w:t>
      </w:r>
      <w:r>
        <w:rPr>
          <w:color w:val="231F20"/>
        </w:rPr>
        <w:t>características</w:t>
      </w:r>
      <w:r>
        <w:rPr>
          <w:color w:val="231F20"/>
          <w:spacing w:val="-5"/>
        </w:rPr>
        <w:t> </w:t>
      </w:r>
      <w:r>
        <w:rPr>
          <w:color w:val="231F20"/>
        </w:rPr>
        <w:t>que</w:t>
      </w:r>
      <w:r>
        <w:rPr>
          <w:color w:val="231F20"/>
          <w:spacing w:val="-4"/>
        </w:rPr>
        <w:t> </w:t>
      </w:r>
      <w:r>
        <w:rPr>
          <w:color w:val="231F20"/>
        </w:rPr>
        <w:t>le</w:t>
      </w:r>
      <w:r>
        <w:rPr>
          <w:color w:val="231F20"/>
          <w:spacing w:val="-4"/>
        </w:rPr>
        <w:t> </w:t>
      </w:r>
      <w:r>
        <w:rPr>
          <w:color w:val="231F20"/>
        </w:rPr>
        <w:t>permiten</w:t>
      </w:r>
      <w:r>
        <w:rPr>
          <w:color w:val="231F20"/>
          <w:spacing w:val="-4"/>
        </w:rPr>
        <w:t> </w:t>
      </w:r>
      <w:r>
        <w:rPr>
          <w:color w:val="231F20"/>
        </w:rPr>
        <w:t>la</w:t>
      </w:r>
      <w:r>
        <w:rPr>
          <w:color w:val="231F20"/>
          <w:spacing w:val="-4"/>
        </w:rPr>
        <w:t> </w:t>
      </w:r>
      <w:r>
        <w:rPr>
          <w:color w:val="231F20"/>
        </w:rPr>
        <w:t>adaptación</w:t>
      </w:r>
      <w:r>
        <w:rPr>
          <w:color w:val="231F20"/>
          <w:spacing w:val="-5"/>
        </w:rPr>
        <w:t> </w:t>
      </w:r>
      <w:r>
        <w:rPr>
          <w:color w:val="231F20"/>
        </w:rPr>
        <w:t>en</w:t>
      </w:r>
      <w:r>
        <w:rPr>
          <w:color w:val="231F20"/>
          <w:spacing w:val="-5"/>
        </w:rPr>
        <w:t> </w:t>
      </w:r>
      <w:r>
        <w:rPr>
          <w:color w:val="231F20"/>
        </w:rPr>
        <w:t>zonas cálido secas, en donde es un cultivo promisorio, en regiones marginadas por su escasa precipitación y un periodo prolongado de</w:t>
      </w:r>
      <w:r>
        <w:rPr>
          <w:color w:val="231F20"/>
          <w:spacing w:val="-7"/>
        </w:rPr>
        <w:t> </w:t>
      </w:r>
      <w:r>
        <w:rPr>
          <w:color w:val="231F20"/>
        </w:rPr>
        <w:t>sequía.</w:t>
      </w:r>
    </w:p>
    <w:p>
      <w:pPr>
        <w:pStyle w:val="BodyText"/>
        <w:spacing w:before="10"/>
      </w:pPr>
    </w:p>
    <w:p>
      <w:pPr>
        <w:pStyle w:val="BodyText"/>
        <w:spacing w:line="247" w:lineRule="auto"/>
        <w:ind w:left="1270" w:right="1267"/>
        <w:jc w:val="both"/>
      </w:pPr>
      <w:r>
        <w:rPr>
          <w:color w:val="231F20"/>
        </w:rPr>
        <w:t>El establecimiento de la Red de Ciruela y los apoyos financieros de SNICS-SINAREFI han permi- tido el avance inicial en el conocimiento del género Spondias en México e iniciar con trabajos de conservación de las especies de ciruela.</w:t>
      </w:r>
    </w:p>
    <w:p>
      <w:pPr>
        <w:pStyle w:val="BodyText"/>
        <w:spacing w:before="9"/>
        <w:rPr>
          <w:sz w:val="22"/>
        </w:rPr>
      </w:pPr>
    </w:p>
    <w:p>
      <w:pPr>
        <w:pStyle w:val="Heading3"/>
      </w:pPr>
      <w:r>
        <w:rPr>
          <w:color w:val="010202"/>
        </w:rPr>
        <w:t>Literatura citada</w:t>
      </w:r>
    </w:p>
    <w:p>
      <w:pPr>
        <w:pStyle w:val="BodyText"/>
        <w:spacing w:before="7"/>
        <w:rPr>
          <w:b/>
        </w:rPr>
      </w:pPr>
    </w:p>
    <w:p>
      <w:pPr>
        <w:spacing w:line="249" w:lineRule="auto" w:before="0"/>
        <w:ind w:left="1270" w:right="1268" w:firstLine="0"/>
        <w:jc w:val="both"/>
        <w:rPr>
          <w:sz w:val="19"/>
        </w:rPr>
      </w:pPr>
      <w:r>
        <w:rPr>
          <w:color w:val="231F20"/>
          <w:sz w:val="19"/>
        </w:rPr>
        <w:t>Calderón de R., G., J. Rzedowski R. y colaboradores. 2001. Flora fanerogámica del Valle de México. 2ª Edi- ción. Instituto de Ecología, A. C. – Comisión Nacional para el Conocimiento y Uso de la Biodiversidad. Pátz- cuaro, Mich. México. 1406 p.</w:t>
      </w:r>
    </w:p>
    <w:p>
      <w:pPr>
        <w:pStyle w:val="BodyText"/>
        <w:spacing w:before="10"/>
        <w:rPr>
          <w:sz w:val="19"/>
        </w:rPr>
      </w:pPr>
    </w:p>
    <w:p>
      <w:pPr>
        <w:spacing w:before="0"/>
        <w:ind w:left="1270" w:right="0" w:firstLine="0"/>
        <w:jc w:val="both"/>
        <w:rPr>
          <w:sz w:val="19"/>
        </w:rPr>
      </w:pPr>
      <w:r>
        <w:rPr>
          <w:color w:val="231F20"/>
          <w:sz w:val="19"/>
        </w:rPr>
        <w:t>Standley, P. C. 1920-1926. Trees and shrubs of Mexico.</w:t>
      </w:r>
    </w:p>
    <w:p>
      <w:pPr>
        <w:pStyle w:val="BodyText"/>
        <w:spacing w:before="7"/>
        <w:rPr>
          <w:sz w:val="20"/>
        </w:rPr>
      </w:pPr>
    </w:p>
    <w:p>
      <w:pPr>
        <w:spacing w:line="249" w:lineRule="auto" w:before="0"/>
        <w:ind w:left="1270" w:right="1268" w:firstLine="0"/>
        <w:jc w:val="both"/>
        <w:rPr>
          <w:sz w:val="19"/>
        </w:rPr>
      </w:pPr>
      <w:r>
        <w:rPr>
          <w:color w:val="231F20"/>
          <w:sz w:val="19"/>
        </w:rPr>
        <w:t>Airy Shaw, H. K., and L. L. Forman. 1967. The genus Spondias L. (Anacardiaceae) in tropical Asia. Kew Bu- lletin 21(1): 1-20.</w:t>
      </w:r>
    </w:p>
    <w:p>
      <w:pPr>
        <w:pStyle w:val="BodyText"/>
        <w:spacing w:before="10"/>
        <w:rPr>
          <w:sz w:val="19"/>
        </w:rPr>
      </w:pPr>
    </w:p>
    <w:p>
      <w:pPr>
        <w:spacing w:line="249" w:lineRule="auto" w:before="0"/>
        <w:ind w:left="1270" w:right="1268" w:firstLine="0"/>
        <w:jc w:val="both"/>
        <w:rPr>
          <w:sz w:val="19"/>
        </w:rPr>
      </w:pPr>
      <w:r>
        <w:rPr>
          <w:color w:val="231F20"/>
          <w:sz w:val="19"/>
        </w:rPr>
        <w:t>Cuevas, J. A. 1992. Jocote, ciruelo (Spondias purpurea). En: J. E. Bermejo y L. León (Eds.). Cultivos margi- nados; otra perspectiva de 1492. Colección </w:t>
      </w:r>
      <w:r>
        <w:rPr>
          <w:color w:val="231F20"/>
          <w:spacing w:val="-4"/>
          <w:sz w:val="19"/>
        </w:rPr>
        <w:t>FAO: </w:t>
      </w:r>
      <w:r>
        <w:rPr>
          <w:color w:val="231F20"/>
          <w:sz w:val="19"/>
        </w:rPr>
        <w:t>Producción y protección vegetal No. 26. Roma. Pp 109-113.</w:t>
      </w:r>
    </w:p>
    <w:p>
      <w:pPr>
        <w:pStyle w:val="BodyText"/>
        <w:spacing w:before="10"/>
        <w:rPr>
          <w:sz w:val="19"/>
        </w:rPr>
      </w:pPr>
    </w:p>
    <w:p>
      <w:pPr>
        <w:spacing w:line="249" w:lineRule="auto" w:before="0"/>
        <w:ind w:left="1270" w:right="1268" w:firstLine="0"/>
        <w:jc w:val="both"/>
        <w:rPr>
          <w:sz w:val="19"/>
        </w:rPr>
      </w:pPr>
      <w:r>
        <w:rPr>
          <w:color w:val="231F20"/>
          <w:sz w:val="19"/>
        </w:rPr>
        <w:t>Hernández, A. 1977. Estudio sobre identificación y selección de criollos sobresalientes en ciruela mexicana Spondias purpurea L. en el estado de Veracruz. Memorias del III Congreso Nacional de Fruticultura. Morelia, Mich. Pp. 5-8.</w:t>
      </w:r>
    </w:p>
    <w:p>
      <w:pPr>
        <w:pStyle w:val="BodyText"/>
        <w:spacing w:before="10"/>
        <w:rPr>
          <w:sz w:val="19"/>
        </w:rPr>
      </w:pPr>
    </w:p>
    <w:p>
      <w:pPr>
        <w:spacing w:line="249" w:lineRule="auto" w:before="0"/>
        <w:ind w:left="1270" w:right="1268" w:firstLine="0"/>
        <w:jc w:val="both"/>
        <w:rPr>
          <w:sz w:val="19"/>
        </w:rPr>
      </w:pPr>
      <w:r>
        <w:rPr>
          <w:color w:val="231F20"/>
          <w:sz w:val="19"/>
        </w:rPr>
        <w:t>Kostermans,</w:t>
      </w:r>
      <w:r>
        <w:rPr>
          <w:color w:val="231F20"/>
          <w:spacing w:val="-14"/>
          <w:sz w:val="19"/>
        </w:rPr>
        <w:t> </w:t>
      </w:r>
      <w:r>
        <w:rPr>
          <w:color w:val="231F20"/>
          <w:sz w:val="19"/>
        </w:rPr>
        <w:t>A.</w:t>
      </w:r>
      <w:r>
        <w:rPr>
          <w:color w:val="231F20"/>
          <w:spacing w:val="-3"/>
          <w:sz w:val="19"/>
        </w:rPr>
        <w:t> </w:t>
      </w:r>
      <w:r>
        <w:rPr>
          <w:color w:val="231F20"/>
          <w:sz w:val="19"/>
        </w:rPr>
        <w:t>J.</w:t>
      </w:r>
      <w:r>
        <w:rPr>
          <w:color w:val="231F20"/>
          <w:spacing w:val="-3"/>
          <w:sz w:val="19"/>
        </w:rPr>
        <w:t> </w:t>
      </w:r>
      <w:r>
        <w:rPr>
          <w:color w:val="231F20"/>
          <w:sz w:val="19"/>
        </w:rPr>
        <w:t>G.</w:t>
      </w:r>
      <w:r>
        <w:rPr>
          <w:color w:val="231F20"/>
          <w:spacing w:val="-3"/>
          <w:sz w:val="19"/>
        </w:rPr>
        <w:t> </w:t>
      </w:r>
      <w:r>
        <w:rPr>
          <w:color w:val="231F20"/>
          <w:sz w:val="19"/>
        </w:rPr>
        <w:t>H.</w:t>
      </w:r>
      <w:r>
        <w:rPr>
          <w:color w:val="231F20"/>
          <w:spacing w:val="-3"/>
          <w:sz w:val="19"/>
        </w:rPr>
        <w:t> </w:t>
      </w:r>
      <w:r>
        <w:rPr>
          <w:color w:val="231F20"/>
          <w:sz w:val="19"/>
        </w:rPr>
        <w:t>1991.</w:t>
      </w:r>
      <w:r>
        <w:rPr>
          <w:color w:val="231F20"/>
          <w:spacing w:val="-3"/>
          <w:sz w:val="19"/>
        </w:rPr>
        <w:t> </w:t>
      </w:r>
      <w:r>
        <w:rPr>
          <w:color w:val="231F20"/>
          <w:sz w:val="19"/>
        </w:rPr>
        <w:t>Kedondong,</w:t>
      </w:r>
      <w:r>
        <w:rPr>
          <w:color w:val="231F20"/>
          <w:spacing w:val="-3"/>
          <w:sz w:val="19"/>
        </w:rPr>
        <w:t> </w:t>
      </w:r>
      <w:r>
        <w:rPr>
          <w:color w:val="231F20"/>
          <w:sz w:val="19"/>
        </w:rPr>
        <w:t>ambarella,</w:t>
      </w:r>
      <w:r>
        <w:rPr>
          <w:color w:val="231F20"/>
          <w:spacing w:val="-3"/>
          <w:sz w:val="19"/>
        </w:rPr>
        <w:t> </w:t>
      </w:r>
      <w:r>
        <w:rPr>
          <w:color w:val="231F20"/>
          <w:sz w:val="19"/>
        </w:rPr>
        <w:t>amra.</w:t>
      </w:r>
      <w:r>
        <w:rPr>
          <w:color w:val="231F20"/>
          <w:spacing w:val="-7"/>
          <w:sz w:val="19"/>
        </w:rPr>
        <w:t> </w:t>
      </w:r>
      <w:r>
        <w:rPr>
          <w:color w:val="231F20"/>
          <w:sz w:val="19"/>
        </w:rPr>
        <w:t>The</w:t>
      </w:r>
      <w:r>
        <w:rPr>
          <w:color w:val="231F20"/>
          <w:spacing w:val="-3"/>
          <w:sz w:val="19"/>
        </w:rPr>
        <w:t> </w:t>
      </w:r>
      <w:r>
        <w:rPr>
          <w:color w:val="231F20"/>
          <w:sz w:val="19"/>
        </w:rPr>
        <w:t>Spondiadeae</w:t>
      </w:r>
      <w:r>
        <w:rPr>
          <w:color w:val="231F20"/>
          <w:spacing w:val="-3"/>
          <w:sz w:val="19"/>
        </w:rPr>
        <w:t> </w:t>
      </w:r>
      <w:r>
        <w:rPr>
          <w:color w:val="231F20"/>
          <w:sz w:val="19"/>
        </w:rPr>
        <w:t>(Anacardiaceae)</w:t>
      </w:r>
      <w:r>
        <w:rPr>
          <w:color w:val="231F20"/>
          <w:spacing w:val="-3"/>
          <w:sz w:val="19"/>
        </w:rPr>
        <w:t> </w:t>
      </w:r>
      <w:r>
        <w:rPr>
          <w:color w:val="231F20"/>
          <w:sz w:val="19"/>
        </w:rPr>
        <w:t>in</w:t>
      </w:r>
      <w:r>
        <w:rPr>
          <w:color w:val="231F20"/>
          <w:spacing w:val="-14"/>
          <w:sz w:val="19"/>
        </w:rPr>
        <w:t> </w:t>
      </w:r>
      <w:r>
        <w:rPr>
          <w:color w:val="231F20"/>
          <w:sz w:val="19"/>
        </w:rPr>
        <w:t>Asia</w:t>
      </w:r>
      <w:r>
        <w:rPr>
          <w:color w:val="231F20"/>
          <w:spacing w:val="-3"/>
          <w:sz w:val="19"/>
        </w:rPr>
        <w:t> </w:t>
      </w:r>
      <w:r>
        <w:rPr>
          <w:color w:val="231F20"/>
          <w:sz w:val="19"/>
        </w:rPr>
        <w:t>and</w:t>
      </w:r>
      <w:r>
        <w:rPr>
          <w:color w:val="231F20"/>
          <w:spacing w:val="-3"/>
          <w:sz w:val="19"/>
        </w:rPr>
        <w:t> </w:t>
      </w:r>
      <w:r>
        <w:rPr>
          <w:color w:val="231F20"/>
          <w:sz w:val="19"/>
        </w:rPr>
        <w:t>the Pacific area. Herbarium Bogoriense. Jalan Juanda 22. Bogor.</w:t>
      </w:r>
      <w:r>
        <w:rPr>
          <w:color w:val="231F20"/>
          <w:spacing w:val="-21"/>
          <w:sz w:val="19"/>
        </w:rPr>
        <w:t> </w:t>
      </w:r>
      <w:r>
        <w:rPr>
          <w:color w:val="231F20"/>
          <w:sz w:val="19"/>
        </w:rPr>
        <w:t>Indonesia.</w:t>
      </w:r>
    </w:p>
    <w:p>
      <w:pPr>
        <w:pStyle w:val="BodyText"/>
        <w:spacing w:before="10"/>
        <w:rPr>
          <w:sz w:val="19"/>
        </w:rPr>
      </w:pPr>
    </w:p>
    <w:p>
      <w:pPr>
        <w:spacing w:before="0"/>
        <w:ind w:left="1270" w:right="0" w:firstLine="0"/>
        <w:jc w:val="both"/>
        <w:rPr>
          <w:sz w:val="19"/>
        </w:rPr>
      </w:pPr>
      <w:r>
        <w:rPr>
          <w:color w:val="231F20"/>
          <w:sz w:val="19"/>
        </w:rPr>
        <w:t>León, J. 1987. Botánica de los cultivos tropicales. IICA. San José. Costa Rica. p. 226.</w:t>
      </w:r>
    </w:p>
    <w:p>
      <w:pPr>
        <w:pStyle w:val="BodyText"/>
        <w:spacing w:before="7"/>
        <w:rPr>
          <w:sz w:val="20"/>
        </w:rPr>
      </w:pPr>
    </w:p>
    <w:p>
      <w:pPr>
        <w:spacing w:line="249" w:lineRule="auto" w:before="0"/>
        <w:ind w:left="1270" w:right="1268" w:firstLine="0"/>
        <w:jc w:val="both"/>
        <w:rPr>
          <w:sz w:val="19"/>
        </w:rPr>
      </w:pPr>
      <w:r>
        <w:rPr>
          <w:color w:val="231F20"/>
          <w:sz w:val="19"/>
        </w:rPr>
        <w:t>León, J., and </w:t>
      </w:r>
      <w:r>
        <w:rPr>
          <w:color w:val="231F20"/>
          <w:spacing w:val="-11"/>
          <w:sz w:val="19"/>
        </w:rPr>
        <w:t>P. </w:t>
      </w:r>
      <w:r>
        <w:rPr>
          <w:color w:val="231F20"/>
          <w:sz w:val="19"/>
        </w:rPr>
        <w:t>E. </w:t>
      </w:r>
      <w:r>
        <w:rPr>
          <w:color w:val="231F20"/>
          <w:spacing w:val="-3"/>
          <w:sz w:val="19"/>
        </w:rPr>
        <w:t>Shaw. </w:t>
      </w:r>
      <w:r>
        <w:rPr>
          <w:color w:val="231F20"/>
          <w:sz w:val="19"/>
        </w:rPr>
        <w:t>1990. Spondias; the red mombin and related fruits. In: S. </w:t>
      </w:r>
      <w:r>
        <w:rPr>
          <w:color w:val="231F20"/>
          <w:spacing w:val="-3"/>
          <w:sz w:val="19"/>
        </w:rPr>
        <w:t>Nagy, </w:t>
      </w:r>
      <w:r>
        <w:rPr>
          <w:color w:val="231F20"/>
          <w:spacing w:val="-11"/>
          <w:sz w:val="19"/>
        </w:rPr>
        <w:t>P. </w:t>
      </w:r>
      <w:r>
        <w:rPr>
          <w:color w:val="231F20"/>
          <w:sz w:val="19"/>
        </w:rPr>
        <w:t>E. </w:t>
      </w:r>
      <w:r>
        <w:rPr>
          <w:color w:val="231F20"/>
          <w:spacing w:val="-3"/>
          <w:sz w:val="19"/>
        </w:rPr>
        <w:t>Shaw, </w:t>
      </w:r>
      <w:r>
        <w:rPr>
          <w:color w:val="231F20"/>
          <w:sz w:val="19"/>
        </w:rPr>
        <w:t>and N. </w:t>
      </w:r>
      <w:r>
        <w:rPr>
          <w:color w:val="231F20"/>
          <w:spacing w:val="-8"/>
          <w:sz w:val="19"/>
        </w:rPr>
        <w:t>F. </w:t>
      </w:r>
      <w:r>
        <w:rPr>
          <w:color w:val="231F20"/>
          <w:sz w:val="19"/>
        </w:rPr>
        <w:t>Wardowski (Eds.). Fruits of tropical and subtropical origin; composition, properties and uses. Florida Science Source. Lake Alfred. Fl. Pp. 116-126.</w:t>
      </w:r>
    </w:p>
    <w:p>
      <w:pPr>
        <w:pStyle w:val="BodyText"/>
        <w:spacing w:before="10"/>
        <w:rPr>
          <w:sz w:val="19"/>
        </w:rPr>
      </w:pPr>
    </w:p>
    <w:p>
      <w:pPr>
        <w:spacing w:line="249" w:lineRule="auto" w:before="0"/>
        <w:ind w:left="1270" w:right="1267" w:firstLine="0"/>
        <w:jc w:val="both"/>
        <w:rPr>
          <w:sz w:val="19"/>
        </w:rPr>
      </w:pPr>
      <w:r>
        <w:rPr>
          <w:color w:val="231F20"/>
          <w:sz w:val="19"/>
        </w:rPr>
        <w:t>Manjarrez,</w:t>
      </w:r>
      <w:r>
        <w:rPr>
          <w:color w:val="231F20"/>
          <w:spacing w:val="-4"/>
          <w:sz w:val="19"/>
        </w:rPr>
        <w:t> </w:t>
      </w:r>
      <w:r>
        <w:rPr>
          <w:color w:val="231F20"/>
          <w:sz w:val="19"/>
        </w:rPr>
        <w:t>M.,</w:t>
      </w:r>
      <w:r>
        <w:rPr>
          <w:color w:val="231F20"/>
          <w:spacing w:val="-4"/>
          <w:sz w:val="19"/>
        </w:rPr>
        <w:t> </w:t>
      </w:r>
      <w:r>
        <w:rPr>
          <w:color w:val="231F20"/>
          <w:sz w:val="19"/>
        </w:rPr>
        <w:t>N.</w:t>
      </w:r>
      <w:r>
        <w:rPr>
          <w:color w:val="231F20"/>
          <w:spacing w:val="-4"/>
          <w:sz w:val="19"/>
        </w:rPr>
        <w:t> </w:t>
      </w:r>
      <w:r>
        <w:rPr>
          <w:color w:val="231F20"/>
          <w:sz w:val="19"/>
        </w:rPr>
        <w:t>R.</w:t>
      </w:r>
      <w:r>
        <w:rPr>
          <w:color w:val="231F20"/>
          <w:spacing w:val="-6"/>
          <w:sz w:val="19"/>
        </w:rPr>
        <w:t> </w:t>
      </w:r>
      <w:r>
        <w:rPr>
          <w:color w:val="231F20"/>
          <w:sz w:val="19"/>
        </w:rPr>
        <w:t>Tiznado</w:t>
      </w:r>
      <w:r>
        <w:rPr>
          <w:color w:val="231F20"/>
          <w:spacing w:val="-4"/>
          <w:sz w:val="19"/>
        </w:rPr>
        <w:t> </w:t>
      </w:r>
      <w:r>
        <w:rPr>
          <w:color w:val="231F20"/>
          <w:sz w:val="19"/>
        </w:rPr>
        <w:t>y</w:t>
      </w:r>
      <w:r>
        <w:rPr>
          <w:color w:val="231F20"/>
          <w:spacing w:val="-4"/>
          <w:sz w:val="19"/>
        </w:rPr>
        <w:t> </w:t>
      </w:r>
      <w:r>
        <w:rPr>
          <w:color w:val="231F20"/>
          <w:sz w:val="19"/>
        </w:rPr>
        <w:t>C.</w:t>
      </w:r>
      <w:r>
        <w:rPr>
          <w:color w:val="231F20"/>
          <w:spacing w:val="-4"/>
          <w:sz w:val="19"/>
        </w:rPr>
        <w:t> </w:t>
      </w:r>
      <w:r>
        <w:rPr>
          <w:color w:val="231F20"/>
          <w:sz w:val="19"/>
        </w:rPr>
        <w:t>E.</w:t>
      </w:r>
      <w:r>
        <w:rPr>
          <w:color w:val="231F20"/>
          <w:spacing w:val="-4"/>
          <w:sz w:val="19"/>
        </w:rPr>
        <w:t> </w:t>
      </w:r>
      <w:r>
        <w:rPr>
          <w:color w:val="231F20"/>
          <w:sz w:val="19"/>
        </w:rPr>
        <w:t>Carvajal.</w:t>
      </w:r>
      <w:r>
        <w:rPr>
          <w:color w:val="231F20"/>
          <w:spacing w:val="-4"/>
          <w:sz w:val="19"/>
        </w:rPr>
        <w:t> </w:t>
      </w:r>
      <w:r>
        <w:rPr>
          <w:color w:val="231F20"/>
          <w:sz w:val="19"/>
        </w:rPr>
        <w:t>1980.</w:t>
      </w:r>
      <w:r>
        <w:rPr>
          <w:color w:val="231F20"/>
          <w:spacing w:val="-4"/>
          <w:sz w:val="19"/>
        </w:rPr>
        <w:t> </w:t>
      </w:r>
      <w:r>
        <w:rPr>
          <w:color w:val="231F20"/>
          <w:sz w:val="19"/>
        </w:rPr>
        <w:t>Evaluación</w:t>
      </w:r>
      <w:r>
        <w:rPr>
          <w:color w:val="231F20"/>
          <w:spacing w:val="-4"/>
          <w:sz w:val="19"/>
        </w:rPr>
        <w:t> </w:t>
      </w:r>
      <w:r>
        <w:rPr>
          <w:color w:val="231F20"/>
          <w:sz w:val="19"/>
        </w:rPr>
        <w:t>preliminar</w:t>
      </w:r>
      <w:r>
        <w:rPr>
          <w:color w:val="231F20"/>
          <w:spacing w:val="-4"/>
          <w:sz w:val="19"/>
        </w:rPr>
        <w:t> </w:t>
      </w:r>
      <w:r>
        <w:rPr>
          <w:color w:val="231F20"/>
          <w:sz w:val="19"/>
        </w:rPr>
        <w:t>de</w:t>
      </w:r>
      <w:r>
        <w:rPr>
          <w:color w:val="231F20"/>
          <w:spacing w:val="-4"/>
          <w:sz w:val="19"/>
        </w:rPr>
        <w:t> </w:t>
      </w:r>
      <w:r>
        <w:rPr>
          <w:color w:val="231F20"/>
          <w:sz w:val="19"/>
        </w:rPr>
        <w:t>tres</w:t>
      </w:r>
      <w:r>
        <w:rPr>
          <w:color w:val="231F20"/>
          <w:spacing w:val="-4"/>
          <w:sz w:val="19"/>
        </w:rPr>
        <w:t> </w:t>
      </w:r>
      <w:r>
        <w:rPr>
          <w:color w:val="231F20"/>
          <w:sz w:val="19"/>
        </w:rPr>
        <w:t>épocas</w:t>
      </w:r>
      <w:r>
        <w:rPr>
          <w:color w:val="231F20"/>
          <w:spacing w:val="-4"/>
          <w:sz w:val="19"/>
        </w:rPr>
        <w:t> </w:t>
      </w:r>
      <w:r>
        <w:rPr>
          <w:color w:val="231F20"/>
          <w:sz w:val="19"/>
        </w:rPr>
        <w:t>de</w:t>
      </w:r>
      <w:r>
        <w:rPr>
          <w:color w:val="231F20"/>
          <w:spacing w:val="-4"/>
          <w:sz w:val="19"/>
        </w:rPr>
        <w:t> </w:t>
      </w:r>
      <w:r>
        <w:rPr>
          <w:color w:val="231F20"/>
          <w:sz w:val="19"/>
        </w:rPr>
        <w:t>plantación</w:t>
      </w:r>
      <w:r>
        <w:rPr>
          <w:color w:val="231F20"/>
          <w:spacing w:val="-4"/>
          <w:sz w:val="19"/>
        </w:rPr>
        <w:t> </w:t>
      </w:r>
      <w:r>
        <w:rPr>
          <w:color w:val="231F20"/>
          <w:sz w:val="19"/>
        </w:rPr>
        <w:t>y</w:t>
      </w:r>
      <w:r>
        <w:rPr>
          <w:color w:val="231F20"/>
          <w:spacing w:val="-4"/>
          <w:sz w:val="19"/>
        </w:rPr>
        <w:t> </w:t>
      </w:r>
      <w:r>
        <w:rPr>
          <w:color w:val="231F20"/>
          <w:sz w:val="19"/>
        </w:rPr>
        <w:t>dos diámetros</w:t>
      </w:r>
      <w:r>
        <w:rPr>
          <w:color w:val="231F20"/>
          <w:spacing w:val="-3"/>
          <w:sz w:val="19"/>
        </w:rPr>
        <w:t> </w:t>
      </w:r>
      <w:r>
        <w:rPr>
          <w:color w:val="231F20"/>
          <w:sz w:val="19"/>
        </w:rPr>
        <w:t>de</w:t>
      </w:r>
      <w:r>
        <w:rPr>
          <w:color w:val="231F20"/>
          <w:spacing w:val="-3"/>
          <w:sz w:val="19"/>
        </w:rPr>
        <w:t> </w:t>
      </w:r>
      <w:r>
        <w:rPr>
          <w:color w:val="231F20"/>
          <w:sz w:val="19"/>
        </w:rPr>
        <w:t>estaca</w:t>
      </w:r>
      <w:r>
        <w:rPr>
          <w:color w:val="231F20"/>
          <w:spacing w:val="-3"/>
          <w:sz w:val="19"/>
        </w:rPr>
        <w:t> </w:t>
      </w:r>
      <w:r>
        <w:rPr>
          <w:color w:val="231F20"/>
          <w:sz w:val="19"/>
        </w:rPr>
        <w:t>sobre</w:t>
      </w:r>
      <w:r>
        <w:rPr>
          <w:color w:val="231F20"/>
          <w:spacing w:val="-3"/>
          <w:sz w:val="19"/>
        </w:rPr>
        <w:t> </w:t>
      </w:r>
      <w:r>
        <w:rPr>
          <w:color w:val="231F20"/>
          <w:sz w:val="19"/>
        </w:rPr>
        <w:t>el</w:t>
      </w:r>
      <w:r>
        <w:rPr>
          <w:color w:val="231F20"/>
          <w:spacing w:val="-3"/>
          <w:sz w:val="19"/>
        </w:rPr>
        <w:t> </w:t>
      </w:r>
      <w:r>
        <w:rPr>
          <w:color w:val="231F20"/>
          <w:sz w:val="19"/>
        </w:rPr>
        <w:t>rendimiento</w:t>
      </w:r>
      <w:r>
        <w:rPr>
          <w:color w:val="231F20"/>
          <w:spacing w:val="-3"/>
          <w:sz w:val="19"/>
        </w:rPr>
        <w:t> </w:t>
      </w:r>
      <w:r>
        <w:rPr>
          <w:color w:val="231F20"/>
          <w:sz w:val="19"/>
        </w:rPr>
        <w:t>de</w:t>
      </w:r>
      <w:r>
        <w:rPr>
          <w:color w:val="231F20"/>
          <w:spacing w:val="-3"/>
          <w:sz w:val="19"/>
        </w:rPr>
        <w:t> </w:t>
      </w:r>
      <w:r>
        <w:rPr>
          <w:color w:val="231F20"/>
          <w:sz w:val="19"/>
        </w:rPr>
        <w:t>ciruela</w:t>
      </w:r>
      <w:r>
        <w:rPr>
          <w:color w:val="231F20"/>
          <w:spacing w:val="-3"/>
          <w:sz w:val="19"/>
        </w:rPr>
        <w:t> </w:t>
      </w:r>
      <w:r>
        <w:rPr>
          <w:color w:val="231F20"/>
          <w:sz w:val="19"/>
        </w:rPr>
        <w:t>mexicana</w:t>
      </w:r>
      <w:r>
        <w:rPr>
          <w:color w:val="231F20"/>
          <w:spacing w:val="-3"/>
          <w:sz w:val="19"/>
        </w:rPr>
        <w:t> </w:t>
      </w:r>
      <w:r>
        <w:rPr>
          <w:color w:val="231F20"/>
          <w:sz w:val="19"/>
        </w:rPr>
        <w:t>en</w:t>
      </w:r>
      <w:r>
        <w:rPr>
          <w:color w:val="231F20"/>
          <w:spacing w:val="-3"/>
          <w:sz w:val="19"/>
        </w:rPr>
        <w:t> </w:t>
      </w:r>
      <w:r>
        <w:rPr>
          <w:color w:val="231F20"/>
          <w:sz w:val="19"/>
        </w:rPr>
        <w:t>Sinaloa.</w:t>
      </w:r>
      <w:r>
        <w:rPr>
          <w:color w:val="231F20"/>
          <w:spacing w:val="-3"/>
          <w:sz w:val="19"/>
        </w:rPr>
        <w:t> </w:t>
      </w:r>
      <w:r>
        <w:rPr>
          <w:color w:val="231F20"/>
          <w:sz w:val="19"/>
        </w:rPr>
        <w:t>Memorias</w:t>
      </w:r>
      <w:r>
        <w:rPr>
          <w:color w:val="231F20"/>
          <w:spacing w:val="-3"/>
          <w:sz w:val="19"/>
        </w:rPr>
        <w:t> </w:t>
      </w:r>
      <w:r>
        <w:rPr>
          <w:color w:val="231F20"/>
          <w:sz w:val="19"/>
        </w:rPr>
        <w:t>del</w:t>
      </w:r>
      <w:r>
        <w:rPr>
          <w:color w:val="231F20"/>
          <w:spacing w:val="-3"/>
          <w:sz w:val="19"/>
        </w:rPr>
        <w:t> </w:t>
      </w:r>
      <w:r>
        <w:rPr>
          <w:color w:val="231F20"/>
          <w:sz w:val="19"/>
        </w:rPr>
        <w:t>Simposium</w:t>
      </w:r>
      <w:r>
        <w:rPr>
          <w:color w:val="231F20"/>
          <w:spacing w:val="-3"/>
          <w:sz w:val="19"/>
        </w:rPr>
        <w:t> </w:t>
      </w:r>
      <w:r>
        <w:rPr>
          <w:color w:val="231F20"/>
          <w:sz w:val="19"/>
        </w:rPr>
        <w:t>“La</w:t>
      </w:r>
      <w:r>
        <w:rPr>
          <w:color w:val="231F20"/>
          <w:spacing w:val="-3"/>
          <w:sz w:val="19"/>
        </w:rPr>
        <w:t> </w:t>
      </w:r>
      <w:r>
        <w:rPr>
          <w:color w:val="231F20"/>
          <w:sz w:val="19"/>
        </w:rPr>
        <w:t>inves-</w:t>
      </w:r>
    </w:p>
    <w:p>
      <w:pPr>
        <w:spacing w:after="0" w:line="249" w:lineRule="auto"/>
        <w:jc w:val="both"/>
        <w:rPr>
          <w:sz w:val="19"/>
        </w:rPr>
        <w:sectPr>
          <w:pgSz w:w="10920" w:h="13080"/>
          <w:pgMar w:header="0" w:footer="965" w:top="420" w:bottom="1220" w:left="0" w:right="0"/>
        </w:sectPr>
      </w:pPr>
    </w:p>
    <w:p>
      <w:pPr>
        <w:pStyle w:val="BodyText"/>
        <w:rPr>
          <w:sz w:val="20"/>
        </w:rPr>
      </w:pPr>
    </w:p>
    <w:p>
      <w:pPr>
        <w:pStyle w:val="BodyText"/>
        <w:rPr>
          <w:sz w:val="20"/>
        </w:rPr>
      </w:pPr>
    </w:p>
    <w:p>
      <w:pPr>
        <w:pStyle w:val="BodyText"/>
        <w:spacing w:before="2"/>
        <w:rPr>
          <w:sz w:val="23"/>
        </w:rPr>
      </w:pPr>
    </w:p>
    <w:p>
      <w:pPr>
        <w:spacing w:line="249" w:lineRule="auto" w:before="76"/>
        <w:ind w:left="1270" w:right="1267" w:firstLine="0"/>
        <w:jc w:val="both"/>
        <w:rPr>
          <w:sz w:val="19"/>
        </w:rPr>
      </w:pPr>
      <w:r>
        <w:rPr>
          <w:color w:val="231F20"/>
          <w:sz w:val="19"/>
        </w:rPr>
        <w:t>tigación, el desarrollo experimental y la docencia en </w:t>
      </w:r>
      <w:r>
        <w:rPr>
          <w:color w:val="231F20"/>
          <w:spacing w:val="-3"/>
          <w:sz w:val="19"/>
        </w:rPr>
        <w:t>CONAFRUT. </w:t>
      </w:r>
      <w:r>
        <w:rPr>
          <w:color w:val="231F20"/>
          <w:spacing w:val="-7"/>
          <w:sz w:val="19"/>
        </w:rPr>
        <w:t>Vol. </w:t>
      </w:r>
      <w:r>
        <w:rPr>
          <w:color w:val="231F20"/>
          <w:sz w:val="19"/>
        </w:rPr>
        <w:t>3. </w:t>
      </w:r>
      <w:r>
        <w:rPr>
          <w:color w:val="231F20"/>
          <w:spacing w:val="-3"/>
          <w:sz w:val="19"/>
        </w:rPr>
        <w:t>CONAFRUT-SARH. </w:t>
      </w:r>
      <w:r>
        <w:rPr>
          <w:color w:val="231F20"/>
          <w:sz w:val="19"/>
        </w:rPr>
        <w:t>México, D. </w:t>
      </w:r>
      <w:r>
        <w:rPr>
          <w:color w:val="231F20"/>
          <w:spacing w:val="-9"/>
          <w:sz w:val="19"/>
        </w:rPr>
        <w:t>F. </w:t>
      </w:r>
      <w:r>
        <w:rPr>
          <w:color w:val="231F20"/>
          <w:sz w:val="19"/>
        </w:rPr>
        <w:t>pp. 867-874.</w:t>
      </w:r>
    </w:p>
    <w:p>
      <w:pPr>
        <w:pStyle w:val="BodyText"/>
        <w:spacing w:before="10"/>
        <w:rPr>
          <w:sz w:val="19"/>
        </w:rPr>
      </w:pPr>
    </w:p>
    <w:p>
      <w:pPr>
        <w:spacing w:line="249" w:lineRule="auto" w:before="0"/>
        <w:ind w:left="1270" w:right="1268" w:firstLine="0"/>
        <w:jc w:val="both"/>
        <w:rPr>
          <w:sz w:val="19"/>
        </w:rPr>
      </w:pPr>
      <w:r>
        <w:rPr>
          <w:color w:val="231F20"/>
          <w:sz w:val="19"/>
        </w:rPr>
        <w:t>Miller, A., and B. Schaal. 2005. Domestication of a Mesoamerican cultivated fruit tree, Spondias purpurea. Proceedings of the National Academy of Sciences of the United States of America 102:12801-12806.</w:t>
      </w:r>
    </w:p>
    <w:p>
      <w:pPr>
        <w:pStyle w:val="BodyText"/>
        <w:spacing w:before="10"/>
        <w:rPr>
          <w:sz w:val="19"/>
        </w:rPr>
      </w:pPr>
    </w:p>
    <w:p>
      <w:pPr>
        <w:spacing w:line="249" w:lineRule="auto" w:before="0"/>
        <w:ind w:left="1270" w:right="1267" w:firstLine="0"/>
        <w:jc w:val="both"/>
        <w:rPr>
          <w:sz w:val="19"/>
        </w:rPr>
      </w:pPr>
      <w:r>
        <w:rPr>
          <w:color w:val="231F20"/>
          <w:sz w:val="19"/>
        </w:rPr>
        <w:t>Miller, A.J., and B.A. Schaal. 2006. Domestication and the distribution of genetic variation in wild and culti- vated populations of the Mesoamerican fruit tree </w:t>
      </w:r>
      <w:r>
        <w:rPr>
          <w:i/>
          <w:color w:val="231F20"/>
          <w:sz w:val="19"/>
        </w:rPr>
        <w:t>Spondias purpurea </w:t>
      </w:r>
      <w:r>
        <w:rPr>
          <w:color w:val="231F20"/>
          <w:sz w:val="19"/>
        </w:rPr>
        <w:t>L. (Anacardiaceae). Molecular Ecology 15:1467-1480.</w:t>
      </w:r>
    </w:p>
    <w:p>
      <w:pPr>
        <w:pStyle w:val="BodyText"/>
        <w:spacing w:before="10"/>
        <w:rPr>
          <w:sz w:val="19"/>
        </w:rPr>
      </w:pPr>
    </w:p>
    <w:p>
      <w:pPr>
        <w:spacing w:before="0"/>
        <w:ind w:left="1270" w:right="0" w:firstLine="0"/>
        <w:jc w:val="both"/>
        <w:rPr>
          <w:sz w:val="19"/>
        </w:rPr>
      </w:pPr>
      <w:r>
        <w:rPr>
          <w:color w:val="231F20"/>
          <w:sz w:val="19"/>
        </w:rPr>
        <w:t>Olmedo, V. V.  M. 1992. Caracterización y distribución del germoplasma de ciruela mexicana (</w:t>
      </w:r>
      <w:r>
        <w:rPr>
          <w:i/>
          <w:color w:val="231F20"/>
          <w:sz w:val="19"/>
        </w:rPr>
        <w:t>Spondias  </w:t>
      </w:r>
      <w:r>
        <w:rPr>
          <w:color w:val="231F20"/>
          <w:sz w:val="19"/>
        </w:rPr>
        <w:t>spp.)</w:t>
      </w:r>
    </w:p>
    <w:p>
      <w:pPr>
        <w:spacing w:before="9"/>
        <w:ind w:left="1270" w:right="0" w:firstLine="0"/>
        <w:jc w:val="both"/>
        <w:rPr>
          <w:sz w:val="19"/>
        </w:rPr>
      </w:pPr>
      <w:r>
        <w:rPr>
          <w:color w:val="231F20"/>
          <w:sz w:val="19"/>
        </w:rPr>
        <w:t>en el estado de Morelos. Tesis profesional. Universidad Autónoma Chapingo. Chapingo, Méx.</w:t>
      </w:r>
    </w:p>
    <w:p>
      <w:pPr>
        <w:pStyle w:val="BodyText"/>
        <w:spacing w:before="7"/>
        <w:rPr>
          <w:sz w:val="20"/>
        </w:rPr>
      </w:pPr>
    </w:p>
    <w:p>
      <w:pPr>
        <w:spacing w:line="249" w:lineRule="auto" w:before="0"/>
        <w:ind w:left="1270" w:right="1268" w:firstLine="0"/>
        <w:jc w:val="both"/>
        <w:rPr>
          <w:sz w:val="19"/>
        </w:rPr>
      </w:pPr>
      <w:r>
        <w:rPr>
          <w:color w:val="231F20"/>
          <w:sz w:val="19"/>
        </w:rPr>
        <w:t>Ramírez</w:t>
      </w:r>
      <w:r>
        <w:rPr>
          <w:color w:val="231F20"/>
          <w:spacing w:val="-5"/>
          <w:sz w:val="19"/>
        </w:rPr>
        <w:t> </w:t>
      </w:r>
      <w:r>
        <w:rPr>
          <w:color w:val="231F20"/>
          <w:sz w:val="19"/>
        </w:rPr>
        <w:t>Hernández,</w:t>
      </w:r>
      <w:r>
        <w:rPr>
          <w:color w:val="231F20"/>
          <w:spacing w:val="-5"/>
          <w:sz w:val="19"/>
        </w:rPr>
        <w:t> </w:t>
      </w:r>
      <w:r>
        <w:rPr>
          <w:color w:val="231F20"/>
          <w:sz w:val="19"/>
        </w:rPr>
        <w:t>B.C.,</w:t>
      </w:r>
      <w:r>
        <w:rPr>
          <w:color w:val="231F20"/>
          <w:spacing w:val="-5"/>
          <w:sz w:val="19"/>
        </w:rPr>
        <w:t> </w:t>
      </w:r>
      <w:r>
        <w:rPr>
          <w:color w:val="231F20"/>
          <w:spacing w:val="-11"/>
          <w:sz w:val="19"/>
        </w:rPr>
        <w:t>P.</w:t>
      </w:r>
      <w:r>
        <w:rPr>
          <w:color w:val="231F20"/>
          <w:spacing w:val="-5"/>
          <w:sz w:val="19"/>
        </w:rPr>
        <w:t> </w:t>
      </w:r>
      <w:r>
        <w:rPr>
          <w:color w:val="231F20"/>
          <w:sz w:val="19"/>
        </w:rPr>
        <w:t>Barrios</w:t>
      </w:r>
      <w:r>
        <w:rPr>
          <w:color w:val="231F20"/>
          <w:spacing w:val="-5"/>
          <w:sz w:val="19"/>
        </w:rPr>
        <w:t> </w:t>
      </w:r>
      <w:r>
        <w:rPr>
          <w:color w:val="231F20"/>
          <w:sz w:val="19"/>
        </w:rPr>
        <w:t>Eulogio,</w:t>
      </w:r>
      <w:r>
        <w:rPr>
          <w:color w:val="231F20"/>
          <w:spacing w:val="-5"/>
          <w:sz w:val="19"/>
        </w:rPr>
        <w:t> </w:t>
      </w:r>
      <w:r>
        <w:rPr>
          <w:color w:val="231F20"/>
          <w:sz w:val="19"/>
        </w:rPr>
        <w:t>J.Z.</w:t>
      </w:r>
      <w:r>
        <w:rPr>
          <w:color w:val="231F20"/>
          <w:spacing w:val="-5"/>
          <w:sz w:val="19"/>
        </w:rPr>
        <w:t> </w:t>
      </w:r>
      <w:r>
        <w:rPr>
          <w:color w:val="231F20"/>
          <w:sz w:val="19"/>
        </w:rPr>
        <w:t>Castellanos</w:t>
      </w:r>
      <w:r>
        <w:rPr>
          <w:color w:val="231F20"/>
          <w:spacing w:val="-5"/>
          <w:sz w:val="19"/>
        </w:rPr>
        <w:t> </w:t>
      </w:r>
      <w:r>
        <w:rPr>
          <w:color w:val="231F20"/>
          <w:sz w:val="19"/>
        </w:rPr>
        <w:t>Ramos,</w:t>
      </w:r>
      <w:r>
        <w:rPr>
          <w:color w:val="231F20"/>
          <w:spacing w:val="-15"/>
          <w:sz w:val="19"/>
        </w:rPr>
        <w:t> </w:t>
      </w:r>
      <w:r>
        <w:rPr>
          <w:color w:val="231F20"/>
          <w:sz w:val="19"/>
        </w:rPr>
        <w:t>A.</w:t>
      </w:r>
      <w:r>
        <w:rPr>
          <w:color w:val="231F20"/>
          <w:spacing w:val="-5"/>
          <w:sz w:val="19"/>
        </w:rPr>
        <w:t> </w:t>
      </w:r>
      <w:r>
        <w:rPr>
          <w:color w:val="231F20"/>
          <w:sz w:val="19"/>
        </w:rPr>
        <w:t>Muñoz</w:t>
      </w:r>
      <w:r>
        <w:rPr>
          <w:color w:val="231F20"/>
          <w:spacing w:val="-5"/>
          <w:sz w:val="19"/>
        </w:rPr>
        <w:t> </w:t>
      </w:r>
      <w:r>
        <w:rPr>
          <w:color w:val="231F20"/>
          <w:sz w:val="19"/>
        </w:rPr>
        <w:t>Urias,</w:t>
      </w:r>
      <w:r>
        <w:rPr>
          <w:color w:val="231F20"/>
          <w:spacing w:val="-5"/>
          <w:sz w:val="19"/>
        </w:rPr>
        <w:t> </w:t>
      </w:r>
      <w:r>
        <w:rPr>
          <w:color w:val="231F20"/>
          <w:sz w:val="19"/>
        </w:rPr>
        <w:t>G.</w:t>
      </w:r>
      <w:r>
        <w:rPr>
          <w:color w:val="231F20"/>
          <w:spacing w:val="-5"/>
          <w:sz w:val="19"/>
        </w:rPr>
        <w:t> </w:t>
      </w:r>
      <w:r>
        <w:rPr>
          <w:color w:val="231F20"/>
          <w:sz w:val="19"/>
        </w:rPr>
        <w:t>Palomino</w:t>
      </w:r>
      <w:r>
        <w:rPr>
          <w:color w:val="231F20"/>
          <w:spacing w:val="-5"/>
          <w:sz w:val="19"/>
        </w:rPr>
        <w:t> </w:t>
      </w:r>
      <w:r>
        <w:rPr>
          <w:color w:val="231F20"/>
          <w:sz w:val="19"/>
        </w:rPr>
        <w:t>Hasbach, andE. Pimienta Barrios. 2008. Sistemas de producción de Spondias purpurea (Anacardiaceae) en el centro- occidente de México. Revista de Biología Tropical</w:t>
      </w:r>
      <w:r>
        <w:rPr>
          <w:color w:val="231F20"/>
          <w:spacing w:val="-11"/>
          <w:sz w:val="19"/>
        </w:rPr>
        <w:t> </w:t>
      </w:r>
      <w:r>
        <w:rPr>
          <w:color w:val="231F20"/>
          <w:sz w:val="19"/>
        </w:rPr>
        <w:t>56:675-687.</w:t>
      </w:r>
    </w:p>
    <w:p>
      <w:pPr>
        <w:pStyle w:val="BodyText"/>
        <w:spacing w:before="10"/>
        <w:rPr>
          <w:sz w:val="19"/>
        </w:rPr>
      </w:pPr>
    </w:p>
    <w:p>
      <w:pPr>
        <w:spacing w:line="273" w:lineRule="auto" w:before="0"/>
        <w:ind w:left="1270" w:right="1268" w:firstLine="0"/>
        <w:jc w:val="both"/>
        <w:rPr>
          <w:sz w:val="19"/>
        </w:rPr>
      </w:pPr>
      <w:r>
        <w:rPr>
          <w:color w:val="231F20"/>
          <w:sz w:val="19"/>
        </w:rPr>
        <w:t>Ruenes-Morales, M.R., A. Casas, J.J. Jiménez-Osornio, andJ. Caballero. 2010. Etnobotánica de </w:t>
      </w:r>
      <w:r>
        <w:rPr>
          <w:i/>
          <w:color w:val="231F20"/>
          <w:sz w:val="19"/>
        </w:rPr>
        <w:t>Spondias pur- </w:t>
      </w:r>
      <w:r>
        <w:rPr>
          <w:i/>
          <w:color w:val="231F20"/>
          <w:sz w:val="19"/>
        </w:rPr>
        <w:t>purea </w:t>
      </w:r>
      <w:r>
        <w:rPr>
          <w:color w:val="231F20"/>
          <w:sz w:val="19"/>
        </w:rPr>
        <w:t>L. (Anacardiaceae) en la península de Yucatán. Interciencia 35:247-254.</w:t>
      </w:r>
    </w:p>
    <w:p>
      <w:pPr>
        <w:spacing w:after="0" w:line="273" w:lineRule="auto"/>
        <w:jc w:val="both"/>
        <w:rPr>
          <w:sz w:val="19"/>
        </w:rPr>
        <w:sectPr>
          <w:pgSz w:w="10920" w:h="13080"/>
          <w:pgMar w:header="0" w:footer="965" w:top="420" w:bottom="1220" w:left="0" w:right="0"/>
        </w:sectPr>
      </w:pPr>
    </w:p>
    <w:p>
      <w:pPr>
        <w:pStyle w:val="BodyText"/>
        <w:rPr>
          <w:sz w:val="20"/>
        </w:rPr>
      </w:pPr>
    </w:p>
    <w:p>
      <w:pPr>
        <w:pStyle w:val="BodyText"/>
        <w:rPr>
          <w:sz w:val="20"/>
        </w:rPr>
      </w:pPr>
    </w:p>
    <w:p>
      <w:pPr>
        <w:pStyle w:val="BodyText"/>
        <w:spacing w:before="6"/>
        <w:rPr>
          <w:sz w:val="23"/>
        </w:rPr>
      </w:pPr>
    </w:p>
    <w:p>
      <w:pPr>
        <w:spacing w:before="69"/>
        <w:ind w:left="1489" w:right="1489" w:firstLine="0"/>
        <w:jc w:val="center"/>
        <w:rPr>
          <w:rFonts w:ascii="Trebuchet MS" w:hAnsi="Trebuchet MS"/>
          <w:i/>
          <w:sz w:val="24"/>
        </w:rPr>
      </w:pPr>
      <w:bookmarkStart w:name="_TOC_250003" w:id="8"/>
      <w:bookmarkEnd w:id="8"/>
      <w:r>
        <w:rPr>
          <w:rFonts w:ascii="Trebuchet MS" w:hAnsi="Trebuchet MS"/>
          <w:i/>
          <w:color w:val="010202"/>
          <w:sz w:val="24"/>
        </w:rPr>
        <w:t>José Antonio Hernández Soto</w:t>
      </w: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spacing w:before="1"/>
        <w:rPr>
          <w:rFonts w:ascii="Trebuchet MS"/>
          <w:i/>
          <w:sz w:val="19"/>
        </w:rPr>
      </w:pPr>
    </w:p>
    <w:p>
      <w:pPr>
        <w:spacing w:before="0"/>
        <w:ind w:left="1489" w:right="1489" w:firstLine="0"/>
        <w:jc w:val="center"/>
        <w:rPr>
          <w:rFonts w:ascii="Trebuchet MS" w:hAnsi="Trebuchet MS"/>
          <w:b/>
          <w:sz w:val="36"/>
        </w:rPr>
      </w:pPr>
      <w:r>
        <w:rPr>
          <w:rFonts w:ascii="Trebuchet MS" w:hAnsi="Trebuchet MS"/>
          <w:b/>
          <w:color w:val="010202"/>
          <w:sz w:val="36"/>
        </w:rPr>
        <w:t>SITUACIÓN ACTUAL Y </w:t>
      </w:r>
      <w:r>
        <w:rPr>
          <w:rFonts w:ascii="Trebuchet MS" w:hAnsi="Trebuchet MS"/>
          <w:b/>
          <w:color w:val="010202"/>
          <w:spacing w:val="-3"/>
          <w:sz w:val="36"/>
        </w:rPr>
        <w:t>PERSPECTIVA</w:t>
      </w:r>
      <w:r>
        <w:rPr>
          <w:rFonts w:ascii="Trebuchet MS" w:hAnsi="Trebuchet MS"/>
          <w:b/>
          <w:color w:val="010202"/>
          <w:spacing w:val="-74"/>
          <w:sz w:val="36"/>
        </w:rPr>
        <w:t> </w:t>
      </w:r>
      <w:r>
        <w:rPr>
          <w:rFonts w:ascii="Trebuchet MS" w:hAnsi="Trebuchet MS"/>
          <w:b/>
          <w:color w:val="010202"/>
          <w:sz w:val="36"/>
        </w:rPr>
        <w:t>DE</w:t>
      </w:r>
    </w:p>
    <w:p>
      <w:pPr>
        <w:spacing w:line="247" w:lineRule="auto" w:before="14"/>
        <w:ind w:left="1707" w:right="1706" w:firstLine="0"/>
        <w:jc w:val="center"/>
        <w:rPr>
          <w:rFonts w:ascii="Trebuchet MS" w:hAnsi="Trebuchet MS"/>
          <w:b/>
          <w:sz w:val="36"/>
        </w:rPr>
      </w:pPr>
      <w:r>
        <w:rPr>
          <w:rFonts w:ascii="Trebuchet MS" w:hAnsi="Trebuchet MS"/>
          <w:b/>
          <w:color w:val="010202"/>
          <w:sz w:val="36"/>
        </w:rPr>
        <w:t>LA CHIRIMOYA (</w:t>
      </w:r>
      <w:r>
        <w:rPr>
          <w:rFonts w:ascii="Trebuchet MS" w:hAnsi="Trebuchet MS"/>
          <w:b/>
          <w:i/>
          <w:color w:val="010202"/>
          <w:sz w:val="36"/>
        </w:rPr>
        <w:t>Annona Cherimola </w:t>
      </w:r>
      <w:r>
        <w:rPr>
          <w:rFonts w:ascii="Trebuchet MS" w:hAnsi="Trebuchet MS"/>
          <w:b/>
          <w:color w:val="010202"/>
          <w:sz w:val="36"/>
        </w:rPr>
        <w:t>Mill.) COMO RECURSO FITOGENÉTICO EN MORELOS</w:t>
      </w:r>
    </w:p>
    <w:p>
      <w:pPr>
        <w:pStyle w:val="BodyText"/>
        <w:rPr>
          <w:rFonts w:ascii="Trebuchet MS"/>
          <w:b/>
          <w:sz w:val="36"/>
        </w:rPr>
      </w:pPr>
    </w:p>
    <w:p>
      <w:pPr>
        <w:pStyle w:val="BodyText"/>
        <w:rPr>
          <w:rFonts w:ascii="Trebuchet MS"/>
          <w:b/>
          <w:sz w:val="36"/>
        </w:rPr>
      </w:pPr>
    </w:p>
    <w:p>
      <w:pPr>
        <w:pStyle w:val="BodyText"/>
        <w:spacing w:before="2"/>
        <w:rPr>
          <w:rFonts w:ascii="Trebuchet MS"/>
          <w:b/>
          <w:sz w:val="33"/>
        </w:rPr>
      </w:pPr>
    </w:p>
    <w:p>
      <w:pPr>
        <w:pStyle w:val="Heading3"/>
      </w:pPr>
      <w:r>
        <w:rPr>
          <w:color w:val="010202"/>
        </w:rPr>
        <w:t>Introducción</w:t>
      </w:r>
    </w:p>
    <w:p>
      <w:pPr>
        <w:pStyle w:val="BodyText"/>
        <w:spacing w:before="10"/>
        <w:rPr>
          <w:b/>
        </w:rPr>
      </w:pPr>
    </w:p>
    <w:p>
      <w:pPr>
        <w:pStyle w:val="BodyText"/>
        <w:spacing w:line="247" w:lineRule="auto"/>
        <w:ind w:left="1270" w:right="1267"/>
        <w:jc w:val="both"/>
      </w:pPr>
      <w:r>
        <w:rPr>
          <w:color w:val="231F20"/>
        </w:rPr>
        <w:t>México es uno de los centros de domesticación de plantas que existe en el mundo y actualmente  sus campesinos y agricultores seleccionan y transforman lentamente algunas especies, dando como resultado nuevas formas de recursos fitogenéticos. Aunque esta incesante domesticación de plantas representa una contribución para la biodiversidad nacional, al igual que en otras partes del mundo, muchas especies que en épocas anteriores fueron importantes, ahora se encuentran subutilizadas como consecuencia de falta de competitividad frente a otras de mayor demanda en el mercado na- cional e</w:t>
      </w:r>
      <w:r>
        <w:rPr>
          <w:color w:val="231F20"/>
          <w:spacing w:val="-1"/>
        </w:rPr>
        <w:t> </w:t>
      </w:r>
      <w:r>
        <w:rPr>
          <w:color w:val="231F20"/>
        </w:rPr>
        <w:t>internacional.</w:t>
      </w:r>
    </w:p>
    <w:p>
      <w:pPr>
        <w:pStyle w:val="BodyText"/>
        <w:spacing w:before="10"/>
      </w:pPr>
    </w:p>
    <w:p>
      <w:pPr>
        <w:pStyle w:val="BodyText"/>
        <w:spacing w:line="247" w:lineRule="auto"/>
        <w:ind w:left="1270" w:right="1268"/>
        <w:jc w:val="both"/>
      </w:pPr>
      <w:r>
        <w:rPr>
          <w:color w:val="231F20"/>
        </w:rPr>
        <w:t>Los</w:t>
      </w:r>
      <w:r>
        <w:rPr>
          <w:color w:val="231F20"/>
          <w:spacing w:val="-24"/>
        </w:rPr>
        <w:t> </w:t>
      </w:r>
      <w:r>
        <w:rPr>
          <w:color w:val="231F20"/>
        </w:rPr>
        <w:t>recursos</w:t>
      </w:r>
      <w:r>
        <w:rPr>
          <w:color w:val="231F20"/>
          <w:spacing w:val="-24"/>
        </w:rPr>
        <w:t> </w:t>
      </w:r>
      <w:r>
        <w:rPr>
          <w:color w:val="231F20"/>
        </w:rPr>
        <w:t>fitogenéticos</w:t>
      </w:r>
      <w:r>
        <w:rPr>
          <w:color w:val="231F20"/>
          <w:spacing w:val="-24"/>
        </w:rPr>
        <w:t> </w:t>
      </w:r>
      <w:r>
        <w:rPr>
          <w:color w:val="231F20"/>
        </w:rPr>
        <w:t>son</w:t>
      </w:r>
      <w:r>
        <w:rPr>
          <w:color w:val="231F20"/>
          <w:spacing w:val="-24"/>
        </w:rPr>
        <w:t> </w:t>
      </w:r>
      <w:r>
        <w:rPr>
          <w:color w:val="231F20"/>
        </w:rPr>
        <w:t>materiales</w:t>
      </w:r>
      <w:r>
        <w:rPr>
          <w:color w:val="231F20"/>
          <w:spacing w:val="-24"/>
        </w:rPr>
        <w:t> </w:t>
      </w:r>
      <w:r>
        <w:rPr>
          <w:color w:val="231F20"/>
        </w:rPr>
        <w:t>que</w:t>
      </w:r>
      <w:r>
        <w:rPr>
          <w:color w:val="231F20"/>
          <w:spacing w:val="-24"/>
        </w:rPr>
        <w:t> </w:t>
      </w:r>
      <w:r>
        <w:rPr>
          <w:color w:val="231F20"/>
        </w:rPr>
        <w:t>pueden</w:t>
      </w:r>
      <w:r>
        <w:rPr>
          <w:color w:val="231F20"/>
          <w:spacing w:val="-24"/>
        </w:rPr>
        <w:t> </w:t>
      </w:r>
      <w:r>
        <w:rPr>
          <w:color w:val="231F20"/>
        </w:rPr>
        <w:t>ser</w:t>
      </w:r>
      <w:r>
        <w:rPr>
          <w:color w:val="231F20"/>
          <w:spacing w:val="-24"/>
        </w:rPr>
        <w:t> </w:t>
      </w:r>
      <w:r>
        <w:rPr>
          <w:color w:val="231F20"/>
        </w:rPr>
        <w:t>utilizados</w:t>
      </w:r>
      <w:r>
        <w:rPr>
          <w:color w:val="231F20"/>
          <w:spacing w:val="-24"/>
        </w:rPr>
        <w:t> </w:t>
      </w:r>
      <w:r>
        <w:rPr>
          <w:color w:val="231F20"/>
        </w:rPr>
        <w:t>en</w:t>
      </w:r>
      <w:r>
        <w:rPr>
          <w:color w:val="231F20"/>
          <w:spacing w:val="-24"/>
        </w:rPr>
        <w:t> </w:t>
      </w:r>
      <w:r>
        <w:rPr>
          <w:color w:val="231F20"/>
        </w:rPr>
        <w:t>programas</w:t>
      </w:r>
      <w:r>
        <w:rPr>
          <w:color w:val="231F20"/>
          <w:spacing w:val="-24"/>
        </w:rPr>
        <w:t> </w:t>
      </w:r>
      <w:r>
        <w:rPr>
          <w:color w:val="231F20"/>
        </w:rPr>
        <w:t>de</w:t>
      </w:r>
      <w:r>
        <w:rPr>
          <w:color w:val="231F20"/>
          <w:spacing w:val="-24"/>
        </w:rPr>
        <w:t> </w:t>
      </w:r>
      <w:r>
        <w:rPr>
          <w:color w:val="231F20"/>
        </w:rPr>
        <w:t>mejoramiento</w:t>
      </w:r>
      <w:r>
        <w:rPr>
          <w:color w:val="231F20"/>
          <w:spacing w:val="-24"/>
        </w:rPr>
        <w:t> </w:t>
      </w:r>
      <w:r>
        <w:rPr>
          <w:color w:val="231F20"/>
          <w:spacing w:val="-2"/>
        </w:rPr>
        <w:t>que </w:t>
      </w:r>
      <w:r>
        <w:rPr>
          <w:color w:val="231F20"/>
        </w:rPr>
        <w:t>se</w:t>
      </w:r>
      <w:r>
        <w:rPr>
          <w:color w:val="231F20"/>
          <w:spacing w:val="-14"/>
        </w:rPr>
        <w:t> </w:t>
      </w:r>
      <w:r>
        <w:rPr>
          <w:color w:val="231F20"/>
        </w:rPr>
        <w:t>encuentran</w:t>
      </w:r>
      <w:r>
        <w:rPr>
          <w:color w:val="231F20"/>
          <w:spacing w:val="-14"/>
        </w:rPr>
        <w:t> </w:t>
      </w:r>
      <w:r>
        <w:rPr>
          <w:color w:val="231F20"/>
        </w:rPr>
        <w:t>en</w:t>
      </w:r>
      <w:r>
        <w:rPr>
          <w:color w:val="231F20"/>
          <w:spacing w:val="-14"/>
        </w:rPr>
        <w:t> </w:t>
      </w:r>
      <w:r>
        <w:rPr>
          <w:color w:val="231F20"/>
        </w:rPr>
        <w:t>estado</w:t>
      </w:r>
      <w:r>
        <w:rPr>
          <w:color w:val="231F20"/>
          <w:spacing w:val="-14"/>
        </w:rPr>
        <w:t> </w:t>
      </w:r>
      <w:r>
        <w:rPr>
          <w:color w:val="231F20"/>
        </w:rPr>
        <w:t>silvestre,</w:t>
      </w:r>
      <w:r>
        <w:rPr>
          <w:color w:val="231F20"/>
          <w:spacing w:val="-13"/>
        </w:rPr>
        <w:t> </w:t>
      </w:r>
      <w:r>
        <w:rPr>
          <w:color w:val="231F20"/>
        </w:rPr>
        <w:t>material</w:t>
      </w:r>
      <w:r>
        <w:rPr>
          <w:color w:val="231F20"/>
          <w:spacing w:val="-14"/>
        </w:rPr>
        <w:t> </w:t>
      </w:r>
      <w:r>
        <w:rPr>
          <w:color w:val="231F20"/>
        </w:rPr>
        <w:t>primitivo</w:t>
      </w:r>
      <w:r>
        <w:rPr>
          <w:color w:val="231F20"/>
          <w:spacing w:val="-14"/>
        </w:rPr>
        <w:t> </w:t>
      </w:r>
      <w:r>
        <w:rPr>
          <w:color w:val="231F20"/>
        </w:rPr>
        <w:t>cultivado</w:t>
      </w:r>
      <w:r>
        <w:rPr>
          <w:color w:val="231F20"/>
          <w:spacing w:val="-14"/>
        </w:rPr>
        <w:t> </w:t>
      </w:r>
      <w:r>
        <w:rPr>
          <w:color w:val="231F20"/>
        </w:rPr>
        <w:t>y</w:t>
      </w:r>
      <w:r>
        <w:rPr>
          <w:color w:val="231F20"/>
          <w:spacing w:val="-14"/>
        </w:rPr>
        <w:t> </w:t>
      </w:r>
      <w:r>
        <w:rPr>
          <w:color w:val="231F20"/>
        </w:rPr>
        <w:t>especies</w:t>
      </w:r>
      <w:r>
        <w:rPr>
          <w:color w:val="231F20"/>
          <w:spacing w:val="-14"/>
        </w:rPr>
        <w:t> </w:t>
      </w:r>
      <w:r>
        <w:rPr>
          <w:color w:val="231F20"/>
        </w:rPr>
        <w:t>de</w:t>
      </w:r>
      <w:r>
        <w:rPr>
          <w:color w:val="231F20"/>
          <w:spacing w:val="-14"/>
        </w:rPr>
        <w:t> </w:t>
      </w:r>
      <w:r>
        <w:rPr>
          <w:color w:val="231F20"/>
        </w:rPr>
        <w:t>uso</w:t>
      </w:r>
      <w:r>
        <w:rPr>
          <w:color w:val="231F20"/>
          <w:spacing w:val="-14"/>
        </w:rPr>
        <w:t> </w:t>
      </w:r>
      <w:r>
        <w:rPr>
          <w:color w:val="231F20"/>
        </w:rPr>
        <w:t>local.</w:t>
      </w:r>
      <w:r>
        <w:rPr>
          <w:color w:val="231F20"/>
          <w:spacing w:val="-23"/>
        </w:rPr>
        <w:t> </w:t>
      </w:r>
      <w:r>
        <w:rPr>
          <w:color w:val="231F20"/>
        </w:rPr>
        <w:t>Así,</w:t>
      </w:r>
      <w:r>
        <w:rPr>
          <w:color w:val="231F20"/>
          <w:spacing w:val="-14"/>
        </w:rPr>
        <w:t> </w:t>
      </w:r>
      <w:r>
        <w:rPr>
          <w:color w:val="231F20"/>
        </w:rPr>
        <w:t>un</w:t>
      </w:r>
      <w:r>
        <w:rPr>
          <w:color w:val="231F20"/>
          <w:spacing w:val="-14"/>
        </w:rPr>
        <w:t> </w:t>
      </w:r>
      <w:r>
        <w:rPr>
          <w:color w:val="231F20"/>
        </w:rPr>
        <w:t>recurso genético</w:t>
      </w:r>
      <w:r>
        <w:rPr>
          <w:color w:val="231F20"/>
          <w:spacing w:val="-18"/>
        </w:rPr>
        <w:t> </w:t>
      </w:r>
      <w:r>
        <w:rPr>
          <w:color w:val="231F20"/>
        </w:rPr>
        <w:t>es</w:t>
      </w:r>
      <w:r>
        <w:rPr>
          <w:color w:val="231F20"/>
          <w:spacing w:val="-18"/>
        </w:rPr>
        <w:t> </w:t>
      </w:r>
      <w:r>
        <w:rPr>
          <w:color w:val="231F20"/>
        </w:rPr>
        <w:t>el</w:t>
      </w:r>
      <w:r>
        <w:rPr>
          <w:color w:val="231F20"/>
          <w:spacing w:val="-18"/>
        </w:rPr>
        <w:t> </w:t>
      </w:r>
      <w:r>
        <w:rPr>
          <w:color w:val="231F20"/>
        </w:rPr>
        <w:t>bien</w:t>
      </w:r>
      <w:r>
        <w:rPr>
          <w:color w:val="231F20"/>
          <w:spacing w:val="-18"/>
        </w:rPr>
        <w:t> </w:t>
      </w:r>
      <w:r>
        <w:rPr>
          <w:color w:val="231F20"/>
        </w:rPr>
        <w:t>o</w:t>
      </w:r>
      <w:r>
        <w:rPr>
          <w:color w:val="231F20"/>
          <w:spacing w:val="-18"/>
        </w:rPr>
        <w:t> </w:t>
      </w:r>
      <w:r>
        <w:rPr>
          <w:color w:val="231F20"/>
        </w:rPr>
        <w:t>medio</w:t>
      </w:r>
      <w:r>
        <w:rPr>
          <w:color w:val="231F20"/>
          <w:spacing w:val="-18"/>
        </w:rPr>
        <w:t> </w:t>
      </w:r>
      <w:r>
        <w:rPr>
          <w:color w:val="231F20"/>
        </w:rPr>
        <w:t>a</w:t>
      </w:r>
      <w:r>
        <w:rPr>
          <w:color w:val="231F20"/>
          <w:spacing w:val="-18"/>
        </w:rPr>
        <w:t> </w:t>
      </w:r>
      <w:r>
        <w:rPr>
          <w:color w:val="231F20"/>
        </w:rPr>
        <w:t>través</w:t>
      </w:r>
      <w:r>
        <w:rPr>
          <w:color w:val="231F20"/>
          <w:spacing w:val="-19"/>
        </w:rPr>
        <w:t> </w:t>
      </w:r>
      <w:r>
        <w:rPr>
          <w:color w:val="231F20"/>
        </w:rPr>
        <w:t>del</w:t>
      </w:r>
      <w:r>
        <w:rPr>
          <w:color w:val="231F20"/>
          <w:spacing w:val="-18"/>
        </w:rPr>
        <w:t> </w:t>
      </w:r>
      <w:r>
        <w:rPr>
          <w:color w:val="231F20"/>
        </w:rPr>
        <w:t>cual</w:t>
      </w:r>
      <w:r>
        <w:rPr>
          <w:color w:val="231F20"/>
          <w:spacing w:val="-18"/>
        </w:rPr>
        <w:t> </w:t>
      </w:r>
      <w:r>
        <w:rPr>
          <w:color w:val="231F20"/>
        </w:rPr>
        <w:t>se</w:t>
      </w:r>
      <w:r>
        <w:rPr>
          <w:color w:val="231F20"/>
          <w:spacing w:val="-18"/>
        </w:rPr>
        <w:t> </w:t>
      </w:r>
      <w:r>
        <w:rPr>
          <w:color w:val="231F20"/>
        </w:rPr>
        <w:t>puede</w:t>
      </w:r>
      <w:r>
        <w:rPr>
          <w:color w:val="231F20"/>
          <w:spacing w:val="-18"/>
        </w:rPr>
        <w:t> </w:t>
      </w:r>
      <w:r>
        <w:rPr>
          <w:color w:val="231F20"/>
        </w:rPr>
        <w:t>mantener</w:t>
      </w:r>
      <w:r>
        <w:rPr>
          <w:color w:val="231F20"/>
          <w:spacing w:val="-19"/>
        </w:rPr>
        <w:t> </w:t>
      </w:r>
      <w:r>
        <w:rPr>
          <w:color w:val="231F20"/>
        </w:rPr>
        <w:t>la</w:t>
      </w:r>
      <w:r>
        <w:rPr>
          <w:color w:val="231F20"/>
          <w:spacing w:val="-18"/>
        </w:rPr>
        <w:t> </w:t>
      </w:r>
      <w:r>
        <w:rPr>
          <w:color w:val="231F20"/>
        </w:rPr>
        <w:t>especie</w:t>
      </w:r>
      <w:r>
        <w:rPr>
          <w:color w:val="231F20"/>
          <w:spacing w:val="-18"/>
        </w:rPr>
        <w:t> </w:t>
      </w:r>
      <w:r>
        <w:rPr>
          <w:color w:val="231F20"/>
        </w:rPr>
        <w:t>con</w:t>
      </w:r>
      <w:r>
        <w:rPr>
          <w:color w:val="231F20"/>
          <w:spacing w:val="-18"/>
        </w:rPr>
        <w:t> </w:t>
      </w:r>
      <w:r>
        <w:rPr>
          <w:color w:val="231F20"/>
        </w:rPr>
        <w:t>características</w:t>
      </w:r>
      <w:r>
        <w:rPr>
          <w:color w:val="231F20"/>
          <w:spacing w:val="-19"/>
        </w:rPr>
        <w:t> </w:t>
      </w:r>
      <w:r>
        <w:rPr>
          <w:color w:val="231F20"/>
        </w:rPr>
        <w:t>deseables y</w:t>
      </w:r>
      <w:r>
        <w:rPr>
          <w:color w:val="231F20"/>
          <w:spacing w:val="-12"/>
        </w:rPr>
        <w:t> </w:t>
      </w:r>
      <w:r>
        <w:rPr>
          <w:color w:val="231F20"/>
        </w:rPr>
        <w:t>generar</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vez,</w:t>
      </w:r>
      <w:r>
        <w:rPr>
          <w:color w:val="231F20"/>
          <w:spacing w:val="-12"/>
        </w:rPr>
        <w:t> </w:t>
      </w:r>
      <w:r>
        <w:rPr>
          <w:color w:val="231F20"/>
        </w:rPr>
        <w:t>nuevas</w:t>
      </w:r>
      <w:r>
        <w:rPr>
          <w:color w:val="231F20"/>
          <w:spacing w:val="-12"/>
        </w:rPr>
        <w:t> </w:t>
      </w:r>
      <w:r>
        <w:rPr>
          <w:color w:val="231F20"/>
        </w:rPr>
        <w:t>variedades</w:t>
      </w:r>
      <w:r>
        <w:rPr>
          <w:color w:val="231F20"/>
          <w:spacing w:val="-12"/>
        </w:rPr>
        <w:t> </w:t>
      </w:r>
      <w:r>
        <w:rPr>
          <w:color w:val="231F20"/>
        </w:rPr>
        <w:t>y</w:t>
      </w:r>
      <w:r>
        <w:rPr>
          <w:color w:val="231F20"/>
          <w:spacing w:val="-12"/>
        </w:rPr>
        <w:t> </w:t>
      </w:r>
      <w:r>
        <w:rPr>
          <w:color w:val="231F20"/>
        </w:rPr>
        <w:t>cultivarse</w:t>
      </w:r>
      <w:r>
        <w:rPr>
          <w:color w:val="231F20"/>
          <w:spacing w:val="-13"/>
        </w:rPr>
        <w:t> </w:t>
      </w:r>
      <w:r>
        <w:rPr>
          <w:color w:val="231F20"/>
        </w:rPr>
        <w:t>con</w:t>
      </w:r>
      <w:r>
        <w:rPr>
          <w:color w:val="231F20"/>
          <w:spacing w:val="-13"/>
        </w:rPr>
        <w:t> </w:t>
      </w:r>
      <w:r>
        <w:rPr>
          <w:color w:val="231F20"/>
        </w:rPr>
        <w:t>cualidades</w:t>
      </w:r>
      <w:r>
        <w:rPr>
          <w:color w:val="231F20"/>
          <w:spacing w:val="-13"/>
        </w:rPr>
        <w:t> </w:t>
      </w:r>
      <w:r>
        <w:rPr>
          <w:color w:val="231F20"/>
        </w:rPr>
        <w:t>distintas</w:t>
      </w:r>
      <w:r>
        <w:rPr>
          <w:color w:val="231F20"/>
          <w:spacing w:val="-12"/>
        </w:rPr>
        <w:t> </w:t>
      </w:r>
      <w:r>
        <w:rPr>
          <w:color w:val="231F20"/>
        </w:rPr>
        <w:t>y</w:t>
      </w:r>
      <w:r>
        <w:rPr>
          <w:color w:val="231F20"/>
          <w:spacing w:val="-12"/>
        </w:rPr>
        <w:t> </w:t>
      </w:r>
      <w:r>
        <w:rPr>
          <w:color w:val="231F20"/>
        </w:rPr>
        <w:t>de</w:t>
      </w:r>
      <w:r>
        <w:rPr>
          <w:color w:val="231F20"/>
          <w:spacing w:val="-12"/>
        </w:rPr>
        <w:t> </w:t>
      </w:r>
      <w:r>
        <w:rPr>
          <w:color w:val="231F20"/>
        </w:rPr>
        <w:t>interés</w:t>
      </w:r>
      <w:r>
        <w:rPr>
          <w:color w:val="231F20"/>
          <w:spacing w:val="-13"/>
        </w:rPr>
        <w:t> </w:t>
      </w:r>
      <w:r>
        <w:rPr>
          <w:color w:val="231F20"/>
        </w:rPr>
        <w:t>al</w:t>
      </w:r>
      <w:r>
        <w:rPr>
          <w:color w:val="231F20"/>
          <w:spacing w:val="-12"/>
        </w:rPr>
        <w:t> </w:t>
      </w:r>
      <w:r>
        <w:rPr>
          <w:color w:val="231F20"/>
        </w:rPr>
        <w:t>hombre.</w:t>
      </w:r>
    </w:p>
    <w:p>
      <w:pPr>
        <w:pStyle w:val="BodyText"/>
        <w:spacing w:before="10"/>
      </w:pPr>
    </w:p>
    <w:p>
      <w:pPr>
        <w:pStyle w:val="BodyText"/>
        <w:spacing w:line="247" w:lineRule="auto"/>
        <w:ind w:left="1270" w:right="1267"/>
        <w:jc w:val="both"/>
      </w:pPr>
      <w:r>
        <w:rPr>
          <w:color w:val="231F20"/>
        </w:rPr>
        <w:t>Se</w:t>
      </w:r>
      <w:r>
        <w:rPr>
          <w:color w:val="231F20"/>
          <w:spacing w:val="-7"/>
        </w:rPr>
        <w:t> </w:t>
      </w:r>
      <w:r>
        <w:rPr>
          <w:color w:val="231F20"/>
        </w:rPr>
        <w:t>llama</w:t>
      </w:r>
      <w:r>
        <w:rPr>
          <w:color w:val="231F20"/>
          <w:spacing w:val="-7"/>
        </w:rPr>
        <w:t> </w:t>
      </w:r>
      <w:r>
        <w:rPr>
          <w:color w:val="231F20"/>
        </w:rPr>
        <w:t>especie</w:t>
      </w:r>
      <w:r>
        <w:rPr>
          <w:color w:val="231F20"/>
          <w:spacing w:val="-7"/>
        </w:rPr>
        <w:t> </w:t>
      </w:r>
      <w:r>
        <w:rPr>
          <w:color w:val="231F20"/>
        </w:rPr>
        <w:t>no</w:t>
      </w:r>
      <w:r>
        <w:rPr>
          <w:color w:val="231F20"/>
          <w:spacing w:val="-7"/>
        </w:rPr>
        <w:t> </w:t>
      </w:r>
      <w:r>
        <w:rPr>
          <w:color w:val="231F20"/>
        </w:rPr>
        <w:t>convencional</w:t>
      </w:r>
      <w:r>
        <w:rPr>
          <w:color w:val="231F20"/>
          <w:spacing w:val="-7"/>
        </w:rPr>
        <w:t> </w:t>
      </w:r>
      <w:r>
        <w:rPr>
          <w:color w:val="231F20"/>
        </w:rPr>
        <w:t>a</w:t>
      </w:r>
      <w:r>
        <w:rPr>
          <w:color w:val="231F20"/>
          <w:spacing w:val="-7"/>
        </w:rPr>
        <w:t> </w:t>
      </w:r>
      <w:r>
        <w:rPr>
          <w:color w:val="231F20"/>
        </w:rPr>
        <w:t>todas</w:t>
      </w:r>
      <w:r>
        <w:rPr>
          <w:color w:val="231F20"/>
          <w:spacing w:val="-7"/>
        </w:rPr>
        <w:t> </w:t>
      </w:r>
      <w:r>
        <w:rPr>
          <w:color w:val="231F20"/>
        </w:rPr>
        <w:t>aquellas</w:t>
      </w:r>
      <w:r>
        <w:rPr>
          <w:color w:val="231F20"/>
          <w:spacing w:val="-7"/>
        </w:rPr>
        <w:t> </w:t>
      </w:r>
      <w:r>
        <w:rPr>
          <w:color w:val="231F20"/>
        </w:rPr>
        <w:t>que</w:t>
      </w:r>
      <w:r>
        <w:rPr>
          <w:color w:val="231F20"/>
          <w:spacing w:val="-7"/>
        </w:rPr>
        <w:t> </w:t>
      </w:r>
      <w:r>
        <w:rPr>
          <w:color w:val="231F20"/>
        </w:rPr>
        <w:t>por</w:t>
      </w:r>
      <w:r>
        <w:rPr>
          <w:color w:val="231F20"/>
          <w:spacing w:val="-7"/>
        </w:rPr>
        <w:t> </w:t>
      </w:r>
      <w:r>
        <w:rPr>
          <w:color w:val="231F20"/>
        </w:rPr>
        <w:t>una</w:t>
      </w:r>
      <w:r>
        <w:rPr>
          <w:color w:val="231F20"/>
          <w:spacing w:val="-7"/>
        </w:rPr>
        <w:t> </w:t>
      </w:r>
      <w:r>
        <w:rPr>
          <w:color w:val="231F20"/>
        </w:rPr>
        <w:t>razón</w:t>
      </w:r>
      <w:r>
        <w:rPr>
          <w:color w:val="231F20"/>
          <w:spacing w:val="-7"/>
        </w:rPr>
        <w:t> </w:t>
      </w:r>
      <w:r>
        <w:rPr>
          <w:color w:val="231F20"/>
        </w:rPr>
        <w:t>u</w:t>
      </w:r>
      <w:r>
        <w:rPr>
          <w:color w:val="231F20"/>
          <w:spacing w:val="-7"/>
        </w:rPr>
        <w:t> </w:t>
      </w:r>
      <w:r>
        <w:rPr>
          <w:color w:val="231F20"/>
        </w:rPr>
        <w:t>otra</w:t>
      </w:r>
      <w:r>
        <w:rPr>
          <w:color w:val="231F20"/>
          <w:spacing w:val="-7"/>
        </w:rPr>
        <w:t> </w:t>
      </w:r>
      <w:r>
        <w:rPr>
          <w:color w:val="231F20"/>
        </w:rPr>
        <w:t>no</w:t>
      </w:r>
      <w:r>
        <w:rPr>
          <w:color w:val="231F20"/>
          <w:spacing w:val="-7"/>
        </w:rPr>
        <w:t> </w:t>
      </w:r>
      <w:r>
        <w:rPr>
          <w:color w:val="231F20"/>
        </w:rPr>
        <w:t>se</w:t>
      </w:r>
      <w:r>
        <w:rPr>
          <w:color w:val="231F20"/>
          <w:spacing w:val="-7"/>
        </w:rPr>
        <w:t> </w:t>
      </w:r>
      <w:r>
        <w:rPr>
          <w:color w:val="231F20"/>
        </w:rPr>
        <w:t>han</w:t>
      </w:r>
      <w:r>
        <w:rPr>
          <w:color w:val="231F20"/>
          <w:spacing w:val="-7"/>
        </w:rPr>
        <w:t> </w:t>
      </w:r>
      <w:r>
        <w:rPr>
          <w:color w:val="231F20"/>
        </w:rPr>
        <w:t>incorporado</w:t>
      </w:r>
      <w:r>
        <w:rPr>
          <w:color w:val="231F20"/>
          <w:spacing w:val="-8"/>
        </w:rPr>
        <w:t> </w:t>
      </w:r>
      <w:r>
        <w:rPr>
          <w:color w:val="231F20"/>
        </w:rPr>
        <w:t>en la</w:t>
      </w:r>
      <w:r>
        <w:rPr>
          <w:color w:val="231F20"/>
          <w:spacing w:val="-9"/>
        </w:rPr>
        <w:t> </w:t>
      </w:r>
      <w:r>
        <w:rPr>
          <w:color w:val="231F20"/>
        </w:rPr>
        <w:t>cadena</w:t>
      </w:r>
      <w:r>
        <w:rPr>
          <w:color w:val="231F20"/>
          <w:spacing w:val="-8"/>
        </w:rPr>
        <w:t> </w:t>
      </w:r>
      <w:r>
        <w:rPr>
          <w:color w:val="231F20"/>
        </w:rPr>
        <w:t>oficial</w:t>
      </w:r>
      <w:r>
        <w:rPr>
          <w:color w:val="231F20"/>
          <w:spacing w:val="-9"/>
        </w:rPr>
        <w:t> </w:t>
      </w:r>
      <w:r>
        <w:rPr>
          <w:color w:val="231F20"/>
        </w:rPr>
        <w:t>de</w:t>
      </w:r>
      <w:r>
        <w:rPr>
          <w:color w:val="231F20"/>
          <w:spacing w:val="-8"/>
        </w:rPr>
        <w:t> </w:t>
      </w:r>
      <w:r>
        <w:rPr>
          <w:color w:val="231F20"/>
        </w:rPr>
        <w:t>producción.</w:t>
      </w:r>
      <w:r>
        <w:rPr>
          <w:color w:val="231F20"/>
          <w:spacing w:val="-8"/>
        </w:rPr>
        <w:t> </w:t>
      </w:r>
      <w:r>
        <w:rPr>
          <w:color w:val="231F20"/>
        </w:rPr>
        <w:t>En</w:t>
      </w:r>
      <w:r>
        <w:rPr>
          <w:color w:val="231F20"/>
          <w:spacing w:val="-9"/>
        </w:rPr>
        <w:t> </w:t>
      </w:r>
      <w:r>
        <w:rPr>
          <w:color w:val="231F20"/>
        </w:rPr>
        <w:t>esta</w:t>
      </w:r>
      <w:r>
        <w:rPr>
          <w:color w:val="231F20"/>
          <w:spacing w:val="-9"/>
        </w:rPr>
        <w:t> </w:t>
      </w:r>
      <w:r>
        <w:rPr>
          <w:color w:val="231F20"/>
        </w:rPr>
        <w:t>categoría</w:t>
      </w:r>
      <w:r>
        <w:rPr>
          <w:color w:val="231F20"/>
          <w:spacing w:val="-9"/>
        </w:rPr>
        <w:t> </w:t>
      </w:r>
      <w:r>
        <w:rPr>
          <w:color w:val="231F20"/>
        </w:rPr>
        <w:t>se</w:t>
      </w:r>
      <w:r>
        <w:rPr>
          <w:color w:val="231F20"/>
          <w:spacing w:val="-8"/>
        </w:rPr>
        <w:t> </w:t>
      </w:r>
      <w:r>
        <w:rPr>
          <w:color w:val="231F20"/>
        </w:rPr>
        <w:t>ubican</w:t>
      </w:r>
      <w:r>
        <w:rPr>
          <w:color w:val="231F20"/>
          <w:spacing w:val="-9"/>
        </w:rPr>
        <w:t> </w:t>
      </w:r>
      <w:r>
        <w:rPr>
          <w:color w:val="231F20"/>
        </w:rPr>
        <w:t>diversas</w:t>
      </w:r>
      <w:r>
        <w:rPr>
          <w:color w:val="231F20"/>
          <w:spacing w:val="-8"/>
        </w:rPr>
        <w:t> </w:t>
      </w:r>
      <w:r>
        <w:rPr>
          <w:color w:val="231F20"/>
        </w:rPr>
        <w:t>especies</w:t>
      </w:r>
      <w:r>
        <w:rPr>
          <w:color w:val="231F20"/>
          <w:spacing w:val="-9"/>
        </w:rPr>
        <w:t> </w:t>
      </w:r>
      <w:r>
        <w:rPr>
          <w:color w:val="231F20"/>
        </w:rPr>
        <w:t>nativas</w:t>
      </w:r>
      <w:r>
        <w:rPr>
          <w:color w:val="231F20"/>
          <w:spacing w:val="-9"/>
        </w:rPr>
        <w:t> </w:t>
      </w:r>
      <w:r>
        <w:rPr>
          <w:color w:val="231F20"/>
        </w:rPr>
        <w:t>de</w:t>
      </w:r>
      <w:r>
        <w:rPr>
          <w:color w:val="231F20"/>
          <w:spacing w:val="-8"/>
        </w:rPr>
        <w:t> </w:t>
      </w:r>
      <w:r>
        <w:rPr>
          <w:color w:val="231F20"/>
        </w:rPr>
        <w:t>México,</w:t>
      </w:r>
      <w:r>
        <w:rPr>
          <w:color w:val="231F20"/>
          <w:spacing w:val="-9"/>
        </w:rPr>
        <w:t> </w:t>
      </w:r>
      <w:r>
        <w:rPr>
          <w:color w:val="231F20"/>
        </w:rPr>
        <w:t>que hasta ahora tan solo son utilizados localmente. El potencial de estos recursos fitogenéticos no se ha evaluado</w:t>
      </w:r>
      <w:r>
        <w:rPr>
          <w:color w:val="231F20"/>
          <w:spacing w:val="-8"/>
        </w:rPr>
        <w:t> </w:t>
      </w:r>
      <w:r>
        <w:rPr>
          <w:color w:val="231F20"/>
        </w:rPr>
        <w:t>de</w:t>
      </w:r>
      <w:r>
        <w:rPr>
          <w:color w:val="231F20"/>
          <w:spacing w:val="-8"/>
        </w:rPr>
        <w:t> </w:t>
      </w:r>
      <w:r>
        <w:rPr>
          <w:color w:val="231F20"/>
        </w:rPr>
        <w:t>manera</w:t>
      </w:r>
      <w:r>
        <w:rPr>
          <w:color w:val="231F20"/>
          <w:spacing w:val="-8"/>
        </w:rPr>
        <w:t> </w:t>
      </w:r>
      <w:r>
        <w:rPr>
          <w:color w:val="231F20"/>
        </w:rPr>
        <w:t>sistemática</w:t>
      </w:r>
      <w:r>
        <w:rPr>
          <w:color w:val="231F20"/>
          <w:spacing w:val="-9"/>
        </w:rPr>
        <w:t> </w:t>
      </w:r>
      <w:r>
        <w:rPr>
          <w:color w:val="231F20"/>
        </w:rPr>
        <w:t>y</w:t>
      </w:r>
      <w:r>
        <w:rPr>
          <w:color w:val="231F20"/>
          <w:spacing w:val="-8"/>
        </w:rPr>
        <w:t> </w:t>
      </w:r>
      <w:r>
        <w:rPr>
          <w:color w:val="231F20"/>
        </w:rPr>
        <w:t>a</w:t>
      </w:r>
      <w:r>
        <w:rPr>
          <w:color w:val="231F20"/>
          <w:spacing w:val="37"/>
        </w:rPr>
        <w:t> </w:t>
      </w:r>
      <w:r>
        <w:rPr>
          <w:color w:val="231F20"/>
        </w:rPr>
        <w:t>nivel</w:t>
      </w:r>
      <w:r>
        <w:rPr>
          <w:color w:val="231F20"/>
          <w:spacing w:val="-8"/>
        </w:rPr>
        <w:t> </w:t>
      </w:r>
      <w:r>
        <w:rPr>
          <w:color w:val="231F20"/>
        </w:rPr>
        <w:t>de</w:t>
      </w:r>
      <w:r>
        <w:rPr>
          <w:color w:val="231F20"/>
          <w:spacing w:val="-8"/>
        </w:rPr>
        <w:t> </w:t>
      </w:r>
      <w:r>
        <w:rPr>
          <w:color w:val="231F20"/>
        </w:rPr>
        <w:t>detalle</w:t>
      </w:r>
      <w:r>
        <w:rPr>
          <w:color w:val="231F20"/>
          <w:spacing w:val="-9"/>
        </w:rPr>
        <w:t> </w:t>
      </w:r>
      <w:r>
        <w:rPr>
          <w:color w:val="231F20"/>
        </w:rPr>
        <w:t>para</w:t>
      </w:r>
      <w:r>
        <w:rPr>
          <w:color w:val="231F20"/>
          <w:spacing w:val="-8"/>
        </w:rPr>
        <w:t> </w:t>
      </w:r>
      <w:r>
        <w:rPr>
          <w:color w:val="231F20"/>
        </w:rPr>
        <w:t>identificar</w:t>
      </w:r>
      <w:r>
        <w:rPr>
          <w:color w:val="231F20"/>
          <w:spacing w:val="-9"/>
        </w:rPr>
        <w:t> </w:t>
      </w:r>
      <w:r>
        <w:rPr>
          <w:color w:val="231F20"/>
        </w:rPr>
        <w:t>sus</w:t>
      </w:r>
      <w:r>
        <w:rPr>
          <w:color w:val="231F20"/>
          <w:spacing w:val="-8"/>
        </w:rPr>
        <w:t> </w:t>
      </w:r>
      <w:r>
        <w:rPr>
          <w:color w:val="231F20"/>
        </w:rPr>
        <w:t>cualidades</w:t>
      </w:r>
      <w:r>
        <w:rPr>
          <w:color w:val="231F20"/>
          <w:spacing w:val="-9"/>
        </w:rPr>
        <w:t> </w:t>
      </w:r>
      <w:r>
        <w:rPr>
          <w:color w:val="231F20"/>
        </w:rPr>
        <w:t>y</w:t>
      </w:r>
      <w:r>
        <w:rPr>
          <w:color w:val="231F20"/>
          <w:spacing w:val="-8"/>
        </w:rPr>
        <w:t> </w:t>
      </w:r>
      <w:r>
        <w:rPr>
          <w:color w:val="231F20"/>
        </w:rPr>
        <w:t>muchos</w:t>
      </w:r>
      <w:r>
        <w:rPr>
          <w:color w:val="231F20"/>
          <w:spacing w:val="-8"/>
        </w:rPr>
        <w:t> </w:t>
      </w:r>
      <w:r>
        <w:rPr>
          <w:color w:val="231F20"/>
        </w:rPr>
        <w:t>de</w:t>
      </w:r>
      <w:r>
        <w:rPr>
          <w:color w:val="231F20"/>
          <w:spacing w:val="-8"/>
        </w:rPr>
        <w:t> </w:t>
      </w:r>
      <w:r>
        <w:rPr>
          <w:color w:val="231F20"/>
        </w:rPr>
        <w:t>ellos están en grave peligro de extinción, pese a los cientos de años de selección de algunas comunidades que les han aprovechado. La tendencia de la agricultura moderna de uniformizar la producción y   de ampliar la frontera agrícola con especies convencionales, es uno de los factores principales que inciden en el riesgo de desaparición o extinción de especies nativas con alto potencial</w:t>
      </w:r>
      <w:r>
        <w:rPr>
          <w:color w:val="231F20"/>
          <w:spacing w:val="-11"/>
        </w:rPr>
        <w:t> </w:t>
      </w:r>
      <w:r>
        <w:rPr>
          <w:color w:val="231F20"/>
        </w:rPr>
        <w:t>fitogenéticos.</w:t>
      </w:r>
    </w:p>
    <w:p>
      <w:pPr>
        <w:pStyle w:val="BodyText"/>
        <w:spacing w:before="10"/>
        <w:rPr>
          <w:sz w:val="20"/>
        </w:rPr>
      </w:pPr>
    </w:p>
    <w:p>
      <w:pPr>
        <w:spacing w:before="1"/>
        <w:ind w:left="1270" w:right="0" w:firstLine="0"/>
        <w:jc w:val="both"/>
        <w:rPr>
          <w:rFonts w:ascii="Trebuchet MS" w:hAnsi="Trebuchet MS"/>
          <w:sz w:val="16"/>
        </w:rPr>
      </w:pPr>
      <w:r>
        <w:rPr>
          <w:rFonts w:ascii="Trebuchet MS" w:hAnsi="Trebuchet MS"/>
          <w:color w:val="231F20"/>
          <w:sz w:val="16"/>
        </w:rPr>
        <w:t>Universidad Autónoma Chapingo</w:t>
      </w:r>
      <w:hyperlink r:id="rId92">
        <w:r>
          <w:rPr>
            <w:rFonts w:ascii="Trebuchet MS" w:hAnsi="Trebuchet MS"/>
            <w:color w:val="231F20"/>
            <w:sz w:val="16"/>
          </w:rPr>
          <w:t>, joseh@correo.chapingo.mx</w:t>
        </w:r>
      </w:hyperlink>
    </w:p>
    <w:p>
      <w:pPr>
        <w:spacing w:after="0"/>
        <w:jc w:val="both"/>
        <w:rPr>
          <w:rFonts w:ascii="Trebuchet MS" w:hAnsi="Trebuchet MS"/>
          <w:sz w:val="16"/>
        </w:rPr>
        <w:sectPr>
          <w:pgSz w:w="10920" w:h="13080"/>
          <w:pgMar w:header="0" w:footer="965" w:top="420" w:bottom="1220" w:left="0" w:right="0"/>
        </w:sectPr>
      </w:pPr>
    </w:p>
    <w:p>
      <w:pPr>
        <w:pStyle w:val="BodyText"/>
        <w:rPr>
          <w:rFonts w:ascii="Trebuchet MS"/>
          <w:sz w:val="20"/>
        </w:rPr>
      </w:pPr>
    </w:p>
    <w:p>
      <w:pPr>
        <w:pStyle w:val="BodyText"/>
        <w:rPr>
          <w:rFonts w:ascii="Trebuchet MS"/>
          <w:sz w:val="20"/>
        </w:rPr>
      </w:pPr>
    </w:p>
    <w:p>
      <w:pPr>
        <w:pStyle w:val="BodyText"/>
        <w:spacing w:before="4"/>
        <w:rPr>
          <w:rFonts w:ascii="Trebuchet MS"/>
          <w:sz w:val="22"/>
        </w:rPr>
      </w:pPr>
    </w:p>
    <w:p>
      <w:pPr>
        <w:pStyle w:val="BodyText"/>
        <w:spacing w:line="247" w:lineRule="auto" w:before="73"/>
        <w:ind w:left="1270" w:right="1267"/>
        <w:jc w:val="both"/>
      </w:pPr>
      <w:r>
        <w:rPr>
          <w:color w:val="231F20"/>
        </w:rPr>
        <w:t>Una modalidad para preservar los recursos genéticos es la conservación in situ de la diversidad biológica, que se conceptúa como aquella que se fomenta en las áreas en que ésta ocurre de manera natural,</w:t>
      </w:r>
      <w:r>
        <w:rPr>
          <w:color w:val="231F20"/>
          <w:spacing w:val="-10"/>
        </w:rPr>
        <w:t> </w:t>
      </w:r>
      <w:r>
        <w:rPr>
          <w:color w:val="231F20"/>
        </w:rPr>
        <w:t>procurando</w:t>
      </w:r>
      <w:r>
        <w:rPr>
          <w:color w:val="231F20"/>
          <w:spacing w:val="-10"/>
        </w:rPr>
        <w:t> </w:t>
      </w:r>
      <w:r>
        <w:rPr>
          <w:color w:val="231F20"/>
        </w:rPr>
        <w:t>mantener</w:t>
      </w:r>
      <w:r>
        <w:rPr>
          <w:color w:val="231F20"/>
          <w:spacing w:val="-11"/>
        </w:rPr>
        <w:t> </w:t>
      </w:r>
      <w:r>
        <w:rPr>
          <w:color w:val="231F20"/>
        </w:rPr>
        <w:t>la</w:t>
      </w:r>
      <w:r>
        <w:rPr>
          <w:color w:val="231F20"/>
          <w:spacing w:val="-10"/>
        </w:rPr>
        <w:t> </w:t>
      </w:r>
      <w:r>
        <w:rPr>
          <w:color w:val="231F20"/>
        </w:rPr>
        <w:t>diversidad</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organismos</w:t>
      </w:r>
      <w:r>
        <w:rPr>
          <w:color w:val="231F20"/>
          <w:spacing w:val="-10"/>
        </w:rPr>
        <w:t> </w:t>
      </w:r>
      <w:r>
        <w:rPr>
          <w:color w:val="231F20"/>
        </w:rPr>
        <w:t>vivos,</w:t>
      </w:r>
      <w:r>
        <w:rPr>
          <w:color w:val="231F20"/>
          <w:spacing w:val="-10"/>
        </w:rPr>
        <w:t> </w:t>
      </w:r>
      <w:r>
        <w:rPr>
          <w:color w:val="231F20"/>
        </w:rPr>
        <w:t>sus</w:t>
      </w:r>
      <w:r>
        <w:rPr>
          <w:color w:val="231F20"/>
          <w:spacing w:val="-10"/>
        </w:rPr>
        <w:t> </w:t>
      </w:r>
      <w:r>
        <w:rPr>
          <w:color w:val="231F20"/>
        </w:rPr>
        <w:t>hábitats</w:t>
      </w:r>
      <w:r>
        <w:rPr>
          <w:color w:val="231F20"/>
          <w:spacing w:val="-10"/>
        </w:rPr>
        <w:t> </w:t>
      </w:r>
      <w:r>
        <w:rPr>
          <w:color w:val="231F20"/>
        </w:rPr>
        <w:t>y</w:t>
      </w:r>
      <w:r>
        <w:rPr>
          <w:color w:val="231F20"/>
          <w:spacing w:val="-10"/>
        </w:rPr>
        <w:t> </w:t>
      </w:r>
      <w:r>
        <w:rPr>
          <w:color w:val="231F20"/>
        </w:rPr>
        <w:t>las</w:t>
      </w:r>
      <w:r>
        <w:rPr>
          <w:color w:val="231F20"/>
          <w:spacing w:val="-10"/>
        </w:rPr>
        <w:t> </w:t>
      </w:r>
      <w:r>
        <w:rPr>
          <w:color w:val="231F20"/>
        </w:rPr>
        <w:t>interrelaciones que ocurren entre estos. De esta manera se trata de preservar la integridad genérica de las especies en</w:t>
      </w:r>
      <w:r>
        <w:rPr>
          <w:color w:val="231F20"/>
          <w:spacing w:val="-6"/>
        </w:rPr>
        <w:t> </w:t>
      </w:r>
      <w:r>
        <w:rPr>
          <w:color w:val="231F20"/>
        </w:rPr>
        <w:t>su</w:t>
      </w:r>
      <w:r>
        <w:rPr>
          <w:color w:val="231F20"/>
          <w:spacing w:val="-6"/>
        </w:rPr>
        <w:t> </w:t>
      </w:r>
      <w:r>
        <w:rPr>
          <w:color w:val="231F20"/>
        </w:rPr>
        <w:t>estado</w:t>
      </w:r>
      <w:r>
        <w:rPr>
          <w:color w:val="231F20"/>
          <w:spacing w:val="-6"/>
        </w:rPr>
        <w:t> </w:t>
      </w:r>
      <w:r>
        <w:rPr>
          <w:color w:val="231F20"/>
        </w:rPr>
        <w:t>natural</w:t>
      </w:r>
      <w:r>
        <w:rPr>
          <w:color w:val="231F20"/>
          <w:spacing w:val="-6"/>
        </w:rPr>
        <w:t> </w:t>
      </w:r>
      <w:r>
        <w:rPr>
          <w:color w:val="231F20"/>
        </w:rPr>
        <w:t>en</w:t>
      </w:r>
      <w:r>
        <w:rPr>
          <w:color w:val="231F20"/>
          <w:spacing w:val="-6"/>
        </w:rPr>
        <w:t> </w:t>
      </w:r>
      <w:r>
        <w:rPr>
          <w:color w:val="231F20"/>
        </w:rPr>
        <w:t>ambientes</w:t>
      </w:r>
      <w:r>
        <w:rPr>
          <w:color w:val="231F20"/>
          <w:spacing w:val="-6"/>
        </w:rPr>
        <w:t> </w:t>
      </w:r>
      <w:r>
        <w:rPr>
          <w:color w:val="231F20"/>
        </w:rPr>
        <w:t>estables,</w:t>
      </w:r>
      <w:r>
        <w:rPr>
          <w:color w:val="231F20"/>
          <w:spacing w:val="-6"/>
        </w:rPr>
        <w:t> </w:t>
      </w:r>
      <w:r>
        <w:rPr>
          <w:color w:val="231F20"/>
        </w:rPr>
        <w:t>más</w:t>
      </w:r>
      <w:r>
        <w:rPr>
          <w:color w:val="231F20"/>
          <w:spacing w:val="-6"/>
        </w:rPr>
        <w:t> </w:t>
      </w:r>
      <w:r>
        <w:rPr>
          <w:color w:val="231F20"/>
        </w:rPr>
        <w:t>aún</w:t>
      </w:r>
      <w:r>
        <w:rPr>
          <w:color w:val="231F20"/>
          <w:spacing w:val="-6"/>
        </w:rPr>
        <w:t> </w:t>
      </w:r>
      <w:r>
        <w:rPr>
          <w:color w:val="231F20"/>
        </w:rPr>
        <w:t>cuando</w:t>
      </w:r>
      <w:r>
        <w:rPr>
          <w:color w:val="231F20"/>
          <w:spacing w:val="-6"/>
        </w:rPr>
        <w:t> </w:t>
      </w:r>
      <w:r>
        <w:rPr>
          <w:color w:val="231F20"/>
        </w:rPr>
        <w:t>se</w:t>
      </w:r>
      <w:r>
        <w:rPr>
          <w:color w:val="231F20"/>
          <w:spacing w:val="-6"/>
        </w:rPr>
        <w:t> </w:t>
      </w:r>
      <w:r>
        <w:rPr>
          <w:color w:val="231F20"/>
        </w:rPr>
        <w:t>tienen</w:t>
      </w:r>
      <w:r>
        <w:rPr>
          <w:color w:val="231F20"/>
          <w:spacing w:val="-6"/>
        </w:rPr>
        <w:t> </w:t>
      </w:r>
      <w:r>
        <w:rPr>
          <w:color w:val="231F20"/>
        </w:rPr>
        <w:t>áreas</w:t>
      </w:r>
      <w:r>
        <w:rPr>
          <w:color w:val="231F20"/>
          <w:spacing w:val="-6"/>
        </w:rPr>
        <w:t> </w:t>
      </w:r>
      <w:r>
        <w:rPr>
          <w:color w:val="231F20"/>
        </w:rPr>
        <w:t>de</w:t>
      </w:r>
      <w:r>
        <w:rPr>
          <w:color w:val="231F20"/>
          <w:spacing w:val="-6"/>
        </w:rPr>
        <w:t> </w:t>
      </w:r>
      <w:r>
        <w:rPr>
          <w:color w:val="231F20"/>
        </w:rPr>
        <w:t>protección</w:t>
      </w:r>
      <w:r>
        <w:rPr>
          <w:color w:val="231F20"/>
          <w:spacing w:val="-6"/>
        </w:rPr>
        <w:t> </w:t>
      </w:r>
      <w:r>
        <w:rPr>
          <w:color w:val="231F20"/>
        </w:rPr>
        <w:t>natural</w:t>
      </w:r>
      <w:r>
        <w:rPr>
          <w:color w:val="231F20"/>
          <w:spacing w:val="-6"/>
        </w:rPr>
        <w:t> </w:t>
      </w:r>
      <w:r>
        <w:rPr>
          <w:color w:val="231F20"/>
        </w:rPr>
        <w:t>que reúnen</w:t>
      </w:r>
      <w:r>
        <w:rPr>
          <w:color w:val="231F20"/>
          <w:spacing w:val="-4"/>
        </w:rPr>
        <w:t> </w:t>
      </w:r>
      <w:r>
        <w:rPr>
          <w:color w:val="231F20"/>
        </w:rPr>
        <w:t>estas</w:t>
      </w:r>
      <w:r>
        <w:rPr>
          <w:color w:val="231F20"/>
          <w:spacing w:val="-5"/>
        </w:rPr>
        <w:t> </w:t>
      </w:r>
      <w:r>
        <w:rPr>
          <w:color w:val="231F20"/>
        </w:rPr>
        <w:t>características</w:t>
      </w:r>
      <w:r>
        <w:rPr>
          <w:color w:val="231F20"/>
          <w:spacing w:val="-5"/>
        </w:rPr>
        <w:t> </w:t>
      </w:r>
      <w:r>
        <w:rPr>
          <w:color w:val="231F20"/>
        </w:rPr>
        <w:t>en</w:t>
      </w:r>
      <w:r>
        <w:rPr>
          <w:color w:val="231F20"/>
          <w:spacing w:val="-4"/>
        </w:rPr>
        <w:t> </w:t>
      </w:r>
      <w:r>
        <w:rPr>
          <w:color w:val="231F20"/>
        </w:rPr>
        <w:t>el</w:t>
      </w:r>
      <w:r>
        <w:rPr>
          <w:color w:val="231F20"/>
          <w:spacing w:val="-4"/>
        </w:rPr>
        <w:t> </w:t>
      </w:r>
      <w:r>
        <w:rPr>
          <w:color w:val="231F20"/>
        </w:rPr>
        <w:t>largo</w:t>
      </w:r>
      <w:r>
        <w:rPr>
          <w:color w:val="231F20"/>
          <w:spacing w:val="-4"/>
        </w:rPr>
        <w:t> </w:t>
      </w:r>
      <w:r>
        <w:rPr>
          <w:color w:val="231F20"/>
        </w:rPr>
        <w:t>plazo</w:t>
      </w:r>
      <w:r>
        <w:rPr>
          <w:color w:val="231F20"/>
          <w:spacing w:val="-4"/>
        </w:rPr>
        <w:t> </w:t>
      </w:r>
      <w:r>
        <w:rPr>
          <w:color w:val="231F20"/>
          <w:spacing w:val="-7"/>
        </w:rPr>
        <w:t>y,</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vez,</w:t>
      </w:r>
      <w:r>
        <w:rPr>
          <w:color w:val="231F20"/>
          <w:spacing w:val="-4"/>
        </w:rPr>
        <w:t> </w:t>
      </w:r>
      <w:r>
        <w:rPr>
          <w:color w:val="231F20"/>
        </w:rPr>
        <w:t>permiten</w:t>
      </w:r>
      <w:r>
        <w:rPr>
          <w:color w:val="231F20"/>
          <w:spacing w:val="-4"/>
        </w:rPr>
        <w:t> </w:t>
      </w:r>
      <w:r>
        <w:rPr>
          <w:color w:val="231F20"/>
        </w:rPr>
        <w:t>el</w:t>
      </w:r>
      <w:r>
        <w:rPr>
          <w:color w:val="231F20"/>
          <w:spacing w:val="-4"/>
        </w:rPr>
        <w:t> </w:t>
      </w:r>
      <w:r>
        <w:rPr>
          <w:color w:val="231F20"/>
        </w:rPr>
        <w:t>continuo</w:t>
      </w:r>
      <w:r>
        <w:rPr>
          <w:color w:val="231F20"/>
          <w:spacing w:val="-5"/>
        </w:rPr>
        <w:t> </w:t>
      </w:r>
      <w:r>
        <w:rPr>
          <w:color w:val="231F20"/>
        </w:rPr>
        <w:t>proceso</w:t>
      </w:r>
      <w:r>
        <w:rPr>
          <w:color w:val="231F20"/>
          <w:spacing w:val="-4"/>
        </w:rPr>
        <w:t> </w:t>
      </w:r>
      <w:r>
        <w:rPr>
          <w:color w:val="231F20"/>
        </w:rPr>
        <w:t>evolutivo</w:t>
      </w:r>
      <w:r>
        <w:rPr>
          <w:color w:val="231F20"/>
          <w:spacing w:val="-5"/>
        </w:rPr>
        <w:t> </w:t>
      </w:r>
      <w:r>
        <w:rPr>
          <w:color w:val="231F20"/>
        </w:rPr>
        <w:t>den- tro de estos ambientes naturales. Por ello la conservación in situ es apropiada para aquellas</w:t>
      </w:r>
      <w:r>
        <w:rPr>
          <w:color w:val="231F20"/>
          <w:spacing w:val="-21"/>
        </w:rPr>
        <w:t> </w:t>
      </w:r>
      <w:r>
        <w:rPr>
          <w:color w:val="231F20"/>
        </w:rPr>
        <w:t>especies que</w:t>
      </w:r>
      <w:r>
        <w:rPr>
          <w:color w:val="231F20"/>
          <w:spacing w:val="-4"/>
        </w:rPr>
        <w:t> </w:t>
      </w:r>
      <w:r>
        <w:rPr>
          <w:color w:val="231F20"/>
        </w:rPr>
        <w:t>no</w:t>
      </w:r>
      <w:r>
        <w:rPr>
          <w:color w:val="231F20"/>
          <w:spacing w:val="-4"/>
        </w:rPr>
        <w:t> </w:t>
      </w:r>
      <w:r>
        <w:rPr>
          <w:color w:val="231F20"/>
        </w:rPr>
        <w:t>pueden</w:t>
      </w:r>
      <w:r>
        <w:rPr>
          <w:color w:val="231F20"/>
          <w:spacing w:val="-4"/>
        </w:rPr>
        <w:t> </w:t>
      </w:r>
      <w:r>
        <w:rPr>
          <w:color w:val="231F20"/>
        </w:rPr>
        <w:t>desarrollarse</w:t>
      </w:r>
      <w:r>
        <w:rPr>
          <w:color w:val="231F20"/>
          <w:spacing w:val="-4"/>
        </w:rPr>
        <w:t> </w:t>
      </w:r>
      <w:r>
        <w:rPr>
          <w:color w:val="231F20"/>
        </w:rPr>
        <w:t>o</w:t>
      </w:r>
      <w:r>
        <w:rPr>
          <w:color w:val="231F20"/>
          <w:spacing w:val="-4"/>
        </w:rPr>
        <w:t> </w:t>
      </w:r>
      <w:r>
        <w:rPr>
          <w:color w:val="231F20"/>
        </w:rPr>
        <w:t>regenerarse</w:t>
      </w:r>
      <w:r>
        <w:rPr>
          <w:color w:val="231F20"/>
          <w:spacing w:val="-4"/>
        </w:rPr>
        <w:t> </w:t>
      </w:r>
      <w:r>
        <w:rPr>
          <w:color w:val="231F20"/>
        </w:rPr>
        <w:t>fuera</w:t>
      </w:r>
      <w:r>
        <w:rPr>
          <w:color w:val="231F20"/>
          <w:spacing w:val="-4"/>
        </w:rPr>
        <w:t> </w:t>
      </w:r>
      <w:r>
        <w:rPr>
          <w:color w:val="231F20"/>
        </w:rPr>
        <w:t>de</w:t>
      </w:r>
      <w:r>
        <w:rPr>
          <w:color w:val="231F20"/>
          <w:spacing w:val="-4"/>
        </w:rPr>
        <w:t> </w:t>
      </w:r>
      <w:r>
        <w:rPr>
          <w:color w:val="231F20"/>
        </w:rPr>
        <w:t>su</w:t>
      </w:r>
      <w:r>
        <w:rPr>
          <w:color w:val="231F20"/>
          <w:spacing w:val="-4"/>
        </w:rPr>
        <w:t> </w:t>
      </w:r>
      <w:r>
        <w:rPr>
          <w:color w:val="231F20"/>
        </w:rPr>
        <w:t>hábitat</w:t>
      </w:r>
      <w:r>
        <w:rPr>
          <w:color w:val="231F20"/>
          <w:spacing w:val="-4"/>
        </w:rPr>
        <w:t> </w:t>
      </w:r>
      <w:r>
        <w:rPr>
          <w:color w:val="231F20"/>
        </w:rPr>
        <w:t>natural;</w:t>
      </w:r>
      <w:r>
        <w:rPr>
          <w:color w:val="231F20"/>
          <w:spacing w:val="-4"/>
        </w:rPr>
        <w:t> </w:t>
      </w:r>
      <w:r>
        <w:rPr>
          <w:color w:val="231F20"/>
        </w:rPr>
        <w:t>además</w:t>
      </w:r>
      <w:r>
        <w:rPr>
          <w:color w:val="231F20"/>
          <w:spacing w:val="-4"/>
        </w:rPr>
        <w:t> </w:t>
      </w:r>
      <w:r>
        <w:rPr>
          <w:color w:val="231F20"/>
        </w:rPr>
        <w:t>un</w:t>
      </w:r>
      <w:r>
        <w:rPr>
          <w:color w:val="231F20"/>
          <w:spacing w:val="-4"/>
        </w:rPr>
        <w:t> </w:t>
      </w:r>
      <w:r>
        <w:rPr>
          <w:color w:val="231F20"/>
        </w:rPr>
        <w:t>ecosistema</w:t>
      </w:r>
      <w:r>
        <w:rPr>
          <w:color w:val="231F20"/>
          <w:spacing w:val="-4"/>
        </w:rPr>
        <w:t> </w:t>
      </w:r>
      <w:r>
        <w:rPr>
          <w:color w:val="231F20"/>
        </w:rPr>
        <w:t>permite la</w:t>
      </w:r>
      <w:r>
        <w:rPr>
          <w:color w:val="231F20"/>
          <w:spacing w:val="-7"/>
        </w:rPr>
        <w:t> </w:t>
      </w:r>
      <w:r>
        <w:rPr>
          <w:color w:val="231F20"/>
        </w:rPr>
        <w:t>conservación</w:t>
      </w:r>
      <w:r>
        <w:rPr>
          <w:color w:val="231F20"/>
          <w:spacing w:val="-7"/>
        </w:rPr>
        <w:t> </w:t>
      </w:r>
      <w:r>
        <w:rPr>
          <w:color w:val="231F20"/>
        </w:rPr>
        <w:t>de</w:t>
      </w:r>
      <w:r>
        <w:rPr>
          <w:color w:val="231F20"/>
          <w:spacing w:val="-6"/>
        </w:rPr>
        <w:t> </w:t>
      </w:r>
      <w:r>
        <w:rPr>
          <w:color w:val="231F20"/>
        </w:rPr>
        <w:t>varias</w:t>
      </w:r>
      <w:r>
        <w:rPr>
          <w:color w:val="231F20"/>
          <w:spacing w:val="-7"/>
        </w:rPr>
        <w:t> </w:t>
      </w:r>
      <w:r>
        <w:rPr>
          <w:color w:val="231F20"/>
        </w:rPr>
        <w:t>especies</w:t>
      </w:r>
      <w:r>
        <w:rPr>
          <w:color w:val="231F20"/>
          <w:spacing w:val="-7"/>
        </w:rPr>
        <w:t> </w:t>
      </w:r>
      <w:r>
        <w:rPr>
          <w:color w:val="231F20"/>
        </w:rPr>
        <w:t>al</w:t>
      </w:r>
      <w:r>
        <w:rPr>
          <w:color w:val="231F20"/>
          <w:spacing w:val="-7"/>
        </w:rPr>
        <w:t> </w:t>
      </w:r>
      <w:r>
        <w:rPr>
          <w:color w:val="231F20"/>
        </w:rPr>
        <w:t>mismo</w:t>
      </w:r>
      <w:r>
        <w:rPr>
          <w:color w:val="231F20"/>
          <w:spacing w:val="-7"/>
        </w:rPr>
        <w:t> </w:t>
      </w:r>
      <w:r>
        <w:rPr>
          <w:color w:val="231F20"/>
        </w:rPr>
        <w:t>tiempo</w:t>
      </w:r>
      <w:r>
        <w:rPr>
          <w:color w:val="231F20"/>
          <w:spacing w:val="-7"/>
        </w:rPr>
        <w:t> </w:t>
      </w:r>
      <w:r>
        <w:rPr>
          <w:color w:val="231F20"/>
        </w:rPr>
        <w:t>que</w:t>
      </w:r>
      <w:r>
        <w:rPr>
          <w:color w:val="231F20"/>
          <w:spacing w:val="-6"/>
        </w:rPr>
        <w:t> </w:t>
      </w:r>
      <w:r>
        <w:rPr>
          <w:color w:val="231F20"/>
        </w:rPr>
        <w:t>facilita</w:t>
      </w:r>
      <w:r>
        <w:rPr>
          <w:color w:val="231F20"/>
          <w:spacing w:val="-7"/>
        </w:rPr>
        <w:t> </w:t>
      </w:r>
      <w:r>
        <w:rPr>
          <w:color w:val="231F20"/>
        </w:rPr>
        <w:t>la</w:t>
      </w:r>
      <w:r>
        <w:rPr>
          <w:color w:val="231F20"/>
          <w:spacing w:val="-7"/>
        </w:rPr>
        <w:t> </w:t>
      </w:r>
      <w:r>
        <w:rPr>
          <w:color w:val="231F20"/>
        </w:rPr>
        <w:t>investigación</w:t>
      </w:r>
      <w:r>
        <w:rPr>
          <w:color w:val="231F20"/>
          <w:spacing w:val="-7"/>
        </w:rPr>
        <w:t> </w:t>
      </w:r>
      <w:r>
        <w:rPr>
          <w:color w:val="231F20"/>
        </w:rPr>
        <w:t>de</w:t>
      </w:r>
      <w:r>
        <w:rPr>
          <w:color w:val="231F20"/>
          <w:spacing w:val="-6"/>
        </w:rPr>
        <w:t> </w:t>
      </w:r>
      <w:r>
        <w:rPr>
          <w:color w:val="231F20"/>
        </w:rPr>
        <w:t>su</w:t>
      </w:r>
      <w:r>
        <w:rPr>
          <w:color w:val="231F20"/>
          <w:spacing w:val="-6"/>
        </w:rPr>
        <w:t> </w:t>
      </w:r>
      <w:r>
        <w:rPr>
          <w:color w:val="231F20"/>
        </w:rPr>
        <w:t>hábito</w:t>
      </w:r>
      <w:r>
        <w:rPr>
          <w:color w:val="231F20"/>
          <w:spacing w:val="-7"/>
        </w:rPr>
        <w:t> </w:t>
      </w:r>
      <w:r>
        <w:rPr>
          <w:color w:val="231F20"/>
        </w:rPr>
        <w:t>natural.</w:t>
      </w:r>
    </w:p>
    <w:p>
      <w:pPr>
        <w:pStyle w:val="BodyText"/>
        <w:spacing w:before="10"/>
      </w:pPr>
    </w:p>
    <w:p>
      <w:pPr>
        <w:pStyle w:val="BodyText"/>
        <w:spacing w:line="247" w:lineRule="auto"/>
        <w:ind w:left="1270" w:right="1267"/>
        <w:jc w:val="both"/>
      </w:pPr>
      <w:r>
        <w:rPr>
          <w:color w:val="231F20"/>
        </w:rPr>
        <w:t>La conservación in situ se fundamenta en la conservación de un ecosistema o agroecosistema; sin embargo,</w:t>
      </w:r>
      <w:r>
        <w:rPr>
          <w:color w:val="231F20"/>
          <w:spacing w:val="-10"/>
        </w:rPr>
        <w:t> </w:t>
      </w:r>
      <w:r>
        <w:rPr>
          <w:color w:val="231F20"/>
        </w:rPr>
        <w:t>es</w:t>
      </w:r>
      <w:r>
        <w:rPr>
          <w:color w:val="231F20"/>
          <w:spacing w:val="-10"/>
        </w:rPr>
        <w:t> </w:t>
      </w:r>
      <w:r>
        <w:rPr>
          <w:color w:val="231F20"/>
        </w:rPr>
        <w:t>posible</w:t>
      </w:r>
      <w:r>
        <w:rPr>
          <w:color w:val="231F20"/>
          <w:spacing w:val="-10"/>
        </w:rPr>
        <w:t> </w:t>
      </w:r>
      <w:r>
        <w:rPr>
          <w:color w:val="231F20"/>
        </w:rPr>
        <w:t>conservar</w:t>
      </w:r>
      <w:r>
        <w:rPr>
          <w:color w:val="231F20"/>
          <w:spacing w:val="-11"/>
        </w:rPr>
        <w:t> </w:t>
      </w:r>
      <w:r>
        <w:rPr>
          <w:color w:val="231F20"/>
        </w:rPr>
        <w:t>poblaciones</w:t>
      </w:r>
      <w:r>
        <w:rPr>
          <w:color w:val="231F20"/>
          <w:spacing w:val="-10"/>
        </w:rPr>
        <w:t> </w:t>
      </w:r>
      <w:r>
        <w:rPr>
          <w:color w:val="231F20"/>
        </w:rPr>
        <w:t>criollas</w:t>
      </w:r>
      <w:r>
        <w:rPr>
          <w:color w:val="231F20"/>
          <w:spacing w:val="-10"/>
        </w:rPr>
        <w:t> </w:t>
      </w:r>
      <w:r>
        <w:rPr>
          <w:color w:val="231F20"/>
        </w:rPr>
        <w:t>o</w:t>
      </w:r>
      <w:r>
        <w:rPr>
          <w:color w:val="231F20"/>
          <w:spacing w:val="-10"/>
        </w:rPr>
        <w:t> </w:t>
      </w:r>
      <w:r>
        <w:rPr>
          <w:color w:val="231F20"/>
        </w:rPr>
        <w:t>variedades</w:t>
      </w:r>
      <w:r>
        <w:rPr>
          <w:color w:val="231F20"/>
          <w:spacing w:val="-10"/>
        </w:rPr>
        <w:t> </w:t>
      </w:r>
      <w:r>
        <w:rPr>
          <w:color w:val="231F20"/>
        </w:rPr>
        <w:t>nativas,</w:t>
      </w:r>
      <w:r>
        <w:rPr>
          <w:color w:val="231F20"/>
          <w:spacing w:val="-10"/>
        </w:rPr>
        <w:t> </w:t>
      </w:r>
      <w:r>
        <w:rPr>
          <w:color w:val="231F20"/>
        </w:rPr>
        <w:t>por</w:t>
      </w:r>
      <w:r>
        <w:rPr>
          <w:color w:val="231F20"/>
          <w:spacing w:val="-10"/>
        </w:rPr>
        <w:t> </w:t>
      </w:r>
      <w:r>
        <w:rPr>
          <w:color w:val="231F20"/>
        </w:rPr>
        <w:t>lo</w:t>
      </w:r>
      <w:r>
        <w:rPr>
          <w:color w:val="231F20"/>
          <w:spacing w:val="-10"/>
        </w:rPr>
        <w:t> </w:t>
      </w:r>
      <w:r>
        <w:rPr>
          <w:color w:val="231F20"/>
        </w:rPr>
        <w:t>cual</w:t>
      </w:r>
      <w:r>
        <w:rPr>
          <w:color w:val="231F20"/>
          <w:spacing w:val="-10"/>
        </w:rPr>
        <w:t> </w:t>
      </w:r>
      <w:r>
        <w:rPr>
          <w:color w:val="231F20"/>
        </w:rPr>
        <w:t>es</w:t>
      </w:r>
      <w:r>
        <w:rPr>
          <w:color w:val="231F20"/>
          <w:spacing w:val="-10"/>
        </w:rPr>
        <w:t> </w:t>
      </w:r>
      <w:r>
        <w:rPr>
          <w:color w:val="231F20"/>
        </w:rPr>
        <w:t>posible</w:t>
      </w:r>
      <w:r>
        <w:rPr>
          <w:color w:val="231F20"/>
          <w:spacing w:val="-10"/>
        </w:rPr>
        <w:t> </w:t>
      </w:r>
      <w:r>
        <w:rPr>
          <w:color w:val="231F20"/>
        </w:rPr>
        <w:t>distin- guir</w:t>
      </w:r>
      <w:r>
        <w:rPr>
          <w:color w:val="231F20"/>
          <w:spacing w:val="-7"/>
        </w:rPr>
        <w:t> </w:t>
      </w:r>
      <w:r>
        <w:rPr>
          <w:color w:val="231F20"/>
        </w:rPr>
        <w:t>dos</w:t>
      </w:r>
      <w:r>
        <w:rPr>
          <w:color w:val="231F20"/>
          <w:spacing w:val="-7"/>
        </w:rPr>
        <w:t> </w:t>
      </w:r>
      <w:r>
        <w:rPr>
          <w:color w:val="231F20"/>
        </w:rPr>
        <w:t>tipos</w:t>
      </w:r>
      <w:r>
        <w:rPr>
          <w:color w:val="231F20"/>
          <w:spacing w:val="-8"/>
        </w:rPr>
        <w:t> </w:t>
      </w:r>
      <w:r>
        <w:rPr>
          <w:color w:val="231F20"/>
        </w:rPr>
        <w:t>de</w:t>
      </w:r>
      <w:r>
        <w:rPr>
          <w:color w:val="231F20"/>
          <w:spacing w:val="-7"/>
        </w:rPr>
        <w:t> </w:t>
      </w:r>
      <w:r>
        <w:rPr>
          <w:color w:val="231F20"/>
        </w:rPr>
        <w:t>conservación</w:t>
      </w:r>
      <w:r>
        <w:rPr>
          <w:color w:val="231F20"/>
          <w:spacing w:val="-8"/>
        </w:rPr>
        <w:t> </w:t>
      </w:r>
      <w:r>
        <w:rPr>
          <w:i/>
          <w:color w:val="231F20"/>
        </w:rPr>
        <w:t>in</w:t>
      </w:r>
      <w:r>
        <w:rPr>
          <w:i/>
          <w:color w:val="231F20"/>
          <w:spacing w:val="-7"/>
        </w:rPr>
        <w:t> </w:t>
      </w:r>
      <w:r>
        <w:rPr>
          <w:i/>
          <w:color w:val="231F20"/>
        </w:rPr>
        <w:t>situ</w:t>
      </w:r>
      <w:r>
        <w:rPr>
          <w:color w:val="231F20"/>
        </w:rPr>
        <w:t>:</w:t>
      </w:r>
      <w:r>
        <w:rPr>
          <w:color w:val="231F20"/>
          <w:spacing w:val="-7"/>
        </w:rPr>
        <w:t> </w:t>
      </w:r>
      <w:r>
        <w:rPr>
          <w:color w:val="231F20"/>
        </w:rPr>
        <w:t>1)</w:t>
      </w:r>
      <w:r>
        <w:rPr>
          <w:color w:val="231F20"/>
          <w:spacing w:val="-7"/>
        </w:rPr>
        <w:t> </w:t>
      </w:r>
      <w:r>
        <w:rPr>
          <w:color w:val="231F20"/>
        </w:rPr>
        <w:t>conservación</w:t>
      </w:r>
      <w:r>
        <w:rPr>
          <w:color w:val="231F20"/>
          <w:spacing w:val="-8"/>
        </w:rPr>
        <w:t> </w:t>
      </w:r>
      <w:r>
        <w:rPr>
          <w:color w:val="231F20"/>
        </w:rPr>
        <w:t>de</w:t>
      </w:r>
      <w:r>
        <w:rPr>
          <w:color w:val="231F20"/>
          <w:spacing w:val="-7"/>
        </w:rPr>
        <w:t> </w:t>
      </w:r>
      <w:r>
        <w:rPr>
          <w:color w:val="231F20"/>
        </w:rPr>
        <w:t>especies</w:t>
      </w:r>
      <w:r>
        <w:rPr>
          <w:color w:val="231F20"/>
          <w:spacing w:val="-8"/>
        </w:rPr>
        <w:t> </w:t>
      </w:r>
      <w:r>
        <w:rPr>
          <w:color w:val="231F20"/>
        </w:rPr>
        <w:t>en</w:t>
      </w:r>
      <w:r>
        <w:rPr>
          <w:color w:val="231F20"/>
          <w:spacing w:val="-7"/>
        </w:rPr>
        <w:t> </w:t>
      </w:r>
      <w:r>
        <w:rPr>
          <w:color w:val="231F20"/>
        </w:rPr>
        <w:t>su</w:t>
      </w:r>
      <w:r>
        <w:rPr>
          <w:color w:val="231F20"/>
          <w:spacing w:val="-7"/>
        </w:rPr>
        <w:t> </w:t>
      </w:r>
      <w:r>
        <w:rPr>
          <w:color w:val="231F20"/>
        </w:rPr>
        <w:t>hábitat</w:t>
      </w:r>
      <w:r>
        <w:rPr>
          <w:color w:val="231F20"/>
          <w:spacing w:val="-7"/>
        </w:rPr>
        <w:t> </w:t>
      </w:r>
      <w:r>
        <w:rPr>
          <w:color w:val="231F20"/>
        </w:rPr>
        <w:t>natural,</w:t>
      </w:r>
      <w:r>
        <w:rPr>
          <w:color w:val="231F20"/>
          <w:spacing w:val="-7"/>
        </w:rPr>
        <w:t> </w:t>
      </w:r>
      <w:r>
        <w:rPr>
          <w:color w:val="231F20"/>
        </w:rPr>
        <w:t>2)</w:t>
      </w:r>
      <w:r>
        <w:rPr>
          <w:color w:val="231F20"/>
          <w:spacing w:val="-7"/>
        </w:rPr>
        <w:t> </w:t>
      </w:r>
      <w:r>
        <w:rPr>
          <w:color w:val="231F20"/>
        </w:rPr>
        <w:t>conserva- ción de especies cultivadas en sistemas agrícolas campesinos. La mayor parte de la conservación in situ se relacionan con la primera, aunque recientemente ha surgido fuertemente el interés en</w:t>
      </w:r>
      <w:r>
        <w:rPr>
          <w:color w:val="231F20"/>
          <w:spacing w:val="-24"/>
        </w:rPr>
        <w:t> </w:t>
      </w:r>
      <w:r>
        <w:rPr>
          <w:color w:val="231F20"/>
        </w:rPr>
        <w:t>promo- ver la conservación de cultivos nativos o locales en las comunidades rurales a través de programas participativos donde se involucra a los campesinos o agricultores con los investigadores o</w:t>
      </w:r>
      <w:r>
        <w:rPr>
          <w:color w:val="231F20"/>
          <w:spacing w:val="-8"/>
        </w:rPr>
        <w:t> </w:t>
      </w:r>
      <w:r>
        <w:rPr>
          <w:color w:val="231F20"/>
        </w:rPr>
        <w:t>técnicos.</w:t>
      </w:r>
    </w:p>
    <w:p>
      <w:pPr>
        <w:pStyle w:val="BodyText"/>
        <w:spacing w:before="10"/>
      </w:pPr>
    </w:p>
    <w:p>
      <w:pPr>
        <w:pStyle w:val="BodyText"/>
        <w:spacing w:line="247" w:lineRule="auto"/>
        <w:ind w:left="1270" w:right="1267"/>
        <w:jc w:val="both"/>
      </w:pPr>
      <w:r>
        <w:rPr>
          <w:color w:val="231F20"/>
        </w:rPr>
        <w:t>De acuerdo a Lizana y Reginato, 1990, citados por Andrés, Agustín Jorge y Andrés Hernández, L. 2011, el nombre de chirimoya deriva del quechua chirimoya, que quiere decir semillas frías, cuyo origen</w:t>
      </w:r>
      <w:r>
        <w:rPr>
          <w:color w:val="231F20"/>
          <w:spacing w:val="-3"/>
        </w:rPr>
        <w:t> </w:t>
      </w:r>
      <w:r>
        <w:rPr>
          <w:color w:val="231F20"/>
        </w:rPr>
        <w:t>se</w:t>
      </w:r>
      <w:r>
        <w:rPr>
          <w:color w:val="231F20"/>
          <w:spacing w:val="-3"/>
        </w:rPr>
        <w:t> </w:t>
      </w:r>
      <w:r>
        <w:rPr>
          <w:color w:val="231F20"/>
        </w:rPr>
        <w:t>disputan</w:t>
      </w:r>
      <w:r>
        <w:rPr>
          <w:color w:val="231F20"/>
          <w:spacing w:val="-3"/>
        </w:rPr>
        <w:t> </w:t>
      </w:r>
      <w:r>
        <w:rPr>
          <w:color w:val="231F20"/>
        </w:rPr>
        <w:t>las</w:t>
      </w:r>
      <w:r>
        <w:rPr>
          <w:color w:val="231F20"/>
          <w:spacing w:val="-3"/>
        </w:rPr>
        <w:t> </w:t>
      </w:r>
      <w:r>
        <w:rPr>
          <w:color w:val="231F20"/>
        </w:rPr>
        <w:t>zonas</w:t>
      </w:r>
      <w:r>
        <w:rPr>
          <w:color w:val="231F20"/>
          <w:spacing w:val="-3"/>
        </w:rPr>
        <w:t> </w:t>
      </w:r>
      <w:r>
        <w:rPr>
          <w:color w:val="231F20"/>
        </w:rPr>
        <w:t>andina</w:t>
      </w:r>
      <w:r>
        <w:rPr>
          <w:color w:val="231F20"/>
          <w:spacing w:val="-4"/>
        </w:rPr>
        <w:t> </w:t>
      </w:r>
      <w:r>
        <w:rPr>
          <w:color w:val="231F20"/>
        </w:rPr>
        <w:t>y</w:t>
      </w:r>
      <w:r>
        <w:rPr>
          <w:color w:val="231F20"/>
          <w:spacing w:val="-3"/>
        </w:rPr>
        <w:t> </w:t>
      </w:r>
      <w:r>
        <w:rPr>
          <w:color w:val="231F20"/>
        </w:rPr>
        <w:t>mesoamericana.</w:t>
      </w:r>
      <w:r>
        <w:rPr>
          <w:color w:val="231F20"/>
          <w:spacing w:val="-16"/>
        </w:rPr>
        <w:t> </w:t>
      </w:r>
      <w:r>
        <w:rPr>
          <w:color w:val="231F20"/>
        </w:rPr>
        <w:t>Así</w:t>
      </w:r>
      <w:r>
        <w:rPr>
          <w:color w:val="231F20"/>
          <w:spacing w:val="-3"/>
        </w:rPr>
        <w:t> </w:t>
      </w:r>
      <w:r>
        <w:rPr>
          <w:color w:val="231F20"/>
        </w:rPr>
        <w:t>también</w:t>
      </w:r>
      <w:r>
        <w:rPr>
          <w:color w:val="231F20"/>
          <w:spacing w:val="-3"/>
        </w:rPr>
        <w:t> </w:t>
      </w:r>
      <w:r>
        <w:rPr>
          <w:color w:val="231F20"/>
        </w:rPr>
        <w:t>el</w:t>
      </w:r>
      <w:r>
        <w:rPr>
          <w:color w:val="231F20"/>
          <w:spacing w:val="-3"/>
        </w:rPr>
        <w:t> </w:t>
      </w:r>
      <w:r>
        <w:rPr>
          <w:color w:val="231F20"/>
        </w:rPr>
        <w:t>término</w:t>
      </w:r>
      <w:r>
        <w:rPr>
          <w:color w:val="231F20"/>
          <w:spacing w:val="-15"/>
        </w:rPr>
        <w:t> </w:t>
      </w:r>
      <w:r>
        <w:rPr>
          <w:color w:val="231F20"/>
        </w:rPr>
        <w:t>Annona</w:t>
      </w:r>
      <w:r>
        <w:rPr>
          <w:color w:val="231F20"/>
          <w:spacing w:val="-3"/>
        </w:rPr>
        <w:t> </w:t>
      </w:r>
      <w:r>
        <w:rPr>
          <w:color w:val="231F20"/>
        </w:rPr>
        <w:t>provienen</w:t>
      </w:r>
      <w:r>
        <w:rPr>
          <w:color w:val="231F20"/>
          <w:spacing w:val="-3"/>
        </w:rPr>
        <w:t> </w:t>
      </w:r>
      <w:r>
        <w:rPr>
          <w:color w:val="231F20"/>
        </w:rPr>
        <w:t>del latín anona que significa cosecha anual. Esta fruta considerada como exótica o no convencional es una de las cinco especies del género Annona de mayor interés económico que ha trabajado la Red Mexicana de Anonáceas (REMA). Sin embargo la familia se compone de alrededor de 130 géneros y se estima que existen de 2300 a 2500 especies en todo el mundo. En México existen las cinco es- pecies Annona de interés, dentro de las cuales se encuentra la chirimoya (</w:t>
      </w:r>
      <w:r>
        <w:rPr>
          <w:i/>
          <w:color w:val="231F20"/>
        </w:rPr>
        <w:t>Annona cherimola </w:t>
      </w:r>
      <w:r>
        <w:rPr>
          <w:color w:val="231F20"/>
        </w:rPr>
        <w:t>Mill.) en un lugar muy importante, pero se desconoce la situación precisa del número de géneros y otras especies presentes, así como también las condiciones en relación a su uso y estado de conservación. Actualmente</w:t>
      </w:r>
      <w:r>
        <w:rPr>
          <w:color w:val="231F20"/>
          <w:spacing w:val="-10"/>
        </w:rPr>
        <w:t> </w:t>
      </w:r>
      <w:r>
        <w:rPr>
          <w:color w:val="231F20"/>
        </w:rPr>
        <w:t>el</w:t>
      </w:r>
      <w:r>
        <w:rPr>
          <w:color w:val="231F20"/>
          <w:spacing w:val="-9"/>
        </w:rPr>
        <w:t> </w:t>
      </w:r>
      <w:r>
        <w:rPr>
          <w:color w:val="231F20"/>
        </w:rPr>
        <w:t>Banco</w:t>
      </w:r>
      <w:r>
        <w:rPr>
          <w:color w:val="231F20"/>
          <w:spacing w:val="-9"/>
        </w:rPr>
        <w:t> </w:t>
      </w:r>
      <w:r>
        <w:rPr>
          <w:color w:val="231F20"/>
        </w:rPr>
        <w:t>de</w:t>
      </w:r>
      <w:r>
        <w:rPr>
          <w:color w:val="231F20"/>
          <w:spacing w:val="34"/>
        </w:rPr>
        <w:t> </w:t>
      </w:r>
      <w:r>
        <w:rPr>
          <w:color w:val="231F20"/>
        </w:rPr>
        <w:t>Germoplasma</w:t>
      </w:r>
      <w:r>
        <w:rPr>
          <w:color w:val="231F20"/>
          <w:spacing w:val="-9"/>
        </w:rPr>
        <w:t> </w:t>
      </w:r>
      <w:r>
        <w:rPr>
          <w:color w:val="231F20"/>
        </w:rPr>
        <w:t>de</w:t>
      </w:r>
      <w:r>
        <w:rPr>
          <w:color w:val="231F20"/>
          <w:spacing w:val="-9"/>
        </w:rPr>
        <w:t> </w:t>
      </w:r>
      <w:r>
        <w:rPr>
          <w:color w:val="231F20"/>
        </w:rPr>
        <w:t>Chirimoya</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Fundación</w:t>
      </w:r>
      <w:r>
        <w:rPr>
          <w:color w:val="231F20"/>
          <w:spacing w:val="-9"/>
        </w:rPr>
        <w:t> </w:t>
      </w:r>
      <w:r>
        <w:rPr>
          <w:color w:val="231F20"/>
        </w:rPr>
        <w:t>Sánchez</w:t>
      </w:r>
      <w:r>
        <w:rPr>
          <w:color w:val="231F20"/>
          <w:spacing w:val="-9"/>
        </w:rPr>
        <w:t> </w:t>
      </w:r>
      <w:r>
        <w:rPr>
          <w:color w:val="231F20"/>
        </w:rPr>
        <w:t>Colín</w:t>
      </w:r>
      <w:r>
        <w:rPr>
          <w:color w:val="231F20"/>
          <w:spacing w:val="-9"/>
        </w:rPr>
        <w:t> </w:t>
      </w:r>
      <w:r>
        <w:rPr>
          <w:color w:val="231F20"/>
        </w:rPr>
        <w:t>tiene</w:t>
      </w:r>
      <w:r>
        <w:rPr>
          <w:color w:val="231F20"/>
          <w:spacing w:val="-9"/>
        </w:rPr>
        <w:t> </w:t>
      </w:r>
      <w:r>
        <w:rPr>
          <w:color w:val="231F20"/>
        </w:rPr>
        <w:t>cincuen- ta selecciones, resultado de investigaciones desde el año</w:t>
      </w:r>
      <w:r>
        <w:rPr>
          <w:color w:val="231F20"/>
          <w:spacing w:val="-13"/>
        </w:rPr>
        <w:t> </w:t>
      </w:r>
      <w:r>
        <w:rPr>
          <w:color w:val="231F20"/>
        </w:rPr>
        <w:t>2002.</w:t>
      </w:r>
    </w:p>
    <w:p>
      <w:pPr>
        <w:pStyle w:val="BodyText"/>
        <w:spacing w:before="10"/>
      </w:pPr>
    </w:p>
    <w:p>
      <w:pPr>
        <w:pStyle w:val="BodyText"/>
        <w:spacing w:line="247" w:lineRule="auto"/>
        <w:ind w:left="1270" w:right="1268"/>
        <w:jc w:val="both"/>
      </w:pPr>
      <w:r>
        <w:rPr>
          <w:color w:val="231F20"/>
        </w:rPr>
        <w:t>La chirimoya es la segunda especie de </w:t>
      </w:r>
      <w:r>
        <w:rPr>
          <w:i/>
          <w:color w:val="231F20"/>
        </w:rPr>
        <w:t>Annona </w:t>
      </w:r>
      <w:r>
        <w:rPr>
          <w:color w:val="231F20"/>
        </w:rPr>
        <w:t>mas cultivada en México en superficie, después de la guanábana (</w:t>
      </w:r>
      <w:r>
        <w:rPr>
          <w:i/>
          <w:color w:val="231F20"/>
        </w:rPr>
        <w:t>Annona muricata </w:t>
      </w:r>
      <w:r>
        <w:rPr>
          <w:color w:val="231F20"/>
        </w:rPr>
        <w:t>L.), es una de las especies que tienen grandes expectativas como cultivo</w:t>
      </w:r>
      <w:r>
        <w:rPr>
          <w:color w:val="231F20"/>
          <w:spacing w:val="-8"/>
        </w:rPr>
        <w:t> </w:t>
      </w:r>
      <w:r>
        <w:rPr>
          <w:color w:val="231F20"/>
        </w:rPr>
        <w:t>comercial,</w:t>
      </w:r>
      <w:r>
        <w:rPr>
          <w:color w:val="231F20"/>
          <w:spacing w:val="-8"/>
        </w:rPr>
        <w:t> </w:t>
      </w:r>
      <w:r>
        <w:rPr>
          <w:color w:val="231F20"/>
        </w:rPr>
        <w:t>debido</w:t>
      </w:r>
      <w:r>
        <w:rPr>
          <w:color w:val="231F20"/>
          <w:spacing w:val="-8"/>
        </w:rPr>
        <w:t> </w:t>
      </w:r>
      <w:r>
        <w:rPr>
          <w:color w:val="231F20"/>
        </w:rPr>
        <w:t>a</w:t>
      </w:r>
      <w:r>
        <w:rPr>
          <w:color w:val="231F20"/>
          <w:spacing w:val="-8"/>
        </w:rPr>
        <w:t> </w:t>
      </w:r>
      <w:r>
        <w:rPr>
          <w:color w:val="231F20"/>
        </w:rPr>
        <w:t>su</w:t>
      </w:r>
      <w:r>
        <w:rPr>
          <w:color w:val="231F20"/>
          <w:spacing w:val="-8"/>
        </w:rPr>
        <w:t> </w:t>
      </w:r>
      <w:r>
        <w:rPr>
          <w:color w:val="231F20"/>
        </w:rPr>
        <w:t>gran</w:t>
      </w:r>
      <w:r>
        <w:rPr>
          <w:color w:val="231F20"/>
          <w:spacing w:val="-8"/>
        </w:rPr>
        <w:t> </w:t>
      </w:r>
      <w:r>
        <w:rPr>
          <w:color w:val="231F20"/>
        </w:rPr>
        <w:t>valor</w:t>
      </w:r>
      <w:r>
        <w:rPr>
          <w:color w:val="231F20"/>
          <w:spacing w:val="-8"/>
        </w:rPr>
        <w:t> </w:t>
      </w:r>
      <w:r>
        <w:rPr>
          <w:color w:val="231F20"/>
        </w:rPr>
        <w:t>nutritivo,</w:t>
      </w:r>
      <w:r>
        <w:rPr>
          <w:color w:val="231F20"/>
          <w:spacing w:val="-8"/>
        </w:rPr>
        <w:t> </w:t>
      </w:r>
      <w:r>
        <w:rPr>
          <w:color w:val="231F20"/>
        </w:rPr>
        <w:t>sabor</w:t>
      </w:r>
      <w:r>
        <w:rPr>
          <w:color w:val="231F20"/>
          <w:spacing w:val="-8"/>
        </w:rPr>
        <w:t> </w:t>
      </w:r>
      <w:r>
        <w:rPr>
          <w:color w:val="231F20"/>
        </w:rPr>
        <w:t>agradable</w:t>
      </w:r>
      <w:r>
        <w:rPr>
          <w:color w:val="231F20"/>
          <w:spacing w:val="-9"/>
        </w:rPr>
        <w:t> </w:t>
      </w:r>
      <w:r>
        <w:rPr>
          <w:color w:val="231F20"/>
        </w:rPr>
        <w:t>y</w:t>
      </w:r>
      <w:r>
        <w:rPr>
          <w:color w:val="231F20"/>
          <w:spacing w:val="-8"/>
        </w:rPr>
        <w:t> </w:t>
      </w:r>
      <w:r>
        <w:rPr>
          <w:color w:val="231F20"/>
        </w:rPr>
        <w:t>variados</w:t>
      </w:r>
      <w:r>
        <w:rPr>
          <w:color w:val="231F20"/>
          <w:spacing w:val="-8"/>
        </w:rPr>
        <w:t> </w:t>
      </w:r>
      <w:r>
        <w:rPr>
          <w:color w:val="231F20"/>
        </w:rPr>
        <w:t>usos</w:t>
      </w:r>
      <w:r>
        <w:rPr>
          <w:color w:val="231F20"/>
          <w:spacing w:val="-8"/>
        </w:rPr>
        <w:t> </w:t>
      </w:r>
      <w:r>
        <w:rPr>
          <w:color w:val="231F20"/>
        </w:rPr>
        <w:t>en</w:t>
      </w:r>
      <w:r>
        <w:rPr>
          <w:color w:val="231F20"/>
          <w:spacing w:val="-8"/>
        </w:rPr>
        <w:t> </w:t>
      </w:r>
      <w:r>
        <w:rPr>
          <w:color w:val="231F20"/>
        </w:rPr>
        <w:t>forma</w:t>
      </w:r>
      <w:r>
        <w:rPr>
          <w:color w:val="231F20"/>
          <w:spacing w:val="-8"/>
        </w:rPr>
        <w:t> </w:t>
      </w:r>
      <w:r>
        <w:rPr>
          <w:color w:val="231F20"/>
        </w:rPr>
        <w:t>de</w:t>
      </w:r>
      <w:r>
        <w:rPr>
          <w:color w:val="231F20"/>
          <w:spacing w:val="-8"/>
        </w:rPr>
        <w:t> </w:t>
      </w:r>
      <w:r>
        <w:rPr>
          <w:color w:val="231F20"/>
        </w:rPr>
        <w:t>futo, helados,</w:t>
      </w:r>
      <w:r>
        <w:rPr>
          <w:color w:val="231F20"/>
          <w:spacing w:val="-6"/>
        </w:rPr>
        <w:t> </w:t>
      </w:r>
      <w:r>
        <w:rPr>
          <w:color w:val="231F20"/>
        </w:rPr>
        <w:t>mermelada,</w:t>
      </w:r>
      <w:r>
        <w:rPr>
          <w:color w:val="231F20"/>
          <w:spacing w:val="-6"/>
        </w:rPr>
        <w:t> </w:t>
      </w:r>
      <w:r>
        <w:rPr>
          <w:color w:val="231F20"/>
        </w:rPr>
        <w:t>pulpa,</w:t>
      </w:r>
      <w:r>
        <w:rPr>
          <w:color w:val="231F20"/>
          <w:spacing w:val="-6"/>
        </w:rPr>
        <w:t> </w:t>
      </w:r>
      <w:r>
        <w:rPr>
          <w:color w:val="231F20"/>
        </w:rPr>
        <w:t>como</w:t>
      </w:r>
      <w:r>
        <w:rPr>
          <w:color w:val="231F20"/>
          <w:spacing w:val="-6"/>
        </w:rPr>
        <w:t> </w:t>
      </w:r>
      <w:r>
        <w:rPr>
          <w:color w:val="231F20"/>
        </w:rPr>
        <w:t>tonificante,</w:t>
      </w:r>
      <w:r>
        <w:rPr>
          <w:color w:val="231F20"/>
          <w:spacing w:val="-6"/>
        </w:rPr>
        <w:t> </w:t>
      </w:r>
      <w:r>
        <w:rPr>
          <w:color w:val="231F20"/>
        </w:rPr>
        <w:t>vigorizante</w:t>
      </w:r>
      <w:r>
        <w:rPr>
          <w:color w:val="231F20"/>
          <w:spacing w:val="-6"/>
        </w:rPr>
        <w:t> </w:t>
      </w:r>
      <w:r>
        <w:rPr>
          <w:color w:val="231F20"/>
        </w:rPr>
        <w:t>por</w:t>
      </w:r>
      <w:r>
        <w:rPr>
          <w:color w:val="231F20"/>
          <w:spacing w:val="-6"/>
        </w:rPr>
        <w:t> </w:t>
      </w:r>
      <w:r>
        <w:rPr>
          <w:color w:val="231F20"/>
        </w:rPr>
        <w:t>su</w:t>
      </w:r>
      <w:r>
        <w:rPr>
          <w:color w:val="231F20"/>
          <w:spacing w:val="-6"/>
        </w:rPr>
        <w:t> </w:t>
      </w:r>
      <w:r>
        <w:rPr>
          <w:color w:val="231F20"/>
        </w:rPr>
        <w:t>contenido</w:t>
      </w:r>
      <w:r>
        <w:rPr>
          <w:color w:val="231F20"/>
          <w:spacing w:val="-6"/>
        </w:rPr>
        <w:t> </w:t>
      </w:r>
      <w:r>
        <w:rPr>
          <w:color w:val="231F20"/>
        </w:rPr>
        <w:t>de</w:t>
      </w:r>
      <w:r>
        <w:rPr>
          <w:color w:val="231F20"/>
          <w:spacing w:val="-6"/>
        </w:rPr>
        <w:t> </w:t>
      </w:r>
      <w:r>
        <w:rPr>
          <w:color w:val="231F20"/>
        </w:rPr>
        <w:t>azúcar,</w:t>
      </w:r>
      <w:r>
        <w:rPr>
          <w:color w:val="231F20"/>
          <w:spacing w:val="-6"/>
        </w:rPr>
        <w:t> </w:t>
      </w:r>
      <w:r>
        <w:rPr>
          <w:color w:val="231F20"/>
        </w:rPr>
        <w:t>calcio,</w:t>
      </w:r>
      <w:r>
        <w:rPr>
          <w:color w:val="231F20"/>
          <w:spacing w:val="-6"/>
        </w:rPr>
        <w:t> </w:t>
      </w:r>
      <w:r>
        <w:rPr>
          <w:color w:val="231F20"/>
        </w:rPr>
        <w:t>fósforo y hierro, vitaminas de complejo B, vitamina C y pequeñas cantidades de vitamina A, por ello es re- comendable</w:t>
      </w:r>
      <w:r>
        <w:rPr>
          <w:color w:val="231F20"/>
          <w:spacing w:val="-8"/>
        </w:rPr>
        <w:t> </w:t>
      </w:r>
      <w:r>
        <w:rPr>
          <w:color w:val="231F20"/>
        </w:rPr>
        <w:t>su</w:t>
      </w:r>
      <w:r>
        <w:rPr>
          <w:color w:val="231F20"/>
          <w:spacing w:val="-7"/>
        </w:rPr>
        <w:t> </w:t>
      </w:r>
      <w:r>
        <w:rPr>
          <w:color w:val="231F20"/>
        </w:rPr>
        <w:t>consumo</w:t>
      </w:r>
      <w:r>
        <w:rPr>
          <w:color w:val="231F20"/>
          <w:spacing w:val="-8"/>
        </w:rPr>
        <w:t> </w:t>
      </w:r>
      <w:r>
        <w:rPr>
          <w:color w:val="231F20"/>
        </w:rPr>
        <w:t>humano.</w:t>
      </w:r>
      <w:r>
        <w:rPr>
          <w:color w:val="231F20"/>
          <w:spacing w:val="-7"/>
        </w:rPr>
        <w:t> </w:t>
      </w:r>
      <w:r>
        <w:rPr>
          <w:color w:val="231F20"/>
        </w:rPr>
        <w:t>Paradógicamente</w:t>
      </w:r>
      <w:r>
        <w:rPr>
          <w:color w:val="231F20"/>
          <w:spacing w:val="-6"/>
        </w:rPr>
        <w:t> </w:t>
      </w:r>
      <w:r>
        <w:rPr>
          <w:color w:val="231F20"/>
        </w:rPr>
        <w:t>también</w:t>
      </w:r>
      <w:r>
        <w:rPr>
          <w:color w:val="231F20"/>
          <w:spacing w:val="-8"/>
        </w:rPr>
        <w:t> </w:t>
      </w:r>
      <w:r>
        <w:rPr>
          <w:color w:val="231F20"/>
        </w:rPr>
        <w:t>es</w:t>
      </w:r>
      <w:r>
        <w:rPr>
          <w:color w:val="231F20"/>
          <w:spacing w:val="-7"/>
        </w:rPr>
        <w:t> </w:t>
      </w:r>
      <w:r>
        <w:rPr>
          <w:color w:val="231F20"/>
        </w:rPr>
        <w:t>recomendable</w:t>
      </w:r>
      <w:r>
        <w:rPr>
          <w:color w:val="231F20"/>
          <w:spacing w:val="-7"/>
        </w:rPr>
        <w:t> </w:t>
      </w:r>
      <w:r>
        <w:rPr>
          <w:color w:val="231F20"/>
        </w:rPr>
        <w:t>para</w:t>
      </w:r>
      <w:r>
        <w:rPr>
          <w:color w:val="231F20"/>
          <w:spacing w:val="-7"/>
        </w:rPr>
        <w:t> </w:t>
      </w:r>
      <w:r>
        <w:rPr>
          <w:color w:val="231F20"/>
        </w:rPr>
        <w:t>bajar</w:t>
      </w:r>
      <w:r>
        <w:rPr>
          <w:color w:val="231F20"/>
          <w:spacing w:val="-7"/>
        </w:rPr>
        <w:t> </w:t>
      </w:r>
      <w:r>
        <w:rPr>
          <w:color w:val="231F20"/>
        </w:rPr>
        <w:t>de</w:t>
      </w:r>
      <w:r>
        <w:rPr>
          <w:color w:val="231F20"/>
          <w:spacing w:val="-7"/>
        </w:rPr>
        <w:t> </w:t>
      </w:r>
      <w:r>
        <w:rPr>
          <w:color w:val="231F20"/>
        </w:rPr>
        <w:t>peso</w:t>
      </w:r>
      <w:r>
        <w:rPr>
          <w:color w:val="231F20"/>
          <w:spacing w:val="-7"/>
        </w:rPr>
        <w:t> </w:t>
      </w:r>
      <w:r>
        <w:rPr>
          <w:color w:val="231F20"/>
        </w:rPr>
        <w:t>por su efecto saciante y regulador de glucosa en la sangre, también por la fibra que contiene. Es rica en potasio, tiene poco sodio y trazas de grasa, además es diurética y resulta un alimento saludable para quienes padecen de insuficiencia</w:t>
      </w:r>
      <w:r>
        <w:rPr>
          <w:color w:val="231F20"/>
          <w:spacing w:val="-11"/>
        </w:rPr>
        <w:t> </w:t>
      </w:r>
      <w:r>
        <w:rPr>
          <w:color w:val="231F20"/>
        </w:rPr>
        <w:t>cardiaca.</w:t>
      </w:r>
    </w:p>
    <w:p>
      <w:pPr>
        <w:spacing w:after="0" w:line="247" w:lineRule="auto"/>
        <w:jc w:val="both"/>
        <w:sectPr>
          <w:pgSz w:w="10920" w:h="13080"/>
          <w:pgMar w:header="0" w:footer="965" w:top="420" w:bottom="1220" w:left="0" w:right="0"/>
        </w:sectPr>
      </w:pPr>
    </w:p>
    <w:p>
      <w:pPr>
        <w:pStyle w:val="BodyText"/>
        <w:rPr>
          <w:sz w:val="20"/>
        </w:rPr>
      </w:pPr>
    </w:p>
    <w:p>
      <w:pPr>
        <w:pStyle w:val="BodyText"/>
        <w:rPr>
          <w:sz w:val="20"/>
        </w:rPr>
      </w:pPr>
    </w:p>
    <w:p>
      <w:pPr>
        <w:pStyle w:val="BodyText"/>
        <w:rPr>
          <w:sz w:val="23"/>
        </w:rPr>
      </w:pPr>
    </w:p>
    <w:p>
      <w:pPr>
        <w:pStyle w:val="BodyText"/>
        <w:spacing w:line="247" w:lineRule="auto" w:before="73"/>
        <w:ind w:left="1270" w:right="1267"/>
        <w:jc w:val="both"/>
      </w:pPr>
      <w:r>
        <w:rPr>
          <w:color w:val="231F20"/>
        </w:rPr>
        <w:t>Amén de que se le atribuyen otros usos que mencionan Andrés Aguilar y Andrés Hernández, 2011, entre</w:t>
      </w:r>
      <w:r>
        <w:rPr>
          <w:color w:val="231F20"/>
          <w:spacing w:val="-11"/>
        </w:rPr>
        <w:t> </w:t>
      </w:r>
      <w:r>
        <w:rPr>
          <w:color w:val="231F20"/>
        </w:rPr>
        <w:t>los</w:t>
      </w:r>
      <w:r>
        <w:rPr>
          <w:color w:val="231F20"/>
          <w:spacing w:val="-11"/>
        </w:rPr>
        <w:t> </w:t>
      </w:r>
      <w:r>
        <w:rPr>
          <w:color w:val="231F20"/>
        </w:rPr>
        <w:t>cuales</w:t>
      </w:r>
      <w:r>
        <w:rPr>
          <w:color w:val="231F20"/>
          <w:spacing w:val="-11"/>
        </w:rPr>
        <w:t> </w:t>
      </w:r>
      <w:r>
        <w:rPr>
          <w:color w:val="231F20"/>
        </w:rPr>
        <w:t>destacan</w:t>
      </w:r>
      <w:r>
        <w:rPr>
          <w:color w:val="231F20"/>
          <w:spacing w:val="-10"/>
        </w:rPr>
        <w:t> </w:t>
      </w:r>
      <w:r>
        <w:rPr>
          <w:color w:val="231F20"/>
        </w:rPr>
        <w:t>sus</w:t>
      </w:r>
      <w:r>
        <w:rPr>
          <w:color w:val="231F20"/>
          <w:spacing w:val="-10"/>
        </w:rPr>
        <w:t> </w:t>
      </w:r>
      <w:r>
        <w:rPr>
          <w:color w:val="231F20"/>
        </w:rPr>
        <w:t>propiedades</w:t>
      </w:r>
      <w:r>
        <w:rPr>
          <w:color w:val="231F20"/>
          <w:spacing w:val="-10"/>
        </w:rPr>
        <w:t> </w:t>
      </w:r>
      <w:r>
        <w:rPr>
          <w:color w:val="231F20"/>
        </w:rPr>
        <w:t>antibacterianas,</w:t>
      </w:r>
      <w:r>
        <w:rPr>
          <w:color w:val="231F20"/>
          <w:spacing w:val="-11"/>
        </w:rPr>
        <w:t> </w:t>
      </w:r>
      <w:r>
        <w:rPr>
          <w:color w:val="231F20"/>
        </w:rPr>
        <w:t>lombricida,</w:t>
      </w:r>
      <w:r>
        <w:rPr>
          <w:color w:val="231F20"/>
          <w:spacing w:val="-11"/>
        </w:rPr>
        <w:t> </w:t>
      </w:r>
      <w:r>
        <w:rPr>
          <w:color w:val="231F20"/>
        </w:rPr>
        <w:t>repelente</w:t>
      </w:r>
      <w:r>
        <w:rPr>
          <w:color w:val="231F20"/>
          <w:spacing w:val="-10"/>
        </w:rPr>
        <w:t> </w:t>
      </w:r>
      <w:r>
        <w:rPr>
          <w:color w:val="231F20"/>
        </w:rPr>
        <w:t>de</w:t>
      </w:r>
      <w:r>
        <w:rPr>
          <w:color w:val="231F20"/>
          <w:spacing w:val="-10"/>
        </w:rPr>
        <w:t> </w:t>
      </w:r>
      <w:r>
        <w:rPr>
          <w:color w:val="231F20"/>
        </w:rPr>
        <w:t>plagas,</w:t>
      </w:r>
      <w:r>
        <w:rPr>
          <w:color w:val="231F20"/>
          <w:spacing w:val="-10"/>
        </w:rPr>
        <w:t> </w:t>
      </w:r>
      <w:r>
        <w:rPr>
          <w:color w:val="231F20"/>
        </w:rPr>
        <w:t>extracción de</w:t>
      </w:r>
      <w:r>
        <w:rPr>
          <w:color w:val="231F20"/>
          <w:spacing w:val="-8"/>
        </w:rPr>
        <w:t> </w:t>
      </w:r>
      <w:r>
        <w:rPr>
          <w:color w:val="231F20"/>
        </w:rPr>
        <w:t>aceites</w:t>
      </w:r>
      <w:r>
        <w:rPr>
          <w:color w:val="231F20"/>
          <w:spacing w:val="-8"/>
        </w:rPr>
        <w:t> </w:t>
      </w:r>
      <w:r>
        <w:rPr>
          <w:color w:val="231F20"/>
        </w:rPr>
        <w:t>aromáticos,</w:t>
      </w:r>
      <w:r>
        <w:rPr>
          <w:color w:val="231F20"/>
          <w:spacing w:val="-8"/>
        </w:rPr>
        <w:t> </w:t>
      </w:r>
      <w:r>
        <w:rPr>
          <w:color w:val="231F20"/>
        </w:rPr>
        <w:t>insecticida</w:t>
      </w:r>
      <w:r>
        <w:rPr>
          <w:color w:val="231F20"/>
          <w:spacing w:val="-8"/>
        </w:rPr>
        <w:t> </w:t>
      </w:r>
      <w:r>
        <w:rPr>
          <w:color w:val="231F20"/>
        </w:rPr>
        <w:t>por</w:t>
      </w:r>
      <w:r>
        <w:rPr>
          <w:color w:val="231F20"/>
          <w:spacing w:val="-8"/>
        </w:rPr>
        <w:t> </w:t>
      </w:r>
      <w:r>
        <w:rPr>
          <w:color w:val="231F20"/>
        </w:rPr>
        <w:t>la</w:t>
      </w:r>
      <w:r>
        <w:rPr>
          <w:color w:val="231F20"/>
          <w:spacing w:val="-8"/>
        </w:rPr>
        <w:t> </w:t>
      </w:r>
      <w:r>
        <w:rPr>
          <w:color w:val="231F20"/>
        </w:rPr>
        <w:t>presencia</w:t>
      </w:r>
      <w:r>
        <w:rPr>
          <w:color w:val="231F20"/>
          <w:spacing w:val="-8"/>
        </w:rPr>
        <w:t> </w:t>
      </w:r>
      <w:r>
        <w:rPr>
          <w:color w:val="231F20"/>
        </w:rPr>
        <w:t>de</w:t>
      </w:r>
      <w:r>
        <w:rPr>
          <w:color w:val="231F20"/>
          <w:spacing w:val="-8"/>
        </w:rPr>
        <w:t> </w:t>
      </w:r>
      <w:r>
        <w:rPr>
          <w:color w:val="231F20"/>
        </w:rPr>
        <w:t>flavonoides</w:t>
      </w:r>
      <w:r>
        <w:rPr>
          <w:color w:val="231F20"/>
          <w:spacing w:val="-8"/>
        </w:rPr>
        <w:t> </w:t>
      </w:r>
      <w:r>
        <w:rPr>
          <w:color w:val="231F20"/>
        </w:rPr>
        <w:t>y</w:t>
      </w:r>
      <w:r>
        <w:rPr>
          <w:color w:val="231F20"/>
          <w:spacing w:val="-8"/>
        </w:rPr>
        <w:t> </w:t>
      </w:r>
      <w:r>
        <w:rPr>
          <w:color w:val="231F20"/>
        </w:rPr>
        <w:t>alcaloides,</w:t>
      </w:r>
      <w:r>
        <w:rPr>
          <w:color w:val="231F20"/>
          <w:spacing w:val="-8"/>
        </w:rPr>
        <w:t> </w:t>
      </w:r>
      <w:r>
        <w:rPr>
          <w:color w:val="231F20"/>
        </w:rPr>
        <w:t>para</w:t>
      </w:r>
      <w:r>
        <w:rPr>
          <w:color w:val="231F20"/>
          <w:spacing w:val="-8"/>
        </w:rPr>
        <w:t> </w:t>
      </w:r>
      <w:r>
        <w:rPr>
          <w:color w:val="231F20"/>
        </w:rPr>
        <w:t>elaborar</w:t>
      </w:r>
      <w:r>
        <w:rPr>
          <w:color w:val="231F20"/>
          <w:spacing w:val="-8"/>
        </w:rPr>
        <w:t> </w:t>
      </w:r>
      <w:r>
        <w:rPr>
          <w:color w:val="231F20"/>
        </w:rPr>
        <w:t>biocom- bustible y para algunas enfermedades de la piel e inflamación</w:t>
      </w:r>
      <w:r>
        <w:rPr>
          <w:color w:val="231F20"/>
          <w:spacing w:val="-24"/>
        </w:rPr>
        <w:t> </w:t>
      </w:r>
      <w:r>
        <w:rPr>
          <w:color w:val="231F20"/>
        </w:rPr>
        <w:t>ocular.</w:t>
      </w:r>
    </w:p>
    <w:p>
      <w:pPr>
        <w:pStyle w:val="BodyText"/>
        <w:spacing w:before="10"/>
      </w:pPr>
    </w:p>
    <w:p>
      <w:pPr>
        <w:pStyle w:val="BodyText"/>
        <w:spacing w:line="247" w:lineRule="auto"/>
        <w:ind w:left="1270" w:right="1265"/>
        <w:jc w:val="both"/>
      </w:pPr>
      <w:r>
        <w:rPr>
          <w:color w:val="231F20"/>
          <w:spacing w:val="-3"/>
        </w:rPr>
        <w:t>Por</w:t>
      </w:r>
      <w:r>
        <w:rPr>
          <w:color w:val="231F20"/>
          <w:spacing w:val="-10"/>
        </w:rPr>
        <w:t> </w:t>
      </w:r>
      <w:r>
        <w:rPr>
          <w:color w:val="231F20"/>
          <w:spacing w:val="-3"/>
        </w:rPr>
        <w:t>otra</w:t>
      </w:r>
      <w:r>
        <w:rPr>
          <w:color w:val="231F20"/>
          <w:spacing w:val="-10"/>
        </w:rPr>
        <w:t> </w:t>
      </w:r>
      <w:r>
        <w:rPr>
          <w:color w:val="231F20"/>
          <w:spacing w:val="-4"/>
        </w:rPr>
        <w:t>parte</w:t>
      </w:r>
      <w:r>
        <w:rPr>
          <w:color w:val="231F20"/>
          <w:spacing w:val="-10"/>
        </w:rPr>
        <w:t> </w:t>
      </w:r>
      <w:r>
        <w:rPr>
          <w:color w:val="231F20"/>
        </w:rPr>
        <w:t>el</w:t>
      </w:r>
      <w:r>
        <w:rPr>
          <w:color w:val="231F20"/>
          <w:spacing w:val="-10"/>
        </w:rPr>
        <w:t> </w:t>
      </w:r>
      <w:r>
        <w:rPr>
          <w:color w:val="231F20"/>
          <w:spacing w:val="-3"/>
        </w:rPr>
        <w:t>uso</w:t>
      </w:r>
      <w:r>
        <w:rPr>
          <w:color w:val="231F20"/>
          <w:spacing w:val="-10"/>
        </w:rPr>
        <w:t> </w:t>
      </w:r>
      <w:r>
        <w:rPr>
          <w:color w:val="231F20"/>
        </w:rPr>
        <w:t>y</w:t>
      </w:r>
      <w:r>
        <w:rPr>
          <w:color w:val="231F20"/>
          <w:spacing w:val="-10"/>
        </w:rPr>
        <w:t> </w:t>
      </w:r>
      <w:r>
        <w:rPr>
          <w:color w:val="231F20"/>
          <w:spacing w:val="-4"/>
        </w:rPr>
        <w:t>conservación</w:t>
      </w:r>
      <w:r>
        <w:rPr>
          <w:color w:val="231F20"/>
          <w:spacing w:val="-10"/>
        </w:rPr>
        <w:t> </w:t>
      </w:r>
      <w:r>
        <w:rPr>
          <w:color w:val="231F20"/>
        </w:rPr>
        <w:t>de</w:t>
      </w:r>
      <w:r>
        <w:rPr>
          <w:color w:val="231F20"/>
          <w:spacing w:val="-10"/>
        </w:rPr>
        <w:t> </w:t>
      </w:r>
      <w:r>
        <w:rPr>
          <w:color w:val="231F20"/>
          <w:spacing w:val="-3"/>
        </w:rPr>
        <w:t>las</w:t>
      </w:r>
      <w:r>
        <w:rPr>
          <w:color w:val="231F20"/>
          <w:spacing w:val="-10"/>
        </w:rPr>
        <w:t> </w:t>
      </w:r>
      <w:r>
        <w:rPr>
          <w:color w:val="231F20"/>
          <w:spacing w:val="-4"/>
        </w:rPr>
        <w:t>anonas</w:t>
      </w:r>
      <w:r>
        <w:rPr>
          <w:color w:val="231F20"/>
          <w:spacing w:val="-10"/>
        </w:rPr>
        <w:t> </w:t>
      </w:r>
      <w:r>
        <w:rPr>
          <w:color w:val="231F20"/>
        </w:rPr>
        <w:t>en</w:t>
      </w:r>
      <w:r>
        <w:rPr>
          <w:color w:val="231F20"/>
          <w:spacing w:val="-10"/>
        </w:rPr>
        <w:t> </w:t>
      </w:r>
      <w:r>
        <w:rPr>
          <w:color w:val="231F20"/>
          <w:spacing w:val="-4"/>
        </w:rPr>
        <w:t>general</w:t>
      </w:r>
      <w:r>
        <w:rPr>
          <w:color w:val="231F20"/>
          <w:spacing w:val="-10"/>
        </w:rPr>
        <w:t> </w:t>
      </w:r>
      <w:r>
        <w:rPr>
          <w:color w:val="231F20"/>
        </w:rPr>
        <w:t>es</w:t>
      </w:r>
      <w:r>
        <w:rPr>
          <w:color w:val="231F20"/>
          <w:spacing w:val="-10"/>
        </w:rPr>
        <w:t> </w:t>
      </w:r>
      <w:r>
        <w:rPr>
          <w:color w:val="231F20"/>
          <w:spacing w:val="-3"/>
        </w:rPr>
        <w:t>aún</w:t>
      </w:r>
      <w:r>
        <w:rPr>
          <w:color w:val="231F20"/>
          <w:spacing w:val="-10"/>
        </w:rPr>
        <w:t> </w:t>
      </w:r>
      <w:r>
        <w:rPr>
          <w:color w:val="231F20"/>
          <w:spacing w:val="-4"/>
        </w:rPr>
        <w:t>incipiente</w:t>
      </w:r>
      <w:r>
        <w:rPr>
          <w:color w:val="231F20"/>
          <w:spacing w:val="-10"/>
        </w:rPr>
        <w:t> </w:t>
      </w:r>
      <w:r>
        <w:rPr>
          <w:color w:val="231F20"/>
        </w:rPr>
        <w:t>en</w:t>
      </w:r>
      <w:r>
        <w:rPr>
          <w:color w:val="231F20"/>
          <w:spacing w:val="-10"/>
        </w:rPr>
        <w:t> </w:t>
      </w:r>
      <w:r>
        <w:rPr>
          <w:color w:val="231F20"/>
          <w:spacing w:val="-4"/>
        </w:rPr>
        <w:t>nuestro</w:t>
      </w:r>
      <w:r>
        <w:rPr>
          <w:color w:val="231F20"/>
          <w:spacing w:val="-10"/>
        </w:rPr>
        <w:t> </w:t>
      </w:r>
      <w:r>
        <w:rPr>
          <w:color w:val="231F20"/>
          <w:spacing w:val="-4"/>
        </w:rPr>
        <w:t>país,</w:t>
      </w:r>
      <w:r>
        <w:rPr>
          <w:color w:val="231F20"/>
          <w:spacing w:val="-10"/>
        </w:rPr>
        <w:t> </w:t>
      </w:r>
      <w:r>
        <w:rPr>
          <w:color w:val="231F20"/>
          <w:spacing w:val="-4"/>
        </w:rPr>
        <w:t>desperdi- ciando </w:t>
      </w:r>
      <w:r>
        <w:rPr>
          <w:color w:val="231F20"/>
        </w:rPr>
        <w:t>su </w:t>
      </w:r>
      <w:r>
        <w:rPr>
          <w:color w:val="231F20"/>
          <w:spacing w:val="-3"/>
        </w:rPr>
        <w:t>gran </w:t>
      </w:r>
      <w:r>
        <w:rPr>
          <w:color w:val="231F20"/>
          <w:spacing w:val="-4"/>
        </w:rPr>
        <w:t>potencial productivo principalmente </w:t>
      </w:r>
      <w:r>
        <w:rPr>
          <w:color w:val="231F20"/>
        </w:rPr>
        <w:t>en </w:t>
      </w:r>
      <w:r>
        <w:rPr>
          <w:color w:val="231F20"/>
          <w:spacing w:val="-4"/>
        </w:rPr>
        <w:t>algunas zonas </w:t>
      </w:r>
      <w:r>
        <w:rPr>
          <w:color w:val="231F20"/>
          <w:spacing w:val="-3"/>
        </w:rPr>
        <w:t>que </w:t>
      </w:r>
      <w:r>
        <w:rPr>
          <w:color w:val="231F20"/>
          <w:spacing w:val="-4"/>
        </w:rPr>
        <w:t>tienen condiciones ambienta- </w:t>
      </w:r>
      <w:r>
        <w:rPr>
          <w:color w:val="231F20"/>
          <w:spacing w:val="-3"/>
        </w:rPr>
        <w:t>les</w:t>
      </w:r>
      <w:r>
        <w:rPr>
          <w:color w:val="231F20"/>
          <w:spacing w:val="-15"/>
        </w:rPr>
        <w:t> </w:t>
      </w:r>
      <w:r>
        <w:rPr>
          <w:color w:val="231F20"/>
          <w:spacing w:val="-4"/>
        </w:rPr>
        <w:t>favorables.</w:t>
      </w:r>
      <w:r>
        <w:rPr>
          <w:color w:val="231F20"/>
          <w:spacing w:val="-15"/>
        </w:rPr>
        <w:t> </w:t>
      </w:r>
      <w:r>
        <w:rPr>
          <w:color w:val="231F20"/>
        </w:rPr>
        <w:t>La</w:t>
      </w:r>
      <w:r>
        <w:rPr>
          <w:color w:val="231F20"/>
          <w:spacing w:val="-15"/>
        </w:rPr>
        <w:t> </w:t>
      </w:r>
      <w:r>
        <w:rPr>
          <w:color w:val="231F20"/>
          <w:spacing w:val="-4"/>
        </w:rPr>
        <w:t>chirimoya</w:t>
      </w:r>
      <w:r>
        <w:rPr>
          <w:color w:val="231F20"/>
          <w:spacing w:val="-15"/>
        </w:rPr>
        <w:t> </w:t>
      </w:r>
      <w:r>
        <w:rPr>
          <w:color w:val="231F20"/>
        </w:rPr>
        <w:t>es</w:t>
      </w:r>
      <w:r>
        <w:rPr>
          <w:color w:val="231F20"/>
          <w:spacing w:val="-15"/>
        </w:rPr>
        <w:t> </w:t>
      </w:r>
      <w:r>
        <w:rPr>
          <w:color w:val="231F20"/>
        </w:rPr>
        <w:t>la</w:t>
      </w:r>
      <w:r>
        <w:rPr>
          <w:color w:val="231F20"/>
          <w:spacing w:val="-15"/>
        </w:rPr>
        <w:t> </w:t>
      </w:r>
      <w:r>
        <w:rPr>
          <w:color w:val="231F20"/>
          <w:spacing w:val="-4"/>
        </w:rPr>
        <w:t>única</w:t>
      </w:r>
      <w:r>
        <w:rPr>
          <w:color w:val="231F20"/>
          <w:spacing w:val="-15"/>
        </w:rPr>
        <w:t> </w:t>
      </w:r>
      <w:r>
        <w:rPr>
          <w:color w:val="231F20"/>
          <w:spacing w:val="-3"/>
        </w:rPr>
        <w:t>que</w:t>
      </w:r>
      <w:r>
        <w:rPr>
          <w:color w:val="231F20"/>
          <w:spacing w:val="-15"/>
        </w:rPr>
        <w:t> </w:t>
      </w:r>
      <w:r>
        <w:rPr>
          <w:color w:val="231F20"/>
        </w:rPr>
        <w:t>se</w:t>
      </w:r>
      <w:r>
        <w:rPr>
          <w:color w:val="231F20"/>
          <w:spacing w:val="-15"/>
        </w:rPr>
        <w:t> </w:t>
      </w:r>
      <w:r>
        <w:rPr>
          <w:color w:val="231F20"/>
          <w:spacing w:val="-4"/>
        </w:rPr>
        <w:t>encuentra</w:t>
      </w:r>
      <w:r>
        <w:rPr>
          <w:color w:val="231F20"/>
          <w:spacing w:val="-15"/>
        </w:rPr>
        <w:t> </w:t>
      </w:r>
      <w:r>
        <w:rPr>
          <w:color w:val="231F20"/>
        </w:rPr>
        <w:t>en</w:t>
      </w:r>
      <w:r>
        <w:rPr>
          <w:color w:val="231F20"/>
          <w:spacing w:val="-15"/>
        </w:rPr>
        <w:t> </w:t>
      </w:r>
      <w:r>
        <w:rPr>
          <w:color w:val="231F20"/>
          <w:spacing w:val="-4"/>
        </w:rPr>
        <w:t>regiones</w:t>
      </w:r>
      <w:r>
        <w:rPr>
          <w:color w:val="231F20"/>
          <w:spacing w:val="-15"/>
        </w:rPr>
        <w:t> </w:t>
      </w:r>
      <w:r>
        <w:rPr>
          <w:color w:val="231F20"/>
          <w:spacing w:val="-4"/>
        </w:rPr>
        <w:t>subtropicales</w:t>
      </w:r>
      <w:r>
        <w:rPr>
          <w:color w:val="231F20"/>
          <w:spacing w:val="-15"/>
        </w:rPr>
        <w:t> </w:t>
      </w:r>
      <w:r>
        <w:rPr>
          <w:color w:val="231F20"/>
        </w:rPr>
        <w:t>de</w:t>
      </w:r>
      <w:r>
        <w:rPr>
          <w:color w:val="231F20"/>
          <w:spacing w:val="-15"/>
        </w:rPr>
        <w:t> </w:t>
      </w:r>
      <w:r>
        <w:rPr>
          <w:color w:val="231F20"/>
          <w:spacing w:val="-4"/>
        </w:rPr>
        <w:t>Chiapas,</w:t>
      </w:r>
      <w:r>
        <w:rPr>
          <w:color w:val="231F20"/>
          <w:spacing w:val="-19"/>
        </w:rPr>
        <w:t> </w:t>
      </w:r>
      <w:r>
        <w:rPr>
          <w:color w:val="231F20"/>
          <w:spacing w:val="-7"/>
        </w:rPr>
        <w:t>Veracruz, </w:t>
      </w:r>
      <w:r>
        <w:rPr>
          <w:color w:val="231F20"/>
          <w:spacing w:val="-4"/>
        </w:rPr>
        <w:t>Michoacán, Oaxaca, Estado </w:t>
      </w:r>
      <w:r>
        <w:rPr>
          <w:color w:val="231F20"/>
        </w:rPr>
        <w:t>de </w:t>
      </w:r>
      <w:r>
        <w:rPr>
          <w:color w:val="231F20"/>
          <w:spacing w:val="-4"/>
        </w:rPr>
        <w:t>México, Hidalgo, Guanajuato, Jalisco </w:t>
      </w:r>
      <w:r>
        <w:rPr>
          <w:color w:val="231F20"/>
        </w:rPr>
        <w:t>y </w:t>
      </w:r>
      <w:r>
        <w:rPr>
          <w:color w:val="231F20"/>
          <w:spacing w:val="-4"/>
        </w:rPr>
        <w:t>Morelos, </w:t>
      </w:r>
      <w:r>
        <w:rPr>
          <w:color w:val="231F20"/>
        </w:rPr>
        <w:t>en </w:t>
      </w:r>
      <w:r>
        <w:rPr>
          <w:color w:val="231F20"/>
          <w:spacing w:val="-4"/>
        </w:rPr>
        <w:t>altitudes entre 700 </w:t>
      </w:r>
      <w:r>
        <w:rPr>
          <w:color w:val="231F20"/>
        </w:rPr>
        <w:t>y</w:t>
      </w:r>
      <w:r>
        <w:rPr>
          <w:color w:val="231F20"/>
          <w:spacing w:val="-12"/>
        </w:rPr>
        <w:t> </w:t>
      </w:r>
      <w:r>
        <w:rPr>
          <w:color w:val="231F20"/>
          <w:spacing w:val="-4"/>
        </w:rPr>
        <w:t>2,200</w:t>
      </w:r>
      <w:r>
        <w:rPr>
          <w:color w:val="231F20"/>
          <w:spacing w:val="-12"/>
        </w:rPr>
        <w:t> </w:t>
      </w:r>
      <w:r>
        <w:rPr>
          <w:color w:val="231F20"/>
          <w:spacing w:val="-4"/>
        </w:rPr>
        <w:t>metros</w:t>
      </w:r>
      <w:r>
        <w:rPr>
          <w:color w:val="231F20"/>
          <w:spacing w:val="-12"/>
        </w:rPr>
        <w:t> </w:t>
      </w:r>
      <w:r>
        <w:rPr>
          <w:color w:val="231F20"/>
          <w:spacing w:val="-4"/>
        </w:rPr>
        <w:t>sobre</w:t>
      </w:r>
      <w:r>
        <w:rPr>
          <w:color w:val="231F20"/>
          <w:spacing w:val="-12"/>
        </w:rPr>
        <w:t> </w:t>
      </w:r>
      <w:r>
        <w:rPr>
          <w:color w:val="231F20"/>
        </w:rPr>
        <w:t>el</w:t>
      </w:r>
      <w:r>
        <w:rPr>
          <w:color w:val="231F20"/>
          <w:spacing w:val="-12"/>
        </w:rPr>
        <w:t> </w:t>
      </w:r>
      <w:r>
        <w:rPr>
          <w:color w:val="231F20"/>
          <w:spacing w:val="-4"/>
        </w:rPr>
        <w:t>nivel</w:t>
      </w:r>
      <w:r>
        <w:rPr>
          <w:color w:val="231F20"/>
          <w:spacing w:val="-12"/>
        </w:rPr>
        <w:t> </w:t>
      </w:r>
      <w:r>
        <w:rPr>
          <w:color w:val="231F20"/>
          <w:spacing w:val="-3"/>
        </w:rPr>
        <w:t>del</w:t>
      </w:r>
      <w:r>
        <w:rPr>
          <w:color w:val="231F20"/>
          <w:spacing w:val="-12"/>
        </w:rPr>
        <w:t> </w:t>
      </w:r>
      <w:r>
        <w:rPr>
          <w:color w:val="231F20"/>
          <w:spacing w:val="-5"/>
        </w:rPr>
        <w:t>mar,</w:t>
      </w:r>
      <w:r>
        <w:rPr>
          <w:color w:val="231F20"/>
          <w:spacing w:val="-12"/>
        </w:rPr>
        <w:t> </w:t>
      </w:r>
      <w:r>
        <w:rPr>
          <w:color w:val="231F20"/>
          <w:spacing w:val="-4"/>
        </w:rPr>
        <w:t>donde</w:t>
      </w:r>
      <w:r>
        <w:rPr>
          <w:color w:val="231F20"/>
          <w:spacing w:val="-12"/>
        </w:rPr>
        <w:t> </w:t>
      </w:r>
      <w:r>
        <w:rPr>
          <w:color w:val="231F20"/>
        </w:rPr>
        <w:t>se</w:t>
      </w:r>
      <w:r>
        <w:rPr>
          <w:color w:val="231F20"/>
          <w:spacing w:val="-12"/>
        </w:rPr>
        <w:t> </w:t>
      </w:r>
      <w:r>
        <w:rPr>
          <w:color w:val="231F20"/>
          <w:spacing w:val="-4"/>
        </w:rPr>
        <w:t>encuentra</w:t>
      </w:r>
      <w:r>
        <w:rPr>
          <w:color w:val="231F20"/>
          <w:spacing w:val="-12"/>
        </w:rPr>
        <w:t> </w:t>
      </w:r>
      <w:r>
        <w:rPr>
          <w:color w:val="231F20"/>
        </w:rPr>
        <w:t>el</w:t>
      </w:r>
      <w:r>
        <w:rPr>
          <w:color w:val="231F20"/>
          <w:spacing w:val="-12"/>
        </w:rPr>
        <w:t> </w:t>
      </w:r>
      <w:r>
        <w:rPr>
          <w:color w:val="231F20"/>
          <w:spacing w:val="-3"/>
        </w:rPr>
        <w:t>tipo</w:t>
      </w:r>
      <w:r>
        <w:rPr>
          <w:color w:val="231F20"/>
          <w:spacing w:val="-12"/>
        </w:rPr>
        <w:t> </w:t>
      </w:r>
      <w:r>
        <w:rPr>
          <w:color w:val="231F20"/>
        </w:rPr>
        <w:t>de</w:t>
      </w:r>
      <w:r>
        <w:rPr>
          <w:color w:val="231F20"/>
          <w:spacing w:val="-12"/>
        </w:rPr>
        <w:t> </w:t>
      </w:r>
      <w:r>
        <w:rPr>
          <w:color w:val="231F20"/>
          <w:spacing w:val="-4"/>
        </w:rPr>
        <w:t>vegetación</w:t>
      </w:r>
      <w:r>
        <w:rPr>
          <w:color w:val="231F20"/>
          <w:spacing w:val="-12"/>
        </w:rPr>
        <w:t> </w:t>
      </w:r>
      <w:r>
        <w:rPr>
          <w:color w:val="231F20"/>
        </w:rPr>
        <w:t>de</w:t>
      </w:r>
      <w:r>
        <w:rPr>
          <w:color w:val="231F20"/>
          <w:spacing w:val="-12"/>
        </w:rPr>
        <w:t> </w:t>
      </w:r>
      <w:r>
        <w:rPr>
          <w:color w:val="231F20"/>
          <w:spacing w:val="-4"/>
        </w:rPr>
        <w:t>selva</w:t>
      </w:r>
      <w:r>
        <w:rPr>
          <w:color w:val="231F20"/>
          <w:spacing w:val="-12"/>
        </w:rPr>
        <w:t> </w:t>
      </w:r>
      <w:r>
        <w:rPr>
          <w:color w:val="231F20"/>
          <w:spacing w:val="-3"/>
        </w:rPr>
        <w:t>baja</w:t>
      </w:r>
      <w:r>
        <w:rPr>
          <w:color w:val="231F20"/>
          <w:spacing w:val="-12"/>
        </w:rPr>
        <w:t> </w:t>
      </w:r>
      <w:r>
        <w:rPr>
          <w:color w:val="231F20"/>
          <w:spacing w:val="-4"/>
        </w:rPr>
        <w:t>caducifolia.</w:t>
      </w:r>
    </w:p>
    <w:p>
      <w:pPr>
        <w:pStyle w:val="BodyText"/>
        <w:spacing w:before="10"/>
      </w:pPr>
    </w:p>
    <w:p>
      <w:pPr>
        <w:pStyle w:val="BodyText"/>
        <w:spacing w:line="247" w:lineRule="auto"/>
        <w:ind w:left="1270" w:right="1267"/>
        <w:jc w:val="both"/>
      </w:pPr>
      <w:r>
        <w:rPr>
          <w:color w:val="231F20"/>
        </w:rPr>
        <w:t>La</w:t>
      </w:r>
      <w:r>
        <w:rPr>
          <w:color w:val="231F20"/>
          <w:spacing w:val="-11"/>
        </w:rPr>
        <w:t> </w:t>
      </w:r>
      <w:r>
        <w:rPr>
          <w:color w:val="231F20"/>
        </w:rPr>
        <w:t>producción</w:t>
      </w:r>
      <w:r>
        <w:rPr>
          <w:color w:val="231F20"/>
          <w:spacing w:val="-11"/>
        </w:rPr>
        <w:t> </w:t>
      </w:r>
      <w:r>
        <w:rPr>
          <w:color w:val="231F20"/>
        </w:rPr>
        <w:t>de</w:t>
      </w:r>
      <w:r>
        <w:rPr>
          <w:color w:val="231F20"/>
          <w:spacing w:val="-11"/>
        </w:rPr>
        <w:t> </w:t>
      </w:r>
      <w:r>
        <w:rPr>
          <w:color w:val="231F20"/>
        </w:rPr>
        <w:t>chirimoya</w:t>
      </w:r>
      <w:r>
        <w:rPr>
          <w:color w:val="231F20"/>
          <w:spacing w:val="-11"/>
        </w:rPr>
        <w:t> </w:t>
      </w:r>
      <w:r>
        <w:rPr>
          <w:color w:val="231F20"/>
        </w:rPr>
        <w:t>en</w:t>
      </w:r>
      <w:r>
        <w:rPr>
          <w:color w:val="231F20"/>
          <w:spacing w:val="-11"/>
        </w:rPr>
        <w:t> </w:t>
      </w:r>
      <w:r>
        <w:rPr>
          <w:color w:val="231F20"/>
        </w:rPr>
        <w:t>México</w:t>
      </w:r>
      <w:r>
        <w:rPr>
          <w:color w:val="231F20"/>
          <w:spacing w:val="-10"/>
        </w:rPr>
        <w:t> </w:t>
      </w:r>
      <w:r>
        <w:rPr>
          <w:color w:val="231F20"/>
        </w:rPr>
        <w:t>es</w:t>
      </w:r>
      <w:r>
        <w:rPr>
          <w:color w:val="231F20"/>
          <w:spacing w:val="-11"/>
        </w:rPr>
        <w:t> </w:t>
      </w:r>
      <w:r>
        <w:rPr>
          <w:color w:val="231F20"/>
        </w:rPr>
        <w:t>proporcionalmente</w:t>
      </w:r>
      <w:r>
        <w:rPr>
          <w:color w:val="231F20"/>
          <w:spacing w:val="-11"/>
        </w:rPr>
        <w:t> </w:t>
      </w:r>
      <w:r>
        <w:rPr>
          <w:color w:val="231F20"/>
        </w:rPr>
        <w:t>muy</w:t>
      </w:r>
      <w:r>
        <w:rPr>
          <w:color w:val="231F20"/>
          <w:spacing w:val="-11"/>
        </w:rPr>
        <w:t> </w:t>
      </w:r>
      <w:r>
        <w:rPr>
          <w:color w:val="231F20"/>
        </w:rPr>
        <w:t>baja</w:t>
      </w:r>
      <w:r>
        <w:rPr>
          <w:color w:val="231F20"/>
          <w:spacing w:val="-11"/>
        </w:rPr>
        <w:t> </w:t>
      </w:r>
      <w:r>
        <w:rPr>
          <w:color w:val="231F20"/>
        </w:rPr>
        <w:t>respecto</w:t>
      </w:r>
      <w:r>
        <w:rPr>
          <w:color w:val="231F20"/>
          <w:spacing w:val="-11"/>
        </w:rPr>
        <w:t> </w:t>
      </w:r>
      <w:r>
        <w:rPr>
          <w:color w:val="231F20"/>
        </w:rPr>
        <w:t>al</w:t>
      </w:r>
      <w:r>
        <w:rPr>
          <w:color w:val="231F20"/>
          <w:spacing w:val="-11"/>
        </w:rPr>
        <w:t> </w:t>
      </w:r>
      <w:r>
        <w:rPr>
          <w:color w:val="231F20"/>
        </w:rPr>
        <w:t>total</w:t>
      </w:r>
      <w:r>
        <w:rPr>
          <w:color w:val="231F20"/>
          <w:spacing w:val="-11"/>
        </w:rPr>
        <w:t> </w:t>
      </w:r>
      <w:r>
        <w:rPr>
          <w:color w:val="231F20"/>
        </w:rPr>
        <w:t>mundial,</w:t>
      </w:r>
      <w:r>
        <w:rPr>
          <w:color w:val="231F20"/>
          <w:spacing w:val="-11"/>
        </w:rPr>
        <w:t> </w:t>
      </w:r>
      <w:r>
        <w:rPr>
          <w:color w:val="231F20"/>
        </w:rPr>
        <w:t>de- bido a que no se tiene una agroindustria especializada, al desconocimiento de mercados, poco desa- rrollo</w:t>
      </w:r>
      <w:r>
        <w:rPr>
          <w:color w:val="231F20"/>
          <w:spacing w:val="-4"/>
        </w:rPr>
        <w:t> </w:t>
      </w:r>
      <w:r>
        <w:rPr>
          <w:color w:val="231F20"/>
        </w:rPr>
        <w:t>del</w:t>
      </w:r>
      <w:r>
        <w:rPr>
          <w:color w:val="231F20"/>
          <w:spacing w:val="-4"/>
        </w:rPr>
        <w:t> </w:t>
      </w:r>
      <w:r>
        <w:rPr>
          <w:color w:val="231F20"/>
        </w:rPr>
        <w:t>manejo</w:t>
      </w:r>
      <w:r>
        <w:rPr>
          <w:color w:val="231F20"/>
          <w:spacing w:val="-5"/>
        </w:rPr>
        <w:t> </w:t>
      </w:r>
      <w:r>
        <w:rPr>
          <w:color w:val="231F20"/>
        </w:rPr>
        <w:t>agrícola</w:t>
      </w:r>
      <w:r>
        <w:rPr>
          <w:color w:val="231F20"/>
          <w:spacing w:val="-5"/>
        </w:rPr>
        <w:t> </w:t>
      </w:r>
      <w:r>
        <w:rPr>
          <w:color w:val="231F20"/>
        </w:rPr>
        <w:t>para</w:t>
      </w:r>
      <w:r>
        <w:rPr>
          <w:color w:val="231F20"/>
          <w:spacing w:val="-4"/>
        </w:rPr>
        <w:t> </w:t>
      </w:r>
      <w:r>
        <w:rPr>
          <w:color w:val="231F20"/>
        </w:rPr>
        <w:t>elevar</w:t>
      </w:r>
      <w:r>
        <w:rPr>
          <w:color w:val="231F20"/>
          <w:spacing w:val="-5"/>
        </w:rPr>
        <w:t> </w:t>
      </w:r>
      <w:r>
        <w:rPr>
          <w:color w:val="231F20"/>
        </w:rPr>
        <w:t>la</w:t>
      </w:r>
      <w:r>
        <w:rPr>
          <w:color w:val="231F20"/>
          <w:spacing w:val="-4"/>
        </w:rPr>
        <w:t> </w:t>
      </w:r>
      <w:r>
        <w:rPr>
          <w:color w:val="231F20"/>
        </w:rPr>
        <w:t>productividad</w:t>
      </w:r>
      <w:r>
        <w:rPr>
          <w:color w:val="231F20"/>
          <w:spacing w:val="-4"/>
        </w:rPr>
        <w:t> </w:t>
      </w:r>
      <w:r>
        <w:rPr>
          <w:color w:val="231F20"/>
        </w:rPr>
        <w:t>y</w:t>
      </w:r>
      <w:r>
        <w:rPr>
          <w:color w:val="231F20"/>
          <w:spacing w:val="-4"/>
        </w:rPr>
        <w:t> </w:t>
      </w:r>
      <w:r>
        <w:rPr>
          <w:color w:val="231F20"/>
        </w:rPr>
        <w:t>calidad,</w:t>
      </w:r>
      <w:r>
        <w:rPr>
          <w:color w:val="231F20"/>
          <w:spacing w:val="-5"/>
        </w:rPr>
        <w:t> </w:t>
      </w:r>
      <w:r>
        <w:rPr>
          <w:color w:val="231F20"/>
        </w:rPr>
        <w:t>sumado</w:t>
      </w:r>
      <w:r>
        <w:rPr>
          <w:color w:val="231F20"/>
          <w:spacing w:val="-4"/>
        </w:rPr>
        <w:t> </w:t>
      </w:r>
      <w:r>
        <w:rPr>
          <w:color w:val="231F20"/>
        </w:rPr>
        <w:t>a</w:t>
      </w:r>
      <w:r>
        <w:rPr>
          <w:color w:val="231F20"/>
          <w:spacing w:val="-4"/>
        </w:rPr>
        <w:t> </w:t>
      </w:r>
      <w:r>
        <w:rPr>
          <w:color w:val="231F20"/>
        </w:rPr>
        <w:t>lo</w:t>
      </w:r>
      <w:r>
        <w:rPr>
          <w:color w:val="231F20"/>
          <w:spacing w:val="-4"/>
        </w:rPr>
        <w:t> </w:t>
      </w:r>
      <w:r>
        <w:rPr>
          <w:color w:val="231F20"/>
        </w:rPr>
        <w:t>anterior</w:t>
      </w:r>
      <w:r>
        <w:rPr>
          <w:color w:val="231F20"/>
          <w:spacing w:val="-5"/>
        </w:rPr>
        <w:t> </w:t>
      </w:r>
      <w:r>
        <w:rPr>
          <w:color w:val="231F20"/>
        </w:rPr>
        <w:t>se</w:t>
      </w:r>
      <w:r>
        <w:rPr>
          <w:color w:val="231F20"/>
          <w:spacing w:val="-4"/>
        </w:rPr>
        <w:t> </w:t>
      </w:r>
      <w:r>
        <w:rPr>
          <w:color w:val="231F20"/>
        </w:rPr>
        <w:t>encuentran los</w:t>
      </w:r>
      <w:r>
        <w:rPr>
          <w:color w:val="231F20"/>
          <w:spacing w:val="-4"/>
        </w:rPr>
        <w:t> </w:t>
      </w:r>
      <w:r>
        <w:rPr>
          <w:color w:val="231F20"/>
        </w:rPr>
        <w:t>problemas</w:t>
      </w:r>
      <w:r>
        <w:rPr>
          <w:color w:val="231F20"/>
          <w:spacing w:val="-4"/>
        </w:rPr>
        <w:t> </w:t>
      </w:r>
      <w:r>
        <w:rPr>
          <w:color w:val="231F20"/>
        </w:rPr>
        <w:t>relacionados</w:t>
      </w:r>
      <w:r>
        <w:rPr>
          <w:color w:val="231F20"/>
          <w:spacing w:val="-4"/>
        </w:rPr>
        <w:t> </w:t>
      </w:r>
      <w:r>
        <w:rPr>
          <w:color w:val="231F20"/>
        </w:rPr>
        <w:t>con</w:t>
      </w:r>
      <w:r>
        <w:rPr>
          <w:color w:val="231F20"/>
          <w:spacing w:val="-4"/>
        </w:rPr>
        <w:t> </w:t>
      </w:r>
      <w:r>
        <w:rPr>
          <w:color w:val="231F20"/>
        </w:rPr>
        <w:t>el</w:t>
      </w:r>
      <w:r>
        <w:rPr>
          <w:color w:val="231F20"/>
          <w:spacing w:val="-4"/>
        </w:rPr>
        <w:t> </w:t>
      </w:r>
      <w:r>
        <w:rPr>
          <w:color w:val="231F20"/>
        </w:rPr>
        <w:t>manejo</w:t>
      </w:r>
      <w:r>
        <w:rPr>
          <w:color w:val="231F20"/>
          <w:spacing w:val="-4"/>
        </w:rPr>
        <w:t> </w:t>
      </w:r>
      <w:r>
        <w:rPr>
          <w:color w:val="231F20"/>
        </w:rPr>
        <w:t>poscosecha,</w:t>
      </w:r>
      <w:r>
        <w:rPr>
          <w:color w:val="231F20"/>
          <w:spacing w:val="-4"/>
        </w:rPr>
        <w:t> </w:t>
      </w:r>
      <w:r>
        <w:rPr>
          <w:color w:val="231F20"/>
        </w:rPr>
        <w:t>poca</w:t>
      </w:r>
      <w:r>
        <w:rPr>
          <w:color w:val="231F20"/>
          <w:spacing w:val="-4"/>
        </w:rPr>
        <w:t> </w:t>
      </w:r>
      <w:r>
        <w:rPr>
          <w:color w:val="231F20"/>
        </w:rPr>
        <w:t>atención</w:t>
      </w:r>
      <w:r>
        <w:rPr>
          <w:color w:val="231F20"/>
          <w:spacing w:val="-4"/>
        </w:rPr>
        <w:t> </w:t>
      </w:r>
      <w:r>
        <w:rPr>
          <w:color w:val="231F20"/>
        </w:rPr>
        <w:t>en</w:t>
      </w:r>
      <w:r>
        <w:rPr>
          <w:color w:val="231F20"/>
          <w:spacing w:val="-4"/>
        </w:rPr>
        <w:t> </w:t>
      </w:r>
      <w:r>
        <w:rPr>
          <w:color w:val="231F20"/>
        </w:rPr>
        <w:t>fomentar</w:t>
      </w:r>
      <w:r>
        <w:rPr>
          <w:color w:val="231F20"/>
          <w:spacing w:val="-4"/>
        </w:rPr>
        <w:t> </w:t>
      </w:r>
      <w:r>
        <w:rPr>
          <w:color w:val="231F20"/>
        </w:rPr>
        <w:t>el</w:t>
      </w:r>
      <w:r>
        <w:rPr>
          <w:color w:val="231F20"/>
          <w:spacing w:val="-4"/>
        </w:rPr>
        <w:t> </w:t>
      </w:r>
      <w:r>
        <w:rPr>
          <w:color w:val="231F20"/>
        </w:rPr>
        <w:t>cultivo</w:t>
      </w:r>
      <w:r>
        <w:rPr>
          <w:color w:val="231F20"/>
          <w:spacing w:val="-4"/>
        </w:rPr>
        <w:t> </w:t>
      </w:r>
      <w:r>
        <w:rPr>
          <w:color w:val="231F20"/>
        </w:rPr>
        <w:t>en</w:t>
      </w:r>
      <w:r>
        <w:rPr>
          <w:color w:val="231F20"/>
          <w:spacing w:val="-4"/>
        </w:rPr>
        <w:t> </w:t>
      </w:r>
      <w:r>
        <w:rPr>
          <w:color w:val="231F20"/>
        </w:rPr>
        <w:t>áreas propicias sobre aspectos de recursos genéticos, tecnología, industria mercados, etnobotánica y otros relacionados a su aprovechamiento</w:t>
      </w:r>
      <w:r>
        <w:rPr>
          <w:color w:val="231F20"/>
          <w:spacing w:val="-14"/>
        </w:rPr>
        <w:t> </w:t>
      </w:r>
      <w:r>
        <w:rPr>
          <w:color w:val="231F20"/>
        </w:rPr>
        <w:t>sustentable.</w:t>
      </w:r>
    </w:p>
    <w:p>
      <w:pPr>
        <w:pStyle w:val="BodyText"/>
        <w:spacing w:before="10"/>
      </w:pPr>
    </w:p>
    <w:p>
      <w:pPr>
        <w:pStyle w:val="BodyText"/>
        <w:spacing w:line="247" w:lineRule="auto"/>
        <w:ind w:left="1270" w:right="1269"/>
        <w:jc w:val="both"/>
      </w:pPr>
      <w:r>
        <w:rPr>
          <w:color w:val="231F20"/>
        </w:rPr>
        <w:t>En este respecto es importante señalar la labor de la Sociedad Mexicana de Anonáceas y la Red Mexicana</w:t>
      </w:r>
      <w:r>
        <w:rPr>
          <w:color w:val="231F20"/>
          <w:spacing w:val="-5"/>
        </w:rPr>
        <w:t> </w:t>
      </w:r>
      <w:r>
        <w:rPr>
          <w:color w:val="231F20"/>
        </w:rPr>
        <w:t>de</w:t>
      </w:r>
      <w:r>
        <w:rPr>
          <w:color w:val="231F20"/>
          <w:spacing w:val="-16"/>
        </w:rPr>
        <w:t> </w:t>
      </w:r>
      <w:r>
        <w:rPr>
          <w:color w:val="231F20"/>
        </w:rPr>
        <w:t>Anonáceas</w:t>
      </w:r>
      <w:r>
        <w:rPr>
          <w:color w:val="231F20"/>
          <w:spacing w:val="-5"/>
        </w:rPr>
        <w:t> </w:t>
      </w:r>
      <w:r>
        <w:rPr>
          <w:color w:val="231F20"/>
        </w:rPr>
        <w:t>redes,</w:t>
      </w:r>
      <w:r>
        <w:rPr>
          <w:color w:val="231F20"/>
          <w:spacing w:val="-6"/>
        </w:rPr>
        <w:t> </w:t>
      </w:r>
      <w:r>
        <w:rPr>
          <w:color w:val="231F20"/>
        </w:rPr>
        <w:t>en</w:t>
      </w:r>
      <w:r>
        <w:rPr>
          <w:color w:val="231F20"/>
          <w:spacing w:val="-6"/>
        </w:rPr>
        <w:t> </w:t>
      </w:r>
      <w:r>
        <w:rPr>
          <w:color w:val="231F20"/>
        </w:rPr>
        <w:t>las</w:t>
      </w:r>
      <w:r>
        <w:rPr>
          <w:color w:val="231F20"/>
          <w:spacing w:val="-6"/>
        </w:rPr>
        <w:t> </w:t>
      </w:r>
      <w:r>
        <w:rPr>
          <w:color w:val="231F20"/>
        </w:rPr>
        <w:t>que</w:t>
      </w:r>
      <w:r>
        <w:rPr>
          <w:color w:val="231F20"/>
          <w:spacing w:val="-6"/>
        </w:rPr>
        <w:t> </w:t>
      </w:r>
      <w:r>
        <w:rPr>
          <w:color w:val="231F20"/>
        </w:rPr>
        <w:t>participan</w:t>
      </w:r>
      <w:r>
        <w:rPr>
          <w:color w:val="231F20"/>
          <w:spacing w:val="-6"/>
        </w:rPr>
        <w:t> </w:t>
      </w:r>
      <w:r>
        <w:rPr>
          <w:color w:val="231F20"/>
        </w:rPr>
        <w:t>investigadores</w:t>
      </w:r>
      <w:r>
        <w:rPr>
          <w:color w:val="231F20"/>
          <w:spacing w:val="-6"/>
        </w:rPr>
        <w:t> </w:t>
      </w:r>
      <w:r>
        <w:rPr>
          <w:color w:val="231F20"/>
        </w:rPr>
        <w:t>de</w:t>
      </w:r>
      <w:r>
        <w:rPr>
          <w:color w:val="231F20"/>
          <w:spacing w:val="-6"/>
        </w:rPr>
        <w:t> </w:t>
      </w:r>
      <w:r>
        <w:rPr>
          <w:color w:val="231F20"/>
        </w:rPr>
        <w:t>diversas</w:t>
      </w:r>
      <w:r>
        <w:rPr>
          <w:color w:val="231F20"/>
          <w:spacing w:val="-6"/>
        </w:rPr>
        <w:t> </w:t>
      </w:r>
      <w:r>
        <w:rPr>
          <w:color w:val="231F20"/>
        </w:rPr>
        <w:t>instituciones</w:t>
      </w:r>
      <w:r>
        <w:rPr>
          <w:color w:val="231F20"/>
          <w:spacing w:val="-6"/>
        </w:rPr>
        <w:t> </w:t>
      </w:r>
      <w:r>
        <w:rPr>
          <w:color w:val="231F20"/>
        </w:rPr>
        <w:t>de</w:t>
      </w:r>
      <w:r>
        <w:rPr>
          <w:color w:val="231F20"/>
          <w:spacing w:val="-6"/>
        </w:rPr>
        <w:t> </w:t>
      </w:r>
      <w:r>
        <w:rPr>
          <w:color w:val="231F20"/>
        </w:rPr>
        <w:t>edu- cación aportando conocimientos científicos y técnicas en muchos temas que hacen posible avanzar en la solución de la problemática que enfrentan las anonas en diferentes lugares de nuestro</w:t>
      </w:r>
      <w:r>
        <w:rPr>
          <w:color w:val="231F20"/>
          <w:spacing w:val="-13"/>
        </w:rPr>
        <w:t> </w:t>
      </w:r>
      <w:r>
        <w:rPr>
          <w:color w:val="231F20"/>
        </w:rPr>
        <w:t>país</w:t>
      </w:r>
    </w:p>
    <w:p>
      <w:pPr>
        <w:pStyle w:val="BodyText"/>
        <w:spacing w:before="10"/>
      </w:pPr>
    </w:p>
    <w:p>
      <w:pPr>
        <w:pStyle w:val="BodyText"/>
        <w:spacing w:line="247" w:lineRule="auto"/>
        <w:ind w:left="1270" w:right="1266"/>
        <w:jc w:val="both"/>
      </w:pPr>
      <w:r>
        <w:rPr>
          <w:color w:val="231F20"/>
        </w:rPr>
        <w:t>Hernández Soto, J.A. 2010, menciona que la agricultura de subsistencia que se practica en el norte del estado de Morelos conocido también como altos de Morelos, incluye el cultivo de algunas es- pecies en pequeñas extensiones de tierra, tales como el aguacate, nopal para verdura, tomate verde, jitomate, maíz, frijol, ayocote y ciruela mexicana principalmente. Dentro de estos cultivos la chiri- moya</w:t>
      </w:r>
      <w:r>
        <w:rPr>
          <w:color w:val="231F20"/>
          <w:spacing w:val="-8"/>
        </w:rPr>
        <w:t> </w:t>
      </w:r>
      <w:r>
        <w:rPr>
          <w:color w:val="231F20"/>
        </w:rPr>
        <w:t>sobresale</w:t>
      </w:r>
      <w:r>
        <w:rPr>
          <w:color w:val="231F20"/>
          <w:spacing w:val="-8"/>
        </w:rPr>
        <w:t> </w:t>
      </w:r>
      <w:r>
        <w:rPr>
          <w:color w:val="231F20"/>
        </w:rPr>
        <w:t>por</w:t>
      </w:r>
      <w:r>
        <w:rPr>
          <w:color w:val="231F20"/>
          <w:spacing w:val="-8"/>
        </w:rPr>
        <w:t> </w:t>
      </w:r>
      <w:r>
        <w:rPr>
          <w:color w:val="231F20"/>
        </w:rPr>
        <w:t>su</w:t>
      </w:r>
      <w:r>
        <w:rPr>
          <w:color w:val="231F20"/>
          <w:spacing w:val="-8"/>
        </w:rPr>
        <w:t> </w:t>
      </w:r>
      <w:r>
        <w:rPr>
          <w:color w:val="231F20"/>
        </w:rPr>
        <w:t>poco</w:t>
      </w:r>
      <w:r>
        <w:rPr>
          <w:color w:val="231F20"/>
          <w:spacing w:val="-8"/>
        </w:rPr>
        <w:t> </w:t>
      </w:r>
      <w:r>
        <w:rPr>
          <w:color w:val="231F20"/>
        </w:rPr>
        <w:t>cuidado</w:t>
      </w:r>
      <w:r>
        <w:rPr>
          <w:color w:val="231F20"/>
          <w:spacing w:val="-8"/>
        </w:rPr>
        <w:t> </w:t>
      </w:r>
      <w:r>
        <w:rPr>
          <w:color w:val="231F20"/>
        </w:rPr>
        <w:t>y</w:t>
      </w:r>
      <w:r>
        <w:rPr>
          <w:color w:val="231F20"/>
          <w:spacing w:val="-8"/>
        </w:rPr>
        <w:t> </w:t>
      </w:r>
      <w:r>
        <w:rPr>
          <w:color w:val="231F20"/>
        </w:rPr>
        <w:t>atención</w:t>
      </w:r>
      <w:r>
        <w:rPr>
          <w:color w:val="231F20"/>
          <w:spacing w:val="-9"/>
        </w:rPr>
        <w:t> </w:t>
      </w:r>
      <w:r>
        <w:rPr>
          <w:color w:val="231F20"/>
        </w:rPr>
        <w:t>desde</w:t>
      </w:r>
      <w:r>
        <w:rPr>
          <w:color w:val="231F20"/>
          <w:spacing w:val="-8"/>
        </w:rPr>
        <w:t> </w:t>
      </w:r>
      <w:r>
        <w:rPr>
          <w:color w:val="231F20"/>
        </w:rPr>
        <w:t>el</w:t>
      </w:r>
      <w:r>
        <w:rPr>
          <w:color w:val="231F20"/>
          <w:spacing w:val="37"/>
        </w:rPr>
        <w:t> </w:t>
      </w:r>
      <w:r>
        <w:rPr>
          <w:color w:val="231F20"/>
        </w:rPr>
        <w:t>punto</w:t>
      </w:r>
      <w:r>
        <w:rPr>
          <w:color w:val="231F20"/>
          <w:spacing w:val="-8"/>
        </w:rPr>
        <w:t> </w:t>
      </w:r>
      <w:r>
        <w:rPr>
          <w:color w:val="231F20"/>
        </w:rPr>
        <w:t>de</w:t>
      </w:r>
      <w:r>
        <w:rPr>
          <w:color w:val="231F20"/>
          <w:spacing w:val="-8"/>
        </w:rPr>
        <w:t> </w:t>
      </w:r>
      <w:r>
        <w:rPr>
          <w:color w:val="231F20"/>
        </w:rPr>
        <w:t>vista</w:t>
      </w:r>
      <w:r>
        <w:rPr>
          <w:color w:val="231F20"/>
          <w:spacing w:val="-8"/>
        </w:rPr>
        <w:t> </w:t>
      </w:r>
      <w:r>
        <w:rPr>
          <w:color w:val="231F20"/>
        </w:rPr>
        <w:t>agronómico</w:t>
      </w:r>
      <w:r>
        <w:rPr>
          <w:color w:val="231F20"/>
          <w:spacing w:val="-9"/>
        </w:rPr>
        <w:t> </w:t>
      </w:r>
      <w:r>
        <w:rPr>
          <w:color w:val="231F20"/>
        </w:rPr>
        <w:t>y</w:t>
      </w:r>
      <w:r>
        <w:rPr>
          <w:color w:val="231F20"/>
          <w:spacing w:val="-8"/>
        </w:rPr>
        <w:t> </w:t>
      </w:r>
      <w:r>
        <w:rPr>
          <w:color w:val="231F20"/>
        </w:rPr>
        <w:t>comercial,</w:t>
      </w:r>
      <w:r>
        <w:rPr>
          <w:color w:val="231F20"/>
          <w:spacing w:val="-9"/>
        </w:rPr>
        <w:t> </w:t>
      </w:r>
      <w:r>
        <w:rPr>
          <w:color w:val="231F20"/>
        </w:rPr>
        <w:t>que puede constituir favorables alternativas sociales y ambientales para diversificar la producción agrí- cola del área de estudios. Por tanto el propósito fundamental de la presente investigación es generar un paquete tecnológico para el cultivo de la chirimoya compatible con las condiciones ambientales del</w:t>
      </w:r>
      <w:r>
        <w:rPr>
          <w:color w:val="231F20"/>
          <w:spacing w:val="-7"/>
        </w:rPr>
        <w:t> </w:t>
      </w:r>
      <w:r>
        <w:rPr>
          <w:color w:val="231F20"/>
        </w:rPr>
        <w:t>área</w:t>
      </w:r>
      <w:r>
        <w:rPr>
          <w:color w:val="231F20"/>
          <w:spacing w:val="-8"/>
        </w:rPr>
        <w:t> </w:t>
      </w:r>
      <w:r>
        <w:rPr>
          <w:color w:val="231F20"/>
        </w:rPr>
        <w:t>de</w:t>
      </w:r>
      <w:r>
        <w:rPr>
          <w:color w:val="231F20"/>
          <w:spacing w:val="-7"/>
        </w:rPr>
        <w:t> </w:t>
      </w:r>
      <w:r>
        <w:rPr>
          <w:color w:val="231F20"/>
        </w:rPr>
        <w:t>estudio,</w:t>
      </w:r>
      <w:r>
        <w:rPr>
          <w:color w:val="231F20"/>
          <w:spacing w:val="-8"/>
        </w:rPr>
        <w:t> </w:t>
      </w:r>
      <w:r>
        <w:rPr>
          <w:color w:val="231F20"/>
        </w:rPr>
        <w:t>que</w:t>
      </w:r>
      <w:r>
        <w:rPr>
          <w:color w:val="231F20"/>
          <w:spacing w:val="-7"/>
        </w:rPr>
        <w:t> </w:t>
      </w:r>
      <w:r>
        <w:rPr>
          <w:color w:val="231F20"/>
        </w:rPr>
        <w:t>haga</w:t>
      </w:r>
      <w:r>
        <w:rPr>
          <w:color w:val="231F20"/>
          <w:spacing w:val="-7"/>
        </w:rPr>
        <w:t> </w:t>
      </w:r>
      <w:r>
        <w:rPr>
          <w:color w:val="231F20"/>
        </w:rPr>
        <w:t>posible</w:t>
      </w:r>
      <w:r>
        <w:rPr>
          <w:color w:val="231F20"/>
          <w:spacing w:val="-7"/>
        </w:rPr>
        <w:t> </w:t>
      </w:r>
      <w:r>
        <w:rPr>
          <w:color w:val="231F20"/>
        </w:rPr>
        <w:t>elevar</w:t>
      </w:r>
      <w:r>
        <w:rPr>
          <w:color w:val="231F20"/>
          <w:spacing w:val="-8"/>
        </w:rPr>
        <w:t> </w:t>
      </w:r>
      <w:r>
        <w:rPr>
          <w:color w:val="231F20"/>
        </w:rPr>
        <w:t>la</w:t>
      </w:r>
      <w:r>
        <w:rPr>
          <w:color w:val="231F20"/>
          <w:spacing w:val="-7"/>
        </w:rPr>
        <w:t> </w:t>
      </w:r>
      <w:r>
        <w:rPr>
          <w:color w:val="231F20"/>
        </w:rPr>
        <w:t>productividad</w:t>
      </w:r>
      <w:r>
        <w:rPr>
          <w:color w:val="231F20"/>
          <w:spacing w:val="-7"/>
        </w:rPr>
        <w:t> </w:t>
      </w:r>
      <w:r>
        <w:rPr>
          <w:color w:val="231F20"/>
        </w:rPr>
        <w:t>y</w:t>
      </w:r>
      <w:r>
        <w:rPr>
          <w:color w:val="231F20"/>
          <w:spacing w:val="-7"/>
        </w:rPr>
        <w:t> </w:t>
      </w:r>
      <w:r>
        <w:rPr>
          <w:color w:val="231F20"/>
        </w:rPr>
        <w:t>calidad</w:t>
      </w:r>
      <w:r>
        <w:rPr>
          <w:color w:val="231F20"/>
          <w:spacing w:val="-8"/>
        </w:rPr>
        <w:t> </w:t>
      </w:r>
      <w:r>
        <w:rPr>
          <w:color w:val="231F20"/>
        </w:rPr>
        <w:t>de</w:t>
      </w:r>
      <w:r>
        <w:rPr>
          <w:color w:val="231F20"/>
          <w:spacing w:val="-7"/>
        </w:rPr>
        <w:t> </w:t>
      </w:r>
      <w:r>
        <w:rPr>
          <w:color w:val="231F20"/>
        </w:rPr>
        <w:t>la</w:t>
      </w:r>
      <w:r>
        <w:rPr>
          <w:color w:val="231F20"/>
          <w:spacing w:val="-7"/>
        </w:rPr>
        <w:t> </w:t>
      </w:r>
      <w:r>
        <w:rPr>
          <w:color w:val="231F20"/>
        </w:rPr>
        <w:t>producción,</w:t>
      </w:r>
      <w:r>
        <w:rPr>
          <w:color w:val="231F20"/>
          <w:spacing w:val="-7"/>
        </w:rPr>
        <w:t> </w:t>
      </w:r>
      <w:r>
        <w:rPr>
          <w:color w:val="231F20"/>
        </w:rPr>
        <w:t>partiendo</w:t>
      </w:r>
      <w:r>
        <w:rPr>
          <w:color w:val="231F20"/>
          <w:spacing w:val="-7"/>
        </w:rPr>
        <w:t> </w:t>
      </w:r>
      <w:r>
        <w:rPr>
          <w:color w:val="231F20"/>
        </w:rPr>
        <w:t>de las experiencias obtenidas y existentes, para posteriormente desarrollar un proceso de transferencia de tecnología con la participación de los productores. En este trabajo se analiza el aprovechamiento sustentable de la chirimoya como recurso filogenético no convencional de la región norte del</w:t>
      </w:r>
      <w:r>
        <w:rPr>
          <w:color w:val="231F20"/>
          <w:spacing w:val="-25"/>
        </w:rPr>
        <w:t> </w:t>
      </w:r>
      <w:r>
        <w:rPr>
          <w:color w:val="231F20"/>
        </w:rPr>
        <w:t>estado de Morelos, con el propósito de mejorar los ingresos económicos de los</w:t>
      </w:r>
      <w:r>
        <w:rPr>
          <w:color w:val="231F20"/>
          <w:spacing w:val="-13"/>
        </w:rPr>
        <w:t> </w:t>
      </w:r>
      <w:r>
        <w:rPr>
          <w:color w:val="231F20"/>
        </w:rPr>
        <w:t>agricultores.</w:t>
      </w:r>
    </w:p>
    <w:p>
      <w:pPr>
        <w:pStyle w:val="BodyText"/>
        <w:spacing w:before="11"/>
        <w:rPr>
          <w:sz w:val="22"/>
        </w:rPr>
      </w:pPr>
    </w:p>
    <w:p>
      <w:pPr>
        <w:pStyle w:val="Heading3"/>
      </w:pPr>
      <w:r>
        <w:rPr>
          <w:color w:val="010202"/>
        </w:rPr>
        <w:t>Materiales y métodos</w:t>
      </w:r>
    </w:p>
    <w:p>
      <w:pPr>
        <w:pStyle w:val="BodyText"/>
        <w:spacing w:before="10"/>
        <w:rPr>
          <w:b/>
        </w:rPr>
      </w:pPr>
    </w:p>
    <w:p>
      <w:pPr>
        <w:pStyle w:val="BodyText"/>
        <w:ind w:left="1270"/>
        <w:jc w:val="both"/>
      </w:pPr>
      <w:r>
        <w:rPr>
          <w:color w:val="231F20"/>
        </w:rPr>
        <w:t>El procedimiento seguido en este estudio comprende las siguientes fases:</w:t>
      </w:r>
    </w:p>
    <w:p>
      <w:pPr>
        <w:pStyle w:val="ListParagraph"/>
        <w:numPr>
          <w:ilvl w:val="1"/>
          <w:numId w:val="6"/>
        </w:numPr>
        <w:tabs>
          <w:tab w:pos="1481" w:val="left" w:leader="none"/>
        </w:tabs>
        <w:spacing w:line="240" w:lineRule="auto" w:before="8" w:after="0"/>
        <w:ind w:left="1480" w:right="0" w:hanging="210"/>
        <w:jc w:val="both"/>
        <w:rPr>
          <w:sz w:val="21"/>
        </w:rPr>
      </w:pPr>
      <w:r>
        <w:rPr>
          <w:color w:val="231F20"/>
          <w:sz w:val="21"/>
        </w:rPr>
        <w:t>Recorridos agroecológicos en áreas</w:t>
      </w:r>
      <w:r>
        <w:rPr>
          <w:color w:val="231F20"/>
          <w:spacing w:val="-4"/>
          <w:sz w:val="21"/>
        </w:rPr>
        <w:t> </w:t>
      </w:r>
      <w:r>
        <w:rPr>
          <w:color w:val="231F20"/>
          <w:sz w:val="21"/>
        </w:rPr>
        <w:t>productivas</w:t>
      </w:r>
    </w:p>
    <w:p>
      <w:pPr>
        <w:spacing w:after="0" w:line="240" w:lineRule="auto"/>
        <w:jc w:val="both"/>
        <w:rPr>
          <w:sz w:val="21"/>
        </w:rPr>
        <w:sectPr>
          <w:pgSz w:w="10920" w:h="13080"/>
          <w:pgMar w:header="0" w:footer="965" w:top="420" w:bottom="1220" w:left="0" w:right="0"/>
        </w:sectPr>
      </w:pPr>
    </w:p>
    <w:p>
      <w:pPr>
        <w:pStyle w:val="BodyText"/>
        <w:rPr>
          <w:sz w:val="20"/>
        </w:rPr>
      </w:pPr>
    </w:p>
    <w:p>
      <w:pPr>
        <w:pStyle w:val="BodyText"/>
        <w:rPr>
          <w:sz w:val="20"/>
        </w:rPr>
      </w:pPr>
    </w:p>
    <w:p>
      <w:pPr>
        <w:pStyle w:val="BodyText"/>
        <w:rPr>
          <w:sz w:val="23"/>
        </w:rPr>
      </w:pPr>
    </w:p>
    <w:p>
      <w:pPr>
        <w:pStyle w:val="ListParagraph"/>
        <w:numPr>
          <w:ilvl w:val="1"/>
          <w:numId w:val="6"/>
        </w:numPr>
        <w:tabs>
          <w:tab w:pos="1481" w:val="left" w:leader="none"/>
        </w:tabs>
        <w:spacing w:line="240" w:lineRule="auto" w:before="73" w:after="0"/>
        <w:ind w:left="1480" w:right="0" w:hanging="210"/>
        <w:jc w:val="both"/>
        <w:rPr>
          <w:sz w:val="21"/>
        </w:rPr>
      </w:pPr>
      <w:r>
        <w:rPr>
          <w:color w:val="231F20"/>
          <w:sz w:val="21"/>
        </w:rPr>
        <w:t>Documentar y catalogar</w:t>
      </w:r>
      <w:r>
        <w:rPr>
          <w:color w:val="231F20"/>
          <w:spacing w:val="-16"/>
          <w:sz w:val="21"/>
        </w:rPr>
        <w:t> </w:t>
      </w:r>
      <w:r>
        <w:rPr>
          <w:color w:val="231F20"/>
          <w:sz w:val="21"/>
        </w:rPr>
        <w:t>información</w:t>
      </w:r>
    </w:p>
    <w:p>
      <w:pPr>
        <w:pStyle w:val="ListParagraph"/>
        <w:numPr>
          <w:ilvl w:val="1"/>
          <w:numId w:val="6"/>
        </w:numPr>
        <w:tabs>
          <w:tab w:pos="1481" w:val="left" w:leader="none"/>
        </w:tabs>
        <w:spacing w:line="240" w:lineRule="auto" w:before="8" w:after="0"/>
        <w:ind w:left="1480" w:right="0" w:hanging="210"/>
        <w:jc w:val="both"/>
        <w:rPr>
          <w:sz w:val="21"/>
        </w:rPr>
      </w:pPr>
      <w:r>
        <w:rPr>
          <w:color w:val="231F20"/>
          <w:sz w:val="21"/>
        </w:rPr>
        <w:t>Entrevistas a investigadores, técnicos y</w:t>
      </w:r>
      <w:r>
        <w:rPr>
          <w:color w:val="231F20"/>
          <w:spacing w:val="-3"/>
          <w:sz w:val="21"/>
        </w:rPr>
        <w:t> </w:t>
      </w:r>
      <w:r>
        <w:rPr>
          <w:color w:val="231F20"/>
          <w:sz w:val="21"/>
        </w:rPr>
        <w:t>productores</w:t>
      </w:r>
    </w:p>
    <w:p>
      <w:pPr>
        <w:pStyle w:val="ListParagraph"/>
        <w:numPr>
          <w:ilvl w:val="1"/>
          <w:numId w:val="6"/>
        </w:numPr>
        <w:tabs>
          <w:tab w:pos="1481" w:val="left" w:leader="none"/>
        </w:tabs>
        <w:spacing w:line="240" w:lineRule="auto" w:before="8" w:after="0"/>
        <w:ind w:left="1480" w:right="0" w:hanging="210"/>
        <w:jc w:val="both"/>
        <w:rPr>
          <w:sz w:val="21"/>
        </w:rPr>
      </w:pPr>
      <w:r>
        <w:rPr>
          <w:color w:val="231F20"/>
          <w:sz w:val="21"/>
        </w:rPr>
        <w:t>Recorridos en campos agrícolas experimentales</w:t>
      </w:r>
    </w:p>
    <w:p>
      <w:pPr>
        <w:pStyle w:val="BodyText"/>
        <w:spacing w:before="4"/>
        <w:rPr>
          <w:sz w:val="23"/>
        </w:rPr>
      </w:pPr>
    </w:p>
    <w:p>
      <w:pPr>
        <w:pStyle w:val="Heading3"/>
      </w:pPr>
      <w:r>
        <w:rPr>
          <w:color w:val="010202"/>
        </w:rPr>
        <w:t>Análisis y discusión de resultados</w:t>
      </w:r>
    </w:p>
    <w:p>
      <w:pPr>
        <w:pStyle w:val="BodyText"/>
        <w:spacing w:before="10"/>
        <w:rPr>
          <w:b/>
        </w:rPr>
      </w:pPr>
    </w:p>
    <w:p>
      <w:pPr>
        <w:pStyle w:val="BodyText"/>
        <w:spacing w:line="247" w:lineRule="auto"/>
        <w:ind w:left="1270" w:right="1267"/>
        <w:jc w:val="both"/>
      </w:pPr>
      <w:r>
        <w:rPr>
          <w:color w:val="231F20"/>
        </w:rPr>
        <w:t>El recorrido agroecológico realizado en el Norte de Morelos permitió identificar las condiciones ambientales donde se ubican las plantaciones de Chirimoya (</w:t>
      </w:r>
      <w:r>
        <w:rPr>
          <w:i/>
          <w:color w:val="231F20"/>
        </w:rPr>
        <w:t>Annona cherimola </w:t>
      </w:r>
      <w:r>
        <w:rPr>
          <w:color w:val="231F20"/>
        </w:rPr>
        <w:t>Mill.), las áreas propicias para su crecimiento y desarrollo, definir la problemática y posibles alternativas. Ante el aumento</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superficie</w:t>
      </w:r>
      <w:r>
        <w:rPr>
          <w:color w:val="231F20"/>
          <w:spacing w:val="-4"/>
        </w:rPr>
        <w:t> </w:t>
      </w:r>
      <w:r>
        <w:rPr>
          <w:color w:val="231F20"/>
        </w:rPr>
        <w:t>cultivada</w:t>
      </w:r>
      <w:r>
        <w:rPr>
          <w:color w:val="231F20"/>
          <w:spacing w:val="-4"/>
        </w:rPr>
        <w:t> </w:t>
      </w:r>
      <w:r>
        <w:rPr>
          <w:color w:val="231F20"/>
        </w:rPr>
        <w:t>de</w:t>
      </w:r>
      <w:r>
        <w:rPr>
          <w:color w:val="231F20"/>
          <w:spacing w:val="-4"/>
        </w:rPr>
        <w:t> </w:t>
      </w:r>
      <w:r>
        <w:rPr>
          <w:color w:val="231F20"/>
        </w:rPr>
        <w:t>nopal</w:t>
      </w:r>
      <w:r>
        <w:rPr>
          <w:color w:val="231F20"/>
          <w:spacing w:val="-4"/>
        </w:rPr>
        <w:t> </w:t>
      </w:r>
      <w:r>
        <w:rPr>
          <w:color w:val="231F20"/>
        </w:rPr>
        <w:t>para</w:t>
      </w:r>
      <w:r>
        <w:rPr>
          <w:color w:val="231F20"/>
          <w:spacing w:val="-4"/>
        </w:rPr>
        <w:t> </w:t>
      </w:r>
      <w:r>
        <w:rPr>
          <w:color w:val="231F20"/>
        </w:rPr>
        <w:t>verdura,</w:t>
      </w:r>
      <w:r>
        <w:rPr>
          <w:color w:val="231F20"/>
          <w:spacing w:val="-4"/>
        </w:rPr>
        <w:t> </w:t>
      </w:r>
      <w:r>
        <w:rPr>
          <w:color w:val="231F20"/>
        </w:rPr>
        <w:t>es</w:t>
      </w:r>
      <w:r>
        <w:rPr>
          <w:color w:val="231F20"/>
          <w:spacing w:val="-3"/>
        </w:rPr>
        <w:t> </w:t>
      </w:r>
      <w:r>
        <w:rPr>
          <w:color w:val="231F20"/>
        </w:rPr>
        <w:t>conveniente</w:t>
      </w:r>
      <w:r>
        <w:rPr>
          <w:color w:val="231F20"/>
          <w:spacing w:val="-4"/>
        </w:rPr>
        <w:t> </w:t>
      </w:r>
      <w:r>
        <w:rPr>
          <w:color w:val="231F20"/>
        </w:rPr>
        <w:t>fundamentarse</w:t>
      </w:r>
      <w:r>
        <w:rPr>
          <w:color w:val="231F20"/>
          <w:spacing w:val="-4"/>
        </w:rPr>
        <w:t> </w:t>
      </w:r>
      <w:r>
        <w:rPr>
          <w:color w:val="231F20"/>
        </w:rPr>
        <w:t>como</w:t>
      </w:r>
      <w:r>
        <w:rPr>
          <w:color w:val="231F20"/>
          <w:spacing w:val="-4"/>
        </w:rPr>
        <w:t> </w:t>
      </w:r>
      <w:r>
        <w:rPr>
          <w:color w:val="231F20"/>
        </w:rPr>
        <w:t>alter- nativa</w:t>
      </w:r>
      <w:r>
        <w:rPr>
          <w:color w:val="231F20"/>
          <w:spacing w:val="-3"/>
        </w:rPr>
        <w:t> </w:t>
      </w:r>
      <w:r>
        <w:rPr>
          <w:color w:val="231F20"/>
        </w:rPr>
        <w:t>apropiada</w:t>
      </w:r>
      <w:r>
        <w:rPr>
          <w:color w:val="231F20"/>
          <w:spacing w:val="-4"/>
        </w:rPr>
        <w:t> </w:t>
      </w:r>
      <w:r>
        <w:rPr>
          <w:color w:val="231F20"/>
        </w:rPr>
        <w:t>para</w:t>
      </w:r>
      <w:r>
        <w:rPr>
          <w:color w:val="231F20"/>
          <w:spacing w:val="-3"/>
        </w:rPr>
        <w:t> </w:t>
      </w:r>
      <w:r>
        <w:rPr>
          <w:color w:val="231F20"/>
        </w:rPr>
        <w:t>el</w:t>
      </w:r>
      <w:r>
        <w:rPr>
          <w:color w:val="231F20"/>
          <w:spacing w:val="-3"/>
        </w:rPr>
        <w:t> </w:t>
      </w:r>
      <w:r>
        <w:rPr>
          <w:color w:val="231F20"/>
        </w:rPr>
        <w:t>área</w:t>
      </w:r>
      <w:r>
        <w:rPr>
          <w:color w:val="231F20"/>
          <w:spacing w:val="-3"/>
        </w:rPr>
        <w:t> </w:t>
      </w:r>
      <w:r>
        <w:rPr>
          <w:color w:val="231F20"/>
        </w:rPr>
        <w:t>de</w:t>
      </w:r>
      <w:r>
        <w:rPr>
          <w:color w:val="231F20"/>
          <w:spacing w:val="-3"/>
        </w:rPr>
        <w:t> </w:t>
      </w:r>
      <w:r>
        <w:rPr>
          <w:color w:val="231F20"/>
        </w:rPr>
        <w:t>estudio.</w:t>
      </w:r>
      <w:r>
        <w:rPr>
          <w:color w:val="231F20"/>
          <w:spacing w:val="-4"/>
        </w:rPr>
        <w:t> </w:t>
      </w:r>
      <w:r>
        <w:rPr>
          <w:color w:val="231F20"/>
        </w:rPr>
        <w:t>En</w:t>
      </w:r>
      <w:r>
        <w:rPr>
          <w:color w:val="231F20"/>
          <w:spacing w:val="-3"/>
        </w:rPr>
        <w:t> </w:t>
      </w:r>
      <w:r>
        <w:rPr>
          <w:color w:val="231F20"/>
        </w:rPr>
        <w:t>esta</w:t>
      </w:r>
      <w:r>
        <w:rPr>
          <w:color w:val="231F20"/>
          <w:spacing w:val="-3"/>
        </w:rPr>
        <w:t> </w:t>
      </w:r>
      <w:r>
        <w:rPr>
          <w:color w:val="231F20"/>
        </w:rPr>
        <w:t>área</w:t>
      </w:r>
      <w:r>
        <w:rPr>
          <w:color w:val="231F20"/>
          <w:spacing w:val="-3"/>
        </w:rPr>
        <w:t> </w:t>
      </w:r>
      <w:r>
        <w:rPr>
          <w:color w:val="231F20"/>
        </w:rPr>
        <w:t>de</w:t>
      </w:r>
      <w:r>
        <w:rPr>
          <w:color w:val="231F20"/>
          <w:spacing w:val="-3"/>
        </w:rPr>
        <w:t> </w:t>
      </w:r>
      <w:r>
        <w:rPr>
          <w:color w:val="231F20"/>
        </w:rPr>
        <w:t>estudio</w:t>
      </w:r>
      <w:r>
        <w:rPr>
          <w:color w:val="231F20"/>
          <w:spacing w:val="-3"/>
        </w:rPr>
        <w:t> </w:t>
      </w:r>
      <w:r>
        <w:rPr>
          <w:color w:val="231F20"/>
        </w:rPr>
        <w:t>la</w:t>
      </w:r>
      <w:r>
        <w:rPr>
          <w:color w:val="231F20"/>
          <w:spacing w:val="-3"/>
        </w:rPr>
        <w:t> </w:t>
      </w:r>
      <w:r>
        <w:rPr>
          <w:color w:val="231F20"/>
        </w:rPr>
        <w:t>chirimoya</w:t>
      </w:r>
      <w:r>
        <w:rPr>
          <w:color w:val="231F20"/>
          <w:spacing w:val="-4"/>
        </w:rPr>
        <w:t> </w:t>
      </w:r>
      <w:r>
        <w:rPr>
          <w:color w:val="231F20"/>
        </w:rPr>
        <w:t>se</w:t>
      </w:r>
      <w:r>
        <w:rPr>
          <w:color w:val="231F20"/>
          <w:spacing w:val="-3"/>
        </w:rPr>
        <w:t> </w:t>
      </w:r>
      <w:r>
        <w:rPr>
          <w:color w:val="231F20"/>
        </w:rPr>
        <w:t>encuentra</w:t>
      </w:r>
      <w:r>
        <w:rPr>
          <w:color w:val="231F20"/>
          <w:spacing w:val="-4"/>
        </w:rPr>
        <w:t> </w:t>
      </w:r>
      <w:r>
        <w:rPr>
          <w:color w:val="231F20"/>
        </w:rPr>
        <w:t>en</w:t>
      </w:r>
      <w:r>
        <w:rPr>
          <w:color w:val="231F20"/>
          <w:spacing w:val="-3"/>
        </w:rPr>
        <w:t> </w:t>
      </w:r>
      <w:r>
        <w:rPr>
          <w:color w:val="231F20"/>
        </w:rPr>
        <w:t>climas semicálidos o subtropicales húmedos y subhúmedos en suelos del tipo de los andosoles de textura migajonosa, con buena areación y permeabilidad al agua, medianamente profundos, ligeramente ácidos, con buen contenido de materia orgánica, en la franja norte libre de heladas, ubicada en las laderas de la Sierra de Chichinautzin a una altitud de 1400 a 1900 metros sobre el nivel del </w:t>
      </w:r>
      <w:r>
        <w:rPr>
          <w:color w:val="231F20"/>
          <w:spacing w:val="-3"/>
        </w:rPr>
        <w:t>mar,</w:t>
      </w:r>
      <w:r>
        <w:rPr>
          <w:color w:val="231F20"/>
          <w:spacing w:val="-35"/>
        </w:rPr>
        <w:t> </w:t>
      </w:r>
      <w:r>
        <w:rPr>
          <w:color w:val="231F20"/>
        </w:rPr>
        <w:t>que reúne buenas condiciones para la producción de</w:t>
      </w:r>
      <w:r>
        <w:rPr>
          <w:color w:val="231F20"/>
          <w:spacing w:val="-1"/>
        </w:rPr>
        <w:t> </w:t>
      </w:r>
      <w:r>
        <w:rPr>
          <w:color w:val="231F20"/>
        </w:rPr>
        <w:t>chirimoya.</w:t>
      </w:r>
    </w:p>
    <w:p>
      <w:pPr>
        <w:pStyle w:val="BodyText"/>
        <w:spacing w:before="10"/>
      </w:pPr>
    </w:p>
    <w:p>
      <w:pPr>
        <w:pStyle w:val="BodyText"/>
        <w:spacing w:line="247" w:lineRule="auto"/>
        <w:ind w:left="1270" w:right="1267"/>
        <w:jc w:val="both"/>
      </w:pPr>
      <w:r>
        <w:rPr>
          <w:color w:val="231F20"/>
        </w:rPr>
        <w:t>La chirimoya es compatible con la selva baja caducifolia que es uno de los tipos de vegetación que se encuentra esta Area Natural Protegida del Corredor Biológico Chichinautzin, donde se encuentra nuestro lugar de estudio, por lo que es posible implementar programas de conservación </w:t>
      </w:r>
      <w:r>
        <w:rPr>
          <w:i/>
          <w:color w:val="231F20"/>
        </w:rPr>
        <w:t>in situ </w:t>
      </w:r>
      <w:r>
        <w:rPr>
          <w:color w:val="231F20"/>
        </w:rPr>
        <w:t>de germoplasma</w:t>
      </w:r>
      <w:r>
        <w:rPr>
          <w:color w:val="231F20"/>
          <w:spacing w:val="-6"/>
        </w:rPr>
        <w:t> </w:t>
      </w:r>
      <w:r>
        <w:rPr>
          <w:color w:val="231F20"/>
        </w:rPr>
        <w:t>de</w:t>
      </w:r>
      <w:r>
        <w:rPr>
          <w:color w:val="231F20"/>
          <w:spacing w:val="-6"/>
        </w:rPr>
        <w:t> </w:t>
      </w:r>
      <w:r>
        <w:rPr>
          <w:color w:val="231F20"/>
        </w:rPr>
        <w:t>esta</w:t>
      </w:r>
      <w:r>
        <w:rPr>
          <w:color w:val="231F20"/>
          <w:spacing w:val="-6"/>
        </w:rPr>
        <w:t> </w:t>
      </w:r>
      <w:r>
        <w:rPr>
          <w:color w:val="231F20"/>
        </w:rPr>
        <w:t>planta</w:t>
      </w:r>
      <w:r>
        <w:rPr>
          <w:color w:val="231F20"/>
          <w:spacing w:val="-6"/>
        </w:rPr>
        <w:t> </w:t>
      </w:r>
      <w:r>
        <w:rPr>
          <w:color w:val="231F20"/>
        </w:rPr>
        <w:t>con</w:t>
      </w:r>
      <w:r>
        <w:rPr>
          <w:color w:val="231F20"/>
          <w:spacing w:val="-6"/>
        </w:rPr>
        <w:t> </w:t>
      </w:r>
      <w:r>
        <w:rPr>
          <w:color w:val="231F20"/>
        </w:rPr>
        <w:t>la</w:t>
      </w:r>
      <w:r>
        <w:rPr>
          <w:color w:val="231F20"/>
          <w:spacing w:val="-6"/>
        </w:rPr>
        <w:t> </w:t>
      </w:r>
      <w:r>
        <w:rPr>
          <w:color w:val="231F20"/>
        </w:rPr>
        <w:t>participación</w:t>
      </w:r>
      <w:r>
        <w:rPr>
          <w:color w:val="231F20"/>
          <w:spacing w:val="-6"/>
        </w:rPr>
        <w:t> </w:t>
      </w:r>
      <w:r>
        <w:rPr>
          <w:color w:val="231F20"/>
        </w:rPr>
        <w:t>directa</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agricultores,</w:t>
      </w:r>
      <w:r>
        <w:rPr>
          <w:color w:val="231F20"/>
          <w:spacing w:val="-7"/>
        </w:rPr>
        <w:t> </w:t>
      </w:r>
      <w:r>
        <w:rPr>
          <w:color w:val="231F20"/>
        </w:rPr>
        <w:t>con</w:t>
      </w:r>
      <w:r>
        <w:rPr>
          <w:color w:val="231F20"/>
          <w:spacing w:val="-6"/>
        </w:rPr>
        <w:t> </w:t>
      </w:r>
      <w:r>
        <w:rPr>
          <w:color w:val="231F20"/>
        </w:rPr>
        <w:t>una</w:t>
      </w:r>
      <w:r>
        <w:rPr>
          <w:color w:val="231F20"/>
          <w:spacing w:val="-6"/>
        </w:rPr>
        <w:t> </w:t>
      </w:r>
      <w:r>
        <w:rPr>
          <w:color w:val="231F20"/>
        </w:rPr>
        <w:t>estrategia</w:t>
      </w:r>
      <w:r>
        <w:rPr>
          <w:color w:val="231F20"/>
          <w:spacing w:val="-7"/>
        </w:rPr>
        <w:t> </w:t>
      </w:r>
      <w:r>
        <w:rPr>
          <w:color w:val="231F20"/>
        </w:rPr>
        <w:t>de</w:t>
      </w:r>
      <w:r>
        <w:rPr>
          <w:color w:val="231F20"/>
          <w:spacing w:val="-6"/>
        </w:rPr>
        <w:t> </w:t>
      </w:r>
      <w:r>
        <w:rPr>
          <w:color w:val="231F20"/>
        </w:rPr>
        <w:t>uso múltiple de los recursos naturales compatible con el ambiente</w:t>
      </w:r>
      <w:r>
        <w:rPr>
          <w:color w:val="231F20"/>
          <w:spacing w:val="-5"/>
        </w:rPr>
        <w:t> </w:t>
      </w:r>
      <w:r>
        <w:rPr>
          <w:color w:val="231F20"/>
        </w:rPr>
        <w:t>natural.</w:t>
      </w:r>
    </w:p>
    <w:p>
      <w:pPr>
        <w:pStyle w:val="BodyText"/>
        <w:spacing w:before="10"/>
      </w:pPr>
    </w:p>
    <w:p>
      <w:pPr>
        <w:pStyle w:val="BodyText"/>
        <w:spacing w:line="247" w:lineRule="auto"/>
        <w:ind w:left="1270" w:right="1267"/>
        <w:jc w:val="both"/>
      </w:pPr>
      <w:r>
        <w:rPr>
          <w:color w:val="231F20"/>
        </w:rPr>
        <w:t>De acuerdo a la información obtenida de los campesinos del lugar, cuando se desea plantar algunos árboles de chirimoya, se eliminan las malezas, se quitan las piedras y posteriormente se hacen</w:t>
      </w:r>
      <w:r>
        <w:rPr>
          <w:color w:val="231F20"/>
          <w:spacing w:val="-36"/>
        </w:rPr>
        <w:t> </w:t>
      </w:r>
      <w:r>
        <w:rPr>
          <w:color w:val="231F20"/>
        </w:rPr>
        <w:t>cepas de 60 x 60 centímetros. Las plantas se propagan principalmente por semillas, las cuales se siembran en</w:t>
      </w:r>
      <w:r>
        <w:rPr>
          <w:color w:val="231F20"/>
          <w:spacing w:val="-4"/>
        </w:rPr>
        <w:t> </w:t>
      </w:r>
      <w:r>
        <w:rPr>
          <w:color w:val="231F20"/>
        </w:rPr>
        <w:t>semilleros</w:t>
      </w:r>
      <w:r>
        <w:rPr>
          <w:color w:val="231F20"/>
          <w:spacing w:val="-3"/>
        </w:rPr>
        <w:t> </w:t>
      </w:r>
      <w:r>
        <w:rPr>
          <w:color w:val="231F20"/>
        </w:rPr>
        <w:t>a</w:t>
      </w:r>
      <w:r>
        <w:rPr>
          <w:color w:val="231F20"/>
          <w:spacing w:val="-4"/>
        </w:rPr>
        <w:t> </w:t>
      </w:r>
      <w:r>
        <w:rPr>
          <w:color w:val="231F20"/>
        </w:rPr>
        <w:t>una</w:t>
      </w:r>
      <w:r>
        <w:rPr>
          <w:color w:val="231F20"/>
          <w:spacing w:val="-4"/>
        </w:rPr>
        <w:t> </w:t>
      </w:r>
      <w:r>
        <w:rPr>
          <w:color w:val="231F20"/>
        </w:rPr>
        <w:t>profundidad</w:t>
      </w:r>
      <w:r>
        <w:rPr>
          <w:color w:val="231F20"/>
          <w:spacing w:val="-4"/>
        </w:rPr>
        <w:t> </w:t>
      </w:r>
      <w:r>
        <w:rPr>
          <w:color w:val="231F20"/>
        </w:rPr>
        <w:t>de</w:t>
      </w:r>
      <w:r>
        <w:rPr>
          <w:color w:val="231F20"/>
          <w:spacing w:val="-4"/>
        </w:rPr>
        <w:t> </w:t>
      </w:r>
      <w:r>
        <w:rPr>
          <w:color w:val="231F20"/>
        </w:rPr>
        <w:t>5</w:t>
      </w:r>
      <w:r>
        <w:rPr>
          <w:color w:val="231F20"/>
          <w:spacing w:val="-4"/>
        </w:rPr>
        <w:t> </w:t>
      </w:r>
      <w:r>
        <w:rPr>
          <w:color w:val="231F20"/>
        </w:rPr>
        <w:t>centímetros</w:t>
      </w:r>
      <w:r>
        <w:rPr>
          <w:color w:val="231F20"/>
          <w:spacing w:val="-5"/>
        </w:rPr>
        <w:t> </w:t>
      </w:r>
      <w:r>
        <w:rPr>
          <w:color w:val="231F20"/>
        </w:rPr>
        <w:t>empleando</w:t>
      </w:r>
      <w:r>
        <w:rPr>
          <w:color w:val="231F20"/>
          <w:spacing w:val="-4"/>
        </w:rPr>
        <w:t> </w:t>
      </w:r>
      <w:r>
        <w:rPr>
          <w:color w:val="231F20"/>
        </w:rPr>
        <w:t>tierra</w:t>
      </w:r>
      <w:r>
        <w:rPr>
          <w:color w:val="231F20"/>
          <w:spacing w:val="-4"/>
        </w:rPr>
        <w:t> </w:t>
      </w:r>
      <w:r>
        <w:rPr>
          <w:color w:val="231F20"/>
        </w:rPr>
        <w:t>de</w:t>
      </w:r>
      <w:r>
        <w:rPr>
          <w:color w:val="231F20"/>
          <w:spacing w:val="-4"/>
        </w:rPr>
        <w:t> </w:t>
      </w:r>
      <w:r>
        <w:rPr>
          <w:color w:val="231F20"/>
        </w:rPr>
        <w:t>monte,</w:t>
      </w:r>
      <w:r>
        <w:rPr>
          <w:color w:val="231F20"/>
          <w:spacing w:val="-4"/>
        </w:rPr>
        <w:t> </w:t>
      </w:r>
      <w:r>
        <w:rPr>
          <w:color w:val="231F20"/>
        </w:rPr>
        <w:t>o</w:t>
      </w:r>
      <w:r>
        <w:rPr>
          <w:color w:val="231F20"/>
          <w:spacing w:val="-4"/>
        </w:rPr>
        <w:t> </w:t>
      </w:r>
      <w:r>
        <w:rPr>
          <w:color w:val="231F20"/>
        </w:rPr>
        <w:t>bien</w:t>
      </w:r>
      <w:r>
        <w:rPr>
          <w:color w:val="231F20"/>
          <w:spacing w:val="-4"/>
        </w:rPr>
        <w:t> </w:t>
      </w:r>
      <w:r>
        <w:rPr>
          <w:color w:val="231F20"/>
        </w:rPr>
        <w:t>en</w:t>
      </w:r>
      <w:r>
        <w:rPr>
          <w:color w:val="231F20"/>
          <w:spacing w:val="-4"/>
        </w:rPr>
        <w:t> </w:t>
      </w:r>
      <w:r>
        <w:rPr>
          <w:color w:val="231F20"/>
        </w:rPr>
        <w:t>las</w:t>
      </w:r>
      <w:r>
        <w:rPr>
          <w:color w:val="231F20"/>
          <w:spacing w:val="-4"/>
        </w:rPr>
        <w:t> </w:t>
      </w:r>
      <w:r>
        <w:rPr>
          <w:color w:val="231F20"/>
        </w:rPr>
        <w:t>tierras</w:t>
      </w:r>
      <w:r>
        <w:rPr>
          <w:color w:val="231F20"/>
          <w:spacing w:val="-4"/>
        </w:rPr>
        <w:t> </w:t>
      </w:r>
      <w:r>
        <w:rPr>
          <w:color w:val="231F20"/>
        </w:rPr>
        <w:t>de traspatio,</w:t>
      </w:r>
      <w:r>
        <w:rPr>
          <w:color w:val="231F20"/>
          <w:spacing w:val="-7"/>
        </w:rPr>
        <w:t> </w:t>
      </w:r>
      <w:r>
        <w:rPr>
          <w:color w:val="231F20"/>
        </w:rPr>
        <w:t>donde</w:t>
      </w:r>
      <w:r>
        <w:rPr>
          <w:color w:val="231F20"/>
          <w:spacing w:val="-7"/>
        </w:rPr>
        <w:t> </w:t>
      </w:r>
      <w:r>
        <w:rPr>
          <w:color w:val="231F20"/>
        </w:rPr>
        <w:t>nacen</w:t>
      </w:r>
      <w:r>
        <w:rPr>
          <w:color w:val="231F20"/>
          <w:spacing w:val="-7"/>
        </w:rPr>
        <w:t> </w:t>
      </w:r>
      <w:r>
        <w:rPr>
          <w:color w:val="231F20"/>
        </w:rPr>
        <w:t>las</w:t>
      </w:r>
      <w:r>
        <w:rPr>
          <w:color w:val="231F20"/>
          <w:spacing w:val="-7"/>
        </w:rPr>
        <w:t> </w:t>
      </w:r>
      <w:r>
        <w:rPr>
          <w:color w:val="231F20"/>
        </w:rPr>
        <w:t>plantas.</w:t>
      </w:r>
      <w:r>
        <w:rPr>
          <w:color w:val="231F20"/>
          <w:spacing w:val="-7"/>
        </w:rPr>
        <w:t> </w:t>
      </w:r>
      <w:r>
        <w:rPr>
          <w:color w:val="231F20"/>
        </w:rPr>
        <w:t>Estas</w:t>
      </w:r>
      <w:r>
        <w:rPr>
          <w:color w:val="231F20"/>
          <w:spacing w:val="-7"/>
        </w:rPr>
        <w:t> </w:t>
      </w:r>
      <w:r>
        <w:rPr>
          <w:color w:val="231F20"/>
        </w:rPr>
        <w:t>actividades</w:t>
      </w:r>
      <w:r>
        <w:rPr>
          <w:color w:val="231F20"/>
          <w:spacing w:val="-7"/>
        </w:rPr>
        <w:t> </w:t>
      </w:r>
      <w:r>
        <w:rPr>
          <w:color w:val="231F20"/>
        </w:rPr>
        <w:t>han</w:t>
      </w:r>
      <w:r>
        <w:rPr>
          <w:color w:val="231F20"/>
          <w:spacing w:val="-7"/>
        </w:rPr>
        <w:t> </w:t>
      </w:r>
      <w:r>
        <w:rPr>
          <w:color w:val="231F20"/>
        </w:rPr>
        <w:t>permitido</w:t>
      </w:r>
      <w:r>
        <w:rPr>
          <w:color w:val="231F20"/>
          <w:spacing w:val="-7"/>
        </w:rPr>
        <w:t> </w:t>
      </w:r>
      <w:r>
        <w:rPr>
          <w:color w:val="231F20"/>
        </w:rPr>
        <w:t>concentrar</w:t>
      </w:r>
      <w:r>
        <w:rPr>
          <w:color w:val="231F20"/>
          <w:spacing w:val="-7"/>
        </w:rPr>
        <w:t> </w:t>
      </w:r>
      <w:r>
        <w:rPr>
          <w:color w:val="231F20"/>
        </w:rPr>
        <w:t>alta</w:t>
      </w:r>
      <w:r>
        <w:rPr>
          <w:color w:val="231F20"/>
          <w:spacing w:val="-7"/>
        </w:rPr>
        <w:t> </w:t>
      </w:r>
      <w:r>
        <w:rPr>
          <w:color w:val="231F20"/>
        </w:rPr>
        <w:t>variabilidad</w:t>
      </w:r>
      <w:r>
        <w:rPr>
          <w:color w:val="231F20"/>
          <w:spacing w:val="-7"/>
        </w:rPr>
        <w:t> </w:t>
      </w:r>
      <w:r>
        <w:rPr>
          <w:color w:val="231F20"/>
        </w:rPr>
        <w:t>gené- tica</w:t>
      </w:r>
      <w:r>
        <w:rPr>
          <w:color w:val="231F20"/>
          <w:spacing w:val="-7"/>
        </w:rPr>
        <w:t> </w:t>
      </w:r>
      <w:r>
        <w:rPr>
          <w:color w:val="231F20"/>
        </w:rPr>
        <w:t>y</w:t>
      </w:r>
      <w:r>
        <w:rPr>
          <w:color w:val="231F20"/>
          <w:spacing w:val="-7"/>
        </w:rPr>
        <w:t> </w:t>
      </w:r>
      <w:r>
        <w:rPr>
          <w:color w:val="231F20"/>
        </w:rPr>
        <w:t>al</w:t>
      </w:r>
      <w:r>
        <w:rPr>
          <w:color w:val="231F20"/>
          <w:spacing w:val="-7"/>
        </w:rPr>
        <w:t> </w:t>
      </w:r>
      <w:r>
        <w:rPr>
          <w:color w:val="231F20"/>
        </w:rPr>
        <w:t>mismo</w:t>
      </w:r>
      <w:r>
        <w:rPr>
          <w:color w:val="231F20"/>
          <w:spacing w:val="-7"/>
        </w:rPr>
        <w:t> </w:t>
      </w:r>
      <w:r>
        <w:rPr>
          <w:color w:val="231F20"/>
        </w:rPr>
        <w:t>tiempo,</w:t>
      </w:r>
      <w:r>
        <w:rPr>
          <w:color w:val="231F20"/>
          <w:spacing w:val="-7"/>
        </w:rPr>
        <w:t> </w:t>
      </w:r>
      <w:r>
        <w:rPr>
          <w:color w:val="231F20"/>
        </w:rPr>
        <w:t>la</w:t>
      </w:r>
      <w:r>
        <w:rPr>
          <w:color w:val="231F20"/>
          <w:spacing w:val="-7"/>
        </w:rPr>
        <w:t> </w:t>
      </w:r>
      <w:r>
        <w:rPr>
          <w:color w:val="231F20"/>
        </w:rPr>
        <w:t>conservación</w:t>
      </w:r>
      <w:r>
        <w:rPr>
          <w:color w:val="231F20"/>
          <w:spacing w:val="-8"/>
        </w:rPr>
        <w:t> </w:t>
      </w:r>
      <w:r>
        <w:rPr>
          <w:color w:val="231F20"/>
        </w:rPr>
        <w:t>del</w:t>
      </w:r>
      <w:r>
        <w:rPr>
          <w:color w:val="231F20"/>
          <w:spacing w:val="-7"/>
        </w:rPr>
        <w:t> </w:t>
      </w:r>
      <w:r>
        <w:rPr>
          <w:color w:val="231F20"/>
        </w:rPr>
        <w:t>germoplasma</w:t>
      </w:r>
      <w:r>
        <w:rPr>
          <w:color w:val="231F20"/>
          <w:spacing w:val="-7"/>
        </w:rPr>
        <w:t> </w:t>
      </w:r>
      <w:r>
        <w:rPr>
          <w:color w:val="231F20"/>
        </w:rPr>
        <w:t>in</w:t>
      </w:r>
      <w:r>
        <w:rPr>
          <w:color w:val="231F20"/>
          <w:spacing w:val="-7"/>
        </w:rPr>
        <w:t> </w:t>
      </w:r>
      <w:r>
        <w:rPr>
          <w:color w:val="231F20"/>
        </w:rPr>
        <w:t>situ,</w:t>
      </w:r>
      <w:r>
        <w:rPr>
          <w:color w:val="231F20"/>
          <w:spacing w:val="-7"/>
        </w:rPr>
        <w:t> </w:t>
      </w:r>
      <w:r>
        <w:rPr>
          <w:color w:val="231F20"/>
        </w:rPr>
        <w:t>encontrándose</w:t>
      </w:r>
      <w:r>
        <w:rPr>
          <w:color w:val="231F20"/>
          <w:spacing w:val="-8"/>
        </w:rPr>
        <w:t> </w:t>
      </w:r>
      <w:r>
        <w:rPr>
          <w:color w:val="231F20"/>
        </w:rPr>
        <w:t>actualmente</w:t>
      </w:r>
      <w:r>
        <w:rPr>
          <w:color w:val="231F20"/>
          <w:spacing w:val="-8"/>
        </w:rPr>
        <w:t> </w:t>
      </w:r>
      <w:r>
        <w:rPr>
          <w:color w:val="231F20"/>
        </w:rPr>
        <w:t>árboles de chirimoya con frutas de características variables en tamaño, peso y</w:t>
      </w:r>
      <w:r>
        <w:rPr>
          <w:color w:val="231F20"/>
          <w:spacing w:val="-5"/>
        </w:rPr>
        <w:t> </w:t>
      </w:r>
      <w:r>
        <w:rPr>
          <w:color w:val="231F20"/>
        </w:rPr>
        <w:t>forma.</w:t>
      </w:r>
    </w:p>
    <w:p>
      <w:pPr>
        <w:pStyle w:val="BodyText"/>
        <w:spacing w:before="10"/>
      </w:pPr>
    </w:p>
    <w:p>
      <w:pPr>
        <w:pStyle w:val="BodyText"/>
        <w:spacing w:line="247" w:lineRule="auto"/>
        <w:ind w:left="1270" w:right="1267"/>
        <w:jc w:val="both"/>
      </w:pPr>
      <w:r>
        <w:rPr>
          <w:color w:val="231F20"/>
        </w:rPr>
        <w:t>De acuerdo a la clasificación que hace Pepeone, (1974), citado por Andrés Agustín y Andrés H. (2011), de las formas básicas del fruto y la textura de la cáscara, formada por carpelos y segmentos externos llamados areolas, se distinguen cinco tipos de frutos: lisa, impresa, umbonada, tuberculada y mamilada. De los cuales los frutos de tipo impreso y mamilado son lo predominantes en nuestra área</w:t>
      </w:r>
      <w:r>
        <w:rPr>
          <w:color w:val="231F20"/>
          <w:spacing w:val="-7"/>
        </w:rPr>
        <w:t> </w:t>
      </w:r>
      <w:r>
        <w:rPr>
          <w:color w:val="231F20"/>
        </w:rPr>
        <w:t>de</w:t>
      </w:r>
      <w:r>
        <w:rPr>
          <w:color w:val="231F20"/>
          <w:spacing w:val="-7"/>
        </w:rPr>
        <w:t> </w:t>
      </w:r>
      <w:r>
        <w:rPr>
          <w:color w:val="231F20"/>
        </w:rPr>
        <w:t>estudio.</w:t>
      </w:r>
      <w:r>
        <w:rPr>
          <w:color w:val="231F20"/>
          <w:spacing w:val="-7"/>
        </w:rPr>
        <w:t> </w:t>
      </w:r>
      <w:r>
        <w:rPr>
          <w:color w:val="231F20"/>
        </w:rPr>
        <w:t>Es</w:t>
      </w:r>
      <w:r>
        <w:rPr>
          <w:color w:val="231F20"/>
          <w:spacing w:val="-7"/>
        </w:rPr>
        <w:t> </w:t>
      </w:r>
      <w:r>
        <w:rPr>
          <w:color w:val="231F20"/>
        </w:rPr>
        <w:t>importante</w:t>
      </w:r>
      <w:r>
        <w:rPr>
          <w:color w:val="231F20"/>
          <w:spacing w:val="-8"/>
        </w:rPr>
        <w:t> </w:t>
      </w:r>
      <w:r>
        <w:rPr>
          <w:color w:val="231F20"/>
        </w:rPr>
        <w:t>mencionar</w:t>
      </w:r>
      <w:r>
        <w:rPr>
          <w:color w:val="231F20"/>
          <w:spacing w:val="-8"/>
        </w:rPr>
        <w:t> </w:t>
      </w:r>
      <w:r>
        <w:rPr>
          <w:color w:val="231F20"/>
        </w:rPr>
        <w:t>que</w:t>
      </w:r>
      <w:r>
        <w:rPr>
          <w:color w:val="231F20"/>
          <w:spacing w:val="-7"/>
        </w:rPr>
        <w:t> </w:t>
      </w:r>
      <w:r>
        <w:rPr>
          <w:color w:val="231F20"/>
        </w:rPr>
        <w:t>el</w:t>
      </w:r>
      <w:r>
        <w:rPr>
          <w:color w:val="231F20"/>
          <w:spacing w:val="-7"/>
        </w:rPr>
        <w:t> </w:t>
      </w:r>
      <w:r>
        <w:rPr>
          <w:color w:val="231F20"/>
        </w:rPr>
        <w:t>chirimoyo</w:t>
      </w:r>
      <w:r>
        <w:rPr>
          <w:color w:val="231F20"/>
          <w:spacing w:val="-7"/>
        </w:rPr>
        <w:t> </w:t>
      </w:r>
      <w:r>
        <w:rPr>
          <w:color w:val="231F20"/>
        </w:rPr>
        <w:t>al</w:t>
      </w:r>
      <w:r>
        <w:rPr>
          <w:color w:val="231F20"/>
          <w:spacing w:val="-7"/>
        </w:rPr>
        <w:t> </w:t>
      </w:r>
      <w:r>
        <w:rPr>
          <w:color w:val="231F20"/>
        </w:rPr>
        <w:t>ser</w:t>
      </w:r>
      <w:r>
        <w:rPr>
          <w:color w:val="231F20"/>
          <w:spacing w:val="-7"/>
        </w:rPr>
        <w:t> </w:t>
      </w:r>
      <w:r>
        <w:rPr>
          <w:color w:val="231F20"/>
        </w:rPr>
        <w:t>un</w:t>
      </w:r>
      <w:r>
        <w:rPr>
          <w:color w:val="231F20"/>
          <w:spacing w:val="-7"/>
        </w:rPr>
        <w:t> </w:t>
      </w:r>
      <w:r>
        <w:rPr>
          <w:color w:val="231F20"/>
        </w:rPr>
        <w:t>cultivo</w:t>
      </w:r>
      <w:r>
        <w:rPr>
          <w:color w:val="231F20"/>
          <w:spacing w:val="-7"/>
        </w:rPr>
        <w:t> </w:t>
      </w:r>
      <w:r>
        <w:rPr>
          <w:color w:val="231F20"/>
        </w:rPr>
        <w:t>de</w:t>
      </w:r>
      <w:r>
        <w:rPr>
          <w:color w:val="231F20"/>
          <w:spacing w:val="-7"/>
        </w:rPr>
        <w:t> </w:t>
      </w:r>
      <w:r>
        <w:rPr>
          <w:color w:val="231F20"/>
        </w:rPr>
        <w:t>plantación,</w:t>
      </w:r>
      <w:r>
        <w:rPr>
          <w:color w:val="231F20"/>
          <w:spacing w:val="-7"/>
        </w:rPr>
        <w:t> </w:t>
      </w:r>
      <w:r>
        <w:rPr>
          <w:color w:val="231F20"/>
        </w:rPr>
        <w:t>permitiría disminuir considerablemente la erosión del suelo principalmente en terrenos con pendiente pronun- ciada,</w:t>
      </w:r>
      <w:r>
        <w:rPr>
          <w:color w:val="231F20"/>
          <w:spacing w:val="-5"/>
        </w:rPr>
        <w:t> </w:t>
      </w:r>
      <w:r>
        <w:rPr>
          <w:color w:val="231F20"/>
        </w:rPr>
        <w:t>ya</w:t>
      </w:r>
      <w:r>
        <w:rPr>
          <w:color w:val="231F20"/>
          <w:spacing w:val="-5"/>
        </w:rPr>
        <w:t> </w:t>
      </w:r>
      <w:r>
        <w:rPr>
          <w:color w:val="231F20"/>
        </w:rPr>
        <w:t>que</w:t>
      </w:r>
      <w:r>
        <w:rPr>
          <w:color w:val="231F20"/>
          <w:spacing w:val="-5"/>
        </w:rPr>
        <w:t> </w:t>
      </w:r>
      <w:r>
        <w:rPr>
          <w:color w:val="231F20"/>
        </w:rPr>
        <w:t>los</w:t>
      </w:r>
      <w:r>
        <w:rPr>
          <w:color w:val="231F20"/>
          <w:spacing w:val="-5"/>
        </w:rPr>
        <w:t> </w:t>
      </w:r>
      <w:r>
        <w:rPr>
          <w:color w:val="231F20"/>
        </w:rPr>
        <w:t>suelos</w:t>
      </w:r>
      <w:r>
        <w:rPr>
          <w:color w:val="231F20"/>
          <w:spacing w:val="-5"/>
        </w:rPr>
        <w:t> </w:t>
      </w:r>
      <w:r>
        <w:rPr>
          <w:color w:val="231F20"/>
        </w:rPr>
        <w:t>andosoles</w:t>
      </w:r>
      <w:r>
        <w:rPr>
          <w:color w:val="231F20"/>
          <w:spacing w:val="-5"/>
        </w:rPr>
        <w:t> </w:t>
      </w:r>
      <w:r>
        <w:rPr>
          <w:color w:val="231F20"/>
        </w:rPr>
        <w:t>son</w:t>
      </w:r>
      <w:r>
        <w:rPr>
          <w:color w:val="231F20"/>
          <w:spacing w:val="-5"/>
        </w:rPr>
        <w:t> </w:t>
      </w:r>
      <w:r>
        <w:rPr>
          <w:color w:val="231F20"/>
        </w:rPr>
        <w:t>propensos</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erosión</w:t>
      </w:r>
      <w:r>
        <w:rPr>
          <w:color w:val="231F20"/>
          <w:spacing w:val="-5"/>
        </w:rPr>
        <w:t> </w:t>
      </w:r>
      <w:r>
        <w:rPr>
          <w:color w:val="231F20"/>
        </w:rPr>
        <w:t>cuando</w:t>
      </w:r>
      <w:r>
        <w:rPr>
          <w:color w:val="231F20"/>
          <w:spacing w:val="-5"/>
        </w:rPr>
        <w:t> </w:t>
      </w:r>
      <w:r>
        <w:rPr>
          <w:color w:val="231F20"/>
        </w:rPr>
        <w:t>son</w:t>
      </w:r>
      <w:r>
        <w:rPr>
          <w:color w:val="231F20"/>
          <w:spacing w:val="-5"/>
        </w:rPr>
        <w:t> </w:t>
      </w:r>
      <w:r>
        <w:rPr>
          <w:color w:val="231F20"/>
        </w:rPr>
        <w:t>removidos</w:t>
      </w:r>
      <w:r>
        <w:rPr>
          <w:color w:val="231F20"/>
          <w:spacing w:val="-5"/>
        </w:rPr>
        <w:t> </w:t>
      </w:r>
      <w:r>
        <w:rPr>
          <w:color w:val="231F20"/>
        </w:rPr>
        <w:t>constantemente y están desprovistos de</w:t>
      </w:r>
      <w:r>
        <w:rPr>
          <w:color w:val="231F20"/>
          <w:spacing w:val="-1"/>
        </w:rPr>
        <w:t> </w:t>
      </w:r>
      <w:r>
        <w:rPr>
          <w:color w:val="231F20"/>
        </w:rPr>
        <w:t>vegetación.</w:t>
      </w:r>
    </w:p>
    <w:p>
      <w:pPr>
        <w:pStyle w:val="BodyText"/>
        <w:spacing w:before="10"/>
      </w:pPr>
    </w:p>
    <w:p>
      <w:pPr>
        <w:pStyle w:val="BodyText"/>
        <w:ind w:left="1270"/>
        <w:jc w:val="both"/>
      </w:pPr>
      <w:r>
        <w:rPr>
          <w:color w:val="231F20"/>
        </w:rPr>
        <w:t>De acuerdo al análisis acerca del manejo de las plantaciones de chirimoya, se observa que no les</w:t>
      </w:r>
    </w:p>
    <w:p>
      <w:pPr>
        <w:spacing w:after="0"/>
        <w:jc w:val="both"/>
        <w:sectPr>
          <w:pgSz w:w="10920" w:h="13080"/>
          <w:pgMar w:header="0" w:footer="965" w:top="420" w:bottom="1220" w:left="0" w:right="0"/>
        </w:sectPr>
      </w:pPr>
    </w:p>
    <w:p>
      <w:pPr>
        <w:pStyle w:val="BodyText"/>
        <w:rPr>
          <w:sz w:val="20"/>
        </w:rPr>
      </w:pPr>
    </w:p>
    <w:p>
      <w:pPr>
        <w:pStyle w:val="BodyText"/>
        <w:rPr>
          <w:sz w:val="20"/>
        </w:rPr>
      </w:pPr>
    </w:p>
    <w:p>
      <w:pPr>
        <w:pStyle w:val="BodyText"/>
        <w:rPr>
          <w:sz w:val="23"/>
        </w:rPr>
      </w:pPr>
    </w:p>
    <w:p>
      <w:pPr>
        <w:pStyle w:val="BodyText"/>
        <w:spacing w:line="247" w:lineRule="auto" w:before="73"/>
        <w:ind w:left="1270" w:right="1267"/>
        <w:jc w:val="both"/>
      </w:pPr>
      <w:r>
        <w:rPr>
          <w:color w:val="231F20"/>
        </w:rPr>
        <w:t>proporcionan</w:t>
      </w:r>
      <w:r>
        <w:rPr>
          <w:color w:val="231F20"/>
          <w:spacing w:val="-10"/>
        </w:rPr>
        <w:t> </w:t>
      </w:r>
      <w:r>
        <w:rPr>
          <w:color w:val="231F20"/>
        </w:rPr>
        <w:t>las</w:t>
      </w:r>
      <w:r>
        <w:rPr>
          <w:color w:val="231F20"/>
          <w:spacing w:val="-10"/>
        </w:rPr>
        <w:t> </w:t>
      </w:r>
      <w:r>
        <w:rPr>
          <w:color w:val="231F20"/>
        </w:rPr>
        <w:t>labores</w:t>
      </w:r>
      <w:r>
        <w:rPr>
          <w:color w:val="231F20"/>
          <w:spacing w:val="-11"/>
        </w:rPr>
        <w:t> </w:t>
      </w:r>
      <w:r>
        <w:rPr>
          <w:color w:val="231F20"/>
        </w:rPr>
        <w:t>agrícolas</w:t>
      </w:r>
      <w:r>
        <w:rPr>
          <w:color w:val="231F20"/>
          <w:spacing w:val="-11"/>
        </w:rPr>
        <w:t> </w:t>
      </w:r>
      <w:r>
        <w:rPr>
          <w:color w:val="231F20"/>
        </w:rPr>
        <w:t>de</w:t>
      </w:r>
      <w:r>
        <w:rPr>
          <w:color w:val="231F20"/>
          <w:spacing w:val="-10"/>
        </w:rPr>
        <w:t> </w:t>
      </w:r>
      <w:r>
        <w:rPr>
          <w:color w:val="231F20"/>
        </w:rPr>
        <w:t>manera</w:t>
      </w:r>
      <w:r>
        <w:rPr>
          <w:color w:val="231F20"/>
          <w:spacing w:val="-11"/>
        </w:rPr>
        <w:t> </w:t>
      </w:r>
      <w:r>
        <w:rPr>
          <w:color w:val="231F20"/>
        </w:rPr>
        <w:t>adecuada</w:t>
      </w:r>
      <w:r>
        <w:rPr>
          <w:color w:val="231F20"/>
          <w:spacing w:val="-11"/>
        </w:rPr>
        <w:t> </w:t>
      </w:r>
      <w:r>
        <w:rPr>
          <w:color w:val="231F20"/>
        </w:rPr>
        <w:t>como</w:t>
      </w:r>
      <w:r>
        <w:rPr>
          <w:color w:val="231F20"/>
          <w:spacing w:val="-10"/>
        </w:rPr>
        <w:t> </w:t>
      </w:r>
      <w:r>
        <w:rPr>
          <w:color w:val="231F20"/>
        </w:rPr>
        <w:t>podas,</w:t>
      </w:r>
      <w:r>
        <w:rPr>
          <w:color w:val="231F20"/>
          <w:spacing w:val="-10"/>
        </w:rPr>
        <w:t> </w:t>
      </w:r>
      <w:r>
        <w:rPr>
          <w:color w:val="231F20"/>
        </w:rPr>
        <w:t>fertilización,</w:t>
      </w:r>
      <w:r>
        <w:rPr>
          <w:color w:val="231F20"/>
          <w:spacing w:val="-10"/>
        </w:rPr>
        <w:t> </w:t>
      </w:r>
      <w:r>
        <w:rPr>
          <w:color w:val="231F20"/>
        </w:rPr>
        <w:t>control</w:t>
      </w:r>
      <w:r>
        <w:rPr>
          <w:color w:val="231F20"/>
          <w:spacing w:val="-11"/>
        </w:rPr>
        <w:t> </w:t>
      </w:r>
      <w:r>
        <w:rPr>
          <w:color w:val="231F20"/>
        </w:rPr>
        <w:t>de</w:t>
      </w:r>
      <w:r>
        <w:rPr>
          <w:color w:val="231F20"/>
          <w:spacing w:val="-10"/>
        </w:rPr>
        <w:t> </w:t>
      </w:r>
      <w:r>
        <w:rPr>
          <w:color w:val="231F20"/>
        </w:rPr>
        <w:t>plagas</w:t>
      </w:r>
      <w:r>
        <w:rPr>
          <w:color w:val="231F20"/>
          <w:spacing w:val="-10"/>
        </w:rPr>
        <w:t> </w:t>
      </w:r>
      <w:r>
        <w:rPr>
          <w:color w:val="231F20"/>
        </w:rPr>
        <w:t>y enfermedades,</w:t>
      </w:r>
      <w:r>
        <w:rPr>
          <w:color w:val="231F20"/>
          <w:spacing w:val="-10"/>
        </w:rPr>
        <w:t> </w:t>
      </w:r>
      <w:r>
        <w:rPr>
          <w:color w:val="231F20"/>
        </w:rPr>
        <w:t>lo</w:t>
      </w:r>
      <w:r>
        <w:rPr>
          <w:color w:val="231F20"/>
          <w:spacing w:val="-9"/>
        </w:rPr>
        <w:t> </w:t>
      </w:r>
      <w:r>
        <w:rPr>
          <w:color w:val="231F20"/>
        </w:rPr>
        <w:t>cual</w:t>
      </w:r>
      <w:r>
        <w:rPr>
          <w:color w:val="231F20"/>
          <w:spacing w:val="-9"/>
        </w:rPr>
        <w:t> </w:t>
      </w:r>
      <w:r>
        <w:rPr>
          <w:color w:val="231F20"/>
        </w:rPr>
        <w:t>repercute</w:t>
      </w:r>
      <w:r>
        <w:rPr>
          <w:color w:val="231F20"/>
          <w:spacing w:val="-9"/>
        </w:rPr>
        <w:t> </w:t>
      </w:r>
      <w:r>
        <w:rPr>
          <w:color w:val="231F20"/>
        </w:rPr>
        <w:t>necesariamente</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bajo</w:t>
      </w:r>
      <w:r>
        <w:rPr>
          <w:color w:val="231F20"/>
          <w:spacing w:val="-9"/>
        </w:rPr>
        <w:t> </w:t>
      </w:r>
      <w:r>
        <w:rPr>
          <w:color w:val="231F20"/>
        </w:rPr>
        <w:t>rendimiento.</w:t>
      </w:r>
      <w:r>
        <w:rPr>
          <w:color w:val="231F20"/>
          <w:spacing w:val="-13"/>
        </w:rPr>
        <w:t> </w:t>
      </w:r>
      <w:r>
        <w:rPr>
          <w:color w:val="231F20"/>
          <w:spacing w:val="-3"/>
        </w:rPr>
        <w:t>Tales</w:t>
      </w:r>
      <w:r>
        <w:rPr>
          <w:color w:val="231F20"/>
          <w:spacing w:val="-9"/>
        </w:rPr>
        <w:t> </w:t>
      </w:r>
      <w:r>
        <w:rPr>
          <w:color w:val="231F20"/>
        </w:rPr>
        <w:t>cultivares</w:t>
      </w:r>
      <w:r>
        <w:rPr>
          <w:color w:val="231F20"/>
          <w:spacing w:val="-10"/>
        </w:rPr>
        <w:t> </w:t>
      </w:r>
      <w:r>
        <w:rPr>
          <w:color w:val="231F20"/>
        </w:rPr>
        <w:t>generalmen- te se encuentran en la modalidad de huertos familiares con arreglos topológicos muy heterogéneos. Aquí es necesario mencionar que la polinización artificial se justifica cuando se tienen plantaciones comerciales</w:t>
      </w:r>
      <w:r>
        <w:rPr>
          <w:color w:val="231F20"/>
          <w:spacing w:val="-3"/>
        </w:rPr>
        <w:t> </w:t>
      </w:r>
      <w:r>
        <w:rPr>
          <w:color w:val="231F20"/>
        </w:rPr>
        <w:t>con</w:t>
      </w:r>
      <w:r>
        <w:rPr>
          <w:color w:val="231F20"/>
          <w:spacing w:val="-3"/>
        </w:rPr>
        <w:t> </w:t>
      </w:r>
      <w:r>
        <w:rPr>
          <w:color w:val="231F20"/>
        </w:rPr>
        <w:t>ingresos</w:t>
      </w:r>
      <w:r>
        <w:rPr>
          <w:color w:val="231F20"/>
          <w:spacing w:val="-3"/>
        </w:rPr>
        <w:t> </w:t>
      </w:r>
      <w:r>
        <w:rPr>
          <w:color w:val="231F20"/>
        </w:rPr>
        <w:t>suficientes</w:t>
      </w:r>
      <w:r>
        <w:rPr>
          <w:color w:val="231F20"/>
          <w:spacing w:val="-3"/>
        </w:rPr>
        <w:t> </w:t>
      </w:r>
      <w:r>
        <w:rPr>
          <w:color w:val="231F20"/>
        </w:rPr>
        <w:t>al</w:t>
      </w:r>
      <w:r>
        <w:rPr>
          <w:color w:val="231F20"/>
          <w:spacing w:val="-3"/>
        </w:rPr>
        <w:t> </w:t>
      </w:r>
      <w:r>
        <w:rPr>
          <w:color w:val="231F20"/>
        </w:rPr>
        <w:t>aumentar</w:t>
      </w:r>
      <w:r>
        <w:rPr>
          <w:color w:val="231F20"/>
          <w:spacing w:val="-3"/>
        </w:rPr>
        <w:t> </w:t>
      </w:r>
      <w:r>
        <w:rPr>
          <w:color w:val="231F20"/>
        </w:rPr>
        <w:t>la</w:t>
      </w:r>
      <w:r>
        <w:rPr>
          <w:color w:val="231F20"/>
          <w:spacing w:val="-3"/>
        </w:rPr>
        <w:t> </w:t>
      </w:r>
      <w:r>
        <w:rPr>
          <w:color w:val="231F20"/>
        </w:rPr>
        <w:t>inversión</w:t>
      </w:r>
      <w:r>
        <w:rPr>
          <w:color w:val="231F20"/>
          <w:spacing w:val="-3"/>
        </w:rPr>
        <w:t> </w:t>
      </w:r>
      <w:r>
        <w:rPr>
          <w:color w:val="231F20"/>
        </w:rPr>
        <w:t>y</w:t>
      </w:r>
      <w:r>
        <w:rPr>
          <w:color w:val="231F20"/>
          <w:spacing w:val="-3"/>
        </w:rPr>
        <w:t> </w:t>
      </w:r>
      <w:r>
        <w:rPr>
          <w:color w:val="231F20"/>
        </w:rPr>
        <w:t>también,</w:t>
      </w:r>
      <w:r>
        <w:rPr>
          <w:color w:val="231F20"/>
          <w:spacing w:val="-3"/>
        </w:rPr>
        <w:t> </w:t>
      </w:r>
      <w:r>
        <w:rPr>
          <w:color w:val="231F20"/>
        </w:rPr>
        <w:t>de</w:t>
      </w:r>
      <w:r>
        <w:rPr>
          <w:color w:val="231F20"/>
          <w:spacing w:val="-3"/>
        </w:rPr>
        <w:t> </w:t>
      </w:r>
      <w:r>
        <w:rPr>
          <w:color w:val="231F20"/>
        </w:rPr>
        <w:t>acuerdo</w:t>
      </w:r>
      <w:r>
        <w:rPr>
          <w:color w:val="231F20"/>
          <w:spacing w:val="-3"/>
        </w:rPr>
        <w:t> </w:t>
      </w:r>
      <w:r>
        <w:rPr>
          <w:color w:val="231F20"/>
        </w:rPr>
        <w:t>a</w:t>
      </w:r>
      <w:r>
        <w:rPr>
          <w:color w:val="231F20"/>
          <w:spacing w:val="-3"/>
        </w:rPr>
        <w:t> </w:t>
      </w:r>
      <w:r>
        <w:rPr>
          <w:color w:val="231F20"/>
        </w:rPr>
        <w:t>la</w:t>
      </w:r>
      <w:r>
        <w:rPr>
          <w:color w:val="231F20"/>
          <w:spacing w:val="-3"/>
        </w:rPr>
        <w:t> </w:t>
      </w:r>
      <w:r>
        <w:rPr>
          <w:color w:val="231F20"/>
        </w:rPr>
        <w:t>experiencia obtenida en esta práctica se recomienda realizarse en el área de estudio una vez que se tenga todo el paquete tecnológico apropiado que integre a todas las labores agrícolas. Por lo que es más</w:t>
      </w:r>
      <w:r>
        <w:rPr>
          <w:color w:val="231F20"/>
          <w:spacing w:val="-32"/>
        </w:rPr>
        <w:t> </w:t>
      </w:r>
      <w:r>
        <w:rPr>
          <w:color w:val="231F20"/>
        </w:rPr>
        <w:t>necesario elaborar un paquete tecnológico sustentable a partir de las experiencias obtenidas en la Fundación Sánchez</w:t>
      </w:r>
      <w:r>
        <w:rPr>
          <w:color w:val="231F20"/>
          <w:spacing w:val="-3"/>
        </w:rPr>
        <w:t> </w:t>
      </w:r>
      <w:r>
        <w:rPr>
          <w:color w:val="231F20"/>
        </w:rPr>
        <w:t>Colín</w:t>
      </w:r>
      <w:r>
        <w:rPr>
          <w:color w:val="231F20"/>
          <w:spacing w:val="-3"/>
        </w:rPr>
        <w:t> </w:t>
      </w:r>
      <w:r>
        <w:rPr>
          <w:color w:val="231F20"/>
        </w:rPr>
        <w:t>y</w:t>
      </w:r>
      <w:r>
        <w:rPr>
          <w:color w:val="231F20"/>
          <w:spacing w:val="-3"/>
        </w:rPr>
        <w:t> </w:t>
      </w:r>
      <w:r>
        <w:rPr>
          <w:color w:val="231F20"/>
        </w:rPr>
        <w:t>de</w:t>
      </w:r>
      <w:r>
        <w:rPr>
          <w:color w:val="231F20"/>
          <w:spacing w:val="-3"/>
        </w:rPr>
        <w:t> </w:t>
      </w:r>
      <w:r>
        <w:rPr>
          <w:color w:val="231F20"/>
        </w:rPr>
        <w:t>otras</w:t>
      </w:r>
      <w:r>
        <w:rPr>
          <w:color w:val="231F20"/>
          <w:spacing w:val="-3"/>
        </w:rPr>
        <w:t> </w:t>
      </w:r>
      <w:r>
        <w:rPr>
          <w:color w:val="231F20"/>
        </w:rPr>
        <w:t>instituciones</w:t>
      </w:r>
      <w:r>
        <w:rPr>
          <w:color w:val="231F20"/>
          <w:spacing w:val="-4"/>
        </w:rPr>
        <w:t> </w:t>
      </w:r>
      <w:r>
        <w:rPr>
          <w:color w:val="231F20"/>
        </w:rPr>
        <w:t>de</w:t>
      </w:r>
      <w:r>
        <w:rPr>
          <w:color w:val="231F20"/>
          <w:spacing w:val="-3"/>
        </w:rPr>
        <w:t> </w:t>
      </w:r>
      <w:r>
        <w:rPr>
          <w:color w:val="231F20"/>
        </w:rPr>
        <w:t>investigación</w:t>
      </w:r>
      <w:r>
        <w:rPr>
          <w:color w:val="231F20"/>
          <w:spacing w:val="-4"/>
        </w:rPr>
        <w:t> </w:t>
      </w:r>
      <w:r>
        <w:rPr>
          <w:color w:val="231F20"/>
        </w:rPr>
        <w:t>y</w:t>
      </w:r>
      <w:r>
        <w:rPr>
          <w:color w:val="231F20"/>
          <w:spacing w:val="-3"/>
        </w:rPr>
        <w:t> </w:t>
      </w:r>
      <w:r>
        <w:rPr>
          <w:color w:val="231F20"/>
        </w:rPr>
        <w:t>llevar</w:t>
      </w:r>
      <w:r>
        <w:rPr>
          <w:color w:val="231F20"/>
          <w:spacing w:val="-3"/>
        </w:rPr>
        <w:t> </w:t>
      </w:r>
      <w:r>
        <w:rPr>
          <w:color w:val="231F20"/>
        </w:rPr>
        <w:t>a</w:t>
      </w:r>
      <w:r>
        <w:rPr>
          <w:color w:val="231F20"/>
          <w:spacing w:val="-3"/>
        </w:rPr>
        <w:t> </w:t>
      </w:r>
      <w:r>
        <w:rPr>
          <w:color w:val="231F20"/>
        </w:rPr>
        <w:t>cabo</w:t>
      </w:r>
      <w:r>
        <w:rPr>
          <w:color w:val="231F20"/>
          <w:spacing w:val="-3"/>
        </w:rPr>
        <w:t> </w:t>
      </w:r>
      <w:r>
        <w:rPr>
          <w:color w:val="231F20"/>
        </w:rPr>
        <w:t>todo</w:t>
      </w:r>
      <w:r>
        <w:rPr>
          <w:color w:val="231F20"/>
          <w:spacing w:val="-4"/>
        </w:rPr>
        <w:t> </w:t>
      </w:r>
      <w:r>
        <w:rPr>
          <w:color w:val="231F20"/>
        </w:rPr>
        <w:t>un</w:t>
      </w:r>
      <w:r>
        <w:rPr>
          <w:color w:val="231F20"/>
          <w:spacing w:val="-3"/>
        </w:rPr>
        <w:t> </w:t>
      </w:r>
      <w:r>
        <w:rPr>
          <w:color w:val="231F20"/>
        </w:rPr>
        <w:t>proceso</w:t>
      </w:r>
      <w:r>
        <w:rPr>
          <w:color w:val="231F20"/>
          <w:spacing w:val="-3"/>
        </w:rPr>
        <w:t> </w:t>
      </w:r>
      <w:r>
        <w:rPr>
          <w:color w:val="231F20"/>
        </w:rPr>
        <w:t>de</w:t>
      </w:r>
      <w:r>
        <w:rPr>
          <w:color w:val="231F20"/>
          <w:spacing w:val="-3"/>
        </w:rPr>
        <w:t> </w:t>
      </w:r>
      <w:r>
        <w:rPr>
          <w:color w:val="231F20"/>
        </w:rPr>
        <w:t>trasferen- cia  de tecnología con un modelo donde participen los campesinos e</w:t>
      </w:r>
      <w:r>
        <w:rPr>
          <w:color w:val="231F20"/>
          <w:spacing w:val="-6"/>
        </w:rPr>
        <w:t> </w:t>
      </w:r>
      <w:r>
        <w:rPr>
          <w:color w:val="231F20"/>
        </w:rPr>
        <w:t>investigadores.</w:t>
      </w:r>
    </w:p>
    <w:p>
      <w:pPr>
        <w:pStyle w:val="BodyText"/>
        <w:spacing w:before="10"/>
      </w:pPr>
    </w:p>
    <w:p>
      <w:pPr>
        <w:pStyle w:val="BodyText"/>
        <w:spacing w:line="247" w:lineRule="auto"/>
        <w:ind w:left="1270" w:right="1267"/>
        <w:jc w:val="both"/>
      </w:pPr>
      <w:r>
        <w:rPr>
          <w:color w:val="231F20"/>
        </w:rPr>
        <w:t>Los problemas que enfrentan los campesinos del norte de Morelos para el aprovechamiento de sus recursos</w:t>
      </w:r>
      <w:r>
        <w:rPr>
          <w:color w:val="231F20"/>
          <w:spacing w:val="-3"/>
        </w:rPr>
        <w:t> </w:t>
      </w:r>
      <w:r>
        <w:rPr>
          <w:color w:val="231F20"/>
        </w:rPr>
        <w:t>fitogenéticos</w:t>
      </w:r>
      <w:r>
        <w:rPr>
          <w:color w:val="231F20"/>
          <w:spacing w:val="-3"/>
        </w:rPr>
        <w:t> </w:t>
      </w:r>
      <w:r>
        <w:rPr>
          <w:color w:val="231F20"/>
        </w:rPr>
        <w:t>son</w:t>
      </w:r>
      <w:r>
        <w:rPr>
          <w:color w:val="231F20"/>
          <w:spacing w:val="-3"/>
        </w:rPr>
        <w:t> </w:t>
      </w:r>
      <w:r>
        <w:rPr>
          <w:color w:val="231F20"/>
        </w:rPr>
        <w:t>variados</w:t>
      </w:r>
      <w:r>
        <w:rPr>
          <w:color w:val="231F20"/>
          <w:spacing w:val="-3"/>
        </w:rPr>
        <w:t> </w:t>
      </w:r>
      <w:r>
        <w:rPr>
          <w:color w:val="231F20"/>
        </w:rPr>
        <w:t>y</w:t>
      </w:r>
      <w:r>
        <w:rPr>
          <w:color w:val="231F20"/>
          <w:spacing w:val="-3"/>
        </w:rPr>
        <w:t> </w:t>
      </w:r>
      <w:r>
        <w:rPr>
          <w:color w:val="231F20"/>
        </w:rPr>
        <w:t>que</w:t>
      </w:r>
      <w:r>
        <w:rPr>
          <w:color w:val="231F20"/>
          <w:spacing w:val="-3"/>
        </w:rPr>
        <w:t> </w:t>
      </w:r>
      <w:r>
        <w:rPr>
          <w:color w:val="231F20"/>
        </w:rPr>
        <w:t>afecta</w:t>
      </w:r>
      <w:r>
        <w:rPr>
          <w:color w:val="231F20"/>
          <w:spacing w:val="-3"/>
        </w:rPr>
        <w:t> </w:t>
      </w:r>
      <w:r>
        <w:rPr>
          <w:color w:val="231F20"/>
        </w:rPr>
        <w:t>a</w:t>
      </w:r>
      <w:r>
        <w:rPr>
          <w:color w:val="231F20"/>
          <w:spacing w:val="-3"/>
        </w:rPr>
        <w:t> </w:t>
      </w:r>
      <w:r>
        <w:rPr>
          <w:color w:val="231F20"/>
        </w:rPr>
        <w:t>la</w:t>
      </w:r>
      <w:r>
        <w:rPr>
          <w:color w:val="231F20"/>
          <w:spacing w:val="-3"/>
        </w:rPr>
        <w:t> </w:t>
      </w:r>
      <w:r>
        <w:rPr>
          <w:color w:val="231F20"/>
        </w:rPr>
        <w:t>producción</w:t>
      </w:r>
      <w:r>
        <w:rPr>
          <w:color w:val="231F20"/>
          <w:spacing w:val="-3"/>
        </w:rPr>
        <w:t> </w:t>
      </w:r>
      <w:r>
        <w:rPr>
          <w:color w:val="231F20"/>
        </w:rPr>
        <w:t>de</w:t>
      </w:r>
      <w:r>
        <w:rPr>
          <w:color w:val="231F20"/>
          <w:spacing w:val="-3"/>
        </w:rPr>
        <w:t> </w:t>
      </w:r>
      <w:r>
        <w:rPr>
          <w:color w:val="231F20"/>
        </w:rPr>
        <w:t>chirimoya</w:t>
      </w:r>
      <w:r>
        <w:rPr>
          <w:color w:val="231F20"/>
          <w:spacing w:val="-3"/>
        </w:rPr>
        <w:t> </w:t>
      </w:r>
      <w:r>
        <w:rPr>
          <w:color w:val="231F20"/>
        </w:rPr>
        <w:t>como</w:t>
      </w:r>
      <w:r>
        <w:rPr>
          <w:color w:val="231F20"/>
          <w:spacing w:val="-3"/>
        </w:rPr>
        <w:t> </w:t>
      </w:r>
      <w:r>
        <w:rPr>
          <w:color w:val="231F20"/>
        </w:rPr>
        <w:t>el</w:t>
      </w:r>
      <w:r>
        <w:rPr>
          <w:color w:val="231F20"/>
          <w:spacing w:val="-3"/>
        </w:rPr>
        <w:t> </w:t>
      </w:r>
      <w:r>
        <w:rPr>
          <w:color w:val="231F20"/>
        </w:rPr>
        <w:t>riesgo</w:t>
      </w:r>
      <w:r>
        <w:rPr>
          <w:color w:val="231F20"/>
          <w:spacing w:val="-3"/>
        </w:rPr>
        <w:t> </w:t>
      </w:r>
      <w:r>
        <w:rPr>
          <w:color w:val="231F20"/>
        </w:rPr>
        <w:t>latente del</w:t>
      </w:r>
      <w:r>
        <w:rPr>
          <w:color w:val="231F20"/>
          <w:spacing w:val="-7"/>
        </w:rPr>
        <w:t> </w:t>
      </w:r>
      <w:r>
        <w:rPr>
          <w:color w:val="231F20"/>
        </w:rPr>
        <w:t>cambio</w:t>
      </w:r>
      <w:r>
        <w:rPr>
          <w:color w:val="231F20"/>
          <w:spacing w:val="-7"/>
        </w:rPr>
        <w:t> </w:t>
      </w:r>
      <w:r>
        <w:rPr>
          <w:color w:val="231F20"/>
        </w:rPr>
        <w:t>de</w:t>
      </w:r>
      <w:r>
        <w:rPr>
          <w:color w:val="231F20"/>
          <w:spacing w:val="-7"/>
        </w:rPr>
        <w:t> </w:t>
      </w:r>
      <w:r>
        <w:rPr>
          <w:color w:val="231F20"/>
        </w:rPr>
        <w:t>uso</w:t>
      </w:r>
      <w:r>
        <w:rPr>
          <w:color w:val="231F20"/>
          <w:spacing w:val="-7"/>
        </w:rPr>
        <w:t> </w:t>
      </w:r>
      <w:r>
        <w:rPr>
          <w:color w:val="231F20"/>
        </w:rPr>
        <w:t>de</w:t>
      </w:r>
      <w:r>
        <w:rPr>
          <w:color w:val="231F20"/>
          <w:spacing w:val="-7"/>
        </w:rPr>
        <w:t> </w:t>
      </w:r>
      <w:r>
        <w:rPr>
          <w:color w:val="231F20"/>
        </w:rPr>
        <w:t>suelo</w:t>
      </w:r>
      <w:r>
        <w:rPr>
          <w:color w:val="231F20"/>
          <w:spacing w:val="39"/>
        </w:rPr>
        <w:t> </w:t>
      </w:r>
      <w:r>
        <w:rPr>
          <w:color w:val="231F20"/>
        </w:rPr>
        <w:t>al</w:t>
      </w:r>
      <w:r>
        <w:rPr>
          <w:color w:val="231F20"/>
          <w:spacing w:val="-7"/>
        </w:rPr>
        <w:t> </w:t>
      </w:r>
      <w:r>
        <w:rPr>
          <w:color w:val="231F20"/>
        </w:rPr>
        <w:t>vender</w:t>
      </w:r>
      <w:r>
        <w:rPr>
          <w:color w:val="231F20"/>
          <w:spacing w:val="-7"/>
        </w:rPr>
        <w:t> </w:t>
      </w:r>
      <w:r>
        <w:rPr>
          <w:color w:val="231F20"/>
        </w:rPr>
        <w:t>sus</w:t>
      </w:r>
      <w:r>
        <w:rPr>
          <w:color w:val="231F20"/>
          <w:spacing w:val="-7"/>
        </w:rPr>
        <w:t> </w:t>
      </w:r>
      <w:r>
        <w:rPr>
          <w:color w:val="231F20"/>
        </w:rPr>
        <w:t>tierras</w:t>
      </w:r>
      <w:r>
        <w:rPr>
          <w:color w:val="231F20"/>
          <w:spacing w:val="-7"/>
        </w:rPr>
        <w:t> </w:t>
      </w:r>
      <w:r>
        <w:rPr>
          <w:color w:val="231F20"/>
        </w:rPr>
        <w:t>a</w:t>
      </w:r>
      <w:r>
        <w:rPr>
          <w:color w:val="231F20"/>
          <w:spacing w:val="-7"/>
        </w:rPr>
        <w:t> </w:t>
      </w:r>
      <w:r>
        <w:rPr>
          <w:color w:val="231F20"/>
        </w:rPr>
        <w:t>fraccionadores</w:t>
      </w:r>
      <w:r>
        <w:rPr>
          <w:color w:val="231F20"/>
          <w:spacing w:val="-7"/>
        </w:rPr>
        <w:t> </w:t>
      </w:r>
      <w:r>
        <w:rPr>
          <w:color w:val="231F20"/>
        </w:rPr>
        <w:t>y</w:t>
      </w:r>
      <w:r>
        <w:rPr>
          <w:color w:val="231F20"/>
          <w:spacing w:val="-7"/>
        </w:rPr>
        <w:t> </w:t>
      </w:r>
      <w:r>
        <w:rPr>
          <w:color w:val="231F20"/>
        </w:rPr>
        <w:t>aumento</w:t>
      </w:r>
      <w:r>
        <w:rPr>
          <w:color w:val="231F20"/>
          <w:spacing w:val="-7"/>
        </w:rPr>
        <w:t> </w:t>
      </w:r>
      <w:r>
        <w:rPr>
          <w:color w:val="231F20"/>
        </w:rPr>
        <w:t>de</w:t>
      </w:r>
      <w:r>
        <w:rPr>
          <w:color w:val="231F20"/>
          <w:spacing w:val="-7"/>
        </w:rPr>
        <w:t> </w:t>
      </w:r>
      <w:r>
        <w:rPr>
          <w:color w:val="231F20"/>
        </w:rPr>
        <w:t>superficie</w:t>
      </w:r>
      <w:r>
        <w:rPr>
          <w:color w:val="231F20"/>
          <w:spacing w:val="-7"/>
        </w:rPr>
        <w:t> </w:t>
      </w:r>
      <w:r>
        <w:rPr>
          <w:color w:val="231F20"/>
        </w:rPr>
        <w:t>del</w:t>
      </w:r>
      <w:r>
        <w:rPr>
          <w:color w:val="231F20"/>
          <w:spacing w:val="-7"/>
        </w:rPr>
        <w:t> </w:t>
      </w:r>
      <w:r>
        <w:rPr>
          <w:color w:val="231F20"/>
        </w:rPr>
        <w:t>cultivo de nopal para verdura y fundamentalmente la falta de organización social que permita acceder a la obtención de servicios de asesoría para elaborar proyectos de inversión, financiamiento económico, capacitación técnica integral, solicitud de investigación que haga posible el mejoramiento, conser- vación y manejo de los recursos naturales y búsqueda de mejor comercialización del fruto de la chirimoya</w:t>
      </w:r>
      <w:r>
        <w:rPr>
          <w:color w:val="231F20"/>
          <w:spacing w:val="-9"/>
        </w:rPr>
        <w:t> </w:t>
      </w:r>
      <w:r>
        <w:rPr>
          <w:color w:val="231F20"/>
        </w:rPr>
        <w:t>y</w:t>
      </w:r>
      <w:r>
        <w:rPr>
          <w:color w:val="231F20"/>
          <w:spacing w:val="-8"/>
        </w:rPr>
        <w:t> </w:t>
      </w:r>
      <w:r>
        <w:rPr>
          <w:color w:val="231F20"/>
        </w:rPr>
        <w:t>sus</w:t>
      </w:r>
      <w:r>
        <w:rPr>
          <w:color w:val="231F20"/>
          <w:spacing w:val="-8"/>
        </w:rPr>
        <w:t> </w:t>
      </w:r>
      <w:r>
        <w:rPr>
          <w:color w:val="231F20"/>
        </w:rPr>
        <w:t>derivados</w:t>
      </w:r>
      <w:r>
        <w:rPr>
          <w:color w:val="231F20"/>
          <w:spacing w:val="-8"/>
        </w:rPr>
        <w:t> </w:t>
      </w:r>
      <w:r>
        <w:rPr>
          <w:color w:val="231F20"/>
        </w:rPr>
        <w:t>actuales</w:t>
      </w:r>
      <w:r>
        <w:rPr>
          <w:color w:val="231F20"/>
          <w:spacing w:val="-9"/>
        </w:rPr>
        <w:t> </w:t>
      </w:r>
      <w:r>
        <w:rPr>
          <w:color w:val="231F20"/>
        </w:rPr>
        <w:t>y</w:t>
      </w:r>
      <w:r>
        <w:rPr>
          <w:color w:val="231F20"/>
          <w:spacing w:val="-8"/>
        </w:rPr>
        <w:t> </w:t>
      </w:r>
      <w:r>
        <w:rPr>
          <w:color w:val="231F20"/>
        </w:rPr>
        <w:t>potenciales</w:t>
      </w:r>
      <w:r>
        <w:rPr>
          <w:color w:val="231F20"/>
          <w:spacing w:val="-8"/>
        </w:rPr>
        <w:t> </w:t>
      </w:r>
      <w:r>
        <w:rPr>
          <w:color w:val="231F20"/>
        </w:rPr>
        <w:t>por</w:t>
      </w:r>
      <w:r>
        <w:rPr>
          <w:color w:val="231F20"/>
          <w:spacing w:val="-8"/>
        </w:rPr>
        <w:t> </w:t>
      </w:r>
      <w:r>
        <w:rPr>
          <w:color w:val="231F20"/>
        </w:rPr>
        <w:t>la</w:t>
      </w:r>
      <w:r>
        <w:rPr>
          <w:color w:val="231F20"/>
          <w:spacing w:val="-9"/>
        </w:rPr>
        <w:t> </w:t>
      </w:r>
      <w:r>
        <w:rPr>
          <w:color w:val="231F20"/>
        </w:rPr>
        <w:t>vía</w:t>
      </w:r>
      <w:r>
        <w:rPr>
          <w:color w:val="231F20"/>
          <w:spacing w:val="-8"/>
        </w:rPr>
        <w:t> </w:t>
      </w:r>
      <w:r>
        <w:rPr>
          <w:color w:val="231F20"/>
        </w:rPr>
        <w:t>del</w:t>
      </w:r>
      <w:r>
        <w:rPr>
          <w:color w:val="231F20"/>
          <w:spacing w:val="-8"/>
        </w:rPr>
        <w:t> </w:t>
      </w:r>
      <w:r>
        <w:rPr>
          <w:color w:val="231F20"/>
        </w:rPr>
        <w:t>Comercio</w:t>
      </w:r>
      <w:r>
        <w:rPr>
          <w:color w:val="231F20"/>
          <w:spacing w:val="-8"/>
        </w:rPr>
        <w:t> </w:t>
      </w:r>
      <w:r>
        <w:rPr>
          <w:color w:val="231F20"/>
        </w:rPr>
        <w:t>Justo.</w:t>
      </w:r>
      <w:r>
        <w:rPr>
          <w:color w:val="231F20"/>
          <w:spacing w:val="-8"/>
        </w:rPr>
        <w:t> </w:t>
      </w:r>
      <w:r>
        <w:rPr>
          <w:color w:val="231F20"/>
        </w:rPr>
        <w:t>Por</w:t>
      </w:r>
      <w:r>
        <w:rPr>
          <w:color w:val="231F20"/>
          <w:spacing w:val="-8"/>
        </w:rPr>
        <w:t> </w:t>
      </w:r>
      <w:r>
        <w:rPr>
          <w:color w:val="231F20"/>
        </w:rPr>
        <w:t>ello,</w:t>
      </w:r>
      <w:r>
        <w:rPr>
          <w:color w:val="231F20"/>
          <w:spacing w:val="-9"/>
        </w:rPr>
        <w:t> </w:t>
      </w:r>
      <w:r>
        <w:rPr>
          <w:color w:val="231F20"/>
        </w:rPr>
        <w:t>es</w:t>
      </w:r>
      <w:r>
        <w:rPr>
          <w:color w:val="231F20"/>
          <w:spacing w:val="-8"/>
        </w:rPr>
        <w:t> </w:t>
      </w:r>
      <w:r>
        <w:rPr>
          <w:color w:val="231F20"/>
        </w:rPr>
        <w:t>necesario orientar la política agrícola a revalorar el medio rural en los ámbitos de crédito, asistencia técnica, capacitación, fomento a la investigación tecnológica y de mercado, apoyo a la comercialización a fin de proporcionar certidumbre a los campesinos del lugar y avanzar de la producción en huertos familiares hacia el establecimiento de huertos comerciales. De ésta manera estarán en posibilidades de contribuir al mejoramiento del nivel de los agricultores y campesinos del </w:t>
      </w:r>
      <w:r>
        <w:rPr>
          <w:color w:val="231F20"/>
          <w:spacing w:val="-3"/>
        </w:rPr>
        <w:t>lugar.</w:t>
      </w:r>
    </w:p>
    <w:p>
      <w:pPr>
        <w:pStyle w:val="BodyText"/>
        <w:spacing w:before="10"/>
      </w:pPr>
    </w:p>
    <w:p>
      <w:pPr>
        <w:pStyle w:val="BodyText"/>
        <w:spacing w:line="247" w:lineRule="auto"/>
        <w:ind w:left="1270" w:right="1267"/>
        <w:jc w:val="both"/>
      </w:pPr>
      <w:r>
        <w:rPr>
          <w:color w:val="231F20"/>
        </w:rPr>
        <w:t>Por consiguiente el aprovechamiento de los recursos fitogenéticos no convencionales existentes en el norte del Estado de Morelos, requiere de una organización social fuerte de agricultores y una in- tervención</w:t>
      </w:r>
      <w:r>
        <w:rPr>
          <w:color w:val="231F20"/>
          <w:spacing w:val="-5"/>
        </w:rPr>
        <w:t> </w:t>
      </w:r>
      <w:r>
        <w:rPr>
          <w:color w:val="231F20"/>
        </w:rPr>
        <w:t>estatal</w:t>
      </w:r>
      <w:r>
        <w:rPr>
          <w:color w:val="231F20"/>
          <w:spacing w:val="-4"/>
        </w:rPr>
        <w:t> </w:t>
      </w:r>
      <w:r>
        <w:rPr>
          <w:color w:val="231F20"/>
        </w:rPr>
        <w:t>orientada</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valoración</w:t>
      </w:r>
      <w:r>
        <w:rPr>
          <w:color w:val="231F20"/>
          <w:spacing w:val="-4"/>
        </w:rPr>
        <w:t> </w:t>
      </w:r>
      <w:r>
        <w:rPr>
          <w:color w:val="231F20"/>
        </w:rPr>
        <w:t>del</w:t>
      </w:r>
      <w:r>
        <w:rPr>
          <w:color w:val="231F20"/>
          <w:spacing w:val="-4"/>
        </w:rPr>
        <w:t> </w:t>
      </w:r>
      <w:r>
        <w:rPr>
          <w:color w:val="231F20"/>
        </w:rPr>
        <w:t>medio</w:t>
      </w:r>
      <w:r>
        <w:rPr>
          <w:color w:val="231F20"/>
          <w:spacing w:val="-4"/>
        </w:rPr>
        <w:t> </w:t>
      </w:r>
      <w:r>
        <w:rPr>
          <w:color w:val="231F20"/>
        </w:rPr>
        <w:t>rural</w:t>
      </w:r>
      <w:r>
        <w:rPr>
          <w:color w:val="231F20"/>
          <w:spacing w:val="-4"/>
        </w:rPr>
        <w:t> </w:t>
      </w:r>
      <w:r>
        <w:rPr>
          <w:color w:val="231F20"/>
        </w:rPr>
        <w:t>y</w:t>
      </w:r>
      <w:r>
        <w:rPr>
          <w:color w:val="231F20"/>
          <w:spacing w:val="-4"/>
        </w:rPr>
        <w:t> </w:t>
      </w:r>
      <w:r>
        <w:rPr>
          <w:color w:val="231F20"/>
        </w:rPr>
        <w:t>que</w:t>
      </w:r>
      <w:r>
        <w:rPr>
          <w:color w:val="231F20"/>
          <w:spacing w:val="-4"/>
        </w:rPr>
        <w:t> </w:t>
      </w:r>
      <w:r>
        <w:rPr>
          <w:color w:val="231F20"/>
        </w:rPr>
        <w:t>responda</w:t>
      </w:r>
      <w:r>
        <w:rPr>
          <w:color w:val="231F20"/>
          <w:spacing w:val="-4"/>
        </w:rPr>
        <w:t> </w:t>
      </w:r>
      <w:r>
        <w:rPr>
          <w:color w:val="231F20"/>
        </w:rPr>
        <w:t>a</w:t>
      </w:r>
      <w:r>
        <w:rPr>
          <w:color w:val="231F20"/>
          <w:spacing w:val="-4"/>
        </w:rPr>
        <w:t> </w:t>
      </w:r>
      <w:r>
        <w:rPr>
          <w:color w:val="231F20"/>
        </w:rPr>
        <w:t>las</w:t>
      </w:r>
      <w:r>
        <w:rPr>
          <w:color w:val="231F20"/>
          <w:spacing w:val="-4"/>
        </w:rPr>
        <w:t> </w:t>
      </w:r>
      <w:r>
        <w:rPr>
          <w:color w:val="231F20"/>
        </w:rPr>
        <w:t>necesidades</w:t>
      </w:r>
      <w:r>
        <w:rPr>
          <w:color w:val="231F20"/>
          <w:spacing w:val="-4"/>
        </w:rPr>
        <w:t> </w:t>
      </w:r>
      <w:r>
        <w:rPr>
          <w:color w:val="231F20"/>
        </w:rPr>
        <w:t>locales, donde los cultivos alternativos sean componentes de un plan de desarrollo sustentable para poder enfrentar</w:t>
      </w:r>
      <w:r>
        <w:rPr>
          <w:color w:val="231F20"/>
          <w:spacing w:val="-4"/>
        </w:rPr>
        <w:t> </w:t>
      </w:r>
      <w:r>
        <w:rPr>
          <w:color w:val="231F20"/>
        </w:rPr>
        <w:t>adecuadamente</w:t>
      </w:r>
      <w:r>
        <w:rPr>
          <w:color w:val="231F20"/>
          <w:spacing w:val="-4"/>
        </w:rPr>
        <w:t> </w:t>
      </w:r>
      <w:r>
        <w:rPr>
          <w:color w:val="231F20"/>
        </w:rPr>
        <w:t>los</w:t>
      </w:r>
      <w:r>
        <w:rPr>
          <w:color w:val="231F20"/>
          <w:spacing w:val="-3"/>
        </w:rPr>
        <w:t> </w:t>
      </w:r>
      <w:r>
        <w:rPr>
          <w:color w:val="231F20"/>
        </w:rPr>
        <w:t>retos</w:t>
      </w:r>
      <w:r>
        <w:rPr>
          <w:color w:val="231F20"/>
          <w:spacing w:val="-3"/>
        </w:rPr>
        <w:t> </w:t>
      </w:r>
      <w:r>
        <w:rPr>
          <w:color w:val="231F20"/>
        </w:rPr>
        <w:t>de</w:t>
      </w:r>
      <w:r>
        <w:rPr>
          <w:color w:val="231F20"/>
          <w:spacing w:val="-3"/>
        </w:rPr>
        <w:t> </w:t>
      </w:r>
      <w:r>
        <w:rPr>
          <w:color w:val="231F20"/>
        </w:rPr>
        <w:t>la</w:t>
      </w:r>
      <w:r>
        <w:rPr>
          <w:color w:val="231F20"/>
          <w:spacing w:val="-3"/>
        </w:rPr>
        <w:t> </w:t>
      </w:r>
      <w:r>
        <w:rPr>
          <w:color w:val="231F20"/>
        </w:rPr>
        <w:t>internacionalización</w:t>
      </w:r>
      <w:r>
        <w:rPr>
          <w:color w:val="231F20"/>
          <w:spacing w:val="-4"/>
        </w:rPr>
        <w:t> </w:t>
      </w:r>
      <w:r>
        <w:rPr>
          <w:color w:val="231F20"/>
        </w:rPr>
        <w:t>de</w:t>
      </w:r>
      <w:r>
        <w:rPr>
          <w:color w:val="231F20"/>
          <w:spacing w:val="-3"/>
        </w:rPr>
        <w:t> </w:t>
      </w:r>
      <w:r>
        <w:rPr>
          <w:color w:val="231F20"/>
        </w:rPr>
        <w:t>la</w:t>
      </w:r>
      <w:r>
        <w:rPr>
          <w:color w:val="231F20"/>
          <w:spacing w:val="-3"/>
        </w:rPr>
        <w:t> </w:t>
      </w:r>
      <w:r>
        <w:rPr>
          <w:color w:val="231F20"/>
        </w:rPr>
        <w:t>economía</w:t>
      </w:r>
      <w:r>
        <w:rPr>
          <w:color w:val="231F20"/>
          <w:spacing w:val="-4"/>
        </w:rPr>
        <w:t> </w:t>
      </w:r>
      <w:r>
        <w:rPr>
          <w:color w:val="231F20"/>
        </w:rPr>
        <w:t>y</w:t>
      </w:r>
      <w:r>
        <w:rPr>
          <w:color w:val="231F20"/>
          <w:spacing w:val="-3"/>
        </w:rPr>
        <w:t> </w:t>
      </w:r>
      <w:r>
        <w:rPr>
          <w:color w:val="231F20"/>
        </w:rPr>
        <w:t>los</w:t>
      </w:r>
      <w:r>
        <w:rPr>
          <w:color w:val="231F20"/>
          <w:spacing w:val="-3"/>
        </w:rPr>
        <w:t> </w:t>
      </w:r>
      <w:r>
        <w:rPr>
          <w:color w:val="231F20"/>
        </w:rPr>
        <w:t>requerimientos</w:t>
      </w:r>
      <w:r>
        <w:rPr>
          <w:color w:val="231F20"/>
          <w:spacing w:val="-3"/>
        </w:rPr>
        <w:t> </w:t>
      </w:r>
      <w:r>
        <w:rPr>
          <w:color w:val="231F20"/>
        </w:rPr>
        <w:t>de equidad social en el nivel</w:t>
      </w:r>
      <w:r>
        <w:rPr>
          <w:color w:val="231F20"/>
          <w:spacing w:val="-7"/>
        </w:rPr>
        <w:t> </w:t>
      </w:r>
      <w:r>
        <w:rPr>
          <w:color w:val="231F20"/>
        </w:rPr>
        <w:t>local.</w:t>
      </w:r>
    </w:p>
    <w:p>
      <w:pPr>
        <w:pStyle w:val="BodyText"/>
        <w:spacing w:before="10"/>
      </w:pPr>
    </w:p>
    <w:p>
      <w:pPr>
        <w:pStyle w:val="BodyText"/>
        <w:spacing w:line="247" w:lineRule="auto"/>
        <w:ind w:left="1270" w:right="1267"/>
        <w:jc w:val="both"/>
      </w:pPr>
      <w:r>
        <w:rPr>
          <w:color w:val="231F20"/>
        </w:rPr>
        <w:t>Es</w:t>
      </w:r>
      <w:r>
        <w:rPr>
          <w:color w:val="231F20"/>
          <w:spacing w:val="-4"/>
        </w:rPr>
        <w:t> </w:t>
      </w:r>
      <w:r>
        <w:rPr>
          <w:color w:val="231F20"/>
        </w:rPr>
        <w:t>un</w:t>
      </w:r>
      <w:r>
        <w:rPr>
          <w:color w:val="231F20"/>
          <w:spacing w:val="-4"/>
        </w:rPr>
        <w:t> </w:t>
      </w:r>
      <w:r>
        <w:rPr>
          <w:color w:val="231F20"/>
        </w:rPr>
        <w:t>cultivo</w:t>
      </w:r>
      <w:r>
        <w:rPr>
          <w:color w:val="231F20"/>
          <w:spacing w:val="-5"/>
        </w:rPr>
        <w:t> </w:t>
      </w:r>
      <w:r>
        <w:rPr>
          <w:color w:val="231F20"/>
        </w:rPr>
        <w:t>apropiado</w:t>
      </w:r>
      <w:r>
        <w:rPr>
          <w:color w:val="231F20"/>
          <w:spacing w:val="-5"/>
        </w:rPr>
        <w:t> </w:t>
      </w:r>
      <w:r>
        <w:rPr>
          <w:color w:val="231F20"/>
        </w:rPr>
        <w:t>del</w:t>
      </w:r>
      <w:r>
        <w:rPr>
          <w:color w:val="231F20"/>
          <w:spacing w:val="-4"/>
        </w:rPr>
        <w:t> </w:t>
      </w:r>
      <w:r>
        <w:rPr>
          <w:color w:val="231F20"/>
        </w:rPr>
        <w:t>lugar,</w:t>
      </w:r>
      <w:r>
        <w:rPr>
          <w:color w:val="231F20"/>
          <w:spacing w:val="-4"/>
        </w:rPr>
        <w:t> </w:t>
      </w:r>
      <w:r>
        <w:rPr>
          <w:color w:val="231F20"/>
        </w:rPr>
        <w:t>además</w:t>
      </w:r>
      <w:r>
        <w:rPr>
          <w:color w:val="231F20"/>
          <w:spacing w:val="-5"/>
        </w:rPr>
        <w:t> </w:t>
      </w:r>
      <w:r>
        <w:rPr>
          <w:color w:val="231F20"/>
        </w:rPr>
        <w:t>que</w:t>
      </w:r>
      <w:r>
        <w:rPr>
          <w:color w:val="231F20"/>
          <w:spacing w:val="-4"/>
        </w:rPr>
        <w:t> </w:t>
      </w:r>
      <w:r>
        <w:rPr>
          <w:color w:val="231F20"/>
        </w:rPr>
        <w:t>se</w:t>
      </w:r>
      <w:r>
        <w:rPr>
          <w:color w:val="231F20"/>
          <w:spacing w:val="-4"/>
        </w:rPr>
        <w:t> </w:t>
      </w:r>
      <w:r>
        <w:rPr>
          <w:color w:val="231F20"/>
        </w:rPr>
        <w:t>encuentran</w:t>
      </w:r>
      <w:r>
        <w:rPr>
          <w:color w:val="231F20"/>
          <w:spacing w:val="-5"/>
        </w:rPr>
        <w:t> </w:t>
      </w:r>
      <w:r>
        <w:rPr>
          <w:color w:val="231F20"/>
        </w:rPr>
        <w:t>condiciones</w:t>
      </w:r>
      <w:r>
        <w:rPr>
          <w:color w:val="231F20"/>
          <w:spacing w:val="-5"/>
        </w:rPr>
        <w:t> </w:t>
      </w:r>
      <w:r>
        <w:rPr>
          <w:color w:val="231F20"/>
        </w:rPr>
        <w:t>ambientales</w:t>
      </w:r>
      <w:r>
        <w:rPr>
          <w:color w:val="231F20"/>
          <w:spacing w:val="-5"/>
        </w:rPr>
        <w:t> </w:t>
      </w:r>
      <w:r>
        <w:rPr>
          <w:color w:val="231F20"/>
        </w:rPr>
        <w:t>que</w:t>
      </w:r>
      <w:r>
        <w:rPr>
          <w:color w:val="231F20"/>
          <w:spacing w:val="-4"/>
        </w:rPr>
        <w:t> </w:t>
      </w:r>
      <w:r>
        <w:rPr>
          <w:color w:val="231F20"/>
        </w:rPr>
        <w:t>hacen</w:t>
      </w:r>
      <w:r>
        <w:rPr>
          <w:color w:val="231F20"/>
          <w:spacing w:val="-4"/>
        </w:rPr>
        <w:t> </w:t>
      </w:r>
      <w:r>
        <w:rPr>
          <w:color w:val="231F20"/>
        </w:rPr>
        <w:t>po- sible el cultivo de la chirimoya en el norte del estado de Morelos. Solo que se tiene como problema la erosión genética de esta planta, que tiene como causa de acuerdo a la información proporcionada por</w:t>
      </w:r>
      <w:r>
        <w:rPr>
          <w:color w:val="231F20"/>
          <w:spacing w:val="-8"/>
        </w:rPr>
        <w:t> </w:t>
      </w:r>
      <w:r>
        <w:rPr>
          <w:color w:val="231F20"/>
        </w:rPr>
        <w:t>los</w:t>
      </w:r>
      <w:r>
        <w:rPr>
          <w:color w:val="231F20"/>
          <w:spacing w:val="-8"/>
        </w:rPr>
        <w:t> </w:t>
      </w:r>
      <w:r>
        <w:rPr>
          <w:color w:val="231F20"/>
        </w:rPr>
        <w:t>campesinos</w:t>
      </w:r>
      <w:r>
        <w:rPr>
          <w:color w:val="231F20"/>
          <w:spacing w:val="-8"/>
        </w:rPr>
        <w:t> </w:t>
      </w:r>
      <w:r>
        <w:rPr>
          <w:color w:val="231F20"/>
        </w:rPr>
        <w:t>del</w:t>
      </w:r>
      <w:r>
        <w:rPr>
          <w:color w:val="231F20"/>
          <w:spacing w:val="-8"/>
        </w:rPr>
        <w:t> </w:t>
      </w:r>
      <w:r>
        <w:rPr>
          <w:color w:val="231F20"/>
        </w:rPr>
        <w:t>lugar</w:t>
      </w:r>
      <w:r>
        <w:rPr>
          <w:color w:val="231F20"/>
          <w:spacing w:val="-8"/>
        </w:rPr>
        <w:t> </w:t>
      </w:r>
      <w:r>
        <w:rPr>
          <w:color w:val="231F20"/>
        </w:rPr>
        <w:t>de</w:t>
      </w:r>
      <w:r>
        <w:rPr>
          <w:color w:val="231F20"/>
          <w:spacing w:val="-8"/>
        </w:rPr>
        <w:t> </w:t>
      </w:r>
      <w:r>
        <w:rPr>
          <w:color w:val="231F20"/>
        </w:rPr>
        <w:t>estudio:</w:t>
      </w:r>
      <w:r>
        <w:rPr>
          <w:color w:val="231F20"/>
          <w:spacing w:val="-8"/>
        </w:rPr>
        <w:t> </w:t>
      </w:r>
      <w:r>
        <w:rPr>
          <w:color w:val="231F20"/>
        </w:rPr>
        <w:t>comercialización,</w:t>
      </w:r>
      <w:r>
        <w:rPr>
          <w:color w:val="231F20"/>
          <w:spacing w:val="-9"/>
        </w:rPr>
        <w:t> </w:t>
      </w:r>
      <w:r>
        <w:rPr>
          <w:color w:val="231F20"/>
        </w:rPr>
        <w:t>poca</w:t>
      </w:r>
      <w:r>
        <w:rPr>
          <w:color w:val="231F20"/>
          <w:spacing w:val="-8"/>
        </w:rPr>
        <w:t> </w:t>
      </w:r>
      <w:r>
        <w:rPr>
          <w:color w:val="231F20"/>
        </w:rPr>
        <w:t>durabilidad</w:t>
      </w:r>
      <w:r>
        <w:rPr>
          <w:color w:val="231F20"/>
          <w:spacing w:val="-8"/>
        </w:rPr>
        <w:t> </w:t>
      </w:r>
      <w:r>
        <w:rPr>
          <w:color w:val="231F20"/>
        </w:rPr>
        <w:t>del</w:t>
      </w:r>
      <w:r>
        <w:rPr>
          <w:color w:val="231F20"/>
          <w:spacing w:val="-8"/>
        </w:rPr>
        <w:t> </w:t>
      </w:r>
      <w:r>
        <w:rPr>
          <w:color w:val="231F20"/>
        </w:rPr>
        <w:t>producto</w:t>
      </w:r>
      <w:r>
        <w:rPr>
          <w:color w:val="231F20"/>
          <w:spacing w:val="-8"/>
        </w:rPr>
        <w:t> </w:t>
      </w:r>
      <w:r>
        <w:rPr>
          <w:color w:val="231F20"/>
        </w:rPr>
        <w:t>cosechado, poco conocimiento de los usos alternativos, poca atención al cultivo, bajo rendimiento y calidad del producto, arboles viejos, mal manejo</w:t>
      </w:r>
      <w:r>
        <w:rPr>
          <w:color w:val="231F20"/>
          <w:spacing w:val="-3"/>
        </w:rPr>
        <w:t> </w:t>
      </w:r>
      <w:r>
        <w:rPr>
          <w:color w:val="231F20"/>
        </w:rPr>
        <w:t>agronómico.</w:t>
      </w:r>
    </w:p>
    <w:p>
      <w:pPr>
        <w:pStyle w:val="BodyText"/>
        <w:spacing w:before="10"/>
      </w:pPr>
    </w:p>
    <w:p>
      <w:pPr>
        <w:pStyle w:val="BodyText"/>
        <w:spacing w:line="247" w:lineRule="auto"/>
        <w:ind w:left="1270" w:right="1267"/>
        <w:jc w:val="both"/>
      </w:pPr>
      <w:r>
        <w:rPr>
          <w:color w:val="231F20"/>
        </w:rPr>
        <w:t>Ante esta problemática se propone capacitar a los productores para diversificar el uso de la chiri- moya, estudios de manejo agronómico para elevar rendimiento y calidad del producto, intercalar</w:t>
      </w:r>
    </w:p>
    <w:p>
      <w:pPr>
        <w:spacing w:after="0" w:line="247" w:lineRule="auto"/>
        <w:jc w:val="both"/>
        <w:sectPr>
          <w:pgSz w:w="10920" w:h="13080"/>
          <w:pgMar w:header="0" w:footer="965" w:top="420" w:bottom="1220" w:left="0" w:right="0"/>
        </w:sectPr>
      </w:pPr>
    </w:p>
    <w:p>
      <w:pPr>
        <w:pStyle w:val="BodyText"/>
        <w:rPr>
          <w:sz w:val="20"/>
        </w:rPr>
      </w:pPr>
    </w:p>
    <w:p>
      <w:pPr>
        <w:pStyle w:val="BodyText"/>
        <w:rPr>
          <w:sz w:val="20"/>
        </w:rPr>
      </w:pPr>
    </w:p>
    <w:p>
      <w:pPr>
        <w:pStyle w:val="BodyText"/>
        <w:rPr>
          <w:sz w:val="23"/>
        </w:rPr>
      </w:pPr>
    </w:p>
    <w:p>
      <w:pPr>
        <w:pStyle w:val="BodyText"/>
        <w:spacing w:line="247" w:lineRule="auto" w:before="73"/>
        <w:ind w:left="1270" w:right="1268"/>
        <w:jc w:val="both"/>
      </w:pPr>
      <w:r>
        <w:rPr>
          <w:color w:val="231F20"/>
        </w:rPr>
        <w:t>plantaciones de chirimoya con cultivos apropiados y de arraigo en el área de estudio y promover agroecosistemas con chirimoya.</w:t>
      </w:r>
    </w:p>
    <w:p>
      <w:pPr>
        <w:pStyle w:val="BodyText"/>
        <w:spacing w:before="10"/>
      </w:pPr>
    </w:p>
    <w:p>
      <w:pPr>
        <w:pStyle w:val="BodyText"/>
        <w:spacing w:line="247" w:lineRule="auto"/>
        <w:ind w:left="1270" w:right="1268"/>
        <w:jc w:val="both"/>
      </w:pPr>
      <w:r>
        <w:rPr>
          <w:color w:val="231F20"/>
        </w:rPr>
        <w:t>Actualmente se tienen identificadas las practicas de cultivo de chirimoya que realizan los campesi- nos del lugar las cuales indican que hace falta capacitarlos para la realización de mejores practicas, rescatando aquellas como el abonado y la germinación de semillas.</w:t>
      </w:r>
    </w:p>
    <w:p>
      <w:pPr>
        <w:pStyle w:val="BodyText"/>
        <w:spacing w:before="10"/>
      </w:pPr>
    </w:p>
    <w:p>
      <w:pPr>
        <w:pStyle w:val="BodyText"/>
        <w:spacing w:line="247" w:lineRule="auto"/>
        <w:ind w:left="1270" w:right="1267"/>
        <w:jc w:val="both"/>
      </w:pPr>
      <w:r>
        <w:rPr>
          <w:color w:val="231F20"/>
        </w:rPr>
        <w:t>Aunque esta incesante domesticación de plantas representa una contribución muy importante de la biodiversidad</w:t>
      </w:r>
      <w:r>
        <w:rPr>
          <w:color w:val="231F20"/>
          <w:spacing w:val="-3"/>
        </w:rPr>
        <w:t> </w:t>
      </w:r>
      <w:r>
        <w:rPr>
          <w:color w:val="231F20"/>
        </w:rPr>
        <w:t>de</w:t>
      </w:r>
      <w:r>
        <w:rPr>
          <w:color w:val="231F20"/>
          <w:spacing w:val="-3"/>
        </w:rPr>
        <w:t> </w:t>
      </w:r>
      <w:r>
        <w:rPr>
          <w:color w:val="231F20"/>
        </w:rPr>
        <w:t>México,</w:t>
      </w:r>
      <w:r>
        <w:rPr>
          <w:color w:val="231F20"/>
          <w:spacing w:val="-3"/>
        </w:rPr>
        <w:t> </w:t>
      </w:r>
      <w:r>
        <w:rPr>
          <w:color w:val="231F20"/>
        </w:rPr>
        <w:t>el</w:t>
      </w:r>
      <w:r>
        <w:rPr>
          <w:color w:val="231F20"/>
          <w:spacing w:val="-3"/>
        </w:rPr>
        <w:t> </w:t>
      </w:r>
      <w:r>
        <w:rPr>
          <w:color w:val="231F20"/>
        </w:rPr>
        <w:t>impulso</w:t>
      </w:r>
      <w:r>
        <w:rPr>
          <w:color w:val="231F20"/>
          <w:spacing w:val="-4"/>
        </w:rPr>
        <w:t> </w:t>
      </w:r>
      <w:r>
        <w:rPr>
          <w:color w:val="231F20"/>
        </w:rPr>
        <w:t>a</w:t>
      </w:r>
      <w:r>
        <w:rPr>
          <w:color w:val="231F20"/>
          <w:spacing w:val="-3"/>
        </w:rPr>
        <w:t> </w:t>
      </w:r>
      <w:r>
        <w:rPr>
          <w:color w:val="231F20"/>
        </w:rPr>
        <w:t>la</w:t>
      </w:r>
      <w:r>
        <w:rPr>
          <w:color w:val="231F20"/>
          <w:spacing w:val="-3"/>
        </w:rPr>
        <w:t> </w:t>
      </w:r>
      <w:r>
        <w:rPr>
          <w:color w:val="231F20"/>
        </w:rPr>
        <w:t>agricultura</w:t>
      </w:r>
      <w:r>
        <w:rPr>
          <w:color w:val="231F20"/>
          <w:spacing w:val="-4"/>
        </w:rPr>
        <w:t> </w:t>
      </w:r>
      <w:r>
        <w:rPr>
          <w:color w:val="231F20"/>
        </w:rPr>
        <w:t>moderna</w:t>
      </w:r>
      <w:r>
        <w:rPr>
          <w:color w:val="231F20"/>
          <w:spacing w:val="-4"/>
        </w:rPr>
        <w:t> </w:t>
      </w:r>
      <w:r>
        <w:rPr>
          <w:color w:val="231F20"/>
        </w:rPr>
        <w:t>ocasiona</w:t>
      </w:r>
      <w:r>
        <w:rPr>
          <w:color w:val="231F20"/>
          <w:spacing w:val="-3"/>
        </w:rPr>
        <w:t> </w:t>
      </w:r>
      <w:r>
        <w:rPr>
          <w:color w:val="231F20"/>
        </w:rPr>
        <w:t>el</w:t>
      </w:r>
      <w:r>
        <w:rPr>
          <w:color w:val="231F20"/>
          <w:spacing w:val="-3"/>
        </w:rPr>
        <w:t> </w:t>
      </w:r>
      <w:r>
        <w:rPr>
          <w:color w:val="231F20"/>
        </w:rPr>
        <w:t>abandono</w:t>
      </w:r>
      <w:r>
        <w:rPr>
          <w:color w:val="231F20"/>
          <w:spacing w:val="-4"/>
        </w:rPr>
        <w:t> </w:t>
      </w:r>
      <w:r>
        <w:rPr>
          <w:color w:val="231F20"/>
        </w:rPr>
        <w:t>paulatino</w:t>
      </w:r>
      <w:r>
        <w:rPr>
          <w:color w:val="231F20"/>
          <w:spacing w:val="-3"/>
        </w:rPr>
        <w:t> </w:t>
      </w:r>
      <w:r>
        <w:rPr>
          <w:color w:val="231F20"/>
        </w:rPr>
        <w:t>de</w:t>
      </w:r>
      <w:r>
        <w:rPr>
          <w:color w:val="231F20"/>
          <w:spacing w:val="-3"/>
        </w:rPr>
        <w:t> </w:t>
      </w:r>
      <w:r>
        <w:rPr>
          <w:color w:val="231F20"/>
        </w:rPr>
        <w:t>las prácticas tradicionales, por consecuencia el reemplazo de los agroecosistemas diversificados de los campesinos por los unicultivos y</w:t>
      </w:r>
      <w:r>
        <w:rPr>
          <w:color w:val="231F20"/>
          <w:spacing w:val="-2"/>
        </w:rPr>
        <w:t> </w:t>
      </w:r>
      <w:r>
        <w:rPr>
          <w:color w:val="231F20"/>
        </w:rPr>
        <w:t>monocultivos</w:t>
      </w:r>
    </w:p>
    <w:p>
      <w:pPr>
        <w:pStyle w:val="BodyText"/>
        <w:spacing w:before="10"/>
      </w:pPr>
    </w:p>
    <w:p>
      <w:pPr>
        <w:pStyle w:val="BodyText"/>
        <w:spacing w:line="247" w:lineRule="auto"/>
        <w:ind w:left="1270" w:right="1267"/>
        <w:jc w:val="both"/>
      </w:pPr>
      <w:r>
        <w:rPr>
          <w:color w:val="231F20"/>
        </w:rPr>
        <w:t>Así también se detecta una problemática latente referente a la fuerte explotación de los recursos naturales</w:t>
      </w:r>
      <w:r>
        <w:rPr>
          <w:color w:val="231F20"/>
          <w:spacing w:val="-3"/>
        </w:rPr>
        <w:t> </w:t>
      </w:r>
      <w:r>
        <w:rPr>
          <w:color w:val="231F20"/>
        </w:rPr>
        <w:t>por</w:t>
      </w:r>
      <w:r>
        <w:rPr>
          <w:color w:val="231F20"/>
          <w:spacing w:val="-3"/>
        </w:rPr>
        <w:t> </w:t>
      </w:r>
      <w:r>
        <w:rPr>
          <w:color w:val="231F20"/>
        </w:rPr>
        <w:t>los</w:t>
      </w:r>
      <w:r>
        <w:rPr>
          <w:color w:val="231F20"/>
          <w:spacing w:val="-3"/>
        </w:rPr>
        <w:t> </w:t>
      </w:r>
      <w:r>
        <w:rPr>
          <w:color w:val="231F20"/>
        </w:rPr>
        <w:t>asentamientos</w:t>
      </w:r>
      <w:r>
        <w:rPr>
          <w:color w:val="231F20"/>
          <w:spacing w:val="-4"/>
        </w:rPr>
        <w:t> </w:t>
      </w:r>
      <w:r>
        <w:rPr>
          <w:color w:val="231F20"/>
        </w:rPr>
        <w:t>turísticos,</w:t>
      </w:r>
      <w:r>
        <w:rPr>
          <w:color w:val="231F20"/>
          <w:spacing w:val="-4"/>
        </w:rPr>
        <w:t> </w:t>
      </w:r>
      <w:r>
        <w:rPr>
          <w:color w:val="231F20"/>
        </w:rPr>
        <w:t>la</w:t>
      </w:r>
      <w:r>
        <w:rPr>
          <w:color w:val="231F20"/>
          <w:spacing w:val="-3"/>
        </w:rPr>
        <w:t> </w:t>
      </w:r>
      <w:r>
        <w:rPr>
          <w:color w:val="231F20"/>
        </w:rPr>
        <w:t>fuerte</w:t>
      </w:r>
      <w:r>
        <w:rPr>
          <w:color w:val="231F20"/>
          <w:spacing w:val="-3"/>
        </w:rPr>
        <w:t> </w:t>
      </w:r>
      <w:r>
        <w:rPr>
          <w:color w:val="231F20"/>
        </w:rPr>
        <w:t>transculturación</w:t>
      </w:r>
      <w:r>
        <w:rPr>
          <w:color w:val="231F20"/>
          <w:spacing w:val="-4"/>
        </w:rPr>
        <w:t> </w:t>
      </w:r>
      <w:r>
        <w:rPr>
          <w:color w:val="231F20"/>
        </w:rPr>
        <w:t>hacia</w:t>
      </w:r>
      <w:r>
        <w:rPr>
          <w:color w:val="231F20"/>
          <w:spacing w:val="-3"/>
        </w:rPr>
        <w:t> </w:t>
      </w:r>
      <w:r>
        <w:rPr>
          <w:color w:val="231F20"/>
        </w:rPr>
        <w:t>la</w:t>
      </w:r>
      <w:r>
        <w:rPr>
          <w:color w:val="231F20"/>
          <w:spacing w:val="-3"/>
        </w:rPr>
        <w:t> </w:t>
      </w:r>
      <w:r>
        <w:rPr>
          <w:color w:val="231F20"/>
        </w:rPr>
        <w:t>población</w:t>
      </w:r>
      <w:r>
        <w:rPr>
          <w:color w:val="231F20"/>
          <w:spacing w:val="-3"/>
        </w:rPr>
        <w:t> </w:t>
      </w:r>
      <w:r>
        <w:rPr>
          <w:color w:val="231F20"/>
        </w:rPr>
        <w:t>joven,</w:t>
      </w:r>
      <w:r>
        <w:rPr>
          <w:color w:val="231F20"/>
          <w:spacing w:val="-3"/>
        </w:rPr>
        <w:t> </w:t>
      </w:r>
      <w:r>
        <w:rPr>
          <w:color w:val="231F20"/>
        </w:rPr>
        <w:t>que</w:t>
      </w:r>
      <w:r>
        <w:rPr>
          <w:color w:val="231F20"/>
          <w:spacing w:val="-3"/>
        </w:rPr>
        <w:t> </w:t>
      </w:r>
      <w:r>
        <w:rPr>
          <w:color w:val="231F20"/>
        </w:rPr>
        <w:t>ya no les interesa hablar la lengua náhuatl ni les interesa la agricultura, por lo que hace falta mejores opciones para este sector de la población en su</w:t>
      </w:r>
      <w:r>
        <w:rPr>
          <w:color w:val="231F20"/>
          <w:spacing w:val="-8"/>
        </w:rPr>
        <w:t> </w:t>
      </w:r>
      <w:r>
        <w:rPr>
          <w:color w:val="231F20"/>
        </w:rPr>
        <w:t>localidad.</w:t>
      </w:r>
    </w:p>
    <w:p>
      <w:pPr>
        <w:pStyle w:val="BodyText"/>
        <w:spacing w:before="9"/>
        <w:rPr>
          <w:sz w:val="22"/>
        </w:rPr>
      </w:pPr>
    </w:p>
    <w:p>
      <w:pPr>
        <w:pStyle w:val="Heading3"/>
      </w:pPr>
      <w:r>
        <w:rPr>
          <w:color w:val="010202"/>
        </w:rPr>
        <w:t>Conclusiones</w:t>
      </w:r>
    </w:p>
    <w:p>
      <w:pPr>
        <w:pStyle w:val="BodyText"/>
        <w:spacing w:before="10"/>
        <w:rPr>
          <w:b/>
        </w:rPr>
      </w:pPr>
    </w:p>
    <w:p>
      <w:pPr>
        <w:pStyle w:val="BodyText"/>
        <w:spacing w:line="247" w:lineRule="auto"/>
        <w:ind w:left="1270" w:right="1268"/>
        <w:jc w:val="both"/>
      </w:pPr>
      <w:r>
        <w:rPr>
          <w:color w:val="231F20"/>
        </w:rPr>
        <w:t>Para consolidar el cultivo de la chirimoya como alternativa compatible con el ambiente natural, es necesario abrir la comercialización nacional e internacional a esta fruta no convencional y sus deri- vados</w:t>
      </w:r>
      <w:r>
        <w:rPr>
          <w:color w:val="231F20"/>
          <w:spacing w:val="-4"/>
        </w:rPr>
        <w:t> </w:t>
      </w:r>
      <w:r>
        <w:rPr>
          <w:color w:val="231F20"/>
        </w:rPr>
        <w:t>para</w:t>
      </w:r>
      <w:r>
        <w:rPr>
          <w:color w:val="231F20"/>
          <w:spacing w:val="-4"/>
        </w:rPr>
        <w:t> </w:t>
      </w:r>
      <w:r>
        <w:rPr>
          <w:color w:val="231F20"/>
        </w:rPr>
        <w:t>que</w:t>
      </w:r>
      <w:r>
        <w:rPr>
          <w:color w:val="231F20"/>
          <w:spacing w:val="-4"/>
        </w:rPr>
        <w:t> </w:t>
      </w:r>
      <w:r>
        <w:rPr>
          <w:color w:val="231F20"/>
        </w:rPr>
        <w:t>sea</w:t>
      </w:r>
      <w:r>
        <w:rPr>
          <w:color w:val="231F20"/>
          <w:spacing w:val="-4"/>
        </w:rPr>
        <w:t> </w:t>
      </w:r>
      <w:r>
        <w:rPr>
          <w:color w:val="231F20"/>
        </w:rPr>
        <w:t>redituable</w:t>
      </w:r>
      <w:r>
        <w:rPr>
          <w:color w:val="231F20"/>
          <w:spacing w:val="-4"/>
        </w:rPr>
        <w:t> </w:t>
      </w:r>
      <w:r>
        <w:rPr>
          <w:color w:val="231F20"/>
        </w:rPr>
        <w:t>económicamente</w:t>
      </w:r>
      <w:r>
        <w:rPr>
          <w:color w:val="231F20"/>
          <w:spacing w:val="-5"/>
        </w:rPr>
        <w:t> </w:t>
      </w:r>
      <w:r>
        <w:rPr>
          <w:color w:val="231F20"/>
        </w:rPr>
        <w:t>a</w:t>
      </w:r>
      <w:r>
        <w:rPr>
          <w:color w:val="231F20"/>
          <w:spacing w:val="-4"/>
        </w:rPr>
        <w:t> </w:t>
      </w:r>
      <w:r>
        <w:rPr>
          <w:color w:val="231F20"/>
        </w:rPr>
        <w:t>los</w:t>
      </w:r>
      <w:r>
        <w:rPr>
          <w:color w:val="231F20"/>
          <w:spacing w:val="-4"/>
        </w:rPr>
        <w:t> </w:t>
      </w:r>
      <w:r>
        <w:rPr>
          <w:color w:val="231F20"/>
        </w:rPr>
        <w:t>agricultores.</w:t>
      </w:r>
      <w:r>
        <w:rPr>
          <w:color w:val="231F20"/>
          <w:spacing w:val="-17"/>
        </w:rPr>
        <w:t> </w:t>
      </w:r>
      <w:r>
        <w:rPr>
          <w:color w:val="231F20"/>
        </w:rPr>
        <w:t>A</w:t>
      </w:r>
      <w:r>
        <w:rPr>
          <w:color w:val="231F20"/>
          <w:spacing w:val="-16"/>
        </w:rPr>
        <w:t> </w:t>
      </w:r>
      <w:r>
        <w:rPr>
          <w:color w:val="231F20"/>
        </w:rPr>
        <w:t>la</w:t>
      </w:r>
      <w:r>
        <w:rPr>
          <w:color w:val="231F20"/>
          <w:spacing w:val="-4"/>
        </w:rPr>
        <w:t> </w:t>
      </w:r>
      <w:r>
        <w:rPr>
          <w:color w:val="231F20"/>
        </w:rPr>
        <w:t>par</w:t>
      </w:r>
      <w:r>
        <w:rPr>
          <w:color w:val="231F20"/>
          <w:spacing w:val="-4"/>
        </w:rPr>
        <w:t> </w:t>
      </w:r>
      <w:r>
        <w:rPr>
          <w:color w:val="231F20"/>
        </w:rPr>
        <w:t>se</w:t>
      </w:r>
      <w:r>
        <w:rPr>
          <w:color w:val="231F20"/>
          <w:spacing w:val="-4"/>
        </w:rPr>
        <w:t> </w:t>
      </w:r>
      <w:r>
        <w:rPr>
          <w:color w:val="231F20"/>
        </w:rPr>
        <w:t>requiere</w:t>
      </w:r>
      <w:r>
        <w:rPr>
          <w:color w:val="231F20"/>
          <w:spacing w:val="-4"/>
        </w:rPr>
        <w:t> </w:t>
      </w:r>
      <w:r>
        <w:rPr>
          <w:color w:val="231F20"/>
        </w:rPr>
        <w:t>incrementar</w:t>
      </w:r>
      <w:r>
        <w:rPr>
          <w:color w:val="231F20"/>
          <w:spacing w:val="-5"/>
        </w:rPr>
        <w:t> </w:t>
      </w:r>
      <w:r>
        <w:rPr>
          <w:color w:val="231F20"/>
        </w:rPr>
        <w:t>la superficie cultivada con mejores variedades, desarrollar técnicas adecuadas de fertilización, control de</w:t>
      </w:r>
      <w:r>
        <w:rPr>
          <w:color w:val="231F20"/>
          <w:spacing w:val="-4"/>
        </w:rPr>
        <w:t> </w:t>
      </w:r>
      <w:r>
        <w:rPr>
          <w:color w:val="231F20"/>
        </w:rPr>
        <w:t>plagas</w:t>
      </w:r>
      <w:r>
        <w:rPr>
          <w:color w:val="231F20"/>
          <w:spacing w:val="-4"/>
        </w:rPr>
        <w:t> </w:t>
      </w:r>
      <w:r>
        <w:rPr>
          <w:color w:val="231F20"/>
        </w:rPr>
        <w:t>y</w:t>
      </w:r>
      <w:r>
        <w:rPr>
          <w:color w:val="231F20"/>
          <w:spacing w:val="-4"/>
        </w:rPr>
        <w:t> </w:t>
      </w:r>
      <w:r>
        <w:rPr>
          <w:color w:val="231F20"/>
        </w:rPr>
        <w:t>enfermedades,</w:t>
      </w:r>
      <w:r>
        <w:rPr>
          <w:color w:val="231F20"/>
          <w:spacing w:val="-4"/>
        </w:rPr>
        <w:t> </w:t>
      </w:r>
      <w:r>
        <w:rPr>
          <w:color w:val="231F20"/>
        </w:rPr>
        <w:t>polinización</w:t>
      </w:r>
      <w:r>
        <w:rPr>
          <w:color w:val="231F20"/>
          <w:spacing w:val="-4"/>
        </w:rPr>
        <w:t> </w:t>
      </w:r>
      <w:r>
        <w:rPr>
          <w:color w:val="231F20"/>
        </w:rPr>
        <w:t>artificial,</w:t>
      </w:r>
      <w:r>
        <w:rPr>
          <w:color w:val="231F20"/>
          <w:spacing w:val="-4"/>
        </w:rPr>
        <w:t> </w:t>
      </w:r>
      <w:r>
        <w:rPr>
          <w:color w:val="231F20"/>
        </w:rPr>
        <w:t>densidades</w:t>
      </w:r>
      <w:r>
        <w:rPr>
          <w:color w:val="231F20"/>
          <w:spacing w:val="-4"/>
        </w:rPr>
        <w:t> </w:t>
      </w:r>
      <w:r>
        <w:rPr>
          <w:color w:val="231F20"/>
        </w:rPr>
        <w:t>de</w:t>
      </w:r>
      <w:r>
        <w:rPr>
          <w:color w:val="231F20"/>
          <w:spacing w:val="-4"/>
        </w:rPr>
        <w:t> </w:t>
      </w:r>
      <w:r>
        <w:rPr>
          <w:color w:val="231F20"/>
        </w:rPr>
        <w:t>población</w:t>
      </w:r>
      <w:r>
        <w:rPr>
          <w:color w:val="231F20"/>
          <w:spacing w:val="-4"/>
        </w:rPr>
        <w:t> </w:t>
      </w:r>
      <w:r>
        <w:rPr>
          <w:color w:val="231F20"/>
        </w:rPr>
        <w:t>estudio</w:t>
      </w:r>
      <w:r>
        <w:rPr>
          <w:color w:val="231F20"/>
          <w:spacing w:val="-4"/>
        </w:rPr>
        <w:t> </w:t>
      </w:r>
      <w:r>
        <w:rPr>
          <w:color w:val="231F20"/>
        </w:rPr>
        <w:t>de</w:t>
      </w:r>
      <w:r>
        <w:rPr>
          <w:color w:val="231F20"/>
          <w:spacing w:val="-4"/>
        </w:rPr>
        <w:t> </w:t>
      </w:r>
      <w:r>
        <w:rPr>
          <w:color w:val="231F20"/>
        </w:rPr>
        <w:t>manejo</w:t>
      </w:r>
      <w:r>
        <w:rPr>
          <w:color w:val="231F20"/>
          <w:spacing w:val="-4"/>
        </w:rPr>
        <w:t> </w:t>
      </w:r>
      <w:r>
        <w:rPr>
          <w:color w:val="231F20"/>
        </w:rPr>
        <w:t>posco- secha, capacitación en alternativas de usos del fruto y consolidación de una organización socioeco- nómica regional.</w:t>
      </w:r>
    </w:p>
    <w:p>
      <w:pPr>
        <w:pStyle w:val="BodyText"/>
        <w:spacing w:before="10"/>
      </w:pPr>
    </w:p>
    <w:p>
      <w:pPr>
        <w:pStyle w:val="BodyText"/>
        <w:spacing w:line="247" w:lineRule="auto"/>
        <w:ind w:left="1270" w:right="1267"/>
        <w:jc w:val="both"/>
      </w:pPr>
      <w:r>
        <w:rPr>
          <w:color w:val="231F20"/>
        </w:rPr>
        <w:t>Así también se requiere establecer banco de germoplasma para conservar y aprovechar in situ los mejores genotipos y al mismo tiempo introducir variedades mejoradas para evaluarse localmente    y establecer agroecosistemas, donde uno de sus componentes estructurales sea la chirimoya como medio para promover producción</w:t>
      </w:r>
      <w:r>
        <w:rPr>
          <w:color w:val="231F20"/>
          <w:spacing w:val="-1"/>
        </w:rPr>
        <w:t> </w:t>
      </w:r>
      <w:r>
        <w:rPr>
          <w:color w:val="231F20"/>
        </w:rPr>
        <w:t>comercial.</w:t>
      </w:r>
    </w:p>
    <w:p>
      <w:pPr>
        <w:pStyle w:val="BodyText"/>
        <w:spacing w:before="10"/>
      </w:pPr>
    </w:p>
    <w:p>
      <w:pPr>
        <w:pStyle w:val="BodyText"/>
        <w:spacing w:line="247" w:lineRule="auto"/>
        <w:ind w:left="1270" w:right="1267"/>
        <w:jc w:val="both"/>
      </w:pPr>
      <w:r>
        <w:rPr>
          <w:color w:val="231F20"/>
        </w:rPr>
        <w:t>La</w:t>
      </w:r>
      <w:r>
        <w:rPr>
          <w:color w:val="231F20"/>
          <w:spacing w:val="-10"/>
        </w:rPr>
        <w:t> </w:t>
      </w:r>
      <w:r>
        <w:rPr>
          <w:color w:val="231F20"/>
        </w:rPr>
        <w:t>experiencia</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área</w:t>
      </w:r>
      <w:r>
        <w:rPr>
          <w:color w:val="231F20"/>
          <w:spacing w:val="-10"/>
        </w:rPr>
        <w:t> </w:t>
      </w:r>
      <w:r>
        <w:rPr>
          <w:color w:val="231F20"/>
        </w:rPr>
        <w:t>de</w:t>
      </w:r>
      <w:r>
        <w:rPr>
          <w:color w:val="231F20"/>
          <w:spacing w:val="-10"/>
        </w:rPr>
        <w:t> </w:t>
      </w:r>
      <w:r>
        <w:rPr>
          <w:color w:val="231F20"/>
        </w:rPr>
        <w:t>estudio</w:t>
      </w:r>
      <w:r>
        <w:rPr>
          <w:color w:val="231F20"/>
          <w:spacing w:val="-10"/>
        </w:rPr>
        <w:t> </w:t>
      </w:r>
      <w:r>
        <w:rPr>
          <w:color w:val="231F20"/>
        </w:rPr>
        <w:t>en</w:t>
      </w:r>
      <w:r>
        <w:rPr>
          <w:color w:val="231F20"/>
          <w:spacing w:val="-10"/>
        </w:rPr>
        <w:t> </w:t>
      </w:r>
      <w:r>
        <w:rPr>
          <w:color w:val="231F20"/>
        </w:rPr>
        <w:t>promover</w:t>
      </w:r>
      <w:r>
        <w:rPr>
          <w:color w:val="231F20"/>
          <w:spacing w:val="-10"/>
        </w:rPr>
        <w:t> </w:t>
      </w:r>
      <w:r>
        <w:rPr>
          <w:color w:val="231F20"/>
        </w:rPr>
        <w:t>la</w:t>
      </w:r>
      <w:r>
        <w:rPr>
          <w:color w:val="231F20"/>
          <w:spacing w:val="-10"/>
        </w:rPr>
        <w:t> </w:t>
      </w:r>
      <w:r>
        <w:rPr>
          <w:color w:val="231F20"/>
        </w:rPr>
        <w:t>polinización</w:t>
      </w:r>
      <w:r>
        <w:rPr>
          <w:color w:val="231F20"/>
          <w:spacing w:val="-9"/>
        </w:rPr>
        <w:t> </w:t>
      </w:r>
      <w:r>
        <w:rPr>
          <w:color w:val="231F20"/>
        </w:rPr>
        <w:t>artificial</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chirimoya</w:t>
      </w:r>
      <w:r>
        <w:rPr>
          <w:color w:val="231F20"/>
          <w:spacing w:val="-10"/>
        </w:rPr>
        <w:t> </w:t>
      </w:r>
      <w:r>
        <w:rPr>
          <w:color w:val="231F20"/>
        </w:rPr>
        <w:t>indica</w:t>
      </w:r>
      <w:r>
        <w:rPr>
          <w:color w:val="231F20"/>
          <w:spacing w:val="-10"/>
        </w:rPr>
        <w:t> </w:t>
      </w:r>
      <w:r>
        <w:rPr>
          <w:color w:val="231F20"/>
        </w:rPr>
        <w:t>que, por</w:t>
      </w:r>
      <w:r>
        <w:rPr>
          <w:color w:val="231F20"/>
          <w:spacing w:val="-7"/>
        </w:rPr>
        <w:t> </w:t>
      </w:r>
      <w:r>
        <w:rPr>
          <w:color w:val="231F20"/>
        </w:rPr>
        <w:t>sí</w:t>
      </w:r>
      <w:r>
        <w:rPr>
          <w:color w:val="231F20"/>
          <w:spacing w:val="-7"/>
        </w:rPr>
        <w:t> </w:t>
      </w:r>
      <w:r>
        <w:rPr>
          <w:color w:val="231F20"/>
        </w:rPr>
        <w:t>misma</w:t>
      </w:r>
      <w:r>
        <w:rPr>
          <w:color w:val="231F20"/>
          <w:spacing w:val="-7"/>
        </w:rPr>
        <w:t> </w:t>
      </w:r>
      <w:r>
        <w:rPr>
          <w:color w:val="231F20"/>
        </w:rPr>
        <w:t>no</w:t>
      </w:r>
      <w:r>
        <w:rPr>
          <w:color w:val="231F20"/>
          <w:spacing w:val="-7"/>
        </w:rPr>
        <w:t> </w:t>
      </w:r>
      <w:r>
        <w:rPr>
          <w:color w:val="231F20"/>
        </w:rPr>
        <w:t>logra</w:t>
      </w:r>
      <w:r>
        <w:rPr>
          <w:color w:val="231F20"/>
          <w:spacing w:val="39"/>
        </w:rPr>
        <w:t> </w:t>
      </w:r>
      <w:r>
        <w:rPr>
          <w:color w:val="231F20"/>
        </w:rPr>
        <w:t>mejorar</w:t>
      </w:r>
      <w:r>
        <w:rPr>
          <w:color w:val="231F20"/>
          <w:spacing w:val="-8"/>
        </w:rPr>
        <w:t> </w:t>
      </w:r>
      <w:r>
        <w:rPr>
          <w:color w:val="231F20"/>
        </w:rPr>
        <w:t>significativamente</w:t>
      </w:r>
      <w:r>
        <w:rPr>
          <w:color w:val="231F20"/>
          <w:spacing w:val="-8"/>
        </w:rPr>
        <w:t> </w:t>
      </w:r>
      <w:r>
        <w:rPr>
          <w:color w:val="231F20"/>
        </w:rPr>
        <w:t>la</w:t>
      </w:r>
      <w:r>
        <w:rPr>
          <w:color w:val="231F20"/>
          <w:spacing w:val="-7"/>
        </w:rPr>
        <w:t> </w:t>
      </w:r>
      <w:r>
        <w:rPr>
          <w:color w:val="231F20"/>
        </w:rPr>
        <w:t>producción</w:t>
      </w:r>
      <w:r>
        <w:rPr>
          <w:color w:val="231F20"/>
          <w:spacing w:val="-7"/>
        </w:rPr>
        <w:t> </w:t>
      </w:r>
      <w:r>
        <w:rPr>
          <w:color w:val="231F20"/>
        </w:rPr>
        <w:t>y</w:t>
      </w:r>
      <w:r>
        <w:rPr>
          <w:color w:val="231F20"/>
          <w:spacing w:val="-7"/>
        </w:rPr>
        <w:t> </w:t>
      </w:r>
      <w:r>
        <w:rPr>
          <w:color w:val="231F20"/>
        </w:rPr>
        <w:t>calidad</w:t>
      </w:r>
      <w:r>
        <w:rPr>
          <w:color w:val="231F20"/>
          <w:spacing w:val="-8"/>
        </w:rPr>
        <w:t> </w:t>
      </w:r>
      <w:r>
        <w:rPr>
          <w:color w:val="231F20"/>
        </w:rPr>
        <w:t>del</w:t>
      </w:r>
      <w:r>
        <w:rPr>
          <w:color w:val="231F20"/>
          <w:spacing w:val="-7"/>
        </w:rPr>
        <w:t> </w:t>
      </w:r>
      <w:r>
        <w:rPr>
          <w:color w:val="231F20"/>
        </w:rPr>
        <w:t>producto.</w:t>
      </w:r>
      <w:r>
        <w:rPr>
          <w:color w:val="231F20"/>
          <w:spacing w:val="-7"/>
        </w:rPr>
        <w:t> </w:t>
      </w:r>
      <w:r>
        <w:rPr>
          <w:color w:val="231F20"/>
        </w:rPr>
        <w:t>Es</w:t>
      </w:r>
      <w:r>
        <w:rPr>
          <w:color w:val="231F20"/>
          <w:spacing w:val="-7"/>
        </w:rPr>
        <w:t> </w:t>
      </w:r>
      <w:r>
        <w:rPr>
          <w:color w:val="231F20"/>
        </w:rPr>
        <w:t>necesario que se acompañe de un manejo integral de prácticas agronómicas apropiadas como el suministro de los</w:t>
      </w:r>
      <w:r>
        <w:rPr>
          <w:color w:val="231F20"/>
          <w:spacing w:val="-6"/>
        </w:rPr>
        <w:t> </w:t>
      </w:r>
      <w:r>
        <w:rPr>
          <w:color w:val="231F20"/>
        </w:rPr>
        <w:t>requerimientos</w:t>
      </w:r>
      <w:r>
        <w:rPr>
          <w:color w:val="231F20"/>
          <w:spacing w:val="-6"/>
        </w:rPr>
        <w:t> </w:t>
      </w:r>
      <w:r>
        <w:rPr>
          <w:color w:val="231F20"/>
        </w:rPr>
        <w:t>nutricionales</w:t>
      </w:r>
      <w:r>
        <w:rPr>
          <w:color w:val="231F20"/>
          <w:spacing w:val="-6"/>
        </w:rPr>
        <w:t> </w:t>
      </w:r>
      <w:r>
        <w:rPr>
          <w:color w:val="231F20"/>
        </w:rPr>
        <w:t>del</w:t>
      </w:r>
      <w:r>
        <w:rPr>
          <w:color w:val="231F20"/>
          <w:spacing w:val="-5"/>
        </w:rPr>
        <w:t> </w:t>
      </w:r>
      <w:r>
        <w:rPr>
          <w:color w:val="231F20"/>
        </w:rPr>
        <w:t>cultivo,</w:t>
      </w:r>
      <w:r>
        <w:rPr>
          <w:color w:val="231F20"/>
          <w:spacing w:val="-6"/>
        </w:rPr>
        <w:t> </w:t>
      </w:r>
      <w:r>
        <w:rPr>
          <w:color w:val="231F20"/>
        </w:rPr>
        <w:t>podas,</w:t>
      </w:r>
      <w:r>
        <w:rPr>
          <w:color w:val="231F20"/>
          <w:spacing w:val="-5"/>
        </w:rPr>
        <w:t> </w:t>
      </w:r>
      <w:r>
        <w:rPr>
          <w:color w:val="231F20"/>
        </w:rPr>
        <w:t>control</w:t>
      </w:r>
      <w:r>
        <w:rPr>
          <w:color w:val="231F20"/>
          <w:spacing w:val="-6"/>
        </w:rPr>
        <w:t> </w:t>
      </w:r>
      <w:r>
        <w:rPr>
          <w:color w:val="231F20"/>
        </w:rPr>
        <w:t>de</w:t>
      </w:r>
      <w:r>
        <w:rPr>
          <w:color w:val="231F20"/>
          <w:spacing w:val="-5"/>
        </w:rPr>
        <w:t> </w:t>
      </w:r>
      <w:r>
        <w:rPr>
          <w:color w:val="231F20"/>
        </w:rPr>
        <w:t>plagas</w:t>
      </w:r>
      <w:r>
        <w:rPr>
          <w:color w:val="231F20"/>
          <w:spacing w:val="-5"/>
        </w:rPr>
        <w:t> </w:t>
      </w:r>
      <w:r>
        <w:rPr>
          <w:color w:val="231F20"/>
        </w:rPr>
        <w:t>y</w:t>
      </w:r>
      <w:r>
        <w:rPr>
          <w:color w:val="231F20"/>
          <w:spacing w:val="-5"/>
        </w:rPr>
        <w:t> </w:t>
      </w:r>
      <w:r>
        <w:rPr>
          <w:color w:val="231F20"/>
        </w:rPr>
        <w:t>enfermedades,</w:t>
      </w:r>
      <w:r>
        <w:rPr>
          <w:color w:val="231F20"/>
          <w:spacing w:val="-6"/>
        </w:rPr>
        <w:t> </w:t>
      </w:r>
      <w:r>
        <w:rPr>
          <w:color w:val="231F20"/>
        </w:rPr>
        <w:t>arreglos</w:t>
      </w:r>
      <w:r>
        <w:rPr>
          <w:color w:val="231F20"/>
          <w:spacing w:val="-6"/>
        </w:rPr>
        <w:t> </w:t>
      </w:r>
      <w:r>
        <w:rPr>
          <w:color w:val="231F20"/>
        </w:rPr>
        <w:t>topo- lógicos, como parte de un paquete tecnológico integral. Paralelamente se debe realizar estudios de mercado para colocar el fruto de la chirimoya y sus derivados, previa capacitación para su elabora- ción artesanal de mermeladas, pulpa congelada, licores, entre otros proyectos para que sea atractivo su cultivo en el área de</w:t>
      </w:r>
      <w:r>
        <w:rPr>
          <w:color w:val="231F20"/>
          <w:spacing w:val="-4"/>
        </w:rPr>
        <w:t> </w:t>
      </w:r>
      <w:r>
        <w:rPr>
          <w:color w:val="231F20"/>
        </w:rPr>
        <w:t>estudio.</w:t>
      </w:r>
    </w:p>
    <w:p>
      <w:pPr>
        <w:spacing w:after="0" w:line="247" w:lineRule="auto"/>
        <w:jc w:val="both"/>
        <w:sectPr>
          <w:pgSz w:w="10920" w:h="13080"/>
          <w:pgMar w:header="0" w:footer="965" w:top="420" w:bottom="1220" w:left="0" w:right="0"/>
        </w:sectPr>
      </w:pPr>
    </w:p>
    <w:p>
      <w:pPr>
        <w:pStyle w:val="BodyText"/>
        <w:rPr>
          <w:sz w:val="20"/>
        </w:rPr>
      </w:pPr>
    </w:p>
    <w:p>
      <w:pPr>
        <w:pStyle w:val="BodyText"/>
        <w:rPr>
          <w:sz w:val="20"/>
        </w:rPr>
      </w:pPr>
    </w:p>
    <w:p>
      <w:pPr>
        <w:pStyle w:val="BodyText"/>
        <w:rPr>
          <w:sz w:val="23"/>
        </w:rPr>
      </w:pPr>
    </w:p>
    <w:p>
      <w:pPr>
        <w:pStyle w:val="BodyText"/>
        <w:spacing w:line="247" w:lineRule="auto" w:before="73"/>
        <w:ind w:left="1270" w:right="1268"/>
        <w:jc w:val="both"/>
      </w:pPr>
      <w:r>
        <w:rPr>
          <w:color w:val="231F20"/>
        </w:rPr>
        <w:t>Finalmente hasta aquí se ha avanzado de manera gradual en el conocimiento de la situación actual de la chirimoya, con la finalidad de impulsar estrategias viables para preservar este recurso</w:t>
      </w:r>
      <w:r>
        <w:rPr>
          <w:color w:val="231F20"/>
          <w:spacing w:val="-25"/>
        </w:rPr>
        <w:t> </w:t>
      </w:r>
      <w:r>
        <w:rPr>
          <w:color w:val="231F20"/>
        </w:rPr>
        <w:t>genético valioso para las generaciones</w:t>
      </w:r>
      <w:r>
        <w:rPr>
          <w:color w:val="231F20"/>
          <w:spacing w:val="-1"/>
        </w:rPr>
        <w:t> </w:t>
      </w:r>
      <w:r>
        <w:rPr>
          <w:color w:val="231F20"/>
        </w:rPr>
        <w:t>futuras</w:t>
      </w:r>
    </w:p>
    <w:p>
      <w:pPr>
        <w:pStyle w:val="BodyText"/>
        <w:spacing w:before="8"/>
        <w:rPr>
          <w:sz w:val="22"/>
        </w:rPr>
      </w:pPr>
    </w:p>
    <w:p>
      <w:pPr>
        <w:pStyle w:val="Heading3"/>
      </w:pPr>
      <w:r>
        <w:rPr>
          <w:color w:val="010202"/>
        </w:rPr>
        <w:t>Literatura citada</w:t>
      </w:r>
    </w:p>
    <w:p>
      <w:pPr>
        <w:pStyle w:val="BodyText"/>
        <w:spacing w:before="7"/>
        <w:rPr>
          <w:b/>
        </w:rPr>
      </w:pPr>
    </w:p>
    <w:p>
      <w:pPr>
        <w:spacing w:line="249" w:lineRule="auto" w:before="0"/>
        <w:ind w:left="1270" w:right="1268" w:firstLine="0"/>
        <w:jc w:val="both"/>
        <w:rPr>
          <w:sz w:val="19"/>
        </w:rPr>
      </w:pPr>
      <w:r>
        <w:rPr>
          <w:color w:val="231F20"/>
          <w:sz w:val="19"/>
        </w:rPr>
        <w:t>Andrés, Agustín Jorge y Andrés Hernández, L. 2011. Biología, Diversidad, Conservación y Uso Sostenible de los Recursos Genéticos de Annonaceae en México. SAGARPA-SNICS-SINAREFI-UACH. México.</w:t>
      </w:r>
    </w:p>
    <w:p>
      <w:pPr>
        <w:pStyle w:val="BodyText"/>
        <w:spacing w:before="10"/>
        <w:rPr>
          <w:sz w:val="19"/>
        </w:rPr>
      </w:pPr>
    </w:p>
    <w:p>
      <w:pPr>
        <w:spacing w:line="249" w:lineRule="auto" w:before="0"/>
        <w:ind w:left="1270" w:right="1268" w:firstLine="0"/>
        <w:jc w:val="both"/>
        <w:rPr>
          <w:sz w:val="19"/>
        </w:rPr>
      </w:pPr>
      <w:r>
        <w:rPr>
          <w:color w:val="231F20"/>
          <w:sz w:val="19"/>
        </w:rPr>
        <w:t>Hernández</w:t>
      </w:r>
      <w:r>
        <w:rPr>
          <w:color w:val="231F20"/>
          <w:spacing w:val="-4"/>
          <w:sz w:val="19"/>
        </w:rPr>
        <w:t> </w:t>
      </w:r>
      <w:r>
        <w:rPr>
          <w:color w:val="231F20"/>
          <w:sz w:val="19"/>
        </w:rPr>
        <w:t>Soto,</w:t>
      </w:r>
      <w:r>
        <w:rPr>
          <w:color w:val="231F20"/>
          <w:spacing w:val="-3"/>
          <w:sz w:val="19"/>
        </w:rPr>
        <w:t> </w:t>
      </w:r>
      <w:r>
        <w:rPr>
          <w:color w:val="231F20"/>
          <w:sz w:val="19"/>
        </w:rPr>
        <w:t>J.A.</w:t>
      </w:r>
      <w:r>
        <w:rPr>
          <w:color w:val="231F20"/>
          <w:spacing w:val="-3"/>
          <w:sz w:val="19"/>
        </w:rPr>
        <w:t> </w:t>
      </w:r>
      <w:r>
        <w:rPr>
          <w:color w:val="231F20"/>
          <w:sz w:val="19"/>
        </w:rPr>
        <w:t>(2010).</w:t>
      </w:r>
      <w:r>
        <w:rPr>
          <w:color w:val="231F20"/>
          <w:spacing w:val="-3"/>
          <w:sz w:val="19"/>
        </w:rPr>
        <w:t> </w:t>
      </w:r>
      <w:r>
        <w:rPr>
          <w:color w:val="231F20"/>
          <w:sz w:val="19"/>
        </w:rPr>
        <w:t>La</w:t>
      </w:r>
      <w:r>
        <w:rPr>
          <w:color w:val="231F20"/>
          <w:spacing w:val="-4"/>
          <w:sz w:val="19"/>
        </w:rPr>
        <w:t> </w:t>
      </w:r>
      <w:r>
        <w:rPr>
          <w:color w:val="231F20"/>
          <w:sz w:val="19"/>
        </w:rPr>
        <w:t>Chirimoya</w:t>
      </w:r>
      <w:r>
        <w:rPr>
          <w:color w:val="231F20"/>
          <w:spacing w:val="-4"/>
          <w:sz w:val="19"/>
        </w:rPr>
        <w:t> </w:t>
      </w:r>
      <w:r>
        <w:rPr>
          <w:color w:val="231F20"/>
          <w:sz w:val="19"/>
        </w:rPr>
        <w:t>(Annona</w:t>
      </w:r>
      <w:r>
        <w:rPr>
          <w:color w:val="231F20"/>
          <w:spacing w:val="-3"/>
          <w:sz w:val="19"/>
        </w:rPr>
        <w:t> </w:t>
      </w:r>
      <w:r>
        <w:rPr>
          <w:color w:val="231F20"/>
          <w:sz w:val="19"/>
        </w:rPr>
        <w:t>cherimola</w:t>
      </w:r>
      <w:r>
        <w:rPr>
          <w:color w:val="231F20"/>
          <w:spacing w:val="-4"/>
          <w:sz w:val="19"/>
        </w:rPr>
        <w:t> </w:t>
      </w:r>
      <w:r>
        <w:rPr>
          <w:color w:val="231F20"/>
          <w:sz w:val="19"/>
        </w:rPr>
        <w:t>Mill)</w:t>
      </w:r>
      <w:r>
        <w:rPr>
          <w:color w:val="231F20"/>
          <w:spacing w:val="-4"/>
          <w:sz w:val="19"/>
        </w:rPr>
        <w:t> </w:t>
      </w:r>
      <w:r>
        <w:rPr>
          <w:color w:val="231F20"/>
          <w:sz w:val="19"/>
        </w:rPr>
        <w:t>como</w:t>
      </w:r>
      <w:r>
        <w:rPr>
          <w:color w:val="231F20"/>
          <w:spacing w:val="-4"/>
          <w:sz w:val="19"/>
        </w:rPr>
        <w:t> </w:t>
      </w:r>
      <w:r>
        <w:rPr>
          <w:color w:val="231F20"/>
          <w:sz w:val="19"/>
        </w:rPr>
        <w:t>alternativa</w:t>
      </w:r>
      <w:r>
        <w:rPr>
          <w:color w:val="231F20"/>
          <w:spacing w:val="-4"/>
          <w:sz w:val="19"/>
        </w:rPr>
        <w:t> </w:t>
      </w:r>
      <w:r>
        <w:rPr>
          <w:color w:val="231F20"/>
          <w:sz w:val="19"/>
        </w:rPr>
        <w:t>Sustentable</w:t>
      </w:r>
      <w:r>
        <w:rPr>
          <w:color w:val="231F20"/>
          <w:spacing w:val="-4"/>
          <w:sz w:val="19"/>
        </w:rPr>
        <w:t> </w:t>
      </w:r>
      <w:r>
        <w:rPr>
          <w:color w:val="231F20"/>
          <w:sz w:val="19"/>
        </w:rPr>
        <w:t>en</w:t>
      </w:r>
      <w:r>
        <w:rPr>
          <w:color w:val="231F20"/>
          <w:spacing w:val="-3"/>
          <w:sz w:val="19"/>
        </w:rPr>
        <w:t> </w:t>
      </w:r>
      <w:r>
        <w:rPr>
          <w:color w:val="231F20"/>
          <w:sz w:val="19"/>
        </w:rPr>
        <w:t>el</w:t>
      </w:r>
      <w:r>
        <w:rPr>
          <w:color w:val="231F20"/>
          <w:spacing w:val="-4"/>
          <w:sz w:val="19"/>
        </w:rPr>
        <w:t> </w:t>
      </w:r>
      <w:r>
        <w:rPr>
          <w:color w:val="231F20"/>
          <w:sz w:val="19"/>
        </w:rPr>
        <w:t>Norte de Morelos, EN Memoria del Congreso Nacional de Investigación en Agronomía y Ciencias Básicas y sus Aplicaciones: Biología y Química. UACH-CP-IPN. México.</w:t>
      </w:r>
    </w:p>
    <w:p>
      <w:pPr>
        <w:pStyle w:val="BodyText"/>
        <w:spacing w:before="10"/>
        <w:rPr>
          <w:sz w:val="19"/>
        </w:rPr>
      </w:pPr>
    </w:p>
    <w:p>
      <w:pPr>
        <w:spacing w:line="261" w:lineRule="auto" w:before="0"/>
        <w:ind w:left="1270" w:right="1268" w:firstLine="0"/>
        <w:jc w:val="both"/>
        <w:rPr>
          <w:sz w:val="19"/>
        </w:rPr>
      </w:pPr>
      <w:r>
        <w:rPr>
          <w:color w:val="231F20"/>
          <w:sz w:val="19"/>
        </w:rPr>
        <w:t>Hernández</w:t>
      </w:r>
      <w:r>
        <w:rPr>
          <w:color w:val="231F20"/>
          <w:spacing w:val="-9"/>
          <w:sz w:val="19"/>
        </w:rPr>
        <w:t> </w:t>
      </w:r>
      <w:r>
        <w:rPr>
          <w:color w:val="231F20"/>
          <w:sz w:val="19"/>
        </w:rPr>
        <w:t>Soto,</w:t>
      </w:r>
      <w:r>
        <w:rPr>
          <w:color w:val="231F20"/>
          <w:spacing w:val="-9"/>
          <w:sz w:val="19"/>
        </w:rPr>
        <w:t> </w:t>
      </w:r>
      <w:r>
        <w:rPr>
          <w:color w:val="231F20"/>
          <w:sz w:val="19"/>
        </w:rPr>
        <w:t>J.A.</w:t>
      </w:r>
      <w:r>
        <w:rPr>
          <w:color w:val="231F20"/>
          <w:spacing w:val="-9"/>
          <w:sz w:val="19"/>
        </w:rPr>
        <w:t> </w:t>
      </w:r>
      <w:r>
        <w:rPr>
          <w:color w:val="231F20"/>
          <w:sz w:val="19"/>
        </w:rPr>
        <w:t>(2011).</w:t>
      </w:r>
      <w:r>
        <w:rPr>
          <w:color w:val="231F20"/>
          <w:spacing w:val="-9"/>
          <w:sz w:val="19"/>
        </w:rPr>
        <w:t> </w:t>
      </w:r>
      <w:r>
        <w:rPr>
          <w:color w:val="231F20"/>
          <w:sz w:val="19"/>
        </w:rPr>
        <w:t>La</w:t>
      </w:r>
      <w:r>
        <w:rPr>
          <w:color w:val="231F20"/>
          <w:spacing w:val="-9"/>
          <w:sz w:val="19"/>
        </w:rPr>
        <w:t> </w:t>
      </w:r>
      <w:r>
        <w:rPr>
          <w:color w:val="231F20"/>
          <w:sz w:val="19"/>
        </w:rPr>
        <w:t>Polinización</w:t>
      </w:r>
      <w:r>
        <w:rPr>
          <w:color w:val="231F20"/>
          <w:spacing w:val="-19"/>
          <w:sz w:val="19"/>
        </w:rPr>
        <w:t> </w:t>
      </w:r>
      <w:r>
        <w:rPr>
          <w:color w:val="231F20"/>
          <w:sz w:val="19"/>
        </w:rPr>
        <w:t>Artificial</w:t>
      </w:r>
      <w:r>
        <w:rPr>
          <w:color w:val="231F20"/>
          <w:spacing w:val="-9"/>
          <w:sz w:val="19"/>
        </w:rPr>
        <w:t> </w:t>
      </w:r>
      <w:r>
        <w:rPr>
          <w:color w:val="231F20"/>
          <w:sz w:val="19"/>
        </w:rPr>
        <w:t>de</w:t>
      </w:r>
      <w:r>
        <w:rPr>
          <w:color w:val="231F20"/>
          <w:spacing w:val="-9"/>
          <w:sz w:val="19"/>
        </w:rPr>
        <w:t> </w:t>
      </w:r>
      <w:r>
        <w:rPr>
          <w:color w:val="231F20"/>
          <w:sz w:val="19"/>
        </w:rPr>
        <w:t>la</w:t>
      </w:r>
      <w:r>
        <w:rPr>
          <w:color w:val="231F20"/>
          <w:spacing w:val="-9"/>
          <w:sz w:val="19"/>
        </w:rPr>
        <w:t> </w:t>
      </w:r>
      <w:r>
        <w:rPr>
          <w:color w:val="231F20"/>
          <w:sz w:val="19"/>
        </w:rPr>
        <w:t>Chirimoya</w:t>
      </w:r>
      <w:r>
        <w:rPr>
          <w:color w:val="231F20"/>
          <w:spacing w:val="-9"/>
          <w:sz w:val="19"/>
        </w:rPr>
        <w:t> </w:t>
      </w:r>
      <w:r>
        <w:rPr>
          <w:color w:val="231F20"/>
          <w:sz w:val="19"/>
        </w:rPr>
        <w:t>(Annona</w:t>
      </w:r>
      <w:r>
        <w:rPr>
          <w:color w:val="231F20"/>
          <w:spacing w:val="-9"/>
          <w:sz w:val="19"/>
        </w:rPr>
        <w:t> </w:t>
      </w:r>
      <w:r>
        <w:rPr>
          <w:color w:val="231F20"/>
          <w:sz w:val="19"/>
        </w:rPr>
        <w:t>cherimola</w:t>
      </w:r>
      <w:r>
        <w:rPr>
          <w:color w:val="231F20"/>
          <w:spacing w:val="-9"/>
          <w:sz w:val="19"/>
        </w:rPr>
        <w:t> </w:t>
      </w:r>
      <w:r>
        <w:rPr>
          <w:color w:val="231F20"/>
          <w:sz w:val="19"/>
        </w:rPr>
        <w:t>Mill).</w:t>
      </w:r>
      <w:r>
        <w:rPr>
          <w:color w:val="231F20"/>
          <w:spacing w:val="-9"/>
          <w:sz w:val="19"/>
        </w:rPr>
        <w:t> </w:t>
      </w:r>
      <w:r>
        <w:rPr>
          <w:color w:val="231F20"/>
          <w:sz w:val="19"/>
        </w:rPr>
        <w:t>Una</w:t>
      </w:r>
      <w:r>
        <w:rPr>
          <w:color w:val="231F20"/>
          <w:spacing w:val="-9"/>
          <w:sz w:val="19"/>
        </w:rPr>
        <w:t> </w:t>
      </w:r>
      <w:r>
        <w:rPr>
          <w:color w:val="231F20"/>
          <w:sz w:val="19"/>
        </w:rPr>
        <w:t>practica pertinente en el Norte de Morelos. En Memoria del Segundo Congreso Nacional de Ciencias Básicas y Agro- nómicas. UACH. México.</w:t>
      </w:r>
    </w:p>
    <w:p>
      <w:pPr>
        <w:spacing w:after="0" w:line="261" w:lineRule="auto"/>
        <w:jc w:val="both"/>
        <w:rPr>
          <w:sz w:val="19"/>
        </w:rPr>
        <w:sectPr>
          <w:pgSz w:w="10920" w:h="13080"/>
          <w:pgMar w:header="0" w:footer="965" w:top="420" w:bottom="1220" w:left="0" w:right="0"/>
        </w:sectPr>
      </w:pPr>
    </w:p>
    <w:p>
      <w:pPr>
        <w:pStyle w:val="BodyText"/>
        <w:rPr>
          <w:sz w:val="20"/>
        </w:rPr>
      </w:pPr>
    </w:p>
    <w:p>
      <w:pPr>
        <w:pStyle w:val="BodyText"/>
        <w:rPr>
          <w:sz w:val="20"/>
        </w:rPr>
      </w:pPr>
    </w:p>
    <w:p>
      <w:pPr>
        <w:pStyle w:val="BodyText"/>
        <w:spacing w:before="6"/>
        <w:rPr>
          <w:sz w:val="23"/>
        </w:rPr>
      </w:pPr>
    </w:p>
    <w:p>
      <w:pPr>
        <w:spacing w:line="247" w:lineRule="auto" w:before="69"/>
        <w:ind w:left="2423" w:right="2421" w:firstLine="0"/>
        <w:jc w:val="center"/>
        <w:rPr>
          <w:rFonts w:ascii="Trebuchet MS" w:hAnsi="Trebuchet MS"/>
          <w:i/>
          <w:sz w:val="14"/>
        </w:rPr>
      </w:pPr>
      <w:r>
        <w:rPr>
          <w:rFonts w:ascii="Trebuchet MS" w:hAnsi="Trebuchet MS"/>
          <w:i/>
          <w:color w:val="010202"/>
          <w:sz w:val="24"/>
        </w:rPr>
        <w:t>Esbeydi Martínez Cruz</w:t>
      </w:r>
      <w:r>
        <w:rPr>
          <w:rFonts w:ascii="Trebuchet MS" w:hAnsi="Trebuchet MS"/>
          <w:i/>
          <w:color w:val="010202"/>
          <w:position w:val="8"/>
          <w:sz w:val="14"/>
        </w:rPr>
        <w:t>1</w:t>
      </w:r>
      <w:r>
        <w:rPr>
          <w:rFonts w:ascii="Trebuchet MS" w:hAnsi="Trebuchet MS"/>
          <w:i/>
          <w:color w:val="010202"/>
          <w:sz w:val="24"/>
        </w:rPr>
        <w:t>; José Oscar Mascorro Gallardo</w:t>
      </w:r>
      <w:r>
        <w:rPr>
          <w:rFonts w:ascii="Trebuchet MS" w:hAnsi="Trebuchet MS"/>
          <w:i/>
          <w:color w:val="010202"/>
          <w:position w:val="8"/>
          <w:sz w:val="14"/>
        </w:rPr>
        <w:t>1*</w:t>
      </w:r>
      <w:r>
        <w:rPr>
          <w:rFonts w:ascii="Trebuchet MS" w:hAnsi="Trebuchet MS"/>
          <w:i/>
          <w:color w:val="010202"/>
          <w:sz w:val="24"/>
        </w:rPr>
        <w:t>; </w:t>
      </w:r>
      <w:r>
        <w:rPr>
          <w:rFonts w:ascii="Trebuchet MS" w:hAnsi="Trebuchet MS"/>
          <w:i/>
          <w:color w:val="010202"/>
          <w:sz w:val="24"/>
        </w:rPr>
        <w:t>José Luis Rodriguez de la O</w:t>
      </w:r>
      <w:r>
        <w:rPr>
          <w:rFonts w:ascii="Trebuchet MS" w:hAnsi="Trebuchet MS"/>
          <w:i/>
          <w:color w:val="010202"/>
          <w:position w:val="8"/>
          <w:sz w:val="14"/>
        </w:rPr>
        <w:t>1  </w:t>
      </w:r>
      <w:r>
        <w:rPr>
          <w:rFonts w:ascii="Trebuchet MS" w:hAnsi="Trebuchet MS"/>
          <w:i/>
          <w:color w:val="010202"/>
          <w:sz w:val="24"/>
        </w:rPr>
        <w:t>y Jesús López Reynoso</w:t>
      </w:r>
      <w:r>
        <w:rPr>
          <w:rFonts w:ascii="Trebuchet MS" w:hAnsi="Trebuchet MS"/>
          <w:i/>
          <w:color w:val="010202"/>
          <w:position w:val="8"/>
          <w:sz w:val="14"/>
        </w:rPr>
        <w:t>1</w:t>
      </w: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spacing w:before="11"/>
        <w:rPr>
          <w:rFonts w:ascii="Trebuchet MS"/>
          <w:i/>
          <w:sz w:val="29"/>
        </w:rPr>
      </w:pPr>
    </w:p>
    <w:p>
      <w:pPr>
        <w:pStyle w:val="Heading1"/>
        <w:spacing w:line="247" w:lineRule="auto"/>
        <w:ind w:left="1513" w:right="1513" w:hanging="1"/>
      </w:pPr>
      <w:bookmarkStart w:name="_TOC_250002" w:id="9"/>
      <w:r>
        <w:rPr>
          <w:color w:val="010202"/>
        </w:rPr>
        <w:t>DETERMINACIÓN Y ANÁLISIS DE LA </w:t>
      </w:r>
      <w:r>
        <w:rPr>
          <w:color w:val="010202"/>
          <w:spacing w:val="-4"/>
        </w:rPr>
        <w:t>VARIACIÓN </w:t>
      </w:r>
      <w:r>
        <w:rPr>
          <w:color w:val="010202"/>
        </w:rPr>
        <w:t>SOMACLONAL EN </w:t>
      </w:r>
      <w:r>
        <w:rPr>
          <w:color w:val="010202"/>
          <w:spacing w:val="-6"/>
        </w:rPr>
        <w:t>PLANTAS </w:t>
      </w:r>
      <w:r>
        <w:rPr>
          <w:color w:val="010202"/>
        </w:rPr>
        <w:t>PROVENIENTES DE </w:t>
      </w:r>
      <w:r>
        <w:rPr>
          <w:color w:val="010202"/>
          <w:spacing w:val="-4"/>
        </w:rPr>
        <w:t>CULTIVOS </w:t>
      </w:r>
      <w:bookmarkEnd w:id="9"/>
      <w:r>
        <w:rPr>
          <w:color w:val="010202"/>
        </w:rPr>
        <w:t>EMBRIOGÉNICOS DE MAÍZ OBTENIDOS DE EMBRIONES MADUROS E INMADUROS</w:t>
      </w:r>
    </w:p>
    <w:p>
      <w:pPr>
        <w:pStyle w:val="BodyText"/>
        <w:rPr>
          <w:rFonts w:ascii="Trebuchet MS"/>
          <w:b/>
          <w:sz w:val="36"/>
        </w:rPr>
      </w:pPr>
    </w:p>
    <w:p>
      <w:pPr>
        <w:pStyle w:val="BodyText"/>
        <w:spacing w:before="7"/>
        <w:rPr>
          <w:rFonts w:ascii="Trebuchet MS"/>
          <w:b/>
          <w:sz w:val="42"/>
        </w:rPr>
      </w:pPr>
    </w:p>
    <w:p>
      <w:pPr>
        <w:spacing w:before="0"/>
        <w:ind w:left="1270" w:right="0" w:firstLine="0"/>
        <w:jc w:val="both"/>
        <w:rPr>
          <w:b/>
          <w:sz w:val="24"/>
        </w:rPr>
      </w:pPr>
      <w:r>
        <w:rPr>
          <w:b/>
          <w:color w:val="010202"/>
          <w:sz w:val="24"/>
        </w:rPr>
        <w:t>Introducción</w:t>
      </w:r>
    </w:p>
    <w:p>
      <w:pPr>
        <w:pStyle w:val="BodyText"/>
        <w:spacing w:before="10"/>
        <w:rPr>
          <w:b/>
        </w:rPr>
      </w:pPr>
    </w:p>
    <w:p>
      <w:pPr>
        <w:pStyle w:val="BodyText"/>
        <w:spacing w:line="247" w:lineRule="auto"/>
        <w:ind w:left="1270" w:right="1270"/>
        <w:jc w:val="both"/>
      </w:pPr>
      <w:r>
        <w:rPr>
          <w:color w:val="231F20"/>
          <w:spacing w:val="-4"/>
        </w:rPr>
        <w:t>Las</w:t>
      </w:r>
      <w:r>
        <w:rPr>
          <w:color w:val="231F20"/>
          <w:spacing w:val="-11"/>
        </w:rPr>
        <w:t> </w:t>
      </w:r>
      <w:r>
        <w:rPr>
          <w:color w:val="231F20"/>
          <w:spacing w:val="-5"/>
        </w:rPr>
        <w:t>plantas</w:t>
      </w:r>
      <w:r>
        <w:rPr>
          <w:color w:val="231F20"/>
          <w:spacing w:val="-11"/>
        </w:rPr>
        <w:t> </w:t>
      </w:r>
      <w:r>
        <w:rPr>
          <w:color w:val="231F20"/>
          <w:spacing w:val="-5"/>
        </w:rPr>
        <w:t>generadas</w:t>
      </w:r>
      <w:r>
        <w:rPr>
          <w:color w:val="231F20"/>
          <w:spacing w:val="-10"/>
        </w:rPr>
        <w:t> </w:t>
      </w:r>
      <w:r>
        <w:rPr>
          <w:color w:val="231F20"/>
          <w:spacing w:val="-3"/>
        </w:rPr>
        <w:t>de</w:t>
      </w:r>
      <w:r>
        <w:rPr>
          <w:color w:val="231F20"/>
          <w:spacing w:val="-10"/>
        </w:rPr>
        <w:t> </w:t>
      </w:r>
      <w:r>
        <w:rPr>
          <w:color w:val="231F20"/>
          <w:spacing w:val="-5"/>
        </w:rPr>
        <w:t>cultivo</w:t>
      </w:r>
      <w:r>
        <w:rPr>
          <w:color w:val="231F20"/>
          <w:spacing w:val="-11"/>
        </w:rPr>
        <w:t> </w:t>
      </w:r>
      <w:r>
        <w:rPr>
          <w:color w:val="231F20"/>
          <w:spacing w:val="-3"/>
        </w:rPr>
        <w:t>de</w:t>
      </w:r>
      <w:r>
        <w:rPr>
          <w:color w:val="231F20"/>
          <w:spacing w:val="-10"/>
        </w:rPr>
        <w:t> </w:t>
      </w:r>
      <w:r>
        <w:rPr>
          <w:color w:val="231F20"/>
          <w:spacing w:val="-5"/>
        </w:rPr>
        <w:t>tejidos</w:t>
      </w:r>
      <w:r>
        <w:rPr>
          <w:color w:val="231F20"/>
          <w:spacing w:val="-11"/>
        </w:rPr>
        <w:t> </w:t>
      </w:r>
      <w:r>
        <w:rPr>
          <w:color w:val="231F20"/>
          <w:spacing w:val="-5"/>
        </w:rPr>
        <w:t>generalmente</w:t>
      </w:r>
      <w:r>
        <w:rPr>
          <w:color w:val="231F20"/>
          <w:spacing w:val="-10"/>
        </w:rPr>
        <w:t> </w:t>
      </w:r>
      <w:r>
        <w:rPr>
          <w:color w:val="231F20"/>
          <w:spacing w:val="-4"/>
        </w:rPr>
        <w:t>son</w:t>
      </w:r>
      <w:r>
        <w:rPr>
          <w:color w:val="231F20"/>
          <w:spacing w:val="-11"/>
        </w:rPr>
        <w:t> </w:t>
      </w:r>
      <w:r>
        <w:rPr>
          <w:color w:val="231F20"/>
          <w:spacing w:val="-5"/>
        </w:rPr>
        <w:t>fenotípicamente</w:t>
      </w:r>
      <w:r>
        <w:rPr>
          <w:color w:val="231F20"/>
          <w:spacing w:val="-10"/>
        </w:rPr>
        <w:t> </w:t>
      </w:r>
      <w:r>
        <w:rPr>
          <w:color w:val="231F20"/>
          <w:spacing w:val="-5"/>
        </w:rPr>
        <w:t>uniformes.</w:t>
      </w:r>
      <w:r>
        <w:rPr>
          <w:color w:val="231F20"/>
          <w:spacing w:val="-11"/>
        </w:rPr>
        <w:t> </w:t>
      </w:r>
      <w:r>
        <w:rPr>
          <w:color w:val="231F20"/>
          <w:spacing w:val="-4"/>
        </w:rPr>
        <w:t>Sin</w:t>
      </w:r>
      <w:r>
        <w:rPr>
          <w:color w:val="231F20"/>
          <w:spacing w:val="-10"/>
        </w:rPr>
        <w:t> </w:t>
      </w:r>
      <w:r>
        <w:rPr>
          <w:color w:val="231F20"/>
          <w:spacing w:val="-5"/>
        </w:rPr>
        <w:t>embargo,</w:t>
      </w:r>
      <w:r>
        <w:rPr>
          <w:color w:val="231F20"/>
          <w:spacing w:val="-10"/>
        </w:rPr>
        <w:t> </w:t>
      </w:r>
      <w:r>
        <w:rPr>
          <w:color w:val="231F20"/>
          <w:spacing w:val="-5"/>
        </w:rPr>
        <w:t>en algunas</w:t>
      </w:r>
      <w:r>
        <w:rPr>
          <w:color w:val="231F20"/>
          <w:spacing w:val="-17"/>
        </w:rPr>
        <w:t> </w:t>
      </w:r>
      <w:r>
        <w:rPr>
          <w:color w:val="231F20"/>
          <w:spacing w:val="-5"/>
        </w:rPr>
        <w:t>especies</w:t>
      </w:r>
      <w:r>
        <w:rPr>
          <w:color w:val="231F20"/>
          <w:spacing w:val="-17"/>
        </w:rPr>
        <w:t> </w:t>
      </w:r>
      <w:r>
        <w:rPr>
          <w:color w:val="231F20"/>
          <w:spacing w:val="-4"/>
        </w:rPr>
        <w:t>como</w:t>
      </w:r>
      <w:r>
        <w:rPr>
          <w:color w:val="231F20"/>
          <w:spacing w:val="-17"/>
        </w:rPr>
        <w:t> </w:t>
      </w:r>
      <w:r>
        <w:rPr>
          <w:color w:val="231F20"/>
          <w:spacing w:val="-3"/>
        </w:rPr>
        <w:t>en</w:t>
      </w:r>
      <w:r>
        <w:rPr>
          <w:color w:val="231F20"/>
          <w:spacing w:val="-17"/>
        </w:rPr>
        <w:t> </w:t>
      </w:r>
      <w:r>
        <w:rPr>
          <w:color w:val="231F20"/>
          <w:spacing w:val="-3"/>
        </w:rPr>
        <w:t>el</w:t>
      </w:r>
      <w:r>
        <w:rPr>
          <w:color w:val="231F20"/>
          <w:spacing w:val="-17"/>
        </w:rPr>
        <w:t> </w:t>
      </w:r>
      <w:r>
        <w:rPr>
          <w:color w:val="231F20"/>
          <w:spacing w:val="-4"/>
        </w:rPr>
        <w:t>maíz</w:t>
      </w:r>
      <w:r>
        <w:rPr>
          <w:color w:val="231F20"/>
          <w:spacing w:val="-17"/>
        </w:rPr>
        <w:t> </w:t>
      </w:r>
      <w:r>
        <w:rPr>
          <w:color w:val="231F20"/>
          <w:spacing w:val="-3"/>
        </w:rPr>
        <w:t>se</w:t>
      </w:r>
      <w:r>
        <w:rPr>
          <w:color w:val="231F20"/>
          <w:spacing w:val="-17"/>
        </w:rPr>
        <w:t> </w:t>
      </w:r>
      <w:r>
        <w:rPr>
          <w:color w:val="231F20"/>
          <w:spacing w:val="-4"/>
        </w:rPr>
        <w:t>puede</w:t>
      </w:r>
      <w:r>
        <w:rPr>
          <w:color w:val="231F20"/>
          <w:spacing w:val="-17"/>
        </w:rPr>
        <w:t> </w:t>
      </w:r>
      <w:r>
        <w:rPr>
          <w:color w:val="231F20"/>
          <w:spacing w:val="-5"/>
        </w:rPr>
        <w:t>presentar</w:t>
      </w:r>
      <w:r>
        <w:rPr>
          <w:color w:val="231F20"/>
          <w:spacing w:val="-17"/>
        </w:rPr>
        <w:t> </w:t>
      </w:r>
      <w:r>
        <w:rPr>
          <w:color w:val="231F20"/>
          <w:spacing w:val="-4"/>
        </w:rPr>
        <w:t>una</w:t>
      </w:r>
      <w:r>
        <w:rPr>
          <w:color w:val="231F20"/>
          <w:spacing w:val="-17"/>
        </w:rPr>
        <w:t> </w:t>
      </w:r>
      <w:r>
        <w:rPr>
          <w:color w:val="231F20"/>
          <w:spacing w:val="-4"/>
        </w:rPr>
        <w:t>gran</w:t>
      </w:r>
      <w:r>
        <w:rPr>
          <w:color w:val="231F20"/>
          <w:spacing w:val="-17"/>
        </w:rPr>
        <w:t> </w:t>
      </w:r>
      <w:r>
        <w:rPr>
          <w:color w:val="231F20"/>
          <w:spacing w:val="-5"/>
        </w:rPr>
        <w:t>variación</w:t>
      </w:r>
      <w:r>
        <w:rPr>
          <w:color w:val="231F20"/>
          <w:spacing w:val="-17"/>
        </w:rPr>
        <w:t> </w:t>
      </w:r>
      <w:r>
        <w:rPr>
          <w:color w:val="231F20"/>
          <w:spacing w:val="-5"/>
        </w:rPr>
        <w:t>somaclonal.</w:t>
      </w:r>
      <w:r>
        <w:rPr>
          <w:color w:val="231F20"/>
          <w:spacing w:val="-16"/>
        </w:rPr>
        <w:t> </w:t>
      </w:r>
      <w:r>
        <w:rPr>
          <w:color w:val="231F20"/>
          <w:spacing w:val="-3"/>
        </w:rPr>
        <w:t>El</w:t>
      </w:r>
      <w:r>
        <w:rPr>
          <w:color w:val="231F20"/>
          <w:spacing w:val="-17"/>
        </w:rPr>
        <w:t> </w:t>
      </w:r>
      <w:r>
        <w:rPr>
          <w:color w:val="231F20"/>
          <w:spacing w:val="-5"/>
        </w:rPr>
        <w:t>prolongado</w:t>
      </w:r>
      <w:r>
        <w:rPr>
          <w:color w:val="231F20"/>
          <w:spacing w:val="-17"/>
        </w:rPr>
        <w:t> </w:t>
      </w:r>
      <w:r>
        <w:rPr>
          <w:color w:val="231F20"/>
          <w:spacing w:val="-5"/>
        </w:rPr>
        <w:t>cultivo </w:t>
      </w:r>
      <w:r>
        <w:rPr>
          <w:i/>
          <w:color w:val="231F20"/>
          <w:spacing w:val="-3"/>
        </w:rPr>
        <w:t>in </w:t>
      </w:r>
      <w:r>
        <w:rPr>
          <w:i/>
          <w:color w:val="231F20"/>
          <w:spacing w:val="-6"/>
        </w:rPr>
        <w:t>vitro </w:t>
      </w:r>
      <w:r>
        <w:rPr>
          <w:color w:val="231F20"/>
          <w:spacing w:val="-5"/>
        </w:rPr>
        <w:t>también </w:t>
      </w:r>
      <w:r>
        <w:rPr>
          <w:color w:val="231F20"/>
          <w:spacing w:val="-4"/>
        </w:rPr>
        <w:t>puede </w:t>
      </w:r>
      <w:r>
        <w:rPr>
          <w:color w:val="231F20"/>
          <w:spacing w:val="-5"/>
        </w:rPr>
        <w:t>aumentar </w:t>
      </w:r>
      <w:r>
        <w:rPr>
          <w:color w:val="231F20"/>
          <w:spacing w:val="-3"/>
        </w:rPr>
        <w:t>la </w:t>
      </w:r>
      <w:r>
        <w:rPr>
          <w:color w:val="231F20"/>
          <w:spacing w:val="-5"/>
        </w:rPr>
        <w:t>frecuencia </w:t>
      </w:r>
      <w:r>
        <w:rPr>
          <w:color w:val="231F20"/>
          <w:spacing w:val="-3"/>
        </w:rPr>
        <w:t>en la </w:t>
      </w:r>
      <w:r>
        <w:rPr>
          <w:color w:val="231F20"/>
          <w:spacing w:val="-5"/>
        </w:rPr>
        <w:t>variación fenotípica. </w:t>
      </w:r>
      <w:r>
        <w:rPr>
          <w:color w:val="231F20"/>
          <w:spacing w:val="-4"/>
        </w:rPr>
        <w:t>Los </w:t>
      </w:r>
      <w:r>
        <w:rPr>
          <w:color w:val="231F20"/>
          <w:spacing w:val="-5"/>
        </w:rPr>
        <w:t>mecanismos </w:t>
      </w:r>
      <w:r>
        <w:rPr>
          <w:color w:val="231F20"/>
          <w:spacing w:val="-4"/>
        </w:rPr>
        <w:t>que </w:t>
      </w:r>
      <w:r>
        <w:rPr>
          <w:color w:val="231F20"/>
          <w:spacing w:val="-5"/>
        </w:rPr>
        <w:t>generan </w:t>
      </w:r>
      <w:r>
        <w:rPr>
          <w:color w:val="231F20"/>
          <w:spacing w:val="-4"/>
        </w:rPr>
        <w:t>estas</w:t>
      </w:r>
      <w:r>
        <w:rPr>
          <w:color w:val="231F20"/>
          <w:spacing w:val="-16"/>
        </w:rPr>
        <w:t> </w:t>
      </w:r>
      <w:r>
        <w:rPr>
          <w:color w:val="231F20"/>
          <w:spacing w:val="-5"/>
        </w:rPr>
        <w:t>variantes</w:t>
      </w:r>
      <w:r>
        <w:rPr>
          <w:color w:val="231F20"/>
          <w:spacing w:val="-16"/>
        </w:rPr>
        <w:t> </w:t>
      </w:r>
      <w:r>
        <w:rPr>
          <w:color w:val="231F20"/>
          <w:spacing w:val="-3"/>
        </w:rPr>
        <w:t>no</w:t>
      </w:r>
      <w:r>
        <w:rPr>
          <w:color w:val="231F20"/>
          <w:spacing w:val="-16"/>
        </w:rPr>
        <w:t> </w:t>
      </w:r>
      <w:r>
        <w:rPr>
          <w:color w:val="231F20"/>
          <w:spacing w:val="-4"/>
        </w:rPr>
        <w:t>han</w:t>
      </w:r>
      <w:r>
        <w:rPr>
          <w:color w:val="231F20"/>
          <w:spacing w:val="-16"/>
        </w:rPr>
        <w:t> </w:t>
      </w:r>
      <w:r>
        <w:rPr>
          <w:color w:val="231F20"/>
          <w:spacing w:val="-4"/>
        </w:rPr>
        <w:t>sido</w:t>
      </w:r>
      <w:r>
        <w:rPr>
          <w:color w:val="231F20"/>
          <w:spacing w:val="-16"/>
        </w:rPr>
        <w:t> </w:t>
      </w:r>
      <w:r>
        <w:rPr>
          <w:color w:val="231F20"/>
          <w:spacing w:val="-5"/>
        </w:rPr>
        <w:t>completamente</w:t>
      </w:r>
      <w:r>
        <w:rPr>
          <w:color w:val="231F20"/>
          <w:spacing w:val="-16"/>
        </w:rPr>
        <w:t> </w:t>
      </w:r>
      <w:r>
        <w:rPr>
          <w:color w:val="231F20"/>
          <w:spacing w:val="-5"/>
        </w:rPr>
        <w:t>dilucidados,</w:t>
      </w:r>
      <w:r>
        <w:rPr>
          <w:color w:val="231F20"/>
          <w:spacing w:val="-16"/>
        </w:rPr>
        <w:t> </w:t>
      </w:r>
      <w:r>
        <w:rPr>
          <w:color w:val="231F20"/>
          <w:spacing w:val="-4"/>
        </w:rPr>
        <w:t>pero</w:t>
      </w:r>
      <w:r>
        <w:rPr>
          <w:color w:val="231F20"/>
          <w:spacing w:val="-16"/>
        </w:rPr>
        <w:t> </w:t>
      </w:r>
      <w:r>
        <w:rPr>
          <w:color w:val="231F20"/>
          <w:spacing w:val="-4"/>
        </w:rPr>
        <w:t>entre</w:t>
      </w:r>
      <w:r>
        <w:rPr>
          <w:color w:val="231F20"/>
          <w:spacing w:val="-16"/>
        </w:rPr>
        <w:t> </w:t>
      </w:r>
      <w:r>
        <w:rPr>
          <w:color w:val="231F20"/>
          <w:spacing w:val="-4"/>
        </w:rPr>
        <w:t>sus</w:t>
      </w:r>
      <w:r>
        <w:rPr>
          <w:color w:val="231F20"/>
          <w:spacing w:val="-16"/>
        </w:rPr>
        <w:t> </w:t>
      </w:r>
      <w:r>
        <w:rPr>
          <w:color w:val="231F20"/>
          <w:spacing w:val="-5"/>
        </w:rPr>
        <w:t>causas</w:t>
      </w:r>
      <w:r>
        <w:rPr>
          <w:color w:val="231F20"/>
          <w:spacing w:val="-16"/>
        </w:rPr>
        <w:t> </w:t>
      </w:r>
      <w:r>
        <w:rPr>
          <w:color w:val="231F20"/>
          <w:spacing w:val="-3"/>
        </w:rPr>
        <w:t>se</w:t>
      </w:r>
      <w:r>
        <w:rPr>
          <w:color w:val="231F20"/>
          <w:spacing w:val="-16"/>
        </w:rPr>
        <w:t> </w:t>
      </w:r>
      <w:r>
        <w:rPr>
          <w:color w:val="231F20"/>
          <w:spacing w:val="-5"/>
        </w:rPr>
        <w:t>mencionan</w:t>
      </w:r>
      <w:r>
        <w:rPr>
          <w:color w:val="231F20"/>
          <w:spacing w:val="-16"/>
        </w:rPr>
        <w:t> </w:t>
      </w:r>
      <w:r>
        <w:rPr>
          <w:color w:val="231F20"/>
          <w:spacing w:val="-5"/>
        </w:rPr>
        <w:t>alteraciones</w:t>
      </w:r>
      <w:r>
        <w:rPr>
          <w:color w:val="231F20"/>
          <w:spacing w:val="-16"/>
        </w:rPr>
        <w:t> </w:t>
      </w:r>
      <w:r>
        <w:rPr>
          <w:color w:val="231F20"/>
          <w:spacing w:val="-5"/>
        </w:rPr>
        <w:t>de </w:t>
      </w:r>
      <w:r>
        <w:rPr>
          <w:color w:val="231F20"/>
          <w:spacing w:val="-4"/>
        </w:rPr>
        <w:t>tipo</w:t>
      </w:r>
      <w:r>
        <w:rPr>
          <w:color w:val="231F20"/>
          <w:spacing w:val="-17"/>
        </w:rPr>
        <w:t> </w:t>
      </w:r>
      <w:r>
        <w:rPr>
          <w:color w:val="231F20"/>
          <w:spacing w:val="-5"/>
        </w:rPr>
        <w:t>genético</w:t>
      </w:r>
      <w:r>
        <w:rPr>
          <w:color w:val="231F20"/>
          <w:spacing w:val="-17"/>
        </w:rPr>
        <w:t> </w:t>
      </w:r>
      <w:r>
        <w:rPr>
          <w:color w:val="231F20"/>
        </w:rPr>
        <w:t>y</w:t>
      </w:r>
      <w:r>
        <w:rPr>
          <w:color w:val="231F20"/>
          <w:spacing w:val="-17"/>
        </w:rPr>
        <w:t> </w:t>
      </w:r>
      <w:r>
        <w:rPr>
          <w:color w:val="231F20"/>
          <w:spacing w:val="-5"/>
        </w:rPr>
        <w:t>epigenético,</w:t>
      </w:r>
      <w:r>
        <w:rPr>
          <w:color w:val="231F20"/>
          <w:spacing w:val="-18"/>
        </w:rPr>
        <w:t> </w:t>
      </w:r>
      <w:r>
        <w:rPr>
          <w:color w:val="231F20"/>
          <w:spacing w:val="-4"/>
        </w:rPr>
        <w:t>como</w:t>
      </w:r>
      <w:r>
        <w:rPr>
          <w:color w:val="231F20"/>
          <w:spacing w:val="-17"/>
        </w:rPr>
        <w:t> </w:t>
      </w:r>
      <w:r>
        <w:rPr>
          <w:color w:val="231F20"/>
          <w:spacing w:val="-5"/>
        </w:rPr>
        <w:t>cambios</w:t>
      </w:r>
      <w:r>
        <w:rPr>
          <w:color w:val="231F20"/>
          <w:spacing w:val="-17"/>
        </w:rPr>
        <w:t> </w:t>
      </w:r>
      <w:r>
        <w:rPr>
          <w:color w:val="231F20"/>
          <w:spacing w:val="-3"/>
        </w:rPr>
        <w:t>en</w:t>
      </w:r>
      <w:r>
        <w:rPr>
          <w:color w:val="231F20"/>
          <w:spacing w:val="-17"/>
        </w:rPr>
        <w:t> </w:t>
      </w:r>
      <w:r>
        <w:rPr>
          <w:color w:val="231F20"/>
          <w:spacing w:val="-3"/>
        </w:rPr>
        <w:t>el</w:t>
      </w:r>
      <w:r>
        <w:rPr>
          <w:color w:val="231F20"/>
          <w:spacing w:val="-17"/>
        </w:rPr>
        <w:t> </w:t>
      </w:r>
      <w:r>
        <w:rPr>
          <w:color w:val="231F20"/>
          <w:spacing w:val="-5"/>
        </w:rPr>
        <w:t>cariotipo,</w:t>
      </w:r>
      <w:r>
        <w:rPr>
          <w:color w:val="231F20"/>
          <w:spacing w:val="-18"/>
        </w:rPr>
        <w:t> </w:t>
      </w:r>
      <w:r>
        <w:rPr>
          <w:color w:val="231F20"/>
          <w:spacing w:val="-5"/>
        </w:rPr>
        <w:t>mutaciones</w:t>
      </w:r>
      <w:r>
        <w:rPr>
          <w:color w:val="231F20"/>
          <w:spacing w:val="-18"/>
        </w:rPr>
        <w:t> </w:t>
      </w:r>
      <w:r>
        <w:rPr>
          <w:color w:val="231F20"/>
          <w:spacing w:val="-5"/>
        </w:rPr>
        <w:t>puntuales,</w:t>
      </w:r>
      <w:r>
        <w:rPr>
          <w:color w:val="231F20"/>
          <w:spacing w:val="-17"/>
        </w:rPr>
        <w:t> </w:t>
      </w:r>
      <w:r>
        <w:rPr>
          <w:color w:val="231F20"/>
          <w:spacing w:val="-5"/>
        </w:rPr>
        <w:t>recombinación</w:t>
      </w:r>
      <w:r>
        <w:rPr>
          <w:color w:val="231F20"/>
          <w:spacing w:val="-17"/>
        </w:rPr>
        <w:t> </w:t>
      </w:r>
      <w:r>
        <w:rPr>
          <w:color w:val="231F20"/>
          <w:spacing w:val="-5"/>
        </w:rPr>
        <w:t>somática, intercambio </w:t>
      </w:r>
      <w:r>
        <w:rPr>
          <w:color w:val="231F20"/>
          <w:spacing w:val="-3"/>
        </w:rPr>
        <w:t>de </w:t>
      </w:r>
      <w:r>
        <w:rPr>
          <w:color w:val="231F20"/>
          <w:spacing w:val="-5"/>
        </w:rPr>
        <w:t>cromátidas hermanas, rearreglos génicos somáticos, elementos genéticos transponibles, amplificación</w:t>
      </w:r>
      <w:r>
        <w:rPr>
          <w:color w:val="231F20"/>
          <w:spacing w:val="-9"/>
        </w:rPr>
        <w:t> </w:t>
      </w:r>
      <w:r>
        <w:rPr>
          <w:color w:val="231F20"/>
          <w:spacing w:val="-4"/>
        </w:rPr>
        <w:t>y/o</w:t>
      </w:r>
      <w:r>
        <w:rPr>
          <w:color w:val="231F20"/>
          <w:spacing w:val="-9"/>
        </w:rPr>
        <w:t> </w:t>
      </w:r>
      <w:r>
        <w:rPr>
          <w:color w:val="231F20"/>
          <w:spacing w:val="-5"/>
        </w:rPr>
        <w:t>metilación</w:t>
      </w:r>
      <w:r>
        <w:rPr>
          <w:color w:val="231F20"/>
          <w:spacing w:val="-9"/>
        </w:rPr>
        <w:t> </w:t>
      </w:r>
      <w:r>
        <w:rPr>
          <w:color w:val="231F20"/>
          <w:spacing w:val="-4"/>
        </w:rPr>
        <w:t>del</w:t>
      </w:r>
      <w:r>
        <w:rPr>
          <w:color w:val="231F20"/>
          <w:spacing w:val="-20"/>
        </w:rPr>
        <w:t> </w:t>
      </w:r>
      <w:r>
        <w:rPr>
          <w:color w:val="231F20"/>
          <w:spacing w:val="-4"/>
        </w:rPr>
        <w:t>ADN</w:t>
      </w:r>
      <w:r>
        <w:rPr>
          <w:color w:val="231F20"/>
          <w:spacing w:val="-9"/>
        </w:rPr>
        <w:t> </w:t>
      </w:r>
      <w:r>
        <w:rPr>
          <w:color w:val="231F20"/>
        </w:rPr>
        <w:t>y</w:t>
      </w:r>
      <w:r>
        <w:rPr>
          <w:color w:val="231F20"/>
          <w:spacing w:val="-9"/>
        </w:rPr>
        <w:t> </w:t>
      </w:r>
      <w:r>
        <w:rPr>
          <w:color w:val="231F20"/>
          <w:spacing w:val="-5"/>
        </w:rPr>
        <w:t>cambios</w:t>
      </w:r>
      <w:r>
        <w:rPr>
          <w:color w:val="231F20"/>
          <w:spacing w:val="-9"/>
        </w:rPr>
        <w:t> </w:t>
      </w:r>
      <w:r>
        <w:rPr>
          <w:color w:val="231F20"/>
          <w:spacing w:val="-3"/>
        </w:rPr>
        <w:t>en</w:t>
      </w:r>
      <w:r>
        <w:rPr>
          <w:color w:val="231F20"/>
          <w:spacing w:val="-9"/>
        </w:rPr>
        <w:t> </w:t>
      </w:r>
      <w:r>
        <w:rPr>
          <w:color w:val="231F20"/>
          <w:spacing w:val="-3"/>
        </w:rPr>
        <w:t>el</w:t>
      </w:r>
      <w:r>
        <w:rPr>
          <w:color w:val="231F20"/>
          <w:spacing w:val="-20"/>
        </w:rPr>
        <w:t> </w:t>
      </w:r>
      <w:r>
        <w:rPr>
          <w:color w:val="231F20"/>
          <w:spacing w:val="-4"/>
        </w:rPr>
        <w:t>ADN</w:t>
      </w:r>
      <w:r>
        <w:rPr>
          <w:color w:val="231F20"/>
          <w:spacing w:val="-9"/>
        </w:rPr>
        <w:t> </w:t>
      </w:r>
      <w:r>
        <w:rPr>
          <w:color w:val="231F20"/>
          <w:spacing w:val="-3"/>
        </w:rPr>
        <w:t>de</w:t>
      </w:r>
      <w:r>
        <w:rPr>
          <w:color w:val="231F20"/>
          <w:spacing w:val="-9"/>
        </w:rPr>
        <w:t> </w:t>
      </w:r>
      <w:r>
        <w:rPr>
          <w:color w:val="231F20"/>
          <w:spacing w:val="-4"/>
        </w:rPr>
        <w:t>los</w:t>
      </w:r>
      <w:r>
        <w:rPr>
          <w:color w:val="231F20"/>
          <w:spacing w:val="-9"/>
        </w:rPr>
        <w:t> </w:t>
      </w:r>
      <w:r>
        <w:rPr>
          <w:color w:val="231F20"/>
          <w:spacing w:val="-5"/>
        </w:rPr>
        <w:t>organelos</w:t>
      </w:r>
      <w:r>
        <w:rPr>
          <w:color w:val="231F20"/>
          <w:spacing w:val="-9"/>
        </w:rPr>
        <w:t> </w:t>
      </w:r>
      <w:r>
        <w:rPr>
          <w:color w:val="231F20"/>
          <w:spacing w:val="-5"/>
        </w:rPr>
        <w:t>(Kaepler</w:t>
      </w:r>
      <w:r>
        <w:rPr>
          <w:color w:val="231F20"/>
          <w:spacing w:val="-9"/>
        </w:rPr>
        <w:t> </w:t>
      </w:r>
      <w:r>
        <w:rPr>
          <w:i/>
          <w:color w:val="231F20"/>
          <w:spacing w:val="-3"/>
        </w:rPr>
        <w:t>et</w:t>
      </w:r>
      <w:r>
        <w:rPr>
          <w:i/>
          <w:color w:val="231F20"/>
          <w:spacing w:val="-9"/>
        </w:rPr>
        <w:t> </w:t>
      </w:r>
      <w:r>
        <w:rPr>
          <w:i/>
          <w:color w:val="231F20"/>
          <w:spacing w:val="-4"/>
        </w:rPr>
        <w:t>al.</w:t>
      </w:r>
      <w:r>
        <w:rPr>
          <w:color w:val="231F20"/>
          <w:spacing w:val="-4"/>
        </w:rPr>
        <w:t>,</w:t>
      </w:r>
      <w:r>
        <w:rPr>
          <w:color w:val="231F20"/>
          <w:spacing w:val="-9"/>
        </w:rPr>
        <w:t> </w:t>
      </w:r>
      <w:r>
        <w:rPr>
          <w:color w:val="231F20"/>
          <w:spacing w:val="-5"/>
        </w:rPr>
        <w:t>2000).</w:t>
      </w:r>
    </w:p>
    <w:p>
      <w:pPr>
        <w:pStyle w:val="BodyText"/>
        <w:spacing w:before="10"/>
      </w:pPr>
    </w:p>
    <w:p>
      <w:pPr>
        <w:pStyle w:val="BodyText"/>
        <w:spacing w:line="247" w:lineRule="auto"/>
        <w:ind w:left="1270" w:right="1267"/>
        <w:jc w:val="both"/>
      </w:pPr>
      <w:r>
        <w:rPr>
          <w:color w:val="231F20"/>
          <w:spacing w:val="-3"/>
        </w:rPr>
        <w:t>La</w:t>
      </w:r>
      <w:r>
        <w:rPr>
          <w:color w:val="231F20"/>
          <w:spacing w:val="-14"/>
        </w:rPr>
        <w:t> </w:t>
      </w:r>
      <w:r>
        <w:rPr>
          <w:color w:val="231F20"/>
          <w:spacing w:val="-5"/>
        </w:rPr>
        <w:t>variación</w:t>
      </w:r>
      <w:r>
        <w:rPr>
          <w:color w:val="231F20"/>
          <w:spacing w:val="-14"/>
        </w:rPr>
        <w:t> </w:t>
      </w:r>
      <w:r>
        <w:rPr>
          <w:color w:val="231F20"/>
          <w:spacing w:val="-5"/>
        </w:rPr>
        <w:t>somaclonal</w:t>
      </w:r>
      <w:r>
        <w:rPr>
          <w:color w:val="231F20"/>
          <w:spacing w:val="-14"/>
        </w:rPr>
        <w:t> </w:t>
      </w:r>
      <w:r>
        <w:rPr>
          <w:color w:val="231F20"/>
          <w:spacing w:val="-5"/>
        </w:rPr>
        <w:t>pueden</w:t>
      </w:r>
      <w:r>
        <w:rPr>
          <w:color w:val="231F20"/>
          <w:spacing w:val="-14"/>
        </w:rPr>
        <w:t> </w:t>
      </w:r>
      <w:r>
        <w:rPr>
          <w:color w:val="231F20"/>
          <w:spacing w:val="-4"/>
        </w:rPr>
        <w:t>ser</w:t>
      </w:r>
      <w:r>
        <w:rPr>
          <w:color w:val="231F20"/>
          <w:spacing w:val="-14"/>
        </w:rPr>
        <w:t> </w:t>
      </w:r>
      <w:r>
        <w:rPr>
          <w:color w:val="231F20"/>
          <w:spacing w:val="-4"/>
        </w:rPr>
        <w:t>una</w:t>
      </w:r>
      <w:r>
        <w:rPr>
          <w:color w:val="231F20"/>
          <w:spacing w:val="-14"/>
        </w:rPr>
        <w:t> </w:t>
      </w:r>
      <w:r>
        <w:rPr>
          <w:color w:val="231F20"/>
          <w:spacing w:val="-5"/>
        </w:rPr>
        <w:t>fuente</w:t>
      </w:r>
      <w:r>
        <w:rPr>
          <w:color w:val="231F20"/>
          <w:spacing w:val="-14"/>
        </w:rPr>
        <w:t> </w:t>
      </w:r>
      <w:r>
        <w:rPr>
          <w:color w:val="231F20"/>
          <w:spacing w:val="-3"/>
        </w:rPr>
        <w:t>de</w:t>
      </w:r>
      <w:r>
        <w:rPr>
          <w:color w:val="231F20"/>
          <w:spacing w:val="-14"/>
        </w:rPr>
        <w:t> </w:t>
      </w:r>
      <w:r>
        <w:rPr>
          <w:color w:val="231F20"/>
          <w:spacing w:val="-5"/>
        </w:rPr>
        <w:t>variación</w:t>
      </w:r>
      <w:r>
        <w:rPr>
          <w:color w:val="231F20"/>
          <w:spacing w:val="-14"/>
        </w:rPr>
        <w:t> </w:t>
      </w:r>
      <w:r>
        <w:rPr>
          <w:color w:val="231F20"/>
          <w:spacing w:val="-5"/>
        </w:rPr>
        <w:t>indeseable,</w:t>
      </w:r>
      <w:r>
        <w:rPr>
          <w:color w:val="231F20"/>
          <w:spacing w:val="-15"/>
        </w:rPr>
        <w:t> </w:t>
      </w:r>
      <w:r>
        <w:rPr>
          <w:color w:val="231F20"/>
          <w:spacing w:val="-5"/>
        </w:rPr>
        <w:t>cuando</w:t>
      </w:r>
      <w:r>
        <w:rPr>
          <w:color w:val="231F20"/>
          <w:spacing w:val="-15"/>
        </w:rPr>
        <w:t> </w:t>
      </w:r>
      <w:r>
        <w:rPr>
          <w:color w:val="231F20"/>
          <w:spacing w:val="-3"/>
        </w:rPr>
        <w:t>se</w:t>
      </w:r>
      <w:r>
        <w:rPr>
          <w:color w:val="231F20"/>
          <w:spacing w:val="-14"/>
        </w:rPr>
        <w:t> </w:t>
      </w:r>
      <w:r>
        <w:rPr>
          <w:color w:val="231F20"/>
          <w:spacing w:val="-5"/>
        </w:rPr>
        <w:t>requiere</w:t>
      </w:r>
      <w:r>
        <w:rPr>
          <w:color w:val="231F20"/>
          <w:spacing w:val="-14"/>
        </w:rPr>
        <w:t> </w:t>
      </w:r>
      <w:r>
        <w:rPr>
          <w:color w:val="231F20"/>
          <w:spacing w:val="-5"/>
        </w:rPr>
        <w:t>obtener</w:t>
      </w:r>
      <w:r>
        <w:rPr>
          <w:color w:val="231F20"/>
          <w:spacing w:val="-14"/>
        </w:rPr>
        <w:t> </w:t>
      </w:r>
      <w:r>
        <w:rPr>
          <w:color w:val="231F20"/>
          <w:spacing w:val="-5"/>
        </w:rPr>
        <w:t>plantas idénticas</w:t>
      </w:r>
      <w:r>
        <w:rPr>
          <w:color w:val="231F20"/>
          <w:spacing w:val="-13"/>
        </w:rPr>
        <w:t> </w:t>
      </w:r>
      <w:r>
        <w:rPr>
          <w:color w:val="231F20"/>
          <w:spacing w:val="-3"/>
        </w:rPr>
        <w:t>al</w:t>
      </w:r>
      <w:r>
        <w:rPr>
          <w:color w:val="231F20"/>
          <w:spacing w:val="-13"/>
        </w:rPr>
        <w:t> </w:t>
      </w:r>
      <w:r>
        <w:rPr>
          <w:color w:val="231F20"/>
          <w:spacing w:val="-5"/>
        </w:rPr>
        <w:t>material</w:t>
      </w:r>
      <w:r>
        <w:rPr>
          <w:color w:val="231F20"/>
          <w:spacing w:val="-13"/>
        </w:rPr>
        <w:t> </w:t>
      </w:r>
      <w:r>
        <w:rPr>
          <w:color w:val="231F20"/>
          <w:spacing w:val="-5"/>
        </w:rPr>
        <w:t>parental,</w:t>
      </w:r>
      <w:r>
        <w:rPr>
          <w:color w:val="231F20"/>
          <w:spacing w:val="-12"/>
        </w:rPr>
        <w:t> </w:t>
      </w:r>
      <w:r>
        <w:rPr>
          <w:color w:val="231F20"/>
          <w:spacing w:val="-4"/>
        </w:rPr>
        <w:t>como</w:t>
      </w:r>
      <w:r>
        <w:rPr>
          <w:color w:val="231F20"/>
          <w:spacing w:val="-13"/>
        </w:rPr>
        <w:t> </w:t>
      </w:r>
      <w:r>
        <w:rPr>
          <w:color w:val="231F20"/>
          <w:spacing w:val="-5"/>
        </w:rPr>
        <w:t>cuando</w:t>
      </w:r>
      <w:r>
        <w:rPr>
          <w:color w:val="231F20"/>
          <w:spacing w:val="-13"/>
        </w:rPr>
        <w:t> </w:t>
      </w:r>
      <w:r>
        <w:rPr>
          <w:color w:val="231F20"/>
          <w:spacing w:val="-3"/>
        </w:rPr>
        <w:t>se</w:t>
      </w:r>
      <w:r>
        <w:rPr>
          <w:color w:val="231F20"/>
          <w:spacing w:val="-13"/>
        </w:rPr>
        <w:t> </w:t>
      </w:r>
      <w:r>
        <w:rPr>
          <w:color w:val="231F20"/>
          <w:spacing w:val="-5"/>
        </w:rPr>
        <w:t>utiliza</w:t>
      </w:r>
      <w:r>
        <w:rPr>
          <w:color w:val="231F20"/>
          <w:spacing w:val="-12"/>
        </w:rPr>
        <w:t> </w:t>
      </w:r>
      <w:r>
        <w:rPr>
          <w:color w:val="231F20"/>
          <w:spacing w:val="-5"/>
        </w:rPr>
        <w:t>ingeniería</w:t>
      </w:r>
      <w:r>
        <w:rPr>
          <w:color w:val="231F20"/>
          <w:spacing w:val="-13"/>
        </w:rPr>
        <w:t> </w:t>
      </w:r>
      <w:r>
        <w:rPr>
          <w:color w:val="231F20"/>
          <w:spacing w:val="-5"/>
        </w:rPr>
        <w:t>genética</w:t>
      </w:r>
      <w:r>
        <w:rPr>
          <w:color w:val="231F20"/>
          <w:spacing w:val="-12"/>
        </w:rPr>
        <w:t> </w:t>
      </w:r>
      <w:r>
        <w:rPr>
          <w:color w:val="231F20"/>
          <w:spacing w:val="-3"/>
        </w:rPr>
        <w:t>en</w:t>
      </w:r>
      <w:r>
        <w:rPr>
          <w:color w:val="231F20"/>
          <w:spacing w:val="-13"/>
        </w:rPr>
        <w:t> </w:t>
      </w:r>
      <w:r>
        <w:rPr>
          <w:color w:val="231F20"/>
          <w:spacing w:val="-4"/>
        </w:rPr>
        <w:t>los</w:t>
      </w:r>
      <w:r>
        <w:rPr>
          <w:color w:val="231F20"/>
          <w:spacing w:val="-13"/>
        </w:rPr>
        <w:t> </w:t>
      </w:r>
      <w:r>
        <w:rPr>
          <w:color w:val="231F20"/>
          <w:spacing w:val="-5"/>
        </w:rPr>
        <w:t>programas</w:t>
      </w:r>
      <w:r>
        <w:rPr>
          <w:color w:val="231F20"/>
          <w:spacing w:val="-13"/>
        </w:rPr>
        <w:t> </w:t>
      </w:r>
      <w:r>
        <w:rPr>
          <w:color w:val="231F20"/>
          <w:spacing w:val="-3"/>
        </w:rPr>
        <w:t>de</w:t>
      </w:r>
      <w:r>
        <w:rPr>
          <w:color w:val="231F20"/>
          <w:spacing w:val="-13"/>
        </w:rPr>
        <w:t> </w:t>
      </w:r>
      <w:r>
        <w:rPr>
          <w:color w:val="231F20"/>
          <w:spacing w:val="-5"/>
        </w:rPr>
        <w:t>mejoramien- </w:t>
      </w:r>
      <w:r>
        <w:rPr>
          <w:color w:val="231F20"/>
          <w:spacing w:val="-3"/>
        </w:rPr>
        <w:t>to</w:t>
      </w:r>
      <w:r>
        <w:rPr>
          <w:color w:val="231F20"/>
          <w:spacing w:val="-17"/>
        </w:rPr>
        <w:t> </w:t>
      </w:r>
      <w:r>
        <w:rPr>
          <w:color w:val="231F20"/>
          <w:spacing w:val="-5"/>
        </w:rPr>
        <w:t>genético,</w:t>
      </w:r>
      <w:r>
        <w:rPr>
          <w:color w:val="231F20"/>
          <w:spacing w:val="-17"/>
        </w:rPr>
        <w:t> </w:t>
      </w:r>
      <w:r>
        <w:rPr>
          <w:color w:val="231F20"/>
          <w:spacing w:val="-4"/>
        </w:rPr>
        <w:t>para</w:t>
      </w:r>
      <w:r>
        <w:rPr>
          <w:color w:val="231F20"/>
          <w:spacing w:val="-17"/>
        </w:rPr>
        <w:t> </w:t>
      </w:r>
      <w:r>
        <w:rPr>
          <w:color w:val="231F20"/>
          <w:spacing w:val="-3"/>
        </w:rPr>
        <w:t>lo</w:t>
      </w:r>
      <w:r>
        <w:rPr>
          <w:color w:val="231F20"/>
          <w:spacing w:val="-17"/>
        </w:rPr>
        <w:t> </w:t>
      </w:r>
      <w:r>
        <w:rPr>
          <w:color w:val="231F20"/>
          <w:spacing w:val="-4"/>
        </w:rPr>
        <w:t>cual</w:t>
      </w:r>
      <w:r>
        <w:rPr>
          <w:color w:val="231F20"/>
          <w:spacing w:val="-17"/>
        </w:rPr>
        <w:t> </w:t>
      </w:r>
      <w:r>
        <w:rPr>
          <w:color w:val="231F20"/>
          <w:spacing w:val="-3"/>
        </w:rPr>
        <w:t>se</w:t>
      </w:r>
      <w:r>
        <w:rPr>
          <w:color w:val="231F20"/>
          <w:spacing w:val="-17"/>
        </w:rPr>
        <w:t> </w:t>
      </w:r>
      <w:r>
        <w:rPr>
          <w:color w:val="231F20"/>
          <w:spacing w:val="-5"/>
        </w:rPr>
        <w:t>requiere</w:t>
      </w:r>
      <w:r>
        <w:rPr>
          <w:color w:val="231F20"/>
          <w:spacing w:val="-17"/>
        </w:rPr>
        <w:t> </w:t>
      </w:r>
      <w:r>
        <w:rPr>
          <w:color w:val="231F20"/>
          <w:spacing w:val="-4"/>
        </w:rPr>
        <w:t>que</w:t>
      </w:r>
      <w:r>
        <w:rPr>
          <w:color w:val="231F20"/>
          <w:spacing w:val="-17"/>
        </w:rPr>
        <w:t> </w:t>
      </w:r>
      <w:r>
        <w:rPr>
          <w:color w:val="231F20"/>
          <w:spacing w:val="-4"/>
        </w:rPr>
        <w:t>las</w:t>
      </w:r>
      <w:r>
        <w:rPr>
          <w:color w:val="231F20"/>
          <w:spacing w:val="-17"/>
        </w:rPr>
        <w:t> </w:t>
      </w:r>
      <w:r>
        <w:rPr>
          <w:color w:val="231F20"/>
          <w:spacing w:val="-5"/>
        </w:rPr>
        <w:t>plantas</w:t>
      </w:r>
      <w:r>
        <w:rPr>
          <w:color w:val="231F20"/>
          <w:spacing w:val="-17"/>
        </w:rPr>
        <w:t> </w:t>
      </w:r>
      <w:r>
        <w:rPr>
          <w:color w:val="231F20"/>
          <w:spacing w:val="-5"/>
        </w:rPr>
        <w:t>receptoras</w:t>
      </w:r>
      <w:r>
        <w:rPr>
          <w:color w:val="231F20"/>
          <w:spacing w:val="-17"/>
        </w:rPr>
        <w:t> </w:t>
      </w:r>
      <w:r>
        <w:rPr>
          <w:color w:val="231F20"/>
          <w:spacing w:val="-4"/>
        </w:rPr>
        <w:t>sean</w:t>
      </w:r>
      <w:r>
        <w:rPr>
          <w:color w:val="231F20"/>
          <w:spacing w:val="-17"/>
        </w:rPr>
        <w:t> </w:t>
      </w:r>
      <w:r>
        <w:rPr>
          <w:color w:val="231F20"/>
          <w:spacing w:val="-5"/>
        </w:rPr>
        <w:t>genética</w:t>
      </w:r>
      <w:r>
        <w:rPr>
          <w:color w:val="231F20"/>
          <w:spacing w:val="-17"/>
        </w:rPr>
        <w:t> </w:t>
      </w:r>
      <w:r>
        <w:rPr>
          <w:color w:val="231F20"/>
        </w:rPr>
        <w:t>y</w:t>
      </w:r>
      <w:r>
        <w:rPr>
          <w:color w:val="231F20"/>
          <w:spacing w:val="-17"/>
        </w:rPr>
        <w:t> </w:t>
      </w:r>
      <w:r>
        <w:rPr>
          <w:color w:val="231F20"/>
          <w:spacing w:val="-5"/>
        </w:rPr>
        <w:t>morfológicamente</w:t>
      </w:r>
      <w:r>
        <w:rPr>
          <w:color w:val="231F20"/>
          <w:spacing w:val="-18"/>
        </w:rPr>
        <w:t> </w:t>
      </w:r>
      <w:r>
        <w:rPr>
          <w:color w:val="231F20"/>
          <w:spacing w:val="-5"/>
        </w:rPr>
        <w:t>adecuadas </w:t>
      </w:r>
      <w:r>
        <w:rPr>
          <w:color w:val="231F20"/>
          <w:spacing w:val="-4"/>
        </w:rPr>
        <w:t>para </w:t>
      </w:r>
      <w:r>
        <w:rPr>
          <w:color w:val="231F20"/>
          <w:spacing w:val="-3"/>
        </w:rPr>
        <w:t>la </w:t>
      </w:r>
      <w:r>
        <w:rPr>
          <w:color w:val="231F20"/>
          <w:spacing w:val="-5"/>
        </w:rPr>
        <w:t>correcta inclusión </w:t>
      </w:r>
      <w:r>
        <w:rPr>
          <w:color w:val="231F20"/>
          <w:spacing w:val="-3"/>
        </w:rPr>
        <w:t>de </w:t>
      </w:r>
      <w:r>
        <w:rPr>
          <w:color w:val="231F20"/>
          <w:spacing w:val="-4"/>
        </w:rPr>
        <w:t>las </w:t>
      </w:r>
      <w:r>
        <w:rPr>
          <w:color w:val="231F20"/>
          <w:spacing w:val="-5"/>
        </w:rPr>
        <w:t>características deseables </w:t>
      </w:r>
      <w:r>
        <w:rPr>
          <w:color w:val="231F20"/>
        </w:rPr>
        <w:t>y </w:t>
      </w:r>
      <w:r>
        <w:rPr>
          <w:color w:val="231F20"/>
          <w:spacing w:val="-4"/>
        </w:rPr>
        <w:t>donde </w:t>
      </w:r>
      <w:r>
        <w:rPr>
          <w:color w:val="231F20"/>
          <w:spacing w:val="-3"/>
        </w:rPr>
        <w:t>la </w:t>
      </w:r>
      <w:r>
        <w:rPr>
          <w:color w:val="231F20"/>
          <w:spacing w:val="-5"/>
        </w:rPr>
        <w:t>variación somaclonal originada por </w:t>
      </w:r>
      <w:r>
        <w:rPr>
          <w:color w:val="231F20"/>
          <w:spacing w:val="-3"/>
        </w:rPr>
        <w:t>el </w:t>
      </w:r>
      <w:r>
        <w:rPr>
          <w:color w:val="231F20"/>
          <w:spacing w:val="-5"/>
        </w:rPr>
        <w:t>cultivo </w:t>
      </w:r>
      <w:r>
        <w:rPr>
          <w:color w:val="231F20"/>
          <w:spacing w:val="-3"/>
        </w:rPr>
        <w:t>de </w:t>
      </w:r>
      <w:r>
        <w:rPr>
          <w:color w:val="231F20"/>
          <w:spacing w:val="-5"/>
        </w:rPr>
        <w:t>tejidos </w:t>
      </w:r>
      <w:r>
        <w:rPr>
          <w:color w:val="231F20"/>
          <w:spacing w:val="-4"/>
        </w:rPr>
        <w:t>puede </w:t>
      </w:r>
      <w:r>
        <w:rPr>
          <w:color w:val="231F20"/>
          <w:spacing w:val="-5"/>
        </w:rPr>
        <w:t>complicar </w:t>
      </w:r>
      <w:r>
        <w:rPr>
          <w:color w:val="231F20"/>
          <w:spacing w:val="-4"/>
        </w:rPr>
        <w:t>este </w:t>
      </w:r>
      <w:r>
        <w:rPr>
          <w:color w:val="231F20"/>
          <w:spacing w:val="-5"/>
        </w:rPr>
        <w:t>requerimiento, reduciendo </w:t>
      </w:r>
      <w:r>
        <w:rPr>
          <w:color w:val="231F20"/>
          <w:spacing w:val="-3"/>
        </w:rPr>
        <w:t>la </w:t>
      </w:r>
      <w:r>
        <w:rPr>
          <w:color w:val="231F20"/>
          <w:spacing w:val="-5"/>
        </w:rPr>
        <w:t>efectividad </w:t>
      </w:r>
      <w:r>
        <w:rPr>
          <w:color w:val="231F20"/>
          <w:spacing w:val="-3"/>
        </w:rPr>
        <w:t>de la </w:t>
      </w:r>
      <w:r>
        <w:rPr>
          <w:color w:val="231F20"/>
          <w:spacing w:val="-5"/>
        </w:rPr>
        <w:t>transformación </w:t>
      </w:r>
      <w:r>
        <w:rPr>
          <w:color w:val="231F20"/>
          <w:spacing w:val="-7"/>
        </w:rPr>
        <w:t>(Vilaca </w:t>
      </w:r>
      <w:r>
        <w:rPr>
          <w:color w:val="231F20"/>
          <w:spacing w:val="-3"/>
        </w:rPr>
        <w:t>de </w:t>
      </w:r>
      <w:r>
        <w:rPr>
          <w:color w:val="231F20"/>
          <w:spacing w:val="-7"/>
        </w:rPr>
        <w:t>Vasconcelos </w:t>
      </w:r>
      <w:r>
        <w:rPr>
          <w:i/>
          <w:color w:val="231F20"/>
          <w:spacing w:val="-3"/>
        </w:rPr>
        <w:t>et </w:t>
      </w:r>
      <w:r>
        <w:rPr>
          <w:i/>
          <w:color w:val="231F20"/>
          <w:spacing w:val="-4"/>
        </w:rPr>
        <w:t>al.</w:t>
      </w:r>
      <w:r>
        <w:rPr>
          <w:color w:val="231F20"/>
          <w:spacing w:val="-4"/>
        </w:rPr>
        <w:t>, </w:t>
      </w:r>
      <w:r>
        <w:rPr>
          <w:color w:val="231F20"/>
          <w:spacing w:val="-5"/>
        </w:rPr>
        <w:t>2008). </w:t>
      </w:r>
      <w:r>
        <w:rPr>
          <w:color w:val="231F20"/>
          <w:spacing w:val="-3"/>
        </w:rPr>
        <w:t>Se ha </w:t>
      </w:r>
      <w:r>
        <w:rPr>
          <w:color w:val="231F20"/>
          <w:spacing w:val="-5"/>
        </w:rPr>
        <w:t>observado </w:t>
      </w:r>
      <w:r>
        <w:rPr>
          <w:color w:val="231F20"/>
          <w:spacing w:val="-4"/>
        </w:rPr>
        <w:t>que este tipo </w:t>
      </w:r>
      <w:r>
        <w:rPr>
          <w:color w:val="231F20"/>
          <w:spacing w:val="-3"/>
        </w:rPr>
        <w:t>de </w:t>
      </w:r>
      <w:r>
        <w:rPr>
          <w:color w:val="231F20"/>
          <w:spacing w:val="-5"/>
        </w:rPr>
        <w:t>variación </w:t>
      </w:r>
      <w:r>
        <w:rPr>
          <w:color w:val="231F20"/>
          <w:spacing w:val="-3"/>
        </w:rPr>
        <w:t>no es </w:t>
      </w:r>
      <w:r>
        <w:rPr>
          <w:color w:val="231F20"/>
          <w:spacing w:val="-5"/>
        </w:rPr>
        <w:t>transmitida muy    </w:t>
      </w:r>
      <w:r>
        <w:rPr>
          <w:color w:val="231F20"/>
        </w:rPr>
        <w:t>a </w:t>
      </w:r>
      <w:r>
        <w:rPr>
          <w:color w:val="231F20"/>
          <w:spacing w:val="-5"/>
        </w:rPr>
        <w:t>menudo </w:t>
      </w:r>
      <w:r>
        <w:rPr>
          <w:color w:val="231F20"/>
        </w:rPr>
        <w:t>a </w:t>
      </w:r>
      <w:r>
        <w:rPr>
          <w:color w:val="231F20"/>
          <w:spacing w:val="-4"/>
        </w:rPr>
        <w:t>las </w:t>
      </w:r>
      <w:r>
        <w:rPr>
          <w:color w:val="231F20"/>
          <w:spacing w:val="-5"/>
        </w:rPr>
        <w:t>siguientes generaciones, </w:t>
      </w:r>
      <w:r>
        <w:rPr>
          <w:color w:val="231F20"/>
          <w:spacing w:val="-3"/>
        </w:rPr>
        <w:t>lo </w:t>
      </w:r>
      <w:r>
        <w:rPr>
          <w:color w:val="231F20"/>
          <w:spacing w:val="-4"/>
        </w:rPr>
        <w:t>cual </w:t>
      </w:r>
      <w:r>
        <w:rPr>
          <w:color w:val="231F20"/>
          <w:spacing w:val="-5"/>
        </w:rPr>
        <w:t>indicaría </w:t>
      </w:r>
      <w:r>
        <w:rPr>
          <w:color w:val="231F20"/>
          <w:spacing w:val="-4"/>
        </w:rPr>
        <w:t>que </w:t>
      </w:r>
      <w:r>
        <w:rPr>
          <w:color w:val="231F20"/>
          <w:spacing w:val="-3"/>
        </w:rPr>
        <w:t>se </w:t>
      </w:r>
      <w:r>
        <w:rPr>
          <w:color w:val="231F20"/>
          <w:spacing w:val="-4"/>
        </w:rPr>
        <w:t>trata </w:t>
      </w:r>
      <w:r>
        <w:rPr>
          <w:color w:val="231F20"/>
          <w:spacing w:val="-3"/>
        </w:rPr>
        <w:t>de </w:t>
      </w:r>
      <w:r>
        <w:rPr>
          <w:color w:val="231F20"/>
          <w:spacing w:val="-5"/>
        </w:rPr>
        <w:t>variación somaclonal </w:t>
      </w:r>
      <w:r>
        <w:rPr>
          <w:color w:val="231F20"/>
          <w:spacing w:val="-3"/>
        </w:rPr>
        <w:t>de </w:t>
      </w:r>
      <w:r>
        <w:rPr>
          <w:color w:val="231F20"/>
          <w:spacing w:val="-5"/>
        </w:rPr>
        <w:t>origen epigenético,</w:t>
      </w:r>
      <w:r>
        <w:rPr>
          <w:color w:val="231F20"/>
          <w:spacing w:val="-13"/>
        </w:rPr>
        <w:t> </w:t>
      </w:r>
      <w:r>
        <w:rPr>
          <w:color w:val="231F20"/>
          <w:spacing w:val="-4"/>
        </w:rPr>
        <w:t>más</w:t>
      </w:r>
      <w:r>
        <w:rPr>
          <w:color w:val="231F20"/>
          <w:spacing w:val="-13"/>
        </w:rPr>
        <w:t> </w:t>
      </w:r>
      <w:r>
        <w:rPr>
          <w:color w:val="231F20"/>
          <w:spacing w:val="-4"/>
        </w:rPr>
        <w:t>que</w:t>
      </w:r>
      <w:r>
        <w:rPr>
          <w:color w:val="231F20"/>
          <w:spacing w:val="-13"/>
        </w:rPr>
        <w:t> </w:t>
      </w:r>
      <w:r>
        <w:rPr>
          <w:color w:val="231F20"/>
          <w:spacing w:val="-5"/>
        </w:rPr>
        <w:t>genético</w:t>
      </w:r>
      <w:r>
        <w:rPr>
          <w:color w:val="231F20"/>
          <w:spacing w:val="-13"/>
        </w:rPr>
        <w:t> </w:t>
      </w:r>
      <w:r>
        <w:rPr>
          <w:color w:val="231F20"/>
          <w:spacing w:val="-5"/>
        </w:rPr>
        <w:t>(Kaepler</w:t>
      </w:r>
      <w:r>
        <w:rPr>
          <w:color w:val="231F20"/>
          <w:spacing w:val="-13"/>
        </w:rPr>
        <w:t> </w:t>
      </w:r>
      <w:r>
        <w:rPr>
          <w:i/>
          <w:color w:val="231F20"/>
          <w:spacing w:val="-3"/>
        </w:rPr>
        <w:t>et</w:t>
      </w:r>
      <w:r>
        <w:rPr>
          <w:i/>
          <w:color w:val="231F20"/>
          <w:spacing w:val="-13"/>
        </w:rPr>
        <w:t> </w:t>
      </w:r>
      <w:r>
        <w:rPr>
          <w:i/>
          <w:color w:val="231F20"/>
          <w:spacing w:val="-4"/>
        </w:rPr>
        <w:t>al.</w:t>
      </w:r>
      <w:r>
        <w:rPr>
          <w:color w:val="231F20"/>
          <w:spacing w:val="-4"/>
        </w:rPr>
        <w:t>,</w:t>
      </w:r>
      <w:r>
        <w:rPr>
          <w:color w:val="231F20"/>
          <w:spacing w:val="-13"/>
        </w:rPr>
        <w:t> </w:t>
      </w:r>
      <w:r>
        <w:rPr>
          <w:color w:val="231F20"/>
          <w:spacing w:val="-5"/>
        </w:rPr>
        <w:t>2000).</w:t>
      </w:r>
      <w:r>
        <w:rPr>
          <w:color w:val="231F20"/>
          <w:spacing w:val="-13"/>
        </w:rPr>
        <w:t> </w:t>
      </w:r>
      <w:r>
        <w:rPr>
          <w:color w:val="231F20"/>
          <w:spacing w:val="-5"/>
        </w:rPr>
        <w:t>Durante</w:t>
      </w:r>
      <w:r>
        <w:rPr>
          <w:color w:val="231F20"/>
          <w:spacing w:val="-13"/>
        </w:rPr>
        <w:t> </w:t>
      </w:r>
      <w:r>
        <w:rPr>
          <w:color w:val="231F20"/>
          <w:spacing w:val="-4"/>
        </w:rPr>
        <w:t>los</w:t>
      </w:r>
      <w:r>
        <w:rPr>
          <w:color w:val="231F20"/>
          <w:spacing w:val="-13"/>
        </w:rPr>
        <w:t> </w:t>
      </w:r>
      <w:r>
        <w:rPr>
          <w:color w:val="231F20"/>
          <w:spacing w:val="-5"/>
        </w:rPr>
        <w:t>últimos</w:t>
      </w:r>
      <w:r>
        <w:rPr>
          <w:color w:val="231F20"/>
          <w:spacing w:val="-13"/>
        </w:rPr>
        <w:t> </w:t>
      </w:r>
      <w:r>
        <w:rPr>
          <w:color w:val="231F20"/>
          <w:spacing w:val="-3"/>
        </w:rPr>
        <w:t>20</w:t>
      </w:r>
      <w:r>
        <w:rPr>
          <w:color w:val="231F20"/>
          <w:spacing w:val="-13"/>
        </w:rPr>
        <w:t> </w:t>
      </w:r>
      <w:r>
        <w:rPr>
          <w:color w:val="231F20"/>
          <w:spacing w:val="-4"/>
        </w:rPr>
        <w:t>años</w:t>
      </w:r>
      <w:r>
        <w:rPr>
          <w:color w:val="231F20"/>
          <w:spacing w:val="-13"/>
        </w:rPr>
        <w:t> </w:t>
      </w:r>
      <w:r>
        <w:rPr>
          <w:color w:val="231F20"/>
          <w:spacing w:val="-3"/>
        </w:rPr>
        <w:t>se</w:t>
      </w:r>
      <w:r>
        <w:rPr>
          <w:color w:val="231F20"/>
          <w:spacing w:val="-13"/>
        </w:rPr>
        <w:t> </w:t>
      </w:r>
      <w:r>
        <w:rPr>
          <w:color w:val="231F20"/>
          <w:spacing w:val="-4"/>
        </w:rPr>
        <w:t>han</w:t>
      </w:r>
      <w:r>
        <w:rPr>
          <w:color w:val="231F20"/>
          <w:spacing w:val="-13"/>
        </w:rPr>
        <w:t> </w:t>
      </w:r>
      <w:r>
        <w:rPr>
          <w:color w:val="231F20"/>
          <w:spacing w:val="-5"/>
        </w:rPr>
        <w:t>desarrollado</w:t>
      </w:r>
      <w:r>
        <w:rPr>
          <w:color w:val="231F20"/>
          <w:spacing w:val="-13"/>
        </w:rPr>
        <w:t> </w:t>
      </w:r>
      <w:r>
        <w:rPr>
          <w:color w:val="231F20"/>
          <w:spacing w:val="-4"/>
        </w:rPr>
        <w:t>dife- </w:t>
      </w:r>
      <w:r>
        <w:rPr>
          <w:color w:val="231F20"/>
          <w:spacing w:val="-5"/>
        </w:rPr>
        <w:t>rentes</w:t>
      </w:r>
      <w:r>
        <w:rPr>
          <w:color w:val="231F20"/>
          <w:spacing w:val="-10"/>
        </w:rPr>
        <w:t> </w:t>
      </w:r>
      <w:r>
        <w:rPr>
          <w:color w:val="231F20"/>
          <w:spacing w:val="-5"/>
        </w:rPr>
        <w:t>técnicas</w:t>
      </w:r>
      <w:r>
        <w:rPr>
          <w:color w:val="231F20"/>
          <w:spacing w:val="-10"/>
        </w:rPr>
        <w:t> </w:t>
      </w:r>
      <w:r>
        <w:rPr>
          <w:color w:val="231F20"/>
          <w:spacing w:val="-5"/>
        </w:rPr>
        <w:t>moleculares</w:t>
      </w:r>
      <w:r>
        <w:rPr>
          <w:color w:val="231F20"/>
          <w:spacing w:val="-10"/>
        </w:rPr>
        <w:t> </w:t>
      </w:r>
      <w:r>
        <w:rPr>
          <w:color w:val="231F20"/>
          <w:spacing w:val="-4"/>
        </w:rPr>
        <w:t>que</w:t>
      </w:r>
      <w:r>
        <w:rPr>
          <w:color w:val="231F20"/>
          <w:spacing w:val="-10"/>
        </w:rPr>
        <w:t> </w:t>
      </w:r>
      <w:r>
        <w:rPr>
          <w:color w:val="231F20"/>
          <w:spacing w:val="-4"/>
        </w:rPr>
        <w:t>han</w:t>
      </w:r>
      <w:r>
        <w:rPr>
          <w:color w:val="231F20"/>
          <w:spacing w:val="-10"/>
        </w:rPr>
        <w:t> </w:t>
      </w:r>
      <w:r>
        <w:rPr>
          <w:color w:val="231F20"/>
          <w:spacing w:val="-4"/>
        </w:rPr>
        <w:t>sido</w:t>
      </w:r>
      <w:r>
        <w:rPr>
          <w:color w:val="231F20"/>
          <w:spacing w:val="-10"/>
        </w:rPr>
        <w:t> </w:t>
      </w:r>
      <w:r>
        <w:rPr>
          <w:color w:val="231F20"/>
          <w:spacing w:val="-5"/>
        </w:rPr>
        <w:t>utilizadas</w:t>
      </w:r>
      <w:r>
        <w:rPr>
          <w:color w:val="231F20"/>
          <w:spacing w:val="-10"/>
        </w:rPr>
        <w:t> </w:t>
      </w:r>
      <w:r>
        <w:rPr>
          <w:color w:val="231F20"/>
          <w:spacing w:val="-3"/>
        </w:rPr>
        <w:t>en</w:t>
      </w:r>
      <w:r>
        <w:rPr>
          <w:color w:val="231F20"/>
          <w:spacing w:val="-10"/>
        </w:rPr>
        <w:t> </w:t>
      </w:r>
      <w:r>
        <w:rPr>
          <w:color w:val="231F20"/>
          <w:spacing w:val="-5"/>
        </w:rPr>
        <w:t>estudios</w:t>
      </w:r>
      <w:r>
        <w:rPr>
          <w:color w:val="231F20"/>
          <w:spacing w:val="-10"/>
        </w:rPr>
        <w:t> </w:t>
      </w:r>
      <w:r>
        <w:rPr>
          <w:color w:val="231F20"/>
          <w:spacing w:val="-3"/>
        </w:rPr>
        <w:t>de</w:t>
      </w:r>
      <w:r>
        <w:rPr>
          <w:color w:val="231F20"/>
          <w:spacing w:val="-10"/>
        </w:rPr>
        <w:t> </w:t>
      </w:r>
      <w:r>
        <w:rPr>
          <w:color w:val="231F20"/>
          <w:spacing w:val="-5"/>
        </w:rPr>
        <w:t>evolución</w:t>
      </w:r>
      <w:r>
        <w:rPr>
          <w:color w:val="231F20"/>
          <w:spacing w:val="-10"/>
        </w:rPr>
        <w:t> </w:t>
      </w:r>
      <w:r>
        <w:rPr>
          <w:color w:val="231F20"/>
          <w:spacing w:val="-5"/>
        </w:rPr>
        <w:t>genética,</w:t>
      </w:r>
      <w:r>
        <w:rPr>
          <w:color w:val="231F20"/>
          <w:spacing w:val="-10"/>
        </w:rPr>
        <w:t> </w:t>
      </w:r>
      <w:r>
        <w:rPr>
          <w:color w:val="231F20"/>
          <w:spacing w:val="-5"/>
        </w:rPr>
        <w:t>poblaciones,</w:t>
      </w:r>
      <w:r>
        <w:rPr>
          <w:color w:val="231F20"/>
          <w:spacing w:val="-10"/>
        </w:rPr>
        <w:t> </w:t>
      </w:r>
      <w:r>
        <w:rPr>
          <w:color w:val="231F20"/>
          <w:spacing w:val="-5"/>
        </w:rPr>
        <w:t>mapeo genético </w:t>
      </w:r>
      <w:r>
        <w:rPr>
          <w:color w:val="231F20"/>
        </w:rPr>
        <w:t>y </w:t>
      </w:r>
      <w:r>
        <w:rPr>
          <w:color w:val="231F20"/>
          <w:spacing w:val="-5"/>
        </w:rPr>
        <w:t>clonación </w:t>
      </w:r>
      <w:r>
        <w:rPr>
          <w:color w:val="231F20"/>
          <w:spacing w:val="-3"/>
        </w:rPr>
        <w:t>de </w:t>
      </w:r>
      <w:r>
        <w:rPr>
          <w:color w:val="231F20"/>
          <w:spacing w:val="-5"/>
        </w:rPr>
        <w:t>genes. Muchas </w:t>
      </w:r>
      <w:r>
        <w:rPr>
          <w:color w:val="231F20"/>
          <w:spacing w:val="-3"/>
        </w:rPr>
        <w:t>de </w:t>
      </w:r>
      <w:r>
        <w:rPr>
          <w:color w:val="231F20"/>
          <w:spacing w:val="-4"/>
        </w:rPr>
        <w:t>estas </w:t>
      </w:r>
      <w:r>
        <w:rPr>
          <w:color w:val="231F20"/>
          <w:spacing w:val="-5"/>
        </w:rPr>
        <w:t>técnicas </w:t>
      </w:r>
      <w:r>
        <w:rPr>
          <w:color w:val="231F20"/>
          <w:spacing w:val="-4"/>
        </w:rPr>
        <w:t>han sido </w:t>
      </w:r>
      <w:r>
        <w:rPr>
          <w:color w:val="231F20"/>
          <w:spacing w:val="-5"/>
        </w:rPr>
        <w:t>utilizadas </w:t>
      </w:r>
      <w:r>
        <w:rPr>
          <w:color w:val="231F20"/>
          <w:spacing w:val="-3"/>
        </w:rPr>
        <w:t>en la </w:t>
      </w:r>
      <w:r>
        <w:rPr>
          <w:color w:val="231F20"/>
          <w:spacing w:val="-5"/>
        </w:rPr>
        <w:t>detección </w:t>
      </w:r>
      <w:r>
        <w:rPr>
          <w:color w:val="231F20"/>
          <w:spacing w:val="-3"/>
        </w:rPr>
        <w:t>de </w:t>
      </w:r>
      <w:r>
        <w:rPr>
          <w:color w:val="231F20"/>
          <w:spacing w:val="-5"/>
        </w:rPr>
        <w:t>variación somaclonal </w:t>
      </w:r>
      <w:r>
        <w:rPr>
          <w:color w:val="231F20"/>
          <w:spacing w:val="-4"/>
        </w:rPr>
        <w:t>para </w:t>
      </w:r>
      <w:r>
        <w:rPr>
          <w:color w:val="231F20"/>
          <w:spacing w:val="-5"/>
        </w:rPr>
        <w:t>determinar </w:t>
      </w:r>
      <w:r>
        <w:rPr>
          <w:color w:val="231F20"/>
          <w:spacing w:val="-3"/>
        </w:rPr>
        <w:t>su </w:t>
      </w:r>
      <w:r>
        <w:rPr>
          <w:color w:val="231F20"/>
          <w:spacing w:val="-5"/>
        </w:rPr>
        <w:t>naturaleza genética </w:t>
      </w:r>
      <w:r>
        <w:rPr>
          <w:color w:val="231F20"/>
        </w:rPr>
        <w:t>o </w:t>
      </w:r>
      <w:r>
        <w:rPr>
          <w:color w:val="231F20"/>
          <w:spacing w:val="-5"/>
        </w:rPr>
        <w:t>epigenética (Sánchez-Chiang </w:t>
      </w:r>
      <w:r>
        <w:rPr>
          <w:color w:val="231F20"/>
        </w:rPr>
        <w:t>y </w:t>
      </w:r>
      <w:r>
        <w:rPr>
          <w:color w:val="231F20"/>
          <w:spacing w:val="-5"/>
        </w:rPr>
        <w:t>Jiménez,</w:t>
      </w:r>
      <w:r>
        <w:rPr>
          <w:color w:val="231F20"/>
          <w:spacing w:val="-35"/>
        </w:rPr>
        <w:t> </w:t>
      </w:r>
      <w:r>
        <w:rPr>
          <w:color w:val="231F20"/>
          <w:spacing w:val="-5"/>
        </w:rPr>
        <w:t>2009).</w:t>
      </w:r>
    </w:p>
    <w:p>
      <w:pPr>
        <w:pStyle w:val="BodyText"/>
        <w:spacing w:before="10"/>
        <w:rPr>
          <w:sz w:val="20"/>
        </w:rPr>
      </w:pPr>
    </w:p>
    <w:p>
      <w:pPr>
        <w:spacing w:line="247" w:lineRule="auto" w:before="1"/>
        <w:ind w:left="1270" w:right="1268" w:firstLine="0"/>
        <w:jc w:val="both"/>
        <w:rPr>
          <w:rFonts w:ascii="Trebuchet MS" w:hAnsi="Trebuchet MS"/>
          <w:sz w:val="16"/>
        </w:rPr>
      </w:pPr>
      <w:r>
        <w:rPr>
          <w:rFonts w:ascii="Trebuchet MS" w:hAnsi="Trebuchet MS"/>
          <w:color w:val="231F20"/>
          <w:position w:val="5"/>
          <w:sz w:val="9"/>
        </w:rPr>
        <w:t>1</w:t>
      </w:r>
      <w:r>
        <w:rPr>
          <w:rFonts w:ascii="Trebuchet MS" w:hAnsi="Trebuchet MS"/>
          <w:color w:val="231F20"/>
          <w:sz w:val="16"/>
        </w:rPr>
        <w:t>Programa de Doctorado en Horticultura. Departamento de Fitotecnia, Universidad Autónoma Chapingo. joscar@ correo.chapingo.mx</w:t>
      </w:r>
    </w:p>
    <w:p>
      <w:pPr>
        <w:spacing w:after="0" w:line="247" w:lineRule="auto"/>
        <w:jc w:val="both"/>
        <w:rPr>
          <w:rFonts w:ascii="Trebuchet MS" w:hAnsi="Trebuchet MS"/>
          <w:sz w:val="16"/>
        </w:rPr>
        <w:sectPr>
          <w:pgSz w:w="10920" w:h="13080"/>
          <w:pgMar w:header="0" w:footer="965" w:top="420" w:bottom="1220" w:left="0" w:right="0"/>
        </w:sectPr>
      </w:pPr>
    </w:p>
    <w:p>
      <w:pPr>
        <w:pStyle w:val="BodyText"/>
        <w:rPr>
          <w:rFonts w:ascii="Trebuchet MS"/>
          <w:sz w:val="20"/>
        </w:rPr>
      </w:pPr>
    </w:p>
    <w:p>
      <w:pPr>
        <w:pStyle w:val="BodyText"/>
        <w:rPr>
          <w:rFonts w:ascii="Trebuchet MS"/>
          <w:sz w:val="20"/>
        </w:rPr>
      </w:pPr>
    </w:p>
    <w:p>
      <w:pPr>
        <w:pStyle w:val="BodyText"/>
        <w:spacing w:before="4"/>
        <w:rPr>
          <w:rFonts w:ascii="Trebuchet MS"/>
          <w:sz w:val="22"/>
        </w:rPr>
      </w:pPr>
    </w:p>
    <w:p>
      <w:pPr>
        <w:pStyle w:val="BodyText"/>
        <w:spacing w:line="247" w:lineRule="auto" w:before="73"/>
        <w:ind w:left="1270" w:right="1267"/>
        <w:jc w:val="both"/>
      </w:pPr>
      <w:r>
        <w:rPr>
          <w:color w:val="231F20"/>
        </w:rPr>
        <w:t>El</w:t>
      </w:r>
      <w:r>
        <w:rPr>
          <w:color w:val="231F20"/>
          <w:spacing w:val="-7"/>
        </w:rPr>
        <w:t> </w:t>
      </w:r>
      <w:r>
        <w:rPr>
          <w:color w:val="231F20"/>
        </w:rPr>
        <w:t>objetivo</w:t>
      </w:r>
      <w:r>
        <w:rPr>
          <w:color w:val="231F20"/>
          <w:spacing w:val="-7"/>
        </w:rPr>
        <w:t> </w:t>
      </w:r>
      <w:r>
        <w:rPr>
          <w:color w:val="231F20"/>
        </w:rPr>
        <w:t>principal</w:t>
      </w:r>
      <w:r>
        <w:rPr>
          <w:color w:val="231F20"/>
          <w:spacing w:val="-7"/>
        </w:rPr>
        <w:t> </w:t>
      </w:r>
      <w:r>
        <w:rPr>
          <w:color w:val="231F20"/>
        </w:rPr>
        <w:t>de</w:t>
      </w:r>
      <w:r>
        <w:rPr>
          <w:color w:val="231F20"/>
          <w:spacing w:val="-7"/>
        </w:rPr>
        <w:t> </w:t>
      </w:r>
      <w:r>
        <w:rPr>
          <w:color w:val="231F20"/>
        </w:rPr>
        <w:t>este</w:t>
      </w:r>
      <w:r>
        <w:rPr>
          <w:color w:val="231F20"/>
          <w:spacing w:val="-7"/>
        </w:rPr>
        <w:t> </w:t>
      </w:r>
      <w:r>
        <w:rPr>
          <w:color w:val="231F20"/>
        </w:rPr>
        <w:t>trabajo</w:t>
      </w:r>
      <w:r>
        <w:rPr>
          <w:color w:val="231F20"/>
          <w:spacing w:val="-7"/>
        </w:rPr>
        <w:t> </w:t>
      </w:r>
      <w:r>
        <w:rPr>
          <w:color w:val="231F20"/>
        </w:rPr>
        <w:t>fue</w:t>
      </w:r>
      <w:r>
        <w:rPr>
          <w:color w:val="231F20"/>
          <w:spacing w:val="-7"/>
        </w:rPr>
        <w:t> </w:t>
      </w:r>
      <w:r>
        <w:rPr>
          <w:color w:val="231F20"/>
        </w:rPr>
        <w:t>analizar</w:t>
      </w:r>
      <w:r>
        <w:rPr>
          <w:color w:val="231F20"/>
          <w:spacing w:val="-7"/>
        </w:rPr>
        <w:t> </w:t>
      </w:r>
      <w:r>
        <w:rPr>
          <w:color w:val="231F20"/>
        </w:rPr>
        <w:t>la</w:t>
      </w:r>
      <w:r>
        <w:rPr>
          <w:color w:val="231F20"/>
          <w:spacing w:val="-7"/>
        </w:rPr>
        <w:t> </w:t>
      </w:r>
      <w:r>
        <w:rPr>
          <w:color w:val="231F20"/>
        </w:rPr>
        <w:t>variación</w:t>
      </w:r>
      <w:r>
        <w:rPr>
          <w:color w:val="231F20"/>
          <w:spacing w:val="-7"/>
        </w:rPr>
        <w:t> </w:t>
      </w:r>
      <w:r>
        <w:rPr>
          <w:color w:val="231F20"/>
        </w:rPr>
        <w:t>fenotípica</w:t>
      </w:r>
      <w:r>
        <w:rPr>
          <w:color w:val="231F20"/>
          <w:spacing w:val="-7"/>
        </w:rPr>
        <w:t> </w:t>
      </w:r>
      <w:r>
        <w:rPr>
          <w:color w:val="231F20"/>
        </w:rPr>
        <w:t>en</w:t>
      </w:r>
      <w:r>
        <w:rPr>
          <w:color w:val="231F20"/>
          <w:spacing w:val="-7"/>
        </w:rPr>
        <w:t> </w:t>
      </w:r>
      <w:r>
        <w:rPr>
          <w:color w:val="231F20"/>
        </w:rPr>
        <w:t>plantas</w:t>
      </w:r>
      <w:r>
        <w:rPr>
          <w:color w:val="231F20"/>
          <w:spacing w:val="-7"/>
        </w:rPr>
        <w:t> </w:t>
      </w:r>
      <w:r>
        <w:rPr>
          <w:color w:val="231F20"/>
        </w:rPr>
        <w:t>obtenidas</w:t>
      </w:r>
      <w:r>
        <w:rPr>
          <w:color w:val="231F20"/>
          <w:spacing w:val="-7"/>
        </w:rPr>
        <w:t> </w:t>
      </w:r>
      <w:r>
        <w:rPr>
          <w:color w:val="231F20"/>
        </w:rPr>
        <w:t>median- te</w:t>
      </w:r>
      <w:r>
        <w:rPr>
          <w:color w:val="231F20"/>
          <w:spacing w:val="-12"/>
        </w:rPr>
        <w:t> </w:t>
      </w:r>
      <w:r>
        <w:rPr>
          <w:color w:val="231F20"/>
        </w:rPr>
        <w:t>regeneración</w:t>
      </w:r>
      <w:r>
        <w:rPr>
          <w:color w:val="231F20"/>
          <w:spacing w:val="-12"/>
        </w:rPr>
        <w:t> </w:t>
      </w:r>
      <w:r>
        <w:rPr>
          <w:color w:val="231F20"/>
        </w:rPr>
        <w:t>in</w:t>
      </w:r>
      <w:r>
        <w:rPr>
          <w:color w:val="231F20"/>
          <w:spacing w:val="-12"/>
        </w:rPr>
        <w:t> </w:t>
      </w:r>
      <w:r>
        <w:rPr>
          <w:color w:val="231F20"/>
        </w:rPr>
        <w:t>vitro</w:t>
      </w:r>
      <w:r>
        <w:rPr>
          <w:color w:val="231F20"/>
          <w:spacing w:val="-12"/>
        </w:rPr>
        <w:t> </w:t>
      </w:r>
      <w:r>
        <w:rPr>
          <w:color w:val="231F20"/>
        </w:rPr>
        <w:t>a</w:t>
      </w:r>
      <w:r>
        <w:rPr>
          <w:color w:val="231F20"/>
          <w:spacing w:val="-12"/>
        </w:rPr>
        <w:t> </w:t>
      </w:r>
      <w:r>
        <w:rPr>
          <w:color w:val="231F20"/>
        </w:rPr>
        <w:t>partir</w:t>
      </w:r>
      <w:r>
        <w:rPr>
          <w:color w:val="231F20"/>
          <w:spacing w:val="-12"/>
        </w:rPr>
        <w:t> </w:t>
      </w:r>
      <w:r>
        <w:rPr>
          <w:color w:val="231F20"/>
        </w:rPr>
        <w:t>de</w:t>
      </w:r>
      <w:r>
        <w:rPr>
          <w:color w:val="231F20"/>
          <w:spacing w:val="-12"/>
        </w:rPr>
        <w:t> </w:t>
      </w:r>
      <w:r>
        <w:rPr>
          <w:color w:val="231F20"/>
        </w:rPr>
        <w:t>embriogénesis</w:t>
      </w:r>
      <w:r>
        <w:rPr>
          <w:color w:val="231F20"/>
          <w:spacing w:val="-13"/>
        </w:rPr>
        <w:t> </w:t>
      </w:r>
      <w:r>
        <w:rPr>
          <w:color w:val="231F20"/>
        </w:rPr>
        <w:t>somática.</w:t>
      </w:r>
      <w:r>
        <w:rPr>
          <w:color w:val="231F20"/>
          <w:spacing w:val="-11"/>
        </w:rPr>
        <w:t> </w:t>
      </w:r>
      <w:r>
        <w:rPr>
          <w:color w:val="231F20"/>
        </w:rPr>
        <w:t>Para</w:t>
      </w:r>
      <w:r>
        <w:rPr>
          <w:color w:val="231F20"/>
          <w:spacing w:val="-12"/>
        </w:rPr>
        <w:t> </w:t>
      </w:r>
      <w:r>
        <w:rPr>
          <w:color w:val="231F20"/>
        </w:rPr>
        <w:t>lograr</w:t>
      </w:r>
      <w:r>
        <w:rPr>
          <w:color w:val="231F20"/>
          <w:spacing w:val="-12"/>
        </w:rPr>
        <w:t> </w:t>
      </w:r>
      <w:r>
        <w:rPr>
          <w:color w:val="231F20"/>
        </w:rPr>
        <w:t>lo</w:t>
      </w:r>
      <w:r>
        <w:rPr>
          <w:color w:val="231F20"/>
          <w:spacing w:val="-12"/>
        </w:rPr>
        <w:t> </w:t>
      </w:r>
      <w:r>
        <w:rPr>
          <w:color w:val="231F20"/>
        </w:rPr>
        <w:t>anterior,</w:t>
      </w:r>
      <w:r>
        <w:rPr>
          <w:color w:val="231F20"/>
          <w:spacing w:val="30"/>
        </w:rPr>
        <w:t> </w:t>
      </w:r>
      <w:r>
        <w:rPr>
          <w:color w:val="231F20"/>
        </w:rPr>
        <w:t>se</w:t>
      </w:r>
      <w:r>
        <w:rPr>
          <w:color w:val="231F20"/>
          <w:spacing w:val="-12"/>
        </w:rPr>
        <w:t> </w:t>
      </w:r>
      <w:r>
        <w:rPr>
          <w:color w:val="231F20"/>
        </w:rPr>
        <w:t>pretende</w:t>
      </w:r>
      <w:r>
        <w:rPr>
          <w:color w:val="231F20"/>
          <w:spacing w:val="-12"/>
        </w:rPr>
        <w:t> </w:t>
      </w:r>
      <w:r>
        <w:rPr>
          <w:color w:val="231F20"/>
        </w:rPr>
        <w:t>cubrir los siguientes objetivos particulares: 1) Determinar si la fuente de embriones maduros o inmaduros influye en la frecuencia de variantes somaclonales, b) Determinar si el tiempo de cultivo in vitro incrementa</w:t>
      </w:r>
      <w:r>
        <w:rPr>
          <w:color w:val="231F20"/>
          <w:spacing w:val="-4"/>
        </w:rPr>
        <w:t> </w:t>
      </w:r>
      <w:r>
        <w:rPr>
          <w:color w:val="231F20"/>
        </w:rPr>
        <w:t>la</w:t>
      </w:r>
      <w:r>
        <w:rPr>
          <w:color w:val="231F20"/>
          <w:spacing w:val="-4"/>
        </w:rPr>
        <w:t> </w:t>
      </w:r>
      <w:r>
        <w:rPr>
          <w:color w:val="231F20"/>
        </w:rPr>
        <w:t>aparición</w:t>
      </w:r>
      <w:r>
        <w:rPr>
          <w:color w:val="231F20"/>
          <w:spacing w:val="-4"/>
        </w:rPr>
        <w:t> </w:t>
      </w:r>
      <w:r>
        <w:rPr>
          <w:color w:val="231F20"/>
        </w:rPr>
        <w:t>de</w:t>
      </w:r>
      <w:r>
        <w:rPr>
          <w:color w:val="231F20"/>
          <w:spacing w:val="-4"/>
        </w:rPr>
        <w:t> </w:t>
      </w:r>
      <w:r>
        <w:rPr>
          <w:color w:val="231F20"/>
        </w:rPr>
        <w:t>estas</w:t>
      </w:r>
      <w:r>
        <w:rPr>
          <w:color w:val="231F20"/>
          <w:spacing w:val="-4"/>
        </w:rPr>
        <w:t> </w:t>
      </w:r>
      <w:r>
        <w:rPr>
          <w:color w:val="231F20"/>
        </w:rPr>
        <w:t>variantes,</w:t>
      </w:r>
      <w:r>
        <w:rPr>
          <w:color w:val="231F20"/>
          <w:spacing w:val="-4"/>
        </w:rPr>
        <w:t> </w:t>
      </w:r>
      <w:r>
        <w:rPr>
          <w:color w:val="231F20"/>
        </w:rPr>
        <w:t>c)</w:t>
      </w:r>
      <w:r>
        <w:rPr>
          <w:color w:val="231F20"/>
          <w:spacing w:val="-4"/>
        </w:rPr>
        <w:t> </w:t>
      </w:r>
      <w:r>
        <w:rPr>
          <w:color w:val="231F20"/>
        </w:rPr>
        <w:t>Determinar</w:t>
      </w:r>
      <w:r>
        <w:rPr>
          <w:color w:val="231F20"/>
          <w:spacing w:val="-4"/>
        </w:rPr>
        <w:t> </w:t>
      </w:r>
      <w:r>
        <w:rPr>
          <w:color w:val="231F20"/>
        </w:rPr>
        <w:t>si</w:t>
      </w:r>
      <w:r>
        <w:rPr>
          <w:color w:val="231F20"/>
          <w:spacing w:val="-4"/>
        </w:rPr>
        <w:t> </w:t>
      </w:r>
      <w:r>
        <w:rPr>
          <w:color w:val="231F20"/>
        </w:rPr>
        <w:t>las</w:t>
      </w:r>
      <w:r>
        <w:rPr>
          <w:color w:val="231F20"/>
          <w:spacing w:val="-4"/>
        </w:rPr>
        <w:t> </w:t>
      </w:r>
      <w:r>
        <w:rPr>
          <w:color w:val="231F20"/>
        </w:rPr>
        <w:t>variantes</w:t>
      </w:r>
      <w:r>
        <w:rPr>
          <w:color w:val="231F20"/>
          <w:spacing w:val="-4"/>
        </w:rPr>
        <w:t> </w:t>
      </w:r>
      <w:r>
        <w:rPr>
          <w:color w:val="231F20"/>
        </w:rPr>
        <w:t>obtenidas</w:t>
      </w:r>
      <w:r>
        <w:rPr>
          <w:color w:val="231F20"/>
          <w:spacing w:val="-4"/>
        </w:rPr>
        <w:t> </w:t>
      </w:r>
      <w:r>
        <w:rPr>
          <w:color w:val="231F20"/>
        </w:rPr>
        <w:t>son</w:t>
      </w:r>
      <w:r>
        <w:rPr>
          <w:color w:val="231F20"/>
          <w:spacing w:val="-4"/>
        </w:rPr>
        <w:t> </w:t>
      </w:r>
      <w:r>
        <w:rPr>
          <w:color w:val="231F20"/>
        </w:rPr>
        <w:t>de</w:t>
      </w:r>
      <w:r>
        <w:rPr>
          <w:color w:val="231F20"/>
          <w:spacing w:val="-4"/>
        </w:rPr>
        <w:t> </w:t>
      </w:r>
      <w:r>
        <w:rPr>
          <w:color w:val="231F20"/>
        </w:rPr>
        <w:t>naturaleza genética o epigenética </w:t>
      </w:r>
      <w:r>
        <w:rPr>
          <w:color w:val="231F20"/>
          <w:spacing w:val="-7"/>
        </w:rPr>
        <w:t>y, </w:t>
      </w:r>
      <w:r>
        <w:rPr>
          <w:color w:val="231F20"/>
        </w:rPr>
        <w:t>4) determinar si las variaciones persisten durante la siguiente generación obtenida a partir de</w:t>
      </w:r>
      <w:r>
        <w:rPr>
          <w:color w:val="231F20"/>
          <w:spacing w:val="-8"/>
        </w:rPr>
        <w:t> </w:t>
      </w:r>
      <w:r>
        <w:rPr>
          <w:color w:val="231F20"/>
        </w:rPr>
        <w:t>semilla.</w:t>
      </w:r>
    </w:p>
    <w:p>
      <w:pPr>
        <w:pStyle w:val="BodyText"/>
        <w:spacing w:before="9"/>
        <w:rPr>
          <w:sz w:val="22"/>
        </w:rPr>
      </w:pPr>
    </w:p>
    <w:p>
      <w:pPr>
        <w:pStyle w:val="Heading3"/>
      </w:pPr>
      <w:r>
        <w:rPr>
          <w:color w:val="010202"/>
        </w:rPr>
        <w:t>Materiales y métodos</w:t>
      </w:r>
    </w:p>
    <w:p>
      <w:pPr>
        <w:pStyle w:val="BodyText"/>
        <w:spacing w:before="10"/>
        <w:rPr>
          <w:b/>
        </w:rPr>
      </w:pPr>
    </w:p>
    <w:p>
      <w:pPr>
        <w:pStyle w:val="BodyText"/>
        <w:spacing w:line="247" w:lineRule="auto"/>
        <w:ind w:left="1270" w:right="1267"/>
        <w:jc w:val="both"/>
      </w:pPr>
      <w:r>
        <w:rPr>
          <w:color w:val="231F20"/>
        </w:rPr>
        <w:t>Se analizó la variación entre plantas obtenidas de callo embriogénico generado a partir de embrio- nes maduros o embriones inmaduros; una vez que se tuvo suficiente callo se pusieron en medio de brotación para la regeneración, 10 callos para cada tratamiento. Las plantas se adaptaron ex-vitro y se mantuvieron en un invernadero para la toma de datos de variables morfológicas. </w:t>
      </w:r>
      <w:r>
        <w:rPr>
          <w:color w:val="231F20"/>
          <w:spacing w:val="-3"/>
        </w:rPr>
        <w:t>También </w:t>
      </w:r>
      <w:r>
        <w:rPr>
          <w:color w:val="231F20"/>
        </w:rPr>
        <w:t>se han tomado muestras de tejido para posteriores análisis moleculares en el laboratorio. A partir de los tres meses de cultivo in vitro, cada 2 meses se puso a regenerar un grupo de callos que se llevaron hasta planta para hacer el mismo análisis. Éste procedimiento se realizó a los 3, 5, 7 y 9 meses, y se comparó</w:t>
      </w:r>
      <w:r>
        <w:rPr>
          <w:color w:val="231F20"/>
          <w:spacing w:val="-11"/>
        </w:rPr>
        <w:t> </w:t>
      </w:r>
      <w:r>
        <w:rPr>
          <w:color w:val="231F20"/>
        </w:rPr>
        <w:t>la</w:t>
      </w:r>
      <w:r>
        <w:rPr>
          <w:color w:val="231F20"/>
          <w:spacing w:val="-11"/>
        </w:rPr>
        <w:t> </w:t>
      </w:r>
      <w:r>
        <w:rPr>
          <w:color w:val="231F20"/>
        </w:rPr>
        <w:t>variación</w:t>
      </w:r>
      <w:r>
        <w:rPr>
          <w:color w:val="231F20"/>
          <w:spacing w:val="-10"/>
        </w:rPr>
        <w:t> </w:t>
      </w:r>
      <w:r>
        <w:rPr>
          <w:color w:val="231F20"/>
        </w:rPr>
        <w:t>obtenida</w:t>
      </w:r>
      <w:r>
        <w:rPr>
          <w:color w:val="231F20"/>
          <w:spacing w:val="-10"/>
        </w:rPr>
        <w:t> </w:t>
      </w:r>
      <w:r>
        <w:rPr>
          <w:color w:val="231F20"/>
        </w:rPr>
        <w:t>en</w:t>
      </w:r>
      <w:r>
        <w:rPr>
          <w:color w:val="231F20"/>
          <w:spacing w:val="-11"/>
        </w:rPr>
        <w:t> </w:t>
      </w:r>
      <w:r>
        <w:rPr>
          <w:color w:val="231F20"/>
        </w:rPr>
        <w:t>ese</w:t>
      </w:r>
      <w:r>
        <w:rPr>
          <w:color w:val="231F20"/>
          <w:spacing w:val="-11"/>
        </w:rPr>
        <w:t> </w:t>
      </w:r>
      <w:r>
        <w:rPr>
          <w:color w:val="231F20"/>
        </w:rPr>
        <w:t>lapso</w:t>
      </w:r>
      <w:r>
        <w:rPr>
          <w:color w:val="231F20"/>
          <w:spacing w:val="-11"/>
        </w:rPr>
        <w:t> </w:t>
      </w:r>
      <w:r>
        <w:rPr>
          <w:color w:val="231F20"/>
        </w:rPr>
        <w:t>de</w:t>
      </w:r>
      <w:r>
        <w:rPr>
          <w:color w:val="231F20"/>
          <w:spacing w:val="-10"/>
        </w:rPr>
        <w:t> </w:t>
      </w:r>
      <w:r>
        <w:rPr>
          <w:color w:val="231F20"/>
        </w:rPr>
        <w:t>tiempo</w:t>
      </w:r>
      <w:r>
        <w:rPr>
          <w:color w:val="231F20"/>
          <w:spacing w:val="-11"/>
        </w:rPr>
        <w:t> </w:t>
      </w:r>
      <w:r>
        <w:rPr>
          <w:color w:val="231F20"/>
        </w:rPr>
        <w:t>en</w:t>
      </w:r>
      <w:r>
        <w:rPr>
          <w:color w:val="231F20"/>
          <w:spacing w:val="-11"/>
        </w:rPr>
        <w:t> </w:t>
      </w:r>
      <w:r>
        <w:rPr>
          <w:color w:val="231F20"/>
        </w:rPr>
        <w:t>cada</w:t>
      </w:r>
      <w:r>
        <w:rPr>
          <w:color w:val="231F20"/>
          <w:spacing w:val="-11"/>
        </w:rPr>
        <w:t> </w:t>
      </w:r>
      <w:r>
        <w:rPr>
          <w:color w:val="231F20"/>
        </w:rPr>
        <w:t>tratamiento.</w:t>
      </w:r>
      <w:r>
        <w:rPr>
          <w:color w:val="231F20"/>
          <w:spacing w:val="-11"/>
        </w:rPr>
        <w:t> </w:t>
      </w:r>
      <w:r>
        <w:rPr>
          <w:color w:val="231F20"/>
        </w:rPr>
        <w:t>Como</w:t>
      </w:r>
      <w:r>
        <w:rPr>
          <w:color w:val="231F20"/>
          <w:spacing w:val="-10"/>
        </w:rPr>
        <w:t> </w:t>
      </w:r>
      <w:r>
        <w:rPr>
          <w:color w:val="231F20"/>
        </w:rPr>
        <w:t>testigo</w:t>
      </w:r>
      <w:r>
        <w:rPr>
          <w:color w:val="231F20"/>
          <w:spacing w:val="-11"/>
        </w:rPr>
        <w:t> </w:t>
      </w:r>
      <w:r>
        <w:rPr>
          <w:color w:val="231F20"/>
        </w:rPr>
        <w:t>se</w:t>
      </w:r>
      <w:r>
        <w:rPr>
          <w:color w:val="231F20"/>
          <w:spacing w:val="-10"/>
        </w:rPr>
        <w:t> </w:t>
      </w:r>
      <w:r>
        <w:rPr>
          <w:color w:val="231F20"/>
        </w:rPr>
        <w:t>utilizaron plantas de la misma línea obtenidas a partir de semilla</w:t>
      </w:r>
      <w:r>
        <w:rPr>
          <w:color w:val="231F20"/>
          <w:spacing w:val="-8"/>
        </w:rPr>
        <w:t> </w:t>
      </w:r>
      <w:r>
        <w:rPr>
          <w:color w:val="231F20"/>
        </w:rPr>
        <w:t>cigótica.</w:t>
      </w:r>
    </w:p>
    <w:p>
      <w:pPr>
        <w:pStyle w:val="BodyText"/>
        <w:spacing w:before="10"/>
      </w:pPr>
    </w:p>
    <w:p>
      <w:pPr>
        <w:pStyle w:val="Heading5"/>
      </w:pPr>
      <w:r>
        <w:rPr>
          <w:color w:val="231F20"/>
        </w:rPr>
        <w:t>Material vegetal</w:t>
      </w:r>
    </w:p>
    <w:p>
      <w:pPr>
        <w:pStyle w:val="BodyText"/>
        <w:spacing w:line="247" w:lineRule="auto" w:before="8"/>
        <w:ind w:left="1270" w:right="1269"/>
        <w:jc w:val="both"/>
      </w:pPr>
      <w:r>
        <w:rPr>
          <w:color w:val="231F20"/>
        </w:rPr>
        <w:t>Se utilizó la línea tropical CML72 (amarilla) proveniente del Centro Internacional de</w:t>
      </w:r>
      <w:r>
        <w:rPr>
          <w:color w:val="231F20"/>
          <w:spacing w:val="-25"/>
        </w:rPr>
        <w:t> </w:t>
      </w:r>
      <w:r>
        <w:rPr>
          <w:color w:val="231F20"/>
        </w:rPr>
        <w:t>Mejoramiento Genético de Maíz y Trigo</w:t>
      </w:r>
      <w:r>
        <w:rPr>
          <w:color w:val="231F20"/>
          <w:spacing w:val="-23"/>
        </w:rPr>
        <w:t> </w:t>
      </w:r>
      <w:r>
        <w:rPr>
          <w:color w:val="231F20"/>
        </w:rPr>
        <w:t>(CIMMyT).</w:t>
      </w:r>
    </w:p>
    <w:p>
      <w:pPr>
        <w:pStyle w:val="BodyText"/>
        <w:spacing w:before="10"/>
      </w:pPr>
    </w:p>
    <w:p>
      <w:pPr>
        <w:pStyle w:val="Heading5"/>
      </w:pPr>
      <w:r>
        <w:rPr>
          <w:color w:val="231F20"/>
        </w:rPr>
        <w:t>Inducción de callo embriogénico</w:t>
      </w:r>
    </w:p>
    <w:p>
      <w:pPr>
        <w:pStyle w:val="BodyText"/>
        <w:spacing w:before="8"/>
        <w:ind w:left="1270"/>
        <w:jc w:val="both"/>
      </w:pPr>
      <w:r>
        <w:rPr>
          <w:color w:val="231F20"/>
        </w:rPr>
        <w:t>Se utilizaron dos métodos de obtención de callo:</w:t>
      </w:r>
    </w:p>
    <w:p>
      <w:pPr>
        <w:pStyle w:val="ListParagraph"/>
        <w:numPr>
          <w:ilvl w:val="0"/>
          <w:numId w:val="7"/>
        </w:numPr>
        <w:tabs>
          <w:tab w:pos="1482" w:val="left" w:leader="none"/>
        </w:tabs>
        <w:spacing w:line="249" w:lineRule="auto" w:before="8" w:after="0"/>
        <w:ind w:left="1270" w:right="1267" w:firstLine="0"/>
        <w:jc w:val="both"/>
        <w:rPr>
          <w:sz w:val="21"/>
        </w:rPr>
      </w:pPr>
      <w:r>
        <w:rPr>
          <w:color w:val="231F20"/>
          <w:sz w:val="21"/>
        </w:rPr>
        <w:t>A</w:t>
      </w:r>
      <w:r>
        <w:rPr>
          <w:color w:val="231F20"/>
          <w:spacing w:val="-17"/>
          <w:sz w:val="21"/>
        </w:rPr>
        <w:t> </w:t>
      </w:r>
      <w:r>
        <w:rPr>
          <w:color w:val="231F20"/>
          <w:sz w:val="21"/>
        </w:rPr>
        <w:t>partir</w:t>
      </w:r>
      <w:r>
        <w:rPr>
          <w:color w:val="231F20"/>
          <w:spacing w:val="-5"/>
          <w:sz w:val="21"/>
        </w:rPr>
        <w:t> </w:t>
      </w:r>
      <w:r>
        <w:rPr>
          <w:color w:val="231F20"/>
          <w:sz w:val="21"/>
        </w:rPr>
        <w:t>de</w:t>
      </w:r>
      <w:r>
        <w:rPr>
          <w:color w:val="231F20"/>
          <w:spacing w:val="-5"/>
          <w:sz w:val="21"/>
        </w:rPr>
        <w:t> </w:t>
      </w:r>
      <w:r>
        <w:rPr>
          <w:color w:val="231F20"/>
          <w:sz w:val="21"/>
        </w:rPr>
        <w:t>embriones</w:t>
      </w:r>
      <w:r>
        <w:rPr>
          <w:color w:val="231F20"/>
          <w:spacing w:val="-5"/>
          <w:sz w:val="21"/>
        </w:rPr>
        <w:t> </w:t>
      </w:r>
      <w:r>
        <w:rPr>
          <w:color w:val="231F20"/>
          <w:sz w:val="21"/>
        </w:rPr>
        <w:t>de</w:t>
      </w:r>
      <w:r>
        <w:rPr>
          <w:color w:val="231F20"/>
          <w:spacing w:val="-5"/>
          <w:sz w:val="21"/>
        </w:rPr>
        <w:t> </w:t>
      </w:r>
      <w:r>
        <w:rPr>
          <w:color w:val="231F20"/>
          <w:sz w:val="21"/>
        </w:rPr>
        <w:t>semilla</w:t>
      </w:r>
      <w:r>
        <w:rPr>
          <w:color w:val="231F20"/>
          <w:spacing w:val="-5"/>
          <w:sz w:val="21"/>
        </w:rPr>
        <w:t> </w:t>
      </w:r>
      <w:r>
        <w:rPr>
          <w:color w:val="231F20"/>
          <w:sz w:val="21"/>
        </w:rPr>
        <w:t>madura,</w:t>
      </w:r>
      <w:r>
        <w:rPr>
          <w:color w:val="231F20"/>
          <w:spacing w:val="-5"/>
          <w:sz w:val="21"/>
        </w:rPr>
        <w:t> </w:t>
      </w:r>
      <w:r>
        <w:rPr>
          <w:color w:val="231F20"/>
          <w:sz w:val="21"/>
        </w:rPr>
        <w:t>reportado</w:t>
      </w:r>
      <w:r>
        <w:rPr>
          <w:color w:val="231F20"/>
          <w:spacing w:val="-5"/>
          <w:sz w:val="21"/>
        </w:rPr>
        <w:t> </w:t>
      </w:r>
      <w:r>
        <w:rPr>
          <w:color w:val="231F20"/>
          <w:sz w:val="21"/>
        </w:rPr>
        <w:t>por</w:t>
      </w:r>
      <w:r>
        <w:rPr>
          <w:color w:val="231F20"/>
          <w:spacing w:val="-5"/>
          <w:sz w:val="21"/>
        </w:rPr>
        <w:t> </w:t>
      </w:r>
      <w:r>
        <w:rPr>
          <w:color w:val="231F20"/>
          <w:sz w:val="21"/>
        </w:rPr>
        <w:t>Sidorov</w:t>
      </w:r>
      <w:r>
        <w:rPr>
          <w:color w:val="231F20"/>
          <w:spacing w:val="-5"/>
          <w:sz w:val="21"/>
        </w:rPr>
        <w:t> </w:t>
      </w:r>
      <w:r>
        <w:rPr>
          <w:color w:val="231F20"/>
          <w:sz w:val="21"/>
        </w:rPr>
        <w:t>et.</w:t>
      </w:r>
      <w:r>
        <w:rPr>
          <w:color w:val="231F20"/>
          <w:spacing w:val="-5"/>
          <w:sz w:val="21"/>
        </w:rPr>
        <w:t> </w:t>
      </w:r>
      <w:r>
        <w:rPr>
          <w:color w:val="231F20"/>
          <w:sz w:val="21"/>
        </w:rPr>
        <w:t>al.</w:t>
      </w:r>
      <w:r>
        <w:rPr>
          <w:color w:val="231F20"/>
          <w:spacing w:val="-5"/>
          <w:sz w:val="21"/>
        </w:rPr>
        <w:t> </w:t>
      </w:r>
      <w:r>
        <w:rPr>
          <w:color w:val="231F20"/>
          <w:sz w:val="21"/>
        </w:rPr>
        <w:t>(2006)</w:t>
      </w:r>
      <w:r>
        <w:rPr>
          <w:color w:val="231F20"/>
          <w:spacing w:val="-5"/>
          <w:sz w:val="21"/>
        </w:rPr>
        <w:t> </w:t>
      </w:r>
      <w:r>
        <w:rPr>
          <w:color w:val="231F20"/>
          <w:sz w:val="21"/>
        </w:rPr>
        <w:t>el</w:t>
      </w:r>
      <w:r>
        <w:rPr>
          <w:color w:val="231F20"/>
          <w:spacing w:val="-5"/>
          <w:sz w:val="21"/>
        </w:rPr>
        <w:t> </w:t>
      </w:r>
      <w:r>
        <w:rPr>
          <w:color w:val="231F20"/>
          <w:sz w:val="21"/>
        </w:rPr>
        <w:t>cual</w:t>
      </w:r>
      <w:r>
        <w:rPr>
          <w:color w:val="231F20"/>
          <w:spacing w:val="-5"/>
          <w:sz w:val="21"/>
        </w:rPr>
        <w:t> </w:t>
      </w:r>
      <w:r>
        <w:rPr>
          <w:color w:val="231F20"/>
          <w:sz w:val="21"/>
        </w:rPr>
        <w:t>consta</w:t>
      </w:r>
      <w:r>
        <w:rPr>
          <w:color w:val="231F20"/>
          <w:spacing w:val="-5"/>
          <w:sz w:val="21"/>
        </w:rPr>
        <w:t> </w:t>
      </w:r>
      <w:r>
        <w:rPr>
          <w:color w:val="231F20"/>
          <w:sz w:val="21"/>
        </w:rPr>
        <w:t>de</w:t>
      </w:r>
      <w:r>
        <w:rPr>
          <w:color w:val="231F20"/>
          <w:spacing w:val="-5"/>
          <w:sz w:val="21"/>
        </w:rPr>
        <w:t> </w:t>
      </w:r>
      <w:r>
        <w:rPr>
          <w:color w:val="231F20"/>
          <w:sz w:val="21"/>
        </w:rPr>
        <w:t>los siguientes pasos: Extracción y germinación de embriones: Después de realizar una desinfección de la</w:t>
      </w:r>
      <w:r>
        <w:rPr>
          <w:color w:val="231F20"/>
          <w:spacing w:val="-5"/>
          <w:sz w:val="21"/>
        </w:rPr>
        <w:t> </w:t>
      </w:r>
      <w:r>
        <w:rPr>
          <w:color w:val="231F20"/>
          <w:sz w:val="21"/>
        </w:rPr>
        <w:t>semilla</w:t>
      </w:r>
      <w:r>
        <w:rPr>
          <w:color w:val="231F20"/>
          <w:spacing w:val="-5"/>
          <w:sz w:val="21"/>
        </w:rPr>
        <w:t> </w:t>
      </w:r>
      <w:r>
        <w:rPr>
          <w:color w:val="231F20"/>
          <w:sz w:val="21"/>
        </w:rPr>
        <w:t>(Alcohol</w:t>
      </w:r>
      <w:r>
        <w:rPr>
          <w:color w:val="231F20"/>
          <w:spacing w:val="-5"/>
          <w:sz w:val="21"/>
        </w:rPr>
        <w:t> </w:t>
      </w:r>
      <w:r>
        <w:rPr>
          <w:color w:val="231F20"/>
          <w:sz w:val="21"/>
        </w:rPr>
        <w:t>al</w:t>
      </w:r>
      <w:r>
        <w:rPr>
          <w:color w:val="231F20"/>
          <w:spacing w:val="-5"/>
          <w:sz w:val="21"/>
        </w:rPr>
        <w:t> </w:t>
      </w:r>
      <w:r>
        <w:rPr>
          <w:color w:val="231F20"/>
          <w:sz w:val="21"/>
        </w:rPr>
        <w:t>80%</w:t>
      </w:r>
      <w:r>
        <w:rPr>
          <w:color w:val="231F20"/>
          <w:spacing w:val="-5"/>
          <w:sz w:val="21"/>
        </w:rPr>
        <w:t> </w:t>
      </w:r>
      <w:r>
        <w:rPr>
          <w:color w:val="231F20"/>
          <w:sz w:val="21"/>
        </w:rPr>
        <w:t>3</w:t>
      </w:r>
      <w:r>
        <w:rPr>
          <w:color w:val="231F20"/>
          <w:spacing w:val="-5"/>
          <w:sz w:val="21"/>
        </w:rPr>
        <w:t> </w:t>
      </w:r>
      <w:r>
        <w:rPr>
          <w:color w:val="231F20"/>
          <w:sz w:val="21"/>
        </w:rPr>
        <w:t>min</w:t>
      </w:r>
      <w:r>
        <w:rPr>
          <w:color w:val="231F20"/>
          <w:spacing w:val="-6"/>
          <w:sz w:val="21"/>
        </w:rPr>
        <w:t> </w:t>
      </w:r>
      <w:r>
        <w:rPr>
          <w:color w:val="231F20"/>
          <w:sz w:val="21"/>
        </w:rPr>
        <w:t>y</w:t>
      </w:r>
      <w:r>
        <w:rPr>
          <w:color w:val="231F20"/>
          <w:spacing w:val="-5"/>
          <w:sz w:val="21"/>
        </w:rPr>
        <w:t> </w:t>
      </w:r>
      <w:r>
        <w:rPr>
          <w:color w:val="231F20"/>
          <w:sz w:val="21"/>
        </w:rPr>
        <w:t>cloro</w:t>
      </w:r>
      <w:r>
        <w:rPr>
          <w:color w:val="231F20"/>
          <w:spacing w:val="-5"/>
          <w:sz w:val="21"/>
        </w:rPr>
        <w:t> </w:t>
      </w:r>
      <w:r>
        <w:rPr>
          <w:color w:val="231F20"/>
          <w:sz w:val="21"/>
        </w:rPr>
        <w:t>50%</w:t>
      </w:r>
      <w:r>
        <w:rPr>
          <w:color w:val="231F20"/>
          <w:spacing w:val="-5"/>
          <w:sz w:val="21"/>
        </w:rPr>
        <w:t> </w:t>
      </w:r>
      <w:r>
        <w:rPr>
          <w:color w:val="231F20"/>
          <w:sz w:val="21"/>
        </w:rPr>
        <w:t>15</w:t>
      </w:r>
      <w:r>
        <w:rPr>
          <w:color w:val="231F20"/>
          <w:spacing w:val="-5"/>
          <w:sz w:val="21"/>
        </w:rPr>
        <w:t> </w:t>
      </w:r>
      <w:r>
        <w:rPr>
          <w:color w:val="231F20"/>
          <w:sz w:val="21"/>
        </w:rPr>
        <w:t>min)</w:t>
      </w:r>
      <w:r>
        <w:rPr>
          <w:color w:val="231F20"/>
          <w:spacing w:val="-5"/>
          <w:sz w:val="21"/>
        </w:rPr>
        <w:t> </w:t>
      </w:r>
      <w:r>
        <w:rPr>
          <w:color w:val="231F20"/>
          <w:sz w:val="21"/>
        </w:rPr>
        <w:t>se</w:t>
      </w:r>
      <w:r>
        <w:rPr>
          <w:color w:val="231F20"/>
          <w:spacing w:val="-5"/>
          <w:sz w:val="21"/>
        </w:rPr>
        <w:t> </w:t>
      </w:r>
      <w:r>
        <w:rPr>
          <w:color w:val="231F20"/>
          <w:sz w:val="21"/>
        </w:rPr>
        <w:t>dejaró</w:t>
      </w:r>
      <w:r>
        <w:rPr>
          <w:color w:val="231F20"/>
          <w:spacing w:val="-5"/>
          <w:sz w:val="21"/>
        </w:rPr>
        <w:t> </w:t>
      </w:r>
      <w:r>
        <w:rPr>
          <w:color w:val="231F20"/>
          <w:sz w:val="21"/>
        </w:rPr>
        <w:t>remojando</w:t>
      </w:r>
      <w:r>
        <w:rPr>
          <w:color w:val="231F20"/>
          <w:spacing w:val="-6"/>
          <w:sz w:val="21"/>
        </w:rPr>
        <w:t> </w:t>
      </w:r>
      <w:r>
        <w:rPr>
          <w:color w:val="231F20"/>
          <w:sz w:val="21"/>
        </w:rPr>
        <w:t>por</w:t>
      </w:r>
      <w:r>
        <w:rPr>
          <w:color w:val="231F20"/>
          <w:spacing w:val="-5"/>
          <w:sz w:val="21"/>
        </w:rPr>
        <w:t> </w:t>
      </w:r>
      <w:r>
        <w:rPr>
          <w:color w:val="231F20"/>
          <w:sz w:val="21"/>
        </w:rPr>
        <w:t>24</w:t>
      </w:r>
      <w:r>
        <w:rPr>
          <w:color w:val="231F20"/>
          <w:spacing w:val="-5"/>
          <w:sz w:val="21"/>
        </w:rPr>
        <w:t> </w:t>
      </w:r>
      <w:r>
        <w:rPr>
          <w:color w:val="231F20"/>
          <w:sz w:val="21"/>
        </w:rPr>
        <w:t>hrs</w:t>
      </w:r>
      <w:r>
        <w:rPr>
          <w:color w:val="231F20"/>
          <w:spacing w:val="-5"/>
          <w:sz w:val="21"/>
        </w:rPr>
        <w:t> </w:t>
      </w:r>
      <w:r>
        <w:rPr>
          <w:color w:val="231F20"/>
          <w:sz w:val="21"/>
        </w:rPr>
        <w:t>y</w:t>
      </w:r>
      <w:r>
        <w:rPr>
          <w:color w:val="231F20"/>
          <w:spacing w:val="-5"/>
          <w:sz w:val="21"/>
        </w:rPr>
        <w:t> </w:t>
      </w:r>
      <w:r>
        <w:rPr>
          <w:color w:val="231F20"/>
          <w:sz w:val="21"/>
        </w:rPr>
        <w:t>se</w:t>
      </w:r>
      <w:r>
        <w:rPr>
          <w:color w:val="231F20"/>
          <w:spacing w:val="-5"/>
          <w:sz w:val="21"/>
        </w:rPr>
        <w:t> </w:t>
      </w:r>
      <w:r>
        <w:rPr>
          <w:color w:val="231F20"/>
          <w:sz w:val="21"/>
        </w:rPr>
        <w:t>extrajo</w:t>
      </w:r>
      <w:r>
        <w:rPr>
          <w:color w:val="231F20"/>
          <w:spacing w:val="-6"/>
          <w:sz w:val="21"/>
        </w:rPr>
        <w:t> </w:t>
      </w:r>
      <w:r>
        <w:rPr>
          <w:color w:val="231F20"/>
          <w:sz w:val="21"/>
        </w:rPr>
        <w:t>el embrión cortando la semilla con la ayuda del escalpelo. Una vez extraídos los embriones se les hizo una desinfección con cloro al 10% por 5 minutos. Pasado este tiempo, se pusieron a secar en papel filtro y se colocaron en cajas de Petri con el siguiente medio de cultivo para germinación de los</w:t>
      </w:r>
      <w:r>
        <w:rPr>
          <w:color w:val="231F20"/>
          <w:spacing w:val="-12"/>
          <w:sz w:val="21"/>
        </w:rPr>
        <w:t> </w:t>
      </w:r>
      <w:r>
        <w:rPr>
          <w:color w:val="231F20"/>
          <w:sz w:val="21"/>
        </w:rPr>
        <w:t>em- briones (Sidorov </w:t>
      </w:r>
      <w:r>
        <w:rPr>
          <w:i/>
          <w:color w:val="231F20"/>
          <w:sz w:val="21"/>
        </w:rPr>
        <w:t>et al.</w:t>
      </w:r>
      <w:r>
        <w:rPr>
          <w:color w:val="231F20"/>
          <w:sz w:val="21"/>
        </w:rPr>
        <w:t>, 2006): Sales Murashige y Skoog (1962) 100% suplementado con vitaminas MS, maltosa 40 g.L</w:t>
      </w:r>
      <w:r>
        <w:rPr>
          <w:color w:val="231F20"/>
          <w:position w:val="7"/>
          <w:sz w:val="12"/>
        </w:rPr>
        <w:t>-1</w:t>
      </w:r>
      <w:r>
        <w:rPr>
          <w:color w:val="231F20"/>
          <w:sz w:val="21"/>
        </w:rPr>
        <w:t>, caseína hidrolizada 0.1 g.L</w:t>
      </w:r>
      <w:r>
        <w:rPr>
          <w:color w:val="231F20"/>
          <w:position w:val="7"/>
          <w:sz w:val="12"/>
        </w:rPr>
        <w:t>-1</w:t>
      </w:r>
      <w:r>
        <w:rPr>
          <w:color w:val="231F20"/>
          <w:sz w:val="21"/>
        </w:rPr>
        <w:t>, MES 1.95 g.</w:t>
      </w:r>
      <w:r>
        <w:rPr>
          <w:color w:val="231F20"/>
          <w:position w:val="7"/>
          <w:sz w:val="12"/>
        </w:rPr>
        <w:t>L-1</w:t>
      </w:r>
      <w:r>
        <w:rPr>
          <w:color w:val="231F20"/>
          <w:sz w:val="21"/>
        </w:rPr>
        <w:t>, cloruro de magnesio 0.75 g.L</w:t>
      </w:r>
      <w:r>
        <w:rPr>
          <w:color w:val="231F20"/>
          <w:position w:val="7"/>
          <w:sz w:val="12"/>
        </w:rPr>
        <w:t>-1</w:t>
      </w:r>
      <w:r>
        <w:rPr>
          <w:color w:val="231F20"/>
          <w:sz w:val="21"/>
        </w:rPr>
        <w:t>, glutamina 0.5 g.L</w:t>
      </w:r>
      <w:r>
        <w:rPr>
          <w:color w:val="231F20"/>
          <w:position w:val="7"/>
          <w:sz w:val="12"/>
        </w:rPr>
        <w:t>-1</w:t>
      </w:r>
      <w:r>
        <w:rPr>
          <w:color w:val="231F20"/>
          <w:sz w:val="21"/>
        </w:rPr>
        <w:t>, ácido ascórbico 0.1 g.L</w:t>
      </w:r>
      <w:r>
        <w:rPr>
          <w:color w:val="231F20"/>
          <w:position w:val="7"/>
          <w:sz w:val="12"/>
        </w:rPr>
        <w:t>-1</w:t>
      </w:r>
      <w:r>
        <w:rPr>
          <w:color w:val="231F20"/>
          <w:sz w:val="21"/>
        </w:rPr>
        <w:t>, picloram 10 mg.L</w:t>
      </w:r>
      <w:r>
        <w:rPr>
          <w:color w:val="231F20"/>
          <w:position w:val="7"/>
          <w:sz w:val="12"/>
        </w:rPr>
        <w:t>-1</w:t>
      </w:r>
      <w:r>
        <w:rPr>
          <w:color w:val="231F20"/>
          <w:sz w:val="21"/>
        </w:rPr>
        <w:t>, 3 mg.L</w:t>
      </w:r>
      <w:r>
        <w:rPr>
          <w:color w:val="231F20"/>
          <w:position w:val="7"/>
          <w:sz w:val="12"/>
        </w:rPr>
        <w:t>-1 </w:t>
      </w:r>
      <w:r>
        <w:rPr>
          <w:color w:val="231F20"/>
          <w:sz w:val="21"/>
        </w:rPr>
        <w:t>de BAP pH 5.8 y 8 g.L</w:t>
      </w:r>
      <w:r>
        <w:rPr>
          <w:color w:val="231F20"/>
          <w:position w:val="7"/>
          <w:sz w:val="12"/>
        </w:rPr>
        <w:t>-1 </w:t>
      </w:r>
      <w:r>
        <w:rPr>
          <w:color w:val="231F20"/>
          <w:sz w:val="21"/>
        </w:rPr>
        <w:t>de </w:t>
      </w:r>
      <w:r>
        <w:rPr>
          <w:color w:val="231F20"/>
          <w:spacing w:val="-3"/>
          <w:sz w:val="21"/>
        </w:rPr>
        <w:t>agar. </w:t>
      </w:r>
      <w:r>
        <w:rPr>
          <w:color w:val="231F20"/>
          <w:sz w:val="21"/>
        </w:rPr>
        <w:t>Después de dos semanas en germinación en oscuridad y a 27 °C se extrajeron las porciones nodales de cada plántula germinada y se colocaron en medio MSW57 (Sidorov </w:t>
      </w:r>
      <w:r>
        <w:rPr>
          <w:i/>
          <w:color w:val="231F20"/>
          <w:sz w:val="21"/>
        </w:rPr>
        <w:t>et al.</w:t>
      </w:r>
      <w:r>
        <w:rPr>
          <w:color w:val="231F20"/>
          <w:sz w:val="21"/>
        </w:rPr>
        <w:t>, 2006) para propiciar el desarrollo de callo embriogénico. Dicho medio consta de los siguientes componentes: Sales Murashige y Skoog (1962) 100% suplementado con vitaminas MS, tiamina HCL 0.5 g.L</w:t>
      </w:r>
      <w:r>
        <w:rPr>
          <w:color w:val="231F20"/>
          <w:position w:val="7"/>
          <w:sz w:val="12"/>
        </w:rPr>
        <w:t>-1</w:t>
      </w:r>
      <w:r>
        <w:rPr>
          <w:color w:val="231F20"/>
          <w:sz w:val="21"/>
        </w:rPr>
        <w:t>, caseína</w:t>
      </w:r>
      <w:r>
        <w:rPr>
          <w:color w:val="231F20"/>
          <w:spacing w:val="-4"/>
          <w:sz w:val="21"/>
        </w:rPr>
        <w:t> </w:t>
      </w:r>
      <w:r>
        <w:rPr>
          <w:color w:val="231F20"/>
          <w:sz w:val="21"/>
        </w:rPr>
        <w:t>hidrolizada</w:t>
      </w:r>
      <w:r>
        <w:rPr>
          <w:color w:val="231F20"/>
          <w:spacing w:val="-4"/>
          <w:sz w:val="21"/>
        </w:rPr>
        <w:t> </w:t>
      </w:r>
      <w:r>
        <w:rPr>
          <w:color w:val="231F20"/>
          <w:sz w:val="21"/>
        </w:rPr>
        <w:t>0.5</w:t>
      </w:r>
      <w:r>
        <w:rPr>
          <w:color w:val="231F20"/>
          <w:spacing w:val="-4"/>
          <w:sz w:val="21"/>
        </w:rPr>
        <w:t> </w:t>
      </w:r>
      <w:r>
        <w:rPr>
          <w:color w:val="231F20"/>
          <w:sz w:val="21"/>
        </w:rPr>
        <w:t>g.L</w:t>
      </w:r>
      <w:r>
        <w:rPr>
          <w:color w:val="231F20"/>
          <w:position w:val="7"/>
          <w:sz w:val="12"/>
        </w:rPr>
        <w:t>-1</w:t>
      </w:r>
      <w:r>
        <w:rPr>
          <w:color w:val="231F20"/>
          <w:sz w:val="21"/>
        </w:rPr>
        <w:t>,</w:t>
      </w:r>
      <w:r>
        <w:rPr>
          <w:color w:val="231F20"/>
          <w:spacing w:val="-4"/>
          <w:sz w:val="21"/>
        </w:rPr>
        <w:t> </w:t>
      </w:r>
      <w:r>
        <w:rPr>
          <w:color w:val="231F20"/>
          <w:sz w:val="21"/>
        </w:rPr>
        <w:t>sacarosa</w:t>
      </w:r>
      <w:r>
        <w:rPr>
          <w:color w:val="231F20"/>
          <w:spacing w:val="-3"/>
          <w:sz w:val="21"/>
        </w:rPr>
        <w:t> </w:t>
      </w:r>
      <w:r>
        <w:rPr>
          <w:color w:val="231F20"/>
          <w:sz w:val="21"/>
        </w:rPr>
        <w:t>30</w:t>
      </w:r>
      <w:r>
        <w:rPr>
          <w:color w:val="231F20"/>
          <w:spacing w:val="-4"/>
          <w:sz w:val="21"/>
        </w:rPr>
        <w:t> </w:t>
      </w:r>
      <w:r>
        <w:rPr>
          <w:color w:val="231F20"/>
          <w:sz w:val="21"/>
        </w:rPr>
        <w:t>g.L</w:t>
      </w:r>
      <w:r>
        <w:rPr>
          <w:color w:val="231F20"/>
          <w:position w:val="7"/>
          <w:sz w:val="12"/>
        </w:rPr>
        <w:t>-1</w:t>
      </w:r>
      <w:r>
        <w:rPr>
          <w:color w:val="231F20"/>
          <w:sz w:val="21"/>
        </w:rPr>
        <w:t>,</w:t>
      </w:r>
      <w:r>
        <w:rPr>
          <w:color w:val="231F20"/>
          <w:spacing w:val="-4"/>
          <w:sz w:val="21"/>
        </w:rPr>
        <w:t> </w:t>
      </w:r>
      <w:r>
        <w:rPr>
          <w:color w:val="231F20"/>
          <w:sz w:val="21"/>
        </w:rPr>
        <w:t>L-prolina</w:t>
      </w:r>
      <w:r>
        <w:rPr>
          <w:color w:val="231F20"/>
          <w:spacing w:val="-4"/>
          <w:sz w:val="21"/>
        </w:rPr>
        <w:t> </w:t>
      </w:r>
      <w:r>
        <w:rPr>
          <w:color w:val="231F20"/>
          <w:sz w:val="21"/>
        </w:rPr>
        <w:t>1.38</w:t>
      </w:r>
      <w:r>
        <w:rPr>
          <w:color w:val="231F20"/>
          <w:spacing w:val="-4"/>
          <w:sz w:val="21"/>
        </w:rPr>
        <w:t> </w:t>
      </w:r>
      <w:r>
        <w:rPr>
          <w:color w:val="231F20"/>
          <w:sz w:val="21"/>
        </w:rPr>
        <w:t>g.L</w:t>
      </w:r>
      <w:r>
        <w:rPr>
          <w:color w:val="231F20"/>
          <w:position w:val="7"/>
          <w:sz w:val="12"/>
        </w:rPr>
        <w:t>-1</w:t>
      </w:r>
      <w:r>
        <w:rPr>
          <w:color w:val="231F20"/>
          <w:sz w:val="21"/>
        </w:rPr>
        <w:t>,</w:t>
      </w:r>
      <w:r>
        <w:rPr>
          <w:color w:val="231F20"/>
          <w:spacing w:val="-4"/>
          <w:sz w:val="21"/>
        </w:rPr>
        <w:t> </w:t>
      </w:r>
      <w:r>
        <w:rPr>
          <w:color w:val="231F20"/>
          <w:sz w:val="21"/>
        </w:rPr>
        <w:t>nitrato</w:t>
      </w:r>
      <w:r>
        <w:rPr>
          <w:color w:val="231F20"/>
          <w:spacing w:val="-4"/>
          <w:sz w:val="21"/>
        </w:rPr>
        <w:t> </w:t>
      </w:r>
      <w:r>
        <w:rPr>
          <w:color w:val="231F20"/>
          <w:sz w:val="21"/>
        </w:rPr>
        <w:t>de</w:t>
      </w:r>
      <w:r>
        <w:rPr>
          <w:color w:val="231F20"/>
          <w:spacing w:val="-4"/>
          <w:sz w:val="21"/>
        </w:rPr>
        <w:t> </w:t>
      </w:r>
      <w:r>
        <w:rPr>
          <w:color w:val="231F20"/>
          <w:sz w:val="21"/>
        </w:rPr>
        <w:t>plata</w:t>
      </w:r>
      <w:r>
        <w:rPr>
          <w:color w:val="231F20"/>
          <w:spacing w:val="-4"/>
          <w:sz w:val="21"/>
        </w:rPr>
        <w:t> </w:t>
      </w:r>
      <w:r>
        <w:rPr>
          <w:color w:val="231F20"/>
          <w:sz w:val="21"/>
        </w:rPr>
        <w:t>15</w:t>
      </w:r>
      <w:r>
        <w:rPr>
          <w:color w:val="231F20"/>
          <w:spacing w:val="-4"/>
          <w:sz w:val="21"/>
        </w:rPr>
        <w:t> </w:t>
      </w:r>
      <w:r>
        <w:rPr>
          <w:color w:val="231F20"/>
          <w:sz w:val="21"/>
        </w:rPr>
        <w:t>mg.L</w:t>
      </w:r>
      <w:r>
        <w:rPr>
          <w:color w:val="231F20"/>
          <w:position w:val="7"/>
          <w:sz w:val="12"/>
        </w:rPr>
        <w:t>-1</w:t>
      </w:r>
      <w:r>
        <w:rPr>
          <w:color w:val="231F20"/>
          <w:sz w:val="21"/>
        </w:rPr>
        <w:t>,</w:t>
      </w:r>
      <w:r>
        <w:rPr>
          <w:color w:val="231F20"/>
          <w:spacing w:val="-4"/>
          <w:sz w:val="21"/>
        </w:rPr>
        <w:t> </w:t>
      </w:r>
      <w:r>
        <w:rPr>
          <w:color w:val="231F20"/>
          <w:sz w:val="21"/>
        </w:rPr>
        <w:t>2-4D</w:t>
      </w:r>
    </w:p>
    <w:p>
      <w:pPr>
        <w:pStyle w:val="BodyText"/>
        <w:spacing w:line="241" w:lineRule="exact"/>
        <w:ind w:left="1270"/>
        <w:jc w:val="both"/>
      </w:pPr>
      <w:r>
        <w:rPr>
          <w:color w:val="231F20"/>
        </w:rPr>
        <w:t>0.5 mg.L</w:t>
      </w:r>
      <w:r>
        <w:rPr>
          <w:color w:val="231F20"/>
          <w:position w:val="7"/>
          <w:sz w:val="12"/>
        </w:rPr>
        <w:t>-1</w:t>
      </w:r>
      <w:r>
        <w:rPr>
          <w:color w:val="231F20"/>
        </w:rPr>
        <w:t>, picloram 2.2 mg.L</w:t>
      </w:r>
      <w:r>
        <w:rPr>
          <w:color w:val="231F20"/>
          <w:position w:val="7"/>
          <w:sz w:val="12"/>
        </w:rPr>
        <w:t>-1  </w:t>
      </w:r>
      <w:r>
        <w:rPr>
          <w:color w:val="231F20"/>
        </w:rPr>
        <w:t>pH 5.8 y 8 g.L</w:t>
      </w:r>
      <w:r>
        <w:rPr>
          <w:color w:val="231F20"/>
          <w:position w:val="7"/>
          <w:sz w:val="12"/>
        </w:rPr>
        <w:t>-1</w:t>
      </w:r>
      <w:r>
        <w:rPr>
          <w:color w:val="231F20"/>
        </w:rPr>
        <w:t>de agar.</w:t>
      </w:r>
    </w:p>
    <w:p>
      <w:pPr>
        <w:spacing w:after="0" w:line="241" w:lineRule="exact"/>
        <w:jc w:val="both"/>
        <w:sectPr>
          <w:pgSz w:w="10920" w:h="13080"/>
          <w:pgMar w:header="0" w:footer="965" w:top="420" w:bottom="1220" w:left="0" w:right="0"/>
        </w:sectPr>
      </w:pPr>
    </w:p>
    <w:p>
      <w:pPr>
        <w:pStyle w:val="BodyText"/>
        <w:rPr>
          <w:sz w:val="20"/>
        </w:rPr>
      </w:pPr>
    </w:p>
    <w:p>
      <w:pPr>
        <w:pStyle w:val="BodyText"/>
        <w:rPr>
          <w:sz w:val="20"/>
        </w:rPr>
      </w:pPr>
    </w:p>
    <w:p>
      <w:pPr>
        <w:pStyle w:val="BodyText"/>
        <w:rPr>
          <w:sz w:val="23"/>
        </w:rPr>
      </w:pPr>
    </w:p>
    <w:p>
      <w:pPr>
        <w:pStyle w:val="BodyText"/>
        <w:spacing w:line="249" w:lineRule="auto" w:before="73"/>
        <w:ind w:left="1270" w:right="1267"/>
        <w:jc w:val="both"/>
      </w:pPr>
      <w:r>
        <w:rPr>
          <w:color w:val="231F20"/>
        </w:rPr>
        <w:t>Después el callo fue mantenido en el medio de cultivo N6C1SN (Bohorova, 1995) el cual consiste de medio basal N6 (sales N6 y vitaminas N6: tiamina HCL 1mg/L, piridoxina HCl 0.5 mg.L</w:t>
      </w:r>
      <w:r>
        <w:rPr>
          <w:color w:val="231F20"/>
          <w:position w:val="7"/>
          <w:sz w:val="12"/>
        </w:rPr>
        <w:t>-1</w:t>
      </w:r>
      <w:r>
        <w:rPr>
          <w:color w:val="231F20"/>
        </w:rPr>
        <w:t>, áci- do nicotínico 0.5 mg.L</w:t>
      </w:r>
      <w:r>
        <w:rPr>
          <w:color w:val="231F20"/>
          <w:position w:val="7"/>
          <w:sz w:val="12"/>
        </w:rPr>
        <w:t>-1 </w:t>
      </w:r>
      <w:r>
        <w:rPr>
          <w:color w:val="231F20"/>
        </w:rPr>
        <w:t>y glicina 2.0 mg.L</w:t>
      </w:r>
      <w:r>
        <w:rPr>
          <w:color w:val="231F20"/>
          <w:position w:val="7"/>
          <w:sz w:val="12"/>
        </w:rPr>
        <w:t>-1</w:t>
      </w:r>
      <w:r>
        <w:rPr>
          <w:color w:val="231F20"/>
        </w:rPr>
        <w:t>) mas caseína hidrolizada 200 mg.L</w:t>
      </w:r>
      <w:r>
        <w:rPr>
          <w:color w:val="231F20"/>
          <w:position w:val="7"/>
          <w:sz w:val="12"/>
        </w:rPr>
        <w:t>-1</w:t>
      </w:r>
      <w:r>
        <w:rPr>
          <w:color w:val="231F20"/>
        </w:rPr>
        <w:t>, L-prolina 2.302 mg.L</w:t>
      </w:r>
      <w:r>
        <w:rPr>
          <w:color w:val="231F20"/>
          <w:position w:val="7"/>
          <w:sz w:val="12"/>
        </w:rPr>
        <w:t>-1</w:t>
      </w:r>
      <w:r>
        <w:rPr>
          <w:color w:val="231F20"/>
        </w:rPr>
        <w:t>, sacarosa 30 g.L</w:t>
      </w:r>
      <w:r>
        <w:rPr>
          <w:color w:val="231F20"/>
          <w:position w:val="7"/>
          <w:sz w:val="12"/>
        </w:rPr>
        <w:t>-1</w:t>
      </w:r>
      <w:r>
        <w:rPr>
          <w:color w:val="231F20"/>
        </w:rPr>
        <w:t>, ácido 3,6-dicloro-O-anísico (Dicamba) 2 mg.L</w:t>
      </w:r>
      <w:r>
        <w:rPr>
          <w:color w:val="231F20"/>
          <w:position w:val="7"/>
          <w:sz w:val="12"/>
        </w:rPr>
        <w:t>-1</w:t>
      </w:r>
      <w:r>
        <w:rPr>
          <w:color w:val="231F20"/>
        </w:rPr>
        <w:t>, nitrato de plata 15.3 mg.L</w:t>
      </w:r>
      <w:r>
        <w:rPr>
          <w:color w:val="231F20"/>
          <w:position w:val="7"/>
          <w:sz w:val="12"/>
        </w:rPr>
        <w:t>-1</w:t>
      </w:r>
      <w:r>
        <w:rPr>
          <w:color w:val="231F20"/>
        </w:rPr>
        <w:t>, pH 5.8 y 8 g.L</w:t>
      </w:r>
      <w:r>
        <w:rPr>
          <w:color w:val="231F20"/>
          <w:position w:val="7"/>
          <w:sz w:val="12"/>
        </w:rPr>
        <w:t>-1</w:t>
      </w:r>
      <w:r>
        <w:rPr>
          <w:color w:val="231F20"/>
        </w:rPr>
        <w:t>de agar, fueron mantenidos en oscuridad a 26 ºC en el cuarto de incubación. Se hicieron sub cultivos cada 2-3 semanas en el mismo medio antes de transferir los callos al medio de regeneración.</w:t>
      </w:r>
    </w:p>
    <w:p>
      <w:pPr>
        <w:pStyle w:val="BodyText"/>
        <w:spacing w:before="7"/>
      </w:pPr>
    </w:p>
    <w:p>
      <w:pPr>
        <w:pStyle w:val="ListParagraph"/>
        <w:numPr>
          <w:ilvl w:val="0"/>
          <w:numId w:val="7"/>
        </w:numPr>
        <w:tabs>
          <w:tab w:pos="1510" w:val="left" w:leader="none"/>
        </w:tabs>
        <w:spacing w:line="249" w:lineRule="auto" w:before="0" w:after="0"/>
        <w:ind w:left="1270" w:right="1267" w:firstLine="0"/>
        <w:jc w:val="both"/>
        <w:rPr>
          <w:sz w:val="21"/>
        </w:rPr>
      </w:pPr>
      <w:r>
        <w:rPr>
          <w:color w:val="231F20"/>
          <w:sz w:val="21"/>
        </w:rPr>
        <w:t>A partir de embriones inmaduros reportado por Bohorova (1995), es decir, como explantes se utilizaron embriones inmaduros de 1.0 a 1.5 mm de tamaño: La extracción e inducción de callo em- briogénico se realizó con la esterilización de cada mazorca, sumergiéndolas primeramente en</w:t>
      </w:r>
      <w:r>
        <w:rPr>
          <w:color w:val="231F20"/>
          <w:spacing w:val="-23"/>
          <w:sz w:val="21"/>
        </w:rPr>
        <w:t> </w:t>
      </w:r>
      <w:r>
        <w:rPr>
          <w:color w:val="231F20"/>
          <w:sz w:val="21"/>
        </w:rPr>
        <w:t>etanol al 70% por 3 minutos y después en hipoclorito de sodio al 50% mas </w:t>
      </w:r>
      <w:r>
        <w:rPr>
          <w:color w:val="231F20"/>
          <w:spacing w:val="-3"/>
          <w:sz w:val="21"/>
        </w:rPr>
        <w:t>Tween </w:t>
      </w:r>
      <w:r>
        <w:rPr>
          <w:color w:val="231F20"/>
          <w:sz w:val="21"/>
        </w:rPr>
        <w:t>80 por 30 minutos, al pasar éste tiempo las mazorcas fueron enjuagadas tres veces con agua destilada estéril, esto dentro de la campana de flujo laminar. Una vez esterilizada la mazorca, los embriones inmaduros fueron asépticamente</w:t>
      </w:r>
      <w:r>
        <w:rPr>
          <w:color w:val="231F20"/>
          <w:spacing w:val="-8"/>
          <w:sz w:val="21"/>
        </w:rPr>
        <w:t> </w:t>
      </w:r>
      <w:r>
        <w:rPr>
          <w:color w:val="231F20"/>
          <w:sz w:val="21"/>
        </w:rPr>
        <w:t>removidos</w:t>
      </w:r>
      <w:r>
        <w:rPr>
          <w:color w:val="231F20"/>
          <w:spacing w:val="-8"/>
          <w:sz w:val="21"/>
        </w:rPr>
        <w:t> </w:t>
      </w:r>
      <w:r>
        <w:rPr>
          <w:color w:val="231F20"/>
          <w:sz w:val="21"/>
        </w:rPr>
        <w:t>de</w:t>
      </w:r>
      <w:r>
        <w:rPr>
          <w:color w:val="231F20"/>
          <w:spacing w:val="-8"/>
          <w:sz w:val="21"/>
        </w:rPr>
        <w:t> </w:t>
      </w:r>
      <w:r>
        <w:rPr>
          <w:color w:val="231F20"/>
          <w:sz w:val="21"/>
        </w:rPr>
        <w:t>los</w:t>
      </w:r>
      <w:r>
        <w:rPr>
          <w:color w:val="231F20"/>
          <w:spacing w:val="-8"/>
          <w:sz w:val="21"/>
        </w:rPr>
        <w:t> </w:t>
      </w:r>
      <w:r>
        <w:rPr>
          <w:color w:val="231F20"/>
          <w:sz w:val="21"/>
        </w:rPr>
        <w:t>granos</w:t>
      </w:r>
      <w:r>
        <w:rPr>
          <w:color w:val="231F20"/>
          <w:spacing w:val="-8"/>
          <w:sz w:val="21"/>
        </w:rPr>
        <w:t> </w:t>
      </w:r>
      <w:r>
        <w:rPr>
          <w:color w:val="231F20"/>
          <w:sz w:val="21"/>
        </w:rPr>
        <w:t>haciendo</w:t>
      </w:r>
      <w:r>
        <w:rPr>
          <w:color w:val="231F20"/>
          <w:spacing w:val="-8"/>
          <w:sz w:val="21"/>
        </w:rPr>
        <w:t> </w:t>
      </w:r>
      <w:r>
        <w:rPr>
          <w:color w:val="231F20"/>
          <w:sz w:val="21"/>
        </w:rPr>
        <w:t>un</w:t>
      </w:r>
      <w:r>
        <w:rPr>
          <w:color w:val="231F20"/>
          <w:spacing w:val="-8"/>
          <w:sz w:val="21"/>
        </w:rPr>
        <w:t> </w:t>
      </w:r>
      <w:r>
        <w:rPr>
          <w:color w:val="231F20"/>
          <w:sz w:val="21"/>
        </w:rPr>
        <w:t>corte</w:t>
      </w:r>
      <w:r>
        <w:rPr>
          <w:color w:val="231F20"/>
          <w:spacing w:val="-8"/>
          <w:sz w:val="21"/>
        </w:rPr>
        <w:t> </w:t>
      </w:r>
      <w:r>
        <w:rPr>
          <w:color w:val="231F20"/>
          <w:sz w:val="21"/>
        </w:rPr>
        <w:t>con</w:t>
      </w:r>
      <w:r>
        <w:rPr>
          <w:color w:val="231F20"/>
          <w:spacing w:val="-8"/>
          <w:sz w:val="21"/>
        </w:rPr>
        <w:t> </w:t>
      </w:r>
      <w:r>
        <w:rPr>
          <w:color w:val="231F20"/>
          <w:sz w:val="21"/>
        </w:rPr>
        <w:t>el</w:t>
      </w:r>
      <w:r>
        <w:rPr>
          <w:color w:val="231F20"/>
          <w:spacing w:val="-8"/>
          <w:sz w:val="21"/>
        </w:rPr>
        <w:t> </w:t>
      </w:r>
      <w:r>
        <w:rPr>
          <w:color w:val="231F20"/>
          <w:sz w:val="21"/>
        </w:rPr>
        <w:t>bisturí</w:t>
      </w:r>
      <w:r>
        <w:rPr>
          <w:color w:val="231F20"/>
          <w:spacing w:val="-8"/>
          <w:sz w:val="21"/>
        </w:rPr>
        <w:t> </w:t>
      </w:r>
      <w:r>
        <w:rPr>
          <w:color w:val="231F20"/>
          <w:sz w:val="21"/>
        </w:rPr>
        <w:t>y</w:t>
      </w:r>
      <w:r>
        <w:rPr>
          <w:color w:val="231F20"/>
          <w:spacing w:val="-8"/>
          <w:sz w:val="21"/>
        </w:rPr>
        <w:t> </w:t>
      </w:r>
      <w:r>
        <w:rPr>
          <w:color w:val="231F20"/>
          <w:sz w:val="21"/>
        </w:rPr>
        <w:t>extrayéndolos</w:t>
      </w:r>
      <w:r>
        <w:rPr>
          <w:color w:val="231F20"/>
          <w:spacing w:val="-8"/>
          <w:sz w:val="21"/>
        </w:rPr>
        <w:t> </w:t>
      </w:r>
      <w:r>
        <w:rPr>
          <w:color w:val="231F20"/>
          <w:sz w:val="21"/>
        </w:rPr>
        <w:t>con</w:t>
      </w:r>
      <w:r>
        <w:rPr>
          <w:color w:val="231F20"/>
          <w:spacing w:val="-8"/>
          <w:sz w:val="21"/>
        </w:rPr>
        <w:t> </w:t>
      </w:r>
      <w:r>
        <w:rPr>
          <w:color w:val="231F20"/>
          <w:sz w:val="21"/>
        </w:rPr>
        <w:t>la</w:t>
      </w:r>
      <w:r>
        <w:rPr>
          <w:color w:val="231F20"/>
          <w:spacing w:val="-8"/>
          <w:sz w:val="21"/>
        </w:rPr>
        <w:t> </w:t>
      </w:r>
      <w:r>
        <w:rPr>
          <w:color w:val="231F20"/>
          <w:sz w:val="21"/>
        </w:rPr>
        <w:t>ayuda de una espátula para posteriormente colocar 30 embriones con la cara plana hacia abajo en cajas de Petri de 100x15 mm (25ml) que contenían el medio de cultivo N6C1SN (Bohorova, 1995) el cual consiste</w:t>
      </w:r>
      <w:r>
        <w:rPr>
          <w:color w:val="231F20"/>
          <w:spacing w:val="-9"/>
          <w:sz w:val="21"/>
        </w:rPr>
        <w:t> </w:t>
      </w:r>
      <w:r>
        <w:rPr>
          <w:color w:val="231F20"/>
          <w:sz w:val="21"/>
        </w:rPr>
        <w:t>de</w:t>
      </w:r>
      <w:r>
        <w:rPr>
          <w:color w:val="231F20"/>
          <w:spacing w:val="-9"/>
          <w:sz w:val="21"/>
        </w:rPr>
        <w:t> </w:t>
      </w:r>
      <w:r>
        <w:rPr>
          <w:color w:val="231F20"/>
          <w:sz w:val="21"/>
        </w:rPr>
        <w:t>medio</w:t>
      </w:r>
      <w:r>
        <w:rPr>
          <w:color w:val="231F20"/>
          <w:spacing w:val="-9"/>
          <w:sz w:val="21"/>
        </w:rPr>
        <w:t> </w:t>
      </w:r>
      <w:r>
        <w:rPr>
          <w:color w:val="231F20"/>
          <w:sz w:val="21"/>
        </w:rPr>
        <w:t>basal</w:t>
      </w:r>
      <w:r>
        <w:rPr>
          <w:color w:val="231F20"/>
          <w:spacing w:val="-9"/>
          <w:sz w:val="21"/>
        </w:rPr>
        <w:t> </w:t>
      </w:r>
      <w:r>
        <w:rPr>
          <w:color w:val="231F20"/>
          <w:sz w:val="21"/>
        </w:rPr>
        <w:t>N6</w:t>
      </w:r>
      <w:r>
        <w:rPr>
          <w:color w:val="231F20"/>
          <w:spacing w:val="-9"/>
          <w:sz w:val="21"/>
        </w:rPr>
        <w:t> </w:t>
      </w:r>
      <w:r>
        <w:rPr>
          <w:color w:val="231F20"/>
          <w:sz w:val="21"/>
        </w:rPr>
        <w:t>(sales</w:t>
      </w:r>
      <w:r>
        <w:rPr>
          <w:color w:val="231F20"/>
          <w:spacing w:val="-9"/>
          <w:sz w:val="21"/>
        </w:rPr>
        <w:t> </w:t>
      </w:r>
      <w:r>
        <w:rPr>
          <w:color w:val="231F20"/>
          <w:sz w:val="21"/>
        </w:rPr>
        <w:t>N6</w:t>
      </w:r>
      <w:r>
        <w:rPr>
          <w:color w:val="231F20"/>
          <w:spacing w:val="-9"/>
          <w:sz w:val="21"/>
        </w:rPr>
        <w:t> </w:t>
      </w:r>
      <w:r>
        <w:rPr>
          <w:color w:val="231F20"/>
          <w:sz w:val="21"/>
        </w:rPr>
        <w:t>y</w:t>
      </w:r>
      <w:r>
        <w:rPr>
          <w:color w:val="231F20"/>
          <w:spacing w:val="-9"/>
          <w:sz w:val="21"/>
        </w:rPr>
        <w:t> </w:t>
      </w:r>
      <w:r>
        <w:rPr>
          <w:color w:val="231F20"/>
          <w:sz w:val="21"/>
        </w:rPr>
        <w:t>vitaminas</w:t>
      </w:r>
      <w:r>
        <w:rPr>
          <w:color w:val="231F20"/>
          <w:spacing w:val="-9"/>
          <w:sz w:val="21"/>
        </w:rPr>
        <w:t> </w:t>
      </w:r>
      <w:r>
        <w:rPr>
          <w:color w:val="231F20"/>
          <w:sz w:val="21"/>
        </w:rPr>
        <w:t>N6:</w:t>
      </w:r>
      <w:r>
        <w:rPr>
          <w:color w:val="231F20"/>
          <w:spacing w:val="-9"/>
          <w:sz w:val="21"/>
        </w:rPr>
        <w:t> </w:t>
      </w:r>
      <w:r>
        <w:rPr>
          <w:color w:val="231F20"/>
          <w:sz w:val="21"/>
        </w:rPr>
        <w:t>tiamina</w:t>
      </w:r>
      <w:r>
        <w:rPr>
          <w:color w:val="231F20"/>
          <w:spacing w:val="-9"/>
          <w:sz w:val="21"/>
        </w:rPr>
        <w:t> </w:t>
      </w:r>
      <w:r>
        <w:rPr>
          <w:color w:val="231F20"/>
          <w:sz w:val="21"/>
        </w:rPr>
        <w:t>HCL</w:t>
      </w:r>
      <w:r>
        <w:rPr>
          <w:color w:val="231F20"/>
          <w:spacing w:val="-17"/>
          <w:sz w:val="21"/>
        </w:rPr>
        <w:t> </w:t>
      </w:r>
      <w:r>
        <w:rPr>
          <w:color w:val="231F20"/>
          <w:sz w:val="21"/>
        </w:rPr>
        <w:t>1mg/L,</w:t>
      </w:r>
      <w:r>
        <w:rPr>
          <w:color w:val="231F20"/>
          <w:spacing w:val="-9"/>
          <w:sz w:val="21"/>
        </w:rPr>
        <w:t> </w:t>
      </w:r>
      <w:r>
        <w:rPr>
          <w:color w:val="231F20"/>
          <w:sz w:val="21"/>
        </w:rPr>
        <w:t>piridoxina</w:t>
      </w:r>
      <w:r>
        <w:rPr>
          <w:color w:val="231F20"/>
          <w:spacing w:val="-9"/>
          <w:sz w:val="21"/>
        </w:rPr>
        <w:t> </w:t>
      </w:r>
      <w:r>
        <w:rPr>
          <w:color w:val="231F20"/>
          <w:sz w:val="21"/>
        </w:rPr>
        <w:t>HCl</w:t>
      </w:r>
      <w:r>
        <w:rPr>
          <w:color w:val="231F20"/>
          <w:spacing w:val="-9"/>
          <w:sz w:val="21"/>
        </w:rPr>
        <w:t> </w:t>
      </w:r>
      <w:r>
        <w:rPr>
          <w:color w:val="231F20"/>
          <w:sz w:val="21"/>
        </w:rPr>
        <w:t>0.5</w:t>
      </w:r>
      <w:r>
        <w:rPr>
          <w:color w:val="231F20"/>
          <w:spacing w:val="-9"/>
          <w:sz w:val="21"/>
        </w:rPr>
        <w:t> </w:t>
      </w:r>
      <w:r>
        <w:rPr>
          <w:color w:val="231F20"/>
          <w:sz w:val="21"/>
        </w:rPr>
        <w:t>mg.L</w:t>
      </w:r>
      <w:r>
        <w:rPr>
          <w:color w:val="231F20"/>
          <w:position w:val="7"/>
          <w:sz w:val="12"/>
        </w:rPr>
        <w:t>- 1</w:t>
      </w:r>
      <w:r>
        <w:rPr>
          <w:color w:val="231F20"/>
          <w:sz w:val="21"/>
        </w:rPr>
        <w:t>,</w:t>
      </w:r>
      <w:r>
        <w:rPr>
          <w:color w:val="231F20"/>
          <w:spacing w:val="17"/>
          <w:sz w:val="21"/>
        </w:rPr>
        <w:t> </w:t>
      </w:r>
      <w:r>
        <w:rPr>
          <w:color w:val="231F20"/>
          <w:sz w:val="21"/>
        </w:rPr>
        <w:t>ácido</w:t>
      </w:r>
      <w:r>
        <w:rPr>
          <w:color w:val="231F20"/>
          <w:spacing w:val="17"/>
          <w:sz w:val="21"/>
        </w:rPr>
        <w:t> </w:t>
      </w:r>
      <w:r>
        <w:rPr>
          <w:color w:val="231F20"/>
          <w:sz w:val="21"/>
        </w:rPr>
        <w:t>nicotínico</w:t>
      </w:r>
      <w:r>
        <w:rPr>
          <w:color w:val="231F20"/>
          <w:spacing w:val="17"/>
          <w:sz w:val="21"/>
        </w:rPr>
        <w:t> </w:t>
      </w:r>
      <w:r>
        <w:rPr>
          <w:color w:val="231F20"/>
          <w:sz w:val="21"/>
        </w:rPr>
        <w:t>0.5</w:t>
      </w:r>
      <w:r>
        <w:rPr>
          <w:color w:val="231F20"/>
          <w:spacing w:val="17"/>
          <w:sz w:val="21"/>
        </w:rPr>
        <w:t> </w:t>
      </w:r>
      <w:r>
        <w:rPr>
          <w:color w:val="231F20"/>
          <w:sz w:val="21"/>
        </w:rPr>
        <w:t>mg.L</w:t>
      </w:r>
      <w:r>
        <w:rPr>
          <w:color w:val="231F20"/>
          <w:position w:val="7"/>
          <w:sz w:val="12"/>
        </w:rPr>
        <w:t>-1 </w:t>
      </w:r>
      <w:r>
        <w:rPr>
          <w:color w:val="231F20"/>
          <w:spacing w:val="10"/>
          <w:position w:val="7"/>
          <w:sz w:val="12"/>
        </w:rPr>
        <w:t> </w:t>
      </w:r>
      <w:r>
        <w:rPr>
          <w:color w:val="231F20"/>
          <w:sz w:val="21"/>
        </w:rPr>
        <w:t>y</w:t>
      </w:r>
      <w:r>
        <w:rPr>
          <w:color w:val="231F20"/>
          <w:spacing w:val="17"/>
          <w:sz w:val="21"/>
        </w:rPr>
        <w:t> </w:t>
      </w:r>
      <w:r>
        <w:rPr>
          <w:color w:val="231F20"/>
          <w:sz w:val="21"/>
        </w:rPr>
        <w:t>glicina</w:t>
      </w:r>
      <w:r>
        <w:rPr>
          <w:color w:val="231F20"/>
          <w:spacing w:val="17"/>
          <w:sz w:val="21"/>
        </w:rPr>
        <w:t> </w:t>
      </w:r>
      <w:r>
        <w:rPr>
          <w:color w:val="231F20"/>
          <w:sz w:val="21"/>
        </w:rPr>
        <w:t>2.0</w:t>
      </w:r>
      <w:r>
        <w:rPr>
          <w:color w:val="231F20"/>
          <w:spacing w:val="17"/>
          <w:sz w:val="21"/>
        </w:rPr>
        <w:t> </w:t>
      </w:r>
      <w:r>
        <w:rPr>
          <w:color w:val="231F20"/>
          <w:sz w:val="21"/>
        </w:rPr>
        <w:t>mg.L</w:t>
      </w:r>
      <w:r>
        <w:rPr>
          <w:color w:val="231F20"/>
          <w:position w:val="7"/>
          <w:sz w:val="12"/>
        </w:rPr>
        <w:t>-1</w:t>
      </w:r>
      <w:r>
        <w:rPr>
          <w:color w:val="231F20"/>
          <w:sz w:val="21"/>
        </w:rPr>
        <w:t>)</w:t>
      </w:r>
      <w:r>
        <w:rPr>
          <w:color w:val="231F20"/>
          <w:spacing w:val="17"/>
          <w:sz w:val="21"/>
        </w:rPr>
        <w:t> </w:t>
      </w:r>
      <w:r>
        <w:rPr>
          <w:color w:val="231F20"/>
          <w:sz w:val="21"/>
        </w:rPr>
        <w:t>mas</w:t>
      </w:r>
      <w:r>
        <w:rPr>
          <w:color w:val="231F20"/>
          <w:spacing w:val="17"/>
          <w:sz w:val="21"/>
        </w:rPr>
        <w:t> </w:t>
      </w:r>
      <w:r>
        <w:rPr>
          <w:color w:val="231F20"/>
          <w:sz w:val="21"/>
        </w:rPr>
        <w:t>caseína</w:t>
      </w:r>
      <w:r>
        <w:rPr>
          <w:color w:val="231F20"/>
          <w:spacing w:val="17"/>
          <w:sz w:val="21"/>
        </w:rPr>
        <w:t> </w:t>
      </w:r>
      <w:r>
        <w:rPr>
          <w:color w:val="231F20"/>
          <w:sz w:val="21"/>
        </w:rPr>
        <w:t>hidrolizada</w:t>
      </w:r>
      <w:r>
        <w:rPr>
          <w:color w:val="231F20"/>
          <w:spacing w:val="17"/>
          <w:sz w:val="21"/>
        </w:rPr>
        <w:t> </w:t>
      </w:r>
      <w:r>
        <w:rPr>
          <w:color w:val="231F20"/>
          <w:sz w:val="21"/>
        </w:rPr>
        <w:t>200</w:t>
      </w:r>
      <w:r>
        <w:rPr>
          <w:color w:val="231F20"/>
          <w:spacing w:val="17"/>
          <w:sz w:val="21"/>
        </w:rPr>
        <w:t> </w:t>
      </w:r>
      <w:r>
        <w:rPr>
          <w:color w:val="231F20"/>
          <w:sz w:val="21"/>
        </w:rPr>
        <w:t>mg.L</w:t>
      </w:r>
      <w:r>
        <w:rPr>
          <w:color w:val="231F20"/>
          <w:position w:val="7"/>
          <w:sz w:val="12"/>
        </w:rPr>
        <w:t>-1</w:t>
      </w:r>
      <w:r>
        <w:rPr>
          <w:color w:val="231F20"/>
          <w:sz w:val="21"/>
        </w:rPr>
        <w:t>,</w:t>
      </w:r>
      <w:r>
        <w:rPr>
          <w:color w:val="231F20"/>
          <w:spacing w:val="17"/>
          <w:sz w:val="21"/>
        </w:rPr>
        <w:t> </w:t>
      </w:r>
      <w:r>
        <w:rPr>
          <w:color w:val="231F20"/>
          <w:sz w:val="21"/>
        </w:rPr>
        <w:t>L-prolina</w:t>
      </w:r>
    </w:p>
    <w:p>
      <w:pPr>
        <w:pStyle w:val="BodyText"/>
        <w:spacing w:line="241" w:lineRule="exact"/>
        <w:ind w:left="1270"/>
        <w:jc w:val="both"/>
      </w:pPr>
      <w:r>
        <w:rPr>
          <w:color w:val="231F20"/>
        </w:rPr>
        <w:t>2.302 mg.L</w:t>
      </w:r>
      <w:r>
        <w:rPr>
          <w:color w:val="231F20"/>
          <w:position w:val="7"/>
          <w:sz w:val="12"/>
        </w:rPr>
        <w:t>-1</w:t>
      </w:r>
      <w:r>
        <w:rPr>
          <w:color w:val="231F20"/>
        </w:rPr>
        <w:t>, sacarosa 30 g.L</w:t>
      </w:r>
      <w:r>
        <w:rPr>
          <w:color w:val="231F20"/>
          <w:position w:val="7"/>
          <w:sz w:val="12"/>
        </w:rPr>
        <w:t>-1</w:t>
      </w:r>
      <w:r>
        <w:rPr>
          <w:color w:val="231F20"/>
        </w:rPr>
        <w:t>,   ácido 3,6-dicloro-O-anísico (Dicamba) 2 mg.L</w:t>
      </w:r>
      <w:r>
        <w:rPr>
          <w:color w:val="231F20"/>
          <w:position w:val="7"/>
          <w:sz w:val="12"/>
        </w:rPr>
        <w:t>-1</w:t>
      </w:r>
      <w:r>
        <w:rPr>
          <w:color w:val="231F20"/>
        </w:rPr>
        <w:t>, nitrato de    plata</w:t>
      </w:r>
    </w:p>
    <w:p>
      <w:pPr>
        <w:pStyle w:val="ListParagraph"/>
        <w:numPr>
          <w:ilvl w:val="1"/>
          <w:numId w:val="8"/>
        </w:numPr>
        <w:tabs>
          <w:tab w:pos="1691" w:val="left" w:leader="none"/>
        </w:tabs>
        <w:spacing w:line="240" w:lineRule="auto" w:before="8" w:after="0"/>
        <w:ind w:left="1690" w:right="0" w:hanging="420"/>
        <w:jc w:val="both"/>
        <w:rPr>
          <w:sz w:val="21"/>
        </w:rPr>
      </w:pPr>
      <w:r>
        <w:rPr>
          <w:color w:val="231F20"/>
          <w:sz w:val="21"/>
        </w:rPr>
        <w:t>mg.L</w:t>
      </w:r>
      <w:r>
        <w:rPr>
          <w:color w:val="231F20"/>
          <w:position w:val="7"/>
          <w:sz w:val="12"/>
        </w:rPr>
        <w:t>-1</w:t>
      </w:r>
      <w:r>
        <w:rPr>
          <w:color w:val="231F20"/>
          <w:sz w:val="21"/>
        </w:rPr>
        <w:t>, pH 5.8 y 8 g.L</w:t>
      </w:r>
      <w:r>
        <w:rPr>
          <w:color w:val="231F20"/>
          <w:position w:val="7"/>
          <w:sz w:val="12"/>
        </w:rPr>
        <w:t>-1 </w:t>
      </w:r>
      <w:r>
        <w:rPr>
          <w:color w:val="231F20"/>
          <w:sz w:val="21"/>
        </w:rPr>
        <w:t>de</w:t>
      </w:r>
      <w:r>
        <w:rPr>
          <w:color w:val="231F20"/>
          <w:spacing w:val="6"/>
          <w:sz w:val="21"/>
        </w:rPr>
        <w:t> </w:t>
      </w:r>
      <w:r>
        <w:rPr>
          <w:color w:val="231F20"/>
          <w:spacing w:val="-3"/>
          <w:sz w:val="21"/>
        </w:rPr>
        <w:t>agar.</w:t>
      </w:r>
    </w:p>
    <w:p>
      <w:pPr>
        <w:pStyle w:val="BodyText"/>
        <w:spacing w:before="5"/>
        <w:rPr>
          <w:sz w:val="22"/>
        </w:rPr>
      </w:pPr>
    </w:p>
    <w:p>
      <w:pPr>
        <w:pStyle w:val="BodyText"/>
        <w:spacing w:line="247" w:lineRule="auto"/>
        <w:ind w:left="1270" w:right="1268"/>
        <w:jc w:val="both"/>
      </w:pPr>
      <w:r>
        <w:rPr>
          <w:color w:val="231F20"/>
        </w:rPr>
        <w:t>Los</w:t>
      </w:r>
      <w:r>
        <w:rPr>
          <w:color w:val="231F20"/>
          <w:spacing w:val="-5"/>
        </w:rPr>
        <w:t> </w:t>
      </w:r>
      <w:r>
        <w:rPr>
          <w:color w:val="231F20"/>
        </w:rPr>
        <w:t>callos</w:t>
      </w:r>
      <w:r>
        <w:rPr>
          <w:color w:val="231F20"/>
          <w:spacing w:val="-5"/>
        </w:rPr>
        <w:t> </w:t>
      </w:r>
      <w:r>
        <w:rPr>
          <w:color w:val="231F20"/>
        </w:rPr>
        <w:t>generados</w:t>
      </w:r>
      <w:r>
        <w:rPr>
          <w:color w:val="231F20"/>
          <w:spacing w:val="-5"/>
        </w:rPr>
        <w:t> </w:t>
      </w:r>
      <w:r>
        <w:rPr>
          <w:color w:val="231F20"/>
        </w:rPr>
        <w:t>fueron</w:t>
      </w:r>
      <w:r>
        <w:rPr>
          <w:color w:val="231F20"/>
          <w:spacing w:val="-5"/>
        </w:rPr>
        <w:t> </w:t>
      </w:r>
      <w:r>
        <w:rPr>
          <w:color w:val="231F20"/>
        </w:rPr>
        <w:t>incubados</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medio</w:t>
      </w:r>
      <w:r>
        <w:rPr>
          <w:color w:val="231F20"/>
          <w:spacing w:val="-5"/>
        </w:rPr>
        <w:t> </w:t>
      </w:r>
      <w:r>
        <w:rPr>
          <w:color w:val="231F20"/>
        </w:rPr>
        <w:t>de</w:t>
      </w:r>
      <w:r>
        <w:rPr>
          <w:color w:val="231F20"/>
          <w:spacing w:val="-5"/>
        </w:rPr>
        <w:t> </w:t>
      </w:r>
      <w:r>
        <w:rPr>
          <w:color w:val="231F20"/>
        </w:rPr>
        <w:t>cultivo</w:t>
      </w:r>
      <w:r>
        <w:rPr>
          <w:color w:val="231F20"/>
          <w:spacing w:val="-5"/>
        </w:rPr>
        <w:t> </w:t>
      </w:r>
      <w:r>
        <w:rPr>
          <w:color w:val="231F20"/>
        </w:rPr>
        <w:t>N6C1SN</w:t>
      </w:r>
      <w:r>
        <w:rPr>
          <w:color w:val="231F20"/>
          <w:spacing w:val="-5"/>
        </w:rPr>
        <w:t> </w:t>
      </w:r>
      <w:r>
        <w:rPr>
          <w:color w:val="231F20"/>
        </w:rPr>
        <w:t>(Bohorova,</w:t>
      </w:r>
      <w:r>
        <w:rPr>
          <w:color w:val="231F20"/>
          <w:spacing w:val="-5"/>
        </w:rPr>
        <w:t> </w:t>
      </w:r>
      <w:r>
        <w:rPr>
          <w:color w:val="231F20"/>
        </w:rPr>
        <w:t>1995)</w:t>
      </w:r>
      <w:r>
        <w:rPr>
          <w:color w:val="231F20"/>
          <w:spacing w:val="-5"/>
        </w:rPr>
        <w:t> </w:t>
      </w:r>
      <w:r>
        <w:rPr>
          <w:color w:val="231F20"/>
        </w:rPr>
        <w:t>en</w:t>
      </w:r>
      <w:r>
        <w:rPr>
          <w:color w:val="231F20"/>
          <w:spacing w:val="-5"/>
        </w:rPr>
        <w:t> </w:t>
      </w:r>
      <w:r>
        <w:rPr>
          <w:color w:val="231F20"/>
        </w:rPr>
        <w:t>oscuri- dad</w:t>
      </w:r>
      <w:r>
        <w:rPr>
          <w:color w:val="231F20"/>
          <w:spacing w:val="-10"/>
        </w:rPr>
        <w:t> </w:t>
      </w:r>
      <w:r>
        <w:rPr>
          <w:color w:val="231F20"/>
        </w:rPr>
        <w:t>a</w:t>
      </w:r>
      <w:r>
        <w:rPr>
          <w:color w:val="231F20"/>
          <w:spacing w:val="-10"/>
        </w:rPr>
        <w:t> </w:t>
      </w:r>
      <w:r>
        <w:rPr>
          <w:color w:val="231F20"/>
        </w:rPr>
        <w:t>26</w:t>
      </w:r>
      <w:r>
        <w:rPr>
          <w:color w:val="231F20"/>
          <w:spacing w:val="-10"/>
        </w:rPr>
        <w:t> </w:t>
      </w:r>
      <w:r>
        <w:rPr>
          <w:color w:val="231F20"/>
        </w:rPr>
        <w:t>ºC</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cuarto</w:t>
      </w:r>
      <w:r>
        <w:rPr>
          <w:color w:val="231F20"/>
          <w:spacing w:val="-10"/>
        </w:rPr>
        <w:t> </w:t>
      </w:r>
      <w:r>
        <w:rPr>
          <w:color w:val="231F20"/>
        </w:rPr>
        <w:t>de</w:t>
      </w:r>
      <w:r>
        <w:rPr>
          <w:color w:val="231F20"/>
          <w:spacing w:val="-10"/>
        </w:rPr>
        <w:t> </w:t>
      </w:r>
      <w:r>
        <w:rPr>
          <w:color w:val="231F20"/>
        </w:rPr>
        <w:t>incubación.</w:t>
      </w:r>
      <w:r>
        <w:rPr>
          <w:color w:val="231F20"/>
          <w:spacing w:val="-10"/>
        </w:rPr>
        <w:t> </w:t>
      </w:r>
      <w:r>
        <w:rPr>
          <w:color w:val="231F20"/>
        </w:rPr>
        <w:t>Se</w:t>
      </w:r>
      <w:r>
        <w:rPr>
          <w:color w:val="231F20"/>
          <w:spacing w:val="-10"/>
        </w:rPr>
        <w:t> </w:t>
      </w:r>
      <w:r>
        <w:rPr>
          <w:color w:val="231F20"/>
        </w:rPr>
        <w:t>hicieron</w:t>
      </w:r>
      <w:r>
        <w:rPr>
          <w:color w:val="231F20"/>
          <w:spacing w:val="-10"/>
        </w:rPr>
        <w:t> </w:t>
      </w:r>
      <w:r>
        <w:rPr>
          <w:color w:val="231F20"/>
        </w:rPr>
        <w:t>sub-cultivos</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mismo</w:t>
      </w:r>
      <w:r>
        <w:rPr>
          <w:color w:val="231F20"/>
          <w:spacing w:val="-10"/>
        </w:rPr>
        <w:t> </w:t>
      </w:r>
      <w:r>
        <w:rPr>
          <w:color w:val="231F20"/>
        </w:rPr>
        <w:t>medio</w:t>
      </w:r>
      <w:r>
        <w:rPr>
          <w:color w:val="231F20"/>
          <w:spacing w:val="-10"/>
        </w:rPr>
        <w:t> </w:t>
      </w:r>
      <w:r>
        <w:rPr>
          <w:color w:val="231F20"/>
        </w:rPr>
        <w:t>cada</w:t>
      </w:r>
      <w:r>
        <w:rPr>
          <w:color w:val="231F20"/>
          <w:spacing w:val="-10"/>
        </w:rPr>
        <w:t> </w:t>
      </w:r>
      <w:r>
        <w:rPr>
          <w:color w:val="231F20"/>
        </w:rPr>
        <w:t>2-3</w:t>
      </w:r>
      <w:r>
        <w:rPr>
          <w:color w:val="231F20"/>
          <w:spacing w:val="-10"/>
        </w:rPr>
        <w:t> </w:t>
      </w:r>
      <w:r>
        <w:rPr>
          <w:color w:val="231F20"/>
        </w:rPr>
        <w:t>semanas antes de transferirlos al medio de</w:t>
      </w:r>
      <w:r>
        <w:rPr>
          <w:color w:val="231F20"/>
          <w:spacing w:val="-3"/>
        </w:rPr>
        <w:t> </w:t>
      </w:r>
      <w:r>
        <w:rPr>
          <w:color w:val="231F20"/>
        </w:rPr>
        <w:t>regeneración.</w:t>
      </w:r>
    </w:p>
    <w:p>
      <w:pPr>
        <w:pStyle w:val="BodyText"/>
        <w:spacing w:before="10"/>
      </w:pPr>
    </w:p>
    <w:p>
      <w:pPr>
        <w:pStyle w:val="Heading5"/>
      </w:pPr>
      <w:r>
        <w:rPr>
          <w:color w:val="231F20"/>
        </w:rPr>
        <w:t>Regeneración y enraizamiento</w:t>
      </w:r>
    </w:p>
    <w:p>
      <w:pPr>
        <w:pStyle w:val="BodyText"/>
        <w:spacing w:line="249" w:lineRule="auto" w:before="8"/>
        <w:ind w:left="1270" w:right="1268"/>
        <w:jc w:val="both"/>
      </w:pPr>
      <w:r>
        <w:rPr>
          <w:color w:val="231F20"/>
        </w:rPr>
        <w:t>Para obtener brotes y plantas enteras, se pusieron a regenerar los callos a los 3, 5, 7 y 9 meses de cultivo</w:t>
      </w:r>
      <w:r>
        <w:rPr>
          <w:color w:val="231F20"/>
          <w:spacing w:val="-12"/>
        </w:rPr>
        <w:t> </w:t>
      </w:r>
      <w:r>
        <w:rPr>
          <w:i/>
          <w:color w:val="231F20"/>
        </w:rPr>
        <w:t>in</w:t>
      </w:r>
      <w:r>
        <w:rPr>
          <w:i/>
          <w:color w:val="231F20"/>
          <w:spacing w:val="-11"/>
        </w:rPr>
        <w:t> </w:t>
      </w:r>
      <w:r>
        <w:rPr>
          <w:i/>
          <w:color w:val="231F20"/>
        </w:rPr>
        <w:t>vitro</w:t>
      </w:r>
      <w:r>
        <w:rPr>
          <w:color w:val="231F20"/>
        </w:rPr>
        <w:t>.</w:t>
      </w:r>
      <w:r>
        <w:rPr>
          <w:color w:val="231F20"/>
          <w:spacing w:val="-11"/>
        </w:rPr>
        <w:t> </w:t>
      </w:r>
      <w:r>
        <w:rPr>
          <w:color w:val="231F20"/>
        </w:rPr>
        <w:t>Los</w:t>
      </w:r>
      <w:r>
        <w:rPr>
          <w:color w:val="231F20"/>
          <w:spacing w:val="-11"/>
        </w:rPr>
        <w:t> </w:t>
      </w:r>
      <w:r>
        <w:rPr>
          <w:color w:val="231F20"/>
        </w:rPr>
        <w:t>callos</w:t>
      </w:r>
      <w:r>
        <w:rPr>
          <w:color w:val="231F20"/>
          <w:spacing w:val="-11"/>
        </w:rPr>
        <w:t> </w:t>
      </w:r>
      <w:r>
        <w:rPr>
          <w:color w:val="231F20"/>
        </w:rPr>
        <w:t>embriogénicos</w:t>
      </w:r>
      <w:r>
        <w:rPr>
          <w:color w:val="231F20"/>
          <w:spacing w:val="-11"/>
        </w:rPr>
        <w:t> </w:t>
      </w:r>
      <w:r>
        <w:rPr>
          <w:color w:val="231F20"/>
        </w:rPr>
        <w:t>se</w:t>
      </w:r>
      <w:r>
        <w:rPr>
          <w:color w:val="231F20"/>
          <w:spacing w:val="-11"/>
        </w:rPr>
        <w:t> </w:t>
      </w:r>
      <w:r>
        <w:rPr>
          <w:color w:val="231F20"/>
        </w:rPr>
        <w:t>transfirieron</w:t>
      </w:r>
      <w:r>
        <w:rPr>
          <w:color w:val="231F20"/>
          <w:spacing w:val="-11"/>
        </w:rPr>
        <w:t> </w:t>
      </w:r>
      <w:r>
        <w:rPr>
          <w:color w:val="231F20"/>
        </w:rPr>
        <w:t>a</w:t>
      </w:r>
      <w:r>
        <w:rPr>
          <w:color w:val="231F20"/>
          <w:spacing w:val="-11"/>
        </w:rPr>
        <w:t> </w:t>
      </w:r>
      <w:r>
        <w:rPr>
          <w:color w:val="231F20"/>
        </w:rPr>
        <w:t>cajas</w:t>
      </w:r>
      <w:r>
        <w:rPr>
          <w:color w:val="231F20"/>
          <w:spacing w:val="-11"/>
        </w:rPr>
        <w:t> </w:t>
      </w:r>
      <w:r>
        <w:rPr>
          <w:color w:val="231F20"/>
        </w:rPr>
        <w:t>magenta</w:t>
      </w:r>
      <w:r>
        <w:rPr>
          <w:color w:val="231F20"/>
          <w:spacing w:val="-11"/>
        </w:rPr>
        <w:t> </w:t>
      </w:r>
      <w:r>
        <w:rPr>
          <w:color w:val="231F20"/>
        </w:rPr>
        <w:t>con</w:t>
      </w:r>
      <w:r>
        <w:rPr>
          <w:color w:val="231F20"/>
          <w:spacing w:val="-11"/>
        </w:rPr>
        <w:t> </w:t>
      </w:r>
      <w:r>
        <w:rPr>
          <w:color w:val="231F20"/>
        </w:rPr>
        <w:t>medio</w:t>
      </w:r>
      <w:r>
        <w:rPr>
          <w:color w:val="231F20"/>
          <w:spacing w:val="-11"/>
        </w:rPr>
        <w:t> </w:t>
      </w:r>
      <w:r>
        <w:rPr>
          <w:color w:val="231F20"/>
        </w:rPr>
        <w:t>de</w:t>
      </w:r>
      <w:r>
        <w:rPr>
          <w:color w:val="231F20"/>
          <w:spacing w:val="-11"/>
        </w:rPr>
        <w:t> </w:t>
      </w:r>
      <w:r>
        <w:rPr>
          <w:color w:val="231F20"/>
        </w:rPr>
        <w:t>regeneración MS que consta de sales Murashige y Skoog (1962) 100% suplementado con vitaminas MS, myo- inositol</w:t>
      </w:r>
      <w:r>
        <w:rPr>
          <w:color w:val="231F20"/>
          <w:spacing w:val="-9"/>
        </w:rPr>
        <w:t> </w:t>
      </w:r>
      <w:r>
        <w:rPr>
          <w:color w:val="231F20"/>
        </w:rPr>
        <w:t>100</w:t>
      </w:r>
      <w:r>
        <w:rPr>
          <w:color w:val="231F20"/>
          <w:spacing w:val="-9"/>
        </w:rPr>
        <w:t> </w:t>
      </w:r>
      <w:r>
        <w:rPr>
          <w:color w:val="231F20"/>
        </w:rPr>
        <w:t>mg.L</w:t>
      </w:r>
      <w:r>
        <w:rPr>
          <w:color w:val="231F20"/>
          <w:position w:val="7"/>
          <w:sz w:val="12"/>
        </w:rPr>
        <w:t>-1</w:t>
      </w:r>
      <w:r>
        <w:rPr>
          <w:color w:val="231F20"/>
        </w:rPr>
        <w:t>,</w:t>
      </w:r>
      <w:r>
        <w:rPr>
          <w:color w:val="231F20"/>
          <w:spacing w:val="-9"/>
        </w:rPr>
        <w:t> </w:t>
      </w:r>
      <w:r>
        <w:rPr>
          <w:color w:val="231F20"/>
        </w:rPr>
        <w:t>piridoxina-HCL</w:t>
      </w:r>
      <w:r>
        <w:rPr>
          <w:color w:val="231F20"/>
          <w:spacing w:val="-16"/>
        </w:rPr>
        <w:t> </w:t>
      </w:r>
      <w:r>
        <w:rPr>
          <w:color w:val="231F20"/>
        </w:rPr>
        <w:t>1.0</w:t>
      </w:r>
      <w:r>
        <w:rPr>
          <w:color w:val="231F20"/>
          <w:spacing w:val="-9"/>
        </w:rPr>
        <w:t> </w:t>
      </w:r>
      <w:r>
        <w:rPr>
          <w:color w:val="231F20"/>
        </w:rPr>
        <w:t>mg.L</w:t>
      </w:r>
      <w:r>
        <w:rPr>
          <w:color w:val="231F20"/>
          <w:position w:val="7"/>
          <w:sz w:val="12"/>
        </w:rPr>
        <w:t>-1</w:t>
      </w:r>
      <w:r>
        <w:rPr>
          <w:color w:val="231F20"/>
        </w:rPr>
        <w:t>,</w:t>
      </w:r>
      <w:r>
        <w:rPr>
          <w:color w:val="231F20"/>
          <w:spacing w:val="-9"/>
        </w:rPr>
        <w:t> </w:t>
      </w:r>
      <w:r>
        <w:rPr>
          <w:color w:val="231F20"/>
        </w:rPr>
        <w:t>tiamina</w:t>
      </w:r>
      <w:r>
        <w:rPr>
          <w:color w:val="231F20"/>
          <w:spacing w:val="-9"/>
        </w:rPr>
        <w:t> </w:t>
      </w:r>
      <w:r>
        <w:rPr>
          <w:color w:val="231F20"/>
        </w:rPr>
        <w:t>HCL</w:t>
      </w:r>
      <w:r>
        <w:rPr>
          <w:color w:val="231F20"/>
          <w:spacing w:val="-16"/>
        </w:rPr>
        <w:t> </w:t>
      </w:r>
      <w:r>
        <w:rPr>
          <w:color w:val="231F20"/>
        </w:rPr>
        <w:t>10</w:t>
      </w:r>
      <w:r>
        <w:rPr>
          <w:color w:val="231F20"/>
          <w:spacing w:val="-9"/>
        </w:rPr>
        <w:t> </w:t>
      </w:r>
      <w:r>
        <w:rPr>
          <w:color w:val="231F20"/>
        </w:rPr>
        <w:t>mg.L</w:t>
      </w:r>
      <w:r>
        <w:rPr>
          <w:color w:val="231F20"/>
          <w:position w:val="7"/>
          <w:sz w:val="12"/>
        </w:rPr>
        <w:t>-1</w:t>
      </w:r>
      <w:r>
        <w:rPr>
          <w:color w:val="231F20"/>
          <w:spacing w:val="14"/>
          <w:position w:val="7"/>
          <w:sz w:val="12"/>
        </w:rPr>
        <w:t> </w:t>
      </w:r>
      <w:r>
        <w:rPr>
          <w:color w:val="231F20"/>
        </w:rPr>
        <w:t>mas</w:t>
      </w:r>
      <w:r>
        <w:rPr>
          <w:color w:val="231F20"/>
          <w:spacing w:val="-9"/>
        </w:rPr>
        <w:t> </w:t>
      </w:r>
      <w:r>
        <w:rPr>
          <w:color w:val="231F20"/>
        </w:rPr>
        <w:t>L-asparagina</w:t>
      </w:r>
      <w:r>
        <w:rPr>
          <w:color w:val="231F20"/>
          <w:spacing w:val="-9"/>
        </w:rPr>
        <w:t> </w:t>
      </w:r>
      <w:r>
        <w:rPr>
          <w:color w:val="231F20"/>
        </w:rPr>
        <w:t>150</w:t>
      </w:r>
      <w:r>
        <w:rPr>
          <w:color w:val="231F20"/>
          <w:spacing w:val="-9"/>
        </w:rPr>
        <w:t> </w:t>
      </w:r>
      <w:r>
        <w:rPr>
          <w:color w:val="231F20"/>
        </w:rPr>
        <w:t>mg.L</w:t>
      </w:r>
      <w:r>
        <w:rPr>
          <w:color w:val="231F20"/>
          <w:position w:val="7"/>
          <w:sz w:val="12"/>
        </w:rPr>
        <w:t>- 1</w:t>
      </w:r>
      <w:r>
        <w:rPr>
          <w:color w:val="231F20"/>
        </w:rPr>
        <w:t>,</w:t>
      </w:r>
      <w:r>
        <w:rPr>
          <w:color w:val="231F20"/>
          <w:spacing w:val="-10"/>
        </w:rPr>
        <w:t> </w:t>
      </w:r>
      <w:r>
        <w:rPr>
          <w:color w:val="231F20"/>
        </w:rPr>
        <w:t>20</w:t>
      </w:r>
      <w:r>
        <w:rPr>
          <w:color w:val="231F20"/>
          <w:spacing w:val="-10"/>
        </w:rPr>
        <w:t> </w:t>
      </w:r>
      <w:r>
        <w:rPr>
          <w:color w:val="231F20"/>
        </w:rPr>
        <w:t>g.L</w:t>
      </w:r>
      <w:r>
        <w:rPr>
          <w:color w:val="231F20"/>
          <w:position w:val="7"/>
          <w:sz w:val="12"/>
        </w:rPr>
        <w:t>-1</w:t>
      </w:r>
      <w:r>
        <w:rPr>
          <w:color w:val="231F20"/>
          <w:spacing w:val="12"/>
          <w:position w:val="7"/>
          <w:sz w:val="12"/>
        </w:rPr>
        <w:t> </w:t>
      </w:r>
      <w:r>
        <w:rPr>
          <w:color w:val="231F20"/>
        </w:rPr>
        <w:t>de</w:t>
      </w:r>
      <w:r>
        <w:rPr>
          <w:color w:val="231F20"/>
          <w:spacing w:val="-10"/>
        </w:rPr>
        <w:t> </w:t>
      </w:r>
      <w:r>
        <w:rPr>
          <w:color w:val="231F20"/>
        </w:rPr>
        <w:t>sacarosa,</w:t>
      </w:r>
      <w:r>
        <w:rPr>
          <w:color w:val="231F20"/>
          <w:spacing w:val="-9"/>
        </w:rPr>
        <w:t> </w:t>
      </w:r>
      <w:r>
        <w:rPr>
          <w:color w:val="231F20"/>
        </w:rPr>
        <w:t>0.5</w:t>
      </w:r>
      <w:r>
        <w:rPr>
          <w:color w:val="231F20"/>
          <w:spacing w:val="-10"/>
        </w:rPr>
        <w:t> </w:t>
      </w:r>
      <w:r>
        <w:rPr>
          <w:color w:val="231F20"/>
        </w:rPr>
        <w:t>mg.L</w:t>
      </w:r>
      <w:r>
        <w:rPr>
          <w:color w:val="231F20"/>
          <w:position w:val="7"/>
          <w:sz w:val="12"/>
        </w:rPr>
        <w:t>-1</w:t>
      </w:r>
      <w:r>
        <w:rPr>
          <w:color w:val="231F20"/>
          <w:spacing w:val="1"/>
          <w:position w:val="7"/>
          <w:sz w:val="12"/>
        </w:rPr>
        <w:t> </w:t>
      </w:r>
      <w:r>
        <w:rPr>
          <w:color w:val="231F20"/>
        </w:rPr>
        <w:t>AIA,</w:t>
      </w:r>
      <w:r>
        <w:rPr>
          <w:color w:val="231F20"/>
          <w:spacing w:val="-10"/>
        </w:rPr>
        <w:t> </w:t>
      </w:r>
      <w:r>
        <w:rPr>
          <w:color w:val="231F20"/>
        </w:rPr>
        <w:t>1</w:t>
      </w:r>
      <w:r>
        <w:rPr>
          <w:color w:val="231F20"/>
          <w:spacing w:val="-10"/>
        </w:rPr>
        <w:t> </w:t>
      </w:r>
      <w:r>
        <w:rPr>
          <w:color w:val="231F20"/>
        </w:rPr>
        <w:t>mg.L</w:t>
      </w:r>
      <w:r>
        <w:rPr>
          <w:color w:val="231F20"/>
          <w:position w:val="7"/>
          <w:sz w:val="12"/>
        </w:rPr>
        <w:t>-1</w:t>
      </w:r>
      <w:r>
        <w:rPr>
          <w:color w:val="231F20"/>
          <w:spacing w:val="13"/>
          <w:position w:val="7"/>
          <w:sz w:val="12"/>
        </w:rPr>
        <w:t> </w:t>
      </w:r>
      <w:r>
        <w:rPr>
          <w:color w:val="231F20"/>
        </w:rPr>
        <w:t>de</w:t>
      </w:r>
      <w:r>
        <w:rPr>
          <w:color w:val="231F20"/>
          <w:spacing w:val="-10"/>
        </w:rPr>
        <w:t> </w:t>
      </w:r>
      <w:r>
        <w:rPr>
          <w:color w:val="231F20"/>
          <w:spacing w:val="-6"/>
        </w:rPr>
        <w:t>BAP,</w:t>
      </w:r>
      <w:r>
        <w:rPr>
          <w:color w:val="231F20"/>
          <w:spacing w:val="-10"/>
        </w:rPr>
        <w:t> </w:t>
      </w:r>
      <w:r>
        <w:rPr>
          <w:color w:val="231F20"/>
        </w:rPr>
        <w:t>pH</w:t>
      </w:r>
      <w:r>
        <w:rPr>
          <w:color w:val="231F20"/>
          <w:spacing w:val="-10"/>
        </w:rPr>
        <w:t> </w:t>
      </w:r>
      <w:r>
        <w:rPr>
          <w:color w:val="231F20"/>
        </w:rPr>
        <w:t>5.8</w:t>
      </w:r>
      <w:r>
        <w:rPr>
          <w:color w:val="231F20"/>
          <w:spacing w:val="-10"/>
        </w:rPr>
        <w:t> </w:t>
      </w:r>
      <w:r>
        <w:rPr>
          <w:color w:val="231F20"/>
        </w:rPr>
        <w:t>y</w:t>
      </w:r>
      <w:r>
        <w:rPr>
          <w:color w:val="231F20"/>
          <w:spacing w:val="-10"/>
        </w:rPr>
        <w:t> </w:t>
      </w:r>
      <w:r>
        <w:rPr>
          <w:color w:val="231F20"/>
        </w:rPr>
        <w:t>se</w:t>
      </w:r>
      <w:r>
        <w:rPr>
          <w:color w:val="231F20"/>
          <w:spacing w:val="-10"/>
        </w:rPr>
        <w:t> </w:t>
      </w:r>
      <w:r>
        <w:rPr>
          <w:color w:val="231F20"/>
        </w:rPr>
        <w:t>adicionarán</w:t>
      </w:r>
      <w:r>
        <w:rPr>
          <w:color w:val="231F20"/>
          <w:spacing w:val="-10"/>
        </w:rPr>
        <w:t> </w:t>
      </w:r>
      <w:r>
        <w:rPr>
          <w:color w:val="231F20"/>
        </w:rPr>
        <w:t>8</w:t>
      </w:r>
      <w:r>
        <w:rPr>
          <w:color w:val="231F20"/>
          <w:spacing w:val="-10"/>
        </w:rPr>
        <w:t> </w:t>
      </w:r>
      <w:r>
        <w:rPr>
          <w:color w:val="231F20"/>
        </w:rPr>
        <w:t>g.L</w:t>
      </w:r>
      <w:r>
        <w:rPr>
          <w:color w:val="231F20"/>
          <w:position w:val="7"/>
          <w:sz w:val="12"/>
        </w:rPr>
        <w:t>-1</w:t>
      </w:r>
      <w:r>
        <w:rPr>
          <w:color w:val="231F20"/>
          <w:spacing w:val="12"/>
          <w:position w:val="7"/>
          <w:sz w:val="12"/>
        </w:rPr>
        <w:t> </w:t>
      </w:r>
      <w:r>
        <w:rPr>
          <w:color w:val="231F20"/>
        </w:rPr>
        <w:t>de</w:t>
      </w:r>
      <w:r>
        <w:rPr>
          <w:color w:val="231F20"/>
          <w:spacing w:val="-10"/>
        </w:rPr>
        <w:t> </w:t>
      </w:r>
      <w:r>
        <w:rPr>
          <w:color w:val="231F20"/>
        </w:rPr>
        <w:t>agar</w:t>
      </w:r>
      <w:r>
        <w:rPr>
          <w:color w:val="231F20"/>
          <w:spacing w:val="-10"/>
        </w:rPr>
        <w:t> </w:t>
      </w:r>
      <w:r>
        <w:rPr>
          <w:color w:val="231F20"/>
        </w:rPr>
        <w:t>antes de la esterilización. Las cajas fueron incubadas en cuartos de crecimiento a 26º C bajo fotoperiodo de 16 horas de luz y 8 de oscuridad, proporcionada por lámparas de luz blanca fría fluorescente con una intensidad lumínica de 68 μmol. m</w:t>
      </w:r>
      <w:r>
        <w:rPr>
          <w:color w:val="231F20"/>
          <w:position w:val="7"/>
          <w:sz w:val="12"/>
        </w:rPr>
        <w:t>-2</w:t>
      </w:r>
      <w:r>
        <w:rPr>
          <w:color w:val="231F20"/>
          <w:spacing w:val="25"/>
          <w:position w:val="7"/>
          <w:sz w:val="12"/>
        </w:rPr>
        <w:t> </w:t>
      </w:r>
      <w:r>
        <w:rPr>
          <w:color w:val="231F20"/>
        </w:rPr>
        <w:t>s</w:t>
      </w:r>
      <w:r>
        <w:rPr>
          <w:color w:val="231F20"/>
          <w:position w:val="7"/>
          <w:sz w:val="12"/>
        </w:rPr>
        <w:t>-1</w:t>
      </w:r>
      <w:r>
        <w:rPr>
          <w:color w:val="231F20"/>
        </w:rPr>
        <w:t>.</w:t>
      </w:r>
    </w:p>
    <w:p>
      <w:pPr>
        <w:pStyle w:val="BodyText"/>
        <w:spacing w:before="7"/>
      </w:pPr>
    </w:p>
    <w:p>
      <w:pPr>
        <w:pStyle w:val="BodyText"/>
        <w:spacing w:line="249" w:lineRule="auto"/>
        <w:ind w:left="1270" w:right="1267"/>
        <w:jc w:val="both"/>
      </w:pPr>
      <w:r>
        <w:rPr>
          <w:color w:val="231F20"/>
        </w:rPr>
        <w:t>Una vez que los brotes embriogénicos crecieron se trasfirieron a cajas magenta con medio de en- raizamiento Sales MS Murashige y Skoog (1962) 100 %, vitaminas MS, myo-inositol 100 mg.L</w:t>
      </w:r>
      <w:r>
        <w:rPr>
          <w:color w:val="231F20"/>
          <w:position w:val="7"/>
          <w:sz w:val="12"/>
        </w:rPr>
        <w:t>-1</w:t>
      </w:r>
      <w:r>
        <w:rPr>
          <w:color w:val="231F20"/>
        </w:rPr>
        <w:t>, sacarosa 20 g.L</w:t>
      </w:r>
      <w:r>
        <w:rPr>
          <w:color w:val="231F20"/>
          <w:position w:val="7"/>
          <w:sz w:val="12"/>
        </w:rPr>
        <w:t>-1 </w:t>
      </w:r>
      <w:r>
        <w:rPr>
          <w:color w:val="231F20"/>
        </w:rPr>
        <w:t>y 1 mg.L</w:t>
      </w:r>
      <w:r>
        <w:rPr>
          <w:color w:val="231F20"/>
          <w:position w:val="7"/>
          <w:sz w:val="12"/>
        </w:rPr>
        <w:t>-1 </w:t>
      </w:r>
      <w:r>
        <w:rPr>
          <w:color w:val="231F20"/>
        </w:rPr>
        <w:t>ANA y fueron mantenidos en las mismas cámaras de crecimiento bajo las mismas condiciones que en la regeneración, hasta que tuvieron suficientes raíces para poder transferirlos</w:t>
      </w:r>
      <w:r>
        <w:rPr>
          <w:color w:val="231F20"/>
          <w:spacing w:val="-5"/>
        </w:rPr>
        <w:t> </w:t>
      </w:r>
      <w:r>
        <w:rPr>
          <w:color w:val="231F20"/>
        </w:rPr>
        <w:t>a</w:t>
      </w:r>
      <w:r>
        <w:rPr>
          <w:color w:val="231F20"/>
          <w:spacing w:val="-4"/>
        </w:rPr>
        <w:t> </w:t>
      </w:r>
      <w:r>
        <w:rPr>
          <w:color w:val="231F20"/>
        </w:rPr>
        <w:t>suelo.</w:t>
      </w:r>
      <w:r>
        <w:rPr>
          <w:color w:val="231F20"/>
          <w:spacing w:val="-4"/>
        </w:rPr>
        <w:t> </w:t>
      </w:r>
      <w:r>
        <w:rPr>
          <w:color w:val="231F20"/>
        </w:rPr>
        <w:t>Para</w:t>
      </w:r>
      <w:r>
        <w:rPr>
          <w:color w:val="231F20"/>
          <w:spacing w:val="-4"/>
        </w:rPr>
        <w:t> </w:t>
      </w:r>
      <w:r>
        <w:rPr>
          <w:color w:val="231F20"/>
        </w:rPr>
        <w:t>realizar</w:t>
      </w:r>
      <w:r>
        <w:rPr>
          <w:color w:val="231F20"/>
          <w:spacing w:val="-4"/>
        </w:rPr>
        <w:t> </w:t>
      </w:r>
      <w:r>
        <w:rPr>
          <w:color w:val="231F20"/>
        </w:rPr>
        <w:t>la</w:t>
      </w:r>
      <w:r>
        <w:rPr>
          <w:color w:val="231F20"/>
          <w:spacing w:val="-4"/>
        </w:rPr>
        <w:t> </w:t>
      </w:r>
      <w:r>
        <w:rPr>
          <w:color w:val="231F20"/>
        </w:rPr>
        <w:t>transferencia</w:t>
      </w:r>
      <w:r>
        <w:rPr>
          <w:color w:val="231F20"/>
          <w:spacing w:val="-5"/>
        </w:rPr>
        <w:t> </w:t>
      </w:r>
      <w:r>
        <w:rPr>
          <w:color w:val="231F20"/>
        </w:rPr>
        <w:t>a</w:t>
      </w:r>
      <w:r>
        <w:rPr>
          <w:color w:val="231F20"/>
          <w:spacing w:val="-4"/>
        </w:rPr>
        <w:t> </w:t>
      </w:r>
      <w:r>
        <w:rPr>
          <w:color w:val="231F20"/>
        </w:rPr>
        <w:t>suelo</w:t>
      </w:r>
      <w:r>
        <w:rPr>
          <w:color w:val="231F20"/>
          <w:spacing w:val="-4"/>
        </w:rPr>
        <w:t> </w:t>
      </w:r>
      <w:r>
        <w:rPr>
          <w:color w:val="231F20"/>
        </w:rPr>
        <w:t>a</w:t>
      </w:r>
      <w:r>
        <w:rPr>
          <w:color w:val="231F20"/>
          <w:spacing w:val="-4"/>
        </w:rPr>
        <w:t> </w:t>
      </w:r>
      <w:r>
        <w:rPr>
          <w:color w:val="231F20"/>
        </w:rPr>
        <w:t>las</w:t>
      </w:r>
      <w:r>
        <w:rPr>
          <w:color w:val="231F20"/>
          <w:spacing w:val="-4"/>
        </w:rPr>
        <w:t> </w:t>
      </w:r>
      <w:r>
        <w:rPr>
          <w:color w:val="231F20"/>
        </w:rPr>
        <w:t>plantas</w:t>
      </w:r>
      <w:r>
        <w:rPr>
          <w:color w:val="231F20"/>
          <w:spacing w:val="-4"/>
        </w:rPr>
        <w:t> </w:t>
      </w:r>
      <w:r>
        <w:rPr>
          <w:color w:val="231F20"/>
        </w:rPr>
        <w:t>se</w:t>
      </w:r>
      <w:r>
        <w:rPr>
          <w:color w:val="231F20"/>
          <w:spacing w:val="-4"/>
        </w:rPr>
        <w:t> </w:t>
      </w:r>
      <w:r>
        <w:rPr>
          <w:color w:val="231F20"/>
        </w:rPr>
        <w:t>les</w:t>
      </w:r>
      <w:r>
        <w:rPr>
          <w:color w:val="231F20"/>
          <w:spacing w:val="-4"/>
        </w:rPr>
        <w:t> </w:t>
      </w:r>
      <w:r>
        <w:rPr>
          <w:color w:val="231F20"/>
        </w:rPr>
        <w:t>eliminó</w:t>
      </w:r>
      <w:r>
        <w:rPr>
          <w:color w:val="231F20"/>
          <w:spacing w:val="-4"/>
        </w:rPr>
        <w:t> </w:t>
      </w:r>
      <w:r>
        <w:rPr>
          <w:color w:val="231F20"/>
        </w:rPr>
        <w:t>el</w:t>
      </w:r>
      <w:r>
        <w:rPr>
          <w:color w:val="231F20"/>
          <w:spacing w:val="-4"/>
        </w:rPr>
        <w:t> </w:t>
      </w:r>
      <w:r>
        <w:rPr>
          <w:color w:val="231F20"/>
        </w:rPr>
        <w:t>agar</w:t>
      </w:r>
      <w:r>
        <w:rPr>
          <w:color w:val="231F20"/>
          <w:spacing w:val="-4"/>
        </w:rPr>
        <w:t> </w:t>
      </w:r>
      <w:r>
        <w:rPr>
          <w:color w:val="231F20"/>
        </w:rPr>
        <w:t>lavando</w:t>
      </w:r>
    </w:p>
    <w:p>
      <w:pPr>
        <w:spacing w:after="0" w:line="249" w:lineRule="auto"/>
        <w:jc w:val="both"/>
        <w:sectPr>
          <w:pgSz w:w="10920" w:h="13080"/>
          <w:pgMar w:header="0" w:footer="965" w:top="420" w:bottom="1220" w:left="0" w:right="0"/>
        </w:sectPr>
      </w:pPr>
    </w:p>
    <w:p>
      <w:pPr>
        <w:pStyle w:val="BodyText"/>
        <w:rPr>
          <w:sz w:val="20"/>
        </w:rPr>
      </w:pPr>
    </w:p>
    <w:p>
      <w:pPr>
        <w:pStyle w:val="BodyText"/>
        <w:rPr>
          <w:sz w:val="20"/>
        </w:rPr>
      </w:pPr>
    </w:p>
    <w:p>
      <w:pPr>
        <w:pStyle w:val="BodyText"/>
        <w:rPr>
          <w:sz w:val="23"/>
        </w:rPr>
      </w:pPr>
    </w:p>
    <w:p>
      <w:pPr>
        <w:pStyle w:val="BodyText"/>
        <w:spacing w:line="249" w:lineRule="auto" w:before="73"/>
        <w:ind w:left="1270" w:right="1268"/>
        <w:jc w:val="both"/>
      </w:pPr>
      <w:r>
        <w:rPr>
          <w:color w:val="231F20"/>
        </w:rPr>
        <w:t>las</w:t>
      </w:r>
      <w:r>
        <w:rPr>
          <w:color w:val="231F20"/>
          <w:spacing w:val="-9"/>
        </w:rPr>
        <w:t> </w:t>
      </w:r>
      <w:r>
        <w:rPr>
          <w:color w:val="231F20"/>
        </w:rPr>
        <w:t>raíces</w:t>
      </w:r>
      <w:r>
        <w:rPr>
          <w:color w:val="231F20"/>
          <w:spacing w:val="-9"/>
        </w:rPr>
        <w:t> </w:t>
      </w:r>
      <w:r>
        <w:rPr>
          <w:color w:val="231F20"/>
        </w:rPr>
        <w:t>con</w:t>
      </w:r>
      <w:r>
        <w:rPr>
          <w:color w:val="231F20"/>
          <w:spacing w:val="-9"/>
        </w:rPr>
        <w:t> </w:t>
      </w:r>
      <w:r>
        <w:rPr>
          <w:color w:val="231F20"/>
        </w:rPr>
        <w:t>agua</w:t>
      </w:r>
      <w:r>
        <w:rPr>
          <w:color w:val="231F20"/>
          <w:spacing w:val="-9"/>
        </w:rPr>
        <w:t> </w:t>
      </w:r>
      <w:r>
        <w:rPr>
          <w:color w:val="231F20"/>
        </w:rPr>
        <w:t>destilada</w:t>
      </w:r>
      <w:r>
        <w:rPr>
          <w:color w:val="231F20"/>
          <w:spacing w:val="-9"/>
        </w:rPr>
        <w:t> </w:t>
      </w:r>
      <w:r>
        <w:rPr>
          <w:color w:val="231F20"/>
        </w:rPr>
        <w:t>estéril,</w:t>
      </w:r>
      <w:r>
        <w:rPr>
          <w:color w:val="231F20"/>
          <w:spacing w:val="-9"/>
        </w:rPr>
        <w:t> </w:t>
      </w:r>
      <w:r>
        <w:rPr>
          <w:color w:val="231F20"/>
        </w:rPr>
        <w:t>a</w:t>
      </w:r>
      <w:r>
        <w:rPr>
          <w:color w:val="231F20"/>
          <w:spacing w:val="-9"/>
        </w:rPr>
        <w:t> </w:t>
      </w:r>
      <w:r>
        <w:rPr>
          <w:color w:val="231F20"/>
        </w:rPr>
        <w:t>continuación</w:t>
      </w:r>
      <w:r>
        <w:rPr>
          <w:color w:val="231F20"/>
          <w:spacing w:val="-9"/>
        </w:rPr>
        <w:t> </w:t>
      </w:r>
      <w:r>
        <w:rPr>
          <w:color w:val="231F20"/>
        </w:rPr>
        <w:t>se</w:t>
      </w:r>
      <w:r>
        <w:rPr>
          <w:color w:val="231F20"/>
          <w:spacing w:val="-9"/>
        </w:rPr>
        <w:t> </w:t>
      </w:r>
      <w:r>
        <w:rPr>
          <w:color w:val="231F20"/>
        </w:rPr>
        <w:t>transfirieron</w:t>
      </w:r>
      <w:r>
        <w:rPr>
          <w:color w:val="231F20"/>
          <w:spacing w:val="-9"/>
        </w:rPr>
        <w:t> </w:t>
      </w:r>
      <w:r>
        <w:rPr>
          <w:color w:val="231F20"/>
        </w:rPr>
        <w:t>a</w:t>
      </w:r>
      <w:r>
        <w:rPr>
          <w:color w:val="231F20"/>
          <w:spacing w:val="-9"/>
        </w:rPr>
        <w:t> </w:t>
      </w:r>
      <w:r>
        <w:rPr>
          <w:color w:val="231F20"/>
        </w:rPr>
        <w:t>vasos</w:t>
      </w:r>
      <w:r>
        <w:rPr>
          <w:color w:val="231F20"/>
          <w:spacing w:val="-9"/>
        </w:rPr>
        <w:t> </w:t>
      </w:r>
      <w:r>
        <w:rPr>
          <w:color w:val="231F20"/>
        </w:rPr>
        <w:t>de</w:t>
      </w:r>
      <w:r>
        <w:rPr>
          <w:color w:val="231F20"/>
          <w:spacing w:val="-9"/>
        </w:rPr>
        <w:t> </w:t>
      </w:r>
      <w:r>
        <w:rPr>
          <w:color w:val="231F20"/>
        </w:rPr>
        <w:t>plástico</w:t>
      </w:r>
      <w:r>
        <w:rPr>
          <w:color w:val="231F20"/>
          <w:spacing w:val="-9"/>
        </w:rPr>
        <w:t> </w:t>
      </w:r>
      <w:r>
        <w:rPr>
          <w:color w:val="231F20"/>
        </w:rPr>
        <w:t>de</w:t>
      </w:r>
      <w:r>
        <w:rPr>
          <w:color w:val="231F20"/>
          <w:spacing w:val="-9"/>
        </w:rPr>
        <w:t> </w:t>
      </w:r>
      <w:r>
        <w:rPr>
          <w:color w:val="231F20"/>
        </w:rPr>
        <w:t>200</w:t>
      </w:r>
      <w:r>
        <w:rPr>
          <w:color w:val="231F20"/>
          <w:spacing w:val="-9"/>
        </w:rPr>
        <w:t> </w:t>
      </w:r>
      <w:r>
        <w:rPr>
          <w:color w:val="231F20"/>
        </w:rPr>
        <w:t>ml,</w:t>
      </w:r>
      <w:r>
        <w:rPr>
          <w:color w:val="231F20"/>
          <w:spacing w:val="-9"/>
        </w:rPr>
        <w:t> </w:t>
      </w:r>
      <w:r>
        <w:rPr>
          <w:color w:val="231F20"/>
        </w:rPr>
        <w:t>con una</w:t>
      </w:r>
      <w:r>
        <w:rPr>
          <w:color w:val="231F20"/>
          <w:spacing w:val="-6"/>
        </w:rPr>
        <w:t> </w:t>
      </w:r>
      <w:r>
        <w:rPr>
          <w:color w:val="231F20"/>
        </w:rPr>
        <w:t>mezcla</w:t>
      </w:r>
      <w:r>
        <w:rPr>
          <w:color w:val="231F20"/>
          <w:spacing w:val="-6"/>
        </w:rPr>
        <w:t> </w:t>
      </w:r>
      <w:r>
        <w:rPr>
          <w:color w:val="231F20"/>
        </w:rPr>
        <w:t>de</w:t>
      </w:r>
      <w:r>
        <w:rPr>
          <w:color w:val="231F20"/>
          <w:spacing w:val="-6"/>
        </w:rPr>
        <w:t> </w:t>
      </w:r>
      <w:r>
        <w:rPr>
          <w:color w:val="231F20"/>
        </w:rPr>
        <w:t>50%</w:t>
      </w:r>
      <w:r>
        <w:rPr>
          <w:color w:val="231F20"/>
          <w:spacing w:val="-6"/>
        </w:rPr>
        <w:t> </w:t>
      </w:r>
      <w:r>
        <w:rPr>
          <w:color w:val="231F20"/>
        </w:rPr>
        <w:t>peatmoss,</w:t>
      </w:r>
      <w:r>
        <w:rPr>
          <w:color w:val="231F20"/>
          <w:spacing w:val="-6"/>
        </w:rPr>
        <w:t> </w:t>
      </w:r>
      <w:r>
        <w:rPr>
          <w:color w:val="231F20"/>
        </w:rPr>
        <w:t>25%</w:t>
      </w:r>
      <w:r>
        <w:rPr>
          <w:color w:val="231F20"/>
          <w:spacing w:val="-6"/>
        </w:rPr>
        <w:t> </w:t>
      </w:r>
      <w:r>
        <w:rPr>
          <w:color w:val="231F20"/>
        </w:rPr>
        <w:t>de</w:t>
      </w:r>
      <w:r>
        <w:rPr>
          <w:color w:val="231F20"/>
          <w:spacing w:val="-6"/>
        </w:rPr>
        <w:t> </w:t>
      </w:r>
      <w:r>
        <w:rPr>
          <w:color w:val="231F20"/>
        </w:rPr>
        <w:t>vermiculita</w:t>
      </w:r>
      <w:r>
        <w:rPr>
          <w:color w:val="231F20"/>
          <w:spacing w:val="-6"/>
        </w:rPr>
        <w:t> </w:t>
      </w:r>
      <w:r>
        <w:rPr>
          <w:color w:val="231F20"/>
        </w:rPr>
        <w:t>y</w:t>
      </w:r>
      <w:r>
        <w:rPr>
          <w:color w:val="231F20"/>
          <w:spacing w:val="-6"/>
        </w:rPr>
        <w:t> </w:t>
      </w:r>
      <w:r>
        <w:rPr>
          <w:color w:val="231F20"/>
        </w:rPr>
        <w:t>25%</w:t>
      </w:r>
      <w:r>
        <w:rPr>
          <w:color w:val="231F20"/>
          <w:spacing w:val="-6"/>
        </w:rPr>
        <w:t> </w:t>
      </w:r>
      <w:r>
        <w:rPr>
          <w:color w:val="231F20"/>
        </w:rPr>
        <w:t>de</w:t>
      </w:r>
      <w:r>
        <w:rPr>
          <w:color w:val="231F20"/>
          <w:spacing w:val="-6"/>
        </w:rPr>
        <w:t> </w:t>
      </w:r>
      <w:r>
        <w:rPr>
          <w:color w:val="231F20"/>
        </w:rPr>
        <w:t>agrolita</w:t>
      </w:r>
      <w:r>
        <w:rPr>
          <w:color w:val="231F20"/>
          <w:spacing w:val="-6"/>
        </w:rPr>
        <w:t> </w:t>
      </w:r>
      <w:r>
        <w:rPr>
          <w:color w:val="231F20"/>
        </w:rPr>
        <w:t>como</w:t>
      </w:r>
      <w:r>
        <w:rPr>
          <w:color w:val="231F20"/>
          <w:spacing w:val="-6"/>
        </w:rPr>
        <w:t> </w:t>
      </w:r>
      <w:r>
        <w:rPr>
          <w:color w:val="231F20"/>
        </w:rPr>
        <w:t>sustrato,</w:t>
      </w:r>
      <w:r>
        <w:rPr>
          <w:color w:val="231F20"/>
          <w:spacing w:val="-6"/>
        </w:rPr>
        <w:t> </w:t>
      </w:r>
      <w:r>
        <w:rPr>
          <w:color w:val="231F20"/>
        </w:rPr>
        <w:t>cada</w:t>
      </w:r>
      <w:r>
        <w:rPr>
          <w:color w:val="231F20"/>
          <w:spacing w:val="-6"/>
        </w:rPr>
        <w:t> </w:t>
      </w:r>
      <w:r>
        <w:rPr>
          <w:color w:val="231F20"/>
        </w:rPr>
        <w:t>contenedor fue</w:t>
      </w:r>
      <w:r>
        <w:rPr>
          <w:color w:val="231F20"/>
          <w:spacing w:val="-10"/>
        </w:rPr>
        <w:t> </w:t>
      </w:r>
      <w:r>
        <w:rPr>
          <w:color w:val="231F20"/>
        </w:rPr>
        <w:t>cubierto</w:t>
      </w:r>
      <w:r>
        <w:rPr>
          <w:color w:val="231F20"/>
          <w:spacing w:val="-10"/>
        </w:rPr>
        <w:t> </w:t>
      </w:r>
      <w:r>
        <w:rPr>
          <w:color w:val="231F20"/>
        </w:rPr>
        <w:t>con</w:t>
      </w:r>
      <w:r>
        <w:rPr>
          <w:color w:val="231F20"/>
          <w:spacing w:val="-10"/>
        </w:rPr>
        <w:t> </w:t>
      </w:r>
      <w:r>
        <w:rPr>
          <w:color w:val="231F20"/>
        </w:rPr>
        <w:t>otro</w:t>
      </w:r>
      <w:r>
        <w:rPr>
          <w:color w:val="231F20"/>
          <w:spacing w:val="-10"/>
        </w:rPr>
        <w:t> </w:t>
      </w:r>
      <w:r>
        <w:rPr>
          <w:color w:val="231F20"/>
        </w:rPr>
        <w:t>vaso</w:t>
      </w:r>
      <w:r>
        <w:rPr>
          <w:color w:val="231F20"/>
          <w:spacing w:val="-10"/>
        </w:rPr>
        <w:t> </w:t>
      </w:r>
      <w:r>
        <w:rPr>
          <w:color w:val="231F20"/>
        </w:rPr>
        <w:t>de</w:t>
      </w:r>
      <w:r>
        <w:rPr>
          <w:color w:val="231F20"/>
          <w:spacing w:val="-10"/>
        </w:rPr>
        <w:t> </w:t>
      </w:r>
      <w:r>
        <w:rPr>
          <w:color w:val="231F20"/>
        </w:rPr>
        <w:t>plástico</w:t>
      </w:r>
      <w:r>
        <w:rPr>
          <w:color w:val="231F20"/>
          <w:spacing w:val="-10"/>
        </w:rPr>
        <w:t> </w:t>
      </w:r>
      <w:r>
        <w:rPr>
          <w:color w:val="231F20"/>
        </w:rPr>
        <w:t>con</w:t>
      </w:r>
      <w:r>
        <w:rPr>
          <w:color w:val="231F20"/>
          <w:spacing w:val="-10"/>
        </w:rPr>
        <w:t> </w:t>
      </w:r>
      <w:r>
        <w:rPr>
          <w:color w:val="231F20"/>
        </w:rPr>
        <w:t>un</w:t>
      </w:r>
      <w:r>
        <w:rPr>
          <w:color w:val="231F20"/>
          <w:spacing w:val="-10"/>
        </w:rPr>
        <w:t> </w:t>
      </w:r>
      <w:r>
        <w:rPr>
          <w:color w:val="231F20"/>
        </w:rPr>
        <w:t>orificio</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parte</w:t>
      </w:r>
      <w:r>
        <w:rPr>
          <w:color w:val="231F20"/>
          <w:spacing w:val="-10"/>
        </w:rPr>
        <w:t> </w:t>
      </w:r>
      <w:r>
        <w:rPr>
          <w:color w:val="231F20"/>
        </w:rPr>
        <w:t>superior;</w:t>
      </w:r>
      <w:r>
        <w:rPr>
          <w:color w:val="231F20"/>
          <w:spacing w:val="-10"/>
        </w:rPr>
        <w:t> </w:t>
      </w:r>
      <w:r>
        <w:rPr>
          <w:color w:val="231F20"/>
        </w:rPr>
        <w:t>se</w:t>
      </w:r>
      <w:r>
        <w:rPr>
          <w:color w:val="231F20"/>
          <w:spacing w:val="-10"/>
        </w:rPr>
        <w:t> </w:t>
      </w:r>
      <w:r>
        <w:rPr>
          <w:color w:val="231F20"/>
        </w:rPr>
        <w:t>mantuvieron</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cuarto de</w:t>
      </w:r>
      <w:r>
        <w:rPr>
          <w:color w:val="231F20"/>
          <w:spacing w:val="-8"/>
        </w:rPr>
        <w:t> </w:t>
      </w:r>
      <w:r>
        <w:rPr>
          <w:color w:val="231F20"/>
        </w:rPr>
        <w:t>incubación</w:t>
      </w:r>
      <w:r>
        <w:rPr>
          <w:color w:val="231F20"/>
          <w:spacing w:val="-8"/>
        </w:rPr>
        <w:t> </w:t>
      </w:r>
      <w:r>
        <w:rPr>
          <w:color w:val="231F20"/>
        </w:rPr>
        <w:t>por</w:t>
      </w:r>
      <w:r>
        <w:rPr>
          <w:color w:val="231F20"/>
          <w:spacing w:val="-8"/>
        </w:rPr>
        <w:t> </w:t>
      </w:r>
      <w:r>
        <w:rPr>
          <w:color w:val="231F20"/>
        </w:rPr>
        <w:t>dos</w:t>
      </w:r>
      <w:r>
        <w:rPr>
          <w:color w:val="231F20"/>
          <w:spacing w:val="-8"/>
        </w:rPr>
        <w:t> </w:t>
      </w:r>
      <w:r>
        <w:rPr>
          <w:color w:val="231F20"/>
        </w:rPr>
        <w:t>semanas</w:t>
      </w:r>
      <w:r>
        <w:rPr>
          <w:color w:val="231F20"/>
          <w:spacing w:val="-7"/>
        </w:rPr>
        <w:t> </w:t>
      </w:r>
      <w:r>
        <w:rPr>
          <w:color w:val="231F20"/>
        </w:rPr>
        <w:t>al</w:t>
      </w:r>
      <w:r>
        <w:rPr>
          <w:color w:val="231F20"/>
          <w:spacing w:val="-8"/>
        </w:rPr>
        <w:t> </w:t>
      </w:r>
      <w:r>
        <w:rPr>
          <w:color w:val="231F20"/>
        </w:rPr>
        <w:t>cabo</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cuales</w:t>
      </w:r>
      <w:r>
        <w:rPr>
          <w:color w:val="231F20"/>
          <w:spacing w:val="-8"/>
        </w:rPr>
        <w:t> </w:t>
      </w:r>
      <w:r>
        <w:rPr>
          <w:color w:val="231F20"/>
        </w:rPr>
        <w:t>las</w:t>
      </w:r>
      <w:r>
        <w:rPr>
          <w:color w:val="231F20"/>
          <w:spacing w:val="-8"/>
        </w:rPr>
        <w:t> </w:t>
      </w:r>
      <w:r>
        <w:rPr>
          <w:color w:val="231F20"/>
        </w:rPr>
        <w:t>plantas</w:t>
      </w:r>
      <w:r>
        <w:rPr>
          <w:color w:val="231F20"/>
          <w:spacing w:val="-8"/>
        </w:rPr>
        <w:t> </w:t>
      </w:r>
      <w:r>
        <w:rPr>
          <w:color w:val="231F20"/>
        </w:rPr>
        <w:t>se</w:t>
      </w:r>
      <w:r>
        <w:rPr>
          <w:color w:val="231F20"/>
          <w:spacing w:val="-8"/>
        </w:rPr>
        <w:t> </w:t>
      </w:r>
      <w:r>
        <w:rPr>
          <w:color w:val="231F20"/>
        </w:rPr>
        <w:t>descubrieron</w:t>
      </w:r>
      <w:r>
        <w:rPr>
          <w:color w:val="231F20"/>
          <w:spacing w:val="-8"/>
        </w:rPr>
        <w:t> </w:t>
      </w:r>
      <w:r>
        <w:rPr>
          <w:color w:val="231F20"/>
        </w:rPr>
        <w:t>y</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tercera</w:t>
      </w:r>
      <w:r>
        <w:rPr>
          <w:color w:val="231F20"/>
          <w:spacing w:val="-8"/>
        </w:rPr>
        <w:t> </w:t>
      </w:r>
      <w:r>
        <w:rPr>
          <w:color w:val="231F20"/>
        </w:rPr>
        <w:t>semana se trasplantaron a bolsas de plástico de 35x35 cm con el mismo substrato, para completar su creci- miento en condiciones de invernadero durante los meses de mayo a octubre. La temperatura osciló entre 15-35 </w:t>
      </w:r>
      <w:r>
        <w:rPr>
          <w:color w:val="231F20"/>
          <w:position w:val="7"/>
          <w:sz w:val="12"/>
        </w:rPr>
        <w:t>o</w:t>
      </w:r>
      <w:r>
        <w:rPr>
          <w:color w:val="231F20"/>
        </w:rPr>
        <w:t>C y la iluminación fue la natural obtenida dentro del</w:t>
      </w:r>
      <w:r>
        <w:rPr>
          <w:color w:val="231F20"/>
          <w:spacing w:val="-4"/>
        </w:rPr>
        <w:t> </w:t>
      </w:r>
      <w:r>
        <w:rPr>
          <w:color w:val="231F20"/>
        </w:rPr>
        <w:t>invernadero.</w:t>
      </w:r>
    </w:p>
    <w:p>
      <w:pPr>
        <w:pStyle w:val="BodyText"/>
        <w:spacing w:before="7"/>
      </w:pPr>
    </w:p>
    <w:p>
      <w:pPr>
        <w:pStyle w:val="Heading5"/>
      </w:pPr>
      <w:r>
        <w:rPr>
          <w:color w:val="231F20"/>
        </w:rPr>
        <w:t>Obtención de semillas</w:t>
      </w:r>
    </w:p>
    <w:p>
      <w:pPr>
        <w:pStyle w:val="BodyText"/>
        <w:spacing w:line="247" w:lineRule="auto" w:before="8"/>
        <w:ind w:left="1270" w:right="1267"/>
        <w:jc w:val="both"/>
      </w:pPr>
      <w:r>
        <w:rPr>
          <w:color w:val="231F20"/>
        </w:rPr>
        <w:t>Para obtener semillas de las plantas regeneradas in vitro, se llevaron a cabo polinizaciones de los jilotes de las plantas regeneradas con polen proveniente de plantas obtenidas mediante semilla de la misma línea CML72.</w:t>
      </w:r>
    </w:p>
    <w:p>
      <w:pPr>
        <w:pStyle w:val="BodyText"/>
        <w:spacing w:before="10"/>
      </w:pPr>
    </w:p>
    <w:p>
      <w:pPr>
        <w:pStyle w:val="Heading5"/>
      </w:pPr>
      <w:r>
        <w:rPr>
          <w:color w:val="231F20"/>
        </w:rPr>
        <w:t>Caracterización morfológica</w:t>
      </w:r>
    </w:p>
    <w:p>
      <w:pPr>
        <w:pStyle w:val="BodyText"/>
        <w:spacing w:line="247" w:lineRule="auto" w:before="8"/>
        <w:ind w:left="1270" w:right="1267"/>
        <w:jc w:val="both"/>
      </w:pPr>
      <w:r>
        <w:rPr>
          <w:color w:val="231F20"/>
        </w:rPr>
        <w:t>En</w:t>
      </w:r>
      <w:r>
        <w:rPr>
          <w:color w:val="231F20"/>
          <w:spacing w:val="-9"/>
        </w:rPr>
        <w:t> </w:t>
      </w:r>
      <w:r>
        <w:rPr>
          <w:color w:val="231F20"/>
        </w:rPr>
        <w:t>las</w:t>
      </w:r>
      <w:r>
        <w:rPr>
          <w:color w:val="231F20"/>
          <w:spacing w:val="-9"/>
        </w:rPr>
        <w:t> </w:t>
      </w:r>
      <w:r>
        <w:rPr>
          <w:color w:val="231F20"/>
        </w:rPr>
        <w:t>plantas</w:t>
      </w:r>
      <w:r>
        <w:rPr>
          <w:color w:val="231F20"/>
          <w:spacing w:val="-9"/>
        </w:rPr>
        <w:t> </w:t>
      </w:r>
      <w:r>
        <w:rPr>
          <w:color w:val="231F20"/>
        </w:rPr>
        <w:t>adultas</w:t>
      </w:r>
      <w:r>
        <w:rPr>
          <w:color w:val="231F20"/>
          <w:spacing w:val="-10"/>
        </w:rPr>
        <w:t> </w:t>
      </w:r>
      <w:r>
        <w:rPr>
          <w:color w:val="231F20"/>
        </w:rPr>
        <w:t>se</w:t>
      </w:r>
      <w:r>
        <w:rPr>
          <w:color w:val="231F20"/>
          <w:spacing w:val="35"/>
        </w:rPr>
        <w:t> </w:t>
      </w:r>
      <w:r>
        <w:rPr>
          <w:color w:val="231F20"/>
        </w:rPr>
        <w:t>tomaron</w:t>
      </w:r>
      <w:r>
        <w:rPr>
          <w:color w:val="231F20"/>
          <w:spacing w:val="-9"/>
        </w:rPr>
        <w:t> </w:t>
      </w:r>
      <w:r>
        <w:rPr>
          <w:color w:val="231F20"/>
        </w:rPr>
        <w:t>las</w:t>
      </w:r>
      <w:r>
        <w:rPr>
          <w:color w:val="231F20"/>
          <w:spacing w:val="-9"/>
        </w:rPr>
        <w:t> </w:t>
      </w:r>
      <w:r>
        <w:rPr>
          <w:color w:val="231F20"/>
        </w:rPr>
        <w:t>siguientes</w:t>
      </w:r>
      <w:r>
        <w:rPr>
          <w:color w:val="231F20"/>
          <w:spacing w:val="-9"/>
        </w:rPr>
        <w:t> </w:t>
      </w:r>
      <w:r>
        <w:rPr>
          <w:color w:val="231F20"/>
        </w:rPr>
        <w:t>variables</w:t>
      </w:r>
      <w:r>
        <w:rPr>
          <w:color w:val="231F20"/>
          <w:spacing w:val="-9"/>
        </w:rPr>
        <w:t> </w:t>
      </w:r>
      <w:r>
        <w:rPr>
          <w:color w:val="231F20"/>
        </w:rPr>
        <w:t>morfológicas</w:t>
      </w:r>
      <w:r>
        <w:rPr>
          <w:color w:val="231F20"/>
          <w:spacing w:val="-10"/>
        </w:rPr>
        <w:t> </w:t>
      </w:r>
      <w:r>
        <w:rPr>
          <w:color w:val="231F20"/>
        </w:rPr>
        <w:t>y</w:t>
      </w:r>
      <w:r>
        <w:rPr>
          <w:color w:val="231F20"/>
          <w:spacing w:val="-9"/>
        </w:rPr>
        <w:t> </w:t>
      </w:r>
      <w:r>
        <w:rPr>
          <w:color w:val="231F20"/>
        </w:rPr>
        <w:t>fenológicas:</w:t>
      </w:r>
      <w:r>
        <w:rPr>
          <w:color w:val="231F20"/>
          <w:spacing w:val="-9"/>
        </w:rPr>
        <w:t> </w:t>
      </w:r>
      <w:r>
        <w:rPr>
          <w:color w:val="231F20"/>
        </w:rPr>
        <w:t>altura</w:t>
      </w:r>
      <w:r>
        <w:rPr>
          <w:color w:val="231F20"/>
          <w:spacing w:val="-10"/>
        </w:rPr>
        <w:t> </w:t>
      </w:r>
      <w:r>
        <w:rPr>
          <w:color w:val="231F20"/>
        </w:rPr>
        <w:t>de</w:t>
      </w:r>
      <w:r>
        <w:rPr>
          <w:color w:val="231F20"/>
          <w:spacing w:val="-9"/>
        </w:rPr>
        <w:t> </w:t>
      </w:r>
      <w:r>
        <w:rPr>
          <w:color w:val="231F20"/>
        </w:rPr>
        <w:t>plan- ta, número de hojas, días a floración masculina, días a floración femenina, días a madurez de grano, presencia</w:t>
      </w:r>
      <w:r>
        <w:rPr>
          <w:color w:val="231F20"/>
          <w:spacing w:val="-3"/>
        </w:rPr>
        <w:t> </w:t>
      </w:r>
      <w:r>
        <w:rPr>
          <w:color w:val="231F20"/>
        </w:rPr>
        <w:t>o</w:t>
      </w:r>
      <w:r>
        <w:rPr>
          <w:color w:val="231F20"/>
          <w:spacing w:val="-3"/>
        </w:rPr>
        <w:t> </w:t>
      </w:r>
      <w:r>
        <w:rPr>
          <w:color w:val="231F20"/>
        </w:rPr>
        <w:t>ausencia</w:t>
      </w:r>
      <w:r>
        <w:rPr>
          <w:color w:val="231F20"/>
          <w:spacing w:val="-3"/>
        </w:rPr>
        <w:t> </w:t>
      </w:r>
      <w:r>
        <w:rPr>
          <w:color w:val="231F20"/>
        </w:rPr>
        <w:t>de</w:t>
      </w:r>
      <w:r>
        <w:rPr>
          <w:color w:val="231F20"/>
          <w:spacing w:val="-3"/>
        </w:rPr>
        <w:t> </w:t>
      </w:r>
      <w:r>
        <w:rPr>
          <w:color w:val="231F20"/>
        </w:rPr>
        <w:t>hojas</w:t>
      </w:r>
      <w:r>
        <w:rPr>
          <w:color w:val="231F20"/>
          <w:spacing w:val="-3"/>
        </w:rPr>
        <w:t> </w:t>
      </w:r>
      <w:r>
        <w:rPr>
          <w:color w:val="231F20"/>
        </w:rPr>
        <w:t>variegadas,</w:t>
      </w:r>
      <w:r>
        <w:rPr>
          <w:color w:val="231F20"/>
          <w:spacing w:val="-3"/>
        </w:rPr>
        <w:t> </w:t>
      </w:r>
      <w:r>
        <w:rPr>
          <w:color w:val="231F20"/>
        </w:rPr>
        <w:t>presencia</w:t>
      </w:r>
      <w:r>
        <w:rPr>
          <w:color w:val="231F20"/>
          <w:spacing w:val="-3"/>
        </w:rPr>
        <w:t> </w:t>
      </w:r>
      <w:r>
        <w:rPr>
          <w:color w:val="231F20"/>
        </w:rPr>
        <w:t>o</w:t>
      </w:r>
      <w:r>
        <w:rPr>
          <w:color w:val="231F20"/>
          <w:spacing w:val="-3"/>
        </w:rPr>
        <w:t> </w:t>
      </w:r>
      <w:r>
        <w:rPr>
          <w:color w:val="231F20"/>
        </w:rPr>
        <w:t>ausencia</w:t>
      </w:r>
      <w:r>
        <w:rPr>
          <w:color w:val="231F20"/>
          <w:spacing w:val="-3"/>
        </w:rPr>
        <w:t> </w:t>
      </w:r>
      <w:r>
        <w:rPr>
          <w:color w:val="231F20"/>
        </w:rPr>
        <w:t>de</w:t>
      </w:r>
      <w:r>
        <w:rPr>
          <w:color w:val="231F20"/>
          <w:spacing w:val="-3"/>
        </w:rPr>
        <w:t> </w:t>
      </w:r>
      <w:r>
        <w:rPr>
          <w:color w:val="231F20"/>
        </w:rPr>
        <w:t>flores</w:t>
      </w:r>
      <w:r>
        <w:rPr>
          <w:color w:val="231F20"/>
          <w:spacing w:val="-3"/>
        </w:rPr>
        <w:t> </w:t>
      </w:r>
      <w:r>
        <w:rPr>
          <w:color w:val="231F20"/>
        </w:rPr>
        <w:t>femeninas</w:t>
      </w:r>
      <w:r>
        <w:rPr>
          <w:color w:val="231F20"/>
          <w:spacing w:val="-3"/>
        </w:rPr>
        <w:t> </w:t>
      </w:r>
      <w:r>
        <w:rPr>
          <w:color w:val="231F20"/>
        </w:rPr>
        <w:t>y</w:t>
      </w:r>
      <w:r>
        <w:rPr>
          <w:color w:val="231F20"/>
          <w:spacing w:val="-3"/>
        </w:rPr>
        <w:t> </w:t>
      </w:r>
      <w:r>
        <w:rPr>
          <w:color w:val="231F20"/>
        </w:rPr>
        <w:t>masculinas.</w:t>
      </w:r>
      <w:r>
        <w:rPr>
          <w:color w:val="231F20"/>
          <w:spacing w:val="-3"/>
        </w:rPr>
        <w:t> </w:t>
      </w:r>
      <w:r>
        <w:rPr>
          <w:color w:val="231F20"/>
        </w:rPr>
        <w:t>Se generaron bases de datos con el programa Excel 2010 y a las variables se les realizó un análisis de medias mediante el paquete estadístico SAS para Windows</w:t>
      </w:r>
      <w:r>
        <w:rPr>
          <w:color w:val="231F20"/>
          <w:spacing w:val="-14"/>
        </w:rPr>
        <w:t> </w:t>
      </w:r>
      <w:r>
        <w:rPr>
          <w:color w:val="231F20"/>
        </w:rPr>
        <w:t>9.0.</w:t>
      </w:r>
    </w:p>
    <w:p>
      <w:pPr>
        <w:pStyle w:val="BodyText"/>
        <w:spacing w:before="9"/>
        <w:rPr>
          <w:sz w:val="22"/>
        </w:rPr>
      </w:pPr>
    </w:p>
    <w:p>
      <w:pPr>
        <w:pStyle w:val="Heading3"/>
      </w:pPr>
      <w:r>
        <w:rPr>
          <w:color w:val="010202"/>
        </w:rPr>
        <w:t>Análisis y discusión de resultados</w:t>
      </w:r>
    </w:p>
    <w:p>
      <w:pPr>
        <w:pStyle w:val="BodyText"/>
        <w:spacing w:before="10"/>
        <w:rPr>
          <w:b/>
        </w:rPr>
      </w:pPr>
    </w:p>
    <w:p>
      <w:pPr>
        <w:pStyle w:val="BodyText"/>
        <w:spacing w:line="247" w:lineRule="auto"/>
        <w:ind w:left="1270" w:right="1267"/>
        <w:jc w:val="both"/>
      </w:pPr>
      <w:r>
        <w:rPr>
          <w:color w:val="231F20"/>
        </w:rPr>
        <w:t>La</w:t>
      </w:r>
      <w:r>
        <w:rPr>
          <w:color w:val="231F20"/>
          <w:spacing w:val="-3"/>
        </w:rPr>
        <w:t> </w:t>
      </w:r>
      <w:r>
        <w:rPr>
          <w:color w:val="231F20"/>
        </w:rPr>
        <w:t>regeneración</w:t>
      </w:r>
      <w:r>
        <w:rPr>
          <w:color w:val="231F20"/>
          <w:spacing w:val="-3"/>
        </w:rPr>
        <w:t> </w:t>
      </w:r>
      <w:r>
        <w:rPr>
          <w:color w:val="231F20"/>
        </w:rPr>
        <w:t>obtenida</w:t>
      </w:r>
      <w:r>
        <w:rPr>
          <w:color w:val="231F20"/>
          <w:spacing w:val="-3"/>
        </w:rPr>
        <w:t> </w:t>
      </w:r>
      <w:r>
        <w:rPr>
          <w:color w:val="231F20"/>
        </w:rPr>
        <w:t>en</w:t>
      </w:r>
      <w:r>
        <w:rPr>
          <w:color w:val="231F20"/>
          <w:spacing w:val="-3"/>
        </w:rPr>
        <w:t> </w:t>
      </w:r>
      <w:r>
        <w:rPr>
          <w:color w:val="231F20"/>
        </w:rPr>
        <w:t>los</w:t>
      </w:r>
      <w:r>
        <w:rPr>
          <w:color w:val="231F20"/>
          <w:spacing w:val="-3"/>
        </w:rPr>
        <w:t> </w:t>
      </w:r>
      <w:r>
        <w:rPr>
          <w:color w:val="231F20"/>
        </w:rPr>
        <w:t>callos</w:t>
      </w:r>
      <w:r>
        <w:rPr>
          <w:color w:val="231F20"/>
          <w:spacing w:val="-3"/>
        </w:rPr>
        <w:t> </w:t>
      </w:r>
      <w:r>
        <w:rPr>
          <w:color w:val="231F20"/>
        </w:rPr>
        <w:t>se</w:t>
      </w:r>
      <w:r>
        <w:rPr>
          <w:color w:val="231F20"/>
          <w:spacing w:val="-3"/>
        </w:rPr>
        <w:t> </w:t>
      </w:r>
      <w:r>
        <w:rPr>
          <w:color w:val="231F20"/>
        </w:rPr>
        <w:t>muestra</w:t>
      </w:r>
      <w:r>
        <w:rPr>
          <w:color w:val="231F20"/>
          <w:spacing w:val="-3"/>
        </w:rPr>
        <w:t> </w:t>
      </w:r>
      <w:r>
        <w:rPr>
          <w:color w:val="231F20"/>
        </w:rPr>
        <w:t>en</w:t>
      </w:r>
      <w:r>
        <w:rPr>
          <w:color w:val="231F20"/>
          <w:spacing w:val="-3"/>
        </w:rPr>
        <w:t> </w:t>
      </w:r>
      <w:r>
        <w:rPr>
          <w:color w:val="231F20"/>
        </w:rPr>
        <w:t>la</w:t>
      </w:r>
      <w:r>
        <w:rPr>
          <w:color w:val="231F20"/>
          <w:spacing w:val="-3"/>
        </w:rPr>
        <w:t> </w:t>
      </w:r>
      <w:r>
        <w:rPr>
          <w:color w:val="231F20"/>
        </w:rPr>
        <w:t>tabla</w:t>
      </w:r>
      <w:r>
        <w:rPr>
          <w:color w:val="231F20"/>
          <w:spacing w:val="-3"/>
        </w:rPr>
        <w:t> </w:t>
      </w:r>
      <w:r>
        <w:rPr>
          <w:color w:val="231F20"/>
        </w:rPr>
        <w:t>1</w:t>
      </w:r>
      <w:r>
        <w:rPr>
          <w:color w:val="231F20"/>
          <w:spacing w:val="-3"/>
        </w:rPr>
        <w:t> </w:t>
      </w:r>
      <w:r>
        <w:rPr>
          <w:color w:val="231F20"/>
        </w:rPr>
        <w:t>y</w:t>
      </w:r>
      <w:r>
        <w:rPr>
          <w:color w:val="231F20"/>
          <w:spacing w:val="-3"/>
        </w:rPr>
        <w:t> </w:t>
      </w:r>
      <w:r>
        <w:rPr>
          <w:color w:val="231F20"/>
        </w:rPr>
        <w:t>se</w:t>
      </w:r>
      <w:r>
        <w:rPr>
          <w:color w:val="231F20"/>
          <w:spacing w:val="-3"/>
        </w:rPr>
        <w:t> </w:t>
      </w:r>
      <w:r>
        <w:rPr>
          <w:color w:val="231F20"/>
        </w:rPr>
        <w:t>puede</w:t>
      </w:r>
      <w:r>
        <w:rPr>
          <w:color w:val="231F20"/>
          <w:spacing w:val="-3"/>
        </w:rPr>
        <w:t> </w:t>
      </w:r>
      <w:r>
        <w:rPr>
          <w:color w:val="231F20"/>
        </w:rPr>
        <w:t>observar</w:t>
      </w:r>
      <w:r>
        <w:rPr>
          <w:color w:val="231F20"/>
          <w:spacing w:val="-3"/>
        </w:rPr>
        <w:t> </w:t>
      </w:r>
      <w:r>
        <w:rPr>
          <w:color w:val="231F20"/>
        </w:rPr>
        <w:t>que</w:t>
      </w:r>
      <w:r>
        <w:rPr>
          <w:color w:val="231F20"/>
          <w:spacing w:val="-3"/>
        </w:rPr>
        <w:t> </w:t>
      </w:r>
      <w:r>
        <w:rPr>
          <w:color w:val="231F20"/>
        </w:rPr>
        <w:t>la</w:t>
      </w:r>
      <w:r>
        <w:rPr>
          <w:color w:val="231F20"/>
          <w:spacing w:val="-3"/>
        </w:rPr>
        <w:t> </w:t>
      </w:r>
      <w:r>
        <w:rPr>
          <w:color w:val="231F20"/>
        </w:rPr>
        <w:t>capacidad regenerativa de los callos no se ha visto afectada con el tiempo en subcultivos (α=0.05), lo cual indica que se podrían utilizar dichos callos por un periodo de 9 meses de subcultivo sin perder la capacidad regenerativa de los mismos. Sin embargo, un aspecto crítico es llevar a cabo subcultivos periódicos en el medio embriogénico cada 2 a 3 semanas. Al realizar el análisis estadístico</w:t>
      </w:r>
      <w:r>
        <w:rPr>
          <w:color w:val="231F20"/>
          <w:spacing w:val="-12"/>
        </w:rPr>
        <w:t> </w:t>
      </w:r>
      <w:r>
        <w:rPr>
          <w:color w:val="231F20"/>
        </w:rPr>
        <w:t>(α=0.05) para diferenciar entre la regeneración obtenida de callos provenientes de embriones maduros contra la</w:t>
      </w:r>
      <w:r>
        <w:rPr>
          <w:color w:val="231F20"/>
          <w:spacing w:val="-11"/>
        </w:rPr>
        <w:t> </w:t>
      </w:r>
      <w:r>
        <w:rPr>
          <w:color w:val="231F20"/>
        </w:rPr>
        <w:t>de</w:t>
      </w:r>
      <w:r>
        <w:rPr>
          <w:color w:val="231F20"/>
          <w:spacing w:val="-11"/>
        </w:rPr>
        <w:t> </w:t>
      </w:r>
      <w:r>
        <w:rPr>
          <w:color w:val="231F20"/>
        </w:rPr>
        <w:t>callos</w:t>
      </w:r>
      <w:r>
        <w:rPr>
          <w:color w:val="231F20"/>
          <w:spacing w:val="-11"/>
        </w:rPr>
        <w:t> </w:t>
      </w:r>
      <w:r>
        <w:rPr>
          <w:color w:val="231F20"/>
        </w:rPr>
        <w:t>provenientes</w:t>
      </w:r>
      <w:r>
        <w:rPr>
          <w:color w:val="231F20"/>
          <w:spacing w:val="-11"/>
        </w:rPr>
        <w:t> </w:t>
      </w:r>
      <w:r>
        <w:rPr>
          <w:color w:val="231F20"/>
        </w:rPr>
        <w:t>de</w:t>
      </w:r>
      <w:r>
        <w:rPr>
          <w:color w:val="231F20"/>
          <w:spacing w:val="-11"/>
        </w:rPr>
        <w:t> </w:t>
      </w:r>
      <w:r>
        <w:rPr>
          <w:color w:val="231F20"/>
        </w:rPr>
        <w:t>embriones</w:t>
      </w:r>
      <w:r>
        <w:rPr>
          <w:color w:val="231F20"/>
          <w:spacing w:val="-11"/>
        </w:rPr>
        <w:t> </w:t>
      </w:r>
      <w:r>
        <w:rPr>
          <w:color w:val="231F20"/>
        </w:rPr>
        <w:t>inmaduros,</w:t>
      </w:r>
      <w:r>
        <w:rPr>
          <w:color w:val="231F20"/>
          <w:spacing w:val="-11"/>
        </w:rPr>
        <w:t> </w:t>
      </w:r>
      <w:r>
        <w:rPr>
          <w:color w:val="231F20"/>
        </w:rPr>
        <w:t>se</w:t>
      </w:r>
      <w:r>
        <w:rPr>
          <w:color w:val="231F20"/>
          <w:spacing w:val="-11"/>
        </w:rPr>
        <w:t> </w:t>
      </w:r>
      <w:r>
        <w:rPr>
          <w:color w:val="231F20"/>
        </w:rPr>
        <w:t>encontró</w:t>
      </w:r>
      <w:r>
        <w:rPr>
          <w:color w:val="231F20"/>
          <w:spacing w:val="-11"/>
        </w:rPr>
        <w:t> </w:t>
      </w:r>
      <w:r>
        <w:rPr>
          <w:color w:val="231F20"/>
        </w:rPr>
        <w:t>que</w:t>
      </w:r>
      <w:r>
        <w:rPr>
          <w:color w:val="231F20"/>
          <w:spacing w:val="-11"/>
        </w:rPr>
        <w:t> </w:t>
      </w:r>
      <w:r>
        <w:rPr>
          <w:color w:val="231F20"/>
        </w:rPr>
        <w:t>estadísticamente</w:t>
      </w:r>
      <w:r>
        <w:rPr>
          <w:color w:val="231F20"/>
          <w:spacing w:val="-12"/>
        </w:rPr>
        <w:t> </w:t>
      </w:r>
      <w:r>
        <w:rPr>
          <w:color w:val="231F20"/>
        </w:rPr>
        <w:t>se</w:t>
      </w:r>
      <w:r>
        <w:rPr>
          <w:color w:val="231F20"/>
          <w:spacing w:val="-11"/>
        </w:rPr>
        <w:t> </w:t>
      </w:r>
      <w:r>
        <w:rPr>
          <w:color w:val="231F20"/>
        </w:rPr>
        <w:t>producen</w:t>
      </w:r>
      <w:r>
        <w:rPr>
          <w:color w:val="231F20"/>
          <w:spacing w:val="-11"/>
        </w:rPr>
        <w:t> </w:t>
      </w:r>
      <w:r>
        <w:rPr>
          <w:color w:val="231F20"/>
        </w:rPr>
        <w:t>más brotes de callos que proviene de embrión maduro, debido a que hubo un incremento en la</w:t>
      </w:r>
      <w:r>
        <w:rPr>
          <w:color w:val="231F20"/>
          <w:spacing w:val="-33"/>
        </w:rPr>
        <w:t> </w:t>
      </w:r>
      <w:r>
        <w:rPr>
          <w:color w:val="231F20"/>
        </w:rPr>
        <w:t>capacidad regenerativa de los callos a los 9 meses de subcultivo.</w:t>
      </w:r>
    </w:p>
    <w:p>
      <w:pPr>
        <w:pStyle w:val="BodyText"/>
        <w:spacing w:before="4"/>
      </w:pPr>
    </w:p>
    <w:p>
      <w:pPr>
        <w:spacing w:line="249" w:lineRule="auto" w:before="1"/>
        <w:ind w:left="2423" w:right="2421" w:firstLine="0"/>
        <w:jc w:val="center"/>
        <w:rPr>
          <w:b/>
          <w:sz w:val="18"/>
        </w:rPr>
      </w:pPr>
      <w:r>
        <w:rPr>
          <w:b/>
          <w:color w:val="010202"/>
          <w:sz w:val="18"/>
        </w:rPr>
        <w:t>Tabla 1. Número de brotes obtenidos de callos embriogénicos obtenidos de embriones maduros e inmaduros mantenidos en sub cultivo de 3 a 9 meses</w:t>
      </w:r>
    </w:p>
    <w:p>
      <w:pPr>
        <w:pStyle w:val="BodyText"/>
        <w:spacing w:before="3"/>
        <w:rPr>
          <w:b/>
          <w:sz w:val="17"/>
        </w:rPr>
      </w:pPr>
      <w:r>
        <w:rPr/>
        <w:pict>
          <v:line style="position:absolute;mso-position-horizontal-relative:page;mso-position-vertical-relative:paragraph;z-index:4456;mso-wrap-distance-left:0;mso-wrap-distance-right:0" from="482.480299pt,12.128055pt" to="63.519299pt,12.128055pt" stroked="true" strokeweight=".5pt" strokecolor="#010202">
            <w10:wrap type="topAndBottom"/>
          </v:line>
        </w:pict>
      </w:r>
    </w:p>
    <w:p>
      <w:pPr>
        <w:tabs>
          <w:tab w:pos="3655" w:val="left" w:leader="none"/>
          <w:tab w:pos="9649" w:val="left" w:leader="none"/>
        </w:tabs>
        <w:spacing w:before="0" w:after="20"/>
        <w:ind w:left="1270" w:right="0" w:firstLine="0"/>
        <w:jc w:val="both"/>
        <w:rPr>
          <w:b/>
          <w:sz w:val="18"/>
        </w:rPr>
      </w:pPr>
      <w:r>
        <w:rPr>
          <w:b/>
          <w:color w:val="231F20"/>
          <w:sz w:val="18"/>
          <w:u w:val="single" w:color="010202"/>
        </w:rPr>
        <w:t> </w:t>
        <w:tab/>
        <w:t>No. de brotes obtenidos (de 10 callos por</w:t>
      </w:r>
      <w:r>
        <w:rPr>
          <w:b/>
          <w:color w:val="231F20"/>
          <w:spacing w:val="-18"/>
          <w:sz w:val="18"/>
          <w:u w:val="single" w:color="010202"/>
        </w:rPr>
        <w:t> </w:t>
      </w:r>
      <w:r>
        <w:rPr>
          <w:b/>
          <w:color w:val="231F20"/>
          <w:sz w:val="18"/>
          <w:u w:val="single" w:color="010202"/>
        </w:rPr>
        <w:t>fecha)</w:t>
        <w:tab/>
      </w:r>
    </w:p>
    <w:tbl>
      <w:tblPr>
        <w:tblW w:w="0" w:type="auto"/>
        <w:jc w:val="left"/>
        <w:tblInd w:w="123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82"/>
        <w:gridCol w:w="1440"/>
        <w:gridCol w:w="1440"/>
        <w:gridCol w:w="1440"/>
        <w:gridCol w:w="1612"/>
      </w:tblGrid>
      <w:tr>
        <w:trPr>
          <w:trHeight w:val="210" w:hRule="exact"/>
        </w:trPr>
        <w:tc>
          <w:tcPr>
            <w:tcW w:w="2482" w:type="dxa"/>
          </w:tcPr>
          <w:p>
            <w:pPr>
              <w:pStyle w:val="TableParagraph"/>
              <w:tabs>
                <w:tab w:pos="1474" w:val="left" w:leader="none"/>
              </w:tabs>
              <w:spacing w:line="196" w:lineRule="exact" w:before="0"/>
              <w:ind w:left="35"/>
              <w:rPr>
                <w:sz w:val="18"/>
              </w:rPr>
            </w:pPr>
            <w:r>
              <w:rPr>
                <w:color w:val="231F20"/>
                <w:sz w:val="18"/>
              </w:rPr>
              <w:t>Explante</w:t>
              <w:tab/>
              <w:t>3 meses</w:t>
            </w:r>
          </w:p>
        </w:tc>
        <w:tc>
          <w:tcPr>
            <w:tcW w:w="1440" w:type="dxa"/>
          </w:tcPr>
          <w:p>
            <w:pPr>
              <w:pStyle w:val="TableParagraph"/>
              <w:spacing w:line="196" w:lineRule="exact" w:before="0"/>
              <w:ind w:left="432"/>
              <w:rPr>
                <w:sz w:val="18"/>
              </w:rPr>
            </w:pPr>
            <w:r>
              <w:rPr>
                <w:color w:val="231F20"/>
                <w:sz w:val="18"/>
              </w:rPr>
              <w:t>5 meses</w:t>
            </w:r>
          </w:p>
        </w:tc>
        <w:tc>
          <w:tcPr>
            <w:tcW w:w="1440" w:type="dxa"/>
          </w:tcPr>
          <w:p>
            <w:pPr>
              <w:pStyle w:val="TableParagraph"/>
              <w:spacing w:line="196" w:lineRule="exact" w:before="0"/>
              <w:ind w:left="432"/>
              <w:rPr>
                <w:sz w:val="18"/>
              </w:rPr>
            </w:pPr>
            <w:r>
              <w:rPr>
                <w:color w:val="231F20"/>
                <w:sz w:val="18"/>
              </w:rPr>
              <w:t>7 meses</w:t>
            </w:r>
          </w:p>
        </w:tc>
        <w:tc>
          <w:tcPr>
            <w:tcW w:w="1440" w:type="dxa"/>
          </w:tcPr>
          <w:p>
            <w:pPr>
              <w:pStyle w:val="TableParagraph"/>
              <w:spacing w:line="196" w:lineRule="exact" w:before="0"/>
              <w:ind w:left="432"/>
              <w:rPr>
                <w:sz w:val="18"/>
              </w:rPr>
            </w:pPr>
            <w:r>
              <w:rPr>
                <w:color w:val="231F20"/>
                <w:sz w:val="18"/>
              </w:rPr>
              <w:t>9 meses</w:t>
            </w:r>
          </w:p>
        </w:tc>
        <w:tc>
          <w:tcPr>
            <w:tcW w:w="1612" w:type="dxa"/>
          </w:tcPr>
          <w:p>
            <w:pPr>
              <w:pStyle w:val="TableParagraph"/>
              <w:spacing w:line="196" w:lineRule="exact" w:before="0"/>
              <w:ind w:left="432"/>
              <w:rPr>
                <w:sz w:val="18"/>
              </w:rPr>
            </w:pPr>
            <w:r>
              <w:rPr>
                <w:color w:val="231F20"/>
                <w:sz w:val="18"/>
              </w:rPr>
              <w:t>Promedio</w:t>
            </w:r>
          </w:p>
        </w:tc>
      </w:tr>
      <w:tr>
        <w:trPr>
          <w:trHeight w:val="216" w:hRule="exact"/>
        </w:trPr>
        <w:tc>
          <w:tcPr>
            <w:tcW w:w="2482" w:type="dxa"/>
          </w:tcPr>
          <w:p>
            <w:pPr>
              <w:pStyle w:val="TableParagraph"/>
              <w:tabs>
                <w:tab w:pos="1474" w:val="left" w:leader="none"/>
              </w:tabs>
              <w:spacing w:line="202" w:lineRule="exact" w:before="0"/>
              <w:ind w:left="35"/>
              <w:rPr>
                <w:sz w:val="18"/>
              </w:rPr>
            </w:pPr>
            <w:r>
              <w:rPr>
                <w:color w:val="231F20"/>
                <w:sz w:val="18"/>
              </w:rPr>
              <w:t>Embrión maduro</w:t>
              <w:tab/>
              <w:t>57</w:t>
            </w:r>
          </w:p>
        </w:tc>
        <w:tc>
          <w:tcPr>
            <w:tcW w:w="1440" w:type="dxa"/>
          </w:tcPr>
          <w:p>
            <w:pPr>
              <w:pStyle w:val="TableParagraph"/>
              <w:spacing w:line="202" w:lineRule="exact" w:before="0"/>
              <w:ind w:left="432"/>
              <w:rPr>
                <w:sz w:val="18"/>
              </w:rPr>
            </w:pPr>
            <w:r>
              <w:rPr>
                <w:color w:val="231F20"/>
                <w:sz w:val="18"/>
              </w:rPr>
              <w:t>35</w:t>
            </w:r>
          </w:p>
        </w:tc>
        <w:tc>
          <w:tcPr>
            <w:tcW w:w="1440" w:type="dxa"/>
          </w:tcPr>
          <w:p>
            <w:pPr>
              <w:pStyle w:val="TableParagraph"/>
              <w:spacing w:line="202" w:lineRule="exact" w:before="0"/>
              <w:ind w:left="432"/>
              <w:rPr>
                <w:sz w:val="18"/>
              </w:rPr>
            </w:pPr>
            <w:r>
              <w:rPr>
                <w:color w:val="231F20"/>
                <w:sz w:val="18"/>
              </w:rPr>
              <w:t>65</w:t>
            </w:r>
          </w:p>
        </w:tc>
        <w:tc>
          <w:tcPr>
            <w:tcW w:w="1440" w:type="dxa"/>
          </w:tcPr>
          <w:p>
            <w:pPr>
              <w:pStyle w:val="TableParagraph"/>
              <w:spacing w:line="202" w:lineRule="exact" w:before="0"/>
              <w:ind w:left="432"/>
              <w:rPr>
                <w:sz w:val="18"/>
              </w:rPr>
            </w:pPr>
            <w:r>
              <w:rPr>
                <w:color w:val="231F20"/>
                <w:sz w:val="18"/>
              </w:rPr>
              <w:t>129</w:t>
            </w:r>
          </w:p>
        </w:tc>
        <w:tc>
          <w:tcPr>
            <w:tcW w:w="1612" w:type="dxa"/>
          </w:tcPr>
          <w:p>
            <w:pPr>
              <w:pStyle w:val="TableParagraph"/>
              <w:spacing w:line="202" w:lineRule="exact" w:before="0"/>
              <w:ind w:left="432"/>
              <w:rPr>
                <w:sz w:val="18"/>
              </w:rPr>
            </w:pPr>
            <w:r>
              <w:rPr>
                <w:color w:val="231F20"/>
                <w:sz w:val="18"/>
              </w:rPr>
              <w:t>71.5 a*</w:t>
            </w:r>
          </w:p>
        </w:tc>
      </w:tr>
      <w:tr>
        <w:trPr>
          <w:trHeight w:val="216" w:hRule="exact"/>
        </w:trPr>
        <w:tc>
          <w:tcPr>
            <w:tcW w:w="2482" w:type="dxa"/>
          </w:tcPr>
          <w:p>
            <w:pPr>
              <w:pStyle w:val="TableParagraph"/>
              <w:spacing w:line="202" w:lineRule="exact" w:before="0"/>
              <w:ind w:left="35"/>
              <w:rPr>
                <w:sz w:val="18"/>
              </w:rPr>
            </w:pPr>
            <w:r>
              <w:rPr>
                <w:color w:val="231F20"/>
                <w:sz w:val="18"/>
              </w:rPr>
              <w:t>Embrión inmaduro 64</w:t>
            </w:r>
          </w:p>
        </w:tc>
        <w:tc>
          <w:tcPr>
            <w:tcW w:w="1440" w:type="dxa"/>
          </w:tcPr>
          <w:p>
            <w:pPr>
              <w:pStyle w:val="TableParagraph"/>
              <w:spacing w:line="202" w:lineRule="exact" w:before="0"/>
              <w:ind w:left="432"/>
              <w:rPr>
                <w:sz w:val="18"/>
              </w:rPr>
            </w:pPr>
            <w:r>
              <w:rPr>
                <w:color w:val="231F20"/>
                <w:sz w:val="18"/>
              </w:rPr>
              <w:t>39</w:t>
            </w:r>
          </w:p>
        </w:tc>
        <w:tc>
          <w:tcPr>
            <w:tcW w:w="1440" w:type="dxa"/>
          </w:tcPr>
          <w:p>
            <w:pPr>
              <w:pStyle w:val="TableParagraph"/>
              <w:spacing w:line="202" w:lineRule="exact" w:before="0"/>
              <w:ind w:left="432"/>
              <w:rPr>
                <w:sz w:val="18"/>
              </w:rPr>
            </w:pPr>
            <w:r>
              <w:rPr>
                <w:color w:val="231F20"/>
                <w:sz w:val="18"/>
              </w:rPr>
              <w:t>49</w:t>
            </w:r>
          </w:p>
        </w:tc>
        <w:tc>
          <w:tcPr>
            <w:tcW w:w="1440" w:type="dxa"/>
          </w:tcPr>
          <w:p>
            <w:pPr>
              <w:pStyle w:val="TableParagraph"/>
              <w:spacing w:line="202" w:lineRule="exact" w:before="0"/>
              <w:ind w:left="432"/>
              <w:rPr>
                <w:sz w:val="18"/>
              </w:rPr>
            </w:pPr>
            <w:r>
              <w:rPr>
                <w:color w:val="231F20"/>
                <w:sz w:val="18"/>
              </w:rPr>
              <w:t>37</w:t>
            </w:r>
          </w:p>
        </w:tc>
        <w:tc>
          <w:tcPr>
            <w:tcW w:w="1612" w:type="dxa"/>
          </w:tcPr>
          <w:p>
            <w:pPr>
              <w:pStyle w:val="TableParagraph"/>
              <w:spacing w:line="202" w:lineRule="exact" w:before="0"/>
              <w:ind w:left="432"/>
              <w:rPr>
                <w:sz w:val="18"/>
              </w:rPr>
            </w:pPr>
            <w:r>
              <w:rPr>
                <w:color w:val="231F20"/>
                <w:sz w:val="18"/>
              </w:rPr>
              <w:t>47.25 b</w:t>
            </w:r>
          </w:p>
        </w:tc>
      </w:tr>
      <w:tr>
        <w:trPr>
          <w:trHeight w:val="216" w:hRule="exact"/>
        </w:trPr>
        <w:tc>
          <w:tcPr>
            <w:tcW w:w="2482" w:type="dxa"/>
          </w:tcPr>
          <w:p>
            <w:pPr>
              <w:pStyle w:val="TableParagraph"/>
              <w:tabs>
                <w:tab w:pos="1474" w:val="left" w:leader="none"/>
              </w:tabs>
              <w:spacing w:line="202" w:lineRule="exact" w:before="0"/>
              <w:ind w:left="35"/>
              <w:rPr>
                <w:sz w:val="18"/>
              </w:rPr>
            </w:pPr>
            <w:r>
              <w:rPr>
                <w:color w:val="231F20"/>
                <w:sz w:val="18"/>
              </w:rPr>
              <w:t>Promedio</w:t>
              <w:tab/>
              <w:t>60.5 a*</w:t>
            </w:r>
          </w:p>
        </w:tc>
        <w:tc>
          <w:tcPr>
            <w:tcW w:w="1440" w:type="dxa"/>
          </w:tcPr>
          <w:p>
            <w:pPr>
              <w:pStyle w:val="TableParagraph"/>
              <w:spacing w:line="202" w:lineRule="exact" w:before="0"/>
              <w:ind w:left="432"/>
              <w:rPr>
                <w:sz w:val="18"/>
              </w:rPr>
            </w:pPr>
            <w:r>
              <w:rPr>
                <w:color w:val="231F20"/>
                <w:sz w:val="18"/>
              </w:rPr>
              <w:t>37 a</w:t>
            </w:r>
          </w:p>
        </w:tc>
        <w:tc>
          <w:tcPr>
            <w:tcW w:w="1440" w:type="dxa"/>
          </w:tcPr>
          <w:p>
            <w:pPr>
              <w:pStyle w:val="TableParagraph"/>
              <w:spacing w:line="202" w:lineRule="exact" w:before="0"/>
              <w:ind w:left="432"/>
              <w:rPr>
                <w:sz w:val="18"/>
              </w:rPr>
            </w:pPr>
            <w:r>
              <w:rPr>
                <w:color w:val="231F20"/>
                <w:sz w:val="18"/>
              </w:rPr>
              <w:t>57 a</w:t>
            </w:r>
          </w:p>
        </w:tc>
        <w:tc>
          <w:tcPr>
            <w:tcW w:w="1440" w:type="dxa"/>
          </w:tcPr>
          <w:p>
            <w:pPr>
              <w:pStyle w:val="TableParagraph"/>
              <w:spacing w:line="202" w:lineRule="exact" w:before="0"/>
              <w:ind w:left="432"/>
              <w:rPr>
                <w:sz w:val="18"/>
              </w:rPr>
            </w:pPr>
            <w:r>
              <w:rPr>
                <w:color w:val="231F20"/>
                <w:sz w:val="18"/>
              </w:rPr>
              <w:t>83 a</w:t>
            </w:r>
          </w:p>
        </w:tc>
        <w:tc>
          <w:tcPr>
            <w:tcW w:w="1612" w:type="dxa"/>
          </w:tcPr>
          <w:p>
            <w:pPr/>
          </w:p>
        </w:tc>
      </w:tr>
      <w:tr>
        <w:trPr>
          <w:trHeight w:val="246" w:hRule="exact"/>
        </w:trPr>
        <w:tc>
          <w:tcPr>
            <w:tcW w:w="2482" w:type="dxa"/>
            <w:tcBorders>
              <w:bottom w:val="single" w:sz="4" w:space="0" w:color="010202"/>
            </w:tcBorders>
          </w:tcPr>
          <w:p>
            <w:pPr>
              <w:pStyle w:val="TableParagraph"/>
              <w:tabs>
                <w:tab w:pos="1789" w:val="right" w:leader="none"/>
              </w:tabs>
              <w:spacing w:line="202" w:lineRule="exact" w:before="0"/>
              <w:ind w:left="35"/>
              <w:rPr>
                <w:sz w:val="18"/>
              </w:rPr>
            </w:pPr>
            <w:r>
              <w:rPr>
                <w:color w:val="231F20"/>
                <w:spacing w:val="-3"/>
                <w:sz w:val="18"/>
              </w:rPr>
              <w:t>Desv.</w:t>
            </w:r>
            <w:r>
              <w:rPr>
                <w:color w:val="231F20"/>
                <w:sz w:val="18"/>
              </w:rPr>
              <w:t> Estándar</w:t>
              <w:tab/>
              <w:t>4.95</w:t>
            </w:r>
          </w:p>
        </w:tc>
        <w:tc>
          <w:tcPr>
            <w:tcW w:w="1440" w:type="dxa"/>
            <w:tcBorders>
              <w:bottom w:val="single" w:sz="4" w:space="0" w:color="010202"/>
            </w:tcBorders>
          </w:tcPr>
          <w:p>
            <w:pPr>
              <w:pStyle w:val="TableParagraph"/>
              <w:spacing w:line="202" w:lineRule="exact" w:before="0"/>
              <w:ind w:left="432"/>
              <w:rPr>
                <w:sz w:val="18"/>
              </w:rPr>
            </w:pPr>
            <w:r>
              <w:rPr>
                <w:color w:val="231F20"/>
                <w:sz w:val="18"/>
              </w:rPr>
              <w:t>2.828</w:t>
            </w:r>
          </w:p>
        </w:tc>
        <w:tc>
          <w:tcPr>
            <w:tcW w:w="1440" w:type="dxa"/>
            <w:tcBorders>
              <w:bottom w:val="single" w:sz="4" w:space="0" w:color="010202"/>
            </w:tcBorders>
          </w:tcPr>
          <w:p>
            <w:pPr>
              <w:pStyle w:val="TableParagraph"/>
              <w:spacing w:line="202" w:lineRule="exact" w:before="0"/>
              <w:ind w:left="432"/>
              <w:rPr>
                <w:sz w:val="18"/>
              </w:rPr>
            </w:pPr>
            <w:r>
              <w:rPr>
                <w:color w:val="231F20"/>
                <w:sz w:val="18"/>
              </w:rPr>
              <w:t>11.314</w:t>
            </w:r>
          </w:p>
        </w:tc>
        <w:tc>
          <w:tcPr>
            <w:tcW w:w="1440" w:type="dxa"/>
            <w:tcBorders>
              <w:bottom w:val="single" w:sz="4" w:space="0" w:color="010202"/>
            </w:tcBorders>
          </w:tcPr>
          <w:p>
            <w:pPr>
              <w:pStyle w:val="TableParagraph"/>
              <w:spacing w:line="202" w:lineRule="exact" w:before="0"/>
              <w:ind w:left="432"/>
              <w:rPr>
                <w:sz w:val="18"/>
              </w:rPr>
            </w:pPr>
            <w:r>
              <w:rPr>
                <w:color w:val="231F20"/>
                <w:sz w:val="18"/>
              </w:rPr>
              <w:t>65.054</w:t>
            </w:r>
          </w:p>
        </w:tc>
        <w:tc>
          <w:tcPr>
            <w:tcW w:w="1612" w:type="dxa"/>
            <w:tcBorders>
              <w:bottom w:val="single" w:sz="4" w:space="0" w:color="010202"/>
            </w:tcBorders>
          </w:tcPr>
          <w:p>
            <w:pPr/>
          </w:p>
        </w:tc>
      </w:tr>
    </w:tbl>
    <w:p>
      <w:pPr>
        <w:spacing w:line="194" w:lineRule="exact" w:before="0"/>
        <w:ind w:left="1270" w:right="0" w:firstLine="0"/>
        <w:jc w:val="left"/>
        <w:rPr>
          <w:b/>
          <w:i/>
          <w:sz w:val="17"/>
        </w:rPr>
      </w:pPr>
      <w:r>
        <w:rPr>
          <w:b/>
          <w:i/>
          <w:color w:val="231F20"/>
          <w:sz w:val="17"/>
        </w:rPr>
        <w:t>*Valores con la misma letra indican que no existe diferencia significativa de acuerdo a la prueba Kruskal-Wallis con un α=0.05.</w:t>
      </w:r>
    </w:p>
    <w:p>
      <w:pPr>
        <w:spacing w:after="0" w:line="194" w:lineRule="exact"/>
        <w:jc w:val="left"/>
        <w:rPr>
          <w:sz w:val="17"/>
        </w:rPr>
        <w:sectPr>
          <w:pgSz w:w="10920" w:h="13080"/>
          <w:pgMar w:header="0" w:footer="965" w:top="420" w:bottom="1220" w:left="0" w:right="0"/>
        </w:sectPr>
      </w:pPr>
    </w:p>
    <w:p>
      <w:pPr>
        <w:pStyle w:val="BodyText"/>
        <w:rPr>
          <w:b/>
          <w:i/>
          <w:sz w:val="20"/>
        </w:rPr>
      </w:pPr>
    </w:p>
    <w:p>
      <w:pPr>
        <w:pStyle w:val="BodyText"/>
        <w:rPr>
          <w:b/>
          <w:i/>
          <w:sz w:val="20"/>
        </w:rPr>
      </w:pPr>
    </w:p>
    <w:p>
      <w:pPr>
        <w:pStyle w:val="BodyText"/>
        <w:rPr>
          <w:b/>
          <w:i/>
          <w:sz w:val="23"/>
        </w:rPr>
      </w:pPr>
    </w:p>
    <w:p>
      <w:pPr>
        <w:pStyle w:val="BodyText"/>
        <w:spacing w:line="247" w:lineRule="auto" w:before="73"/>
        <w:ind w:left="1270" w:right="1268"/>
        <w:jc w:val="both"/>
      </w:pPr>
      <w:r>
        <w:rPr>
          <w:color w:val="231F20"/>
        </w:rPr>
        <w:t>Una</w:t>
      </w:r>
      <w:r>
        <w:rPr>
          <w:color w:val="231F20"/>
          <w:spacing w:val="-9"/>
        </w:rPr>
        <w:t> </w:t>
      </w:r>
      <w:r>
        <w:rPr>
          <w:color w:val="231F20"/>
        </w:rPr>
        <w:t>vez</w:t>
      </w:r>
      <w:r>
        <w:rPr>
          <w:color w:val="231F20"/>
          <w:spacing w:val="-9"/>
        </w:rPr>
        <w:t> </w:t>
      </w:r>
      <w:r>
        <w:rPr>
          <w:color w:val="231F20"/>
        </w:rPr>
        <w:t>que</w:t>
      </w:r>
      <w:r>
        <w:rPr>
          <w:color w:val="231F20"/>
          <w:spacing w:val="-9"/>
        </w:rPr>
        <w:t> </w:t>
      </w:r>
      <w:r>
        <w:rPr>
          <w:color w:val="231F20"/>
        </w:rPr>
        <w:t>las</w:t>
      </w:r>
      <w:r>
        <w:rPr>
          <w:color w:val="231F20"/>
          <w:spacing w:val="-9"/>
        </w:rPr>
        <w:t> </w:t>
      </w:r>
      <w:r>
        <w:rPr>
          <w:color w:val="231F20"/>
        </w:rPr>
        <w:t>plantas</w:t>
      </w:r>
      <w:r>
        <w:rPr>
          <w:color w:val="231F20"/>
          <w:spacing w:val="-9"/>
        </w:rPr>
        <w:t> </w:t>
      </w:r>
      <w:r>
        <w:rPr>
          <w:color w:val="231F20"/>
        </w:rPr>
        <w:t>fueron</w:t>
      </w:r>
      <w:r>
        <w:rPr>
          <w:color w:val="231F20"/>
          <w:spacing w:val="-9"/>
        </w:rPr>
        <w:t> </w:t>
      </w:r>
      <w:r>
        <w:rPr>
          <w:color w:val="231F20"/>
        </w:rPr>
        <w:t>adaptadas</w:t>
      </w:r>
      <w:r>
        <w:rPr>
          <w:color w:val="231F20"/>
          <w:spacing w:val="-9"/>
        </w:rPr>
        <w:t> </w:t>
      </w:r>
      <w:r>
        <w:rPr>
          <w:color w:val="231F20"/>
        </w:rPr>
        <w:t>ex</w:t>
      </w:r>
      <w:r>
        <w:rPr>
          <w:color w:val="231F20"/>
          <w:spacing w:val="-9"/>
        </w:rPr>
        <w:t> </w:t>
      </w:r>
      <w:r>
        <w:rPr>
          <w:color w:val="231F20"/>
        </w:rPr>
        <w:t>vitro</w:t>
      </w:r>
      <w:r>
        <w:rPr>
          <w:color w:val="231F20"/>
          <w:spacing w:val="-9"/>
        </w:rPr>
        <w:t> </w:t>
      </w:r>
      <w:r>
        <w:rPr>
          <w:color w:val="231F20"/>
        </w:rPr>
        <w:t>se</w:t>
      </w:r>
      <w:r>
        <w:rPr>
          <w:color w:val="231F20"/>
          <w:spacing w:val="-9"/>
        </w:rPr>
        <w:t> </w:t>
      </w:r>
      <w:r>
        <w:rPr>
          <w:color w:val="231F20"/>
        </w:rPr>
        <w:t>crecieron</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invernadero</w:t>
      </w:r>
      <w:r>
        <w:rPr>
          <w:color w:val="231F20"/>
          <w:spacing w:val="-9"/>
        </w:rPr>
        <w:t> </w:t>
      </w:r>
      <w:r>
        <w:rPr>
          <w:color w:val="231F20"/>
        </w:rPr>
        <w:t>y</w:t>
      </w:r>
      <w:r>
        <w:rPr>
          <w:color w:val="231F20"/>
          <w:spacing w:val="-9"/>
        </w:rPr>
        <w:t> </w:t>
      </w:r>
      <w:r>
        <w:rPr>
          <w:color w:val="231F20"/>
        </w:rPr>
        <w:t>cuando</w:t>
      </w:r>
      <w:r>
        <w:rPr>
          <w:color w:val="231F20"/>
          <w:spacing w:val="-9"/>
        </w:rPr>
        <w:t> </w:t>
      </w:r>
      <w:r>
        <w:rPr>
          <w:color w:val="231F20"/>
        </w:rPr>
        <w:t>alcanzaron la etapa de floración, se tomaron los datos de las variables morfológicas que se muestran en la tabla 2,</w:t>
      </w:r>
      <w:r>
        <w:rPr>
          <w:color w:val="231F20"/>
          <w:spacing w:val="-4"/>
        </w:rPr>
        <w:t> </w:t>
      </w:r>
      <w:r>
        <w:rPr>
          <w:color w:val="231F20"/>
        </w:rPr>
        <w:t>éstos</w:t>
      </w:r>
      <w:r>
        <w:rPr>
          <w:color w:val="231F20"/>
          <w:spacing w:val="-4"/>
        </w:rPr>
        <w:t> </w:t>
      </w:r>
      <w:r>
        <w:rPr>
          <w:color w:val="231F20"/>
        </w:rPr>
        <w:t>datos</w:t>
      </w:r>
      <w:r>
        <w:rPr>
          <w:color w:val="231F20"/>
          <w:spacing w:val="-4"/>
        </w:rPr>
        <w:t> </w:t>
      </w:r>
      <w:r>
        <w:rPr>
          <w:color w:val="231F20"/>
        </w:rPr>
        <w:t>han</w:t>
      </w:r>
      <w:r>
        <w:rPr>
          <w:color w:val="231F20"/>
          <w:spacing w:val="-4"/>
        </w:rPr>
        <w:t> </w:t>
      </w:r>
      <w:r>
        <w:rPr>
          <w:color w:val="231F20"/>
        </w:rPr>
        <w:t>sido</w:t>
      </w:r>
      <w:r>
        <w:rPr>
          <w:color w:val="231F20"/>
          <w:spacing w:val="-4"/>
        </w:rPr>
        <w:t> </w:t>
      </w:r>
      <w:r>
        <w:rPr>
          <w:color w:val="231F20"/>
        </w:rPr>
        <w:t>tomados</w:t>
      </w:r>
      <w:r>
        <w:rPr>
          <w:color w:val="231F20"/>
          <w:spacing w:val="-4"/>
        </w:rPr>
        <w:t> </w:t>
      </w:r>
      <w:r>
        <w:rPr>
          <w:color w:val="231F20"/>
        </w:rPr>
        <w:t>a</w:t>
      </w:r>
      <w:r>
        <w:rPr>
          <w:color w:val="231F20"/>
          <w:spacing w:val="-4"/>
        </w:rPr>
        <w:t> </w:t>
      </w:r>
      <w:r>
        <w:rPr>
          <w:color w:val="231F20"/>
        </w:rPr>
        <w:t>las</w:t>
      </w:r>
      <w:r>
        <w:rPr>
          <w:color w:val="231F20"/>
          <w:spacing w:val="-4"/>
        </w:rPr>
        <w:t> </w:t>
      </w:r>
      <w:r>
        <w:rPr>
          <w:color w:val="231F20"/>
        </w:rPr>
        <w:t>plantas</w:t>
      </w:r>
      <w:r>
        <w:rPr>
          <w:color w:val="231F20"/>
          <w:spacing w:val="-4"/>
        </w:rPr>
        <w:t> </w:t>
      </w:r>
      <w:r>
        <w:rPr>
          <w:color w:val="231F20"/>
        </w:rPr>
        <w:t>crecidas</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primera</w:t>
      </w:r>
      <w:r>
        <w:rPr>
          <w:color w:val="231F20"/>
          <w:spacing w:val="-4"/>
        </w:rPr>
        <w:t> </w:t>
      </w:r>
      <w:r>
        <w:rPr>
          <w:color w:val="231F20"/>
        </w:rPr>
        <w:t>y</w:t>
      </w:r>
      <w:r>
        <w:rPr>
          <w:color w:val="231F20"/>
          <w:spacing w:val="-4"/>
        </w:rPr>
        <w:t> </w:t>
      </w:r>
      <w:r>
        <w:rPr>
          <w:color w:val="231F20"/>
        </w:rPr>
        <w:t>segunda</w:t>
      </w:r>
      <w:r>
        <w:rPr>
          <w:color w:val="231F20"/>
          <w:spacing w:val="-3"/>
        </w:rPr>
        <w:t> </w:t>
      </w:r>
      <w:r>
        <w:rPr>
          <w:color w:val="231F20"/>
        </w:rPr>
        <w:t>fecha</w:t>
      </w:r>
      <w:r>
        <w:rPr>
          <w:color w:val="231F20"/>
          <w:spacing w:val="-4"/>
        </w:rPr>
        <w:t> </w:t>
      </w:r>
      <w:r>
        <w:rPr>
          <w:color w:val="231F20"/>
        </w:rPr>
        <w:t>de</w:t>
      </w:r>
      <w:r>
        <w:rPr>
          <w:color w:val="231F20"/>
          <w:spacing w:val="-4"/>
        </w:rPr>
        <w:t> </w:t>
      </w:r>
      <w:r>
        <w:rPr>
          <w:color w:val="231F20"/>
        </w:rPr>
        <w:t>regeneración (Figura 1), así como a plantas generadas a partir de semilla.</w:t>
      </w:r>
    </w:p>
    <w:p>
      <w:pPr>
        <w:pStyle w:val="BodyText"/>
        <w:spacing w:before="4"/>
      </w:pPr>
    </w:p>
    <w:p>
      <w:pPr>
        <w:spacing w:line="249" w:lineRule="auto" w:before="0"/>
        <w:ind w:left="1268" w:right="1266" w:firstLine="0"/>
        <w:jc w:val="center"/>
        <w:rPr>
          <w:b/>
          <w:sz w:val="18"/>
        </w:rPr>
      </w:pPr>
      <w:r>
        <w:rPr>
          <w:b/>
          <w:color w:val="010202"/>
          <w:sz w:val="18"/>
        </w:rPr>
        <w:t>Figura 1. A y B Plantas obtenidas a partir de embriones inmaduros primera fecha de regeneración. C y D) Plantas obtenidas a partir de embriones maduros primera fecha de regeneración.</w:t>
      </w:r>
    </w:p>
    <w:p>
      <w:pPr>
        <w:spacing w:line="249" w:lineRule="auto" w:before="1"/>
        <w:ind w:left="2024" w:right="2021" w:firstLine="0"/>
        <w:jc w:val="center"/>
        <w:rPr>
          <w:b/>
          <w:sz w:val="18"/>
        </w:rPr>
      </w:pPr>
      <w:r>
        <w:rPr>
          <w:b/>
          <w:color w:val="010202"/>
          <w:sz w:val="18"/>
        </w:rPr>
        <w:t>E y F Plantas obtenidas a partir de embriones inmaduros segunda fecha de regeneración. G y H) Plantas obtenidas a partir de embriones maduros segunda fecha de regeneración.</w:t>
      </w:r>
    </w:p>
    <w:p>
      <w:pPr>
        <w:pStyle w:val="ListParagraph"/>
        <w:numPr>
          <w:ilvl w:val="2"/>
          <w:numId w:val="8"/>
        </w:numPr>
        <w:tabs>
          <w:tab w:pos="2080" w:val="left" w:leader="none"/>
        </w:tabs>
        <w:spacing w:line="249" w:lineRule="auto" w:before="1" w:after="0"/>
        <w:ind w:left="1905" w:right="1902" w:firstLine="0"/>
        <w:jc w:val="left"/>
        <w:rPr>
          <w:b/>
          <w:sz w:val="18"/>
        </w:rPr>
      </w:pPr>
      <w:r>
        <w:rPr>
          <w:b/>
          <w:color w:val="010202"/>
          <w:sz w:val="18"/>
        </w:rPr>
        <w:t>Planta</w:t>
      </w:r>
      <w:r>
        <w:rPr>
          <w:b/>
          <w:color w:val="010202"/>
          <w:spacing w:val="-3"/>
          <w:sz w:val="18"/>
        </w:rPr>
        <w:t> </w:t>
      </w:r>
      <w:r>
        <w:rPr>
          <w:b/>
          <w:color w:val="010202"/>
          <w:sz w:val="18"/>
        </w:rPr>
        <w:t>obtenida</w:t>
      </w:r>
      <w:r>
        <w:rPr>
          <w:b/>
          <w:color w:val="010202"/>
          <w:spacing w:val="-3"/>
          <w:sz w:val="18"/>
        </w:rPr>
        <w:t> </w:t>
      </w:r>
      <w:r>
        <w:rPr>
          <w:b/>
          <w:color w:val="010202"/>
          <w:sz w:val="18"/>
        </w:rPr>
        <w:t>a</w:t>
      </w:r>
      <w:r>
        <w:rPr>
          <w:b/>
          <w:color w:val="010202"/>
          <w:spacing w:val="-3"/>
          <w:sz w:val="18"/>
        </w:rPr>
        <w:t> </w:t>
      </w:r>
      <w:r>
        <w:rPr>
          <w:b/>
          <w:color w:val="010202"/>
          <w:sz w:val="18"/>
        </w:rPr>
        <w:t>partir</w:t>
      </w:r>
      <w:r>
        <w:rPr>
          <w:b/>
          <w:color w:val="010202"/>
          <w:spacing w:val="-6"/>
          <w:sz w:val="18"/>
        </w:rPr>
        <w:t> </w:t>
      </w:r>
      <w:r>
        <w:rPr>
          <w:b/>
          <w:color w:val="010202"/>
          <w:sz w:val="18"/>
        </w:rPr>
        <w:t>de</w:t>
      </w:r>
      <w:r>
        <w:rPr>
          <w:b/>
          <w:color w:val="010202"/>
          <w:spacing w:val="-3"/>
          <w:sz w:val="18"/>
        </w:rPr>
        <w:t> </w:t>
      </w:r>
      <w:r>
        <w:rPr>
          <w:b/>
          <w:color w:val="010202"/>
          <w:sz w:val="18"/>
        </w:rPr>
        <w:t>semilla</w:t>
      </w:r>
      <w:r>
        <w:rPr>
          <w:b/>
          <w:color w:val="010202"/>
          <w:spacing w:val="-3"/>
          <w:sz w:val="18"/>
        </w:rPr>
        <w:t> </w:t>
      </w:r>
      <w:r>
        <w:rPr>
          <w:b/>
          <w:color w:val="010202"/>
          <w:sz w:val="18"/>
        </w:rPr>
        <w:t>cigótica</w:t>
      </w:r>
      <w:r>
        <w:rPr>
          <w:b/>
          <w:color w:val="010202"/>
          <w:spacing w:val="-3"/>
          <w:sz w:val="18"/>
        </w:rPr>
        <w:t> </w:t>
      </w:r>
      <w:r>
        <w:rPr>
          <w:b/>
          <w:color w:val="010202"/>
          <w:sz w:val="18"/>
        </w:rPr>
        <w:t>J)</w:t>
      </w:r>
      <w:r>
        <w:rPr>
          <w:b/>
          <w:color w:val="010202"/>
          <w:spacing w:val="-3"/>
          <w:sz w:val="18"/>
        </w:rPr>
        <w:t> </w:t>
      </w:r>
      <w:r>
        <w:rPr>
          <w:b/>
          <w:color w:val="010202"/>
          <w:sz w:val="18"/>
        </w:rPr>
        <w:t>Mazorca</w:t>
      </w:r>
      <w:r>
        <w:rPr>
          <w:b/>
          <w:color w:val="010202"/>
          <w:spacing w:val="-3"/>
          <w:sz w:val="18"/>
        </w:rPr>
        <w:t> </w:t>
      </w:r>
      <w:r>
        <w:rPr>
          <w:b/>
          <w:color w:val="010202"/>
          <w:sz w:val="18"/>
        </w:rPr>
        <w:t>obtenida</w:t>
      </w:r>
      <w:r>
        <w:rPr>
          <w:b/>
          <w:color w:val="010202"/>
          <w:spacing w:val="-3"/>
          <w:sz w:val="18"/>
        </w:rPr>
        <w:t> </w:t>
      </w:r>
      <w:r>
        <w:rPr>
          <w:b/>
          <w:color w:val="010202"/>
          <w:sz w:val="18"/>
        </w:rPr>
        <w:t>de</w:t>
      </w:r>
      <w:r>
        <w:rPr>
          <w:b/>
          <w:color w:val="010202"/>
          <w:spacing w:val="-3"/>
          <w:sz w:val="18"/>
        </w:rPr>
        <w:t> </w:t>
      </w:r>
      <w:r>
        <w:rPr>
          <w:b/>
          <w:color w:val="010202"/>
          <w:sz w:val="18"/>
        </w:rPr>
        <w:t>una</w:t>
      </w:r>
      <w:r>
        <w:rPr>
          <w:b/>
          <w:color w:val="010202"/>
          <w:spacing w:val="-3"/>
          <w:sz w:val="18"/>
        </w:rPr>
        <w:t> </w:t>
      </w:r>
      <w:r>
        <w:rPr>
          <w:b/>
          <w:color w:val="010202"/>
          <w:sz w:val="18"/>
        </w:rPr>
        <w:t>planta</w:t>
      </w:r>
      <w:r>
        <w:rPr>
          <w:b/>
          <w:color w:val="010202"/>
          <w:spacing w:val="-3"/>
          <w:sz w:val="18"/>
        </w:rPr>
        <w:t> </w:t>
      </w:r>
      <w:r>
        <w:rPr>
          <w:b/>
          <w:color w:val="010202"/>
          <w:sz w:val="18"/>
        </w:rPr>
        <w:t>regenerada por</w:t>
      </w:r>
      <w:r>
        <w:rPr>
          <w:b/>
          <w:color w:val="010202"/>
          <w:spacing w:val="-6"/>
          <w:sz w:val="18"/>
        </w:rPr>
        <w:t> </w:t>
      </w:r>
      <w:r>
        <w:rPr>
          <w:b/>
          <w:color w:val="010202"/>
          <w:sz w:val="18"/>
        </w:rPr>
        <w:t>cultivo</w:t>
      </w:r>
      <w:r>
        <w:rPr>
          <w:b/>
          <w:color w:val="010202"/>
          <w:spacing w:val="-3"/>
          <w:sz w:val="18"/>
        </w:rPr>
        <w:t> </w:t>
      </w:r>
      <w:r>
        <w:rPr>
          <w:b/>
          <w:color w:val="010202"/>
          <w:sz w:val="18"/>
        </w:rPr>
        <w:t>in</w:t>
      </w:r>
      <w:r>
        <w:rPr>
          <w:b/>
          <w:color w:val="010202"/>
          <w:spacing w:val="-3"/>
          <w:sz w:val="18"/>
        </w:rPr>
        <w:t> </w:t>
      </w:r>
      <w:r>
        <w:rPr>
          <w:b/>
          <w:color w:val="010202"/>
          <w:sz w:val="18"/>
        </w:rPr>
        <w:t>vitro</w:t>
      </w:r>
      <w:r>
        <w:rPr>
          <w:b/>
          <w:color w:val="010202"/>
          <w:spacing w:val="-3"/>
          <w:sz w:val="18"/>
        </w:rPr>
        <w:t> </w:t>
      </w:r>
      <w:r>
        <w:rPr>
          <w:b/>
          <w:color w:val="010202"/>
          <w:sz w:val="18"/>
        </w:rPr>
        <w:t>proveniente</w:t>
      </w:r>
      <w:r>
        <w:rPr>
          <w:b/>
          <w:color w:val="010202"/>
          <w:spacing w:val="-3"/>
          <w:sz w:val="18"/>
        </w:rPr>
        <w:t> </w:t>
      </w:r>
      <w:r>
        <w:rPr>
          <w:b/>
          <w:color w:val="010202"/>
          <w:sz w:val="18"/>
        </w:rPr>
        <w:t>de</w:t>
      </w:r>
      <w:r>
        <w:rPr>
          <w:b/>
          <w:color w:val="010202"/>
          <w:spacing w:val="-3"/>
          <w:sz w:val="18"/>
        </w:rPr>
        <w:t> </w:t>
      </w:r>
      <w:r>
        <w:rPr>
          <w:b/>
          <w:color w:val="010202"/>
          <w:sz w:val="18"/>
        </w:rPr>
        <w:t>embrión</w:t>
      </w:r>
      <w:r>
        <w:rPr>
          <w:b/>
          <w:color w:val="010202"/>
          <w:spacing w:val="-3"/>
          <w:sz w:val="18"/>
        </w:rPr>
        <w:t> </w:t>
      </w:r>
      <w:r>
        <w:rPr>
          <w:b/>
          <w:color w:val="010202"/>
          <w:sz w:val="18"/>
        </w:rPr>
        <w:t>inmaduro.</w:t>
      </w:r>
      <w:r>
        <w:rPr>
          <w:b/>
          <w:color w:val="010202"/>
          <w:spacing w:val="-3"/>
          <w:sz w:val="18"/>
        </w:rPr>
        <w:t> </w:t>
      </w:r>
      <w:r>
        <w:rPr>
          <w:b/>
          <w:color w:val="010202"/>
          <w:sz w:val="18"/>
        </w:rPr>
        <w:t>K</w:t>
      </w:r>
      <w:r>
        <w:rPr>
          <w:b/>
          <w:color w:val="010202"/>
          <w:spacing w:val="-3"/>
          <w:sz w:val="18"/>
        </w:rPr>
        <w:t> </w:t>
      </w:r>
      <w:r>
        <w:rPr>
          <w:b/>
          <w:color w:val="010202"/>
          <w:sz w:val="18"/>
        </w:rPr>
        <w:t>y</w:t>
      </w:r>
      <w:r>
        <w:rPr>
          <w:b/>
          <w:color w:val="010202"/>
          <w:spacing w:val="-3"/>
          <w:sz w:val="18"/>
        </w:rPr>
        <w:t> </w:t>
      </w:r>
      <w:r>
        <w:rPr>
          <w:b/>
          <w:color w:val="010202"/>
          <w:sz w:val="18"/>
        </w:rPr>
        <w:t>L)</w:t>
      </w:r>
      <w:r>
        <w:rPr>
          <w:b/>
          <w:color w:val="010202"/>
          <w:spacing w:val="-3"/>
          <w:sz w:val="18"/>
        </w:rPr>
        <w:t> </w:t>
      </w:r>
      <w:r>
        <w:rPr>
          <w:b/>
          <w:color w:val="010202"/>
          <w:sz w:val="18"/>
        </w:rPr>
        <w:t>Mazorcas</w:t>
      </w:r>
      <w:r>
        <w:rPr>
          <w:b/>
          <w:color w:val="010202"/>
          <w:spacing w:val="-3"/>
          <w:sz w:val="18"/>
        </w:rPr>
        <w:t> </w:t>
      </w:r>
      <w:r>
        <w:rPr>
          <w:b/>
          <w:color w:val="010202"/>
          <w:sz w:val="18"/>
        </w:rPr>
        <w:t>obtenidas</w:t>
      </w:r>
      <w:r>
        <w:rPr>
          <w:b/>
          <w:color w:val="010202"/>
          <w:spacing w:val="-3"/>
          <w:sz w:val="18"/>
        </w:rPr>
        <w:t> </w:t>
      </w:r>
      <w:r>
        <w:rPr>
          <w:b/>
          <w:color w:val="010202"/>
          <w:sz w:val="18"/>
        </w:rPr>
        <w:t>de</w:t>
      </w:r>
      <w:r>
        <w:rPr>
          <w:b/>
          <w:color w:val="010202"/>
          <w:spacing w:val="-3"/>
          <w:sz w:val="18"/>
        </w:rPr>
        <w:t> </w:t>
      </w:r>
      <w:r>
        <w:rPr>
          <w:b/>
          <w:color w:val="010202"/>
          <w:sz w:val="18"/>
        </w:rPr>
        <w:t>plantas</w:t>
      </w:r>
    </w:p>
    <w:p>
      <w:pPr>
        <w:spacing w:before="1"/>
        <w:ind w:left="1489" w:right="1489" w:firstLine="0"/>
        <w:jc w:val="center"/>
        <w:rPr>
          <w:b/>
          <w:sz w:val="18"/>
        </w:rPr>
      </w:pPr>
      <w:r>
        <w:rPr>
          <w:b/>
          <w:color w:val="010202"/>
          <w:sz w:val="18"/>
        </w:rPr>
        <w:t>regeneradas por cultivo in vitro proveniente de embrión maduro</w:t>
      </w:r>
    </w:p>
    <w:p>
      <w:pPr>
        <w:pStyle w:val="BodyText"/>
        <w:spacing w:before="1"/>
        <w:rPr>
          <w:b/>
          <w:sz w:val="15"/>
        </w:rPr>
      </w:pPr>
      <w:r>
        <w:rPr/>
        <w:drawing>
          <wp:anchor distT="0" distB="0" distL="0" distR="0" allowOverlap="1" layoutInCell="1" locked="0" behindDoc="0" simplePos="0" relativeHeight="4480">
            <wp:simplePos x="0" y="0"/>
            <wp:positionH relativeFrom="page">
              <wp:posOffset>1391894</wp:posOffset>
            </wp:positionH>
            <wp:positionV relativeFrom="paragraph">
              <wp:posOffset>135296</wp:posOffset>
            </wp:positionV>
            <wp:extent cx="4145651" cy="4659439"/>
            <wp:effectExtent l="0" t="0" r="0" b="0"/>
            <wp:wrapTopAndBottom/>
            <wp:docPr id="159" name="image62.jpeg" descr=""/>
            <wp:cNvGraphicFramePr>
              <a:graphicFrameLocks noChangeAspect="1"/>
            </wp:cNvGraphicFramePr>
            <a:graphic>
              <a:graphicData uri="http://schemas.openxmlformats.org/drawingml/2006/picture">
                <pic:pic>
                  <pic:nvPicPr>
                    <pic:cNvPr id="160" name="image62.jpeg"/>
                    <pic:cNvPicPr/>
                  </pic:nvPicPr>
                  <pic:blipFill>
                    <a:blip r:embed="rId93" cstate="print"/>
                    <a:stretch>
                      <a:fillRect/>
                    </a:stretch>
                  </pic:blipFill>
                  <pic:spPr>
                    <a:xfrm>
                      <a:off x="0" y="0"/>
                      <a:ext cx="4145651" cy="4659439"/>
                    </a:xfrm>
                    <a:prstGeom prst="rect">
                      <a:avLst/>
                    </a:prstGeom>
                  </pic:spPr>
                </pic:pic>
              </a:graphicData>
            </a:graphic>
          </wp:anchor>
        </w:drawing>
      </w:r>
    </w:p>
    <w:p>
      <w:pPr>
        <w:spacing w:after="0"/>
        <w:rPr>
          <w:sz w:val="15"/>
        </w:rPr>
        <w:sectPr>
          <w:pgSz w:w="10920" w:h="13080"/>
          <w:pgMar w:header="0" w:footer="965" w:top="420" w:bottom="1220" w:left="0" w:right="0"/>
        </w:sectPr>
      </w:pPr>
    </w:p>
    <w:p>
      <w:pPr>
        <w:pStyle w:val="BodyText"/>
        <w:rPr>
          <w:b/>
          <w:sz w:val="20"/>
        </w:rPr>
      </w:pPr>
    </w:p>
    <w:p>
      <w:pPr>
        <w:pStyle w:val="BodyText"/>
        <w:rPr>
          <w:b/>
          <w:sz w:val="20"/>
        </w:rPr>
      </w:pPr>
    </w:p>
    <w:p>
      <w:pPr>
        <w:pStyle w:val="BodyText"/>
        <w:rPr>
          <w:b/>
          <w:sz w:val="23"/>
        </w:rPr>
      </w:pPr>
    </w:p>
    <w:p>
      <w:pPr>
        <w:spacing w:before="77"/>
        <w:ind w:left="1495" w:right="1279" w:firstLine="0"/>
        <w:jc w:val="left"/>
        <w:rPr>
          <w:b/>
          <w:sz w:val="18"/>
        </w:rPr>
      </w:pPr>
      <w:r>
        <w:rPr>
          <w:b/>
          <w:color w:val="010202"/>
          <w:sz w:val="18"/>
        </w:rPr>
        <w:t>Tabla 2. Datos de variables morfológicas tomadas en plantas obtenidas por cultivo in vitro y por semilla</w:t>
      </w:r>
    </w:p>
    <w:p>
      <w:pPr>
        <w:pStyle w:val="BodyText"/>
        <w:spacing w:before="1"/>
        <w:rPr>
          <w:b/>
          <w:sz w:val="15"/>
        </w:rPr>
      </w:pPr>
      <w:r>
        <w:rPr/>
        <w:drawing>
          <wp:anchor distT="0" distB="0" distL="0" distR="0" allowOverlap="1" layoutInCell="1" locked="0" behindDoc="0" simplePos="0" relativeHeight="4504">
            <wp:simplePos x="0" y="0"/>
            <wp:positionH relativeFrom="page">
              <wp:posOffset>1058710</wp:posOffset>
            </wp:positionH>
            <wp:positionV relativeFrom="paragraph">
              <wp:posOffset>135296</wp:posOffset>
            </wp:positionV>
            <wp:extent cx="4800785" cy="1813464"/>
            <wp:effectExtent l="0" t="0" r="0" b="0"/>
            <wp:wrapTopAndBottom/>
            <wp:docPr id="161" name="image63.png" descr=""/>
            <wp:cNvGraphicFramePr>
              <a:graphicFrameLocks noChangeAspect="1"/>
            </wp:cNvGraphicFramePr>
            <a:graphic>
              <a:graphicData uri="http://schemas.openxmlformats.org/drawingml/2006/picture">
                <pic:pic>
                  <pic:nvPicPr>
                    <pic:cNvPr id="162" name="image63.png"/>
                    <pic:cNvPicPr/>
                  </pic:nvPicPr>
                  <pic:blipFill>
                    <a:blip r:embed="rId94" cstate="print"/>
                    <a:stretch>
                      <a:fillRect/>
                    </a:stretch>
                  </pic:blipFill>
                  <pic:spPr>
                    <a:xfrm>
                      <a:off x="0" y="0"/>
                      <a:ext cx="4800785" cy="1813464"/>
                    </a:xfrm>
                    <a:prstGeom prst="rect">
                      <a:avLst/>
                    </a:prstGeom>
                  </pic:spPr>
                </pic:pic>
              </a:graphicData>
            </a:graphic>
          </wp:anchor>
        </w:drawing>
      </w:r>
    </w:p>
    <w:p>
      <w:pPr>
        <w:spacing w:before="72"/>
        <w:ind w:left="1270" w:right="0" w:firstLine="0"/>
        <w:jc w:val="both"/>
        <w:rPr>
          <w:b/>
          <w:i/>
          <w:sz w:val="17"/>
        </w:rPr>
      </w:pPr>
      <w:r>
        <w:rPr>
          <w:b/>
          <w:i/>
          <w:color w:val="231F20"/>
          <w:sz w:val="17"/>
        </w:rPr>
        <w:t>*Valores con la misma letra implica que no existe diferencia significativa de acuerdo a la prueba Tukey con un α=0.05.</w:t>
      </w:r>
    </w:p>
    <w:p>
      <w:pPr>
        <w:pStyle w:val="BodyText"/>
        <w:spacing w:before="2"/>
        <w:rPr>
          <w:b/>
          <w:i/>
          <w:sz w:val="23"/>
        </w:rPr>
      </w:pPr>
    </w:p>
    <w:p>
      <w:pPr>
        <w:pStyle w:val="BodyText"/>
        <w:spacing w:line="247" w:lineRule="auto"/>
        <w:ind w:left="1270" w:right="1267"/>
        <w:jc w:val="both"/>
      </w:pPr>
      <w:r>
        <w:rPr>
          <w:color w:val="231F20"/>
        </w:rPr>
        <w:t>De acuerdo a la comparación de medias en la </w:t>
      </w:r>
      <w:r>
        <w:rPr>
          <w:color w:val="231F20"/>
          <w:spacing w:val="-3"/>
        </w:rPr>
        <w:t>Tabla </w:t>
      </w:r>
      <w:r>
        <w:rPr>
          <w:color w:val="231F20"/>
        </w:rPr>
        <w:t>2 se puede observar que existen diferencias morfológicas entre las plantas obtenidas por cultivo </w:t>
      </w:r>
      <w:r>
        <w:rPr>
          <w:i/>
          <w:color w:val="231F20"/>
        </w:rPr>
        <w:t>in-vitro </w:t>
      </w:r>
      <w:r>
        <w:rPr>
          <w:color w:val="231F20"/>
        </w:rPr>
        <w:t>y plantas obtenidas de semilla cigótica. </w:t>
      </w:r>
      <w:r>
        <w:rPr>
          <w:color w:val="231F20"/>
          <w:spacing w:val="-3"/>
        </w:rPr>
        <w:t>Vilaca </w:t>
      </w:r>
      <w:r>
        <w:rPr>
          <w:color w:val="231F20"/>
        </w:rPr>
        <w:t>de </w:t>
      </w:r>
      <w:r>
        <w:rPr>
          <w:color w:val="231F20"/>
          <w:spacing w:val="-3"/>
        </w:rPr>
        <w:t>Vasconcelos </w:t>
      </w:r>
      <w:r>
        <w:rPr>
          <w:i/>
          <w:color w:val="231F20"/>
        </w:rPr>
        <w:t>et al. </w:t>
      </w:r>
      <w:r>
        <w:rPr>
          <w:color w:val="231F20"/>
        </w:rPr>
        <w:t>(2008) determinaron mediante RAPDs que hubo variación genética en plantas</w:t>
      </w:r>
      <w:r>
        <w:rPr>
          <w:color w:val="231F20"/>
          <w:spacing w:val="-8"/>
        </w:rPr>
        <w:t> </w:t>
      </w:r>
      <w:r>
        <w:rPr>
          <w:color w:val="231F20"/>
        </w:rPr>
        <w:t>regeneradas</w:t>
      </w:r>
      <w:r>
        <w:rPr>
          <w:color w:val="231F20"/>
          <w:spacing w:val="-8"/>
        </w:rPr>
        <w:t> </w:t>
      </w:r>
      <w:r>
        <w:rPr>
          <w:color w:val="231F20"/>
        </w:rPr>
        <w:t>entre</w:t>
      </w:r>
      <w:r>
        <w:rPr>
          <w:color w:val="231F20"/>
          <w:spacing w:val="-8"/>
        </w:rPr>
        <w:t> </w:t>
      </w:r>
      <w:r>
        <w:rPr>
          <w:color w:val="231F20"/>
        </w:rPr>
        <w:t>9</w:t>
      </w:r>
      <w:r>
        <w:rPr>
          <w:color w:val="231F20"/>
          <w:spacing w:val="-8"/>
        </w:rPr>
        <w:t> </w:t>
      </w:r>
      <w:r>
        <w:rPr>
          <w:color w:val="231F20"/>
        </w:rPr>
        <w:t>y</w:t>
      </w:r>
      <w:r>
        <w:rPr>
          <w:color w:val="231F20"/>
          <w:spacing w:val="-8"/>
        </w:rPr>
        <w:t> </w:t>
      </w:r>
      <w:r>
        <w:rPr>
          <w:color w:val="231F20"/>
        </w:rPr>
        <w:t>25</w:t>
      </w:r>
      <w:r>
        <w:rPr>
          <w:color w:val="231F20"/>
          <w:spacing w:val="-8"/>
        </w:rPr>
        <w:t> </w:t>
      </w:r>
      <w:r>
        <w:rPr>
          <w:color w:val="231F20"/>
        </w:rPr>
        <w:t>meses</w:t>
      </w:r>
      <w:r>
        <w:rPr>
          <w:color w:val="231F20"/>
          <w:spacing w:val="-8"/>
        </w:rPr>
        <w:t> </w:t>
      </w:r>
      <w:r>
        <w:rPr>
          <w:color w:val="231F20"/>
        </w:rPr>
        <w:t>de</w:t>
      </w:r>
      <w:r>
        <w:rPr>
          <w:color w:val="231F20"/>
          <w:spacing w:val="-8"/>
        </w:rPr>
        <w:t> </w:t>
      </w:r>
      <w:r>
        <w:rPr>
          <w:color w:val="231F20"/>
        </w:rPr>
        <w:t>sub</w:t>
      </w:r>
      <w:r>
        <w:rPr>
          <w:color w:val="231F20"/>
          <w:spacing w:val="-8"/>
        </w:rPr>
        <w:t> </w:t>
      </w:r>
      <w:r>
        <w:rPr>
          <w:color w:val="231F20"/>
        </w:rPr>
        <w:t>cultivos,</w:t>
      </w:r>
      <w:r>
        <w:rPr>
          <w:color w:val="231F20"/>
          <w:spacing w:val="-9"/>
        </w:rPr>
        <w:t> </w:t>
      </w:r>
      <w:r>
        <w:rPr>
          <w:color w:val="231F20"/>
        </w:rPr>
        <w:t>aunque</w:t>
      </w:r>
      <w:r>
        <w:rPr>
          <w:color w:val="231F20"/>
          <w:spacing w:val="-8"/>
        </w:rPr>
        <w:t> </w:t>
      </w:r>
      <w:r>
        <w:rPr>
          <w:color w:val="231F20"/>
        </w:rPr>
        <w:t>atribuyen</w:t>
      </w:r>
      <w:r>
        <w:rPr>
          <w:color w:val="231F20"/>
          <w:spacing w:val="-9"/>
        </w:rPr>
        <w:t> </w:t>
      </w:r>
      <w:r>
        <w:rPr>
          <w:color w:val="231F20"/>
        </w:rPr>
        <w:t>esta</w:t>
      </w:r>
      <w:r>
        <w:rPr>
          <w:color w:val="231F20"/>
          <w:spacing w:val="-8"/>
        </w:rPr>
        <w:t> </w:t>
      </w:r>
      <w:r>
        <w:rPr>
          <w:color w:val="231F20"/>
        </w:rPr>
        <w:t>variación</w:t>
      </w:r>
      <w:r>
        <w:rPr>
          <w:color w:val="231F20"/>
          <w:spacing w:val="-9"/>
        </w:rPr>
        <w:t> </w:t>
      </w:r>
      <w:r>
        <w:rPr>
          <w:color w:val="231F20"/>
        </w:rPr>
        <w:t>a</w:t>
      </w:r>
      <w:r>
        <w:rPr>
          <w:color w:val="231F20"/>
          <w:spacing w:val="-8"/>
        </w:rPr>
        <w:t> </w:t>
      </w:r>
      <w:r>
        <w:rPr>
          <w:color w:val="231F20"/>
        </w:rPr>
        <w:t>que</w:t>
      </w:r>
      <w:r>
        <w:rPr>
          <w:color w:val="231F20"/>
          <w:spacing w:val="-8"/>
        </w:rPr>
        <w:t> </w:t>
      </w:r>
      <w:r>
        <w:rPr>
          <w:color w:val="231F20"/>
        </w:rPr>
        <w:t>la</w:t>
      </w:r>
      <w:r>
        <w:rPr>
          <w:color w:val="231F20"/>
          <w:spacing w:val="-8"/>
        </w:rPr>
        <w:t> </w:t>
      </w:r>
      <w:r>
        <w:rPr>
          <w:color w:val="231F20"/>
        </w:rPr>
        <w:t>línea utilizada</w:t>
      </w:r>
      <w:r>
        <w:rPr>
          <w:color w:val="231F20"/>
          <w:spacing w:val="-10"/>
        </w:rPr>
        <w:t> </w:t>
      </w:r>
      <w:r>
        <w:rPr>
          <w:color w:val="231F20"/>
        </w:rPr>
        <w:t>en</w:t>
      </w:r>
      <w:r>
        <w:rPr>
          <w:color w:val="231F20"/>
          <w:spacing w:val="-11"/>
        </w:rPr>
        <w:t> </w:t>
      </w:r>
      <w:r>
        <w:rPr>
          <w:color w:val="231F20"/>
        </w:rPr>
        <w:t>el</w:t>
      </w:r>
      <w:r>
        <w:rPr>
          <w:color w:val="231F20"/>
          <w:spacing w:val="-11"/>
        </w:rPr>
        <w:t> </w:t>
      </w:r>
      <w:r>
        <w:rPr>
          <w:color w:val="231F20"/>
        </w:rPr>
        <w:t>análisis</w:t>
      </w:r>
      <w:r>
        <w:rPr>
          <w:color w:val="231F20"/>
          <w:spacing w:val="-11"/>
        </w:rPr>
        <w:t> </w:t>
      </w:r>
      <w:r>
        <w:rPr>
          <w:color w:val="231F20"/>
        </w:rPr>
        <w:t>no</w:t>
      </w:r>
      <w:r>
        <w:rPr>
          <w:color w:val="231F20"/>
          <w:spacing w:val="-11"/>
        </w:rPr>
        <w:t> </w:t>
      </w:r>
      <w:r>
        <w:rPr>
          <w:color w:val="231F20"/>
        </w:rPr>
        <w:t>era</w:t>
      </w:r>
      <w:r>
        <w:rPr>
          <w:color w:val="231F20"/>
          <w:spacing w:val="-11"/>
        </w:rPr>
        <w:t> </w:t>
      </w:r>
      <w:r>
        <w:rPr>
          <w:color w:val="231F20"/>
        </w:rPr>
        <w:t>completamente</w:t>
      </w:r>
      <w:r>
        <w:rPr>
          <w:color w:val="231F20"/>
          <w:spacing w:val="-11"/>
        </w:rPr>
        <w:t> </w:t>
      </w:r>
      <w:r>
        <w:rPr>
          <w:color w:val="231F20"/>
        </w:rPr>
        <w:t>homocigota</w:t>
      </w:r>
      <w:r>
        <w:rPr>
          <w:color w:val="231F20"/>
          <w:spacing w:val="-10"/>
        </w:rPr>
        <w:t> </w:t>
      </w:r>
      <w:r>
        <w:rPr>
          <w:color w:val="231F20"/>
        </w:rPr>
        <w:t>después</w:t>
      </w:r>
      <w:r>
        <w:rPr>
          <w:color w:val="231F20"/>
          <w:spacing w:val="-11"/>
        </w:rPr>
        <w:t> </w:t>
      </w:r>
      <w:r>
        <w:rPr>
          <w:color w:val="231F20"/>
        </w:rPr>
        <w:t>de</w:t>
      </w:r>
      <w:r>
        <w:rPr>
          <w:color w:val="231F20"/>
          <w:spacing w:val="-10"/>
        </w:rPr>
        <w:t> </w:t>
      </w:r>
      <w:r>
        <w:rPr>
          <w:color w:val="231F20"/>
        </w:rPr>
        <w:t>seis</w:t>
      </w:r>
      <w:r>
        <w:rPr>
          <w:color w:val="231F20"/>
          <w:spacing w:val="-10"/>
        </w:rPr>
        <w:t> </w:t>
      </w:r>
      <w:r>
        <w:rPr>
          <w:color w:val="231F20"/>
        </w:rPr>
        <w:t>generaciónes</w:t>
      </w:r>
      <w:r>
        <w:rPr>
          <w:color w:val="231F20"/>
          <w:spacing w:val="-10"/>
        </w:rPr>
        <w:t> </w:t>
      </w:r>
      <w:r>
        <w:rPr>
          <w:color w:val="231F20"/>
        </w:rPr>
        <w:t>de</w:t>
      </w:r>
      <w:r>
        <w:rPr>
          <w:color w:val="231F20"/>
          <w:spacing w:val="-10"/>
        </w:rPr>
        <w:t> </w:t>
      </w:r>
      <w:r>
        <w:rPr>
          <w:color w:val="231F20"/>
        </w:rPr>
        <w:t>autofecun- dación.</w:t>
      </w:r>
      <w:r>
        <w:rPr>
          <w:color w:val="231F20"/>
          <w:spacing w:val="-7"/>
        </w:rPr>
        <w:t> </w:t>
      </w:r>
      <w:r>
        <w:rPr>
          <w:color w:val="231F20"/>
        </w:rPr>
        <w:t>Es</w:t>
      </w:r>
      <w:r>
        <w:rPr>
          <w:color w:val="231F20"/>
          <w:spacing w:val="-7"/>
        </w:rPr>
        <w:t> </w:t>
      </w:r>
      <w:r>
        <w:rPr>
          <w:color w:val="231F20"/>
        </w:rPr>
        <w:t>importante</w:t>
      </w:r>
      <w:r>
        <w:rPr>
          <w:color w:val="231F20"/>
          <w:spacing w:val="-8"/>
        </w:rPr>
        <w:t> </w:t>
      </w:r>
      <w:r>
        <w:rPr>
          <w:color w:val="231F20"/>
        </w:rPr>
        <w:t>determinar</w:t>
      </w:r>
      <w:r>
        <w:rPr>
          <w:color w:val="231F20"/>
          <w:spacing w:val="-7"/>
        </w:rPr>
        <w:t> </w:t>
      </w:r>
      <w:r>
        <w:rPr>
          <w:color w:val="231F20"/>
        </w:rPr>
        <w:t>si</w:t>
      </w:r>
      <w:r>
        <w:rPr>
          <w:color w:val="231F20"/>
          <w:spacing w:val="-7"/>
        </w:rPr>
        <w:t> </w:t>
      </w:r>
      <w:r>
        <w:rPr>
          <w:color w:val="231F20"/>
        </w:rPr>
        <w:t>en</w:t>
      </w:r>
      <w:r>
        <w:rPr>
          <w:color w:val="231F20"/>
          <w:spacing w:val="-7"/>
        </w:rPr>
        <w:t> </w:t>
      </w:r>
      <w:r>
        <w:rPr>
          <w:color w:val="231F20"/>
        </w:rPr>
        <w:t>nuestro</w:t>
      </w:r>
      <w:r>
        <w:rPr>
          <w:color w:val="231F20"/>
          <w:spacing w:val="-7"/>
        </w:rPr>
        <w:t> </w:t>
      </w:r>
      <w:r>
        <w:rPr>
          <w:color w:val="231F20"/>
        </w:rPr>
        <w:t>caso,</w:t>
      </w:r>
      <w:r>
        <w:rPr>
          <w:color w:val="231F20"/>
          <w:spacing w:val="-7"/>
        </w:rPr>
        <w:t> </w:t>
      </w:r>
      <w:r>
        <w:rPr>
          <w:color w:val="231F20"/>
        </w:rPr>
        <w:t>las</w:t>
      </w:r>
      <w:r>
        <w:rPr>
          <w:color w:val="231F20"/>
          <w:spacing w:val="-7"/>
        </w:rPr>
        <w:t> </w:t>
      </w:r>
      <w:r>
        <w:rPr>
          <w:color w:val="231F20"/>
        </w:rPr>
        <w:t>variaciones</w:t>
      </w:r>
      <w:r>
        <w:rPr>
          <w:color w:val="231F20"/>
          <w:spacing w:val="-7"/>
        </w:rPr>
        <w:t> </w:t>
      </w:r>
      <w:r>
        <w:rPr>
          <w:color w:val="231F20"/>
        </w:rPr>
        <w:t>observadas</w:t>
      </w:r>
      <w:r>
        <w:rPr>
          <w:color w:val="231F20"/>
          <w:spacing w:val="-7"/>
        </w:rPr>
        <w:t> </w:t>
      </w:r>
      <w:r>
        <w:rPr>
          <w:color w:val="231F20"/>
        </w:rPr>
        <w:t>son</w:t>
      </w:r>
      <w:r>
        <w:rPr>
          <w:color w:val="231F20"/>
          <w:spacing w:val="-7"/>
        </w:rPr>
        <w:t> </w:t>
      </w:r>
      <w:r>
        <w:rPr>
          <w:color w:val="231F20"/>
        </w:rPr>
        <w:t>debidas</w:t>
      </w:r>
      <w:r>
        <w:rPr>
          <w:color w:val="231F20"/>
          <w:spacing w:val="-7"/>
        </w:rPr>
        <w:t> </w:t>
      </w:r>
      <w:r>
        <w:rPr>
          <w:color w:val="231F20"/>
        </w:rPr>
        <w:t>a</w:t>
      </w:r>
      <w:r>
        <w:rPr>
          <w:color w:val="231F20"/>
          <w:spacing w:val="-7"/>
        </w:rPr>
        <w:t> </w:t>
      </w:r>
      <w:r>
        <w:rPr>
          <w:color w:val="231F20"/>
        </w:rPr>
        <w:t>causas genéticas (rearreglos cromosómicos, transposones, mutaciones) o si son variaciones epigenéticas debidas a alteraciones en la expresión genética inducida por las condiciones de cultivo </w:t>
      </w:r>
      <w:r>
        <w:rPr>
          <w:i/>
          <w:color w:val="231F20"/>
        </w:rPr>
        <w:t>in</w:t>
      </w:r>
      <w:r>
        <w:rPr>
          <w:i/>
          <w:color w:val="231F20"/>
          <w:spacing w:val="-17"/>
        </w:rPr>
        <w:t> </w:t>
      </w:r>
      <w:r>
        <w:rPr>
          <w:i/>
          <w:color w:val="231F20"/>
        </w:rPr>
        <w:t>vitro</w:t>
      </w:r>
      <w:r>
        <w:rPr>
          <w:color w:val="231F20"/>
        </w:rPr>
        <w:t>.</w:t>
      </w:r>
    </w:p>
    <w:p>
      <w:pPr>
        <w:pStyle w:val="BodyText"/>
        <w:spacing w:before="9"/>
        <w:rPr>
          <w:sz w:val="22"/>
        </w:rPr>
      </w:pPr>
    </w:p>
    <w:p>
      <w:pPr>
        <w:pStyle w:val="Heading3"/>
      </w:pPr>
      <w:r>
        <w:rPr>
          <w:color w:val="010202"/>
        </w:rPr>
        <w:t>Conclusiones</w:t>
      </w:r>
    </w:p>
    <w:p>
      <w:pPr>
        <w:pStyle w:val="BodyText"/>
        <w:spacing w:before="10"/>
        <w:rPr>
          <w:b/>
        </w:rPr>
      </w:pPr>
    </w:p>
    <w:p>
      <w:pPr>
        <w:pStyle w:val="BodyText"/>
        <w:spacing w:line="247" w:lineRule="auto"/>
        <w:ind w:left="1270" w:right="1267"/>
        <w:jc w:val="both"/>
      </w:pPr>
      <w:r>
        <w:rPr>
          <w:color w:val="231F20"/>
        </w:rPr>
        <w:t>Se encontraron diferencias morfológicas entre las plantas regeneradas de cultivo </w:t>
      </w:r>
      <w:r>
        <w:rPr>
          <w:i/>
          <w:color w:val="231F20"/>
        </w:rPr>
        <w:t>in vitro </w:t>
      </w:r>
      <w:r>
        <w:rPr>
          <w:color w:val="231F20"/>
        </w:rPr>
        <w:t>(a los 3 y</w:t>
      </w:r>
      <w:r>
        <w:rPr>
          <w:color w:val="231F20"/>
          <w:spacing w:val="-28"/>
        </w:rPr>
        <w:t> </w:t>
      </w:r>
      <w:r>
        <w:rPr>
          <w:color w:val="231F20"/>
        </w:rPr>
        <w:t>5 meses</w:t>
      </w:r>
      <w:r>
        <w:rPr>
          <w:color w:val="231F20"/>
          <w:spacing w:val="-8"/>
        </w:rPr>
        <w:t> </w:t>
      </w:r>
      <w:r>
        <w:rPr>
          <w:color w:val="231F20"/>
        </w:rPr>
        <w:t>de</w:t>
      </w:r>
      <w:r>
        <w:rPr>
          <w:color w:val="231F20"/>
          <w:spacing w:val="-8"/>
        </w:rPr>
        <w:t> </w:t>
      </w:r>
      <w:r>
        <w:rPr>
          <w:color w:val="231F20"/>
        </w:rPr>
        <w:t>cultivo)</w:t>
      </w:r>
      <w:r>
        <w:rPr>
          <w:color w:val="231F20"/>
          <w:spacing w:val="-8"/>
        </w:rPr>
        <w:t> </w:t>
      </w:r>
      <w:r>
        <w:rPr>
          <w:color w:val="231F20"/>
        </w:rPr>
        <w:t>y</w:t>
      </w:r>
      <w:r>
        <w:rPr>
          <w:color w:val="231F20"/>
          <w:spacing w:val="-8"/>
        </w:rPr>
        <w:t> </w:t>
      </w:r>
      <w:r>
        <w:rPr>
          <w:color w:val="231F20"/>
        </w:rPr>
        <w:t>las</w:t>
      </w:r>
      <w:r>
        <w:rPr>
          <w:color w:val="231F20"/>
          <w:spacing w:val="-8"/>
        </w:rPr>
        <w:t> </w:t>
      </w:r>
      <w:r>
        <w:rPr>
          <w:color w:val="231F20"/>
        </w:rPr>
        <w:t>generadas</w:t>
      </w:r>
      <w:r>
        <w:rPr>
          <w:color w:val="231F20"/>
          <w:spacing w:val="-8"/>
        </w:rPr>
        <w:t> </w:t>
      </w:r>
      <w:r>
        <w:rPr>
          <w:color w:val="231F20"/>
        </w:rPr>
        <w:t>por</w:t>
      </w:r>
      <w:r>
        <w:rPr>
          <w:color w:val="231F20"/>
          <w:spacing w:val="-8"/>
        </w:rPr>
        <w:t> </w:t>
      </w:r>
      <w:r>
        <w:rPr>
          <w:color w:val="231F20"/>
        </w:rPr>
        <w:t>semilla.</w:t>
      </w:r>
      <w:r>
        <w:rPr>
          <w:color w:val="231F20"/>
          <w:spacing w:val="-7"/>
        </w:rPr>
        <w:t> </w:t>
      </w:r>
      <w:r>
        <w:rPr>
          <w:color w:val="231F20"/>
        </w:rPr>
        <w:t>Por</w:t>
      </w:r>
      <w:r>
        <w:rPr>
          <w:color w:val="231F20"/>
          <w:spacing w:val="-8"/>
        </w:rPr>
        <w:t> </w:t>
      </w:r>
      <w:r>
        <w:rPr>
          <w:color w:val="231F20"/>
        </w:rPr>
        <w:t>lo</w:t>
      </w:r>
      <w:r>
        <w:rPr>
          <w:color w:val="231F20"/>
          <w:spacing w:val="-8"/>
        </w:rPr>
        <w:t> </w:t>
      </w:r>
      <w:r>
        <w:rPr>
          <w:color w:val="231F20"/>
        </w:rPr>
        <w:t>cual</w:t>
      </w:r>
      <w:r>
        <w:rPr>
          <w:color w:val="231F20"/>
          <w:spacing w:val="-8"/>
        </w:rPr>
        <w:t> </w:t>
      </w:r>
      <w:r>
        <w:rPr>
          <w:color w:val="231F20"/>
        </w:rPr>
        <w:t>es</w:t>
      </w:r>
      <w:r>
        <w:rPr>
          <w:color w:val="231F20"/>
          <w:spacing w:val="-8"/>
        </w:rPr>
        <w:t> </w:t>
      </w:r>
      <w:r>
        <w:rPr>
          <w:color w:val="231F20"/>
        </w:rPr>
        <w:t>necesario</w:t>
      </w:r>
      <w:r>
        <w:rPr>
          <w:color w:val="231F20"/>
          <w:spacing w:val="-8"/>
        </w:rPr>
        <w:t> </w:t>
      </w:r>
      <w:r>
        <w:rPr>
          <w:color w:val="231F20"/>
        </w:rPr>
        <w:t>hacer</w:t>
      </w:r>
      <w:r>
        <w:rPr>
          <w:color w:val="231F20"/>
          <w:spacing w:val="-8"/>
        </w:rPr>
        <w:t> </w:t>
      </w:r>
      <w:r>
        <w:rPr>
          <w:color w:val="231F20"/>
        </w:rPr>
        <w:t>la</w:t>
      </w:r>
      <w:r>
        <w:rPr>
          <w:color w:val="231F20"/>
          <w:spacing w:val="-8"/>
        </w:rPr>
        <w:t> </w:t>
      </w:r>
      <w:r>
        <w:rPr>
          <w:color w:val="231F20"/>
        </w:rPr>
        <w:t>toma</w:t>
      </w:r>
      <w:r>
        <w:rPr>
          <w:color w:val="231F20"/>
          <w:spacing w:val="-8"/>
        </w:rPr>
        <w:t> </w:t>
      </w:r>
      <w:r>
        <w:rPr>
          <w:color w:val="231F20"/>
        </w:rPr>
        <w:t>de</w:t>
      </w:r>
      <w:r>
        <w:rPr>
          <w:color w:val="231F20"/>
          <w:spacing w:val="-8"/>
        </w:rPr>
        <w:t> </w:t>
      </w:r>
      <w:r>
        <w:rPr>
          <w:color w:val="231F20"/>
        </w:rPr>
        <w:t>datos</w:t>
      </w:r>
      <w:r>
        <w:rPr>
          <w:color w:val="231F20"/>
          <w:spacing w:val="-8"/>
        </w:rPr>
        <w:t> </w:t>
      </w:r>
      <w:r>
        <w:rPr>
          <w:color w:val="231F20"/>
        </w:rPr>
        <w:t>y</w:t>
      </w:r>
      <w:r>
        <w:rPr>
          <w:color w:val="231F20"/>
          <w:spacing w:val="-8"/>
        </w:rPr>
        <w:t> </w:t>
      </w:r>
      <w:r>
        <w:rPr>
          <w:color w:val="231F20"/>
        </w:rPr>
        <w:t>análi- sis</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siguientes</w:t>
      </w:r>
      <w:r>
        <w:rPr>
          <w:color w:val="231F20"/>
          <w:spacing w:val="-7"/>
        </w:rPr>
        <w:t> </w:t>
      </w:r>
      <w:r>
        <w:rPr>
          <w:color w:val="231F20"/>
        </w:rPr>
        <w:t>fechas</w:t>
      </w:r>
      <w:r>
        <w:rPr>
          <w:color w:val="231F20"/>
          <w:spacing w:val="-7"/>
        </w:rPr>
        <w:t> </w:t>
      </w:r>
      <w:r>
        <w:rPr>
          <w:color w:val="231F20"/>
        </w:rPr>
        <w:t>de</w:t>
      </w:r>
      <w:r>
        <w:rPr>
          <w:color w:val="231F20"/>
          <w:spacing w:val="-7"/>
        </w:rPr>
        <w:t> </w:t>
      </w:r>
      <w:r>
        <w:rPr>
          <w:color w:val="231F20"/>
        </w:rPr>
        <w:t>regeneración</w:t>
      </w:r>
      <w:r>
        <w:rPr>
          <w:color w:val="231F20"/>
          <w:spacing w:val="-7"/>
        </w:rPr>
        <w:t> </w:t>
      </w:r>
      <w:r>
        <w:rPr>
          <w:color w:val="231F20"/>
        </w:rPr>
        <w:t>(a</w:t>
      </w:r>
      <w:r>
        <w:rPr>
          <w:color w:val="231F20"/>
          <w:spacing w:val="-7"/>
        </w:rPr>
        <w:t> </w:t>
      </w:r>
      <w:r>
        <w:rPr>
          <w:color w:val="231F20"/>
        </w:rPr>
        <w:t>los</w:t>
      </w:r>
      <w:r>
        <w:rPr>
          <w:color w:val="231F20"/>
          <w:spacing w:val="-7"/>
        </w:rPr>
        <w:t> </w:t>
      </w:r>
      <w:r>
        <w:rPr>
          <w:color w:val="231F20"/>
        </w:rPr>
        <w:t>7</w:t>
      </w:r>
      <w:r>
        <w:rPr>
          <w:color w:val="231F20"/>
          <w:spacing w:val="-7"/>
        </w:rPr>
        <w:t> </w:t>
      </w:r>
      <w:r>
        <w:rPr>
          <w:color w:val="231F20"/>
        </w:rPr>
        <w:t>y</w:t>
      </w:r>
      <w:r>
        <w:rPr>
          <w:color w:val="231F20"/>
          <w:spacing w:val="-7"/>
        </w:rPr>
        <w:t> </w:t>
      </w:r>
      <w:r>
        <w:rPr>
          <w:color w:val="231F20"/>
        </w:rPr>
        <w:t>9</w:t>
      </w:r>
      <w:r>
        <w:rPr>
          <w:color w:val="231F20"/>
          <w:spacing w:val="-7"/>
        </w:rPr>
        <w:t> </w:t>
      </w:r>
      <w:r>
        <w:rPr>
          <w:color w:val="231F20"/>
        </w:rPr>
        <w:t>meses</w:t>
      </w:r>
      <w:r>
        <w:rPr>
          <w:color w:val="231F20"/>
          <w:spacing w:val="-7"/>
        </w:rPr>
        <w:t> </w:t>
      </w:r>
      <w:r>
        <w:rPr>
          <w:color w:val="231F20"/>
        </w:rPr>
        <w:t>de</w:t>
      </w:r>
      <w:r>
        <w:rPr>
          <w:color w:val="231F20"/>
          <w:spacing w:val="-7"/>
        </w:rPr>
        <w:t> </w:t>
      </w:r>
      <w:r>
        <w:rPr>
          <w:color w:val="231F20"/>
        </w:rPr>
        <w:t>cultivo</w:t>
      </w:r>
      <w:r>
        <w:rPr>
          <w:color w:val="231F20"/>
          <w:spacing w:val="-7"/>
        </w:rPr>
        <w:t> </w:t>
      </w:r>
      <w:r>
        <w:rPr>
          <w:i/>
          <w:color w:val="231F20"/>
        </w:rPr>
        <w:t>in</w:t>
      </w:r>
      <w:r>
        <w:rPr>
          <w:i/>
          <w:color w:val="231F20"/>
          <w:spacing w:val="-7"/>
        </w:rPr>
        <w:t> </w:t>
      </w:r>
      <w:r>
        <w:rPr>
          <w:i/>
          <w:color w:val="231F20"/>
        </w:rPr>
        <w:t>vitro</w:t>
      </w:r>
      <w:r>
        <w:rPr>
          <w:color w:val="231F20"/>
        </w:rPr>
        <w:t>),</w:t>
      </w:r>
      <w:r>
        <w:rPr>
          <w:color w:val="231F20"/>
          <w:spacing w:val="-7"/>
        </w:rPr>
        <w:t> </w:t>
      </w:r>
      <w:r>
        <w:rPr>
          <w:color w:val="231F20"/>
        </w:rPr>
        <w:t>así</w:t>
      </w:r>
      <w:r>
        <w:rPr>
          <w:color w:val="231F20"/>
          <w:spacing w:val="-7"/>
        </w:rPr>
        <w:t> </w:t>
      </w:r>
      <w:r>
        <w:rPr>
          <w:color w:val="231F20"/>
        </w:rPr>
        <w:t>como</w:t>
      </w:r>
      <w:r>
        <w:rPr>
          <w:color w:val="231F20"/>
          <w:spacing w:val="-7"/>
        </w:rPr>
        <w:t> </w:t>
      </w:r>
      <w:r>
        <w:rPr>
          <w:color w:val="231F20"/>
        </w:rPr>
        <w:t>adicionar algunas variables relacionadas con características de la mazorca y el</w:t>
      </w:r>
      <w:r>
        <w:rPr>
          <w:color w:val="231F20"/>
          <w:spacing w:val="-4"/>
        </w:rPr>
        <w:t> </w:t>
      </w:r>
      <w:r>
        <w:rPr>
          <w:color w:val="231F20"/>
        </w:rPr>
        <w:t>grano.</w:t>
      </w:r>
    </w:p>
    <w:p>
      <w:pPr>
        <w:pStyle w:val="BodyText"/>
        <w:spacing w:before="10"/>
      </w:pPr>
    </w:p>
    <w:p>
      <w:pPr>
        <w:pStyle w:val="BodyText"/>
        <w:spacing w:line="247" w:lineRule="auto"/>
        <w:ind w:left="1270" w:right="1267"/>
        <w:jc w:val="both"/>
      </w:pPr>
      <w:r>
        <w:rPr>
          <w:color w:val="231F20"/>
        </w:rPr>
        <w:t>Para</w:t>
      </w:r>
      <w:r>
        <w:rPr>
          <w:color w:val="231F20"/>
          <w:spacing w:val="-11"/>
        </w:rPr>
        <w:t> </w:t>
      </w:r>
      <w:r>
        <w:rPr>
          <w:color w:val="231F20"/>
        </w:rPr>
        <w:t>elucidar</w:t>
      </w:r>
      <w:r>
        <w:rPr>
          <w:color w:val="231F20"/>
          <w:spacing w:val="-12"/>
        </w:rPr>
        <w:t> </w:t>
      </w:r>
      <w:r>
        <w:rPr>
          <w:color w:val="231F20"/>
        </w:rPr>
        <w:t>si</w:t>
      </w:r>
      <w:r>
        <w:rPr>
          <w:color w:val="231F20"/>
          <w:spacing w:val="-11"/>
        </w:rPr>
        <w:t> </w:t>
      </w:r>
      <w:r>
        <w:rPr>
          <w:color w:val="231F20"/>
        </w:rPr>
        <w:t>los</w:t>
      </w:r>
      <w:r>
        <w:rPr>
          <w:color w:val="231F20"/>
          <w:spacing w:val="-11"/>
        </w:rPr>
        <w:t> </w:t>
      </w:r>
      <w:r>
        <w:rPr>
          <w:color w:val="231F20"/>
        </w:rPr>
        <w:t>drásticos</w:t>
      </w:r>
      <w:r>
        <w:rPr>
          <w:color w:val="231F20"/>
          <w:spacing w:val="-11"/>
        </w:rPr>
        <w:t> </w:t>
      </w:r>
      <w:r>
        <w:rPr>
          <w:color w:val="231F20"/>
        </w:rPr>
        <w:t>cambios</w:t>
      </w:r>
      <w:r>
        <w:rPr>
          <w:color w:val="231F20"/>
          <w:spacing w:val="-12"/>
        </w:rPr>
        <w:t> </w:t>
      </w:r>
      <w:r>
        <w:rPr>
          <w:color w:val="231F20"/>
        </w:rPr>
        <w:t>morfológicos</w:t>
      </w:r>
      <w:r>
        <w:rPr>
          <w:color w:val="231F20"/>
          <w:spacing w:val="-12"/>
        </w:rPr>
        <w:t> </w:t>
      </w:r>
      <w:r>
        <w:rPr>
          <w:color w:val="231F20"/>
        </w:rPr>
        <w:t>observados</w:t>
      </w:r>
      <w:r>
        <w:rPr>
          <w:color w:val="231F20"/>
          <w:spacing w:val="-11"/>
        </w:rPr>
        <w:t> </w:t>
      </w:r>
      <w:r>
        <w:rPr>
          <w:color w:val="231F20"/>
        </w:rPr>
        <w:t>en</w:t>
      </w:r>
      <w:r>
        <w:rPr>
          <w:color w:val="231F20"/>
          <w:spacing w:val="-11"/>
        </w:rPr>
        <w:t> </w:t>
      </w:r>
      <w:r>
        <w:rPr>
          <w:color w:val="231F20"/>
        </w:rPr>
        <w:t>las</w:t>
      </w:r>
      <w:r>
        <w:rPr>
          <w:color w:val="231F20"/>
          <w:spacing w:val="-11"/>
        </w:rPr>
        <w:t> </w:t>
      </w:r>
      <w:r>
        <w:rPr>
          <w:color w:val="231F20"/>
        </w:rPr>
        <w:t>plantas</w:t>
      </w:r>
      <w:r>
        <w:rPr>
          <w:color w:val="231F20"/>
          <w:spacing w:val="-11"/>
        </w:rPr>
        <w:t> </w:t>
      </w:r>
      <w:r>
        <w:rPr>
          <w:color w:val="231F20"/>
        </w:rPr>
        <w:t>obtenidas</w:t>
      </w:r>
      <w:r>
        <w:rPr>
          <w:color w:val="231F20"/>
          <w:spacing w:val="-11"/>
        </w:rPr>
        <w:t> </w:t>
      </w:r>
      <w:r>
        <w:rPr>
          <w:color w:val="231F20"/>
        </w:rPr>
        <w:t>del</w:t>
      </w:r>
      <w:r>
        <w:rPr>
          <w:color w:val="231F20"/>
          <w:spacing w:val="-11"/>
        </w:rPr>
        <w:t> </w:t>
      </w:r>
      <w:r>
        <w:rPr>
          <w:color w:val="231F20"/>
        </w:rPr>
        <w:t>cultivo</w:t>
      </w:r>
      <w:r>
        <w:rPr>
          <w:color w:val="231F20"/>
          <w:spacing w:val="-12"/>
        </w:rPr>
        <w:t> </w:t>
      </w:r>
      <w:r>
        <w:rPr>
          <w:color w:val="231F20"/>
        </w:rPr>
        <w:t>in vitro,</w:t>
      </w:r>
      <w:r>
        <w:rPr>
          <w:color w:val="231F20"/>
          <w:spacing w:val="-11"/>
        </w:rPr>
        <w:t> </w:t>
      </w:r>
      <w:r>
        <w:rPr>
          <w:color w:val="231F20"/>
        </w:rPr>
        <w:t>con</w:t>
      </w:r>
      <w:r>
        <w:rPr>
          <w:color w:val="231F20"/>
          <w:spacing w:val="-11"/>
        </w:rPr>
        <w:t> </w:t>
      </w:r>
      <w:r>
        <w:rPr>
          <w:color w:val="231F20"/>
        </w:rPr>
        <w:t>respecto</w:t>
      </w:r>
      <w:r>
        <w:rPr>
          <w:color w:val="231F20"/>
          <w:spacing w:val="-11"/>
        </w:rPr>
        <w:t> </w:t>
      </w:r>
      <w:r>
        <w:rPr>
          <w:color w:val="231F20"/>
        </w:rPr>
        <w:t>a</w:t>
      </w:r>
      <w:r>
        <w:rPr>
          <w:color w:val="231F20"/>
          <w:spacing w:val="-11"/>
        </w:rPr>
        <w:t> </w:t>
      </w:r>
      <w:r>
        <w:rPr>
          <w:color w:val="231F20"/>
        </w:rPr>
        <w:t>las</w:t>
      </w:r>
      <w:r>
        <w:rPr>
          <w:color w:val="231F20"/>
          <w:spacing w:val="-11"/>
        </w:rPr>
        <w:t> </w:t>
      </w:r>
      <w:r>
        <w:rPr>
          <w:color w:val="231F20"/>
        </w:rPr>
        <w:t>plantas</w:t>
      </w:r>
      <w:r>
        <w:rPr>
          <w:color w:val="231F20"/>
          <w:spacing w:val="-11"/>
        </w:rPr>
        <w:t> </w:t>
      </w:r>
      <w:r>
        <w:rPr>
          <w:color w:val="231F20"/>
        </w:rPr>
        <w:t>obtenidas</w:t>
      </w:r>
      <w:r>
        <w:rPr>
          <w:color w:val="231F20"/>
          <w:spacing w:val="-11"/>
        </w:rPr>
        <w:t> </w:t>
      </w:r>
      <w:r>
        <w:rPr>
          <w:color w:val="231F20"/>
        </w:rPr>
        <w:t>de</w:t>
      </w:r>
      <w:r>
        <w:rPr>
          <w:color w:val="231F20"/>
          <w:spacing w:val="-11"/>
        </w:rPr>
        <w:t> </w:t>
      </w:r>
      <w:r>
        <w:rPr>
          <w:color w:val="231F20"/>
        </w:rPr>
        <w:t>semilla,</w:t>
      </w:r>
      <w:r>
        <w:rPr>
          <w:color w:val="231F20"/>
          <w:spacing w:val="-11"/>
        </w:rPr>
        <w:t> </w:t>
      </w:r>
      <w:r>
        <w:rPr>
          <w:color w:val="231F20"/>
        </w:rPr>
        <w:t>se</w:t>
      </w:r>
      <w:r>
        <w:rPr>
          <w:color w:val="231F20"/>
          <w:spacing w:val="-11"/>
        </w:rPr>
        <w:t> </w:t>
      </w:r>
      <w:r>
        <w:rPr>
          <w:color w:val="231F20"/>
        </w:rPr>
        <w:t>procederá</w:t>
      </w:r>
      <w:r>
        <w:rPr>
          <w:color w:val="231F20"/>
          <w:spacing w:val="-11"/>
        </w:rPr>
        <w:t> </w:t>
      </w:r>
      <w:r>
        <w:rPr>
          <w:color w:val="231F20"/>
        </w:rPr>
        <w:t>a</w:t>
      </w:r>
      <w:r>
        <w:rPr>
          <w:color w:val="231F20"/>
          <w:spacing w:val="-11"/>
        </w:rPr>
        <w:t> </w:t>
      </w:r>
      <w:r>
        <w:rPr>
          <w:color w:val="231F20"/>
        </w:rPr>
        <w:t>llevar</w:t>
      </w:r>
      <w:r>
        <w:rPr>
          <w:color w:val="231F20"/>
          <w:spacing w:val="-11"/>
        </w:rPr>
        <w:t> </w:t>
      </w:r>
      <w:r>
        <w:rPr>
          <w:color w:val="231F20"/>
        </w:rPr>
        <w:t>a</w:t>
      </w:r>
      <w:r>
        <w:rPr>
          <w:color w:val="231F20"/>
          <w:spacing w:val="-11"/>
        </w:rPr>
        <w:t> </w:t>
      </w:r>
      <w:r>
        <w:rPr>
          <w:color w:val="231F20"/>
        </w:rPr>
        <w:t>cabo</w:t>
      </w:r>
      <w:r>
        <w:rPr>
          <w:color w:val="231F20"/>
          <w:spacing w:val="-11"/>
        </w:rPr>
        <w:t> </w:t>
      </w:r>
      <w:r>
        <w:rPr>
          <w:color w:val="231F20"/>
        </w:rPr>
        <w:t>análisis</w:t>
      </w:r>
      <w:r>
        <w:rPr>
          <w:color w:val="231F20"/>
          <w:spacing w:val="-11"/>
        </w:rPr>
        <w:t> </w:t>
      </w:r>
      <w:r>
        <w:rPr>
          <w:color w:val="231F20"/>
        </w:rPr>
        <w:t>del</w:t>
      </w:r>
      <w:r>
        <w:rPr>
          <w:color w:val="231F20"/>
          <w:spacing w:val="-11"/>
        </w:rPr>
        <w:t> </w:t>
      </w:r>
      <w:r>
        <w:rPr>
          <w:color w:val="231F20"/>
        </w:rPr>
        <w:t>genoma de las plantas mediante marcadores RAPDs. Para llevar a cabo esto, se tomaron muestras de tejido de la hoja bandera de las plantas al inicio de la floración, para extraer ADN y llevar a cabo análisis RAPDs. Adicionalmente, las semillas obtenidas mediante la cruza entre plantas regeneradas y</w:t>
      </w:r>
      <w:r>
        <w:rPr>
          <w:color w:val="231F20"/>
          <w:spacing w:val="-34"/>
        </w:rPr>
        <w:t> </w:t>
      </w:r>
      <w:r>
        <w:rPr>
          <w:color w:val="231F20"/>
        </w:rPr>
        <w:t>polen de plantas provenientes de semilla, se germinarán y crecerán hasta la madurez fisiológica para de- terminar si las variaciones observadas persisten durante la siguiente generación obtenida de</w:t>
      </w:r>
      <w:r>
        <w:rPr>
          <w:color w:val="231F20"/>
          <w:spacing w:val="-33"/>
        </w:rPr>
        <w:t> </w:t>
      </w:r>
      <w:r>
        <w:rPr>
          <w:color w:val="231F20"/>
        </w:rPr>
        <w:t>semilla.</w:t>
      </w:r>
    </w:p>
    <w:p>
      <w:pPr>
        <w:spacing w:after="0" w:line="247" w:lineRule="auto"/>
        <w:jc w:val="both"/>
        <w:sectPr>
          <w:pgSz w:w="10920" w:h="13080"/>
          <w:pgMar w:header="0" w:footer="965" w:top="420" w:bottom="1220" w:left="0" w:right="0"/>
        </w:sectPr>
      </w:pPr>
    </w:p>
    <w:p>
      <w:pPr>
        <w:pStyle w:val="BodyText"/>
        <w:rPr>
          <w:sz w:val="20"/>
        </w:rPr>
      </w:pPr>
    </w:p>
    <w:p>
      <w:pPr>
        <w:pStyle w:val="BodyText"/>
        <w:rPr>
          <w:sz w:val="20"/>
        </w:rPr>
      </w:pPr>
    </w:p>
    <w:p>
      <w:pPr>
        <w:pStyle w:val="BodyText"/>
        <w:spacing w:before="4"/>
        <w:rPr>
          <w:sz w:val="22"/>
        </w:rPr>
      </w:pPr>
    </w:p>
    <w:p>
      <w:pPr>
        <w:pStyle w:val="Heading3"/>
        <w:spacing w:before="69"/>
        <w:ind w:right="5337"/>
        <w:jc w:val="left"/>
      </w:pPr>
      <w:r>
        <w:rPr>
          <w:color w:val="010202"/>
        </w:rPr>
        <w:t>Literatura citada</w:t>
      </w:r>
    </w:p>
    <w:p>
      <w:pPr>
        <w:pStyle w:val="BodyText"/>
        <w:spacing w:before="7"/>
        <w:rPr>
          <w:b/>
        </w:rPr>
      </w:pPr>
    </w:p>
    <w:p>
      <w:pPr>
        <w:spacing w:line="249" w:lineRule="auto" w:before="0"/>
        <w:ind w:left="1270" w:right="1176" w:firstLine="0"/>
        <w:jc w:val="left"/>
        <w:rPr>
          <w:sz w:val="19"/>
        </w:rPr>
      </w:pPr>
      <w:r>
        <w:rPr>
          <w:color w:val="231F20"/>
          <w:sz w:val="19"/>
        </w:rPr>
        <w:t>Bohorova, N. E.; Luna, B.; Brito, R. M. Huerta, L. D. y Hoisington, D. A. 1995. Regeneration potential of tro- pical, subtropical, midaltitude, and highland maize inbreds. Maydica 40 (1995): 275-281.</w:t>
      </w:r>
    </w:p>
    <w:p>
      <w:pPr>
        <w:pStyle w:val="BodyText"/>
        <w:spacing w:before="10"/>
        <w:rPr>
          <w:sz w:val="19"/>
        </w:rPr>
      </w:pPr>
    </w:p>
    <w:p>
      <w:pPr>
        <w:spacing w:line="249" w:lineRule="auto" w:before="0"/>
        <w:ind w:left="1270" w:right="1176" w:firstLine="0"/>
        <w:jc w:val="left"/>
        <w:rPr>
          <w:sz w:val="19"/>
        </w:rPr>
      </w:pPr>
      <w:r>
        <w:rPr>
          <w:color w:val="231F20"/>
          <w:sz w:val="19"/>
        </w:rPr>
        <w:t>Chu, C. C.; Wang, C. C., and Sun, C. S. 1975. Establishment of an efficient medium for another culture of rice trough comparative experiments on the nitrogen sources. Science Sinica 18:659-668.</w:t>
      </w:r>
    </w:p>
    <w:p>
      <w:pPr>
        <w:pStyle w:val="BodyText"/>
        <w:spacing w:before="10"/>
        <w:rPr>
          <w:sz w:val="19"/>
        </w:rPr>
      </w:pPr>
    </w:p>
    <w:p>
      <w:pPr>
        <w:spacing w:line="249" w:lineRule="auto" w:before="0"/>
        <w:ind w:left="1270" w:right="1266" w:firstLine="0"/>
        <w:jc w:val="left"/>
        <w:rPr>
          <w:sz w:val="19"/>
        </w:rPr>
      </w:pPr>
      <w:r>
        <w:rPr>
          <w:color w:val="231F20"/>
          <w:sz w:val="19"/>
        </w:rPr>
        <w:t>Dellaporta, S. L.; Wood, J.; HIcks, J.B. 1983. A plant DNA minipreparation. Version II. Plant Molecular Bio- logy Reporter 1:19-21.</w:t>
      </w:r>
    </w:p>
    <w:p>
      <w:pPr>
        <w:pStyle w:val="BodyText"/>
        <w:spacing w:before="10"/>
        <w:rPr>
          <w:sz w:val="19"/>
        </w:rPr>
      </w:pPr>
    </w:p>
    <w:p>
      <w:pPr>
        <w:spacing w:line="249" w:lineRule="auto" w:before="0"/>
        <w:ind w:left="1270" w:right="1279" w:firstLine="0"/>
        <w:jc w:val="left"/>
        <w:rPr>
          <w:sz w:val="19"/>
        </w:rPr>
      </w:pPr>
      <w:r>
        <w:rPr>
          <w:color w:val="231F20"/>
          <w:sz w:val="19"/>
        </w:rPr>
        <w:t>Kaeppler, S.M.; Kaeppler, H. F.; Rhee, Y. 2000. Epigenetic aspects of somaclonal variation in plants. Plant Molecular Biology 43: 79–188.</w:t>
      </w:r>
    </w:p>
    <w:p>
      <w:pPr>
        <w:pStyle w:val="BodyText"/>
        <w:spacing w:before="10"/>
        <w:rPr>
          <w:sz w:val="19"/>
        </w:rPr>
      </w:pPr>
    </w:p>
    <w:p>
      <w:pPr>
        <w:spacing w:line="249" w:lineRule="auto" w:before="0"/>
        <w:ind w:left="1270" w:right="1260" w:firstLine="0"/>
        <w:jc w:val="left"/>
        <w:rPr>
          <w:sz w:val="19"/>
        </w:rPr>
      </w:pPr>
      <w:r>
        <w:rPr>
          <w:color w:val="231F20"/>
          <w:sz w:val="19"/>
        </w:rPr>
        <w:t>Murashige,</w:t>
      </w:r>
      <w:r>
        <w:rPr>
          <w:color w:val="231F20"/>
          <w:spacing w:val="-12"/>
          <w:sz w:val="19"/>
        </w:rPr>
        <w:t> </w:t>
      </w:r>
      <w:r>
        <w:rPr>
          <w:color w:val="231F20"/>
          <w:spacing w:val="-5"/>
          <w:sz w:val="19"/>
        </w:rPr>
        <w:t>T.,</w:t>
      </w:r>
      <w:r>
        <w:rPr>
          <w:color w:val="231F20"/>
          <w:spacing w:val="-8"/>
          <w:sz w:val="19"/>
        </w:rPr>
        <w:t> </w:t>
      </w:r>
      <w:r>
        <w:rPr>
          <w:color w:val="231F20"/>
          <w:sz w:val="19"/>
        </w:rPr>
        <w:t>and</w:t>
      </w:r>
      <w:r>
        <w:rPr>
          <w:color w:val="231F20"/>
          <w:spacing w:val="-8"/>
          <w:sz w:val="19"/>
        </w:rPr>
        <w:t> </w:t>
      </w:r>
      <w:r>
        <w:rPr>
          <w:color w:val="231F20"/>
          <w:sz w:val="19"/>
        </w:rPr>
        <w:t>Skoog,</w:t>
      </w:r>
      <w:r>
        <w:rPr>
          <w:color w:val="231F20"/>
          <w:spacing w:val="-8"/>
          <w:sz w:val="19"/>
        </w:rPr>
        <w:t> F. </w:t>
      </w:r>
      <w:r>
        <w:rPr>
          <w:color w:val="231F20"/>
          <w:sz w:val="19"/>
        </w:rPr>
        <w:t>1962.</w:t>
      </w:r>
      <w:r>
        <w:rPr>
          <w:color w:val="231F20"/>
          <w:spacing w:val="-19"/>
          <w:sz w:val="19"/>
        </w:rPr>
        <w:t> </w:t>
      </w:r>
      <w:r>
        <w:rPr>
          <w:color w:val="231F20"/>
          <w:sz w:val="19"/>
        </w:rPr>
        <w:t>A</w:t>
      </w:r>
      <w:r>
        <w:rPr>
          <w:color w:val="231F20"/>
          <w:spacing w:val="-19"/>
          <w:sz w:val="19"/>
        </w:rPr>
        <w:t> </w:t>
      </w:r>
      <w:r>
        <w:rPr>
          <w:color w:val="231F20"/>
          <w:sz w:val="19"/>
        </w:rPr>
        <w:t>revised</w:t>
      </w:r>
      <w:r>
        <w:rPr>
          <w:color w:val="231F20"/>
          <w:spacing w:val="-8"/>
          <w:sz w:val="19"/>
        </w:rPr>
        <w:t> </w:t>
      </w:r>
      <w:r>
        <w:rPr>
          <w:color w:val="231F20"/>
          <w:sz w:val="19"/>
        </w:rPr>
        <w:t>medium</w:t>
      </w:r>
      <w:r>
        <w:rPr>
          <w:color w:val="231F20"/>
          <w:spacing w:val="-8"/>
          <w:sz w:val="19"/>
        </w:rPr>
        <w:t> </w:t>
      </w:r>
      <w:r>
        <w:rPr>
          <w:color w:val="231F20"/>
          <w:sz w:val="19"/>
        </w:rPr>
        <w:t>for</w:t>
      </w:r>
      <w:r>
        <w:rPr>
          <w:color w:val="231F20"/>
          <w:spacing w:val="-8"/>
          <w:sz w:val="19"/>
        </w:rPr>
        <w:t> </w:t>
      </w:r>
      <w:r>
        <w:rPr>
          <w:color w:val="231F20"/>
          <w:sz w:val="19"/>
        </w:rPr>
        <w:t>rapid</w:t>
      </w:r>
      <w:r>
        <w:rPr>
          <w:color w:val="231F20"/>
          <w:spacing w:val="-8"/>
          <w:sz w:val="19"/>
        </w:rPr>
        <w:t> </w:t>
      </w:r>
      <w:r>
        <w:rPr>
          <w:color w:val="231F20"/>
          <w:sz w:val="19"/>
        </w:rPr>
        <w:t>growth</w:t>
      </w:r>
      <w:r>
        <w:rPr>
          <w:color w:val="231F20"/>
          <w:spacing w:val="-8"/>
          <w:sz w:val="19"/>
        </w:rPr>
        <w:t> </w:t>
      </w:r>
      <w:r>
        <w:rPr>
          <w:color w:val="231F20"/>
          <w:sz w:val="19"/>
        </w:rPr>
        <w:t>and</w:t>
      </w:r>
      <w:r>
        <w:rPr>
          <w:color w:val="231F20"/>
          <w:spacing w:val="-8"/>
          <w:sz w:val="19"/>
        </w:rPr>
        <w:t> </w:t>
      </w:r>
      <w:r>
        <w:rPr>
          <w:color w:val="231F20"/>
          <w:sz w:val="19"/>
        </w:rPr>
        <w:t>bioassays</w:t>
      </w:r>
      <w:r>
        <w:rPr>
          <w:color w:val="231F20"/>
          <w:spacing w:val="-8"/>
          <w:sz w:val="19"/>
        </w:rPr>
        <w:t> </w:t>
      </w:r>
      <w:r>
        <w:rPr>
          <w:color w:val="231F20"/>
          <w:sz w:val="19"/>
        </w:rPr>
        <w:t>with</w:t>
      </w:r>
      <w:r>
        <w:rPr>
          <w:color w:val="231F20"/>
          <w:spacing w:val="-8"/>
          <w:sz w:val="19"/>
        </w:rPr>
        <w:t> </w:t>
      </w:r>
      <w:r>
        <w:rPr>
          <w:color w:val="231F20"/>
          <w:sz w:val="19"/>
        </w:rPr>
        <w:t>tobacco.</w:t>
      </w:r>
      <w:r>
        <w:rPr>
          <w:color w:val="231F20"/>
          <w:spacing w:val="-8"/>
          <w:sz w:val="19"/>
        </w:rPr>
        <w:t> </w:t>
      </w:r>
      <w:r>
        <w:rPr>
          <w:color w:val="231F20"/>
          <w:sz w:val="19"/>
        </w:rPr>
        <w:t>Physiologia Plantarum 15:473-497.</w:t>
      </w:r>
    </w:p>
    <w:p>
      <w:pPr>
        <w:pStyle w:val="BodyText"/>
        <w:spacing w:before="10"/>
        <w:rPr>
          <w:sz w:val="19"/>
        </w:rPr>
      </w:pPr>
    </w:p>
    <w:p>
      <w:pPr>
        <w:spacing w:before="0"/>
        <w:ind w:left="1270" w:right="0" w:firstLine="0"/>
        <w:jc w:val="left"/>
        <w:rPr>
          <w:sz w:val="19"/>
        </w:rPr>
      </w:pPr>
      <w:r>
        <w:rPr>
          <w:color w:val="231F20"/>
          <w:sz w:val="19"/>
        </w:rPr>
        <w:t>Sánchez-Chiang, N.; Jiménez, V. M. 2009. Técnicas moleculares para la detección de variantes somaclonales.</w:t>
      </w:r>
    </w:p>
    <w:p>
      <w:pPr>
        <w:spacing w:before="9"/>
        <w:ind w:left="1270" w:right="5337" w:firstLine="0"/>
        <w:jc w:val="left"/>
        <w:rPr>
          <w:sz w:val="19"/>
        </w:rPr>
      </w:pPr>
      <w:r>
        <w:rPr>
          <w:color w:val="231F20"/>
          <w:sz w:val="19"/>
        </w:rPr>
        <w:t>Agronomía mesoamericana 20(1): 135-151.</w:t>
      </w:r>
    </w:p>
    <w:p>
      <w:pPr>
        <w:pStyle w:val="BodyText"/>
        <w:spacing w:before="7"/>
        <w:rPr>
          <w:sz w:val="20"/>
        </w:rPr>
      </w:pPr>
    </w:p>
    <w:p>
      <w:pPr>
        <w:spacing w:line="249" w:lineRule="auto" w:before="0"/>
        <w:ind w:left="1270" w:right="1279" w:firstLine="0"/>
        <w:jc w:val="left"/>
        <w:rPr>
          <w:sz w:val="19"/>
        </w:rPr>
      </w:pPr>
      <w:r>
        <w:rPr>
          <w:color w:val="231F20"/>
          <w:sz w:val="19"/>
        </w:rPr>
        <w:t>Sidorov, V.; Gilberston, L.; Addae, P.; Duncan, D. 2006. Agrobacterium-mediate transformation of seedling- derived maize callus. Plant Cell Report 25:320-328.</w:t>
      </w:r>
    </w:p>
    <w:p>
      <w:pPr>
        <w:pStyle w:val="BodyText"/>
        <w:spacing w:before="10"/>
        <w:rPr>
          <w:sz w:val="19"/>
        </w:rPr>
      </w:pPr>
    </w:p>
    <w:p>
      <w:pPr>
        <w:spacing w:line="273" w:lineRule="auto" w:before="0"/>
        <w:ind w:left="1270" w:right="1260" w:firstLine="0"/>
        <w:jc w:val="left"/>
        <w:rPr>
          <w:sz w:val="19"/>
        </w:rPr>
      </w:pPr>
      <w:r>
        <w:rPr>
          <w:color w:val="231F20"/>
          <w:sz w:val="19"/>
        </w:rPr>
        <w:t>Vilaca</w:t>
      </w:r>
      <w:r>
        <w:rPr>
          <w:color w:val="231F20"/>
          <w:spacing w:val="-11"/>
          <w:sz w:val="19"/>
        </w:rPr>
        <w:t> </w:t>
      </w:r>
      <w:r>
        <w:rPr>
          <w:color w:val="231F20"/>
          <w:sz w:val="19"/>
        </w:rPr>
        <w:t>de</w:t>
      </w:r>
      <w:r>
        <w:rPr>
          <w:color w:val="231F20"/>
          <w:spacing w:val="-14"/>
          <w:sz w:val="19"/>
        </w:rPr>
        <w:t> </w:t>
      </w:r>
      <w:r>
        <w:rPr>
          <w:color w:val="231F20"/>
          <w:sz w:val="19"/>
        </w:rPr>
        <w:t>Vasconcelos,</w:t>
      </w:r>
      <w:r>
        <w:rPr>
          <w:color w:val="231F20"/>
          <w:spacing w:val="-10"/>
          <w:sz w:val="19"/>
        </w:rPr>
        <w:t> </w:t>
      </w:r>
      <w:r>
        <w:rPr>
          <w:color w:val="231F20"/>
          <w:sz w:val="19"/>
        </w:rPr>
        <w:t>M.</w:t>
      </w:r>
      <w:r>
        <w:rPr>
          <w:color w:val="231F20"/>
          <w:spacing w:val="-10"/>
          <w:sz w:val="19"/>
        </w:rPr>
        <w:t> </w:t>
      </w:r>
      <w:r>
        <w:rPr>
          <w:color w:val="231F20"/>
          <w:sz w:val="19"/>
        </w:rPr>
        <w:t>J.;</w:t>
      </w:r>
      <w:r>
        <w:rPr>
          <w:color w:val="231F20"/>
          <w:spacing w:val="-21"/>
          <w:sz w:val="19"/>
        </w:rPr>
        <w:t> </w:t>
      </w:r>
      <w:r>
        <w:rPr>
          <w:color w:val="231F20"/>
          <w:sz w:val="19"/>
        </w:rPr>
        <w:t>Antunes,</w:t>
      </w:r>
      <w:r>
        <w:rPr>
          <w:color w:val="231F20"/>
          <w:spacing w:val="-10"/>
          <w:sz w:val="19"/>
        </w:rPr>
        <w:t> </w:t>
      </w:r>
      <w:r>
        <w:rPr>
          <w:color w:val="231F20"/>
          <w:sz w:val="19"/>
        </w:rPr>
        <w:t>M.</w:t>
      </w:r>
      <w:r>
        <w:rPr>
          <w:color w:val="231F20"/>
          <w:spacing w:val="-10"/>
          <w:sz w:val="19"/>
        </w:rPr>
        <w:t> </w:t>
      </w:r>
      <w:r>
        <w:rPr>
          <w:color w:val="231F20"/>
          <w:sz w:val="19"/>
        </w:rPr>
        <w:t>S.;</w:t>
      </w:r>
      <w:r>
        <w:rPr>
          <w:color w:val="231F20"/>
          <w:spacing w:val="-10"/>
          <w:sz w:val="19"/>
        </w:rPr>
        <w:t> </w:t>
      </w:r>
      <w:r>
        <w:rPr>
          <w:color w:val="231F20"/>
          <w:sz w:val="19"/>
        </w:rPr>
        <w:t>Barbosa,</w:t>
      </w:r>
      <w:r>
        <w:rPr>
          <w:color w:val="231F20"/>
          <w:spacing w:val="-10"/>
          <w:sz w:val="19"/>
        </w:rPr>
        <w:t> </w:t>
      </w:r>
      <w:r>
        <w:rPr>
          <w:color w:val="231F20"/>
          <w:sz w:val="19"/>
        </w:rPr>
        <w:t>S.</w:t>
      </w:r>
      <w:r>
        <w:rPr>
          <w:color w:val="231F20"/>
          <w:spacing w:val="-10"/>
          <w:sz w:val="19"/>
        </w:rPr>
        <w:t> </w:t>
      </w:r>
      <w:r>
        <w:rPr>
          <w:color w:val="231F20"/>
          <w:sz w:val="19"/>
        </w:rPr>
        <w:t>M.;</w:t>
      </w:r>
      <w:r>
        <w:rPr>
          <w:color w:val="231F20"/>
          <w:spacing w:val="-10"/>
          <w:sz w:val="19"/>
        </w:rPr>
        <w:t> </w:t>
      </w:r>
      <w:r>
        <w:rPr>
          <w:color w:val="231F20"/>
          <w:sz w:val="19"/>
        </w:rPr>
        <w:t>Carvalho,</w:t>
      </w:r>
      <w:r>
        <w:rPr>
          <w:color w:val="231F20"/>
          <w:spacing w:val="-10"/>
          <w:sz w:val="19"/>
        </w:rPr>
        <w:t> </w:t>
      </w:r>
      <w:r>
        <w:rPr>
          <w:color w:val="231F20"/>
          <w:sz w:val="19"/>
        </w:rPr>
        <w:t>C.</w:t>
      </w:r>
      <w:r>
        <w:rPr>
          <w:color w:val="231F20"/>
          <w:spacing w:val="-10"/>
          <w:sz w:val="19"/>
        </w:rPr>
        <w:t> </w:t>
      </w:r>
      <w:r>
        <w:rPr>
          <w:color w:val="231F20"/>
          <w:sz w:val="19"/>
        </w:rPr>
        <w:t>H.</w:t>
      </w:r>
      <w:r>
        <w:rPr>
          <w:color w:val="231F20"/>
          <w:spacing w:val="-10"/>
          <w:sz w:val="19"/>
        </w:rPr>
        <w:t> </w:t>
      </w:r>
      <w:r>
        <w:rPr>
          <w:color w:val="231F20"/>
          <w:sz w:val="19"/>
        </w:rPr>
        <w:t>S.</w:t>
      </w:r>
      <w:r>
        <w:rPr>
          <w:color w:val="231F20"/>
          <w:spacing w:val="-10"/>
          <w:sz w:val="19"/>
        </w:rPr>
        <w:t> </w:t>
      </w:r>
      <w:r>
        <w:rPr>
          <w:color w:val="231F20"/>
          <w:sz w:val="19"/>
        </w:rPr>
        <w:t>2008.</w:t>
      </w:r>
      <w:r>
        <w:rPr>
          <w:color w:val="231F20"/>
          <w:spacing w:val="-10"/>
          <w:sz w:val="19"/>
        </w:rPr>
        <w:t> </w:t>
      </w:r>
      <w:r>
        <w:rPr>
          <w:color w:val="231F20"/>
          <w:sz w:val="19"/>
        </w:rPr>
        <w:t>RAPD</w:t>
      </w:r>
      <w:r>
        <w:rPr>
          <w:color w:val="231F20"/>
          <w:spacing w:val="-10"/>
          <w:sz w:val="19"/>
        </w:rPr>
        <w:t> </w:t>
      </w:r>
      <w:r>
        <w:rPr>
          <w:color w:val="231F20"/>
          <w:sz w:val="19"/>
        </w:rPr>
        <w:t>analysis</w:t>
      </w:r>
      <w:r>
        <w:rPr>
          <w:color w:val="231F20"/>
          <w:spacing w:val="-10"/>
          <w:sz w:val="19"/>
        </w:rPr>
        <w:t> </w:t>
      </w:r>
      <w:r>
        <w:rPr>
          <w:color w:val="231F20"/>
          <w:sz w:val="19"/>
        </w:rPr>
        <w:t>of</w:t>
      </w:r>
      <w:r>
        <w:rPr>
          <w:color w:val="231F20"/>
          <w:spacing w:val="-10"/>
          <w:sz w:val="19"/>
        </w:rPr>
        <w:t> </w:t>
      </w:r>
      <w:r>
        <w:rPr>
          <w:color w:val="231F20"/>
          <w:sz w:val="19"/>
        </w:rPr>
        <w:t>callus regenerated and seed grown plants of Maize (Zea mays L.). Revista Bras Milh Sorgo</w:t>
      </w:r>
      <w:r>
        <w:rPr>
          <w:color w:val="231F20"/>
          <w:spacing w:val="-4"/>
          <w:sz w:val="19"/>
        </w:rPr>
        <w:t> </w:t>
      </w:r>
      <w:r>
        <w:rPr>
          <w:color w:val="231F20"/>
          <w:sz w:val="19"/>
        </w:rPr>
        <w:t>7(2):93-104.</w:t>
      </w:r>
    </w:p>
    <w:p>
      <w:pPr>
        <w:spacing w:after="0" w:line="273" w:lineRule="auto"/>
        <w:jc w:val="left"/>
        <w:rPr>
          <w:sz w:val="19"/>
        </w:rPr>
        <w:sectPr>
          <w:pgSz w:w="10920" w:h="13080"/>
          <w:pgMar w:header="0" w:footer="965" w:top="420" w:bottom="1220" w:left="0" w:right="0"/>
        </w:sectPr>
      </w:pPr>
    </w:p>
    <w:p>
      <w:pPr>
        <w:pStyle w:val="BodyText"/>
        <w:rPr>
          <w:sz w:val="20"/>
        </w:rPr>
      </w:pPr>
    </w:p>
    <w:p>
      <w:pPr>
        <w:pStyle w:val="BodyText"/>
        <w:rPr>
          <w:sz w:val="20"/>
        </w:rPr>
      </w:pPr>
    </w:p>
    <w:p>
      <w:pPr>
        <w:pStyle w:val="BodyText"/>
        <w:spacing w:before="6"/>
        <w:rPr>
          <w:sz w:val="23"/>
        </w:rPr>
      </w:pPr>
    </w:p>
    <w:p>
      <w:pPr>
        <w:spacing w:line="247" w:lineRule="auto" w:before="69"/>
        <w:ind w:left="1747" w:right="1745" w:firstLine="0"/>
        <w:jc w:val="center"/>
        <w:rPr>
          <w:rFonts w:ascii="Trebuchet MS" w:hAnsi="Trebuchet MS"/>
          <w:i/>
          <w:sz w:val="14"/>
        </w:rPr>
      </w:pPr>
      <w:r>
        <w:rPr>
          <w:rFonts w:ascii="Trebuchet MS" w:hAnsi="Trebuchet MS"/>
          <w:i/>
          <w:color w:val="010202"/>
          <w:sz w:val="24"/>
        </w:rPr>
        <w:t>Patricio Apáez Barrios</w:t>
      </w:r>
      <w:r>
        <w:rPr>
          <w:rFonts w:ascii="Trebuchet MS" w:hAnsi="Trebuchet MS"/>
          <w:i/>
          <w:color w:val="010202"/>
          <w:position w:val="8"/>
          <w:sz w:val="14"/>
        </w:rPr>
        <w:t>1</w:t>
      </w:r>
      <w:r>
        <w:rPr>
          <w:rFonts w:ascii="Trebuchet MS" w:hAnsi="Trebuchet MS"/>
          <w:i/>
          <w:color w:val="010202"/>
          <w:sz w:val="24"/>
        </w:rPr>
        <w:t>; José Alberto Salvador Escalante Estrada</w:t>
      </w:r>
      <w:r>
        <w:rPr>
          <w:rFonts w:ascii="Trebuchet MS" w:hAnsi="Trebuchet MS"/>
          <w:i/>
          <w:color w:val="010202"/>
          <w:position w:val="8"/>
          <w:sz w:val="14"/>
        </w:rPr>
        <w:t>1</w:t>
      </w:r>
      <w:r>
        <w:rPr>
          <w:rFonts w:ascii="Trebuchet MS" w:hAnsi="Trebuchet MS"/>
          <w:i/>
          <w:color w:val="010202"/>
          <w:sz w:val="24"/>
        </w:rPr>
        <w:t>; </w:t>
      </w:r>
      <w:r>
        <w:rPr>
          <w:rFonts w:ascii="Trebuchet MS" w:hAnsi="Trebuchet MS"/>
          <w:i/>
          <w:color w:val="010202"/>
          <w:sz w:val="24"/>
        </w:rPr>
        <w:t>María Teresa Rodríguez González</w:t>
      </w:r>
      <w:r>
        <w:rPr>
          <w:rFonts w:ascii="Trebuchet MS" w:hAnsi="Trebuchet MS"/>
          <w:i/>
          <w:color w:val="010202"/>
          <w:position w:val="8"/>
          <w:sz w:val="14"/>
        </w:rPr>
        <w:t>1 </w:t>
      </w:r>
      <w:r>
        <w:rPr>
          <w:rFonts w:ascii="Trebuchet MS" w:hAnsi="Trebuchet MS"/>
          <w:i/>
          <w:color w:val="010202"/>
          <w:sz w:val="24"/>
        </w:rPr>
        <w:t>y Maricela Apáez Barrios</w:t>
      </w:r>
      <w:r>
        <w:rPr>
          <w:rFonts w:ascii="Trebuchet MS" w:hAnsi="Trebuchet MS"/>
          <w:i/>
          <w:color w:val="010202"/>
          <w:position w:val="8"/>
          <w:sz w:val="14"/>
        </w:rPr>
        <w:t>1</w:t>
      </w:r>
    </w:p>
    <w:p>
      <w:pPr>
        <w:pStyle w:val="BodyText"/>
        <w:rPr>
          <w:rFonts w:ascii="Trebuchet MS"/>
          <w:i/>
          <w:sz w:val="24"/>
        </w:rPr>
      </w:pPr>
    </w:p>
    <w:p>
      <w:pPr>
        <w:pStyle w:val="BodyText"/>
        <w:rPr>
          <w:rFonts w:ascii="Trebuchet MS"/>
          <w:i/>
          <w:sz w:val="24"/>
        </w:rPr>
      </w:pPr>
    </w:p>
    <w:p>
      <w:pPr>
        <w:pStyle w:val="BodyText"/>
        <w:spacing w:before="2"/>
        <w:rPr>
          <w:rFonts w:ascii="Trebuchet MS"/>
          <w:i/>
          <w:sz w:val="29"/>
        </w:rPr>
      </w:pPr>
    </w:p>
    <w:p>
      <w:pPr>
        <w:spacing w:before="0"/>
        <w:ind w:left="1489" w:right="1489" w:firstLine="0"/>
        <w:jc w:val="center"/>
        <w:rPr>
          <w:rFonts w:ascii="Trebuchet MS" w:hAnsi="Trebuchet MS"/>
          <w:b/>
          <w:sz w:val="36"/>
        </w:rPr>
      </w:pPr>
      <w:r>
        <w:rPr>
          <w:rFonts w:ascii="Trebuchet MS" w:hAnsi="Trebuchet MS"/>
          <w:b/>
          <w:color w:val="010202"/>
          <w:sz w:val="36"/>
        </w:rPr>
        <w:t>PRODUCCIÓN DE FRIJOL CHINO</w:t>
      </w:r>
    </w:p>
    <w:p>
      <w:pPr>
        <w:spacing w:line="247" w:lineRule="auto" w:before="14"/>
        <w:ind w:left="2021" w:right="2021" w:firstLine="0"/>
        <w:jc w:val="center"/>
        <w:rPr>
          <w:rFonts w:ascii="Trebuchet MS"/>
          <w:b/>
          <w:sz w:val="36"/>
        </w:rPr>
      </w:pPr>
      <w:r>
        <w:rPr>
          <w:rFonts w:ascii="Trebuchet MS"/>
          <w:b/>
          <w:color w:val="010202"/>
          <w:spacing w:val="-3"/>
          <w:sz w:val="36"/>
        </w:rPr>
        <w:t>(</w:t>
      </w:r>
      <w:r>
        <w:rPr>
          <w:rFonts w:ascii="Trebuchet MS"/>
          <w:b/>
          <w:i/>
          <w:color w:val="010202"/>
          <w:spacing w:val="-3"/>
          <w:sz w:val="36"/>
        </w:rPr>
        <w:t>Vigna </w:t>
      </w:r>
      <w:r>
        <w:rPr>
          <w:rFonts w:ascii="Trebuchet MS"/>
          <w:b/>
          <w:i/>
          <w:color w:val="010202"/>
          <w:sz w:val="36"/>
        </w:rPr>
        <w:t>unguiculata </w:t>
      </w:r>
      <w:r>
        <w:rPr>
          <w:rFonts w:ascii="Trebuchet MS"/>
          <w:b/>
          <w:color w:val="010202"/>
          <w:sz w:val="36"/>
        </w:rPr>
        <w:t>(L.) </w:t>
      </w:r>
      <w:r>
        <w:rPr>
          <w:rFonts w:ascii="Trebuchet MS"/>
          <w:b/>
          <w:color w:val="010202"/>
          <w:spacing w:val="-3"/>
          <w:sz w:val="36"/>
        </w:rPr>
        <w:t>Walp) </w:t>
      </w:r>
      <w:r>
        <w:rPr>
          <w:rFonts w:ascii="Trebuchet MS"/>
          <w:b/>
          <w:color w:val="010202"/>
          <w:sz w:val="36"/>
        </w:rPr>
        <w:t>Y FECHAS DE SIEMBRA EN CLIMA</w:t>
      </w:r>
      <w:r>
        <w:rPr>
          <w:rFonts w:ascii="Trebuchet MS"/>
          <w:b/>
          <w:color w:val="010202"/>
          <w:spacing w:val="-55"/>
          <w:sz w:val="36"/>
        </w:rPr>
        <w:t> </w:t>
      </w:r>
      <w:r>
        <w:rPr>
          <w:rFonts w:ascii="Trebuchet MS"/>
          <w:b/>
          <w:color w:val="010202"/>
          <w:sz w:val="36"/>
        </w:rPr>
        <w:t>TEMPLADO</w:t>
      </w:r>
    </w:p>
    <w:p>
      <w:pPr>
        <w:pStyle w:val="BodyText"/>
        <w:rPr>
          <w:rFonts w:ascii="Trebuchet MS"/>
          <w:b/>
          <w:sz w:val="36"/>
        </w:rPr>
      </w:pPr>
    </w:p>
    <w:p>
      <w:pPr>
        <w:pStyle w:val="BodyText"/>
        <w:spacing w:before="7"/>
        <w:rPr>
          <w:rFonts w:ascii="Trebuchet MS"/>
          <w:b/>
          <w:sz w:val="42"/>
        </w:rPr>
      </w:pPr>
    </w:p>
    <w:p>
      <w:pPr>
        <w:pStyle w:val="Heading3"/>
      </w:pPr>
      <w:r>
        <w:rPr>
          <w:color w:val="010202"/>
        </w:rPr>
        <w:t>Introducción</w:t>
      </w:r>
    </w:p>
    <w:p>
      <w:pPr>
        <w:pStyle w:val="BodyText"/>
        <w:spacing w:before="10"/>
        <w:rPr>
          <w:b/>
        </w:rPr>
      </w:pPr>
    </w:p>
    <w:p>
      <w:pPr>
        <w:pStyle w:val="BodyText"/>
        <w:spacing w:line="247" w:lineRule="auto"/>
        <w:ind w:left="1270" w:right="1267"/>
        <w:jc w:val="both"/>
      </w:pPr>
      <w:r>
        <w:rPr>
          <w:color w:val="231F20"/>
        </w:rPr>
        <w:t>Las</w:t>
      </w:r>
      <w:r>
        <w:rPr>
          <w:color w:val="231F20"/>
          <w:spacing w:val="-19"/>
        </w:rPr>
        <w:t> </w:t>
      </w:r>
      <w:r>
        <w:rPr>
          <w:color w:val="231F20"/>
        </w:rPr>
        <w:t>leguninosas</w:t>
      </w:r>
      <w:r>
        <w:rPr>
          <w:color w:val="231F20"/>
          <w:spacing w:val="-19"/>
        </w:rPr>
        <w:t> </w:t>
      </w:r>
      <w:r>
        <w:rPr>
          <w:color w:val="231F20"/>
        </w:rPr>
        <w:t>son</w:t>
      </w:r>
      <w:r>
        <w:rPr>
          <w:color w:val="231F20"/>
          <w:spacing w:val="-19"/>
        </w:rPr>
        <w:t> </w:t>
      </w:r>
      <w:r>
        <w:rPr>
          <w:color w:val="231F20"/>
        </w:rPr>
        <w:t>la</w:t>
      </w:r>
      <w:r>
        <w:rPr>
          <w:color w:val="231F20"/>
          <w:spacing w:val="-19"/>
        </w:rPr>
        <w:t> </w:t>
      </w:r>
      <w:r>
        <w:rPr>
          <w:color w:val="231F20"/>
        </w:rPr>
        <w:t>tercer</w:t>
      </w:r>
      <w:r>
        <w:rPr>
          <w:color w:val="231F20"/>
          <w:spacing w:val="-19"/>
        </w:rPr>
        <w:t> </w:t>
      </w:r>
      <w:r>
        <w:rPr>
          <w:color w:val="231F20"/>
        </w:rPr>
        <w:t>familia</w:t>
      </w:r>
      <w:r>
        <w:rPr>
          <w:color w:val="231F20"/>
          <w:spacing w:val="-19"/>
        </w:rPr>
        <w:t> </w:t>
      </w:r>
      <w:r>
        <w:rPr>
          <w:color w:val="231F20"/>
        </w:rPr>
        <w:t>más</w:t>
      </w:r>
      <w:r>
        <w:rPr>
          <w:color w:val="231F20"/>
          <w:spacing w:val="-19"/>
        </w:rPr>
        <w:t> </w:t>
      </w:r>
      <w:r>
        <w:rPr>
          <w:color w:val="231F20"/>
        </w:rPr>
        <w:t>importante</w:t>
      </w:r>
      <w:r>
        <w:rPr>
          <w:color w:val="231F20"/>
          <w:spacing w:val="-19"/>
        </w:rPr>
        <w:t> </w:t>
      </w:r>
      <w:r>
        <w:rPr>
          <w:color w:val="231F20"/>
        </w:rPr>
        <w:t>del</w:t>
      </w:r>
      <w:r>
        <w:rPr>
          <w:color w:val="231F20"/>
          <w:spacing w:val="-19"/>
        </w:rPr>
        <w:t> </w:t>
      </w:r>
      <w:r>
        <w:rPr>
          <w:color w:val="231F20"/>
        </w:rPr>
        <w:t>reino</w:t>
      </w:r>
      <w:r>
        <w:rPr>
          <w:color w:val="231F20"/>
          <w:spacing w:val="-19"/>
        </w:rPr>
        <w:t> </w:t>
      </w:r>
      <w:r>
        <w:rPr>
          <w:color w:val="231F20"/>
        </w:rPr>
        <w:t>vegetal,</w:t>
      </w:r>
      <w:r>
        <w:rPr>
          <w:color w:val="231F20"/>
          <w:spacing w:val="-19"/>
        </w:rPr>
        <w:t> </w:t>
      </w:r>
      <w:r>
        <w:rPr>
          <w:color w:val="231F20"/>
        </w:rPr>
        <w:t>con</w:t>
      </w:r>
      <w:r>
        <w:rPr>
          <w:color w:val="231F20"/>
          <w:spacing w:val="-19"/>
        </w:rPr>
        <w:t> </w:t>
      </w:r>
      <w:r>
        <w:rPr>
          <w:color w:val="231F20"/>
        </w:rPr>
        <w:t>650</w:t>
      </w:r>
      <w:r>
        <w:rPr>
          <w:color w:val="231F20"/>
          <w:spacing w:val="-19"/>
        </w:rPr>
        <w:t> </w:t>
      </w:r>
      <w:r>
        <w:rPr>
          <w:color w:val="231F20"/>
        </w:rPr>
        <w:t>géneros</w:t>
      </w:r>
      <w:r>
        <w:rPr>
          <w:color w:val="231F20"/>
          <w:spacing w:val="-19"/>
        </w:rPr>
        <w:t> </w:t>
      </w:r>
      <w:r>
        <w:rPr>
          <w:color w:val="231F20"/>
        </w:rPr>
        <w:t>y</w:t>
      </w:r>
      <w:r>
        <w:rPr>
          <w:color w:val="231F20"/>
          <w:spacing w:val="-19"/>
        </w:rPr>
        <w:t> </w:t>
      </w:r>
      <w:r>
        <w:rPr>
          <w:color w:val="231F20"/>
        </w:rPr>
        <w:t>18,000</w:t>
      </w:r>
      <w:r>
        <w:rPr>
          <w:color w:val="231F20"/>
          <w:spacing w:val="-19"/>
        </w:rPr>
        <w:t> </w:t>
      </w:r>
      <w:r>
        <w:rPr>
          <w:color w:val="231F20"/>
        </w:rPr>
        <w:t>espe- cies,</w:t>
      </w:r>
      <w:r>
        <w:rPr>
          <w:color w:val="231F20"/>
          <w:spacing w:val="-14"/>
        </w:rPr>
        <w:t> </w:t>
      </w:r>
      <w:r>
        <w:rPr>
          <w:color w:val="231F20"/>
        </w:rPr>
        <w:t>sin</w:t>
      </w:r>
      <w:r>
        <w:rPr>
          <w:color w:val="231F20"/>
          <w:spacing w:val="-14"/>
        </w:rPr>
        <w:t> </w:t>
      </w:r>
      <w:r>
        <w:rPr>
          <w:color w:val="231F20"/>
        </w:rPr>
        <w:t>embargo,</w:t>
      </w:r>
      <w:r>
        <w:rPr>
          <w:color w:val="231F20"/>
          <w:spacing w:val="-14"/>
        </w:rPr>
        <w:t> </w:t>
      </w:r>
      <w:r>
        <w:rPr>
          <w:color w:val="231F20"/>
        </w:rPr>
        <w:t>solamente</w:t>
      </w:r>
      <w:r>
        <w:rPr>
          <w:color w:val="231F20"/>
          <w:spacing w:val="-14"/>
        </w:rPr>
        <w:t> </w:t>
      </w:r>
      <w:r>
        <w:rPr>
          <w:color w:val="231F20"/>
        </w:rPr>
        <w:t>se</w:t>
      </w:r>
      <w:r>
        <w:rPr>
          <w:color w:val="231F20"/>
          <w:spacing w:val="-14"/>
        </w:rPr>
        <w:t> </w:t>
      </w:r>
      <w:r>
        <w:rPr>
          <w:color w:val="231F20"/>
        </w:rPr>
        <w:t>utilizan</w:t>
      </w:r>
      <w:r>
        <w:rPr>
          <w:color w:val="231F20"/>
          <w:spacing w:val="-14"/>
        </w:rPr>
        <w:t> </w:t>
      </w:r>
      <w:r>
        <w:rPr>
          <w:color w:val="231F20"/>
        </w:rPr>
        <w:t>alrededor</w:t>
      </w:r>
      <w:r>
        <w:rPr>
          <w:color w:val="231F20"/>
          <w:spacing w:val="-14"/>
        </w:rPr>
        <w:t> </w:t>
      </w:r>
      <w:r>
        <w:rPr>
          <w:color w:val="231F20"/>
        </w:rPr>
        <w:t>de</w:t>
      </w:r>
      <w:r>
        <w:rPr>
          <w:color w:val="231F20"/>
          <w:spacing w:val="-14"/>
        </w:rPr>
        <w:t> </w:t>
      </w:r>
      <w:r>
        <w:rPr>
          <w:color w:val="231F20"/>
        </w:rPr>
        <w:t>20</w:t>
      </w:r>
      <w:r>
        <w:rPr>
          <w:color w:val="231F20"/>
          <w:spacing w:val="-14"/>
        </w:rPr>
        <w:t> </w:t>
      </w:r>
      <w:r>
        <w:rPr>
          <w:color w:val="231F20"/>
        </w:rPr>
        <w:t>de</w:t>
      </w:r>
      <w:r>
        <w:rPr>
          <w:color w:val="231F20"/>
          <w:spacing w:val="-14"/>
        </w:rPr>
        <w:t> </w:t>
      </w:r>
      <w:r>
        <w:rPr>
          <w:color w:val="231F20"/>
        </w:rPr>
        <w:t>manera</w:t>
      </w:r>
      <w:r>
        <w:rPr>
          <w:color w:val="231F20"/>
          <w:spacing w:val="-14"/>
        </w:rPr>
        <w:t> </w:t>
      </w:r>
      <w:r>
        <w:rPr>
          <w:color w:val="231F20"/>
        </w:rPr>
        <w:t>regular</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alimentación</w:t>
      </w:r>
      <w:r>
        <w:rPr>
          <w:color w:val="231F20"/>
          <w:spacing w:val="-14"/>
        </w:rPr>
        <w:t> </w:t>
      </w:r>
      <w:r>
        <w:rPr>
          <w:color w:val="231F20"/>
          <w:spacing w:val="-2"/>
        </w:rPr>
        <w:t>humana </w:t>
      </w:r>
      <w:r>
        <w:rPr>
          <w:color w:val="231F20"/>
        </w:rPr>
        <w:t>y</w:t>
      </w:r>
      <w:r>
        <w:rPr>
          <w:color w:val="231F20"/>
          <w:spacing w:val="-15"/>
        </w:rPr>
        <w:t> </w:t>
      </w:r>
      <w:r>
        <w:rPr>
          <w:color w:val="231F20"/>
        </w:rPr>
        <w:t>animal.</w:t>
      </w:r>
      <w:r>
        <w:rPr>
          <w:color w:val="231F20"/>
          <w:spacing w:val="-15"/>
        </w:rPr>
        <w:t> </w:t>
      </w:r>
      <w:r>
        <w:rPr>
          <w:color w:val="231F20"/>
        </w:rPr>
        <w:t>Esta</w:t>
      </w:r>
      <w:r>
        <w:rPr>
          <w:color w:val="231F20"/>
          <w:spacing w:val="-15"/>
        </w:rPr>
        <w:t> </w:t>
      </w:r>
      <w:r>
        <w:rPr>
          <w:color w:val="231F20"/>
        </w:rPr>
        <w:t>especie</w:t>
      </w:r>
      <w:r>
        <w:rPr>
          <w:color w:val="231F20"/>
          <w:spacing w:val="-15"/>
        </w:rPr>
        <w:t> </w:t>
      </w:r>
      <w:r>
        <w:rPr>
          <w:color w:val="231F20"/>
        </w:rPr>
        <w:t>se</w:t>
      </w:r>
      <w:r>
        <w:rPr>
          <w:color w:val="231F20"/>
          <w:spacing w:val="-15"/>
        </w:rPr>
        <w:t> </w:t>
      </w:r>
      <w:r>
        <w:rPr>
          <w:color w:val="231F20"/>
        </w:rPr>
        <w:t>caracteriza</w:t>
      </w:r>
      <w:r>
        <w:rPr>
          <w:color w:val="231F20"/>
          <w:spacing w:val="-15"/>
        </w:rPr>
        <w:t> </w:t>
      </w:r>
      <w:r>
        <w:rPr>
          <w:color w:val="231F20"/>
        </w:rPr>
        <w:t>por</w:t>
      </w:r>
      <w:r>
        <w:rPr>
          <w:color w:val="231F20"/>
          <w:spacing w:val="-15"/>
        </w:rPr>
        <w:t> </w:t>
      </w:r>
      <w:r>
        <w:rPr>
          <w:color w:val="231F20"/>
        </w:rPr>
        <w:t>presentar</w:t>
      </w:r>
      <w:r>
        <w:rPr>
          <w:color w:val="231F20"/>
          <w:spacing w:val="-15"/>
        </w:rPr>
        <w:t> </w:t>
      </w:r>
      <w:r>
        <w:rPr>
          <w:color w:val="231F20"/>
        </w:rPr>
        <w:t>alto</w:t>
      </w:r>
      <w:r>
        <w:rPr>
          <w:color w:val="231F20"/>
          <w:spacing w:val="-15"/>
        </w:rPr>
        <w:t> </w:t>
      </w:r>
      <w:r>
        <w:rPr>
          <w:color w:val="231F20"/>
        </w:rPr>
        <w:t>contenido</w:t>
      </w:r>
      <w:r>
        <w:rPr>
          <w:color w:val="231F20"/>
          <w:spacing w:val="-15"/>
        </w:rPr>
        <w:t> </w:t>
      </w:r>
      <w:r>
        <w:rPr>
          <w:color w:val="231F20"/>
        </w:rPr>
        <w:t>de</w:t>
      </w:r>
      <w:r>
        <w:rPr>
          <w:color w:val="231F20"/>
          <w:spacing w:val="-15"/>
        </w:rPr>
        <w:t> </w:t>
      </w:r>
      <w:r>
        <w:rPr>
          <w:color w:val="231F20"/>
        </w:rPr>
        <w:t>proteina</w:t>
      </w:r>
      <w:r>
        <w:rPr>
          <w:color w:val="231F20"/>
          <w:spacing w:val="-15"/>
        </w:rPr>
        <w:t> </w:t>
      </w:r>
      <w:r>
        <w:rPr>
          <w:color w:val="231F20"/>
        </w:rPr>
        <w:t>(17</w:t>
      </w:r>
      <w:r>
        <w:rPr>
          <w:color w:val="231F20"/>
          <w:spacing w:val="-15"/>
        </w:rPr>
        <w:t> </w:t>
      </w:r>
      <w:r>
        <w:rPr>
          <w:color w:val="231F20"/>
        </w:rPr>
        <w:t>-</w:t>
      </w:r>
      <w:r>
        <w:rPr>
          <w:color w:val="231F20"/>
          <w:spacing w:val="-15"/>
        </w:rPr>
        <w:t> </w:t>
      </w:r>
      <w:r>
        <w:rPr>
          <w:color w:val="231F20"/>
        </w:rPr>
        <w:t>40</w:t>
      </w:r>
      <w:r>
        <w:rPr>
          <w:color w:val="231F20"/>
          <w:spacing w:val="-15"/>
        </w:rPr>
        <w:t> </w:t>
      </w:r>
      <w:r>
        <w:rPr>
          <w:color w:val="231F20"/>
        </w:rPr>
        <w:t>%).</w:t>
      </w:r>
      <w:r>
        <w:rPr>
          <w:color w:val="231F20"/>
          <w:spacing w:val="-15"/>
        </w:rPr>
        <w:t> </w:t>
      </w:r>
      <w:r>
        <w:rPr>
          <w:color w:val="231F20"/>
        </w:rPr>
        <w:t>El</w:t>
      </w:r>
      <w:r>
        <w:rPr>
          <w:color w:val="231F20"/>
          <w:spacing w:val="-15"/>
        </w:rPr>
        <w:t> </w:t>
      </w:r>
      <w:r>
        <w:rPr>
          <w:color w:val="231F20"/>
        </w:rPr>
        <w:t>frijol</w:t>
      </w:r>
      <w:r>
        <w:rPr>
          <w:color w:val="231F20"/>
          <w:spacing w:val="-15"/>
        </w:rPr>
        <w:t> </w:t>
      </w:r>
      <w:r>
        <w:rPr>
          <w:color w:val="231F20"/>
        </w:rPr>
        <w:t>chi- no</w:t>
      </w:r>
      <w:r>
        <w:rPr>
          <w:color w:val="231F20"/>
          <w:spacing w:val="-11"/>
        </w:rPr>
        <w:t> </w:t>
      </w:r>
      <w:r>
        <w:rPr>
          <w:color w:val="231F20"/>
          <w:spacing w:val="-4"/>
        </w:rPr>
        <w:t>(</w:t>
      </w:r>
      <w:r>
        <w:rPr>
          <w:i/>
          <w:color w:val="231F20"/>
          <w:spacing w:val="-4"/>
        </w:rPr>
        <w:t>Vigna</w:t>
      </w:r>
      <w:r>
        <w:rPr>
          <w:i/>
          <w:color w:val="231F20"/>
          <w:spacing w:val="-11"/>
        </w:rPr>
        <w:t> </w:t>
      </w:r>
      <w:r>
        <w:rPr>
          <w:i/>
          <w:color w:val="231F20"/>
        </w:rPr>
        <w:t>unguiculata</w:t>
      </w:r>
      <w:r>
        <w:rPr>
          <w:i/>
          <w:color w:val="231F20"/>
          <w:spacing w:val="-11"/>
        </w:rPr>
        <w:t> </w:t>
      </w:r>
      <w:r>
        <w:rPr>
          <w:color w:val="231F20"/>
        </w:rPr>
        <w:t>(L.)</w:t>
      </w:r>
      <w:r>
        <w:rPr>
          <w:color w:val="231F20"/>
          <w:spacing w:val="-15"/>
        </w:rPr>
        <w:t> </w:t>
      </w:r>
      <w:r>
        <w:rPr>
          <w:color w:val="231F20"/>
          <w:spacing w:val="-4"/>
        </w:rPr>
        <w:t>Walp.),</w:t>
      </w:r>
      <w:r>
        <w:rPr>
          <w:color w:val="231F20"/>
          <w:spacing w:val="-11"/>
        </w:rPr>
        <w:t> </w:t>
      </w:r>
      <w:r>
        <w:rPr>
          <w:color w:val="231F20"/>
        </w:rPr>
        <w:t>después</w:t>
      </w:r>
      <w:r>
        <w:rPr>
          <w:color w:val="231F20"/>
          <w:spacing w:val="-11"/>
        </w:rPr>
        <w:t> </w:t>
      </w:r>
      <w:r>
        <w:rPr>
          <w:color w:val="231F20"/>
        </w:rPr>
        <w:t>del</w:t>
      </w:r>
      <w:r>
        <w:rPr>
          <w:color w:val="231F20"/>
          <w:spacing w:val="-11"/>
        </w:rPr>
        <w:t> </w:t>
      </w:r>
      <w:r>
        <w:rPr>
          <w:color w:val="231F20"/>
        </w:rPr>
        <w:t>frijol</w:t>
      </w:r>
      <w:r>
        <w:rPr>
          <w:color w:val="231F20"/>
          <w:spacing w:val="-11"/>
        </w:rPr>
        <w:t> </w:t>
      </w:r>
      <w:r>
        <w:rPr>
          <w:color w:val="231F20"/>
        </w:rPr>
        <w:t>común</w:t>
      </w:r>
      <w:r>
        <w:rPr>
          <w:color w:val="231F20"/>
          <w:spacing w:val="-11"/>
        </w:rPr>
        <w:t> </w:t>
      </w:r>
      <w:r>
        <w:rPr>
          <w:color w:val="231F20"/>
        </w:rPr>
        <w:t>(</w:t>
      </w:r>
      <w:r>
        <w:rPr>
          <w:i/>
          <w:color w:val="231F20"/>
        </w:rPr>
        <w:t>Phaseolus</w:t>
      </w:r>
      <w:r>
        <w:rPr>
          <w:i/>
          <w:color w:val="231F20"/>
          <w:spacing w:val="-11"/>
        </w:rPr>
        <w:t> </w:t>
      </w:r>
      <w:r>
        <w:rPr>
          <w:i/>
          <w:color w:val="231F20"/>
        </w:rPr>
        <w:t>vulgaris</w:t>
      </w:r>
      <w:r>
        <w:rPr>
          <w:i/>
          <w:color w:val="231F20"/>
          <w:spacing w:val="-11"/>
        </w:rPr>
        <w:t> </w:t>
      </w:r>
      <w:r>
        <w:rPr>
          <w:color w:val="231F20"/>
        </w:rPr>
        <w:t>L.)</w:t>
      </w:r>
      <w:r>
        <w:rPr>
          <w:color w:val="231F20"/>
          <w:spacing w:val="-11"/>
        </w:rPr>
        <w:t> </w:t>
      </w:r>
      <w:r>
        <w:rPr>
          <w:color w:val="231F20"/>
        </w:rPr>
        <w:t>es</w:t>
      </w:r>
      <w:r>
        <w:rPr>
          <w:color w:val="231F20"/>
          <w:spacing w:val="-11"/>
        </w:rPr>
        <w:t> </w:t>
      </w:r>
      <w:r>
        <w:rPr>
          <w:color w:val="231F20"/>
        </w:rPr>
        <w:t>la</w:t>
      </w:r>
      <w:r>
        <w:rPr>
          <w:color w:val="231F20"/>
          <w:spacing w:val="-11"/>
        </w:rPr>
        <w:t> </w:t>
      </w:r>
      <w:r>
        <w:rPr>
          <w:color w:val="231F20"/>
        </w:rPr>
        <w:t>leguminosa de mayor importancia destinada al consumo humano directo (Oporta y Rivas, 2006). Presenta rusti- cidad a condiciones adversas y prolongados periodos de sequía, además de versatilidad en sus usos; vainas y hojas se consumen como verdura, el grano en gran variedad de preparaciones. Además, el forraje</w:t>
      </w:r>
      <w:r>
        <w:rPr>
          <w:color w:val="231F20"/>
          <w:spacing w:val="-13"/>
        </w:rPr>
        <w:t> </w:t>
      </w:r>
      <w:r>
        <w:rPr>
          <w:color w:val="231F20"/>
        </w:rPr>
        <w:t>es</w:t>
      </w:r>
      <w:r>
        <w:rPr>
          <w:color w:val="231F20"/>
          <w:spacing w:val="-13"/>
        </w:rPr>
        <w:t> </w:t>
      </w:r>
      <w:r>
        <w:rPr>
          <w:color w:val="231F20"/>
        </w:rPr>
        <w:t>usado</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alimentación</w:t>
      </w:r>
      <w:r>
        <w:rPr>
          <w:color w:val="231F20"/>
          <w:spacing w:val="-13"/>
        </w:rPr>
        <w:t> </w:t>
      </w:r>
      <w:r>
        <w:rPr>
          <w:color w:val="231F20"/>
        </w:rPr>
        <w:t>del</w:t>
      </w:r>
      <w:r>
        <w:rPr>
          <w:color w:val="231F20"/>
          <w:spacing w:val="-13"/>
        </w:rPr>
        <w:t> </w:t>
      </w:r>
      <w:r>
        <w:rPr>
          <w:color w:val="231F20"/>
        </w:rPr>
        <w:t>ganado</w:t>
      </w:r>
      <w:r>
        <w:rPr>
          <w:color w:val="231F20"/>
          <w:spacing w:val="-13"/>
        </w:rPr>
        <w:t> </w:t>
      </w:r>
      <w:r>
        <w:rPr>
          <w:color w:val="231F20"/>
        </w:rPr>
        <w:t>vacuno.</w:t>
      </w:r>
      <w:r>
        <w:rPr>
          <w:color w:val="231F20"/>
          <w:spacing w:val="-13"/>
        </w:rPr>
        <w:t> </w:t>
      </w:r>
      <w:r>
        <w:rPr>
          <w:color w:val="231F20"/>
        </w:rPr>
        <w:t>En</w:t>
      </w:r>
      <w:r>
        <w:rPr>
          <w:color w:val="231F20"/>
          <w:spacing w:val="-13"/>
        </w:rPr>
        <w:t> </w:t>
      </w:r>
      <w:r>
        <w:rPr>
          <w:color w:val="231F20"/>
        </w:rPr>
        <w:t>relación</w:t>
      </w:r>
      <w:r>
        <w:rPr>
          <w:color w:val="231F20"/>
          <w:spacing w:val="-13"/>
        </w:rPr>
        <w:t> </w:t>
      </w:r>
      <w:r>
        <w:rPr>
          <w:color w:val="231F20"/>
        </w:rPr>
        <w:t>al</w:t>
      </w:r>
      <w:r>
        <w:rPr>
          <w:color w:val="231F20"/>
          <w:spacing w:val="-13"/>
        </w:rPr>
        <w:t> </w:t>
      </w:r>
      <w:r>
        <w:rPr>
          <w:color w:val="231F20"/>
        </w:rPr>
        <w:t>frijol</w:t>
      </w:r>
      <w:r>
        <w:rPr>
          <w:color w:val="231F20"/>
          <w:spacing w:val="-13"/>
        </w:rPr>
        <w:t> </w:t>
      </w:r>
      <w:r>
        <w:rPr>
          <w:color w:val="231F20"/>
        </w:rPr>
        <w:t>común</w:t>
      </w:r>
      <w:r>
        <w:rPr>
          <w:color w:val="231F20"/>
          <w:spacing w:val="-13"/>
        </w:rPr>
        <w:t> </w:t>
      </w:r>
      <w:r>
        <w:rPr>
          <w:color w:val="231F20"/>
        </w:rPr>
        <w:t>presenta</w:t>
      </w:r>
      <w:r>
        <w:rPr>
          <w:color w:val="231F20"/>
          <w:spacing w:val="-13"/>
        </w:rPr>
        <w:t> </w:t>
      </w:r>
      <w:r>
        <w:rPr>
          <w:color w:val="231F20"/>
        </w:rPr>
        <w:t>30</w:t>
      </w:r>
      <w:r>
        <w:rPr>
          <w:color w:val="231F20"/>
          <w:spacing w:val="-13"/>
        </w:rPr>
        <w:t> </w:t>
      </w:r>
      <w:r>
        <w:rPr>
          <w:color w:val="231F20"/>
        </w:rPr>
        <w:t>%</w:t>
      </w:r>
      <w:r>
        <w:rPr>
          <w:color w:val="231F20"/>
          <w:spacing w:val="-13"/>
        </w:rPr>
        <w:t> </w:t>
      </w:r>
      <w:r>
        <w:rPr>
          <w:color w:val="231F20"/>
        </w:rPr>
        <w:t>más de</w:t>
      </w:r>
      <w:r>
        <w:rPr>
          <w:color w:val="231F20"/>
          <w:spacing w:val="-13"/>
        </w:rPr>
        <w:t> </w:t>
      </w:r>
      <w:r>
        <w:rPr>
          <w:color w:val="231F20"/>
        </w:rPr>
        <w:t>proteína,</w:t>
      </w:r>
      <w:r>
        <w:rPr>
          <w:color w:val="231F20"/>
          <w:spacing w:val="-13"/>
        </w:rPr>
        <w:t> </w:t>
      </w:r>
      <w:r>
        <w:rPr>
          <w:color w:val="231F20"/>
        </w:rPr>
        <w:t>ácido</w:t>
      </w:r>
      <w:r>
        <w:rPr>
          <w:color w:val="231F20"/>
          <w:spacing w:val="-13"/>
        </w:rPr>
        <w:t> </w:t>
      </w:r>
      <w:r>
        <w:rPr>
          <w:color w:val="231F20"/>
        </w:rPr>
        <w:t>fólico</w:t>
      </w:r>
      <w:r>
        <w:rPr>
          <w:color w:val="231F20"/>
          <w:spacing w:val="-13"/>
        </w:rPr>
        <w:t> </w:t>
      </w:r>
      <w:r>
        <w:rPr>
          <w:color w:val="231F20"/>
        </w:rPr>
        <w:t>y</w:t>
      </w:r>
      <w:r>
        <w:rPr>
          <w:color w:val="231F20"/>
          <w:spacing w:val="-13"/>
        </w:rPr>
        <w:t> </w:t>
      </w:r>
      <w:r>
        <w:rPr>
          <w:color w:val="231F20"/>
        </w:rPr>
        <w:t>bajo</w:t>
      </w:r>
      <w:r>
        <w:rPr>
          <w:color w:val="231F20"/>
          <w:spacing w:val="-13"/>
        </w:rPr>
        <w:t> </w:t>
      </w:r>
      <w:r>
        <w:rPr>
          <w:color w:val="231F20"/>
        </w:rPr>
        <w:t>contenido</w:t>
      </w:r>
      <w:r>
        <w:rPr>
          <w:color w:val="231F20"/>
          <w:spacing w:val="-13"/>
        </w:rPr>
        <w:t> </w:t>
      </w:r>
      <w:r>
        <w:rPr>
          <w:color w:val="231F20"/>
        </w:rPr>
        <w:t>de</w:t>
      </w:r>
      <w:r>
        <w:rPr>
          <w:color w:val="231F20"/>
          <w:spacing w:val="-13"/>
        </w:rPr>
        <w:t> </w:t>
      </w:r>
      <w:r>
        <w:rPr>
          <w:color w:val="231F20"/>
        </w:rPr>
        <w:t>sustancias</w:t>
      </w:r>
      <w:r>
        <w:rPr>
          <w:color w:val="231F20"/>
          <w:spacing w:val="-13"/>
        </w:rPr>
        <w:t> </w:t>
      </w:r>
      <w:r>
        <w:rPr>
          <w:color w:val="231F20"/>
        </w:rPr>
        <w:t>causantes</w:t>
      </w:r>
      <w:r>
        <w:rPr>
          <w:color w:val="231F20"/>
          <w:spacing w:val="-13"/>
        </w:rPr>
        <w:t> </w:t>
      </w:r>
      <w:r>
        <w:rPr>
          <w:color w:val="231F20"/>
        </w:rPr>
        <w:t>de</w:t>
      </w:r>
      <w:r>
        <w:rPr>
          <w:color w:val="231F20"/>
          <w:spacing w:val="-13"/>
        </w:rPr>
        <w:t> </w:t>
      </w:r>
      <w:r>
        <w:rPr>
          <w:color w:val="231F20"/>
        </w:rPr>
        <w:t>flatulencias</w:t>
      </w:r>
      <w:r>
        <w:rPr>
          <w:color w:val="231F20"/>
          <w:spacing w:val="-13"/>
        </w:rPr>
        <w:t> </w:t>
      </w:r>
      <w:r>
        <w:rPr>
          <w:color w:val="231F20"/>
        </w:rPr>
        <w:t>(Davis</w:t>
      </w:r>
      <w:r>
        <w:rPr>
          <w:color w:val="231F20"/>
          <w:spacing w:val="-14"/>
        </w:rPr>
        <w:t> </w:t>
      </w:r>
      <w:r>
        <w:rPr>
          <w:i/>
          <w:color w:val="231F20"/>
        </w:rPr>
        <w:t>et</w:t>
      </w:r>
      <w:r>
        <w:rPr>
          <w:i/>
          <w:color w:val="231F20"/>
          <w:spacing w:val="-13"/>
        </w:rPr>
        <w:t> </w:t>
      </w:r>
      <w:r>
        <w:rPr>
          <w:i/>
          <w:color w:val="231F20"/>
        </w:rPr>
        <w:t>al.</w:t>
      </w:r>
      <w:r>
        <w:rPr>
          <w:color w:val="231F20"/>
        </w:rPr>
        <w:t>,</w:t>
      </w:r>
      <w:r>
        <w:rPr>
          <w:color w:val="231F20"/>
          <w:spacing w:val="-13"/>
        </w:rPr>
        <w:t> </w:t>
      </w:r>
      <w:r>
        <w:rPr>
          <w:color w:val="231F20"/>
          <w:spacing w:val="-2"/>
        </w:rPr>
        <w:t>1991).</w:t>
      </w:r>
    </w:p>
    <w:p>
      <w:pPr>
        <w:pStyle w:val="BodyText"/>
        <w:spacing w:before="10"/>
      </w:pPr>
    </w:p>
    <w:p>
      <w:pPr>
        <w:pStyle w:val="BodyText"/>
        <w:spacing w:line="247" w:lineRule="auto"/>
        <w:ind w:left="1270" w:right="1266"/>
        <w:jc w:val="both"/>
      </w:pPr>
      <w:r>
        <w:rPr>
          <w:color w:val="231F20"/>
          <w:spacing w:val="-4"/>
        </w:rPr>
        <w:t>Los</w:t>
      </w:r>
      <w:r>
        <w:rPr>
          <w:color w:val="231F20"/>
          <w:spacing w:val="-16"/>
        </w:rPr>
        <w:t> </w:t>
      </w:r>
      <w:r>
        <w:rPr>
          <w:color w:val="231F20"/>
          <w:spacing w:val="-6"/>
        </w:rPr>
        <w:t>genotipos</w:t>
      </w:r>
      <w:r>
        <w:rPr>
          <w:color w:val="231F20"/>
          <w:spacing w:val="-16"/>
        </w:rPr>
        <w:t> </w:t>
      </w:r>
      <w:r>
        <w:rPr>
          <w:color w:val="231F20"/>
          <w:spacing w:val="-3"/>
        </w:rPr>
        <w:t>de</w:t>
      </w:r>
      <w:r>
        <w:rPr>
          <w:color w:val="231F20"/>
          <w:spacing w:val="-16"/>
        </w:rPr>
        <w:t> </w:t>
      </w:r>
      <w:r>
        <w:rPr>
          <w:color w:val="231F20"/>
          <w:spacing w:val="-6"/>
        </w:rPr>
        <w:t>crecimiento</w:t>
      </w:r>
      <w:r>
        <w:rPr>
          <w:color w:val="231F20"/>
          <w:spacing w:val="-16"/>
        </w:rPr>
        <w:t> </w:t>
      </w:r>
      <w:r>
        <w:rPr>
          <w:color w:val="231F20"/>
          <w:spacing w:val="-6"/>
        </w:rPr>
        <w:t>indeterminado</w:t>
      </w:r>
      <w:r>
        <w:rPr>
          <w:color w:val="231F20"/>
          <w:spacing w:val="-16"/>
        </w:rPr>
        <w:t> </w:t>
      </w:r>
      <w:r>
        <w:rPr>
          <w:color w:val="231F20"/>
          <w:spacing w:val="-6"/>
        </w:rPr>
        <w:t>comúnmente</w:t>
      </w:r>
      <w:r>
        <w:rPr>
          <w:color w:val="231F20"/>
          <w:spacing w:val="-16"/>
        </w:rPr>
        <w:t> </w:t>
      </w:r>
      <w:r>
        <w:rPr>
          <w:color w:val="231F20"/>
          <w:spacing w:val="-3"/>
        </w:rPr>
        <w:t>se</w:t>
      </w:r>
      <w:r>
        <w:rPr>
          <w:color w:val="231F20"/>
          <w:spacing w:val="-16"/>
        </w:rPr>
        <w:t> </w:t>
      </w:r>
      <w:r>
        <w:rPr>
          <w:color w:val="231F20"/>
          <w:spacing w:val="-6"/>
        </w:rPr>
        <w:t>cultivan</w:t>
      </w:r>
      <w:r>
        <w:rPr>
          <w:color w:val="231F20"/>
          <w:spacing w:val="-16"/>
        </w:rPr>
        <w:t> </w:t>
      </w:r>
      <w:r>
        <w:rPr>
          <w:color w:val="231F20"/>
          <w:spacing w:val="-3"/>
        </w:rPr>
        <w:t>en</w:t>
      </w:r>
      <w:r>
        <w:rPr>
          <w:color w:val="231F20"/>
          <w:spacing w:val="-16"/>
        </w:rPr>
        <w:t> </w:t>
      </w:r>
      <w:r>
        <w:rPr>
          <w:color w:val="231F20"/>
          <w:spacing w:val="-6"/>
        </w:rPr>
        <w:t>espaldera</w:t>
      </w:r>
      <w:r>
        <w:rPr>
          <w:color w:val="231F20"/>
          <w:spacing w:val="-16"/>
        </w:rPr>
        <w:t> </w:t>
      </w:r>
      <w:r>
        <w:rPr>
          <w:color w:val="231F20"/>
          <w:spacing w:val="-6"/>
        </w:rPr>
        <w:t>convencional</w:t>
      </w:r>
      <w:r>
        <w:rPr>
          <w:color w:val="231F20"/>
          <w:spacing w:val="-16"/>
        </w:rPr>
        <w:t> </w:t>
      </w:r>
      <w:r>
        <w:rPr>
          <w:color w:val="231F20"/>
          <w:spacing w:val="-6"/>
        </w:rPr>
        <w:t>(postes</w:t>
      </w:r>
      <w:r>
        <w:rPr>
          <w:color w:val="231F20"/>
          <w:spacing w:val="-16"/>
        </w:rPr>
        <w:t> </w:t>
      </w:r>
      <w:r>
        <w:rPr>
          <w:color w:val="231F20"/>
          <w:spacing w:val="-6"/>
        </w:rPr>
        <w:t>de concreto</w:t>
      </w:r>
      <w:r>
        <w:rPr>
          <w:color w:val="231F20"/>
          <w:spacing w:val="-19"/>
        </w:rPr>
        <w:t> </w:t>
      </w:r>
      <w:r>
        <w:rPr>
          <w:color w:val="231F20"/>
        </w:rPr>
        <w:t>o</w:t>
      </w:r>
      <w:r>
        <w:rPr>
          <w:color w:val="231F20"/>
          <w:spacing w:val="-19"/>
        </w:rPr>
        <w:t> </w:t>
      </w:r>
      <w:r>
        <w:rPr>
          <w:color w:val="231F20"/>
          <w:spacing w:val="-5"/>
        </w:rPr>
        <w:t>madera</w:t>
      </w:r>
      <w:r>
        <w:rPr>
          <w:color w:val="231F20"/>
          <w:spacing w:val="-19"/>
        </w:rPr>
        <w:t> </w:t>
      </w:r>
      <w:r>
        <w:rPr>
          <w:color w:val="231F20"/>
        </w:rPr>
        <w:t>y</w:t>
      </w:r>
      <w:r>
        <w:rPr>
          <w:color w:val="231F20"/>
          <w:spacing w:val="-19"/>
        </w:rPr>
        <w:t> </w:t>
      </w:r>
      <w:r>
        <w:rPr>
          <w:color w:val="231F20"/>
          <w:spacing w:val="-5"/>
        </w:rPr>
        <w:t>malla</w:t>
      </w:r>
      <w:r>
        <w:rPr>
          <w:color w:val="231F20"/>
          <w:spacing w:val="-19"/>
        </w:rPr>
        <w:t> </w:t>
      </w:r>
      <w:r>
        <w:rPr>
          <w:color w:val="231F20"/>
          <w:spacing w:val="-6"/>
        </w:rPr>
        <w:t>plástica),</w:t>
      </w:r>
      <w:r>
        <w:rPr>
          <w:color w:val="231F20"/>
          <w:spacing w:val="-18"/>
        </w:rPr>
        <w:t> </w:t>
      </w:r>
      <w:r>
        <w:rPr>
          <w:color w:val="231F20"/>
          <w:spacing w:val="-3"/>
        </w:rPr>
        <w:t>lo</w:t>
      </w:r>
      <w:r>
        <w:rPr>
          <w:color w:val="231F20"/>
          <w:spacing w:val="-19"/>
        </w:rPr>
        <w:t> </w:t>
      </w:r>
      <w:r>
        <w:rPr>
          <w:color w:val="231F20"/>
          <w:spacing w:val="-4"/>
        </w:rPr>
        <w:t>que</w:t>
      </w:r>
      <w:r>
        <w:rPr>
          <w:color w:val="231F20"/>
          <w:spacing w:val="-19"/>
        </w:rPr>
        <w:t> </w:t>
      </w:r>
      <w:r>
        <w:rPr>
          <w:color w:val="231F20"/>
          <w:spacing w:val="-6"/>
        </w:rPr>
        <w:t>incrementa</w:t>
      </w:r>
      <w:r>
        <w:rPr>
          <w:color w:val="231F20"/>
          <w:spacing w:val="-19"/>
        </w:rPr>
        <w:t> </w:t>
      </w:r>
      <w:r>
        <w:rPr>
          <w:color w:val="231F20"/>
          <w:spacing w:val="-3"/>
        </w:rPr>
        <w:t>el</w:t>
      </w:r>
      <w:r>
        <w:rPr>
          <w:color w:val="231F20"/>
          <w:spacing w:val="-19"/>
        </w:rPr>
        <w:t> </w:t>
      </w:r>
      <w:r>
        <w:rPr>
          <w:color w:val="231F20"/>
          <w:spacing w:val="-5"/>
        </w:rPr>
        <w:t>costos</w:t>
      </w:r>
      <w:r>
        <w:rPr>
          <w:color w:val="231F20"/>
          <w:spacing w:val="-19"/>
        </w:rPr>
        <w:t> </w:t>
      </w:r>
      <w:r>
        <w:rPr>
          <w:color w:val="231F20"/>
          <w:spacing w:val="-3"/>
        </w:rPr>
        <w:t>de</w:t>
      </w:r>
      <w:r>
        <w:rPr>
          <w:color w:val="231F20"/>
          <w:spacing w:val="-19"/>
        </w:rPr>
        <w:t> </w:t>
      </w:r>
      <w:r>
        <w:rPr>
          <w:color w:val="231F20"/>
          <w:spacing w:val="-6"/>
        </w:rPr>
        <w:t>producción.</w:t>
      </w:r>
      <w:r>
        <w:rPr>
          <w:color w:val="231F20"/>
          <w:spacing w:val="-18"/>
        </w:rPr>
        <w:t> </w:t>
      </w:r>
      <w:r>
        <w:rPr>
          <w:color w:val="231F20"/>
          <w:spacing w:val="-3"/>
        </w:rPr>
        <w:t>Se</w:t>
      </w:r>
      <w:r>
        <w:rPr>
          <w:color w:val="231F20"/>
          <w:spacing w:val="-19"/>
        </w:rPr>
        <w:t> </w:t>
      </w:r>
      <w:r>
        <w:rPr>
          <w:color w:val="231F20"/>
          <w:spacing w:val="-3"/>
        </w:rPr>
        <w:t>ha</w:t>
      </w:r>
      <w:r>
        <w:rPr>
          <w:color w:val="231F20"/>
          <w:spacing w:val="-19"/>
        </w:rPr>
        <w:t> </w:t>
      </w:r>
      <w:r>
        <w:rPr>
          <w:color w:val="231F20"/>
          <w:spacing w:val="-6"/>
        </w:rPr>
        <w:t>demostrado</w:t>
      </w:r>
      <w:r>
        <w:rPr>
          <w:color w:val="231F20"/>
          <w:spacing w:val="-18"/>
        </w:rPr>
        <w:t> </w:t>
      </w:r>
      <w:r>
        <w:rPr>
          <w:color w:val="231F20"/>
          <w:spacing w:val="-6"/>
        </w:rPr>
        <w:t>aumentar </w:t>
      </w:r>
      <w:r>
        <w:rPr>
          <w:color w:val="231F20"/>
          <w:spacing w:val="-3"/>
        </w:rPr>
        <w:t>la </w:t>
      </w:r>
      <w:r>
        <w:rPr>
          <w:color w:val="231F20"/>
          <w:spacing w:val="-6"/>
        </w:rPr>
        <w:t>rentabilidad económica </w:t>
      </w:r>
      <w:r>
        <w:rPr>
          <w:color w:val="231F20"/>
          <w:spacing w:val="-5"/>
        </w:rPr>
        <w:t>cuando </w:t>
      </w:r>
      <w:r>
        <w:rPr>
          <w:color w:val="231F20"/>
          <w:spacing w:val="-3"/>
        </w:rPr>
        <w:t>se </w:t>
      </w:r>
      <w:r>
        <w:rPr>
          <w:color w:val="231F20"/>
          <w:spacing w:val="-6"/>
        </w:rPr>
        <w:t>cultiva </w:t>
      </w:r>
      <w:r>
        <w:rPr>
          <w:color w:val="231F20"/>
          <w:spacing w:val="-3"/>
        </w:rPr>
        <w:t>en </w:t>
      </w:r>
      <w:r>
        <w:rPr>
          <w:color w:val="231F20"/>
          <w:spacing w:val="-6"/>
        </w:rPr>
        <w:t>espaldera </w:t>
      </w:r>
      <w:r>
        <w:rPr>
          <w:color w:val="231F20"/>
          <w:spacing w:val="-3"/>
        </w:rPr>
        <w:t>de </w:t>
      </w:r>
      <w:r>
        <w:rPr>
          <w:color w:val="231F20"/>
          <w:spacing w:val="-5"/>
        </w:rPr>
        <w:t>maíz, </w:t>
      </w:r>
      <w:r>
        <w:rPr>
          <w:color w:val="231F20"/>
          <w:spacing w:val="-3"/>
        </w:rPr>
        <w:t>al </w:t>
      </w:r>
      <w:r>
        <w:rPr>
          <w:color w:val="231F20"/>
          <w:spacing w:val="-5"/>
        </w:rPr>
        <w:t>hacer </w:t>
      </w:r>
      <w:r>
        <w:rPr>
          <w:color w:val="231F20"/>
          <w:spacing w:val="-3"/>
        </w:rPr>
        <w:t>un </w:t>
      </w:r>
      <w:r>
        <w:rPr>
          <w:color w:val="231F20"/>
          <w:spacing w:val="-4"/>
        </w:rPr>
        <w:t>uso más </w:t>
      </w:r>
      <w:r>
        <w:rPr>
          <w:color w:val="231F20"/>
          <w:spacing w:val="-5"/>
        </w:rPr>
        <w:t>eficiente </w:t>
      </w:r>
      <w:r>
        <w:rPr>
          <w:color w:val="231F20"/>
          <w:spacing w:val="-3"/>
        </w:rPr>
        <w:t>de </w:t>
      </w:r>
      <w:r>
        <w:rPr>
          <w:color w:val="231F20"/>
          <w:spacing w:val="-4"/>
        </w:rPr>
        <w:t>los re- </w:t>
      </w:r>
      <w:r>
        <w:rPr>
          <w:color w:val="231F20"/>
          <w:spacing w:val="-6"/>
        </w:rPr>
        <w:t>cursos;</w:t>
      </w:r>
      <w:r>
        <w:rPr>
          <w:color w:val="231F20"/>
          <w:spacing w:val="-12"/>
        </w:rPr>
        <w:t> </w:t>
      </w:r>
      <w:r>
        <w:rPr>
          <w:color w:val="231F20"/>
          <w:spacing w:val="-5"/>
        </w:rPr>
        <w:t>agua,</w:t>
      </w:r>
      <w:r>
        <w:rPr>
          <w:color w:val="231F20"/>
          <w:spacing w:val="-12"/>
        </w:rPr>
        <w:t> </w:t>
      </w:r>
      <w:r>
        <w:rPr>
          <w:color w:val="231F20"/>
          <w:spacing w:val="-6"/>
        </w:rPr>
        <w:t>nutrimentos</w:t>
      </w:r>
      <w:r>
        <w:rPr>
          <w:color w:val="231F20"/>
          <w:spacing w:val="-12"/>
        </w:rPr>
        <w:t> </w:t>
      </w:r>
      <w:r>
        <w:rPr>
          <w:color w:val="231F20"/>
        </w:rPr>
        <w:t>y</w:t>
      </w:r>
      <w:r>
        <w:rPr>
          <w:color w:val="231F20"/>
          <w:spacing w:val="-12"/>
        </w:rPr>
        <w:t> </w:t>
      </w:r>
      <w:r>
        <w:rPr>
          <w:color w:val="231F20"/>
          <w:spacing w:val="-6"/>
        </w:rPr>
        <w:t>espacio</w:t>
      </w:r>
      <w:r>
        <w:rPr>
          <w:color w:val="231F20"/>
          <w:spacing w:val="-12"/>
        </w:rPr>
        <w:t> </w:t>
      </w:r>
      <w:r>
        <w:rPr>
          <w:color w:val="231F20"/>
          <w:spacing w:val="-6"/>
        </w:rPr>
        <w:t>principalmente.</w:t>
      </w:r>
      <w:r>
        <w:rPr>
          <w:color w:val="231F20"/>
          <w:spacing w:val="-12"/>
        </w:rPr>
        <w:t> </w:t>
      </w:r>
      <w:r>
        <w:rPr>
          <w:color w:val="231F20"/>
          <w:spacing w:val="-4"/>
        </w:rPr>
        <w:t>Con</w:t>
      </w:r>
      <w:r>
        <w:rPr>
          <w:color w:val="231F20"/>
          <w:spacing w:val="-12"/>
        </w:rPr>
        <w:t> </w:t>
      </w:r>
      <w:r>
        <w:rPr>
          <w:color w:val="231F20"/>
          <w:spacing w:val="-5"/>
        </w:rPr>
        <w:t>esto</w:t>
      </w:r>
      <w:r>
        <w:rPr>
          <w:color w:val="231F20"/>
          <w:spacing w:val="-12"/>
        </w:rPr>
        <w:t> </w:t>
      </w:r>
      <w:r>
        <w:rPr>
          <w:color w:val="231F20"/>
          <w:spacing w:val="-3"/>
        </w:rPr>
        <w:t>se</w:t>
      </w:r>
      <w:r>
        <w:rPr>
          <w:color w:val="231F20"/>
          <w:spacing w:val="-12"/>
        </w:rPr>
        <w:t> </w:t>
      </w:r>
      <w:r>
        <w:rPr>
          <w:color w:val="231F20"/>
          <w:spacing w:val="-6"/>
        </w:rPr>
        <w:t>obtiene</w:t>
      </w:r>
      <w:r>
        <w:rPr>
          <w:color w:val="231F20"/>
          <w:spacing w:val="-12"/>
        </w:rPr>
        <w:t> </w:t>
      </w:r>
      <w:r>
        <w:rPr>
          <w:color w:val="231F20"/>
          <w:spacing w:val="-4"/>
        </w:rPr>
        <w:t>dos</w:t>
      </w:r>
      <w:r>
        <w:rPr>
          <w:color w:val="231F20"/>
          <w:spacing w:val="-12"/>
        </w:rPr>
        <w:t> </w:t>
      </w:r>
      <w:r>
        <w:rPr>
          <w:color w:val="231F20"/>
          <w:spacing w:val="-6"/>
        </w:rPr>
        <w:t>productos</w:t>
      </w:r>
      <w:r>
        <w:rPr>
          <w:color w:val="231F20"/>
          <w:spacing w:val="-12"/>
        </w:rPr>
        <w:t> </w:t>
      </w:r>
      <w:r>
        <w:rPr>
          <w:color w:val="231F20"/>
          <w:spacing w:val="-3"/>
        </w:rPr>
        <w:t>en</w:t>
      </w:r>
      <w:r>
        <w:rPr>
          <w:color w:val="231F20"/>
          <w:spacing w:val="-12"/>
        </w:rPr>
        <w:t> </w:t>
      </w:r>
      <w:r>
        <w:rPr>
          <w:color w:val="231F20"/>
          <w:spacing w:val="-3"/>
        </w:rPr>
        <w:t>la</w:t>
      </w:r>
      <w:r>
        <w:rPr>
          <w:color w:val="231F20"/>
          <w:spacing w:val="-12"/>
        </w:rPr>
        <w:t> </w:t>
      </w:r>
      <w:r>
        <w:rPr>
          <w:color w:val="231F20"/>
          <w:spacing w:val="-5"/>
        </w:rPr>
        <w:t>misma</w:t>
      </w:r>
      <w:r>
        <w:rPr>
          <w:color w:val="231F20"/>
          <w:spacing w:val="-12"/>
        </w:rPr>
        <w:t> </w:t>
      </w:r>
      <w:r>
        <w:rPr>
          <w:color w:val="231F20"/>
          <w:spacing w:val="-6"/>
        </w:rPr>
        <w:t>unidad </w:t>
      </w:r>
      <w:r>
        <w:rPr>
          <w:color w:val="231F20"/>
          <w:spacing w:val="-3"/>
        </w:rPr>
        <w:t>de </w:t>
      </w:r>
      <w:r>
        <w:rPr>
          <w:color w:val="231F20"/>
          <w:spacing w:val="-6"/>
        </w:rPr>
        <w:t>producción </w:t>
      </w:r>
      <w:r>
        <w:rPr>
          <w:color w:val="231F20"/>
          <w:spacing w:val="-5"/>
        </w:rPr>
        <w:t>(Apáez </w:t>
      </w:r>
      <w:r>
        <w:rPr>
          <w:i/>
          <w:color w:val="231F20"/>
          <w:spacing w:val="-3"/>
        </w:rPr>
        <w:t>et </w:t>
      </w:r>
      <w:r>
        <w:rPr>
          <w:i/>
          <w:color w:val="231F20"/>
          <w:spacing w:val="-5"/>
        </w:rPr>
        <w:t>al.</w:t>
      </w:r>
      <w:r>
        <w:rPr>
          <w:color w:val="231F20"/>
          <w:spacing w:val="-5"/>
        </w:rPr>
        <w:t>, </w:t>
      </w:r>
      <w:r>
        <w:rPr>
          <w:color w:val="231F20"/>
          <w:spacing w:val="-7"/>
        </w:rPr>
        <w:t>2011). </w:t>
      </w:r>
      <w:r>
        <w:rPr>
          <w:color w:val="231F20"/>
          <w:spacing w:val="-5"/>
        </w:rPr>
        <w:t>Este </w:t>
      </w:r>
      <w:r>
        <w:rPr>
          <w:color w:val="231F20"/>
          <w:spacing w:val="-6"/>
        </w:rPr>
        <w:t>cultivo </w:t>
      </w:r>
      <w:r>
        <w:rPr>
          <w:color w:val="231F20"/>
          <w:spacing w:val="-5"/>
        </w:rPr>
        <w:t>está </w:t>
      </w:r>
      <w:r>
        <w:rPr>
          <w:color w:val="231F20"/>
          <w:spacing w:val="-6"/>
        </w:rPr>
        <w:t>adaptado </w:t>
      </w:r>
      <w:r>
        <w:rPr>
          <w:color w:val="231F20"/>
        </w:rPr>
        <w:t>a </w:t>
      </w:r>
      <w:r>
        <w:rPr>
          <w:color w:val="231F20"/>
          <w:spacing w:val="-6"/>
        </w:rPr>
        <w:t>condiciones </w:t>
      </w:r>
      <w:r>
        <w:rPr>
          <w:color w:val="231F20"/>
          <w:spacing w:val="-3"/>
        </w:rPr>
        <w:t>de </w:t>
      </w:r>
      <w:r>
        <w:rPr>
          <w:color w:val="231F20"/>
          <w:spacing w:val="-5"/>
        </w:rPr>
        <w:t>clima </w:t>
      </w:r>
      <w:r>
        <w:rPr>
          <w:color w:val="231F20"/>
          <w:spacing w:val="-6"/>
        </w:rPr>
        <w:t>cálido, </w:t>
      </w:r>
      <w:r>
        <w:rPr>
          <w:color w:val="231F20"/>
          <w:spacing w:val="-4"/>
        </w:rPr>
        <w:t>sin </w:t>
      </w:r>
      <w:r>
        <w:rPr>
          <w:color w:val="231F20"/>
          <w:spacing w:val="-7"/>
        </w:rPr>
        <w:t>embargo, </w:t>
      </w:r>
      <w:r>
        <w:rPr>
          <w:color w:val="231F20"/>
          <w:spacing w:val="-5"/>
        </w:rPr>
        <w:t>bajo</w:t>
      </w:r>
      <w:r>
        <w:rPr>
          <w:color w:val="231F20"/>
          <w:spacing w:val="-11"/>
        </w:rPr>
        <w:t> </w:t>
      </w:r>
      <w:r>
        <w:rPr>
          <w:color w:val="231F20"/>
          <w:spacing w:val="-6"/>
        </w:rPr>
        <w:t>condiciones</w:t>
      </w:r>
      <w:r>
        <w:rPr>
          <w:color w:val="231F20"/>
          <w:spacing w:val="-12"/>
        </w:rPr>
        <w:t> </w:t>
      </w:r>
      <w:r>
        <w:rPr>
          <w:color w:val="231F20"/>
          <w:spacing w:val="-3"/>
        </w:rPr>
        <w:t>de</w:t>
      </w:r>
      <w:r>
        <w:rPr>
          <w:color w:val="231F20"/>
          <w:spacing w:val="-11"/>
        </w:rPr>
        <w:t> </w:t>
      </w:r>
      <w:r>
        <w:rPr>
          <w:color w:val="231F20"/>
          <w:spacing w:val="-5"/>
        </w:rPr>
        <w:t>clima</w:t>
      </w:r>
      <w:r>
        <w:rPr>
          <w:color w:val="231F20"/>
          <w:spacing w:val="-11"/>
        </w:rPr>
        <w:t> </w:t>
      </w:r>
      <w:r>
        <w:rPr>
          <w:color w:val="231F20"/>
          <w:spacing w:val="-6"/>
        </w:rPr>
        <w:t>templado</w:t>
      </w:r>
      <w:r>
        <w:rPr>
          <w:color w:val="231F20"/>
          <w:spacing w:val="-11"/>
        </w:rPr>
        <w:t> </w:t>
      </w:r>
      <w:r>
        <w:rPr>
          <w:color w:val="231F20"/>
          <w:spacing w:val="-3"/>
        </w:rPr>
        <w:t>se</w:t>
      </w:r>
      <w:r>
        <w:rPr>
          <w:color w:val="231F20"/>
          <w:spacing w:val="-11"/>
        </w:rPr>
        <w:t> </w:t>
      </w:r>
      <w:r>
        <w:rPr>
          <w:color w:val="231F20"/>
          <w:spacing w:val="-3"/>
        </w:rPr>
        <w:t>ha</w:t>
      </w:r>
      <w:r>
        <w:rPr>
          <w:color w:val="231F20"/>
          <w:spacing w:val="-11"/>
        </w:rPr>
        <w:t> </w:t>
      </w:r>
      <w:r>
        <w:rPr>
          <w:color w:val="231F20"/>
          <w:spacing w:val="-6"/>
        </w:rPr>
        <w:t>logrado</w:t>
      </w:r>
      <w:r>
        <w:rPr>
          <w:color w:val="231F20"/>
          <w:spacing w:val="-11"/>
        </w:rPr>
        <w:t> </w:t>
      </w:r>
      <w:r>
        <w:rPr>
          <w:color w:val="231F20"/>
          <w:spacing w:val="-6"/>
        </w:rPr>
        <w:t>producir</w:t>
      </w:r>
      <w:r>
        <w:rPr>
          <w:color w:val="231F20"/>
          <w:spacing w:val="-11"/>
        </w:rPr>
        <w:t> </w:t>
      </w:r>
      <w:r>
        <w:rPr>
          <w:color w:val="231F20"/>
          <w:spacing w:val="-6"/>
        </w:rPr>
        <w:t>satisfactoriamente</w:t>
      </w:r>
      <w:r>
        <w:rPr>
          <w:color w:val="231F20"/>
          <w:spacing w:val="-10"/>
        </w:rPr>
        <w:t> </w:t>
      </w:r>
      <w:r>
        <w:rPr>
          <w:color w:val="231F20"/>
          <w:spacing w:val="-6"/>
        </w:rPr>
        <w:t>siempre</w:t>
      </w:r>
      <w:r>
        <w:rPr>
          <w:color w:val="231F20"/>
          <w:spacing w:val="-11"/>
        </w:rPr>
        <w:t> </w:t>
      </w:r>
      <w:r>
        <w:rPr>
          <w:color w:val="231F20"/>
        </w:rPr>
        <w:t>y</w:t>
      </w:r>
      <w:r>
        <w:rPr>
          <w:color w:val="231F20"/>
          <w:spacing w:val="-11"/>
        </w:rPr>
        <w:t> </w:t>
      </w:r>
      <w:r>
        <w:rPr>
          <w:color w:val="231F20"/>
          <w:spacing w:val="-5"/>
        </w:rPr>
        <w:t>cuando</w:t>
      </w:r>
      <w:r>
        <w:rPr>
          <w:color w:val="231F20"/>
          <w:spacing w:val="-11"/>
        </w:rPr>
        <w:t> </w:t>
      </w:r>
      <w:r>
        <w:rPr>
          <w:color w:val="231F20"/>
          <w:spacing w:val="-3"/>
        </w:rPr>
        <w:t>no</w:t>
      </w:r>
      <w:r>
        <w:rPr>
          <w:color w:val="231F20"/>
          <w:spacing w:val="-11"/>
        </w:rPr>
        <w:t> </w:t>
      </w:r>
      <w:r>
        <w:rPr>
          <w:color w:val="231F20"/>
          <w:spacing w:val="-3"/>
        </w:rPr>
        <w:t>se</w:t>
      </w:r>
      <w:r>
        <w:rPr>
          <w:color w:val="231F20"/>
          <w:spacing w:val="-11"/>
        </w:rPr>
        <w:t> </w:t>
      </w:r>
      <w:r>
        <w:rPr>
          <w:color w:val="231F20"/>
          <w:spacing w:val="-5"/>
        </w:rPr>
        <w:t>pre- senten</w:t>
      </w:r>
      <w:r>
        <w:rPr>
          <w:color w:val="231F20"/>
          <w:spacing w:val="-14"/>
        </w:rPr>
        <w:t> </w:t>
      </w:r>
      <w:r>
        <w:rPr>
          <w:color w:val="231F20"/>
          <w:spacing w:val="-5"/>
        </w:rPr>
        <w:t>bajas</w:t>
      </w:r>
      <w:r>
        <w:rPr>
          <w:color w:val="231F20"/>
          <w:spacing w:val="-14"/>
        </w:rPr>
        <w:t> </w:t>
      </w:r>
      <w:r>
        <w:rPr>
          <w:color w:val="231F20"/>
          <w:spacing w:val="-6"/>
        </w:rPr>
        <w:t>temperaturas</w:t>
      </w:r>
      <w:r>
        <w:rPr>
          <w:color w:val="231F20"/>
          <w:spacing w:val="-15"/>
        </w:rPr>
        <w:t> </w:t>
      </w:r>
      <w:r>
        <w:rPr>
          <w:color w:val="231F20"/>
        </w:rPr>
        <w:t>y</w:t>
      </w:r>
      <w:r>
        <w:rPr>
          <w:color w:val="231F20"/>
          <w:spacing w:val="-14"/>
        </w:rPr>
        <w:t> </w:t>
      </w:r>
      <w:r>
        <w:rPr>
          <w:color w:val="231F20"/>
          <w:spacing w:val="-6"/>
        </w:rPr>
        <w:t>heladas</w:t>
      </w:r>
      <w:r>
        <w:rPr>
          <w:color w:val="231F20"/>
          <w:spacing w:val="-14"/>
        </w:rPr>
        <w:t> </w:t>
      </w:r>
      <w:r>
        <w:rPr>
          <w:color w:val="231F20"/>
          <w:spacing w:val="-6"/>
        </w:rPr>
        <w:t>durante</w:t>
      </w:r>
      <w:r>
        <w:rPr>
          <w:color w:val="231F20"/>
          <w:spacing w:val="-14"/>
        </w:rPr>
        <w:t> </w:t>
      </w:r>
      <w:r>
        <w:rPr>
          <w:color w:val="231F20"/>
          <w:spacing w:val="-3"/>
        </w:rPr>
        <w:t>su</w:t>
      </w:r>
      <w:r>
        <w:rPr>
          <w:color w:val="231F20"/>
          <w:spacing w:val="-14"/>
        </w:rPr>
        <w:t> </w:t>
      </w:r>
      <w:r>
        <w:rPr>
          <w:color w:val="231F20"/>
          <w:spacing w:val="-6"/>
        </w:rPr>
        <w:t>desarrollo.</w:t>
      </w:r>
      <w:r>
        <w:rPr>
          <w:color w:val="231F20"/>
          <w:spacing w:val="-14"/>
        </w:rPr>
        <w:t> </w:t>
      </w:r>
      <w:r>
        <w:rPr>
          <w:color w:val="231F20"/>
          <w:spacing w:val="-4"/>
        </w:rPr>
        <w:t>Por</w:t>
      </w:r>
      <w:r>
        <w:rPr>
          <w:color w:val="231F20"/>
          <w:spacing w:val="-14"/>
        </w:rPr>
        <w:t> </w:t>
      </w:r>
      <w:r>
        <w:rPr>
          <w:color w:val="231F20"/>
          <w:spacing w:val="-5"/>
        </w:rPr>
        <w:t>ello,</w:t>
      </w:r>
      <w:r>
        <w:rPr>
          <w:color w:val="231F20"/>
          <w:spacing w:val="-14"/>
        </w:rPr>
        <w:t> </w:t>
      </w:r>
      <w:r>
        <w:rPr>
          <w:color w:val="231F20"/>
          <w:spacing w:val="-3"/>
        </w:rPr>
        <w:t>es</w:t>
      </w:r>
      <w:r>
        <w:rPr>
          <w:color w:val="231F20"/>
          <w:spacing w:val="-14"/>
        </w:rPr>
        <w:t> </w:t>
      </w:r>
      <w:r>
        <w:rPr>
          <w:color w:val="231F20"/>
          <w:spacing w:val="-6"/>
        </w:rPr>
        <w:t>necesario</w:t>
      </w:r>
      <w:r>
        <w:rPr>
          <w:color w:val="231F20"/>
          <w:spacing w:val="-14"/>
        </w:rPr>
        <w:t> </w:t>
      </w:r>
      <w:r>
        <w:rPr>
          <w:color w:val="231F20"/>
          <w:spacing w:val="-5"/>
        </w:rPr>
        <w:t>buscar</w:t>
      </w:r>
      <w:r>
        <w:rPr>
          <w:color w:val="231F20"/>
          <w:spacing w:val="-14"/>
        </w:rPr>
        <w:t> </w:t>
      </w:r>
      <w:r>
        <w:rPr>
          <w:color w:val="231F20"/>
          <w:spacing w:val="-5"/>
        </w:rPr>
        <w:t>bajo</w:t>
      </w:r>
      <w:r>
        <w:rPr>
          <w:color w:val="231F20"/>
          <w:spacing w:val="-14"/>
        </w:rPr>
        <w:t> </w:t>
      </w:r>
      <w:r>
        <w:rPr>
          <w:color w:val="231F20"/>
          <w:spacing w:val="-5"/>
        </w:rPr>
        <w:t>estas</w:t>
      </w:r>
      <w:r>
        <w:rPr>
          <w:color w:val="231F20"/>
          <w:spacing w:val="-14"/>
        </w:rPr>
        <w:t> </w:t>
      </w:r>
      <w:r>
        <w:rPr>
          <w:color w:val="231F20"/>
          <w:spacing w:val="-6"/>
        </w:rPr>
        <w:t>condicio- </w:t>
      </w:r>
      <w:r>
        <w:rPr>
          <w:color w:val="231F20"/>
          <w:spacing w:val="-4"/>
        </w:rPr>
        <w:t>nes </w:t>
      </w:r>
      <w:r>
        <w:rPr>
          <w:color w:val="231F20"/>
          <w:spacing w:val="-6"/>
        </w:rPr>
        <w:t>ambientales </w:t>
      </w:r>
      <w:r>
        <w:rPr>
          <w:color w:val="231F20"/>
          <w:spacing w:val="-3"/>
        </w:rPr>
        <w:t>la </w:t>
      </w:r>
      <w:r>
        <w:rPr>
          <w:color w:val="231F20"/>
          <w:spacing w:val="-5"/>
        </w:rPr>
        <w:t>mejor época </w:t>
      </w:r>
      <w:r>
        <w:rPr>
          <w:color w:val="231F20"/>
          <w:spacing w:val="-3"/>
        </w:rPr>
        <w:t>de </w:t>
      </w:r>
      <w:r>
        <w:rPr>
          <w:color w:val="231F20"/>
          <w:spacing w:val="-6"/>
        </w:rPr>
        <w:t>siembra </w:t>
      </w:r>
      <w:r>
        <w:rPr>
          <w:color w:val="231F20"/>
          <w:spacing w:val="-5"/>
        </w:rPr>
        <w:t>donde </w:t>
      </w:r>
      <w:r>
        <w:rPr>
          <w:color w:val="231F20"/>
          <w:spacing w:val="-3"/>
        </w:rPr>
        <w:t>se </w:t>
      </w:r>
      <w:r>
        <w:rPr>
          <w:color w:val="231F20"/>
          <w:spacing w:val="-5"/>
        </w:rPr>
        <w:t>tengan </w:t>
      </w:r>
      <w:r>
        <w:rPr>
          <w:color w:val="231F20"/>
          <w:spacing w:val="-4"/>
        </w:rPr>
        <w:t>las </w:t>
      </w:r>
      <w:r>
        <w:rPr>
          <w:color w:val="231F20"/>
          <w:spacing w:val="-6"/>
        </w:rPr>
        <w:t>temperaturas </w:t>
      </w:r>
      <w:r>
        <w:rPr>
          <w:color w:val="231F20"/>
          <w:spacing w:val="-4"/>
        </w:rPr>
        <w:t>más </w:t>
      </w:r>
      <w:r>
        <w:rPr>
          <w:color w:val="231F20"/>
          <w:spacing w:val="-6"/>
        </w:rPr>
        <w:t>elevadas </w:t>
      </w:r>
      <w:r>
        <w:rPr>
          <w:color w:val="231F20"/>
          <w:spacing w:val="-5"/>
        </w:rPr>
        <w:t>para </w:t>
      </w:r>
      <w:r>
        <w:rPr>
          <w:color w:val="231F20"/>
          <w:spacing w:val="-4"/>
        </w:rPr>
        <w:t>una </w:t>
      </w:r>
      <w:r>
        <w:rPr>
          <w:color w:val="231F20"/>
          <w:spacing w:val="-6"/>
        </w:rPr>
        <w:t>mejor respuesta productiva </w:t>
      </w:r>
      <w:r>
        <w:rPr>
          <w:color w:val="231F20"/>
          <w:spacing w:val="-4"/>
        </w:rPr>
        <w:t>del </w:t>
      </w:r>
      <w:r>
        <w:rPr>
          <w:color w:val="231F20"/>
          <w:spacing w:val="-5"/>
        </w:rPr>
        <w:t>FCH. </w:t>
      </w:r>
      <w:r>
        <w:rPr>
          <w:color w:val="231F20"/>
          <w:spacing w:val="-6"/>
        </w:rPr>
        <w:t>Existen evidencias </w:t>
      </w:r>
      <w:r>
        <w:rPr>
          <w:color w:val="231F20"/>
          <w:spacing w:val="-5"/>
        </w:rPr>
        <w:t>donde </w:t>
      </w:r>
      <w:r>
        <w:rPr>
          <w:color w:val="231F20"/>
          <w:spacing w:val="-3"/>
        </w:rPr>
        <w:t>se </w:t>
      </w:r>
      <w:r>
        <w:rPr>
          <w:color w:val="231F20"/>
          <w:spacing w:val="-5"/>
        </w:rPr>
        <w:t>señala </w:t>
      </w:r>
      <w:r>
        <w:rPr>
          <w:color w:val="231F20"/>
          <w:spacing w:val="-4"/>
        </w:rPr>
        <w:t>que </w:t>
      </w:r>
      <w:r>
        <w:rPr>
          <w:color w:val="231F20"/>
          <w:spacing w:val="-3"/>
        </w:rPr>
        <w:t>la </w:t>
      </w:r>
      <w:r>
        <w:rPr>
          <w:color w:val="231F20"/>
          <w:spacing w:val="-6"/>
        </w:rPr>
        <w:t>temperatura </w:t>
      </w:r>
      <w:r>
        <w:rPr>
          <w:color w:val="231F20"/>
        </w:rPr>
        <w:t>y </w:t>
      </w:r>
      <w:r>
        <w:rPr>
          <w:color w:val="231F20"/>
          <w:spacing w:val="-3"/>
        </w:rPr>
        <w:t>la </w:t>
      </w:r>
      <w:r>
        <w:rPr>
          <w:color w:val="231F20"/>
          <w:spacing w:val="-6"/>
        </w:rPr>
        <w:t>acumulación de biomasa </w:t>
      </w:r>
      <w:r>
        <w:rPr>
          <w:color w:val="231F20"/>
          <w:spacing w:val="-3"/>
        </w:rPr>
        <w:t>en </w:t>
      </w:r>
      <w:r>
        <w:rPr>
          <w:color w:val="231F20"/>
          <w:spacing w:val="-5"/>
        </w:rPr>
        <w:t>grano están </w:t>
      </w:r>
      <w:r>
        <w:rPr>
          <w:color w:val="231F20"/>
          <w:spacing w:val="-6"/>
        </w:rPr>
        <w:t>fuertemente correlacionadas, cualquier </w:t>
      </w:r>
      <w:r>
        <w:rPr>
          <w:color w:val="231F20"/>
          <w:spacing w:val="-5"/>
        </w:rPr>
        <w:t>cambio </w:t>
      </w:r>
      <w:r>
        <w:rPr>
          <w:color w:val="231F20"/>
          <w:spacing w:val="-6"/>
        </w:rPr>
        <w:t>significativo repercutirá directa- </w:t>
      </w:r>
      <w:r>
        <w:rPr>
          <w:color w:val="231F20"/>
          <w:spacing w:val="-5"/>
        </w:rPr>
        <w:t>mente</w:t>
      </w:r>
      <w:r>
        <w:rPr>
          <w:color w:val="231F20"/>
          <w:spacing w:val="-10"/>
        </w:rPr>
        <w:t> </w:t>
      </w:r>
      <w:r>
        <w:rPr>
          <w:color w:val="231F20"/>
          <w:spacing w:val="-5"/>
        </w:rPr>
        <w:t>sobre</w:t>
      </w:r>
      <w:r>
        <w:rPr>
          <w:color w:val="231F20"/>
          <w:spacing w:val="-10"/>
        </w:rPr>
        <w:t> </w:t>
      </w:r>
      <w:r>
        <w:rPr>
          <w:color w:val="231F20"/>
          <w:spacing w:val="-3"/>
        </w:rPr>
        <w:t>su</w:t>
      </w:r>
      <w:r>
        <w:rPr>
          <w:color w:val="231F20"/>
          <w:spacing w:val="-10"/>
        </w:rPr>
        <w:t> </w:t>
      </w:r>
      <w:r>
        <w:rPr>
          <w:color w:val="231F20"/>
          <w:spacing w:val="-6"/>
        </w:rPr>
        <w:t>capacidad</w:t>
      </w:r>
      <w:r>
        <w:rPr>
          <w:color w:val="231F20"/>
          <w:spacing w:val="-10"/>
        </w:rPr>
        <w:t> </w:t>
      </w:r>
      <w:r>
        <w:rPr>
          <w:color w:val="231F20"/>
          <w:spacing w:val="-3"/>
        </w:rPr>
        <w:t>de</w:t>
      </w:r>
      <w:r>
        <w:rPr>
          <w:color w:val="231F20"/>
          <w:spacing w:val="-10"/>
        </w:rPr>
        <w:t> </w:t>
      </w:r>
      <w:r>
        <w:rPr>
          <w:color w:val="231F20"/>
          <w:spacing w:val="-6"/>
        </w:rPr>
        <w:t>acumulación</w:t>
      </w:r>
      <w:r>
        <w:rPr>
          <w:color w:val="231F20"/>
          <w:spacing w:val="-10"/>
        </w:rPr>
        <w:t> </w:t>
      </w:r>
      <w:r>
        <w:rPr>
          <w:color w:val="231F20"/>
        </w:rPr>
        <w:t>y</w:t>
      </w:r>
      <w:r>
        <w:rPr>
          <w:color w:val="231F20"/>
          <w:spacing w:val="-10"/>
        </w:rPr>
        <w:t> </w:t>
      </w:r>
      <w:r>
        <w:rPr>
          <w:color w:val="231F20"/>
          <w:spacing w:val="-4"/>
        </w:rPr>
        <w:t>por</w:t>
      </w:r>
      <w:r>
        <w:rPr>
          <w:color w:val="231F20"/>
          <w:spacing w:val="-10"/>
        </w:rPr>
        <w:t> </w:t>
      </w:r>
      <w:r>
        <w:rPr>
          <w:color w:val="231F20"/>
          <w:spacing w:val="-6"/>
        </w:rPr>
        <w:t>consiguiente</w:t>
      </w:r>
      <w:r>
        <w:rPr>
          <w:color w:val="231F20"/>
          <w:spacing w:val="-10"/>
        </w:rPr>
        <w:t> </w:t>
      </w:r>
      <w:r>
        <w:rPr>
          <w:color w:val="231F20"/>
          <w:spacing w:val="-3"/>
        </w:rPr>
        <w:t>en</w:t>
      </w:r>
      <w:r>
        <w:rPr>
          <w:color w:val="231F20"/>
          <w:spacing w:val="-10"/>
        </w:rPr>
        <w:t> </w:t>
      </w:r>
      <w:r>
        <w:rPr>
          <w:color w:val="231F20"/>
          <w:spacing w:val="-3"/>
        </w:rPr>
        <w:t>el</w:t>
      </w:r>
      <w:r>
        <w:rPr>
          <w:color w:val="231F20"/>
          <w:spacing w:val="-10"/>
        </w:rPr>
        <w:t> </w:t>
      </w:r>
      <w:r>
        <w:rPr>
          <w:color w:val="231F20"/>
          <w:spacing w:val="-6"/>
        </w:rPr>
        <w:t>rendimiento</w:t>
      </w:r>
      <w:r>
        <w:rPr>
          <w:color w:val="231F20"/>
          <w:spacing w:val="-10"/>
        </w:rPr>
        <w:t> </w:t>
      </w:r>
      <w:r>
        <w:rPr>
          <w:color w:val="231F20"/>
          <w:spacing w:val="-6"/>
        </w:rPr>
        <w:t>(Kobata</w:t>
      </w:r>
      <w:r>
        <w:rPr>
          <w:color w:val="231F20"/>
          <w:spacing w:val="-10"/>
        </w:rPr>
        <w:t> </w:t>
      </w:r>
      <w:r>
        <w:rPr>
          <w:color w:val="231F20"/>
        </w:rPr>
        <w:t>y</w:t>
      </w:r>
      <w:r>
        <w:rPr>
          <w:color w:val="231F20"/>
          <w:spacing w:val="-10"/>
        </w:rPr>
        <w:t> </w:t>
      </w:r>
      <w:r>
        <w:rPr>
          <w:color w:val="231F20"/>
          <w:spacing w:val="-6"/>
        </w:rPr>
        <w:t>Uemuki,</w:t>
      </w:r>
      <w:r>
        <w:rPr>
          <w:color w:val="231F20"/>
          <w:spacing w:val="-9"/>
        </w:rPr>
        <w:t> </w:t>
      </w:r>
      <w:r>
        <w:rPr>
          <w:color w:val="231F20"/>
          <w:spacing w:val="-6"/>
        </w:rPr>
        <w:t>2004).</w:t>
      </w:r>
    </w:p>
    <w:p>
      <w:pPr>
        <w:pStyle w:val="BodyText"/>
        <w:spacing w:before="10"/>
        <w:rPr>
          <w:sz w:val="15"/>
        </w:rPr>
      </w:pPr>
    </w:p>
    <w:p>
      <w:pPr>
        <w:spacing w:line="247" w:lineRule="auto" w:before="0"/>
        <w:ind w:left="1270" w:right="1268" w:firstLine="0"/>
        <w:jc w:val="both"/>
        <w:rPr>
          <w:rFonts w:ascii="Trebuchet MS" w:hAnsi="Trebuchet MS"/>
          <w:sz w:val="16"/>
        </w:rPr>
      </w:pPr>
      <w:r>
        <w:rPr>
          <w:rFonts w:ascii="Trebuchet MS" w:hAnsi="Trebuchet MS"/>
          <w:color w:val="231F20"/>
          <w:position w:val="5"/>
          <w:sz w:val="9"/>
        </w:rPr>
        <w:t>1</w:t>
      </w:r>
      <w:r>
        <w:rPr>
          <w:rFonts w:ascii="Trebuchet MS" w:hAnsi="Trebuchet MS"/>
          <w:color w:val="231F20"/>
          <w:sz w:val="16"/>
        </w:rPr>
        <w:t>Posgrado en Botánica. Colegio de Postgraduados-Campus Montecillo. Km. 36.5 </w:t>
      </w:r>
      <w:r>
        <w:rPr>
          <w:rFonts w:ascii="Trebuchet MS" w:hAnsi="Trebuchet MS"/>
          <w:color w:val="231F20"/>
          <w:spacing w:val="-5"/>
          <w:sz w:val="16"/>
        </w:rPr>
        <w:t>carr. </w:t>
      </w:r>
      <w:r>
        <w:rPr>
          <w:rFonts w:ascii="Trebuchet MS" w:hAnsi="Trebuchet MS"/>
          <w:color w:val="231F20"/>
          <w:spacing w:val="-3"/>
          <w:sz w:val="16"/>
        </w:rPr>
        <w:t>México-Texcoco </w:t>
      </w:r>
      <w:r>
        <w:rPr>
          <w:rFonts w:ascii="Trebuchet MS" w:hAnsi="Trebuchet MS"/>
          <w:color w:val="231F20"/>
          <w:sz w:val="16"/>
        </w:rPr>
        <w:t>56230. Monte- cillo. Edo. de México. </w:t>
      </w:r>
      <w:r>
        <w:rPr>
          <w:rFonts w:ascii="Trebuchet MS" w:hAnsi="Trebuchet MS"/>
          <w:color w:val="231F20"/>
          <w:spacing w:val="-6"/>
          <w:sz w:val="16"/>
        </w:rPr>
        <w:t>Tel. </w:t>
      </w:r>
      <w:r>
        <w:rPr>
          <w:rFonts w:ascii="Trebuchet MS" w:hAnsi="Trebuchet MS"/>
          <w:color w:val="231F20"/>
          <w:sz w:val="16"/>
        </w:rPr>
        <w:t>01 (595) 95 202 00 ext. 1330. Email: apaez.patricio@colpos.mx; jasee@colpos.mx; mate@ colpos.mx</w:t>
      </w:r>
      <w:hyperlink r:id="rId95">
        <w:r>
          <w:rPr>
            <w:rFonts w:ascii="Trebuchet MS" w:hAnsi="Trebuchet MS"/>
            <w:color w:val="231F20"/>
            <w:sz w:val="16"/>
          </w:rPr>
          <w:t>; mary_230488@hotmail.com.</w:t>
        </w:r>
      </w:hyperlink>
    </w:p>
    <w:p>
      <w:pPr>
        <w:spacing w:after="0" w:line="247" w:lineRule="auto"/>
        <w:jc w:val="both"/>
        <w:rPr>
          <w:rFonts w:ascii="Trebuchet MS" w:hAnsi="Trebuchet MS"/>
          <w:sz w:val="16"/>
        </w:rPr>
        <w:sectPr>
          <w:pgSz w:w="10920" w:h="13080"/>
          <w:pgMar w:header="0" w:footer="965" w:top="420" w:bottom="1220" w:left="0" w:right="0"/>
        </w:sectPr>
      </w:pPr>
    </w:p>
    <w:p>
      <w:pPr>
        <w:pStyle w:val="BodyText"/>
        <w:rPr>
          <w:rFonts w:ascii="Trebuchet MS"/>
          <w:sz w:val="20"/>
        </w:rPr>
      </w:pPr>
    </w:p>
    <w:p>
      <w:pPr>
        <w:pStyle w:val="BodyText"/>
        <w:rPr>
          <w:rFonts w:ascii="Trebuchet MS"/>
          <w:sz w:val="20"/>
        </w:rPr>
      </w:pPr>
    </w:p>
    <w:p>
      <w:pPr>
        <w:pStyle w:val="BodyText"/>
        <w:spacing w:before="4"/>
        <w:rPr>
          <w:rFonts w:ascii="Trebuchet MS"/>
          <w:sz w:val="22"/>
        </w:rPr>
      </w:pPr>
    </w:p>
    <w:p>
      <w:pPr>
        <w:pStyle w:val="BodyText"/>
        <w:spacing w:line="247" w:lineRule="auto" w:before="73"/>
        <w:ind w:left="1270" w:right="1267"/>
        <w:jc w:val="both"/>
      </w:pPr>
      <w:r>
        <w:rPr>
          <w:color w:val="231F20"/>
        </w:rPr>
        <w:t>En el valle de México por Esquivel </w:t>
      </w:r>
      <w:r>
        <w:rPr>
          <w:i/>
          <w:color w:val="231F20"/>
        </w:rPr>
        <w:t>et al. </w:t>
      </w:r>
      <w:r>
        <w:rPr>
          <w:color w:val="231F20"/>
        </w:rPr>
        <w:t>(2006), en frijol común encontraron que el rendimiento  de vaina promedio más alto (26 ton ha-1) se logra con la siembra del 21 de mayo y el más bajo </w:t>
      </w:r>
      <w:r>
        <w:rPr>
          <w:color w:val="231F20"/>
          <w:spacing w:val="-3"/>
        </w:rPr>
        <w:t>(11 </w:t>
      </w:r>
      <w:r>
        <w:rPr>
          <w:color w:val="231F20"/>
        </w:rPr>
        <w:t>ton ha</w:t>
      </w:r>
      <w:r>
        <w:rPr>
          <w:color w:val="231F20"/>
          <w:position w:val="7"/>
          <w:sz w:val="12"/>
        </w:rPr>
        <w:t>-1</w:t>
      </w:r>
      <w:r>
        <w:rPr>
          <w:color w:val="231F20"/>
        </w:rPr>
        <w:t>) con la del 15 de junio, diferencia que se atribuyen al cambio en la temperatura mínima y duración del fotoperiodo. Shehu </w:t>
      </w:r>
      <w:r>
        <w:rPr>
          <w:i/>
          <w:color w:val="231F20"/>
        </w:rPr>
        <w:t>et al. </w:t>
      </w:r>
      <w:r>
        <w:rPr>
          <w:color w:val="231F20"/>
        </w:rPr>
        <w:t>(2001) evaluaron lo dicho (</w:t>
      </w:r>
      <w:r>
        <w:rPr>
          <w:i/>
          <w:color w:val="231F20"/>
        </w:rPr>
        <w:t>Lablab perpureus</w:t>
      </w:r>
      <w:r>
        <w:rPr>
          <w:color w:val="231F20"/>
        </w:rPr>
        <w:t>) en dos fechas (agosto</w:t>
      </w:r>
      <w:r>
        <w:rPr>
          <w:color w:val="231F20"/>
          <w:spacing w:val="-6"/>
        </w:rPr>
        <w:t> </w:t>
      </w:r>
      <w:r>
        <w:rPr>
          <w:color w:val="231F20"/>
        </w:rPr>
        <w:t>y</w:t>
      </w:r>
      <w:r>
        <w:rPr>
          <w:color w:val="231F20"/>
          <w:spacing w:val="-6"/>
        </w:rPr>
        <w:t> </w:t>
      </w:r>
      <w:r>
        <w:rPr>
          <w:color w:val="231F20"/>
        </w:rPr>
        <w:t>julio)</w:t>
      </w:r>
      <w:r>
        <w:rPr>
          <w:color w:val="231F20"/>
          <w:spacing w:val="-6"/>
        </w:rPr>
        <w:t> </w:t>
      </w:r>
      <w:r>
        <w:rPr>
          <w:color w:val="231F20"/>
        </w:rPr>
        <w:t>y</w:t>
      </w:r>
      <w:r>
        <w:rPr>
          <w:color w:val="231F20"/>
          <w:spacing w:val="-6"/>
        </w:rPr>
        <w:t> </w:t>
      </w:r>
      <w:r>
        <w:rPr>
          <w:color w:val="231F20"/>
        </w:rPr>
        <w:t>encontraron</w:t>
      </w:r>
      <w:r>
        <w:rPr>
          <w:color w:val="231F20"/>
          <w:spacing w:val="-7"/>
        </w:rPr>
        <w:t> </w:t>
      </w:r>
      <w:r>
        <w:rPr>
          <w:color w:val="231F20"/>
        </w:rPr>
        <w:t>menor</w:t>
      </w:r>
      <w:r>
        <w:rPr>
          <w:color w:val="231F20"/>
          <w:spacing w:val="-6"/>
        </w:rPr>
        <w:t> </w:t>
      </w:r>
      <w:r>
        <w:rPr>
          <w:color w:val="231F20"/>
        </w:rPr>
        <w:t>crecimiento</w:t>
      </w:r>
      <w:r>
        <w:rPr>
          <w:color w:val="231F20"/>
          <w:spacing w:val="-7"/>
        </w:rPr>
        <w:t> </w:t>
      </w:r>
      <w:r>
        <w:rPr>
          <w:color w:val="231F20"/>
        </w:rPr>
        <w:t>con</w:t>
      </w:r>
      <w:r>
        <w:rPr>
          <w:color w:val="231F20"/>
          <w:spacing w:val="-6"/>
        </w:rPr>
        <w:t> </w:t>
      </w:r>
      <w:r>
        <w:rPr>
          <w:color w:val="231F20"/>
        </w:rPr>
        <w:t>la</w:t>
      </w:r>
      <w:r>
        <w:rPr>
          <w:color w:val="231F20"/>
          <w:spacing w:val="-6"/>
        </w:rPr>
        <w:t> </w:t>
      </w:r>
      <w:r>
        <w:rPr>
          <w:color w:val="231F20"/>
        </w:rPr>
        <w:t>siembra</w:t>
      </w:r>
      <w:r>
        <w:rPr>
          <w:color w:val="231F20"/>
          <w:spacing w:val="-5"/>
        </w:rPr>
        <w:t> </w:t>
      </w:r>
      <w:r>
        <w:rPr>
          <w:color w:val="231F20"/>
        </w:rPr>
        <w:t>de</w:t>
      </w:r>
      <w:r>
        <w:rPr>
          <w:color w:val="231F20"/>
          <w:spacing w:val="-6"/>
        </w:rPr>
        <w:t> </w:t>
      </w:r>
      <w:r>
        <w:rPr>
          <w:color w:val="231F20"/>
        </w:rPr>
        <w:t>agosto,</w:t>
      </w:r>
      <w:r>
        <w:rPr>
          <w:color w:val="231F20"/>
          <w:spacing w:val="-6"/>
        </w:rPr>
        <w:t> </w:t>
      </w:r>
      <w:r>
        <w:rPr>
          <w:color w:val="231F20"/>
        </w:rPr>
        <w:t>esto</w:t>
      </w:r>
      <w:r>
        <w:rPr>
          <w:color w:val="231F20"/>
          <w:spacing w:val="-6"/>
        </w:rPr>
        <w:t> </w:t>
      </w:r>
      <w:r>
        <w:rPr>
          <w:color w:val="231F20"/>
        </w:rPr>
        <w:t>por</w:t>
      </w:r>
      <w:r>
        <w:rPr>
          <w:color w:val="231F20"/>
          <w:spacing w:val="-6"/>
        </w:rPr>
        <w:t> </w:t>
      </w:r>
      <w:r>
        <w:rPr>
          <w:color w:val="231F20"/>
        </w:rPr>
        <w:t>reducción</w:t>
      </w:r>
      <w:r>
        <w:rPr>
          <w:color w:val="231F20"/>
          <w:spacing w:val="-6"/>
        </w:rPr>
        <w:t> </w:t>
      </w:r>
      <w:r>
        <w:rPr>
          <w:color w:val="231F20"/>
        </w:rPr>
        <w:t>en</w:t>
      </w:r>
      <w:r>
        <w:rPr>
          <w:color w:val="231F20"/>
          <w:spacing w:val="-6"/>
        </w:rPr>
        <w:t> </w:t>
      </w:r>
      <w:r>
        <w:rPr>
          <w:color w:val="231F20"/>
        </w:rPr>
        <w:t>las temperaturas. En FCH son escasos los estudios sobre fechas de siembra bajo condiciones de clima templado. El objetivo del estudio fue determinar el efecto de las fechas de siembra sobre la produc- ción de FCH y la relación con los índices climáticos en clima</w:t>
      </w:r>
      <w:r>
        <w:rPr>
          <w:color w:val="231F20"/>
          <w:spacing w:val="-9"/>
        </w:rPr>
        <w:t> </w:t>
      </w:r>
      <w:r>
        <w:rPr>
          <w:color w:val="231F20"/>
        </w:rPr>
        <w:t>templado.</w:t>
      </w:r>
    </w:p>
    <w:p>
      <w:pPr>
        <w:pStyle w:val="BodyText"/>
        <w:spacing w:before="9"/>
        <w:rPr>
          <w:sz w:val="22"/>
        </w:rPr>
      </w:pPr>
    </w:p>
    <w:p>
      <w:pPr>
        <w:pStyle w:val="Heading3"/>
      </w:pPr>
      <w:r>
        <w:rPr>
          <w:color w:val="010202"/>
        </w:rPr>
        <w:t>Materiales y métodos</w:t>
      </w:r>
    </w:p>
    <w:p>
      <w:pPr>
        <w:pStyle w:val="BodyText"/>
        <w:spacing w:before="10"/>
        <w:rPr>
          <w:b/>
        </w:rPr>
      </w:pPr>
    </w:p>
    <w:p>
      <w:pPr>
        <w:pStyle w:val="BodyText"/>
        <w:spacing w:line="249" w:lineRule="auto"/>
        <w:ind w:left="1270" w:right="1266"/>
        <w:jc w:val="both"/>
      </w:pPr>
      <w:r>
        <w:rPr>
          <w:color w:val="231F20"/>
          <w:spacing w:val="-3"/>
        </w:rPr>
        <w:t>El </w:t>
      </w:r>
      <w:r>
        <w:rPr>
          <w:color w:val="231F20"/>
          <w:spacing w:val="-5"/>
        </w:rPr>
        <w:t>estudio </w:t>
      </w:r>
      <w:r>
        <w:rPr>
          <w:color w:val="231F20"/>
          <w:spacing w:val="-3"/>
        </w:rPr>
        <w:t>se </w:t>
      </w:r>
      <w:r>
        <w:rPr>
          <w:color w:val="231F20"/>
          <w:spacing w:val="-5"/>
        </w:rPr>
        <w:t>estableció </w:t>
      </w:r>
      <w:r>
        <w:rPr>
          <w:color w:val="231F20"/>
          <w:spacing w:val="-3"/>
        </w:rPr>
        <w:t>en </w:t>
      </w:r>
      <w:r>
        <w:rPr>
          <w:color w:val="231F20"/>
          <w:spacing w:val="-5"/>
        </w:rPr>
        <w:t>Montecillo, </w:t>
      </w:r>
      <w:r>
        <w:rPr>
          <w:color w:val="231F20"/>
          <w:spacing w:val="-7"/>
        </w:rPr>
        <w:t>Texcoco, </w:t>
      </w:r>
      <w:r>
        <w:rPr>
          <w:color w:val="231F20"/>
          <w:spacing w:val="-4"/>
        </w:rPr>
        <w:t>Edo. </w:t>
      </w:r>
      <w:r>
        <w:rPr>
          <w:color w:val="231F20"/>
          <w:spacing w:val="-3"/>
        </w:rPr>
        <w:t>de </w:t>
      </w:r>
      <w:r>
        <w:rPr>
          <w:color w:val="231F20"/>
          <w:spacing w:val="-5"/>
        </w:rPr>
        <w:t>México </w:t>
      </w:r>
      <w:r>
        <w:rPr>
          <w:color w:val="231F20"/>
          <w:spacing w:val="-4"/>
        </w:rPr>
        <w:t>(19° 29´ LN, 98° 53´ </w:t>
      </w:r>
      <w:r>
        <w:rPr>
          <w:color w:val="231F20"/>
          <w:spacing w:val="-3"/>
        </w:rPr>
        <w:t>LO </w:t>
      </w:r>
      <w:r>
        <w:rPr>
          <w:color w:val="231F20"/>
        </w:rPr>
        <w:t>y </w:t>
      </w:r>
      <w:r>
        <w:rPr>
          <w:color w:val="231F20"/>
          <w:spacing w:val="-4"/>
        </w:rPr>
        <w:t>2250 m), </w:t>
      </w:r>
      <w:r>
        <w:rPr>
          <w:color w:val="231F20"/>
          <w:spacing w:val="-5"/>
        </w:rPr>
        <w:t>el </w:t>
      </w:r>
      <w:r>
        <w:rPr>
          <w:color w:val="231F20"/>
          <w:spacing w:val="-4"/>
        </w:rPr>
        <w:t>clima </w:t>
      </w:r>
      <w:r>
        <w:rPr>
          <w:color w:val="231F20"/>
          <w:spacing w:val="-3"/>
        </w:rPr>
        <w:t>es </w:t>
      </w:r>
      <w:r>
        <w:rPr>
          <w:color w:val="231F20"/>
          <w:spacing w:val="-5"/>
        </w:rPr>
        <w:t>templado </w:t>
      </w:r>
      <w:r>
        <w:rPr>
          <w:color w:val="231F20"/>
          <w:spacing w:val="-4"/>
        </w:rPr>
        <w:t>con </w:t>
      </w:r>
      <w:r>
        <w:rPr>
          <w:color w:val="231F20"/>
          <w:spacing w:val="-5"/>
        </w:rPr>
        <w:t>lluvias </w:t>
      </w:r>
      <w:r>
        <w:rPr>
          <w:color w:val="231F20"/>
          <w:spacing w:val="-3"/>
        </w:rPr>
        <w:t>en </w:t>
      </w:r>
      <w:r>
        <w:rPr>
          <w:color w:val="231F20"/>
          <w:spacing w:val="-5"/>
        </w:rPr>
        <w:t>verano, temperatura </w:t>
      </w:r>
      <w:r>
        <w:rPr>
          <w:color w:val="231F20"/>
          <w:spacing w:val="-4"/>
        </w:rPr>
        <w:t>media anual </w:t>
      </w:r>
      <w:r>
        <w:rPr>
          <w:color w:val="231F20"/>
          <w:spacing w:val="-3"/>
        </w:rPr>
        <w:t>de </w:t>
      </w:r>
      <w:r>
        <w:rPr>
          <w:color w:val="231F20"/>
          <w:spacing w:val="-4"/>
        </w:rPr>
        <w:t>14.6 </w:t>
      </w:r>
      <w:r>
        <w:rPr>
          <w:color w:val="231F20"/>
          <w:spacing w:val="-3"/>
        </w:rPr>
        <w:t>°C </w:t>
      </w:r>
      <w:r>
        <w:rPr>
          <w:color w:val="231F20"/>
        </w:rPr>
        <w:t>y </w:t>
      </w:r>
      <w:r>
        <w:rPr>
          <w:color w:val="231F20"/>
          <w:spacing w:val="-4"/>
        </w:rPr>
        <w:t>559 </w:t>
      </w:r>
      <w:r>
        <w:rPr>
          <w:color w:val="231F20"/>
          <w:spacing w:val="-3"/>
        </w:rPr>
        <w:t>mm de </w:t>
      </w:r>
      <w:r>
        <w:rPr>
          <w:color w:val="231F20"/>
          <w:spacing w:val="-5"/>
        </w:rPr>
        <w:t>precipitación </w:t>
      </w:r>
      <w:r>
        <w:rPr>
          <w:color w:val="231F20"/>
          <w:spacing w:val="-4"/>
        </w:rPr>
        <w:t>anual </w:t>
      </w:r>
      <w:r>
        <w:rPr>
          <w:color w:val="231F20"/>
          <w:spacing w:val="-5"/>
        </w:rPr>
        <w:t>(García, 2005). </w:t>
      </w:r>
      <w:r>
        <w:rPr>
          <w:color w:val="231F20"/>
          <w:spacing w:val="-3"/>
        </w:rPr>
        <w:t>El </w:t>
      </w:r>
      <w:r>
        <w:rPr>
          <w:color w:val="231F20"/>
          <w:spacing w:val="-4"/>
        </w:rPr>
        <w:t>suelo </w:t>
      </w:r>
      <w:r>
        <w:rPr>
          <w:color w:val="231F20"/>
          <w:spacing w:val="-3"/>
        </w:rPr>
        <w:t>es de </w:t>
      </w:r>
      <w:r>
        <w:rPr>
          <w:color w:val="231F20"/>
          <w:spacing w:val="-5"/>
        </w:rPr>
        <w:t>textura arcillosa (</w:t>
      </w:r>
      <w:r>
        <w:rPr>
          <w:i/>
          <w:color w:val="231F20"/>
          <w:spacing w:val="-5"/>
        </w:rPr>
        <w:t>Fluvisol mólico</w:t>
      </w:r>
      <w:r>
        <w:rPr>
          <w:color w:val="231F20"/>
          <w:spacing w:val="-5"/>
        </w:rPr>
        <w:t>), </w:t>
      </w:r>
      <w:r>
        <w:rPr>
          <w:color w:val="231F20"/>
          <w:spacing w:val="-4"/>
        </w:rPr>
        <w:t>con </w:t>
      </w:r>
      <w:r>
        <w:rPr>
          <w:color w:val="231F20"/>
          <w:spacing w:val="-5"/>
        </w:rPr>
        <w:t>materia orgánica </w:t>
      </w:r>
      <w:r>
        <w:rPr>
          <w:color w:val="231F20"/>
          <w:spacing w:val="-3"/>
        </w:rPr>
        <w:t>de </w:t>
      </w:r>
      <w:r>
        <w:rPr>
          <w:color w:val="231F20"/>
        </w:rPr>
        <w:t>2 a 3 </w:t>
      </w:r>
      <w:r>
        <w:rPr>
          <w:color w:val="231F20"/>
          <w:spacing w:val="-5"/>
        </w:rPr>
        <w:t>%, </w:t>
      </w:r>
      <w:r>
        <w:rPr>
          <w:color w:val="231F20"/>
          <w:spacing w:val="-3"/>
        </w:rPr>
        <w:t>pH</w:t>
      </w:r>
      <w:r>
        <w:rPr>
          <w:color w:val="231F20"/>
          <w:spacing w:val="-13"/>
        </w:rPr>
        <w:t> </w:t>
      </w:r>
      <w:r>
        <w:rPr>
          <w:color w:val="231F20"/>
          <w:spacing w:val="-3"/>
        </w:rPr>
        <w:t>de</w:t>
      </w:r>
      <w:r>
        <w:rPr>
          <w:color w:val="231F20"/>
          <w:spacing w:val="-13"/>
        </w:rPr>
        <w:t> </w:t>
      </w:r>
      <w:r>
        <w:rPr>
          <w:color w:val="231F20"/>
          <w:spacing w:val="-3"/>
        </w:rPr>
        <w:t>8,</w:t>
      </w:r>
      <w:r>
        <w:rPr>
          <w:color w:val="231F20"/>
          <w:spacing w:val="-13"/>
        </w:rPr>
        <w:t> </w:t>
      </w:r>
      <w:r>
        <w:rPr>
          <w:color w:val="231F20"/>
          <w:spacing w:val="-3"/>
        </w:rPr>
        <w:t>en</w:t>
      </w:r>
      <w:r>
        <w:rPr>
          <w:color w:val="231F20"/>
          <w:spacing w:val="-13"/>
        </w:rPr>
        <w:t> </w:t>
      </w:r>
      <w:r>
        <w:rPr>
          <w:color w:val="231F20"/>
          <w:spacing w:val="-4"/>
        </w:rPr>
        <w:t>los</w:t>
      </w:r>
      <w:r>
        <w:rPr>
          <w:color w:val="231F20"/>
          <w:spacing w:val="-13"/>
        </w:rPr>
        <w:t> </w:t>
      </w:r>
      <w:r>
        <w:rPr>
          <w:color w:val="231F20"/>
          <w:spacing w:val="-5"/>
        </w:rPr>
        <w:t>primeros</w:t>
      </w:r>
      <w:r>
        <w:rPr>
          <w:color w:val="231F20"/>
          <w:spacing w:val="-13"/>
        </w:rPr>
        <w:t> </w:t>
      </w:r>
      <w:r>
        <w:rPr>
          <w:color w:val="231F20"/>
          <w:spacing w:val="-3"/>
        </w:rPr>
        <w:t>30</w:t>
      </w:r>
      <w:r>
        <w:rPr>
          <w:color w:val="231F20"/>
          <w:spacing w:val="-13"/>
        </w:rPr>
        <w:t> </w:t>
      </w:r>
      <w:r>
        <w:rPr>
          <w:color w:val="231F20"/>
          <w:spacing w:val="-3"/>
        </w:rPr>
        <w:t>cm</w:t>
      </w:r>
      <w:r>
        <w:rPr>
          <w:color w:val="231F20"/>
          <w:spacing w:val="-13"/>
        </w:rPr>
        <w:t> </w:t>
      </w:r>
      <w:r>
        <w:rPr>
          <w:color w:val="231F20"/>
          <w:spacing w:val="-3"/>
        </w:rPr>
        <w:t>de</w:t>
      </w:r>
      <w:r>
        <w:rPr>
          <w:color w:val="231F20"/>
          <w:spacing w:val="-13"/>
        </w:rPr>
        <w:t> </w:t>
      </w:r>
      <w:r>
        <w:rPr>
          <w:color w:val="231F20"/>
          <w:spacing w:val="-4"/>
        </w:rPr>
        <w:t>perfil.</w:t>
      </w:r>
      <w:r>
        <w:rPr>
          <w:color w:val="231F20"/>
          <w:spacing w:val="-13"/>
        </w:rPr>
        <w:t> </w:t>
      </w:r>
      <w:r>
        <w:rPr>
          <w:color w:val="231F20"/>
          <w:spacing w:val="-4"/>
        </w:rPr>
        <w:t>Los</w:t>
      </w:r>
      <w:r>
        <w:rPr>
          <w:color w:val="231F20"/>
          <w:spacing w:val="-13"/>
        </w:rPr>
        <w:t> </w:t>
      </w:r>
      <w:r>
        <w:rPr>
          <w:color w:val="231F20"/>
          <w:spacing w:val="-5"/>
        </w:rPr>
        <w:t>tratamientos</w:t>
      </w:r>
      <w:r>
        <w:rPr>
          <w:color w:val="231F20"/>
          <w:spacing w:val="-13"/>
        </w:rPr>
        <w:t> </w:t>
      </w:r>
      <w:r>
        <w:rPr>
          <w:color w:val="231F20"/>
          <w:spacing w:val="-5"/>
        </w:rPr>
        <w:t>consistieron</w:t>
      </w:r>
      <w:r>
        <w:rPr>
          <w:color w:val="231F20"/>
          <w:spacing w:val="-13"/>
        </w:rPr>
        <w:t> </w:t>
      </w:r>
      <w:r>
        <w:rPr>
          <w:color w:val="231F20"/>
          <w:spacing w:val="-3"/>
        </w:rPr>
        <w:t>en</w:t>
      </w:r>
      <w:r>
        <w:rPr>
          <w:color w:val="231F20"/>
          <w:spacing w:val="-13"/>
        </w:rPr>
        <w:t> </w:t>
      </w:r>
      <w:r>
        <w:rPr>
          <w:color w:val="231F20"/>
          <w:spacing w:val="-3"/>
        </w:rPr>
        <w:t>la</w:t>
      </w:r>
      <w:r>
        <w:rPr>
          <w:color w:val="231F20"/>
          <w:spacing w:val="-13"/>
        </w:rPr>
        <w:t> </w:t>
      </w:r>
      <w:r>
        <w:rPr>
          <w:color w:val="231F20"/>
          <w:spacing w:val="-5"/>
        </w:rPr>
        <w:t>siembra</w:t>
      </w:r>
      <w:r>
        <w:rPr>
          <w:color w:val="231F20"/>
          <w:spacing w:val="-13"/>
        </w:rPr>
        <w:t> </w:t>
      </w:r>
      <w:r>
        <w:rPr>
          <w:color w:val="231F20"/>
          <w:spacing w:val="-3"/>
        </w:rPr>
        <w:t>de</w:t>
      </w:r>
      <w:r>
        <w:rPr>
          <w:color w:val="231F20"/>
          <w:spacing w:val="-13"/>
        </w:rPr>
        <w:t> </w:t>
      </w:r>
      <w:r>
        <w:rPr>
          <w:color w:val="231F20"/>
          <w:spacing w:val="-4"/>
        </w:rPr>
        <w:t>FCH</w:t>
      </w:r>
      <w:r>
        <w:rPr>
          <w:color w:val="231F20"/>
          <w:spacing w:val="-13"/>
        </w:rPr>
        <w:t> </w:t>
      </w:r>
      <w:r>
        <w:rPr>
          <w:color w:val="231F20"/>
          <w:spacing w:val="-3"/>
        </w:rPr>
        <w:t>en</w:t>
      </w:r>
      <w:r>
        <w:rPr>
          <w:color w:val="231F20"/>
          <w:spacing w:val="-13"/>
        </w:rPr>
        <w:t> </w:t>
      </w:r>
      <w:r>
        <w:rPr>
          <w:color w:val="231F20"/>
          <w:spacing w:val="-5"/>
        </w:rPr>
        <w:t>espaldera </w:t>
      </w:r>
      <w:r>
        <w:rPr>
          <w:color w:val="231F20"/>
          <w:spacing w:val="-3"/>
        </w:rPr>
        <w:t>de </w:t>
      </w:r>
      <w:r>
        <w:rPr>
          <w:color w:val="231F20"/>
          <w:spacing w:val="-4"/>
        </w:rPr>
        <w:t>maíz </w:t>
      </w:r>
      <w:r>
        <w:rPr>
          <w:color w:val="231F20"/>
          <w:spacing w:val="-3"/>
        </w:rPr>
        <w:t>en </w:t>
      </w:r>
      <w:r>
        <w:rPr>
          <w:color w:val="231F20"/>
          <w:spacing w:val="-5"/>
        </w:rPr>
        <w:t>fechas </w:t>
      </w:r>
      <w:r>
        <w:rPr>
          <w:color w:val="231F20"/>
          <w:spacing w:val="-3"/>
        </w:rPr>
        <w:t>de </w:t>
      </w:r>
      <w:r>
        <w:rPr>
          <w:color w:val="231F20"/>
          <w:spacing w:val="-5"/>
        </w:rPr>
        <w:t>siembra </w:t>
      </w:r>
      <w:r>
        <w:rPr>
          <w:color w:val="231F20"/>
          <w:spacing w:val="-4"/>
        </w:rPr>
        <w:t>del </w:t>
      </w:r>
      <w:r>
        <w:rPr>
          <w:color w:val="231F20"/>
          <w:spacing w:val="-3"/>
        </w:rPr>
        <w:t>15 </w:t>
      </w:r>
      <w:r>
        <w:rPr>
          <w:color w:val="231F20"/>
        </w:rPr>
        <w:t>y </w:t>
      </w:r>
      <w:r>
        <w:rPr>
          <w:color w:val="231F20"/>
          <w:spacing w:val="-3"/>
        </w:rPr>
        <w:t>30 de </w:t>
      </w:r>
      <w:r>
        <w:rPr>
          <w:color w:val="231F20"/>
          <w:spacing w:val="-4"/>
        </w:rPr>
        <w:t>abril (15A </w:t>
      </w:r>
      <w:r>
        <w:rPr>
          <w:color w:val="231F20"/>
        </w:rPr>
        <w:t>y </w:t>
      </w:r>
      <w:r>
        <w:rPr>
          <w:color w:val="231F20"/>
          <w:spacing w:val="-4"/>
        </w:rPr>
        <w:t>30A), </w:t>
      </w:r>
      <w:r>
        <w:rPr>
          <w:color w:val="231F20"/>
          <w:spacing w:val="-3"/>
        </w:rPr>
        <w:t>15 </w:t>
      </w:r>
      <w:r>
        <w:rPr>
          <w:color w:val="231F20"/>
        </w:rPr>
        <w:t>y </w:t>
      </w:r>
      <w:r>
        <w:rPr>
          <w:color w:val="231F20"/>
          <w:spacing w:val="-3"/>
        </w:rPr>
        <w:t>30 de </w:t>
      </w:r>
      <w:r>
        <w:rPr>
          <w:color w:val="231F20"/>
          <w:spacing w:val="-4"/>
        </w:rPr>
        <w:t>mayo (15M </w:t>
      </w:r>
      <w:r>
        <w:rPr>
          <w:color w:val="231F20"/>
        </w:rPr>
        <w:t>y </w:t>
      </w:r>
      <w:r>
        <w:rPr>
          <w:color w:val="231F20"/>
          <w:spacing w:val="-4"/>
        </w:rPr>
        <w:t>30M) </w:t>
      </w:r>
      <w:r>
        <w:rPr>
          <w:color w:val="231F20"/>
        </w:rPr>
        <w:t>y </w:t>
      </w:r>
      <w:r>
        <w:rPr>
          <w:color w:val="231F20"/>
          <w:spacing w:val="-3"/>
        </w:rPr>
        <w:t>15 </w:t>
      </w:r>
      <w:r>
        <w:rPr>
          <w:color w:val="231F20"/>
          <w:spacing w:val="-5"/>
        </w:rPr>
        <w:t>de </w:t>
      </w:r>
      <w:r>
        <w:rPr>
          <w:color w:val="231F20"/>
          <w:spacing w:val="-4"/>
        </w:rPr>
        <w:t>junio (15J) </w:t>
      </w:r>
      <w:r>
        <w:rPr>
          <w:color w:val="231F20"/>
          <w:spacing w:val="-3"/>
        </w:rPr>
        <w:t>de </w:t>
      </w:r>
      <w:r>
        <w:rPr>
          <w:color w:val="231F20"/>
          <w:spacing w:val="-6"/>
        </w:rPr>
        <w:t>2011. </w:t>
      </w:r>
      <w:r>
        <w:rPr>
          <w:color w:val="231F20"/>
          <w:spacing w:val="-3"/>
        </w:rPr>
        <w:t>La </w:t>
      </w:r>
      <w:r>
        <w:rPr>
          <w:color w:val="231F20"/>
          <w:spacing w:val="-5"/>
        </w:rPr>
        <w:t>fertilización </w:t>
      </w:r>
      <w:r>
        <w:rPr>
          <w:color w:val="231F20"/>
          <w:spacing w:val="-3"/>
        </w:rPr>
        <w:t>se </w:t>
      </w:r>
      <w:r>
        <w:rPr>
          <w:color w:val="231F20"/>
          <w:spacing w:val="-5"/>
        </w:rPr>
        <w:t>realizó </w:t>
      </w:r>
      <w:r>
        <w:rPr>
          <w:color w:val="231F20"/>
        </w:rPr>
        <w:t>a </w:t>
      </w:r>
      <w:r>
        <w:rPr>
          <w:color w:val="231F20"/>
          <w:spacing w:val="-4"/>
        </w:rPr>
        <w:t>los </w:t>
      </w:r>
      <w:r>
        <w:rPr>
          <w:color w:val="231F20"/>
          <w:spacing w:val="-3"/>
        </w:rPr>
        <w:t>30 </w:t>
      </w:r>
      <w:r>
        <w:rPr>
          <w:color w:val="231F20"/>
          <w:spacing w:val="-4"/>
        </w:rPr>
        <w:t>días </w:t>
      </w:r>
      <w:r>
        <w:rPr>
          <w:color w:val="231F20"/>
          <w:spacing w:val="-5"/>
        </w:rPr>
        <w:t>despues </w:t>
      </w:r>
      <w:r>
        <w:rPr>
          <w:color w:val="231F20"/>
          <w:spacing w:val="-3"/>
        </w:rPr>
        <w:t>de </w:t>
      </w:r>
      <w:r>
        <w:rPr>
          <w:color w:val="231F20"/>
          <w:spacing w:val="-4"/>
        </w:rPr>
        <w:t>cada fecha </w:t>
      </w:r>
      <w:r>
        <w:rPr>
          <w:color w:val="231F20"/>
          <w:spacing w:val="-3"/>
        </w:rPr>
        <w:t>de </w:t>
      </w:r>
      <w:r>
        <w:rPr>
          <w:color w:val="231F20"/>
          <w:spacing w:val="-5"/>
        </w:rPr>
        <w:t>siembra </w:t>
      </w:r>
      <w:r>
        <w:rPr>
          <w:color w:val="231F20"/>
          <w:spacing w:val="-4"/>
        </w:rPr>
        <w:t>con </w:t>
      </w:r>
      <w:r>
        <w:rPr>
          <w:color w:val="231F20"/>
          <w:spacing w:val="-5"/>
        </w:rPr>
        <w:t>100N- </w:t>
      </w:r>
      <w:r>
        <w:rPr>
          <w:color w:val="231F20"/>
          <w:spacing w:val="-4"/>
        </w:rPr>
        <w:t>100P</w:t>
      </w:r>
      <w:r>
        <w:rPr>
          <w:color w:val="231F20"/>
          <w:spacing w:val="-15"/>
        </w:rPr>
        <w:t> </w:t>
      </w:r>
      <w:r>
        <w:rPr>
          <w:color w:val="231F20"/>
          <w:spacing w:val="-4"/>
        </w:rPr>
        <w:t>-100K</w:t>
      </w:r>
      <w:r>
        <w:rPr>
          <w:color w:val="231F20"/>
          <w:spacing w:val="-7"/>
        </w:rPr>
        <w:t> </w:t>
      </w:r>
      <w:r>
        <w:rPr>
          <w:color w:val="231F20"/>
          <w:spacing w:val="-3"/>
        </w:rPr>
        <w:t>kg</w:t>
      </w:r>
      <w:r>
        <w:rPr>
          <w:color w:val="231F20"/>
          <w:spacing w:val="-7"/>
        </w:rPr>
        <w:t> </w:t>
      </w:r>
      <w:r>
        <w:rPr>
          <w:color w:val="231F20"/>
          <w:spacing w:val="-4"/>
        </w:rPr>
        <w:t>ha</w:t>
      </w:r>
      <w:r>
        <w:rPr>
          <w:color w:val="231F20"/>
          <w:spacing w:val="-4"/>
          <w:position w:val="7"/>
          <w:sz w:val="12"/>
        </w:rPr>
        <w:t>-1</w:t>
      </w:r>
      <w:r>
        <w:rPr>
          <w:color w:val="231F20"/>
          <w:spacing w:val="-4"/>
        </w:rPr>
        <w:t>.</w:t>
      </w:r>
      <w:r>
        <w:rPr>
          <w:color w:val="231F20"/>
          <w:spacing w:val="-7"/>
        </w:rPr>
        <w:t> </w:t>
      </w:r>
      <w:r>
        <w:rPr>
          <w:color w:val="231F20"/>
          <w:spacing w:val="-3"/>
        </w:rPr>
        <w:t>Se</w:t>
      </w:r>
      <w:r>
        <w:rPr>
          <w:color w:val="231F20"/>
          <w:spacing w:val="-7"/>
        </w:rPr>
        <w:t> </w:t>
      </w:r>
      <w:r>
        <w:rPr>
          <w:color w:val="231F20"/>
          <w:spacing w:val="-5"/>
        </w:rPr>
        <w:t>aplicaron</w:t>
      </w:r>
      <w:r>
        <w:rPr>
          <w:color w:val="231F20"/>
          <w:spacing w:val="-7"/>
        </w:rPr>
        <w:t> </w:t>
      </w:r>
      <w:r>
        <w:rPr>
          <w:color w:val="231F20"/>
          <w:spacing w:val="-5"/>
        </w:rPr>
        <w:t>riegos</w:t>
      </w:r>
      <w:r>
        <w:rPr>
          <w:color w:val="231F20"/>
          <w:spacing w:val="-7"/>
        </w:rPr>
        <w:t> </w:t>
      </w:r>
      <w:r>
        <w:rPr>
          <w:color w:val="231F20"/>
          <w:spacing w:val="-3"/>
        </w:rPr>
        <w:t>de</w:t>
      </w:r>
      <w:r>
        <w:rPr>
          <w:color w:val="231F20"/>
          <w:spacing w:val="-7"/>
        </w:rPr>
        <w:t> </w:t>
      </w:r>
      <w:r>
        <w:rPr>
          <w:color w:val="231F20"/>
          <w:spacing w:val="-4"/>
        </w:rPr>
        <w:t>punta</w:t>
      </w:r>
      <w:r>
        <w:rPr>
          <w:color w:val="231F20"/>
          <w:spacing w:val="-7"/>
        </w:rPr>
        <w:t> </w:t>
      </w:r>
      <w:r>
        <w:rPr>
          <w:color w:val="231F20"/>
          <w:spacing w:val="-4"/>
        </w:rPr>
        <w:t>para</w:t>
      </w:r>
      <w:r>
        <w:rPr>
          <w:color w:val="231F20"/>
          <w:spacing w:val="-7"/>
        </w:rPr>
        <w:t> </w:t>
      </w:r>
      <w:r>
        <w:rPr>
          <w:color w:val="231F20"/>
          <w:spacing w:val="-4"/>
        </w:rPr>
        <w:t>todas</w:t>
      </w:r>
      <w:r>
        <w:rPr>
          <w:color w:val="231F20"/>
          <w:spacing w:val="-7"/>
        </w:rPr>
        <w:t> </w:t>
      </w:r>
      <w:r>
        <w:rPr>
          <w:color w:val="231F20"/>
          <w:spacing w:val="-4"/>
        </w:rPr>
        <w:t>las</w:t>
      </w:r>
      <w:r>
        <w:rPr>
          <w:color w:val="231F20"/>
          <w:spacing w:val="-7"/>
        </w:rPr>
        <w:t> </w:t>
      </w:r>
      <w:r>
        <w:rPr>
          <w:color w:val="231F20"/>
          <w:spacing w:val="-5"/>
        </w:rPr>
        <w:t>fechas</w:t>
      </w:r>
      <w:r>
        <w:rPr>
          <w:color w:val="231F20"/>
          <w:spacing w:val="-7"/>
        </w:rPr>
        <w:t> </w:t>
      </w:r>
      <w:r>
        <w:rPr>
          <w:color w:val="231F20"/>
          <w:spacing w:val="-3"/>
        </w:rPr>
        <w:t>de</w:t>
      </w:r>
      <w:r>
        <w:rPr>
          <w:color w:val="231F20"/>
          <w:spacing w:val="-7"/>
        </w:rPr>
        <w:t> </w:t>
      </w:r>
      <w:r>
        <w:rPr>
          <w:color w:val="231F20"/>
          <w:spacing w:val="-5"/>
        </w:rPr>
        <w:t>siembra </w:t>
      </w:r>
      <w:r>
        <w:rPr>
          <w:color w:val="231F20"/>
          <w:spacing w:val="-4"/>
        </w:rPr>
        <w:t>hasta</w:t>
      </w:r>
      <w:r>
        <w:rPr>
          <w:color w:val="231F20"/>
          <w:spacing w:val="-7"/>
        </w:rPr>
        <w:t> </w:t>
      </w:r>
      <w:r>
        <w:rPr>
          <w:color w:val="231F20"/>
          <w:spacing w:val="-4"/>
        </w:rPr>
        <w:t>que</w:t>
      </w:r>
      <w:r>
        <w:rPr>
          <w:color w:val="231F20"/>
          <w:spacing w:val="-7"/>
        </w:rPr>
        <w:t> </w:t>
      </w:r>
      <w:r>
        <w:rPr>
          <w:color w:val="231F20"/>
          <w:spacing w:val="-3"/>
        </w:rPr>
        <w:t>se</w:t>
      </w:r>
      <w:r>
        <w:rPr>
          <w:color w:val="231F20"/>
          <w:spacing w:val="-7"/>
        </w:rPr>
        <w:t> </w:t>
      </w:r>
      <w:r>
        <w:rPr>
          <w:color w:val="231F20"/>
          <w:spacing w:val="-5"/>
        </w:rPr>
        <w:t>estableció plenamente</w:t>
      </w:r>
      <w:r>
        <w:rPr>
          <w:color w:val="231F20"/>
          <w:spacing w:val="-15"/>
        </w:rPr>
        <w:t> </w:t>
      </w:r>
      <w:r>
        <w:rPr>
          <w:color w:val="231F20"/>
          <w:spacing w:val="-3"/>
        </w:rPr>
        <w:t>el</w:t>
      </w:r>
      <w:r>
        <w:rPr>
          <w:color w:val="231F20"/>
          <w:spacing w:val="-15"/>
        </w:rPr>
        <w:t> </w:t>
      </w:r>
      <w:r>
        <w:rPr>
          <w:color w:val="231F20"/>
          <w:spacing w:val="-5"/>
        </w:rPr>
        <w:t>periodo</w:t>
      </w:r>
      <w:r>
        <w:rPr>
          <w:color w:val="231F20"/>
          <w:spacing w:val="-15"/>
        </w:rPr>
        <w:t> </w:t>
      </w:r>
      <w:r>
        <w:rPr>
          <w:color w:val="231F20"/>
          <w:spacing w:val="-3"/>
        </w:rPr>
        <w:t>de</w:t>
      </w:r>
      <w:r>
        <w:rPr>
          <w:color w:val="231F20"/>
          <w:spacing w:val="-15"/>
        </w:rPr>
        <w:t> </w:t>
      </w:r>
      <w:r>
        <w:rPr>
          <w:color w:val="231F20"/>
          <w:spacing w:val="-5"/>
        </w:rPr>
        <w:t>lluvias.</w:t>
      </w:r>
      <w:r>
        <w:rPr>
          <w:color w:val="231F20"/>
          <w:spacing w:val="-16"/>
        </w:rPr>
        <w:t> </w:t>
      </w:r>
      <w:r>
        <w:rPr>
          <w:color w:val="231F20"/>
          <w:spacing w:val="-3"/>
        </w:rPr>
        <w:t>El</w:t>
      </w:r>
      <w:r>
        <w:rPr>
          <w:color w:val="231F20"/>
          <w:spacing w:val="-15"/>
        </w:rPr>
        <w:t> </w:t>
      </w:r>
      <w:r>
        <w:rPr>
          <w:color w:val="231F20"/>
          <w:spacing w:val="-5"/>
        </w:rPr>
        <w:t>diseño</w:t>
      </w:r>
      <w:r>
        <w:rPr>
          <w:color w:val="231F20"/>
          <w:spacing w:val="-15"/>
        </w:rPr>
        <w:t> </w:t>
      </w:r>
      <w:r>
        <w:rPr>
          <w:color w:val="231F20"/>
          <w:spacing w:val="-5"/>
        </w:rPr>
        <w:t>experimental</w:t>
      </w:r>
      <w:r>
        <w:rPr>
          <w:color w:val="231F20"/>
          <w:spacing w:val="-16"/>
        </w:rPr>
        <w:t> </w:t>
      </w:r>
      <w:r>
        <w:rPr>
          <w:color w:val="231F20"/>
          <w:spacing w:val="-4"/>
        </w:rPr>
        <w:t>fue</w:t>
      </w:r>
      <w:r>
        <w:rPr>
          <w:color w:val="231F20"/>
          <w:spacing w:val="-15"/>
        </w:rPr>
        <w:t> </w:t>
      </w:r>
      <w:r>
        <w:rPr>
          <w:color w:val="231F20"/>
          <w:spacing w:val="-3"/>
        </w:rPr>
        <w:t>de</w:t>
      </w:r>
      <w:r>
        <w:rPr>
          <w:color w:val="231F20"/>
          <w:spacing w:val="-15"/>
        </w:rPr>
        <w:t> </w:t>
      </w:r>
      <w:r>
        <w:rPr>
          <w:color w:val="231F20"/>
          <w:spacing w:val="-5"/>
        </w:rPr>
        <w:t>bloques</w:t>
      </w:r>
      <w:r>
        <w:rPr>
          <w:color w:val="231F20"/>
          <w:spacing w:val="-15"/>
        </w:rPr>
        <w:t> </w:t>
      </w:r>
      <w:r>
        <w:rPr>
          <w:color w:val="231F20"/>
          <w:spacing w:val="-5"/>
        </w:rPr>
        <w:t>completos</w:t>
      </w:r>
      <w:r>
        <w:rPr>
          <w:color w:val="231F20"/>
          <w:spacing w:val="-16"/>
        </w:rPr>
        <w:t> </w:t>
      </w:r>
      <w:r>
        <w:rPr>
          <w:color w:val="231F20"/>
          <w:spacing w:val="-3"/>
        </w:rPr>
        <w:t>al</w:t>
      </w:r>
      <w:r>
        <w:rPr>
          <w:color w:val="231F20"/>
          <w:spacing w:val="-15"/>
        </w:rPr>
        <w:t> </w:t>
      </w:r>
      <w:r>
        <w:rPr>
          <w:color w:val="231F20"/>
          <w:spacing w:val="-4"/>
        </w:rPr>
        <w:t>azar</w:t>
      </w:r>
      <w:r>
        <w:rPr>
          <w:color w:val="231F20"/>
          <w:spacing w:val="-15"/>
        </w:rPr>
        <w:t> </w:t>
      </w:r>
      <w:r>
        <w:rPr>
          <w:color w:val="231F20"/>
          <w:spacing w:val="-4"/>
        </w:rPr>
        <w:t>con</w:t>
      </w:r>
      <w:r>
        <w:rPr>
          <w:color w:val="231F20"/>
          <w:spacing w:val="-15"/>
        </w:rPr>
        <w:t> </w:t>
      </w:r>
      <w:r>
        <w:rPr>
          <w:color w:val="231F20"/>
          <w:spacing w:val="-5"/>
        </w:rPr>
        <w:t>cuatro</w:t>
      </w:r>
      <w:r>
        <w:rPr>
          <w:color w:val="231F20"/>
          <w:spacing w:val="-16"/>
        </w:rPr>
        <w:t> </w:t>
      </w:r>
      <w:r>
        <w:rPr>
          <w:color w:val="231F20"/>
          <w:spacing w:val="-4"/>
        </w:rPr>
        <w:t>repe- </w:t>
      </w:r>
      <w:r>
        <w:rPr>
          <w:color w:val="231F20"/>
          <w:spacing w:val="-5"/>
        </w:rPr>
        <w:t>ticiones.</w:t>
      </w:r>
      <w:r>
        <w:rPr>
          <w:color w:val="231F20"/>
          <w:spacing w:val="-15"/>
        </w:rPr>
        <w:t> </w:t>
      </w:r>
      <w:r>
        <w:rPr>
          <w:color w:val="231F20"/>
          <w:spacing w:val="-5"/>
        </w:rPr>
        <w:t>Durante</w:t>
      </w:r>
      <w:r>
        <w:rPr>
          <w:color w:val="231F20"/>
          <w:spacing w:val="-15"/>
        </w:rPr>
        <w:t> </w:t>
      </w:r>
      <w:r>
        <w:rPr>
          <w:color w:val="231F20"/>
          <w:spacing w:val="-3"/>
        </w:rPr>
        <w:t>el</w:t>
      </w:r>
      <w:r>
        <w:rPr>
          <w:color w:val="231F20"/>
          <w:spacing w:val="-15"/>
        </w:rPr>
        <w:t> </w:t>
      </w:r>
      <w:r>
        <w:rPr>
          <w:color w:val="231F20"/>
          <w:spacing w:val="-5"/>
        </w:rPr>
        <w:t>desarrollo</w:t>
      </w:r>
      <w:r>
        <w:rPr>
          <w:color w:val="231F20"/>
          <w:spacing w:val="-15"/>
        </w:rPr>
        <w:t> </w:t>
      </w:r>
      <w:r>
        <w:rPr>
          <w:color w:val="231F20"/>
          <w:spacing w:val="-4"/>
        </w:rPr>
        <w:t>del</w:t>
      </w:r>
      <w:r>
        <w:rPr>
          <w:color w:val="231F20"/>
          <w:spacing w:val="-15"/>
        </w:rPr>
        <w:t> </w:t>
      </w:r>
      <w:r>
        <w:rPr>
          <w:color w:val="231F20"/>
          <w:spacing w:val="-5"/>
        </w:rPr>
        <w:t>cultivo</w:t>
      </w:r>
      <w:r>
        <w:rPr>
          <w:color w:val="231F20"/>
          <w:spacing w:val="-15"/>
        </w:rPr>
        <w:t> </w:t>
      </w:r>
      <w:r>
        <w:rPr>
          <w:color w:val="231F20"/>
          <w:spacing w:val="-3"/>
        </w:rPr>
        <w:t>se</w:t>
      </w:r>
      <w:r>
        <w:rPr>
          <w:color w:val="231F20"/>
          <w:spacing w:val="-15"/>
        </w:rPr>
        <w:t> </w:t>
      </w:r>
      <w:r>
        <w:rPr>
          <w:color w:val="231F20"/>
          <w:spacing w:val="-5"/>
        </w:rPr>
        <w:t>registró</w:t>
      </w:r>
      <w:r>
        <w:rPr>
          <w:color w:val="231F20"/>
          <w:spacing w:val="-15"/>
        </w:rPr>
        <w:t> </w:t>
      </w:r>
      <w:r>
        <w:rPr>
          <w:color w:val="231F20"/>
          <w:spacing w:val="-3"/>
        </w:rPr>
        <w:t>la</w:t>
      </w:r>
      <w:r>
        <w:rPr>
          <w:color w:val="231F20"/>
          <w:spacing w:val="-15"/>
        </w:rPr>
        <w:t> </w:t>
      </w:r>
      <w:r>
        <w:rPr>
          <w:color w:val="231F20"/>
          <w:spacing w:val="-5"/>
        </w:rPr>
        <w:t>temperatura</w:t>
      </w:r>
      <w:r>
        <w:rPr>
          <w:color w:val="231F20"/>
          <w:spacing w:val="-15"/>
        </w:rPr>
        <w:t> </w:t>
      </w:r>
      <w:r>
        <w:rPr>
          <w:color w:val="231F20"/>
          <w:spacing w:val="-5"/>
        </w:rPr>
        <w:t>máxima</w:t>
      </w:r>
      <w:r>
        <w:rPr>
          <w:color w:val="231F20"/>
          <w:spacing w:val="-15"/>
        </w:rPr>
        <w:t> </w:t>
      </w:r>
      <w:r>
        <w:rPr>
          <w:color w:val="231F20"/>
          <w:spacing w:val="-5"/>
        </w:rPr>
        <w:t>(Tmáx.,</w:t>
      </w:r>
      <w:r>
        <w:rPr>
          <w:color w:val="231F20"/>
          <w:spacing w:val="-15"/>
        </w:rPr>
        <w:t> </w:t>
      </w:r>
      <w:r>
        <w:rPr>
          <w:color w:val="231F20"/>
          <w:spacing w:val="-4"/>
        </w:rPr>
        <w:t>°C)</w:t>
      </w:r>
      <w:r>
        <w:rPr>
          <w:color w:val="231F20"/>
          <w:spacing w:val="-15"/>
        </w:rPr>
        <w:t> </w:t>
      </w:r>
      <w:r>
        <w:rPr>
          <w:color w:val="231F20"/>
        </w:rPr>
        <w:t>y</w:t>
      </w:r>
      <w:r>
        <w:rPr>
          <w:color w:val="231F20"/>
          <w:spacing w:val="-15"/>
        </w:rPr>
        <w:t> </w:t>
      </w:r>
      <w:r>
        <w:rPr>
          <w:color w:val="231F20"/>
          <w:spacing w:val="-5"/>
        </w:rPr>
        <w:t>mínima</w:t>
      </w:r>
      <w:r>
        <w:rPr>
          <w:color w:val="231F20"/>
          <w:spacing w:val="-15"/>
        </w:rPr>
        <w:t> </w:t>
      </w:r>
      <w:r>
        <w:rPr>
          <w:color w:val="231F20"/>
          <w:spacing w:val="-5"/>
        </w:rPr>
        <w:t>(Tmín.,</w:t>
      </w:r>
    </w:p>
    <w:p>
      <w:pPr>
        <w:pStyle w:val="BodyText"/>
        <w:spacing w:line="249" w:lineRule="auto"/>
        <w:ind w:left="1270" w:right="1267"/>
        <w:jc w:val="both"/>
      </w:pPr>
      <w:r>
        <w:rPr>
          <w:color w:val="231F20"/>
          <w:spacing w:val="-4"/>
        </w:rPr>
        <w:t>°C),</w:t>
      </w:r>
      <w:r>
        <w:rPr>
          <w:color w:val="231F20"/>
          <w:spacing w:val="-16"/>
        </w:rPr>
        <w:t> </w:t>
      </w:r>
      <w:r>
        <w:rPr>
          <w:color w:val="231F20"/>
          <w:spacing w:val="-5"/>
        </w:rPr>
        <w:t>evaporación</w:t>
      </w:r>
      <w:r>
        <w:rPr>
          <w:color w:val="231F20"/>
          <w:spacing w:val="-16"/>
        </w:rPr>
        <w:t> </w:t>
      </w:r>
      <w:r>
        <w:rPr>
          <w:color w:val="231F20"/>
          <w:spacing w:val="-8"/>
        </w:rPr>
        <w:t>(Ev,</w:t>
      </w:r>
      <w:r>
        <w:rPr>
          <w:color w:val="231F20"/>
          <w:spacing w:val="-15"/>
        </w:rPr>
        <w:t> </w:t>
      </w:r>
      <w:r>
        <w:rPr>
          <w:color w:val="231F20"/>
          <w:spacing w:val="-4"/>
        </w:rPr>
        <w:t>mm)</w:t>
      </w:r>
      <w:r>
        <w:rPr>
          <w:color w:val="231F20"/>
          <w:spacing w:val="-16"/>
        </w:rPr>
        <w:t> </w:t>
      </w:r>
      <w:r>
        <w:rPr>
          <w:color w:val="231F20"/>
        </w:rPr>
        <w:t>y</w:t>
      </w:r>
      <w:r>
        <w:rPr>
          <w:color w:val="231F20"/>
          <w:spacing w:val="-15"/>
        </w:rPr>
        <w:t> </w:t>
      </w:r>
      <w:r>
        <w:rPr>
          <w:color w:val="231F20"/>
          <w:spacing w:val="-5"/>
        </w:rPr>
        <w:t>precipitación</w:t>
      </w:r>
      <w:r>
        <w:rPr>
          <w:color w:val="231F20"/>
          <w:spacing w:val="-15"/>
        </w:rPr>
        <w:t> </w:t>
      </w:r>
      <w:r>
        <w:rPr>
          <w:color w:val="231F20"/>
          <w:spacing w:val="-5"/>
        </w:rPr>
        <w:t>diaria</w:t>
      </w:r>
      <w:r>
        <w:rPr>
          <w:color w:val="231F20"/>
          <w:spacing w:val="-15"/>
        </w:rPr>
        <w:t> </w:t>
      </w:r>
      <w:r>
        <w:rPr>
          <w:color w:val="231F20"/>
          <w:spacing w:val="-10"/>
        </w:rPr>
        <w:t>(PP,</w:t>
      </w:r>
      <w:r>
        <w:rPr>
          <w:color w:val="231F20"/>
          <w:spacing w:val="-15"/>
        </w:rPr>
        <w:t> </w:t>
      </w:r>
      <w:r>
        <w:rPr>
          <w:color w:val="231F20"/>
          <w:spacing w:val="-4"/>
        </w:rPr>
        <w:t>mm).</w:t>
      </w:r>
      <w:r>
        <w:rPr>
          <w:color w:val="231F20"/>
          <w:spacing w:val="-16"/>
        </w:rPr>
        <w:t> </w:t>
      </w:r>
      <w:r>
        <w:rPr>
          <w:color w:val="231F20"/>
          <w:spacing w:val="-3"/>
        </w:rPr>
        <w:t>Se</w:t>
      </w:r>
      <w:r>
        <w:rPr>
          <w:color w:val="231F20"/>
          <w:spacing w:val="-15"/>
        </w:rPr>
        <w:t> </w:t>
      </w:r>
      <w:r>
        <w:rPr>
          <w:color w:val="231F20"/>
          <w:spacing w:val="-5"/>
        </w:rPr>
        <w:t>registraron</w:t>
      </w:r>
      <w:r>
        <w:rPr>
          <w:color w:val="231F20"/>
          <w:spacing w:val="-15"/>
        </w:rPr>
        <w:t> </w:t>
      </w:r>
      <w:r>
        <w:rPr>
          <w:color w:val="231F20"/>
          <w:spacing w:val="-4"/>
        </w:rPr>
        <w:t>las</w:t>
      </w:r>
      <w:r>
        <w:rPr>
          <w:color w:val="231F20"/>
          <w:spacing w:val="-16"/>
        </w:rPr>
        <w:t> </w:t>
      </w:r>
      <w:r>
        <w:rPr>
          <w:color w:val="231F20"/>
          <w:spacing w:val="-5"/>
        </w:rPr>
        <w:t>etapas</w:t>
      </w:r>
      <w:r>
        <w:rPr>
          <w:color w:val="231F20"/>
          <w:spacing w:val="-16"/>
        </w:rPr>
        <w:t> </w:t>
      </w:r>
      <w:r>
        <w:rPr>
          <w:color w:val="231F20"/>
          <w:spacing w:val="-5"/>
        </w:rPr>
        <w:t>fenológicas</w:t>
      </w:r>
      <w:r>
        <w:rPr>
          <w:color w:val="231F20"/>
          <w:spacing w:val="-15"/>
        </w:rPr>
        <w:t> </w:t>
      </w:r>
      <w:r>
        <w:rPr>
          <w:color w:val="231F20"/>
          <w:spacing w:val="-4"/>
        </w:rPr>
        <w:t>para</w:t>
      </w:r>
      <w:r>
        <w:rPr>
          <w:color w:val="231F20"/>
          <w:spacing w:val="-15"/>
        </w:rPr>
        <w:t> </w:t>
      </w:r>
      <w:r>
        <w:rPr>
          <w:color w:val="231F20"/>
          <w:spacing w:val="-5"/>
        </w:rPr>
        <w:t>FCH </w:t>
      </w:r>
      <w:r>
        <w:rPr>
          <w:color w:val="231F20"/>
          <w:spacing w:val="-4"/>
        </w:rPr>
        <w:t>que </w:t>
      </w:r>
      <w:r>
        <w:rPr>
          <w:color w:val="231F20"/>
          <w:spacing w:val="-5"/>
        </w:rPr>
        <w:t>fueron: </w:t>
      </w:r>
      <w:r>
        <w:rPr>
          <w:color w:val="231F20"/>
          <w:spacing w:val="-4"/>
        </w:rPr>
        <w:t>días </w:t>
      </w:r>
      <w:r>
        <w:rPr>
          <w:color w:val="231F20"/>
        </w:rPr>
        <w:t>a </w:t>
      </w:r>
      <w:r>
        <w:rPr>
          <w:color w:val="231F20"/>
          <w:spacing w:val="-5"/>
        </w:rPr>
        <w:t>emergencia </w:t>
      </w:r>
      <w:r>
        <w:rPr>
          <w:color w:val="231F20"/>
          <w:spacing w:val="-4"/>
        </w:rPr>
        <w:t>(E), </w:t>
      </w:r>
      <w:r>
        <w:rPr>
          <w:color w:val="231F20"/>
        </w:rPr>
        <w:t>a </w:t>
      </w:r>
      <w:r>
        <w:rPr>
          <w:color w:val="231F20"/>
          <w:spacing w:val="-5"/>
        </w:rPr>
        <w:t>inicio </w:t>
      </w:r>
      <w:r>
        <w:rPr>
          <w:color w:val="231F20"/>
          <w:spacing w:val="-3"/>
        </w:rPr>
        <w:t>de </w:t>
      </w:r>
      <w:r>
        <w:rPr>
          <w:color w:val="231F20"/>
          <w:spacing w:val="-5"/>
        </w:rPr>
        <w:t>antesis </w:t>
      </w:r>
      <w:r>
        <w:rPr>
          <w:color w:val="231F20"/>
          <w:spacing w:val="-4"/>
        </w:rPr>
        <w:t>(R6) </w:t>
      </w:r>
      <w:r>
        <w:rPr>
          <w:color w:val="231F20"/>
        </w:rPr>
        <w:t>y a </w:t>
      </w:r>
      <w:r>
        <w:rPr>
          <w:color w:val="231F20"/>
          <w:spacing w:val="-5"/>
        </w:rPr>
        <w:t>madurez fisiológica </w:t>
      </w:r>
      <w:r>
        <w:rPr>
          <w:color w:val="231F20"/>
          <w:spacing w:val="-4"/>
        </w:rPr>
        <w:t>(R9) </w:t>
      </w:r>
      <w:r>
        <w:rPr>
          <w:color w:val="231F20"/>
          <w:spacing w:val="-5"/>
        </w:rPr>
        <w:t>(Escalante </w:t>
      </w:r>
      <w:r>
        <w:rPr>
          <w:color w:val="231F20"/>
        </w:rPr>
        <w:t>y </w:t>
      </w:r>
      <w:r>
        <w:rPr>
          <w:color w:val="231F20"/>
          <w:spacing w:val="-4"/>
        </w:rPr>
        <w:t>Ko- </w:t>
      </w:r>
      <w:r>
        <w:rPr>
          <w:color w:val="231F20"/>
          <w:spacing w:val="-5"/>
        </w:rPr>
        <w:t>hashi,</w:t>
      </w:r>
      <w:r>
        <w:rPr>
          <w:color w:val="231F20"/>
          <w:spacing w:val="-11"/>
        </w:rPr>
        <w:t> </w:t>
      </w:r>
      <w:r>
        <w:rPr>
          <w:color w:val="231F20"/>
          <w:spacing w:val="-5"/>
        </w:rPr>
        <w:t>1993).</w:t>
      </w:r>
      <w:r>
        <w:rPr>
          <w:color w:val="231F20"/>
          <w:spacing w:val="-15"/>
        </w:rPr>
        <w:t> </w:t>
      </w:r>
      <w:r>
        <w:rPr>
          <w:color w:val="231F20"/>
          <w:spacing w:val="-7"/>
        </w:rPr>
        <w:t>También</w:t>
      </w:r>
      <w:r>
        <w:rPr>
          <w:color w:val="231F20"/>
          <w:spacing w:val="-11"/>
        </w:rPr>
        <w:t> </w:t>
      </w:r>
      <w:r>
        <w:rPr>
          <w:color w:val="231F20"/>
          <w:spacing w:val="-3"/>
        </w:rPr>
        <w:t>se</w:t>
      </w:r>
      <w:r>
        <w:rPr>
          <w:color w:val="231F20"/>
          <w:spacing w:val="-11"/>
        </w:rPr>
        <w:t> </w:t>
      </w:r>
      <w:r>
        <w:rPr>
          <w:color w:val="231F20"/>
          <w:spacing w:val="-5"/>
        </w:rPr>
        <w:t>calculó</w:t>
      </w:r>
      <w:r>
        <w:rPr>
          <w:color w:val="231F20"/>
          <w:spacing w:val="-12"/>
        </w:rPr>
        <w:t> </w:t>
      </w:r>
      <w:r>
        <w:rPr>
          <w:color w:val="231F20"/>
          <w:spacing w:val="-3"/>
        </w:rPr>
        <w:t>la</w:t>
      </w:r>
      <w:r>
        <w:rPr>
          <w:color w:val="231F20"/>
          <w:spacing w:val="-11"/>
        </w:rPr>
        <w:t> </w:t>
      </w:r>
      <w:r>
        <w:rPr>
          <w:color w:val="231F20"/>
          <w:spacing w:val="-5"/>
        </w:rPr>
        <w:t>acumulación</w:t>
      </w:r>
      <w:r>
        <w:rPr>
          <w:color w:val="231F20"/>
          <w:spacing w:val="-12"/>
        </w:rPr>
        <w:t> </w:t>
      </w:r>
      <w:r>
        <w:rPr>
          <w:color w:val="231F20"/>
          <w:spacing w:val="-3"/>
        </w:rPr>
        <w:t>de</w:t>
      </w:r>
      <w:r>
        <w:rPr>
          <w:color w:val="231F20"/>
          <w:spacing w:val="-11"/>
        </w:rPr>
        <w:t> </w:t>
      </w:r>
      <w:r>
        <w:rPr>
          <w:color w:val="231F20"/>
          <w:spacing w:val="-4"/>
        </w:rPr>
        <w:t>calor</w:t>
      </w:r>
      <w:r>
        <w:rPr>
          <w:color w:val="231F20"/>
          <w:spacing w:val="-11"/>
        </w:rPr>
        <w:t> </w:t>
      </w:r>
      <w:r>
        <w:rPr>
          <w:color w:val="231F20"/>
          <w:spacing w:val="-4"/>
        </w:rPr>
        <w:t>por</w:t>
      </w:r>
      <w:r>
        <w:rPr>
          <w:color w:val="231F20"/>
          <w:spacing w:val="-11"/>
        </w:rPr>
        <w:t> </w:t>
      </w:r>
      <w:r>
        <w:rPr>
          <w:color w:val="231F20"/>
          <w:spacing w:val="-3"/>
        </w:rPr>
        <w:t>el</w:t>
      </w:r>
      <w:r>
        <w:rPr>
          <w:color w:val="231F20"/>
          <w:spacing w:val="-11"/>
        </w:rPr>
        <w:t> </w:t>
      </w:r>
      <w:r>
        <w:rPr>
          <w:color w:val="231F20"/>
          <w:spacing w:val="-5"/>
        </w:rPr>
        <w:t>cultivo</w:t>
      </w:r>
      <w:r>
        <w:rPr>
          <w:color w:val="231F20"/>
          <w:spacing w:val="-12"/>
        </w:rPr>
        <w:t> </w:t>
      </w:r>
      <w:r>
        <w:rPr>
          <w:color w:val="231F20"/>
          <w:spacing w:val="-4"/>
        </w:rPr>
        <w:t>con</w:t>
      </w:r>
      <w:r>
        <w:rPr>
          <w:color w:val="231F20"/>
          <w:spacing w:val="-11"/>
        </w:rPr>
        <w:t> </w:t>
      </w:r>
      <w:r>
        <w:rPr>
          <w:color w:val="231F20"/>
          <w:spacing w:val="-4"/>
        </w:rPr>
        <w:t>base</w:t>
      </w:r>
      <w:r>
        <w:rPr>
          <w:color w:val="231F20"/>
          <w:spacing w:val="-11"/>
        </w:rPr>
        <w:t> </w:t>
      </w:r>
      <w:r>
        <w:rPr>
          <w:color w:val="231F20"/>
        </w:rPr>
        <w:t>a</w:t>
      </w:r>
      <w:r>
        <w:rPr>
          <w:color w:val="231F20"/>
          <w:spacing w:val="-11"/>
        </w:rPr>
        <w:t> </w:t>
      </w:r>
      <w:r>
        <w:rPr>
          <w:color w:val="231F20"/>
          <w:spacing w:val="-5"/>
        </w:rPr>
        <w:t>unidades</w:t>
      </w:r>
      <w:r>
        <w:rPr>
          <w:color w:val="231F20"/>
          <w:spacing w:val="-11"/>
        </w:rPr>
        <w:t> </w:t>
      </w:r>
      <w:r>
        <w:rPr>
          <w:color w:val="231F20"/>
          <w:spacing w:val="-4"/>
        </w:rPr>
        <w:t>calor</w:t>
      </w:r>
      <w:r>
        <w:rPr>
          <w:color w:val="231F20"/>
          <w:spacing w:val="-11"/>
        </w:rPr>
        <w:t> </w:t>
      </w:r>
      <w:r>
        <w:rPr>
          <w:color w:val="231F20"/>
          <w:spacing w:val="-4"/>
        </w:rPr>
        <w:t>(UC,</w:t>
      </w:r>
      <w:r>
        <w:rPr>
          <w:color w:val="231F20"/>
          <w:spacing w:val="-11"/>
        </w:rPr>
        <w:t> </w:t>
      </w:r>
      <w:r>
        <w:rPr>
          <w:color w:val="231F20"/>
          <w:spacing w:val="-5"/>
        </w:rPr>
        <w:t>°C </w:t>
      </w:r>
      <w:r>
        <w:rPr>
          <w:color w:val="231F20"/>
          <w:spacing w:val="-3"/>
        </w:rPr>
        <w:t>d</w:t>
      </w:r>
      <w:r>
        <w:rPr>
          <w:color w:val="231F20"/>
          <w:spacing w:val="-3"/>
          <w:position w:val="7"/>
          <w:sz w:val="12"/>
        </w:rPr>
        <w:t>-1</w:t>
      </w:r>
      <w:r>
        <w:rPr>
          <w:color w:val="231F20"/>
          <w:spacing w:val="-3"/>
        </w:rPr>
        <w:t>)</w:t>
      </w:r>
      <w:r>
        <w:rPr>
          <w:color w:val="231F20"/>
          <w:spacing w:val="-12"/>
        </w:rPr>
        <w:t> </w:t>
      </w:r>
      <w:r>
        <w:rPr>
          <w:color w:val="231F20"/>
          <w:spacing w:val="-5"/>
        </w:rPr>
        <w:t>mediante</w:t>
      </w:r>
      <w:r>
        <w:rPr>
          <w:color w:val="231F20"/>
          <w:spacing w:val="-12"/>
        </w:rPr>
        <w:t> </w:t>
      </w:r>
      <w:r>
        <w:rPr>
          <w:color w:val="231F20"/>
          <w:spacing w:val="-3"/>
        </w:rPr>
        <w:t>el</w:t>
      </w:r>
      <w:r>
        <w:rPr>
          <w:color w:val="231F20"/>
          <w:spacing w:val="-11"/>
        </w:rPr>
        <w:t> </w:t>
      </w:r>
      <w:r>
        <w:rPr>
          <w:color w:val="231F20"/>
          <w:spacing w:val="-5"/>
        </w:rPr>
        <w:t>método</w:t>
      </w:r>
      <w:r>
        <w:rPr>
          <w:color w:val="231F20"/>
          <w:spacing w:val="-12"/>
        </w:rPr>
        <w:t> </w:t>
      </w:r>
      <w:r>
        <w:rPr>
          <w:color w:val="231F20"/>
          <w:spacing w:val="-5"/>
        </w:rPr>
        <w:t>residual</w:t>
      </w:r>
      <w:r>
        <w:rPr>
          <w:color w:val="231F20"/>
          <w:spacing w:val="-11"/>
        </w:rPr>
        <w:t> </w:t>
      </w:r>
      <w:r>
        <w:rPr>
          <w:color w:val="231F20"/>
          <w:spacing w:val="-6"/>
        </w:rPr>
        <w:t>(Snyder,</w:t>
      </w:r>
      <w:r>
        <w:rPr>
          <w:color w:val="231F20"/>
          <w:spacing w:val="-11"/>
        </w:rPr>
        <w:t> </w:t>
      </w:r>
      <w:r>
        <w:rPr>
          <w:color w:val="231F20"/>
          <w:spacing w:val="-5"/>
        </w:rPr>
        <w:t>1985),</w:t>
      </w:r>
      <w:r>
        <w:rPr>
          <w:color w:val="231F20"/>
          <w:spacing w:val="-12"/>
        </w:rPr>
        <w:t> </w:t>
      </w:r>
      <w:r>
        <w:rPr>
          <w:color w:val="231F20"/>
          <w:spacing w:val="-3"/>
        </w:rPr>
        <w:t>la</w:t>
      </w:r>
      <w:r>
        <w:rPr>
          <w:color w:val="231F20"/>
          <w:spacing w:val="-12"/>
        </w:rPr>
        <w:t> </w:t>
      </w:r>
      <w:r>
        <w:rPr>
          <w:color w:val="231F20"/>
          <w:spacing w:val="-5"/>
        </w:rPr>
        <w:t>relación</w:t>
      </w:r>
      <w:r>
        <w:rPr>
          <w:color w:val="231F20"/>
          <w:spacing w:val="-11"/>
        </w:rPr>
        <w:t> </w:t>
      </w:r>
      <w:r>
        <w:rPr>
          <w:color w:val="231F20"/>
          <w:spacing w:val="-4"/>
        </w:rPr>
        <w:t>es:</w:t>
      </w:r>
      <w:r>
        <w:rPr>
          <w:color w:val="231F20"/>
          <w:spacing w:val="-12"/>
        </w:rPr>
        <w:t> </w:t>
      </w:r>
      <w:r>
        <w:rPr>
          <w:color w:val="231F20"/>
          <w:spacing w:val="-3"/>
        </w:rPr>
        <w:t>UC</w:t>
      </w:r>
      <w:r>
        <w:rPr>
          <w:color w:val="231F20"/>
          <w:spacing w:val="-11"/>
        </w:rPr>
        <w:t> </w:t>
      </w:r>
      <w:r>
        <w:rPr>
          <w:color w:val="231F20"/>
        </w:rPr>
        <w:t>=</w:t>
      </w:r>
      <w:r>
        <w:rPr>
          <w:color w:val="231F20"/>
          <w:spacing w:val="-11"/>
        </w:rPr>
        <w:t> </w:t>
      </w:r>
      <w:r>
        <w:rPr>
          <w:color w:val="231F20"/>
          <w:spacing w:val="-4"/>
        </w:rPr>
        <w:t>[Tmax</w:t>
      </w:r>
      <w:r>
        <w:rPr>
          <w:color w:val="231F20"/>
          <w:spacing w:val="-11"/>
        </w:rPr>
        <w:t> </w:t>
      </w:r>
      <w:r>
        <w:rPr>
          <w:color w:val="231F20"/>
        </w:rPr>
        <w:t>+</w:t>
      </w:r>
      <w:r>
        <w:rPr>
          <w:color w:val="231F20"/>
          <w:spacing w:val="-15"/>
        </w:rPr>
        <w:t> </w:t>
      </w:r>
      <w:r>
        <w:rPr>
          <w:color w:val="231F20"/>
          <w:spacing w:val="-5"/>
        </w:rPr>
        <w:t>Tmin/2]</w:t>
      </w:r>
      <w:r>
        <w:rPr>
          <w:color w:val="231F20"/>
          <w:spacing w:val="-12"/>
        </w:rPr>
        <w:t> </w:t>
      </w:r>
      <w:r>
        <w:rPr>
          <w:color w:val="231F20"/>
        </w:rPr>
        <w:t>–</w:t>
      </w:r>
      <w:r>
        <w:rPr>
          <w:color w:val="231F20"/>
          <w:spacing w:val="-15"/>
        </w:rPr>
        <w:t> </w:t>
      </w:r>
      <w:r>
        <w:rPr>
          <w:color w:val="231F20"/>
          <w:spacing w:val="-4"/>
        </w:rPr>
        <w:t>Tb,</w:t>
      </w:r>
      <w:r>
        <w:rPr>
          <w:color w:val="231F20"/>
          <w:spacing w:val="-12"/>
        </w:rPr>
        <w:t> </w:t>
      </w:r>
      <w:r>
        <w:rPr>
          <w:color w:val="231F20"/>
          <w:spacing w:val="-4"/>
        </w:rPr>
        <w:t>donde</w:t>
      </w:r>
      <w:r>
        <w:rPr>
          <w:color w:val="231F20"/>
          <w:spacing w:val="-15"/>
        </w:rPr>
        <w:t> </w:t>
      </w:r>
      <w:r>
        <w:rPr>
          <w:color w:val="231F20"/>
          <w:spacing w:val="-5"/>
        </w:rPr>
        <w:t>Tmax</w:t>
      </w:r>
    </w:p>
    <w:p>
      <w:pPr>
        <w:pStyle w:val="BodyText"/>
        <w:spacing w:line="247" w:lineRule="auto"/>
        <w:ind w:left="1270" w:right="1270"/>
        <w:jc w:val="both"/>
      </w:pPr>
      <w:r>
        <w:rPr>
          <w:color w:val="231F20"/>
        </w:rPr>
        <w:t>=</w:t>
      </w:r>
      <w:r>
        <w:rPr>
          <w:color w:val="231F20"/>
          <w:spacing w:val="-8"/>
        </w:rPr>
        <w:t> </w:t>
      </w:r>
      <w:r>
        <w:rPr>
          <w:color w:val="231F20"/>
          <w:spacing w:val="-5"/>
        </w:rPr>
        <w:t>temperatura</w:t>
      </w:r>
      <w:r>
        <w:rPr>
          <w:color w:val="231F20"/>
          <w:spacing w:val="-8"/>
        </w:rPr>
        <w:t> </w:t>
      </w:r>
      <w:r>
        <w:rPr>
          <w:color w:val="231F20"/>
          <w:spacing w:val="-5"/>
        </w:rPr>
        <w:t>máxima,</w:t>
      </w:r>
      <w:r>
        <w:rPr>
          <w:color w:val="231F20"/>
          <w:spacing w:val="-12"/>
        </w:rPr>
        <w:t> </w:t>
      </w:r>
      <w:r>
        <w:rPr>
          <w:color w:val="231F20"/>
          <w:spacing w:val="-4"/>
        </w:rPr>
        <w:t>Tmín</w:t>
      </w:r>
      <w:r>
        <w:rPr>
          <w:color w:val="231F20"/>
          <w:spacing w:val="-8"/>
        </w:rPr>
        <w:t> </w:t>
      </w:r>
      <w:r>
        <w:rPr>
          <w:color w:val="231F20"/>
        </w:rPr>
        <w:t>=</w:t>
      </w:r>
      <w:r>
        <w:rPr>
          <w:color w:val="231F20"/>
          <w:spacing w:val="-8"/>
        </w:rPr>
        <w:t> </w:t>
      </w:r>
      <w:r>
        <w:rPr>
          <w:color w:val="231F20"/>
          <w:spacing w:val="-5"/>
        </w:rPr>
        <w:t>temperatura</w:t>
      </w:r>
      <w:r>
        <w:rPr>
          <w:color w:val="231F20"/>
          <w:spacing w:val="-8"/>
        </w:rPr>
        <w:t> </w:t>
      </w:r>
      <w:r>
        <w:rPr>
          <w:color w:val="231F20"/>
          <w:spacing w:val="-5"/>
        </w:rPr>
        <w:t>mínima</w:t>
      </w:r>
      <w:r>
        <w:rPr>
          <w:color w:val="231F20"/>
          <w:spacing w:val="-8"/>
        </w:rPr>
        <w:t> </w:t>
      </w:r>
      <w:r>
        <w:rPr>
          <w:color w:val="231F20"/>
        </w:rPr>
        <w:t>y</w:t>
      </w:r>
      <w:r>
        <w:rPr>
          <w:color w:val="231F20"/>
          <w:spacing w:val="-12"/>
        </w:rPr>
        <w:t> </w:t>
      </w:r>
      <w:r>
        <w:rPr>
          <w:color w:val="231F20"/>
          <w:spacing w:val="-3"/>
        </w:rPr>
        <w:t>Tb</w:t>
      </w:r>
      <w:r>
        <w:rPr>
          <w:color w:val="231F20"/>
          <w:spacing w:val="-8"/>
        </w:rPr>
        <w:t> </w:t>
      </w:r>
      <w:r>
        <w:rPr>
          <w:color w:val="231F20"/>
        </w:rPr>
        <w:t>=</w:t>
      </w:r>
      <w:r>
        <w:rPr>
          <w:color w:val="231F20"/>
          <w:spacing w:val="-8"/>
        </w:rPr>
        <w:t> </w:t>
      </w:r>
      <w:r>
        <w:rPr>
          <w:color w:val="231F20"/>
          <w:spacing w:val="-5"/>
        </w:rPr>
        <w:t>temperatura</w:t>
      </w:r>
      <w:r>
        <w:rPr>
          <w:color w:val="231F20"/>
          <w:spacing w:val="-8"/>
        </w:rPr>
        <w:t> </w:t>
      </w:r>
      <w:r>
        <w:rPr>
          <w:color w:val="231F20"/>
          <w:spacing w:val="-4"/>
        </w:rPr>
        <w:t>base</w:t>
      </w:r>
      <w:r>
        <w:rPr>
          <w:color w:val="231F20"/>
          <w:spacing w:val="-8"/>
        </w:rPr>
        <w:t> </w:t>
      </w:r>
      <w:r>
        <w:rPr>
          <w:color w:val="231F20"/>
          <w:spacing w:val="-4"/>
        </w:rPr>
        <w:t>que</w:t>
      </w:r>
      <w:r>
        <w:rPr>
          <w:color w:val="231F20"/>
          <w:spacing w:val="-8"/>
        </w:rPr>
        <w:t> </w:t>
      </w:r>
      <w:r>
        <w:rPr>
          <w:color w:val="231F20"/>
          <w:spacing w:val="-3"/>
        </w:rPr>
        <w:t>es</w:t>
      </w:r>
      <w:r>
        <w:rPr>
          <w:color w:val="231F20"/>
          <w:spacing w:val="-8"/>
        </w:rPr>
        <w:t> </w:t>
      </w:r>
      <w:r>
        <w:rPr>
          <w:color w:val="231F20"/>
          <w:spacing w:val="-3"/>
        </w:rPr>
        <w:t>de</w:t>
      </w:r>
      <w:r>
        <w:rPr>
          <w:color w:val="231F20"/>
          <w:spacing w:val="-8"/>
        </w:rPr>
        <w:t> </w:t>
      </w:r>
      <w:r>
        <w:rPr>
          <w:color w:val="231F20"/>
          <w:spacing w:val="-3"/>
        </w:rPr>
        <w:t>10</w:t>
      </w:r>
      <w:r>
        <w:rPr>
          <w:color w:val="231F20"/>
          <w:spacing w:val="-8"/>
        </w:rPr>
        <w:t> </w:t>
      </w:r>
      <w:r>
        <w:rPr>
          <w:color w:val="231F20"/>
          <w:spacing w:val="-3"/>
        </w:rPr>
        <w:t>°C</w:t>
      </w:r>
      <w:r>
        <w:rPr>
          <w:color w:val="231F20"/>
          <w:spacing w:val="-8"/>
        </w:rPr>
        <w:t> </w:t>
      </w:r>
      <w:r>
        <w:rPr>
          <w:color w:val="231F20"/>
          <w:spacing w:val="-3"/>
        </w:rPr>
        <w:t>de</w:t>
      </w:r>
      <w:r>
        <w:rPr>
          <w:color w:val="231F20"/>
          <w:spacing w:val="-8"/>
        </w:rPr>
        <w:t> </w:t>
      </w:r>
      <w:r>
        <w:rPr>
          <w:color w:val="231F20"/>
          <w:spacing w:val="-5"/>
        </w:rPr>
        <w:t>acuerdo </w:t>
      </w:r>
      <w:r>
        <w:rPr>
          <w:color w:val="231F20"/>
          <w:spacing w:val="-4"/>
        </w:rPr>
        <w:t>con </w:t>
      </w:r>
      <w:r>
        <w:rPr>
          <w:color w:val="231F20"/>
          <w:spacing w:val="-5"/>
        </w:rPr>
        <w:t>Barrios </w:t>
      </w:r>
      <w:r>
        <w:rPr>
          <w:color w:val="231F20"/>
        </w:rPr>
        <w:t>y </w:t>
      </w:r>
      <w:r>
        <w:rPr>
          <w:color w:val="231F20"/>
          <w:spacing w:val="-5"/>
        </w:rPr>
        <w:t>López, (2009). </w:t>
      </w:r>
      <w:r>
        <w:rPr>
          <w:color w:val="231F20"/>
          <w:spacing w:val="-3"/>
        </w:rPr>
        <w:t>La </w:t>
      </w:r>
      <w:r>
        <w:rPr>
          <w:color w:val="231F20"/>
          <w:spacing w:val="-5"/>
        </w:rPr>
        <w:t>evapotranspiración </w:t>
      </w:r>
      <w:r>
        <w:rPr>
          <w:color w:val="231F20"/>
          <w:spacing w:val="-4"/>
        </w:rPr>
        <w:t>del </w:t>
      </w:r>
      <w:r>
        <w:rPr>
          <w:color w:val="231F20"/>
          <w:spacing w:val="-5"/>
        </w:rPr>
        <w:t>cultivo </w:t>
      </w:r>
      <w:r>
        <w:rPr>
          <w:color w:val="231F20"/>
          <w:spacing w:val="-7"/>
        </w:rPr>
        <w:t>(ETc) </w:t>
      </w:r>
      <w:r>
        <w:rPr>
          <w:color w:val="231F20"/>
          <w:spacing w:val="-3"/>
        </w:rPr>
        <w:t>se </w:t>
      </w:r>
      <w:r>
        <w:rPr>
          <w:color w:val="231F20"/>
          <w:spacing w:val="-5"/>
        </w:rPr>
        <w:t>calculó </w:t>
      </w:r>
      <w:r>
        <w:rPr>
          <w:color w:val="231F20"/>
        </w:rPr>
        <w:t>a </w:t>
      </w:r>
      <w:r>
        <w:rPr>
          <w:color w:val="231F20"/>
          <w:spacing w:val="-5"/>
        </w:rPr>
        <w:t>partir </w:t>
      </w:r>
      <w:r>
        <w:rPr>
          <w:color w:val="231F20"/>
          <w:spacing w:val="-3"/>
        </w:rPr>
        <w:t>de </w:t>
      </w:r>
      <w:r>
        <w:rPr>
          <w:color w:val="231F20"/>
          <w:spacing w:val="-4"/>
        </w:rPr>
        <w:t>los datos </w:t>
      </w:r>
      <w:r>
        <w:rPr>
          <w:color w:val="231F20"/>
          <w:spacing w:val="-5"/>
        </w:rPr>
        <w:t>de evaporación </w:t>
      </w:r>
      <w:r>
        <w:rPr>
          <w:color w:val="231F20"/>
          <w:spacing w:val="-4"/>
        </w:rPr>
        <w:t>del </w:t>
      </w:r>
      <w:r>
        <w:rPr>
          <w:color w:val="231F20"/>
          <w:spacing w:val="-5"/>
        </w:rPr>
        <w:t>tanque </w:t>
      </w:r>
      <w:r>
        <w:rPr>
          <w:color w:val="231F20"/>
          <w:spacing w:val="-4"/>
        </w:rPr>
        <w:t>tipo </w:t>
      </w:r>
      <w:r>
        <w:rPr>
          <w:color w:val="231F20"/>
          <w:spacing w:val="-3"/>
        </w:rPr>
        <w:t>A, </w:t>
      </w:r>
      <w:r>
        <w:rPr>
          <w:color w:val="231F20"/>
          <w:spacing w:val="-5"/>
        </w:rPr>
        <w:t>usando </w:t>
      </w:r>
      <w:r>
        <w:rPr>
          <w:color w:val="231F20"/>
          <w:spacing w:val="-4"/>
        </w:rPr>
        <w:t>0.75 como </w:t>
      </w:r>
      <w:r>
        <w:rPr>
          <w:color w:val="231F20"/>
          <w:spacing w:val="-5"/>
        </w:rPr>
        <w:t>coeficiente </w:t>
      </w:r>
      <w:r>
        <w:rPr>
          <w:color w:val="231F20"/>
          <w:spacing w:val="-4"/>
        </w:rPr>
        <w:t>del </w:t>
      </w:r>
      <w:r>
        <w:rPr>
          <w:color w:val="231F20"/>
          <w:spacing w:val="-5"/>
        </w:rPr>
        <w:t>evaporímetro </w:t>
      </w:r>
      <w:r>
        <w:rPr>
          <w:color w:val="231F20"/>
          <w:spacing w:val="-4"/>
        </w:rPr>
        <w:t>(Ke) </w:t>
      </w:r>
      <w:r>
        <w:rPr>
          <w:color w:val="231F20"/>
        </w:rPr>
        <w:t>y </w:t>
      </w:r>
      <w:r>
        <w:rPr>
          <w:color w:val="231F20"/>
          <w:spacing w:val="-5"/>
        </w:rPr>
        <w:t>valores </w:t>
      </w:r>
      <w:r>
        <w:rPr>
          <w:color w:val="231F20"/>
          <w:spacing w:val="-3"/>
        </w:rPr>
        <w:t>de Kc </w:t>
      </w:r>
      <w:r>
        <w:rPr>
          <w:color w:val="231F20"/>
          <w:spacing w:val="-5"/>
        </w:rPr>
        <w:t>en función</w:t>
      </w:r>
      <w:r>
        <w:rPr>
          <w:color w:val="231F20"/>
          <w:spacing w:val="-8"/>
        </w:rPr>
        <w:t> </w:t>
      </w:r>
      <w:r>
        <w:rPr>
          <w:color w:val="231F20"/>
          <w:spacing w:val="-3"/>
        </w:rPr>
        <w:t>al</w:t>
      </w:r>
      <w:r>
        <w:rPr>
          <w:color w:val="231F20"/>
          <w:spacing w:val="-8"/>
        </w:rPr>
        <w:t> </w:t>
      </w:r>
      <w:r>
        <w:rPr>
          <w:color w:val="231F20"/>
          <w:spacing w:val="-5"/>
        </w:rPr>
        <w:t>desarrollo</w:t>
      </w:r>
      <w:r>
        <w:rPr>
          <w:color w:val="231F20"/>
          <w:spacing w:val="-8"/>
        </w:rPr>
        <w:t> </w:t>
      </w:r>
      <w:r>
        <w:rPr>
          <w:color w:val="231F20"/>
          <w:spacing w:val="-4"/>
        </w:rPr>
        <w:t>del</w:t>
      </w:r>
      <w:r>
        <w:rPr>
          <w:color w:val="231F20"/>
          <w:spacing w:val="-8"/>
        </w:rPr>
        <w:t> </w:t>
      </w:r>
      <w:r>
        <w:rPr>
          <w:color w:val="231F20"/>
          <w:spacing w:val="-5"/>
        </w:rPr>
        <w:t>cultivo,</w:t>
      </w:r>
      <w:r>
        <w:rPr>
          <w:color w:val="231F20"/>
          <w:spacing w:val="-8"/>
        </w:rPr>
        <w:t> </w:t>
      </w:r>
      <w:r>
        <w:rPr>
          <w:color w:val="231F20"/>
        </w:rPr>
        <w:t>a</w:t>
      </w:r>
      <w:r>
        <w:rPr>
          <w:color w:val="231F20"/>
          <w:spacing w:val="-8"/>
        </w:rPr>
        <w:t> </w:t>
      </w:r>
      <w:r>
        <w:rPr>
          <w:color w:val="231F20"/>
          <w:spacing w:val="-5"/>
        </w:rPr>
        <w:t>partir</w:t>
      </w:r>
      <w:r>
        <w:rPr>
          <w:color w:val="231F20"/>
          <w:spacing w:val="-8"/>
        </w:rPr>
        <w:t> </w:t>
      </w:r>
      <w:r>
        <w:rPr>
          <w:color w:val="231F20"/>
          <w:spacing w:val="-3"/>
        </w:rPr>
        <w:t>de</w:t>
      </w:r>
      <w:r>
        <w:rPr>
          <w:color w:val="231F20"/>
          <w:spacing w:val="-8"/>
        </w:rPr>
        <w:t> </w:t>
      </w:r>
      <w:r>
        <w:rPr>
          <w:color w:val="231F20"/>
          <w:spacing w:val="-3"/>
        </w:rPr>
        <w:t>la</w:t>
      </w:r>
      <w:r>
        <w:rPr>
          <w:color w:val="231F20"/>
          <w:spacing w:val="-8"/>
        </w:rPr>
        <w:t> </w:t>
      </w:r>
      <w:r>
        <w:rPr>
          <w:color w:val="231F20"/>
          <w:spacing w:val="-5"/>
        </w:rPr>
        <w:t>siguiente</w:t>
      </w:r>
      <w:r>
        <w:rPr>
          <w:color w:val="231F20"/>
          <w:spacing w:val="-7"/>
        </w:rPr>
        <w:t> </w:t>
      </w:r>
      <w:r>
        <w:rPr>
          <w:color w:val="231F20"/>
          <w:spacing w:val="-5"/>
        </w:rPr>
        <w:t>relación;</w:t>
      </w:r>
      <w:r>
        <w:rPr>
          <w:color w:val="231F20"/>
          <w:spacing w:val="-7"/>
        </w:rPr>
        <w:t> </w:t>
      </w:r>
      <w:r>
        <w:rPr>
          <w:color w:val="231F20"/>
          <w:spacing w:val="-9"/>
        </w:rPr>
        <w:t>ETc</w:t>
      </w:r>
      <w:r>
        <w:rPr>
          <w:color w:val="231F20"/>
          <w:spacing w:val="-8"/>
        </w:rPr>
        <w:t> </w:t>
      </w:r>
      <w:r>
        <w:rPr>
          <w:color w:val="231F20"/>
        </w:rPr>
        <w:t>=</w:t>
      </w:r>
      <w:r>
        <w:rPr>
          <w:color w:val="231F20"/>
          <w:spacing w:val="-8"/>
        </w:rPr>
        <w:t> </w:t>
      </w:r>
      <w:r>
        <w:rPr>
          <w:color w:val="231F20"/>
          <w:spacing w:val="-5"/>
        </w:rPr>
        <w:t>Ev*Ke*Kc</w:t>
      </w:r>
      <w:r>
        <w:rPr>
          <w:color w:val="231F20"/>
          <w:spacing w:val="-8"/>
        </w:rPr>
        <w:t> </w:t>
      </w:r>
      <w:r>
        <w:rPr>
          <w:color w:val="231F20"/>
          <w:spacing w:val="-5"/>
        </w:rPr>
        <w:t>(Allen</w:t>
      </w:r>
      <w:r>
        <w:rPr>
          <w:color w:val="231F20"/>
          <w:spacing w:val="-8"/>
        </w:rPr>
        <w:t> </w:t>
      </w:r>
      <w:r>
        <w:rPr>
          <w:i/>
          <w:color w:val="231F20"/>
          <w:spacing w:val="-3"/>
        </w:rPr>
        <w:t>et</w:t>
      </w:r>
      <w:r>
        <w:rPr>
          <w:i/>
          <w:color w:val="231F20"/>
          <w:spacing w:val="-8"/>
        </w:rPr>
        <w:t> </w:t>
      </w:r>
      <w:r>
        <w:rPr>
          <w:i/>
          <w:color w:val="231F20"/>
          <w:spacing w:val="-4"/>
        </w:rPr>
        <w:t>al.</w:t>
      </w:r>
      <w:r>
        <w:rPr>
          <w:color w:val="231F20"/>
          <w:spacing w:val="-4"/>
        </w:rPr>
        <w:t>,</w:t>
      </w:r>
      <w:r>
        <w:rPr>
          <w:color w:val="231F20"/>
          <w:spacing w:val="-8"/>
        </w:rPr>
        <w:t> </w:t>
      </w:r>
      <w:r>
        <w:rPr>
          <w:color w:val="231F20"/>
          <w:spacing w:val="-5"/>
        </w:rPr>
        <w:t>2006).</w:t>
      </w:r>
    </w:p>
    <w:p>
      <w:pPr>
        <w:pStyle w:val="BodyText"/>
        <w:spacing w:before="10"/>
      </w:pPr>
    </w:p>
    <w:p>
      <w:pPr>
        <w:pStyle w:val="BodyText"/>
        <w:spacing w:line="249" w:lineRule="auto"/>
        <w:ind w:left="1270" w:right="1275"/>
        <w:jc w:val="both"/>
      </w:pPr>
      <w:r>
        <w:rPr>
          <w:color w:val="231F20"/>
        </w:rPr>
        <w:t>A</w:t>
      </w:r>
      <w:r>
        <w:rPr>
          <w:color w:val="231F20"/>
          <w:spacing w:val="-28"/>
        </w:rPr>
        <w:t> </w:t>
      </w:r>
      <w:r>
        <w:rPr>
          <w:color w:val="231F20"/>
          <w:spacing w:val="-5"/>
        </w:rPr>
        <w:t>la</w:t>
      </w:r>
      <w:r>
        <w:rPr>
          <w:color w:val="231F20"/>
          <w:spacing w:val="-17"/>
        </w:rPr>
        <w:t> </w:t>
      </w:r>
      <w:r>
        <w:rPr>
          <w:color w:val="231F20"/>
          <w:spacing w:val="-8"/>
        </w:rPr>
        <w:t>cosecha</w:t>
      </w:r>
      <w:r>
        <w:rPr>
          <w:color w:val="231F20"/>
          <w:spacing w:val="-17"/>
        </w:rPr>
        <w:t> </w:t>
      </w:r>
      <w:r>
        <w:rPr>
          <w:color w:val="231F20"/>
          <w:spacing w:val="-5"/>
        </w:rPr>
        <w:t>se</w:t>
      </w:r>
      <w:r>
        <w:rPr>
          <w:color w:val="231F20"/>
          <w:spacing w:val="-17"/>
        </w:rPr>
        <w:t> </w:t>
      </w:r>
      <w:r>
        <w:rPr>
          <w:color w:val="231F20"/>
          <w:spacing w:val="-8"/>
        </w:rPr>
        <w:t>registró</w:t>
      </w:r>
      <w:r>
        <w:rPr>
          <w:color w:val="231F20"/>
          <w:spacing w:val="-17"/>
        </w:rPr>
        <w:t> </w:t>
      </w:r>
      <w:r>
        <w:rPr>
          <w:color w:val="231F20"/>
          <w:spacing w:val="-5"/>
        </w:rPr>
        <w:t>la</w:t>
      </w:r>
      <w:r>
        <w:rPr>
          <w:color w:val="231F20"/>
          <w:spacing w:val="-17"/>
        </w:rPr>
        <w:t> </w:t>
      </w:r>
      <w:r>
        <w:rPr>
          <w:color w:val="231F20"/>
          <w:spacing w:val="-8"/>
        </w:rPr>
        <w:t>biomasa</w:t>
      </w:r>
      <w:r>
        <w:rPr>
          <w:color w:val="231F20"/>
          <w:spacing w:val="-17"/>
        </w:rPr>
        <w:t> </w:t>
      </w:r>
      <w:r>
        <w:rPr>
          <w:color w:val="231F20"/>
          <w:spacing w:val="-8"/>
        </w:rPr>
        <w:t>aérea</w:t>
      </w:r>
      <w:r>
        <w:rPr>
          <w:color w:val="231F20"/>
          <w:spacing w:val="-17"/>
        </w:rPr>
        <w:t> </w:t>
      </w:r>
      <w:r>
        <w:rPr>
          <w:color w:val="231F20"/>
          <w:spacing w:val="-8"/>
        </w:rPr>
        <w:t>total</w:t>
      </w:r>
      <w:r>
        <w:rPr>
          <w:color w:val="231F20"/>
          <w:spacing w:val="-17"/>
        </w:rPr>
        <w:t> </w:t>
      </w:r>
      <w:r>
        <w:rPr>
          <w:color w:val="231F20"/>
          <w:spacing w:val="-11"/>
        </w:rPr>
        <w:t>(BT,</w:t>
      </w:r>
      <w:r>
        <w:rPr>
          <w:color w:val="231F20"/>
          <w:spacing w:val="-17"/>
        </w:rPr>
        <w:t> </w:t>
      </w:r>
      <w:r>
        <w:rPr>
          <w:color w:val="231F20"/>
        </w:rPr>
        <w:t>g</w:t>
      </w:r>
      <w:r>
        <w:rPr>
          <w:color w:val="231F20"/>
          <w:spacing w:val="-17"/>
        </w:rPr>
        <w:t> </w:t>
      </w:r>
      <w:r>
        <w:rPr>
          <w:color w:val="231F20"/>
          <w:spacing w:val="-6"/>
        </w:rPr>
        <w:t>m</w:t>
      </w:r>
      <w:r>
        <w:rPr>
          <w:color w:val="231F20"/>
          <w:spacing w:val="-6"/>
          <w:position w:val="7"/>
          <w:sz w:val="12"/>
        </w:rPr>
        <w:t>-2</w:t>
      </w:r>
      <w:r>
        <w:rPr>
          <w:color w:val="231F20"/>
          <w:spacing w:val="-6"/>
        </w:rPr>
        <w:t>),</w:t>
      </w:r>
      <w:r>
        <w:rPr>
          <w:color w:val="231F20"/>
          <w:spacing w:val="-17"/>
        </w:rPr>
        <w:t> </w:t>
      </w:r>
      <w:r>
        <w:rPr>
          <w:color w:val="231F20"/>
          <w:spacing w:val="-8"/>
        </w:rPr>
        <w:t>índice</w:t>
      </w:r>
      <w:r>
        <w:rPr>
          <w:color w:val="231F20"/>
          <w:spacing w:val="-17"/>
        </w:rPr>
        <w:t> </w:t>
      </w:r>
      <w:r>
        <w:rPr>
          <w:color w:val="231F20"/>
          <w:spacing w:val="-5"/>
        </w:rPr>
        <w:t>de</w:t>
      </w:r>
      <w:r>
        <w:rPr>
          <w:color w:val="231F20"/>
          <w:spacing w:val="-17"/>
        </w:rPr>
        <w:t> </w:t>
      </w:r>
      <w:r>
        <w:rPr>
          <w:color w:val="231F20"/>
          <w:spacing w:val="-8"/>
        </w:rPr>
        <w:t>cosecha</w:t>
      </w:r>
      <w:r>
        <w:rPr>
          <w:color w:val="231F20"/>
          <w:spacing w:val="-17"/>
        </w:rPr>
        <w:t> </w:t>
      </w:r>
      <w:r>
        <w:rPr>
          <w:color w:val="231F20"/>
          <w:spacing w:val="-6"/>
        </w:rPr>
        <w:t>(IC</w:t>
      </w:r>
      <w:r>
        <w:rPr>
          <w:color w:val="231F20"/>
          <w:spacing w:val="-17"/>
        </w:rPr>
        <w:t> </w:t>
      </w:r>
      <w:r>
        <w:rPr>
          <w:color w:val="231F20"/>
        </w:rPr>
        <w:t>=</w:t>
      </w:r>
      <w:r>
        <w:rPr>
          <w:color w:val="231F20"/>
          <w:spacing w:val="-17"/>
        </w:rPr>
        <w:t> </w:t>
      </w:r>
      <w:r>
        <w:rPr>
          <w:color w:val="231F20"/>
          <w:spacing w:val="-10"/>
        </w:rPr>
        <w:t>RG/BT,</w:t>
      </w:r>
      <w:r>
        <w:rPr>
          <w:color w:val="231F20"/>
          <w:spacing w:val="-17"/>
        </w:rPr>
        <w:t> </w:t>
      </w:r>
      <w:r>
        <w:rPr>
          <w:color w:val="231F20"/>
          <w:spacing w:val="-6"/>
        </w:rPr>
        <w:t>%),</w:t>
      </w:r>
      <w:r>
        <w:rPr>
          <w:color w:val="231F20"/>
          <w:spacing w:val="-17"/>
        </w:rPr>
        <w:t> </w:t>
      </w:r>
      <w:r>
        <w:rPr>
          <w:color w:val="231F20"/>
          <w:spacing w:val="-9"/>
        </w:rPr>
        <w:t>rendimiento</w:t>
      </w:r>
      <w:r>
        <w:rPr>
          <w:color w:val="231F20"/>
          <w:spacing w:val="-16"/>
        </w:rPr>
        <w:t> </w:t>
      </w:r>
      <w:r>
        <w:rPr>
          <w:color w:val="231F20"/>
          <w:spacing w:val="-9"/>
        </w:rPr>
        <w:t>de </w:t>
      </w:r>
      <w:r>
        <w:rPr>
          <w:color w:val="231F20"/>
          <w:spacing w:val="-8"/>
        </w:rPr>
        <w:t>grano</w:t>
      </w:r>
      <w:r>
        <w:rPr>
          <w:color w:val="231F20"/>
          <w:spacing w:val="-11"/>
        </w:rPr>
        <w:t> </w:t>
      </w:r>
      <w:r>
        <w:rPr>
          <w:color w:val="231F20"/>
          <w:spacing w:val="-7"/>
        </w:rPr>
        <w:t>(RG,</w:t>
      </w:r>
      <w:r>
        <w:rPr>
          <w:color w:val="231F20"/>
          <w:spacing w:val="-11"/>
        </w:rPr>
        <w:t> </w:t>
      </w:r>
      <w:r>
        <w:rPr>
          <w:color w:val="231F20"/>
          <w:spacing w:val="-7"/>
        </w:rPr>
        <w:t>peso</w:t>
      </w:r>
      <w:r>
        <w:rPr>
          <w:color w:val="231F20"/>
          <w:spacing w:val="-11"/>
        </w:rPr>
        <w:t> </w:t>
      </w:r>
      <w:r>
        <w:rPr>
          <w:color w:val="231F20"/>
          <w:spacing w:val="-5"/>
        </w:rPr>
        <w:t>de</w:t>
      </w:r>
      <w:r>
        <w:rPr>
          <w:color w:val="231F20"/>
          <w:spacing w:val="-11"/>
        </w:rPr>
        <w:t> </w:t>
      </w:r>
      <w:r>
        <w:rPr>
          <w:color w:val="231F20"/>
          <w:spacing w:val="-8"/>
        </w:rPr>
        <w:t>granos</w:t>
      </w:r>
      <w:r>
        <w:rPr>
          <w:color w:val="231F20"/>
          <w:spacing w:val="-11"/>
        </w:rPr>
        <w:t> </w:t>
      </w:r>
      <w:r>
        <w:rPr>
          <w:color w:val="231F20"/>
          <w:spacing w:val="-5"/>
        </w:rPr>
        <w:t>al</w:t>
      </w:r>
      <w:r>
        <w:rPr>
          <w:color w:val="231F20"/>
          <w:spacing w:val="-11"/>
        </w:rPr>
        <w:t> </w:t>
      </w:r>
      <w:r>
        <w:rPr>
          <w:color w:val="231F20"/>
          <w:spacing w:val="-5"/>
        </w:rPr>
        <w:t>10</w:t>
      </w:r>
      <w:r>
        <w:rPr>
          <w:color w:val="231F20"/>
          <w:spacing w:val="-11"/>
        </w:rPr>
        <w:t> </w:t>
      </w:r>
      <w:r>
        <w:rPr>
          <w:color w:val="231F20"/>
        </w:rPr>
        <w:t>%</w:t>
      </w:r>
      <w:r>
        <w:rPr>
          <w:color w:val="231F20"/>
          <w:spacing w:val="-11"/>
        </w:rPr>
        <w:t> </w:t>
      </w:r>
      <w:r>
        <w:rPr>
          <w:color w:val="231F20"/>
          <w:spacing w:val="-5"/>
        </w:rPr>
        <w:t>de</w:t>
      </w:r>
      <w:r>
        <w:rPr>
          <w:color w:val="231F20"/>
          <w:spacing w:val="-11"/>
        </w:rPr>
        <w:t> </w:t>
      </w:r>
      <w:r>
        <w:rPr>
          <w:color w:val="231F20"/>
          <w:spacing w:val="-8"/>
        </w:rPr>
        <w:t>humedad,</w:t>
      </w:r>
      <w:r>
        <w:rPr>
          <w:color w:val="231F20"/>
          <w:spacing w:val="-11"/>
        </w:rPr>
        <w:t> </w:t>
      </w:r>
      <w:r>
        <w:rPr>
          <w:color w:val="231F20"/>
        </w:rPr>
        <w:t>g</w:t>
      </w:r>
      <w:r>
        <w:rPr>
          <w:color w:val="231F20"/>
          <w:spacing w:val="-11"/>
        </w:rPr>
        <w:t> </w:t>
      </w:r>
      <w:r>
        <w:rPr>
          <w:color w:val="231F20"/>
          <w:spacing w:val="-6"/>
        </w:rPr>
        <w:t>m</w:t>
      </w:r>
      <w:r>
        <w:rPr>
          <w:color w:val="231F20"/>
          <w:spacing w:val="-6"/>
          <w:position w:val="7"/>
          <w:sz w:val="12"/>
        </w:rPr>
        <w:t>-2</w:t>
      </w:r>
      <w:r>
        <w:rPr>
          <w:color w:val="231F20"/>
          <w:spacing w:val="-6"/>
        </w:rPr>
        <w:t>),</w:t>
      </w:r>
      <w:r>
        <w:rPr>
          <w:color w:val="231F20"/>
          <w:spacing w:val="-11"/>
        </w:rPr>
        <w:t> </w:t>
      </w:r>
      <w:r>
        <w:rPr>
          <w:color w:val="231F20"/>
          <w:spacing w:val="-8"/>
        </w:rPr>
        <w:t>número</w:t>
      </w:r>
      <w:r>
        <w:rPr>
          <w:color w:val="231F20"/>
          <w:spacing w:val="-11"/>
        </w:rPr>
        <w:t> </w:t>
      </w:r>
      <w:r>
        <w:rPr>
          <w:color w:val="231F20"/>
          <w:spacing w:val="-5"/>
        </w:rPr>
        <w:t>de</w:t>
      </w:r>
      <w:r>
        <w:rPr>
          <w:color w:val="231F20"/>
          <w:spacing w:val="-11"/>
        </w:rPr>
        <w:t> </w:t>
      </w:r>
      <w:r>
        <w:rPr>
          <w:color w:val="231F20"/>
          <w:spacing w:val="-8"/>
        </w:rPr>
        <w:t>granos</w:t>
      </w:r>
      <w:r>
        <w:rPr>
          <w:color w:val="231F20"/>
          <w:spacing w:val="-11"/>
        </w:rPr>
        <w:t> </w:t>
      </w:r>
      <w:r>
        <w:rPr>
          <w:color w:val="231F20"/>
          <w:spacing w:val="-6"/>
        </w:rPr>
        <w:t>por</w:t>
      </w:r>
      <w:r>
        <w:rPr>
          <w:color w:val="231F20"/>
          <w:spacing w:val="-11"/>
        </w:rPr>
        <w:t> </w:t>
      </w:r>
      <w:r>
        <w:rPr>
          <w:color w:val="231F20"/>
          <w:spacing w:val="-5"/>
        </w:rPr>
        <w:t>m2</w:t>
      </w:r>
      <w:r>
        <w:rPr>
          <w:color w:val="231F20"/>
          <w:spacing w:val="-11"/>
        </w:rPr>
        <w:t> </w:t>
      </w:r>
      <w:r>
        <w:rPr>
          <w:color w:val="231F20"/>
          <w:spacing w:val="-8"/>
        </w:rPr>
        <w:t>(NG),</w:t>
      </w:r>
      <w:r>
        <w:rPr>
          <w:color w:val="231F20"/>
          <w:spacing w:val="-11"/>
        </w:rPr>
        <w:t> </w:t>
      </w:r>
      <w:r>
        <w:rPr>
          <w:color w:val="231F20"/>
          <w:spacing w:val="-7"/>
        </w:rPr>
        <w:t>peso</w:t>
      </w:r>
      <w:r>
        <w:rPr>
          <w:color w:val="231F20"/>
          <w:spacing w:val="-11"/>
        </w:rPr>
        <w:t> </w:t>
      </w:r>
      <w:r>
        <w:rPr>
          <w:color w:val="231F20"/>
          <w:spacing w:val="-5"/>
        </w:rPr>
        <w:t>de</w:t>
      </w:r>
      <w:r>
        <w:rPr>
          <w:color w:val="231F20"/>
          <w:spacing w:val="-11"/>
        </w:rPr>
        <w:t> </w:t>
      </w:r>
      <w:r>
        <w:rPr>
          <w:color w:val="231F20"/>
          <w:spacing w:val="-7"/>
        </w:rPr>
        <w:t>cien</w:t>
      </w:r>
      <w:r>
        <w:rPr>
          <w:color w:val="231F20"/>
          <w:spacing w:val="-11"/>
        </w:rPr>
        <w:t> </w:t>
      </w:r>
      <w:r>
        <w:rPr>
          <w:color w:val="231F20"/>
          <w:spacing w:val="-9"/>
        </w:rPr>
        <w:t>granos </w:t>
      </w:r>
      <w:r>
        <w:rPr>
          <w:color w:val="231F20"/>
          <w:spacing w:val="-8"/>
        </w:rPr>
        <w:t>(P100G),</w:t>
      </w:r>
      <w:r>
        <w:rPr>
          <w:color w:val="231F20"/>
          <w:spacing w:val="-11"/>
        </w:rPr>
        <w:t> </w:t>
      </w:r>
      <w:r>
        <w:rPr>
          <w:color w:val="231F20"/>
          <w:spacing w:val="-8"/>
        </w:rPr>
        <w:t>número</w:t>
      </w:r>
      <w:r>
        <w:rPr>
          <w:color w:val="231F20"/>
          <w:spacing w:val="-11"/>
        </w:rPr>
        <w:t> </w:t>
      </w:r>
      <w:r>
        <w:rPr>
          <w:color w:val="231F20"/>
          <w:spacing w:val="-5"/>
        </w:rPr>
        <w:t>de</w:t>
      </w:r>
      <w:r>
        <w:rPr>
          <w:color w:val="231F20"/>
          <w:spacing w:val="-11"/>
        </w:rPr>
        <w:t> </w:t>
      </w:r>
      <w:r>
        <w:rPr>
          <w:color w:val="231F20"/>
          <w:spacing w:val="-8"/>
        </w:rPr>
        <w:t>vainas</w:t>
      </w:r>
      <w:r>
        <w:rPr>
          <w:color w:val="231F20"/>
          <w:spacing w:val="-11"/>
        </w:rPr>
        <w:t> </w:t>
      </w:r>
      <w:r>
        <w:rPr>
          <w:color w:val="231F20"/>
          <w:spacing w:val="-8"/>
        </w:rPr>
        <w:t>normales</w:t>
      </w:r>
      <w:r>
        <w:rPr>
          <w:color w:val="231F20"/>
          <w:spacing w:val="-11"/>
        </w:rPr>
        <w:t> </w:t>
      </w:r>
      <w:r>
        <w:rPr>
          <w:color w:val="231F20"/>
          <w:spacing w:val="-6"/>
        </w:rPr>
        <w:t>por</w:t>
      </w:r>
      <w:r>
        <w:rPr>
          <w:color w:val="231F20"/>
          <w:spacing w:val="-11"/>
        </w:rPr>
        <w:t> </w:t>
      </w:r>
      <w:r>
        <w:rPr>
          <w:color w:val="231F20"/>
          <w:spacing w:val="-5"/>
        </w:rPr>
        <w:t>m2</w:t>
      </w:r>
      <w:r>
        <w:rPr>
          <w:color w:val="231F20"/>
          <w:spacing w:val="-11"/>
        </w:rPr>
        <w:t> </w:t>
      </w:r>
      <w:r>
        <w:rPr>
          <w:color w:val="231F20"/>
          <w:spacing w:val="-7"/>
        </w:rPr>
        <w:t>(NV)</w:t>
      </w:r>
      <w:r>
        <w:rPr>
          <w:color w:val="231F20"/>
          <w:spacing w:val="-11"/>
        </w:rPr>
        <w:t> </w:t>
      </w:r>
      <w:r>
        <w:rPr>
          <w:color w:val="231F20"/>
        </w:rPr>
        <w:t>y</w:t>
      </w:r>
      <w:r>
        <w:rPr>
          <w:color w:val="231F20"/>
          <w:spacing w:val="-11"/>
        </w:rPr>
        <w:t> </w:t>
      </w:r>
      <w:r>
        <w:rPr>
          <w:color w:val="231F20"/>
          <w:spacing w:val="-8"/>
        </w:rPr>
        <w:t>granos</w:t>
      </w:r>
      <w:r>
        <w:rPr>
          <w:color w:val="231F20"/>
          <w:spacing w:val="-11"/>
        </w:rPr>
        <w:t> </w:t>
      </w:r>
      <w:r>
        <w:rPr>
          <w:color w:val="231F20"/>
          <w:spacing w:val="-6"/>
        </w:rPr>
        <w:t>por</w:t>
      </w:r>
      <w:r>
        <w:rPr>
          <w:color w:val="231F20"/>
          <w:spacing w:val="-11"/>
        </w:rPr>
        <w:t> </w:t>
      </w:r>
      <w:r>
        <w:rPr>
          <w:color w:val="231F20"/>
          <w:spacing w:val="-8"/>
        </w:rPr>
        <w:t>vaina</w:t>
      </w:r>
      <w:r>
        <w:rPr>
          <w:color w:val="231F20"/>
          <w:spacing w:val="-11"/>
        </w:rPr>
        <w:t> </w:t>
      </w:r>
      <w:r>
        <w:rPr>
          <w:color w:val="231F20"/>
          <w:spacing w:val="-8"/>
        </w:rPr>
        <w:t>(GV).</w:t>
      </w:r>
      <w:r>
        <w:rPr>
          <w:color w:val="231F20"/>
          <w:spacing w:val="-11"/>
        </w:rPr>
        <w:t> </w:t>
      </w:r>
      <w:r>
        <w:rPr>
          <w:color w:val="231F20"/>
          <w:spacing w:val="-5"/>
        </w:rPr>
        <w:t>La</w:t>
      </w:r>
      <w:r>
        <w:rPr>
          <w:color w:val="231F20"/>
          <w:spacing w:val="-11"/>
        </w:rPr>
        <w:t> </w:t>
      </w:r>
      <w:r>
        <w:rPr>
          <w:color w:val="231F20"/>
          <w:spacing w:val="-8"/>
        </w:rPr>
        <w:t>eficiencia</w:t>
      </w:r>
      <w:r>
        <w:rPr>
          <w:color w:val="231F20"/>
          <w:spacing w:val="-11"/>
        </w:rPr>
        <w:t> </w:t>
      </w:r>
      <w:r>
        <w:rPr>
          <w:color w:val="231F20"/>
          <w:spacing w:val="-5"/>
        </w:rPr>
        <w:t>en</w:t>
      </w:r>
      <w:r>
        <w:rPr>
          <w:color w:val="231F20"/>
          <w:spacing w:val="-11"/>
        </w:rPr>
        <w:t> </w:t>
      </w:r>
      <w:r>
        <w:rPr>
          <w:color w:val="231F20"/>
          <w:spacing w:val="-5"/>
        </w:rPr>
        <w:t>el</w:t>
      </w:r>
      <w:r>
        <w:rPr>
          <w:color w:val="231F20"/>
          <w:spacing w:val="-11"/>
        </w:rPr>
        <w:t> </w:t>
      </w:r>
      <w:r>
        <w:rPr>
          <w:color w:val="231F20"/>
          <w:spacing w:val="-6"/>
        </w:rPr>
        <w:t>uso</w:t>
      </w:r>
      <w:r>
        <w:rPr>
          <w:color w:val="231F20"/>
          <w:spacing w:val="-11"/>
        </w:rPr>
        <w:t> </w:t>
      </w:r>
      <w:r>
        <w:rPr>
          <w:color w:val="231F20"/>
          <w:spacing w:val="-6"/>
        </w:rPr>
        <w:t>del</w:t>
      </w:r>
      <w:r>
        <w:rPr>
          <w:color w:val="231F20"/>
          <w:spacing w:val="-11"/>
        </w:rPr>
        <w:t> </w:t>
      </w:r>
      <w:r>
        <w:rPr>
          <w:color w:val="231F20"/>
          <w:spacing w:val="-9"/>
        </w:rPr>
        <w:t>agua </w:t>
      </w:r>
      <w:r>
        <w:rPr>
          <w:color w:val="231F20"/>
          <w:spacing w:val="-7"/>
        </w:rPr>
        <w:t>para</w:t>
      </w:r>
      <w:r>
        <w:rPr>
          <w:color w:val="231F20"/>
          <w:spacing w:val="-17"/>
        </w:rPr>
        <w:t> </w:t>
      </w:r>
      <w:r>
        <w:rPr>
          <w:color w:val="231F20"/>
          <w:spacing w:val="-5"/>
        </w:rPr>
        <w:t>BT</w:t>
      </w:r>
      <w:r>
        <w:rPr>
          <w:color w:val="231F20"/>
          <w:spacing w:val="-20"/>
        </w:rPr>
        <w:t> </w:t>
      </w:r>
      <w:r>
        <w:rPr>
          <w:color w:val="231F20"/>
        </w:rPr>
        <w:t>y</w:t>
      </w:r>
      <w:r>
        <w:rPr>
          <w:color w:val="231F20"/>
          <w:spacing w:val="-17"/>
        </w:rPr>
        <w:t> </w:t>
      </w:r>
      <w:r>
        <w:rPr>
          <w:color w:val="231F20"/>
          <w:spacing w:val="-5"/>
        </w:rPr>
        <w:t>RG</w:t>
      </w:r>
      <w:r>
        <w:rPr>
          <w:color w:val="231F20"/>
          <w:spacing w:val="-17"/>
        </w:rPr>
        <w:t> </w:t>
      </w:r>
      <w:r>
        <w:rPr>
          <w:color w:val="231F20"/>
          <w:spacing w:val="-5"/>
        </w:rPr>
        <w:t>(g</w:t>
      </w:r>
      <w:r>
        <w:rPr>
          <w:color w:val="231F20"/>
          <w:spacing w:val="-17"/>
        </w:rPr>
        <w:t> </w:t>
      </w:r>
      <w:r>
        <w:rPr>
          <w:color w:val="231F20"/>
          <w:spacing w:val="-5"/>
        </w:rPr>
        <w:t>m</w:t>
      </w:r>
      <w:r>
        <w:rPr>
          <w:color w:val="231F20"/>
          <w:spacing w:val="-5"/>
          <w:position w:val="7"/>
          <w:sz w:val="12"/>
        </w:rPr>
        <w:t>-2</w:t>
      </w:r>
      <w:r>
        <w:rPr>
          <w:color w:val="231F20"/>
          <w:spacing w:val="9"/>
          <w:position w:val="7"/>
          <w:sz w:val="12"/>
        </w:rPr>
        <w:t> </w:t>
      </w:r>
      <w:r>
        <w:rPr>
          <w:color w:val="231F20"/>
          <w:spacing w:val="-6"/>
        </w:rPr>
        <w:t>mm</w:t>
      </w:r>
      <w:r>
        <w:rPr>
          <w:color w:val="231F20"/>
          <w:spacing w:val="-6"/>
          <w:position w:val="7"/>
          <w:sz w:val="12"/>
        </w:rPr>
        <w:t>-1</w:t>
      </w:r>
      <w:r>
        <w:rPr>
          <w:color w:val="231F20"/>
          <w:spacing w:val="-6"/>
        </w:rPr>
        <w:t>)</w:t>
      </w:r>
      <w:r>
        <w:rPr>
          <w:color w:val="231F20"/>
          <w:spacing w:val="-17"/>
        </w:rPr>
        <w:t> </w:t>
      </w:r>
      <w:r>
        <w:rPr>
          <w:color w:val="231F20"/>
          <w:spacing w:val="-5"/>
        </w:rPr>
        <w:t>se</w:t>
      </w:r>
      <w:r>
        <w:rPr>
          <w:color w:val="231F20"/>
          <w:spacing w:val="-17"/>
        </w:rPr>
        <w:t> </w:t>
      </w:r>
      <w:r>
        <w:rPr>
          <w:color w:val="231F20"/>
          <w:spacing w:val="-8"/>
        </w:rPr>
        <w:t>calculó</w:t>
      </w:r>
      <w:r>
        <w:rPr>
          <w:color w:val="231F20"/>
          <w:spacing w:val="-17"/>
        </w:rPr>
        <w:t> </w:t>
      </w:r>
      <w:r>
        <w:rPr>
          <w:color w:val="231F20"/>
          <w:spacing w:val="-9"/>
        </w:rPr>
        <w:t>considerando</w:t>
      </w:r>
      <w:r>
        <w:rPr>
          <w:color w:val="231F20"/>
          <w:spacing w:val="-17"/>
        </w:rPr>
        <w:t> </w:t>
      </w:r>
      <w:r>
        <w:rPr>
          <w:color w:val="231F20"/>
          <w:spacing w:val="-6"/>
        </w:rPr>
        <w:t>las</w:t>
      </w:r>
      <w:r>
        <w:rPr>
          <w:color w:val="231F20"/>
          <w:spacing w:val="-17"/>
        </w:rPr>
        <w:t> </w:t>
      </w:r>
      <w:r>
        <w:rPr>
          <w:color w:val="231F20"/>
          <w:spacing w:val="-9"/>
        </w:rPr>
        <w:t>relaciones:</w:t>
      </w:r>
      <w:r>
        <w:rPr>
          <w:color w:val="231F20"/>
          <w:spacing w:val="-16"/>
        </w:rPr>
        <w:t> </w:t>
      </w:r>
      <w:r>
        <w:rPr>
          <w:color w:val="231F20"/>
          <w:spacing w:val="-6"/>
        </w:rPr>
        <w:t>EUA</w:t>
      </w:r>
      <w:r>
        <w:rPr>
          <w:color w:val="231F20"/>
          <w:spacing w:val="-29"/>
        </w:rPr>
        <w:t> </w:t>
      </w:r>
      <w:r>
        <w:rPr>
          <w:color w:val="231F20"/>
        </w:rPr>
        <w:t>=</w:t>
      </w:r>
      <w:r>
        <w:rPr>
          <w:color w:val="231F20"/>
          <w:spacing w:val="-17"/>
        </w:rPr>
        <w:t> </w:t>
      </w:r>
      <w:r>
        <w:rPr>
          <w:color w:val="231F20"/>
          <w:spacing w:val="-11"/>
        </w:rPr>
        <w:t>BT,</w:t>
      </w:r>
      <w:r>
        <w:rPr>
          <w:color w:val="231F20"/>
          <w:spacing w:val="-17"/>
        </w:rPr>
        <w:t> </w:t>
      </w:r>
      <w:r>
        <w:rPr>
          <w:color w:val="231F20"/>
          <w:spacing w:val="-10"/>
        </w:rPr>
        <w:t>RG/ETc</w:t>
      </w:r>
      <w:r>
        <w:rPr>
          <w:color w:val="231F20"/>
          <w:spacing w:val="-17"/>
        </w:rPr>
        <w:t> </w:t>
      </w:r>
      <w:r>
        <w:rPr>
          <w:color w:val="231F20"/>
          <w:spacing w:val="-9"/>
        </w:rPr>
        <w:t>(Escalante,</w:t>
      </w:r>
      <w:r>
        <w:rPr>
          <w:color w:val="231F20"/>
          <w:spacing w:val="-16"/>
        </w:rPr>
        <w:t> </w:t>
      </w:r>
      <w:r>
        <w:rPr>
          <w:color w:val="231F20"/>
          <w:spacing w:val="-8"/>
        </w:rPr>
        <w:t>1995).</w:t>
      </w:r>
      <w:r>
        <w:rPr>
          <w:color w:val="231F20"/>
          <w:spacing w:val="-17"/>
        </w:rPr>
        <w:t> </w:t>
      </w:r>
      <w:r>
        <w:rPr>
          <w:color w:val="231F20"/>
          <w:spacing w:val="-9"/>
        </w:rPr>
        <w:t>Los </w:t>
      </w:r>
      <w:r>
        <w:rPr>
          <w:color w:val="231F20"/>
          <w:spacing w:val="-8"/>
        </w:rPr>
        <w:t>datos </w:t>
      </w:r>
      <w:r>
        <w:rPr>
          <w:color w:val="231F20"/>
          <w:spacing w:val="-5"/>
        </w:rPr>
        <w:t>se </w:t>
      </w:r>
      <w:r>
        <w:rPr>
          <w:color w:val="231F20"/>
          <w:spacing w:val="-9"/>
        </w:rPr>
        <w:t>analizaron estadísticamente </w:t>
      </w:r>
      <w:r>
        <w:rPr>
          <w:color w:val="231F20"/>
          <w:spacing w:val="-6"/>
        </w:rPr>
        <w:t>con </w:t>
      </w:r>
      <w:r>
        <w:rPr>
          <w:color w:val="231F20"/>
          <w:spacing w:val="-5"/>
        </w:rPr>
        <w:t>el </w:t>
      </w:r>
      <w:r>
        <w:rPr>
          <w:color w:val="231F20"/>
          <w:spacing w:val="-8"/>
        </w:rPr>
        <w:t>paquete </w:t>
      </w:r>
      <w:r>
        <w:rPr>
          <w:color w:val="231F20"/>
          <w:spacing w:val="-6"/>
        </w:rPr>
        <w:t>SAS </w:t>
      </w:r>
      <w:r>
        <w:rPr>
          <w:color w:val="231F20"/>
        </w:rPr>
        <w:t>y </w:t>
      </w:r>
      <w:r>
        <w:rPr>
          <w:color w:val="231F20"/>
          <w:spacing w:val="-6"/>
        </w:rPr>
        <w:t>las </w:t>
      </w:r>
      <w:r>
        <w:rPr>
          <w:color w:val="231F20"/>
          <w:spacing w:val="-9"/>
        </w:rPr>
        <w:t>diferencias </w:t>
      </w:r>
      <w:r>
        <w:rPr>
          <w:color w:val="231F20"/>
          <w:spacing w:val="-8"/>
        </w:rPr>
        <w:t>entre </w:t>
      </w:r>
      <w:r>
        <w:rPr>
          <w:color w:val="231F20"/>
          <w:spacing w:val="-9"/>
        </w:rPr>
        <w:t>tratamientos </w:t>
      </w:r>
      <w:r>
        <w:rPr>
          <w:color w:val="231F20"/>
          <w:spacing w:val="-5"/>
        </w:rPr>
        <w:t>se </w:t>
      </w:r>
      <w:r>
        <w:rPr>
          <w:color w:val="231F20"/>
          <w:spacing w:val="-8"/>
        </w:rPr>
        <w:t>evaluaron </w:t>
      </w:r>
      <w:r>
        <w:rPr>
          <w:color w:val="231F20"/>
          <w:spacing w:val="-9"/>
        </w:rPr>
        <w:t>con </w:t>
      </w:r>
      <w:r>
        <w:rPr>
          <w:color w:val="231F20"/>
          <w:spacing w:val="-5"/>
        </w:rPr>
        <w:t>la</w:t>
      </w:r>
      <w:r>
        <w:rPr>
          <w:color w:val="231F20"/>
          <w:spacing w:val="-15"/>
        </w:rPr>
        <w:t> </w:t>
      </w:r>
      <w:r>
        <w:rPr>
          <w:color w:val="231F20"/>
          <w:spacing w:val="-8"/>
        </w:rPr>
        <w:t>prueba</w:t>
      </w:r>
      <w:r>
        <w:rPr>
          <w:color w:val="231F20"/>
          <w:spacing w:val="-15"/>
        </w:rPr>
        <w:t> </w:t>
      </w:r>
      <w:r>
        <w:rPr>
          <w:color w:val="231F20"/>
          <w:spacing w:val="-5"/>
        </w:rPr>
        <w:t>de</w:t>
      </w:r>
      <w:r>
        <w:rPr>
          <w:color w:val="231F20"/>
          <w:spacing w:val="-19"/>
        </w:rPr>
        <w:t> </w:t>
      </w:r>
      <w:r>
        <w:rPr>
          <w:color w:val="231F20"/>
          <w:spacing w:val="-9"/>
        </w:rPr>
        <w:t>Tukey</w:t>
      </w:r>
      <w:r>
        <w:rPr>
          <w:color w:val="231F20"/>
          <w:spacing w:val="-15"/>
        </w:rPr>
        <w:t> </w:t>
      </w:r>
      <w:r>
        <w:rPr>
          <w:color w:val="231F20"/>
          <w:spacing w:val="-5"/>
        </w:rPr>
        <w:t>al</w:t>
      </w:r>
      <w:r>
        <w:rPr>
          <w:color w:val="231F20"/>
          <w:spacing w:val="-15"/>
        </w:rPr>
        <w:t> </w:t>
      </w:r>
      <w:r>
        <w:rPr>
          <w:color w:val="231F20"/>
        </w:rPr>
        <w:t>5</w:t>
      </w:r>
      <w:r>
        <w:rPr>
          <w:color w:val="231F20"/>
          <w:spacing w:val="-15"/>
        </w:rPr>
        <w:t> </w:t>
      </w:r>
      <w:r>
        <w:rPr>
          <w:color w:val="231F20"/>
        </w:rPr>
        <w:t>%</w:t>
      </w:r>
      <w:r>
        <w:rPr>
          <w:color w:val="231F20"/>
          <w:spacing w:val="-15"/>
        </w:rPr>
        <w:t> </w:t>
      </w:r>
      <w:r>
        <w:rPr>
          <w:color w:val="231F20"/>
          <w:spacing w:val="-5"/>
        </w:rPr>
        <w:t>de</w:t>
      </w:r>
      <w:r>
        <w:rPr>
          <w:color w:val="231F20"/>
          <w:spacing w:val="-15"/>
        </w:rPr>
        <w:t> </w:t>
      </w:r>
      <w:r>
        <w:rPr>
          <w:color w:val="231F20"/>
          <w:spacing w:val="-9"/>
        </w:rPr>
        <w:t>probabilidad.</w:t>
      </w:r>
      <w:r>
        <w:rPr>
          <w:color w:val="231F20"/>
          <w:spacing w:val="-28"/>
        </w:rPr>
        <w:t> </w:t>
      </w:r>
      <w:r>
        <w:rPr>
          <w:color w:val="231F20"/>
          <w:spacing w:val="-9"/>
        </w:rPr>
        <w:t>Adicionalmente</w:t>
      </w:r>
      <w:r>
        <w:rPr>
          <w:color w:val="231F20"/>
          <w:spacing w:val="-14"/>
        </w:rPr>
        <w:t> </w:t>
      </w:r>
      <w:r>
        <w:rPr>
          <w:color w:val="231F20"/>
          <w:spacing w:val="-5"/>
        </w:rPr>
        <w:t>se</w:t>
      </w:r>
      <w:r>
        <w:rPr>
          <w:color w:val="231F20"/>
          <w:spacing w:val="-15"/>
        </w:rPr>
        <w:t> </w:t>
      </w:r>
      <w:r>
        <w:rPr>
          <w:color w:val="231F20"/>
          <w:spacing w:val="-9"/>
        </w:rPr>
        <w:t>correlacionó</w:t>
      </w:r>
      <w:r>
        <w:rPr>
          <w:color w:val="231F20"/>
          <w:spacing w:val="-16"/>
        </w:rPr>
        <w:t> </w:t>
      </w:r>
      <w:r>
        <w:rPr>
          <w:color w:val="231F20"/>
          <w:spacing w:val="-5"/>
        </w:rPr>
        <w:t>la</w:t>
      </w:r>
      <w:r>
        <w:rPr>
          <w:color w:val="231F20"/>
          <w:spacing w:val="-15"/>
        </w:rPr>
        <w:t> </w:t>
      </w:r>
      <w:r>
        <w:rPr>
          <w:color w:val="231F20"/>
          <w:spacing w:val="-5"/>
        </w:rPr>
        <w:t>BT</w:t>
      </w:r>
      <w:r>
        <w:rPr>
          <w:color w:val="231F20"/>
          <w:spacing w:val="-19"/>
        </w:rPr>
        <w:t> </w:t>
      </w:r>
      <w:r>
        <w:rPr>
          <w:color w:val="231F20"/>
          <w:spacing w:val="-6"/>
        </w:rPr>
        <w:t>con</w:t>
      </w:r>
      <w:r>
        <w:rPr>
          <w:color w:val="231F20"/>
          <w:spacing w:val="-15"/>
        </w:rPr>
        <w:t> </w:t>
      </w:r>
      <w:r>
        <w:rPr>
          <w:color w:val="231F20"/>
          <w:spacing w:val="-6"/>
        </w:rPr>
        <w:t>los</w:t>
      </w:r>
      <w:r>
        <w:rPr>
          <w:color w:val="231F20"/>
          <w:spacing w:val="-15"/>
        </w:rPr>
        <w:t> </w:t>
      </w:r>
      <w:r>
        <w:rPr>
          <w:color w:val="231F20"/>
          <w:spacing w:val="-8"/>
        </w:rPr>
        <w:t>índices</w:t>
      </w:r>
      <w:r>
        <w:rPr>
          <w:color w:val="231F20"/>
          <w:spacing w:val="-16"/>
        </w:rPr>
        <w:t> </w:t>
      </w:r>
      <w:r>
        <w:rPr>
          <w:color w:val="231F20"/>
          <w:spacing w:val="-9"/>
        </w:rPr>
        <w:t>climáticos.</w:t>
      </w:r>
    </w:p>
    <w:p>
      <w:pPr>
        <w:pStyle w:val="BodyText"/>
        <w:rPr>
          <w:sz w:val="20"/>
        </w:rPr>
      </w:pPr>
    </w:p>
    <w:p>
      <w:pPr>
        <w:pStyle w:val="BodyText"/>
        <w:spacing w:before="3"/>
        <w:rPr>
          <w:sz w:val="24"/>
        </w:rPr>
      </w:pPr>
    </w:p>
    <w:p>
      <w:pPr>
        <w:pStyle w:val="Heading3"/>
      </w:pPr>
      <w:r>
        <w:rPr>
          <w:color w:val="010202"/>
        </w:rPr>
        <w:t>Análisis y discusión de resultados</w:t>
      </w:r>
    </w:p>
    <w:p>
      <w:pPr>
        <w:pStyle w:val="BodyText"/>
        <w:spacing w:before="10"/>
        <w:rPr>
          <w:b/>
        </w:rPr>
      </w:pPr>
    </w:p>
    <w:p>
      <w:pPr>
        <w:pStyle w:val="Heading5"/>
      </w:pPr>
      <w:r>
        <w:rPr>
          <w:color w:val="231F20"/>
        </w:rPr>
        <w:t>Fenología y condiciones ambientales</w:t>
      </w:r>
    </w:p>
    <w:p>
      <w:pPr>
        <w:pStyle w:val="BodyText"/>
        <w:spacing w:before="8"/>
        <w:ind w:left="1270"/>
        <w:jc w:val="both"/>
      </w:pPr>
      <w:r>
        <w:rPr>
          <w:color w:val="231F20"/>
        </w:rPr>
        <w:t>Los días a ocurrencia de las etapas fenológicas mostraron cambios por efecto de la fecha de  siembra.</w:t>
      </w:r>
    </w:p>
    <w:p>
      <w:pPr>
        <w:spacing w:after="0"/>
        <w:jc w:val="both"/>
        <w:sectPr>
          <w:pgSz w:w="10920" w:h="13080"/>
          <w:pgMar w:header="0" w:footer="965" w:top="420" w:bottom="1220" w:left="0" w:right="0"/>
        </w:sectPr>
      </w:pPr>
    </w:p>
    <w:p>
      <w:pPr>
        <w:pStyle w:val="BodyText"/>
        <w:rPr>
          <w:sz w:val="20"/>
        </w:rPr>
      </w:pPr>
    </w:p>
    <w:p>
      <w:pPr>
        <w:pStyle w:val="BodyText"/>
        <w:rPr>
          <w:sz w:val="20"/>
        </w:rPr>
      </w:pPr>
    </w:p>
    <w:p>
      <w:pPr>
        <w:pStyle w:val="BodyText"/>
        <w:rPr>
          <w:sz w:val="23"/>
        </w:rPr>
      </w:pPr>
    </w:p>
    <w:p>
      <w:pPr>
        <w:pStyle w:val="BodyText"/>
        <w:spacing w:line="247" w:lineRule="auto" w:before="73"/>
        <w:ind w:left="1270" w:right="1267"/>
        <w:jc w:val="both"/>
      </w:pPr>
      <w:r>
        <w:rPr>
          <w:color w:val="231F20"/>
        </w:rPr>
        <w:t>En la </w:t>
      </w:r>
      <w:r>
        <w:rPr>
          <w:color w:val="231F20"/>
          <w:spacing w:val="-3"/>
        </w:rPr>
        <w:t>siembra </w:t>
      </w:r>
      <w:r>
        <w:rPr>
          <w:color w:val="231F20"/>
        </w:rPr>
        <w:t>del 15A en </w:t>
      </w:r>
      <w:r>
        <w:rPr>
          <w:color w:val="231F20"/>
          <w:spacing w:val="-3"/>
        </w:rPr>
        <w:t>comparación </w:t>
      </w:r>
      <w:r>
        <w:rPr>
          <w:color w:val="231F20"/>
        </w:rPr>
        <w:t>con la del </w:t>
      </w:r>
      <w:r>
        <w:rPr>
          <w:color w:val="231F20"/>
          <w:spacing w:val="-3"/>
        </w:rPr>
        <w:t>M15, </w:t>
      </w:r>
      <w:r>
        <w:rPr>
          <w:color w:val="231F20"/>
        </w:rPr>
        <w:t>se </w:t>
      </w:r>
      <w:r>
        <w:rPr>
          <w:color w:val="231F20"/>
          <w:spacing w:val="-3"/>
        </w:rPr>
        <w:t>acortó </w:t>
      </w:r>
      <w:r>
        <w:rPr>
          <w:color w:val="231F20"/>
        </w:rPr>
        <w:t>en 5 </w:t>
      </w:r>
      <w:r>
        <w:rPr>
          <w:color w:val="231F20"/>
          <w:spacing w:val="-3"/>
        </w:rPr>
        <w:t>días </w:t>
      </w:r>
      <w:r>
        <w:rPr>
          <w:color w:val="231F20"/>
        </w:rPr>
        <w:t>(d) a R6 y 5 d a R9. </w:t>
      </w:r>
      <w:r>
        <w:rPr>
          <w:color w:val="231F20"/>
          <w:spacing w:val="-3"/>
        </w:rPr>
        <w:t>Esto </w:t>
      </w:r>
      <w:r>
        <w:rPr>
          <w:color w:val="231F20"/>
        </w:rPr>
        <w:t>se </w:t>
      </w:r>
      <w:r>
        <w:rPr>
          <w:color w:val="231F20"/>
          <w:spacing w:val="-3"/>
        </w:rPr>
        <w:t>atribuye </w:t>
      </w:r>
      <w:r>
        <w:rPr>
          <w:color w:val="231F20"/>
        </w:rPr>
        <w:t>a la </w:t>
      </w:r>
      <w:r>
        <w:rPr>
          <w:color w:val="231F20"/>
          <w:spacing w:val="-3"/>
        </w:rPr>
        <w:t>disminución </w:t>
      </w:r>
      <w:r>
        <w:rPr>
          <w:color w:val="231F20"/>
        </w:rPr>
        <w:t>de la </w:t>
      </w:r>
      <w:r>
        <w:rPr>
          <w:color w:val="231F20"/>
          <w:spacing w:val="-3"/>
        </w:rPr>
        <w:t>temperatura durante </w:t>
      </w:r>
      <w:r>
        <w:rPr>
          <w:color w:val="231F20"/>
        </w:rPr>
        <w:t>el </w:t>
      </w:r>
      <w:r>
        <w:rPr>
          <w:color w:val="231F20"/>
          <w:spacing w:val="-3"/>
        </w:rPr>
        <w:t>ciclo </w:t>
      </w:r>
      <w:r>
        <w:rPr>
          <w:color w:val="231F20"/>
        </w:rPr>
        <w:t>del </w:t>
      </w:r>
      <w:r>
        <w:rPr>
          <w:color w:val="231F20"/>
          <w:spacing w:val="-3"/>
        </w:rPr>
        <w:t>cultivo, </w:t>
      </w:r>
      <w:r>
        <w:rPr>
          <w:color w:val="231F20"/>
        </w:rPr>
        <w:t>al </w:t>
      </w:r>
      <w:r>
        <w:rPr>
          <w:color w:val="231F20"/>
          <w:spacing w:val="-3"/>
        </w:rPr>
        <w:t>presentar </w:t>
      </w:r>
      <w:r>
        <w:rPr>
          <w:color w:val="231F20"/>
        </w:rPr>
        <w:t>en </w:t>
      </w:r>
      <w:r>
        <w:rPr>
          <w:color w:val="231F20"/>
          <w:spacing w:val="-3"/>
        </w:rPr>
        <w:t>promedio para</w:t>
      </w:r>
      <w:r>
        <w:rPr>
          <w:color w:val="231F20"/>
          <w:spacing w:val="-16"/>
        </w:rPr>
        <w:t> </w:t>
      </w:r>
      <w:r>
        <w:rPr>
          <w:color w:val="231F20"/>
        </w:rPr>
        <w:t>A15</w:t>
      </w:r>
      <w:r>
        <w:rPr>
          <w:color w:val="231F20"/>
          <w:spacing w:val="-8"/>
        </w:rPr>
        <w:t> </w:t>
      </w:r>
      <w:r>
        <w:rPr>
          <w:color w:val="231F20"/>
          <w:spacing w:val="-3"/>
        </w:rPr>
        <w:t>Tmáx</w:t>
      </w:r>
      <w:r>
        <w:rPr>
          <w:color w:val="231F20"/>
          <w:spacing w:val="-5"/>
        </w:rPr>
        <w:t> </w:t>
      </w:r>
      <w:r>
        <w:rPr>
          <w:color w:val="231F20"/>
        </w:rPr>
        <w:t>de</w:t>
      </w:r>
      <w:r>
        <w:rPr>
          <w:color w:val="231F20"/>
          <w:spacing w:val="-5"/>
        </w:rPr>
        <w:t> </w:t>
      </w:r>
      <w:r>
        <w:rPr>
          <w:color w:val="231F20"/>
          <w:spacing w:val="-3"/>
        </w:rPr>
        <w:t>26.4</w:t>
      </w:r>
      <w:r>
        <w:rPr>
          <w:color w:val="231F20"/>
          <w:spacing w:val="-5"/>
        </w:rPr>
        <w:t> </w:t>
      </w:r>
      <w:r>
        <w:rPr>
          <w:color w:val="231F20"/>
        </w:rPr>
        <w:t>°C</w:t>
      </w:r>
      <w:r>
        <w:rPr>
          <w:color w:val="231F20"/>
          <w:spacing w:val="-5"/>
        </w:rPr>
        <w:t> </w:t>
      </w:r>
      <w:r>
        <w:rPr>
          <w:color w:val="231F20"/>
        </w:rPr>
        <w:t>y</w:t>
      </w:r>
      <w:r>
        <w:rPr>
          <w:color w:val="231F20"/>
          <w:spacing w:val="-9"/>
        </w:rPr>
        <w:t> </w:t>
      </w:r>
      <w:r>
        <w:rPr>
          <w:color w:val="231F20"/>
          <w:spacing w:val="-3"/>
        </w:rPr>
        <w:t>Tmín</w:t>
      </w:r>
      <w:r>
        <w:rPr>
          <w:color w:val="231F20"/>
          <w:spacing w:val="-5"/>
        </w:rPr>
        <w:t> </w:t>
      </w:r>
      <w:r>
        <w:rPr>
          <w:color w:val="231F20"/>
        </w:rPr>
        <w:t>de</w:t>
      </w:r>
      <w:r>
        <w:rPr>
          <w:color w:val="231F20"/>
          <w:spacing w:val="-5"/>
        </w:rPr>
        <w:t> </w:t>
      </w:r>
      <w:r>
        <w:rPr>
          <w:color w:val="231F20"/>
          <w:spacing w:val="-4"/>
        </w:rPr>
        <w:t>11.3</w:t>
      </w:r>
      <w:r>
        <w:rPr>
          <w:color w:val="231F20"/>
          <w:spacing w:val="-5"/>
        </w:rPr>
        <w:t> </w:t>
      </w:r>
      <w:r>
        <w:rPr>
          <w:color w:val="231F20"/>
        </w:rPr>
        <w:t>°C,</w:t>
      </w:r>
      <w:r>
        <w:rPr>
          <w:color w:val="231F20"/>
          <w:spacing w:val="-5"/>
        </w:rPr>
        <w:t> </w:t>
      </w:r>
      <w:r>
        <w:rPr>
          <w:color w:val="231F20"/>
          <w:spacing w:val="-3"/>
        </w:rPr>
        <w:t>mientras</w:t>
      </w:r>
      <w:r>
        <w:rPr>
          <w:color w:val="231F20"/>
          <w:spacing w:val="-5"/>
        </w:rPr>
        <w:t> </w:t>
      </w:r>
      <w:r>
        <w:rPr>
          <w:color w:val="231F20"/>
        </w:rPr>
        <w:t>que</w:t>
      </w:r>
      <w:r>
        <w:rPr>
          <w:color w:val="231F20"/>
          <w:spacing w:val="-5"/>
        </w:rPr>
        <w:t> </w:t>
      </w:r>
      <w:r>
        <w:rPr>
          <w:color w:val="231F20"/>
          <w:spacing w:val="-3"/>
        </w:rPr>
        <w:t>para</w:t>
      </w:r>
      <w:r>
        <w:rPr>
          <w:color w:val="231F20"/>
          <w:spacing w:val="-5"/>
        </w:rPr>
        <w:t> </w:t>
      </w:r>
      <w:r>
        <w:rPr>
          <w:color w:val="231F20"/>
        </w:rPr>
        <w:t>M15</w:t>
      </w:r>
      <w:r>
        <w:rPr>
          <w:color w:val="231F20"/>
          <w:spacing w:val="-5"/>
        </w:rPr>
        <w:t> </w:t>
      </w:r>
      <w:r>
        <w:rPr>
          <w:color w:val="231F20"/>
          <w:spacing w:val="-3"/>
        </w:rPr>
        <w:t>25.3</w:t>
      </w:r>
      <w:r>
        <w:rPr>
          <w:color w:val="231F20"/>
          <w:spacing w:val="-5"/>
        </w:rPr>
        <w:t> </w:t>
      </w:r>
      <w:r>
        <w:rPr>
          <w:color w:val="231F20"/>
        </w:rPr>
        <w:t>°C</w:t>
      </w:r>
      <w:r>
        <w:rPr>
          <w:color w:val="231F20"/>
          <w:spacing w:val="-5"/>
        </w:rPr>
        <w:t> </w:t>
      </w:r>
      <w:r>
        <w:rPr>
          <w:color w:val="231F20"/>
        </w:rPr>
        <w:t>y</w:t>
      </w:r>
      <w:r>
        <w:rPr>
          <w:color w:val="231F20"/>
          <w:spacing w:val="-5"/>
        </w:rPr>
        <w:t> </w:t>
      </w:r>
      <w:r>
        <w:rPr>
          <w:color w:val="231F20"/>
          <w:spacing w:val="-3"/>
        </w:rPr>
        <w:t>10.7</w:t>
      </w:r>
      <w:r>
        <w:rPr>
          <w:color w:val="231F20"/>
          <w:spacing w:val="-5"/>
        </w:rPr>
        <w:t> </w:t>
      </w:r>
      <w:r>
        <w:rPr>
          <w:color w:val="231F20"/>
        </w:rPr>
        <w:t>°C</w:t>
      </w:r>
      <w:r>
        <w:rPr>
          <w:color w:val="231F20"/>
          <w:spacing w:val="-5"/>
        </w:rPr>
        <w:t> </w:t>
      </w:r>
      <w:r>
        <w:rPr>
          <w:color w:val="231F20"/>
          <w:spacing w:val="-3"/>
        </w:rPr>
        <w:t>para</w:t>
      </w:r>
      <w:r>
        <w:rPr>
          <w:color w:val="231F20"/>
          <w:spacing w:val="-9"/>
        </w:rPr>
        <w:t> </w:t>
      </w:r>
      <w:r>
        <w:rPr>
          <w:color w:val="231F20"/>
          <w:spacing w:val="-3"/>
        </w:rPr>
        <w:t>Tmáx</w:t>
      </w:r>
      <w:r>
        <w:rPr>
          <w:color w:val="231F20"/>
          <w:spacing w:val="-5"/>
        </w:rPr>
        <w:t> </w:t>
      </w:r>
      <w:r>
        <w:rPr>
          <w:color w:val="231F20"/>
        </w:rPr>
        <w:t>y </w:t>
      </w:r>
      <w:r>
        <w:rPr>
          <w:color w:val="231F20"/>
          <w:spacing w:val="-3"/>
        </w:rPr>
        <w:t>Tmín, respectivamente (Figura </w:t>
      </w:r>
      <w:r>
        <w:rPr>
          <w:color w:val="231F20"/>
        </w:rPr>
        <w:t>1). En el </w:t>
      </w:r>
      <w:r>
        <w:rPr>
          <w:color w:val="231F20"/>
          <w:spacing w:val="-3"/>
        </w:rPr>
        <w:t>caso </w:t>
      </w:r>
      <w:r>
        <w:rPr>
          <w:color w:val="231F20"/>
        </w:rPr>
        <w:t>de la </w:t>
      </w:r>
      <w:r>
        <w:rPr>
          <w:color w:val="231F20"/>
          <w:spacing w:val="-3"/>
        </w:rPr>
        <w:t>siembra </w:t>
      </w:r>
      <w:r>
        <w:rPr>
          <w:color w:val="231F20"/>
        </w:rPr>
        <w:t>M30 y </w:t>
      </w:r>
      <w:r>
        <w:rPr>
          <w:color w:val="231F20"/>
          <w:spacing w:val="-3"/>
        </w:rPr>
        <w:t>L15, </w:t>
      </w:r>
      <w:r>
        <w:rPr>
          <w:color w:val="231F20"/>
        </w:rPr>
        <w:t>el </w:t>
      </w:r>
      <w:r>
        <w:rPr>
          <w:color w:val="231F20"/>
          <w:spacing w:val="-3"/>
        </w:rPr>
        <w:t>ciclo </w:t>
      </w:r>
      <w:r>
        <w:rPr>
          <w:color w:val="231F20"/>
        </w:rPr>
        <w:t>del </w:t>
      </w:r>
      <w:r>
        <w:rPr>
          <w:color w:val="231F20"/>
          <w:spacing w:val="-3"/>
        </w:rPr>
        <w:t>cultivo </w:t>
      </w:r>
      <w:r>
        <w:rPr>
          <w:color w:val="231F20"/>
        </w:rPr>
        <w:t>se </w:t>
      </w:r>
      <w:r>
        <w:rPr>
          <w:color w:val="231F20"/>
          <w:spacing w:val="-4"/>
        </w:rPr>
        <w:t>alargó </w:t>
      </w:r>
      <w:r>
        <w:rPr>
          <w:color w:val="231F20"/>
        </w:rPr>
        <w:t>en</w:t>
      </w:r>
      <w:r>
        <w:rPr>
          <w:color w:val="231F20"/>
          <w:spacing w:val="-7"/>
        </w:rPr>
        <w:t> </w:t>
      </w:r>
      <w:r>
        <w:rPr>
          <w:color w:val="231F20"/>
        </w:rPr>
        <w:t>1</w:t>
      </w:r>
      <w:r>
        <w:rPr>
          <w:color w:val="231F20"/>
          <w:spacing w:val="-7"/>
        </w:rPr>
        <w:t> </w:t>
      </w:r>
      <w:r>
        <w:rPr>
          <w:color w:val="231F20"/>
        </w:rPr>
        <w:t>d</w:t>
      </w:r>
      <w:r>
        <w:rPr>
          <w:color w:val="231F20"/>
          <w:spacing w:val="-7"/>
        </w:rPr>
        <w:t> </w:t>
      </w:r>
      <w:r>
        <w:rPr>
          <w:color w:val="231F20"/>
        </w:rPr>
        <w:t>a</w:t>
      </w:r>
      <w:r>
        <w:rPr>
          <w:color w:val="231F20"/>
          <w:spacing w:val="-7"/>
        </w:rPr>
        <w:t> </w:t>
      </w:r>
      <w:r>
        <w:rPr>
          <w:color w:val="231F20"/>
        </w:rPr>
        <w:t>E,</w:t>
      </w:r>
      <w:r>
        <w:rPr>
          <w:color w:val="231F20"/>
          <w:spacing w:val="-7"/>
        </w:rPr>
        <w:t> </w:t>
      </w:r>
      <w:r>
        <w:rPr>
          <w:color w:val="231F20"/>
        </w:rPr>
        <w:t>13</w:t>
      </w:r>
      <w:r>
        <w:rPr>
          <w:color w:val="231F20"/>
          <w:spacing w:val="-7"/>
        </w:rPr>
        <w:t> </w:t>
      </w:r>
      <w:r>
        <w:rPr>
          <w:color w:val="231F20"/>
        </w:rPr>
        <w:t>y</w:t>
      </w:r>
      <w:r>
        <w:rPr>
          <w:color w:val="231F20"/>
          <w:spacing w:val="-7"/>
        </w:rPr>
        <w:t> </w:t>
      </w:r>
      <w:r>
        <w:rPr>
          <w:color w:val="231F20"/>
        </w:rPr>
        <w:t>17</w:t>
      </w:r>
      <w:r>
        <w:rPr>
          <w:color w:val="231F20"/>
          <w:spacing w:val="-7"/>
        </w:rPr>
        <w:t> </w:t>
      </w:r>
      <w:r>
        <w:rPr>
          <w:color w:val="231F20"/>
        </w:rPr>
        <w:t>d</w:t>
      </w:r>
      <w:r>
        <w:rPr>
          <w:color w:val="231F20"/>
          <w:spacing w:val="-7"/>
        </w:rPr>
        <w:t> </w:t>
      </w:r>
      <w:r>
        <w:rPr>
          <w:color w:val="231F20"/>
        </w:rPr>
        <w:t>a</w:t>
      </w:r>
      <w:r>
        <w:rPr>
          <w:color w:val="231F20"/>
          <w:spacing w:val="-7"/>
        </w:rPr>
        <w:t> </w:t>
      </w:r>
      <w:r>
        <w:rPr>
          <w:color w:val="231F20"/>
        </w:rPr>
        <w:t>R6,</w:t>
      </w:r>
      <w:r>
        <w:rPr>
          <w:color w:val="231F20"/>
          <w:spacing w:val="-7"/>
        </w:rPr>
        <w:t> </w:t>
      </w:r>
      <w:r>
        <w:rPr>
          <w:color w:val="231F20"/>
          <w:spacing w:val="-3"/>
        </w:rPr>
        <w:t>respecto</w:t>
      </w:r>
      <w:r>
        <w:rPr>
          <w:color w:val="231F20"/>
          <w:spacing w:val="-7"/>
        </w:rPr>
        <w:t> </w:t>
      </w:r>
      <w:r>
        <w:rPr>
          <w:color w:val="231F20"/>
        </w:rPr>
        <w:t>a</w:t>
      </w:r>
      <w:r>
        <w:rPr>
          <w:color w:val="231F20"/>
          <w:spacing w:val="-18"/>
        </w:rPr>
        <w:t> </w:t>
      </w:r>
      <w:r>
        <w:rPr>
          <w:color w:val="231F20"/>
        </w:rPr>
        <w:t>A15</w:t>
      </w:r>
      <w:r>
        <w:rPr>
          <w:color w:val="231F20"/>
          <w:spacing w:val="-7"/>
        </w:rPr>
        <w:t> </w:t>
      </w:r>
      <w:r>
        <w:rPr>
          <w:color w:val="231F20"/>
          <w:spacing w:val="-3"/>
        </w:rPr>
        <w:t>(Cuadro</w:t>
      </w:r>
      <w:r>
        <w:rPr>
          <w:color w:val="231F20"/>
          <w:spacing w:val="-7"/>
        </w:rPr>
        <w:t> </w:t>
      </w:r>
      <w:r>
        <w:rPr>
          <w:color w:val="231F20"/>
        </w:rPr>
        <w:t>1).</w:t>
      </w:r>
      <w:r>
        <w:rPr>
          <w:color w:val="231F20"/>
          <w:spacing w:val="-7"/>
        </w:rPr>
        <w:t> </w:t>
      </w:r>
      <w:r>
        <w:rPr>
          <w:color w:val="231F20"/>
          <w:spacing w:val="-3"/>
        </w:rPr>
        <w:t>Estas</w:t>
      </w:r>
      <w:r>
        <w:rPr>
          <w:color w:val="231F20"/>
          <w:spacing w:val="-7"/>
        </w:rPr>
        <w:t> </w:t>
      </w:r>
      <w:r>
        <w:rPr>
          <w:color w:val="231F20"/>
        </w:rPr>
        <w:t>dos</w:t>
      </w:r>
      <w:r>
        <w:rPr>
          <w:color w:val="231F20"/>
          <w:spacing w:val="-7"/>
        </w:rPr>
        <w:t> </w:t>
      </w:r>
      <w:r>
        <w:rPr>
          <w:color w:val="231F20"/>
          <w:spacing w:val="-3"/>
        </w:rPr>
        <w:t>últimas</w:t>
      </w:r>
      <w:r>
        <w:rPr>
          <w:color w:val="231F20"/>
          <w:spacing w:val="-7"/>
        </w:rPr>
        <w:t> </w:t>
      </w:r>
      <w:r>
        <w:rPr>
          <w:color w:val="231F20"/>
          <w:spacing w:val="-3"/>
        </w:rPr>
        <w:t>fechas</w:t>
      </w:r>
      <w:r>
        <w:rPr>
          <w:color w:val="231F20"/>
          <w:spacing w:val="-7"/>
        </w:rPr>
        <w:t> </w:t>
      </w:r>
      <w:r>
        <w:rPr>
          <w:color w:val="231F20"/>
        </w:rPr>
        <w:t>de</w:t>
      </w:r>
      <w:r>
        <w:rPr>
          <w:color w:val="231F20"/>
          <w:spacing w:val="-7"/>
        </w:rPr>
        <w:t> </w:t>
      </w:r>
      <w:r>
        <w:rPr>
          <w:color w:val="231F20"/>
          <w:spacing w:val="-3"/>
        </w:rPr>
        <w:t>siembra</w:t>
      </w:r>
      <w:r>
        <w:rPr>
          <w:color w:val="231F20"/>
          <w:spacing w:val="-6"/>
        </w:rPr>
        <w:t> </w:t>
      </w:r>
      <w:r>
        <w:rPr>
          <w:color w:val="231F20"/>
        </w:rPr>
        <w:t>no</w:t>
      </w:r>
      <w:r>
        <w:rPr>
          <w:color w:val="231F20"/>
          <w:spacing w:val="-7"/>
        </w:rPr>
        <w:t> </w:t>
      </w:r>
      <w:r>
        <w:rPr>
          <w:color w:val="231F20"/>
          <w:spacing w:val="-3"/>
        </w:rPr>
        <w:t>llegaron </w:t>
      </w:r>
      <w:r>
        <w:rPr>
          <w:color w:val="231F20"/>
        </w:rPr>
        <w:t>a R9 </w:t>
      </w:r>
      <w:r>
        <w:rPr>
          <w:color w:val="231F20"/>
          <w:spacing w:val="-3"/>
        </w:rPr>
        <w:t>(madurez fisiológica), debido </w:t>
      </w:r>
      <w:r>
        <w:rPr>
          <w:color w:val="231F20"/>
        </w:rPr>
        <w:t>a la </w:t>
      </w:r>
      <w:r>
        <w:rPr>
          <w:color w:val="231F20"/>
          <w:spacing w:val="-3"/>
        </w:rPr>
        <w:t>ocurrencia </w:t>
      </w:r>
      <w:r>
        <w:rPr>
          <w:color w:val="231F20"/>
        </w:rPr>
        <w:t>de una </w:t>
      </w:r>
      <w:r>
        <w:rPr>
          <w:color w:val="231F20"/>
          <w:spacing w:val="-3"/>
        </w:rPr>
        <w:t>helada </w:t>
      </w:r>
      <w:r>
        <w:rPr>
          <w:color w:val="231F20"/>
        </w:rPr>
        <w:t>en la </w:t>
      </w:r>
      <w:r>
        <w:rPr>
          <w:color w:val="231F20"/>
          <w:spacing w:val="-3"/>
        </w:rPr>
        <w:t>tercer decena </w:t>
      </w:r>
      <w:r>
        <w:rPr>
          <w:color w:val="231F20"/>
        </w:rPr>
        <w:t>de </w:t>
      </w:r>
      <w:r>
        <w:rPr>
          <w:color w:val="231F20"/>
          <w:spacing w:val="-3"/>
        </w:rPr>
        <w:t>octubre</w:t>
      </w:r>
      <w:r>
        <w:rPr>
          <w:color w:val="231F20"/>
          <w:spacing w:val="-21"/>
        </w:rPr>
        <w:t> </w:t>
      </w:r>
      <w:r>
        <w:rPr>
          <w:color w:val="231F20"/>
          <w:spacing w:val="-3"/>
        </w:rPr>
        <w:t>(Tmín</w:t>
      </w:r>
    </w:p>
    <w:p>
      <w:pPr>
        <w:pStyle w:val="BodyText"/>
        <w:spacing w:line="247" w:lineRule="auto" w:before="1"/>
        <w:ind w:left="1270" w:right="1267"/>
        <w:jc w:val="both"/>
      </w:pPr>
      <w:r>
        <w:rPr>
          <w:color w:val="231F20"/>
        </w:rPr>
        <w:t>-3 </w:t>
      </w:r>
      <w:r>
        <w:rPr>
          <w:color w:val="231F20"/>
          <w:spacing w:val="-3"/>
        </w:rPr>
        <w:t>°C). Esto provocó </w:t>
      </w:r>
      <w:r>
        <w:rPr>
          <w:color w:val="231F20"/>
        </w:rPr>
        <w:t>el </w:t>
      </w:r>
      <w:r>
        <w:rPr>
          <w:color w:val="231F20"/>
          <w:spacing w:val="-3"/>
        </w:rPr>
        <w:t>congelamiento </w:t>
      </w:r>
      <w:r>
        <w:rPr>
          <w:color w:val="231F20"/>
        </w:rPr>
        <w:t>del </w:t>
      </w:r>
      <w:r>
        <w:rPr>
          <w:color w:val="231F20"/>
          <w:spacing w:val="-3"/>
        </w:rPr>
        <w:t>agua </w:t>
      </w:r>
      <w:r>
        <w:rPr>
          <w:color w:val="231F20"/>
        </w:rPr>
        <w:t>al </w:t>
      </w:r>
      <w:r>
        <w:rPr>
          <w:color w:val="231F20"/>
          <w:spacing w:val="-3"/>
        </w:rPr>
        <w:t>interior </w:t>
      </w:r>
      <w:r>
        <w:rPr>
          <w:color w:val="231F20"/>
        </w:rPr>
        <w:t>de los </w:t>
      </w:r>
      <w:r>
        <w:rPr>
          <w:color w:val="231F20"/>
          <w:spacing w:val="-3"/>
        </w:rPr>
        <w:t>tejidos vegetales, causando </w:t>
      </w:r>
      <w:r>
        <w:rPr>
          <w:color w:val="231F20"/>
        </w:rPr>
        <w:t>un </w:t>
      </w:r>
      <w:r>
        <w:rPr>
          <w:color w:val="231F20"/>
          <w:spacing w:val="-3"/>
        </w:rPr>
        <w:t>daño irreversible</w:t>
      </w:r>
      <w:r>
        <w:rPr>
          <w:color w:val="231F20"/>
          <w:spacing w:val="-11"/>
        </w:rPr>
        <w:t> </w:t>
      </w:r>
      <w:r>
        <w:rPr>
          <w:color w:val="231F20"/>
          <w:spacing w:val="-3"/>
        </w:rPr>
        <w:t>llamado</w:t>
      </w:r>
      <w:r>
        <w:rPr>
          <w:color w:val="231F20"/>
          <w:spacing w:val="-11"/>
        </w:rPr>
        <w:t> </w:t>
      </w:r>
      <w:r>
        <w:rPr>
          <w:color w:val="231F20"/>
          <w:spacing w:val="-3"/>
        </w:rPr>
        <w:t>quemadura</w:t>
      </w:r>
      <w:r>
        <w:rPr>
          <w:color w:val="231F20"/>
          <w:spacing w:val="-10"/>
        </w:rPr>
        <w:t> </w:t>
      </w:r>
      <w:r>
        <w:rPr>
          <w:color w:val="231F20"/>
        </w:rPr>
        <w:t>por</w:t>
      </w:r>
      <w:r>
        <w:rPr>
          <w:color w:val="231F20"/>
          <w:spacing w:val="-11"/>
        </w:rPr>
        <w:t> </w:t>
      </w:r>
      <w:r>
        <w:rPr>
          <w:color w:val="231F20"/>
          <w:spacing w:val="-3"/>
        </w:rPr>
        <w:t>frio</w:t>
      </w:r>
      <w:r>
        <w:rPr>
          <w:color w:val="231F20"/>
          <w:spacing w:val="-11"/>
        </w:rPr>
        <w:t> </w:t>
      </w:r>
      <w:r>
        <w:rPr>
          <w:color w:val="231F20"/>
          <w:spacing w:val="-6"/>
        </w:rPr>
        <w:t>(Volante</w:t>
      </w:r>
      <w:r>
        <w:rPr>
          <w:color w:val="231F20"/>
          <w:spacing w:val="-10"/>
        </w:rPr>
        <w:t> </w:t>
      </w:r>
      <w:r>
        <w:rPr>
          <w:color w:val="231F20"/>
        </w:rPr>
        <w:t>et</w:t>
      </w:r>
      <w:r>
        <w:rPr>
          <w:color w:val="231F20"/>
          <w:spacing w:val="-11"/>
        </w:rPr>
        <w:t> </w:t>
      </w:r>
      <w:r>
        <w:rPr>
          <w:color w:val="231F20"/>
          <w:spacing w:val="-3"/>
        </w:rPr>
        <w:t>al.,</w:t>
      </w:r>
      <w:r>
        <w:rPr>
          <w:color w:val="231F20"/>
          <w:spacing w:val="-11"/>
        </w:rPr>
        <w:t> </w:t>
      </w:r>
      <w:r>
        <w:rPr>
          <w:color w:val="231F20"/>
          <w:spacing w:val="-3"/>
        </w:rPr>
        <w:t>2004).</w:t>
      </w:r>
      <w:r>
        <w:rPr>
          <w:color w:val="231F20"/>
          <w:spacing w:val="-14"/>
        </w:rPr>
        <w:t> </w:t>
      </w:r>
      <w:r>
        <w:rPr>
          <w:color w:val="231F20"/>
          <w:spacing w:val="-4"/>
        </w:rPr>
        <w:t>Trabajos</w:t>
      </w:r>
      <w:r>
        <w:rPr>
          <w:color w:val="231F20"/>
          <w:spacing w:val="-11"/>
        </w:rPr>
        <w:t> </w:t>
      </w:r>
      <w:r>
        <w:rPr>
          <w:color w:val="231F20"/>
          <w:spacing w:val="-3"/>
        </w:rPr>
        <w:t>similares</w:t>
      </w:r>
      <w:r>
        <w:rPr>
          <w:color w:val="231F20"/>
          <w:spacing w:val="-10"/>
        </w:rPr>
        <w:t> </w:t>
      </w:r>
      <w:r>
        <w:rPr>
          <w:color w:val="231F20"/>
          <w:spacing w:val="-3"/>
        </w:rPr>
        <w:t>fueron</w:t>
      </w:r>
      <w:r>
        <w:rPr>
          <w:color w:val="231F20"/>
          <w:spacing w:val="-11"/>
        </w:rPr>
        <w:t> </w:t>
      </w:r>
      <w:r>
        <w:rPr>
          <w:color w:val="231F20"/>
          <w:spacing w:val="-3"/>
        </w:rPr>
        <w:t>reportados</w:t>
      </w:r>
      <w:r>
        <w:rPr>
          <w:color w:val="231F20"/>
          <w:spacing w:val="-11"/>
        </w:rPr>
        <w:t> </w:t>
      </w:r>
      <w:r>
        <w:rPr>
          <w:color w:val="231F20"/>
          <w:spacing w:val="-3"/>
        </w:rPr>
        <w:t>por Salinas</w:t>
      </w:r>
      <w:r>
        <w:rPr>
          <w:color w:val="231F20"/>
          <w:spacing w:val="-12"/>
        </w:rPr>
        <w:t> </w:t>
      </w:r>
      <w:r>
        <w:rPr>
          <w:color w:val="231F20"/>
        </w:rPr>
        <w:t>et</w:t>
      </w:r>
      <w:r>
        <w:rPr>
          <w:color w:val="231F20"/>
          <w:spacing w:val="-13"/>
        </w:rPr>
        <w:t> </w:t>
      </w:r>
      <w:r>
        <w:rPr>
          <w:color w:val="231F20"/>
        </w:rPr>
        <w:t>al.</w:t>
      </w:r>
      <w:r>
        <w:rPr>
          <w:color w:val="231F20"/>
          <w:spacing w:val="-13"/>
        </w:rPr>
        <w:t> </w:t>
      </w:r>
      <w:r>
        <w:rPr>
          <w:color w:val="231F20"/>
          <w:spacing w:val="-3"/>
        </w:rPr>
        <w:t>(2008)</w:t>
      </w:r>
      <w:r>
        <w:rPr>
          <w:color w:val="231F20"/>
          <w:spacing w:val="-13"/>
        </w:rPr>
        <w:t> </w:t>
      </w:r>
      <w:r>
        <w:rPr>
          <w:color w:val="231F20"/>
          <w:spacing w:val="-3"/>
        </w:rPr>
        <w:t>quienes</w:t>
      </w:r>
      <w:r>
        <w:rPr>
          <w:color w:val="231F20"/>
          <w:spacing w:val="-12"/>
        </w:rPr>
        <w:t> </w:t>
      </w:r>
      <w:r>
        <w:rPr>
          <w:color w:val="231F20"/>
          <w:spacing w:val="-3"/>
        </w:rPr>
        <w:t>evaluaron</w:t>
      </w:r>
      <w:r>
        <w:rPr>
          <w:color w:val="231F20"/>
          <w:spacing w:val="-13"/>
        </w:rPr>
        <w:t> </w:t>
      </w:r>
      <w:r>
        <w:rPr>
          <w:color w:val="231F20"/>
          <w:spacing w:val="-3"/>
        </w:rPr>
        <w:t>fechas</w:t>
      </w:r>
      <w:r>
        <w:rPr>
          <w:color w:val="231F20"/>
          <w:spacing w:val="-12"/>
        </w:rPr>
        <w:t> </w:t>
      </w:r>
      <w:r>
        <w:rPr>
          <w:color w:val="231F20"/>
        </w:rPr>
        <w:t>de</w:t>
      </w:r>
      <w:r>
        <w:rPr>
          <w:color w:val="231F20"/>
          <w:spacing w:val="-13"/>
        </w:rPr>
        <w:t> </w:t>
      </w:r>
      <w:r>
        <w:rPr>
          <w:color w:val="231F20"/>
          <w:spacing w:val="-3"/>
        </w:rPr>
        <w:t>siembra</w:t>
      </w:r>
      <w:r>
        <w:rPr>
          <w:color w:val="231F20"/>
          <w:spacing w:val="-12"/>
        </w:rPr>
        <w:t> </w:t>
      </w:r>
      <w:r>
        <w:rPr>
          <w:color w:val="231F20"/>
        </w:rPr>
        <w:t>en</w:t>
      </w:r>
      <w:r>
        <w:rPr>
          <w:color w:val="231F20"/>
          <w:spacing w:val="-13"/>
        </w:rPr>
        <w:t> </w:t>
      </w:r>
      <w:r>
        <w:rPr>
          <w:color w:val="231F20"/>
        </w:rPr>
        <w:t>el</w:t>
      </w:r>
      <w:r>
        <w:rPr>
          <w:color w:val="231F20"/>
          <w:spacing w:val="-13"/>
        </w:rPr>
        <w:t> </w:t>
      </w:r>
      <w:r>
        <w:rPr>
          <w:color w:val="231F20"/>
          <w:spacing w:val="-3"/>
        </w:rPr>
        <w:t>frijol</w:t>
      </w:r>
      <w:r>
        <w:rPr>
          <w:color w:val="231F20"/>
          <w:spacing w:val="-12"/>
        </w:rPr>
        <w:t> </w:t>
      </w:r>
      <w:r>
        <w:rPr>
          <w:color w:val="231F20"/>
          <w:spacing w:val="-3"/>
        </w:rPr>
        <w:t>común</w:t>
      </w:r>
      <w:r>
        <w:rPr>
          <w:color w:val="231F20"/>
          <w:spacing w:val="-13"/>
        </w:rPr>
        <w:t> </w:t>
      </w:r>
      <w:r>
        <w:rPr>
          <w:color w:val="231F20"/>
          <w:spacing w:val="-3"/>
        </w:rPr>
        <w:t>cultivar</w:t>
      </w:r>
      <w:r>
        <w:rPr>
          <w:color w:val="231F20"/>
          <w:spacing w:val="-13"/>
        </w:rPr>
        <w:t> </w:t>
      </w:r>
      <w:r>
        <w:rPr>
          <w:color w:val="231F20"/>
          <w:spacing w:val="-5"/>
        </w:rPr>
        <w:t>Hav.14</w:t>
      </w:r>
      <w:r>
        <w:rPr>
          <w:color w:val="231F20"/>
          <w:spacing w:val="-12"/>
        </w:rPr>
        <w:t> </w:t>
      </w:r>
      <w:r>
        <w:rPr>
          <w:color w:val="231F20"/>
          <w:spacing w:val="-3"/>
        </w:rPr>
        <w:t>para</w:t>
      </w:r>
      <w:r>
        <w:rPr>
          <w:color w:val="231F20"/>
          <w:spacing w:val="-12"/>
        </w:rPr>
        <w:t> </w:t>
      </w:r>
      <w:r>
        <w:rPr>
          <w:color w:val="231F20"/>
          <w:spacing w:val="-3"/>
        </w:rPr>
        <w:t>buscar </w:t>
      </w:r>
      <w:r>
        <w:rPr>
          <w:color w:val="231F20"/>
        </w:rPr>
        <w:t>las </w:t>
      </w:r>
      <w:r>
        <w:rPr>
          <w:color w:val="231F20"/>
          <w:spacing w:val="-3"/>
        </w:rPr>
        <w:t>mejores condiciones ambientales para </w:t>
      </w:r>
      <w:r>
        <w:rPr>
          <w:color w:val="231F20"/>
        </w:rPr>
        <w:t>su </w:t>
      </w:r>
      <w:r>
        <w:rPr>
          <w:color w:val="231F20"/>
          <w:spacing w:val="-3"/>
        </w:rPr>
        <w:t>desarrollo </w:t>
      </w:r>
      <w:r>
        <w:rPr>
          <w:color w:val="231F20"/>
        </w:rPr>
        <w:t>en </w:t>
      </w:r>
      <w:r>
        <w:rPr>
          <w:color w:val="231F20"/>
          <w:spacing w:val="-3"/>
        </w:rPr>
        <w:t>Montecillo Edo. </w:t>
      </w:r>
      <w:r>
        <w:rPr>
          <w:color w:val="231F20"/>
        </w:rPr>
        <w:t>de </w:t>
      </w:r>
      <w:r>
        <w:rPr>
          <w:color w:val="231F20"/>
          <w:spacing w:val="-3"/>
        </w:rPr>
        <w:t>México. Estas fueron </w:t>
      </w:r>
      <w:r>
        <w:rPr>
          <w:color w:val="231F20"/>
        </w:rPr>
        <w:t>del</w:t>
      </w:r>
      <w:r>
        <w:rPr>
          <w:color w:val="231F20"/>
          <w:spacing w:val="-8"/>
        </w:rPr>
        <w:t> </w:t>
      </w:r>
      <w:r>
        <w:rPr>
          <w:color w:val="231F20"/>
        </w:rPr>
        <w:t>02</w:t>
      </w:r>
      <w:r>
        <w:rPr>
          <w:color w:val="231F20"/>
          <w:spacing w:val="-8"/>
        </w:rPr>
        <w:t> </w:t>
      </w:r>
      <w:r>
        <w:rPr>
          <w:color w:val="231F20"/>
        </w:rPr>
        <w:t>y</w:t>
      </w:r>
      <w:r>
        <w:rPr>
          <w:color w:val="231F20"/>
          <w:spacing w:val="-8"/>
        </w:rPr>
        <w:t> </w:t>
      </w:r>
      <w:r>
        <w:rPr>
          <w:color w:val="231F20"/>
        </w:rPr>
        <w:t>17</w:t>
      </w:r>
      <w:r>
        <w:rPr>
          <w:color w:val="231F20"/>
          <w:spacing w:val="-8"/>
        </w:rPr>
        <w:t> </w:t>
      </w:r>
      <w:r>
        <w:rPr>
          <w:color w:val="231F20"/>
        </w:rPr>
        <w:t>de</w:t>
      </w:r>
      <w:r>
        <w:rPr>
          <w:color w:val="231F20"/>
          <w:spacing w:val="-8"/>
        </w:rPr>
        <w:t> </w:t>
      </w:r>
      <w:r>
        <w:rPr>
          <w:color w:val="231F20"/>
          <w:spacing w:val="-3"/>
        </w:rPr>
        <w:t>mayo,</w:t>
      </w:r>
      <w:r>
        <w:rPr>
          <w:color w:val="231F20"/>
          <w:spacing w:val="-8"/>
        </w:rPr>
        <w:t> </w:t>
      </w:r>
      <w:r>
        <w:rPr>
          <w:color w:val="231F20"/>
        </w:rPr>
        <w:t>01</w:t>
      </w:r>
      <w:r>
        <w:rPr>
          <w:color w:val="231F20"/>
          <w:spacing w:val="-8"/>
        </w:rPr>
        <w:t> </w:t>
      </w:r>
      <w:r>
        <w:rPr>
          <w:color w:val="231F20"/>
        </w:rPr>
        <w:t>y</w:t>
      </w:r>
      <w:r>
        <w:rPr>
          <w:color w:val="231F20"/>
          <w:spacing w:val="-8"/>
        </w:rPr>
        <w:t> </w:t>
      </w:r>
      <w:r>
        <w:rPr>
          <w:color w:val="231F20"/>
        </w:rPr>
        <w:t>16</w:t>
      </w:r>
      <w:r>
        <w:rPr>
          <w:color w:val="231F20"/>
          <w:spacing w:val="-8"/>
        </w:rPr>
        <w:t> </w:t>
      </w:r>
      <w:r>
        <w:rPr>
          <w:color w:val="231F20"/>
        </w:rPr>
        <w:t>de</w:t>
      </w:r>
      <w:r>
        <w:rPr>
          <w:color w:val="231F20"/>
          <w:spacing w:val="-8"/>
        </w:rPr>
        <w:t> </w:t>
      </w:r>
      <w:r>
        <w:rPr>
          <w:color w:val="231F20"/>
          <w:spacing w:val="-3"/>
        </w:rPr>
        <w:t>junio</w:t>
      </w:r>
      <w:r>
        <w:rPr>
          <w:color w:val="231F20"/>
          <w:spacing w:val="-8"/>
        </w:rPr>
        <w:t> </w:t>
      </w:r>
      <w:r>
        <w:rPr>
          <w:color w:val="231F20"/>
        </w:rPr>
        <w:t>y</w:t>
      </w:r>
      <w:r>
        <w:rPr>
          <w:color w:val="231F20"/>
          <w:spacing w:val="-8"/>
        </w:rPr>
        <w:t> </w:t>
      </w:r>
      <w:r>
        <w:rPr>
          <w:color w:val="231F20"/>
        </w:rPr>
        <w:t>01</w:t>
      </w:r>
      <w:r>
        <w:rPr>
          <w:color w:val="231F20"/>
          <w:spacing w:val="-8"/>
        </w:rPr>
        <w:t> </w:t>
      </w:r>
      <w:r>
        <w:rPr>
          <w:color w:val="231F20"/>
        </w:rPr>
        <w:t>de</w:t>
      </w:r>
      <w:r>
        <w:rPr>
          <w:color w:val="231F20"/>
          <w:spacing w:val="-8"/>
        </w:rPr>
        <w:t> </w:t>
      </w:r>
      <w:r>
        <w:rPr>
          <w:color w:val="231F20"/>
          <w:spacing w:val="-3"/>
        </w:rPr>
        <w:t>julio,</w:t>
      </w:r>
      <w:r>
        <w:rPr>
          <w:color w:val="231F20"/>
          <w:spacing w:val="-8"/>
        </w:rPr>
        <w:t> </w:t>
      </w:r>
      <w:r>
        <w:rPr>
          <w:color w:val="231F20"/>
          <w:spacing w:val="-3"/>
        </w:rPr>
        <w:t>encontraron</w:t>
      </w:r>
      <w:r>
        <w:rPr>
          <w:color w:val="231F20"/>
          <w:spacing w:val="-8"/>
        </w:rPr>
        <w:t> </w:t>
      </w:r>
      <w:r>
        <w:rPr>
          <w:color w:val="231F20"/>
          <w:spacing w:val="-3"/>
        </w:rPr>
        <w:t>reducciones</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spacing w:val="-3"/>
        </w:rPr>
        <w:t>ciclo</w:t>
      </w:r>
      <w:r>
        <w:rPr>
          <w:color w:val="231F20"/>
          <w:spacing w:val="-8"/>
        </w:rPr>
        <w:t> </w:t>
      </w:r>
      <w:r>
        <w:rPr>
          <w:color w:val="231F20"/>
        </w:rPr>
        <w:t>del</w:t>
      </w:r>
      <w:r>
        <w:rPr>
          <w:color w:val="231F20"/>
          <w:spacing w:val="-8"/>
        </w:rPr>
        <w:t> </w:t>
      </w:r>
      <w:r>
        <w:rPr>
          <w:color w:val="231F20"/>
          <w:spacing w:val="-3"/>
        </w:rPr>
        <w:t>cultivo</w:t>
      </w:r>
      <w:r>
        <w:rPr>
          <w:color w:val="231F20"/>
          <w:spacing w:val="-8"/>
        </w:rPr>
        <w:t> </w:t>
      </w:r>
      <w:r>
        <w:rPr>
          <w:color w:val="231F20"/>
          <w:spacing w:val="-3"/>
        </w:rPr>
        <w:t>por retraso </w:t>
      </w:r>
      <w:r>
        <w:rPr>
          <w:color w:val="231F20"/>
        </w:rPr>
        <w:t>en la </w:t>
      </w:r>
      <w:r>
        <w:rPr>
          <w:color w:val="231F20"/>
          <w:spacing w:val="-3"/>
        </w:rPr>
        <w:t>siembra; </w:t>
      </w:r>
      <w:r>
        <w:rPr>
          <w:color w:val="231F20"/>
        </w:rPr>
        <w:t>de tal </w:t>
      </w:r>
      <w:r>
        <w:rPr>
          <w:color w:val="231F20"/>
          <w:spacing w:val="-3"/>
        </w:rPr>
        <w:t>manera </w:t>
      </w:r>
      <w:r>
        <w:rPr>
          <w:color w:val="231F20"/>
        </w:rPr>
        <w:t>que la del 01 de </w:t>
      </w:r>
      <w:r>
        <w:rPr>
          <w:color w:val="231F20"/>
          <w:spacing w:val="-3"/>
        </w:rPr>
        <w:t>julio presentó </w:t>
      </w:r>
      <w:r>
        <w:rPr>
          <w:color w:val="231F20"/>
        </w:rPr>
        <w:t>el </w:t>
      </w:r>
      <w:r>
        <w:rPr>
          <w:color w:val="231F20"/>
          <w:spacing w:val="-3"/>
        </w:rPr>
        <w:t>mayor ciclo </w:t>
      </w:r>
      <w:r>
        <w:rPr>
          <w:color w:val="231F20"/>
        </w:rPr>
        <w:t>del </w:t>
      </w:r>
      <w:r>
        <w:rPr>
          <w:color w:val="231F20"/>
          <w:spacing w:val="-3"/>
        </w:rPr>
        <w:t>cultivo, </w:t>
      </w:r>
      <w:r>
        <w:rPr>
          <w:color w:val="231F20"/>
        </w:rPr>
        <w:t>que </w:t>
      </w:r>
      <w:r>
        <w:rPr>
          <w:color w:val="231F20"/>
          <w:spacing w:val="-3"/>
        </w:rPr>
        <w:t>fue </w:t>
      </w:r>
      <w:r>
        <w:rPr>
          <w:color w:val="231F20"/>
        </w:rPr>
        <w:t>8</w:t>
      </w:r>
      <w:r>
        <w:rPr>
          <w:color w:val="231F20"/>
          <w:spacing w:val="-10"/>
        </w:rPr>
        <w:t> </w:t>
      </w:r>
      <w:r>
        <w:rPr>
          <w:color w:val="231F20"/>
        </w:rPr>
        <w:t>d</w:t>
      </w:r>
      <w:r>
        <w:rPr>
          <w:color w:val="231F20"/>
          <w:spacing w:val="-10"/>
        </w:rPr>
        <w:t> </w:t>
      </w:r>
      <w:r>
        <w:rPr>
          <w:color w:val="231F20"/>
        </w:rPr>
        <w:t>más</w:t>
      </w:r>
      <w:r>
        <w:rPr>
          <w:color w:val="231F20"/>
          <w:spacing w:val="-10"/>
        </w:rPr>
        <w:t> </w:t>
      </w:r>
      <w:r>
        <w:rPr>
          <w:color w:val="231F20"/>
        </w:rPr>
        <w:t>las</w:t>
      </w:r>
      <w:r>
        <w:rPr>
          <w:color w:val="231F20"/>
          <w:spacing w:val="-10"/>
        </w:rPr>
        <w:t> </w:t>
      </w:r>
      <w:r>
        <w:rPr>
          <w:color w:val="231F20"/>
          <w:spacing w:val="-3"/>
        </w:rPr>
        <w:t>largo</w:t>
      </w:r>
      <w:r>
        <w:rPr>
          <w:color w:val="231F20"/>
          <w:spacing w:val="-10"/>
        </w:rPr>
        <w:t> </w:t>
      </w:r>
      <w:r>
        <w:rPr>
          <w:color w:val="231F20"/>
        </w:rPr>
        <w:t>que</w:t>
      </w:r>
      <w:r>
        <w:rPr>
          <w:color w:val="231F20"/>
          <w:spacing w:val="-10"/>
        </w:rPr>
        <w:t> </w:t>
      </w:r>
      <w:r>
        <w:rPr>
          <w:color w:val="231F20"/>
        </w:rPr>
        <w:t>la</w:t>
      </w:r>
      <w:r>
        <w:rPr>
          <w:color w:val="231F20"/>
          <w:spacing w:val="-10"/>
        </w:rPr>
        <w:t> </w:t>
      </w:r>
      <w:r>
        <w:rPr>
          <w:color w:val="231F20"/>
          <w:spacing w:val="-3"/>
        </w:rPr>
        <w:t>primera</w:t>
      </w:r>
      <w:r>
        <w:rPr>
          <w:color w:val="231F20"/>
          <w:spacing w:val="-10"/>
        </w:rPr>
        <w:t> </w:t>
      </w:r>
      <w:r>
        <w:rPr>
          <w:color w:val="231F20"/>
          <w:spacing w:val="-3"/>
        </w:rPr>
        <w:t>siembra.</w:t>
      </w:r>
      <w:r>
        <w:rPr>
          <w:color w:val="231F20"/>
          <w:spacing w:val="-10"/>
        </w:rPr>
        <w:t> </w:t>
      </w:r>
      <w:r>
        <w:rPr>
          <w:color w:val="231F20"/>
          <w:spacing w:val="-3"/>
        </w:rPr>
        <w:t>Esto</w:t>
      </w:r>
      <w:r>
        <w:rPr>
          <w:color w:val="231F20"/>
          <w:spacing w:val="-10"/>
        </w:rPr>
        <w:t> </w:t>
      </w:r>
      <w:r>
        <w:rPr>
          <w:color w:val="231F20"/>
        </w:rPr>
        <w:t>lo</w:t>
      </w:r>
      <w:r>
        <w:rPr>
          <w:color w:val="231F20"/>
          <w:spacing w:val="-10"/>
        </w:rPr>
        <w:t> </w:t>
      </w:r>
      <w:r>
        <w:rPr>
          <w:color w:val="231F20"/>
          <w:spacing w:val="-3"/>
        </w:rPr>
        <w:t>atribuyen</w:t>
      </w:r>
      <w:r>
        <w:rPr>
          <w:color w:val="231F20"/>
          <w:spacing w:val="-10"/>
        </w:rPr>
        <w:t> </w:t>
      </w:r>
      <w:r>
        <w:rPr>
          <w:color w:val="231F20"/>
        </w:rPr>
        <w:t>a</w:t>
      </w:r>
      <w:r>
        <w:rPr>
          <w:color w:val="231F20"/>
          <w:spacing w:val="-10"/>
        </w:rPr>
        <w:t> </w:t>
      </w:r>
      <w:r>
        <w:rPr>
          <w:color w:val="231F20"/>
          <w:spacing w:val="-3"/>
        </w:rPr>
        <w:t>disminución</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spacing w:val="-3"/>
        </w:rPr>
        <w:t>temperatura</w:t>
      </w:r>
      <w:r>
        <w:rPr>
          <w:color w:val="231F20"/>
          <w:spacing w:val="-11"/>
        </w:rPr>
        <w:t> </w:t>
      </w:r>
      <w:r>
        <w:rPr>
          <w:color w:val="231F20"/>
          <w:spacing w:val="-3"/>
        </w:rPr>
        <w:t>máxima</w:t>
      </w:r>
      <w:r>
        <w:rPr>
          <w:color w:val="231F20"/>
          <w:spacing w:val="-10"/>
        </w:rPr>
        <w:t> </w:t>
      </w:r>
      <w:r>
        <w:rPr>
          <w:color w:val="231F20"/>
          <w:spacing w:val="-3"/>
        </w:rPr>
        <w:t>de </w:t>
      </w:r>
      <w:r>
        <w:rPr>
          <w:color w:val="231F20"/>
        </w:rPr>
        <w:t>38</w:t>
      </w:r>
      <w:r>
        <w:rPr>
          <w:color w:val="231F20"/>
          <w:spacing w:val="-8"/>
        </w:rPr>
        <w:t> </w:t>
      </w:r>
      <w:r>
        <w:rPr>
          <w:color w:val="231F20"/>
        </w:rPr>
        <w:t>a</w:t>
      </w:r>
      <w:r>
        <w:rPr>
          <w:color w:val="231F20"/>
          <w:spacing w:val="-8"/>
        </w:rPr>
        <w:t> </w:t>
      </w:r>
      <w:r>
        <w:rPr>
          <w:color w:val="231F20"/>
        </w:rPr>
        <w:t>32</w:t>
      </w:r>
      <w:r>
        <w:rPr>
          <w:color w:val="231F20"/>
          <w:spacing w:val="-8"/>
        </w:rPr>
        <w:t> </w:t>
      </w:r>
      <w:r>
        <w:rPr>
          <w:color w:val="231F20"/>
        </w:rPr>
        <w:t>°C.</w:t>
      </w:r>
      <w:r>
        <w:rPr>
          <w:color w:val="231F20"/>
          <w:spacing w:val="-8"/>
        </w:rPr>
        <w:t> </w:t>
      </w:r>
      <w:r>
        <w:rPr>
          <w:color w:val="231F20"/>
          <w:spacing w:val="-3"/>
        </w:rPr>
        <w:t>Rosales</w:t>
      </w:r>
      <w:r>
        <w:rPr>
          <w:color w:val="231F20"/>
          <w:spacing w:val="-8"/>
        </w:rPr>
        <w:t> </w:t>
      </w:r>
      <w:r>
        <w:rPr>
          <w:i/>
          <w:color w:val="231F20"/>
        </w:rPr>
        <w:t>et</w:t>
      </w:r>
      <w:r>
        <w:rPr>
          <w:i/>
          <w:color w:val="231F20"/>
          <w:spacing w:val="-8"/>
        </w:rPr>
        <w:t> </w:t>
      </w:r>
      <w:r>
        <w:rPr>
          <w:i/>
          <w:color w:val="231F20"/>
        </w:rPr>
        <w:t>al.</w:t>
      </w:r>
      <w:r>
        <w:rPr>
          <w:i/>
          <w:color w:val="231F20"/>
          <w:spacing w:val="-8"/>
        </w:rPr>
        <w:t> </w:t>
      </w:r>
      <w:r>
        <w:rPr>
          <w:color w:val="231F20"/>
          <w:spacing w:val="-3"/>
        </w:rPr>
        <w:t>(2001)</w:t>
      </w:r>
      <w:r>
        <w:rPr>
          <w:color w:val="231F20"/>
          <w:spacing w:val="-8"/>
        </w:rPr>
        <w:t> </w:t>
      </w:r>
      <w:r>
        <w:rPr>
          <w:color w:val="231F20"/>
          <w:spacing w:val="-3"/>
        </w:rPr>
        <w:t>señalan</w:t>
      </w:r>
      <w:r>
        <w:rPr>
          <w:color w:val="231F20"/>
          <w:spacing w:val="-8"/>
        </w:rPr>
        <w:t> </w:t>
      </w:r>
      <w:r>
        <w:rPr>
          <w:color w:val="231F20"/>
        </w:rPr>
        <w:t>que</w:t>
      </w:r>
      <w:r>
        <w:rPr>
          <w:color w:val="231F20"/>
          <w:spacing w:val="-8"/>
        </w:rPr>
        <w:t> </w:t>
      </w:r>
      <w:r>
        <w:rPr>
          <w:color w:val="231F20"/>
        </w:rPr>
        <w:t>a</w:t>
      </w:r>
      <w:r>
        <w:rPr>
          <w:color w:val="231F20"/>
          <w:spacing w:val="-8"/>
        </w:rPr>
        <w:t> </w:t>
      </w:r>
      <w:r>
        <w:rPr>
          <w:color w:val="231F20"/>
          <w:spacing w:val="-3"/>
        </w:rPr>
        <w:t>baja</w:t>
      </w:r>
      <w:r>
        <w:rPr>
          <w:color w:val="231F20"/>
          <w:spacing w:val="-8"/>
        </w:rPr>
        <w:t> </w:t>
      </w:r>
      <w:r>
        <w:rPr>
          <w:color w:val="231F20"/>
          <w:spacing w:val="-3"/>
        </w:rPr>
        <w:t>temperatura,</w:t>
      </w:r>
      <w:r>
        <w:rPr>
          <w:color w:val="231F20"/>
          <w:spacing w:val="-9"/>
        </w:rPr>
        <w:t> </w:t>
      </w:r>
      <w:r>
        <w:rPr>
          <w:color w:val="231F20"/>
        </w:rPr>
        <w:t>se</w:t>
      </w:r>
      <w:r>
        <w:rPr>
          <w:color w:val="231F20"/>
          <w:spacing w:val="-8"/>
        </w:rPr>
        <w:t> </w:t>
      </w:r>
      <w:r>
        <w:rPr>
          <w:color w:val="231F20"/>
          <w:spacing w:val="-3"/>
        </w:rPr>
        <w:t>retrasa</w:t>
      </w:r>
      <w:r>
        <w:rPr>
          <w:color w:val="231F20"/>
          <w:spacing w:val="-8"/>
        </w:rPr>
        <w:t> </w:t>
      </w:r>
      <w:r>
        <w:rPr>
          <w:color w:val="231F20"/>
        </w:rPr>
        <w:t>el</w:t>
      </w:r>
      <w:r>
        <w:rPr>
          <w:color w:val="231F20"/>
          <w:spacing w:val="-8"/>
        </w:rPr>
        <w:t> </w:t>
      </w:r>
      <w:r>
        <w:rPr>
          <w:color w:val="231F20"/>
          <w:spacing w:val="-3"/>
        </w:rPr>
        <w:t>ciclo</w:t>
      </w:r>
      <w:r>
        <w:rPr>
          <w:color w:val="231F20"/>
          <w:spacing w:val="-8"/>
        </w:rPr>
        <w:t> </w:t>
      </w:r>
      <w:r>
        <w:rPr>
          <w:color w:val="231F20"/>
        </w:rPr>
        <w:t>del</w:t>
      </w:r>
      <w:r>
        <w:rPr>
          <w:color w:val="231F20"/>
          <w:spacing w:val="-8"/>
        </w:rPr>
        <w:t> </w:t>
      </w:r>
      <w:r>
        <w:rPr>
          <w:color w:val="231F20"/>
          <w:spacing w:val="-3"/>
        </w:rPr>
        <w:t>cultivo</w:t>
      </w:r>
      <w:r>
        <w:rPr>
          <w:color w:val="231F20"/>
          <w:spacing w:val="-8"/>
        </w:rPr>
        <w:t> </w:t>
      </w:r>
      <w:r>
        <w:rPr>
          <w:color w:val="231F20"/>
        </w:rPr>
        <w:t>de</w:t>
      </w:r>
      <w:r>
        <w:rPr>
          <w:color w:val="231F20"/>
          <w:spacing w:val="-8"/>
        </w:rPr>
        <w:t> </w:t>
      </w:r>
      <w:r>
        <w:rPr>
          <w:color w:val="231F20"/>
          <w:spacing w:val="-3"/>
        </w:rPr>
        <w:t>frijol.</w:t>
      </w:r>
    </w:p>
    <w:p>
      <w:pPr>
        <w:pStyle w:val="BodyText"/>
        <w:spacing w:before="10"/>
      </w:pPr>
    </w:p>
    <w:p>
      <w:pPr>
        <w:pStyle w:val="BodyText"/>
        <w:spacing w:line="247" w:lineRule="auto"/>
        <w:ind w:left="1270" w:right="1270"/>
        <w:jc w:val="both"/>
      </w:pPr>
      <w:r>
        <w:rPr>
          <w:color w:val="231F20"/>
          <w:spacing w:val="-3"/>
        </w:rPr>
        <w:t>En</w:t>
      </w:r>
      <w:r>
        <w:rPr>
          <w:color w:val="231F20"/>
          <w:spacing w:val="-12"/>
        </w:rPr>
        <w:t> </w:t>
      </w:r>
      <w:r>
        <w:rPr>
          <w:color w:val="231F20"/>
          <w:spacing w:val="-3"/>
        </w:rPr>
        <w:t>la</w:t>
      </w:r>
      <w:r>
        <w:rPr>
          <w:color w:val="231F20"/>
          <w:spacing w:val="-12"/>
        </w:rPr>
        <w:t> </w:t>
      </w:r>
      <w:r>
        <w:rPr>
          <w:color w:val="231F20"/>
          <w:spacing w:val="-5"/>
        </w:rPr>
        <w:t>siembra</w:t>
      </w:r>
      <w:r>
        <w:rPr>
          <w:color w:val="231F20"/>
          <w:spacing w:val="-24"/>
        </w:rPr>
        <w:t> </w:t>
      </w:r>
      <w:r>
        <w:rPr>
          <w:color w:val="231F20"/>
          <w:spacing w:val="-4"/>
        </w:rPr>
        <w:t>A15</w:t>
      </w:r>
      <w:r>
        <w:rPr>
          <w:color w:val="231F20"/>
          <w:spacing w:val="-12"/>
        </w:rPr>
        <w:t> </w:t>
      </w:r>
      <w:r>
        <w:rPr>
          <w:color w:val="231F20"/>
          <w:spacing w:val="-3"/>
        </w:rPr>
        <w:t>se</w:t>
      </w:r>
      <w:r>
        <w:rPr>
          <w:color w:val="231F20"/>
          <w:spacing w:val="-12"/>
        </w:rPr>
        <w:t> </w:t>
      </w:r>
      <w:r>
        <w:rPr>
          <w:color w:val="231F20"/>
          <w:spacing w:val="-5"/>
        </w:rPr>
        <w:t>presentó</w:t>
      </w:r>
      <w:r>
        <w:rPr>
          <w:color w:val="231F20"/>
          <w:spacing w:val="-12"/>
        </w:rPr>
        <w:t> </w:t>
      </w:r>
      <w:r>
        <w:rPr>
          <w:color w:val="231F20"/>
          <w:spacing w:val="-3"/>
        </w:rPr>
        <w:t>la</w:t>
      </w:r>
      <w:r>
        <w:rPr>
          <w:color w:val="231F20"/>
          <w:spacing w:val="-12"/>
        </w:rPr>
        <w:t> </w:t>
      </w:r>
      <w:r>
        <w:rPr>
          <w:color w:val="231F20"/>
          <w:spacing w:val="-4"/>
        </w:rPr>
        <w:t>menor</w:t>
      </w:r>
      <w:r>
        <w:rPr>
          <w:color w:val="231F20"/>
          <w:spacing w:val="-12"/>
        </w:rPr>
        <w:t> </w:t>
      </w:r>
      <w:r>
        <w:rPr>
          <w:color w:val="231F20"/>
          <w:spacing w:val="-5"/>
        </w:rPr>
        <w:t>precipitación</w:t>
      </w:r>
      <w:r>
        <w:rPr>
          <w:color w:val="231F20"/>
          <w:spacing w:val="-12"/>
        </w:rPr>
        <w:t> </w:t>
      </w:r>
      <w:r>
        <w:rPr>
          <w:color w:val="231F20"/>
          <w:spacing w:val="-5"/>
        </w:rPr>
        <w:t>acumulada</w:t>
      </w:r>
      <w:r>
        <w:rPr>
          <w:color w:val="231F20"/>
          <w:spacing w:val="-13"/>
        </w:rPr>
        <w:t> </w:t>
      </w:r>
      <w:r>
        <w:rPr>
          <w:color w:val="231F20"/>
          <w:spacing w:val="-5"/>
        </w:rPr>
        <w:t>durante</w:t>
      </w:r>
      <w:r>
        <w:rPr>
          <w:color w:val="231F20"/>
          <w:spacing w:val="-12"/>
        </w:rPr>
        <w:t> </w:t>
      </w:r>
      <w:r>
        <w:rPr>
          <w:color w:val="231F20"/>
          <w:spacing w:val="-3"/>
        </w:rPr>
        <w:t>el</w:t>
      </w:r>
      <w:r>
        <w:rPr>
          <w:color w:val="231F20"/>
          <w:spacing w:val="-12"/>
        </w:rPr>
        <w:t> </w:t>
      </w:r>
      <w:r>
        <w:rPr>
          <w:color w:val="231F20"/>
          <w:spacing w:val="-4"/>
        </w:rPr>
        <w:t>ciclo</w:t>
      </w:r>
      <w:r>
        <w:rPr>
          <w:color w:val="231F20"/>
          <w:spacing w:val="-12"/>
        </w:rPr>
        <w:t> </w:t>
      </w:r>
      <w:r>
        <w:rPr>
          <w:color w:val="231F20"/>
          <w:spacing w:val="-4"/>
        </w:rPr>
        <w:t>del</w:t>
      </w:r>
      <w:r>
        <w:rPr>
          <w:color w:val="231F20"/>
          <w:spacing w:val="-12"/>
        </w:rPr>
        <w:t> </w:t>
      </w:r>
      <w:r>
        <w:rPr>
          <w:color w:val="231F20"/>
          <w:spacing w:val="-5"/>
        </w:rPr>
        <w:t>cultivo</w:t>
      </w:r>
      <w:r>
        <w:rPr>
          <w:color w:val="231F20"/>
          <w:spacing w:val="-12"/>
        </w:rPr>
        <w:t> </w:t>
      </w:r>
      <w:r>
        <w:rPr>
          <w:color w:val="231F20"/>
          <w:spacing w:val="-4"/>
        </w:rPr>
        <w:t>con</w:t>
      </w:r>
      <w:r>
        <w:rPr>
          <w:color w:val="231F20"/>
          <w:spacing w:val="-12"/>
        </w:rPr>
        <w:t> </w:t>
      </w:r>
      <w:r>
        <w:rPr>
          <w:color w:val="231F20"/>
          <w:spacing w:val="-4"/>
        </w:rPr>
        <w:t>262</w:t>
      </w:r>
      <w:r>
        <w:rPr>
          <w:color w:val="231F20"/>
          <w:spacing w:val="-12"/>
        </w:rPr>
        <w:t> </w:t>
      </w:r>
      <w:r>
        <w:rPr>
          <w:color w:val="231F20"/>
          <w:spacing w:val="-5"/>
        </w:rPr>
        <w:t>mm, </w:t>
      </w:r>
      <w:r>
        <w:rPr>
          <w:color w:val="231F20"/>
          <w:spacing w:val="-3"/>
        </w:rPr>
        <w:t>en </w:t>
      </w:r>
      <w:r>
        <w:rPr>
          <w:color w:val="231F20"/>
          <w:spacing w:val="-5"/>
        </w:rPr>
        <w:t>contraste </w:t>
      </w:r>
      <w:r>
        <w:rPr>
          <w:color w:val="231F20"/>
          <w:spacing w:val="-4"/>
        </w:rPr>
        <w:t>con </w:t>
      </w:r>
      <w:r>
        <w:rPr>
          <w:color w:val="231F20"/>
          <w:spacing w:val="-3"/>
        </w:rPr>
        <w:t>la </w:t>
      </w:r>
      <w:r>
        <w:rPr>
          <w:color w:val="231F20"/>
          <w:spacing w:val="-5"/>
        </w:rPr>
        <w:t>siembra </w:t>
      </w:r>
      <w:r>
        <w:rPr>
          <w:color w:val="231F20"/>
          <w:spacing w:val="-4"/>
        </w:rPr>
        <w:t>M30 donde </w:t>
      </w:r>
      <w:r>
        <w:rPr>
          <w:color w:val="231F20"/>
          <w:spacing w:val="-3"/>
        </w:rPr>
        <w:t>se </w:t>
      </w:r>
      <w:r>
        <w:rPr>
          <w:color w:val="231F20"/>
          <w:spacing w:val="-5"/>
        </w:rPr>
        <w:t>presentó </w:t>
      </w:r>
      <w:r>
        <w:rPr>
          <w:color w:val="231F20"/>
          <w:spacing w:val="-3"/>
        </w:rPr>
        <w:t>la </w:t>
      </w:r>
      <w:r>
        <w:rPr>
          <w:color w:val="231F20"/>
          <w:spacing w:val="-4"/>
        </w:rPr>
        <w:t>más alta 330 mm. Sin </w:t>
      </w:r>
      <w:r>
        <w:rPr>
          <w:color w:val="231F20"/>
          <w:spacing w:val="-5"/>
        </w:rPr>
        <w:t>embargo, debido </w:t>
      </w:r>
      <w:r>
        <w:rPr>
          <w:color w:val="231F20"/>
        </w:rPr>
        <w:t>a </w:t>
      </w:r>
      <w:r>
        <w:rPr>
          <w:color w:val="231F20"/>
          <w:spacing w:val="-4"/>
        </w:rPr>
        <w:t>que </w:t>
      </w:r>
      <w:r>
        <w:rPr>
          <w:color w:val="231F20"/>
          <w:spacing w:val="-5"/>
        </w:rPr>
        <w:t>se aplicaron riegos </w:t>
      </w:r>
      <w:r>
        <w:rPr>
          <w:color w:val="231F20"/>
          <w:spacing w:val="-3"/>
        </w:rPr>
        <w:t>de </w:t>
      </w:r>
      <w:r>
        <w:rPr>
          <w:color w:val="231F20"/>
          <w:spacing w:val="-4"/>
        </w:rPr>
        <w:t>punta antes </w:t>
      </w:r>
      <w:r>
        <w:rPr>
          <w:color w:val="231F20"/>
          <w:spacing w:val="-3"/>
        </w:rPr>
        <w:t>de </w:t>
      </w:r>
      <w:r>
        <w:rPr>
          <w:color w:val="231F20"/>
          <w:spacing w:val="-4"/>
        </w:rPr>
        <w:t>que </w:t>
      </w:r>
      <w:r>
        <w:rPr>
          <w:color w:val="231F20"/>
          <w:spacing w:val="-3"/>
        </w:rPr>
        <w:t>se </w:t>
      </w:r>
      <w:r>
        <w:rPr>
          <w:color w:val="231F20"/>
          <w:spacing w:val="-5"/>
        </w:rPr>
        <w:t>estableciera plenamente </w:t>
      </w:r>
      <w:r>
        <w:rPr>
          <w:color w:val="231F20"/>
          <w:spacing w:val="-3"/>
        </w:rPr>
        <w:t>el </w:t>
      </w:r>
      <w:r>
        <w:rPr>
          <w:color w:val="231F20"/>
          <w:spacing w:val="-5"/>
        </w:rPr>
        <w:t>periodo </w:t>
      </w:r>
      <w:r>
        <w:rPr>
          <w:color w:val="231F20"/>
          <w:spacing w:val="-3"/>
        </w:rPr>
        <w:t>de </w:t>
      </w:r>
      <w:r>
        <w:rPr>
          <w:color w:val="231F20"/>
          <w:spacing w:val="-5"/>
        </w:rPr>
        <w:t>lluvias, </w:t>
      </w:r>
      <w:r>
        <w:rPr>
          <w:color w:val="231F20"/>
          <w:spacing w:val="-3"/>
        </w:rPr>
        <w:t>la </w:t>
      </w:r>
      <w:r>
        <w:rPr>
          <w:color w:val="231F20"/>
          <w:spacing w:val="-5"/>
        </w:rPr>
        <w:t>disponibilidad </w:t>
      </w:r>
      <w:r>
        <w:rPr>
          <w:color w:val="231F20"/>
          <w:spacing w:val="-3"/>
        </w:rPr>
        <w:t>de </w:t>
      </w:r>
      <w:r>
        <w:rPr>
          <w:color w:val="231F20"/>
          <w:spacing w:val="-4"/>
        </w:rPr>
        <w:t>agua para todos los </w:t>
      </w:r>
      <w:r>
        <w:rPr>
          <w:color w:val="231F20"/>
          <w:spacing w:val="-5"/>
        </w:rPr>
        <w:t>tratamientos </w:t>
      </w:r>
      <w:r>
        <w:rPr>
          <w:color w:val="231F20"/>
          <w:spacing w:val="-4"/>
        </w:rPr>
        <w:t>fue </w:t>
      </w:r>
      <w:r>
        <w:rPr>
          <w:color w:val="231F20"/>
          <w:spacing w:val="-3"/>
        </w:rPr>
        <w:t>en </w:t>
      </w:r>
      <w:r>
        <w:rPr>
          <w:color w:val="231F20"/>
          <w:spacing w:val="-5"/>
        </w:rPr>
        <w:t>promedio </w:t>
      </w:r>
      <w:r>
        <w:rPr>
          <w:color w:val="231F20"/>
          <w:spacing w:val="-3"/>
        </w:rPr>
        <w:t>de </w:t>
      </w:r>
      <w:r>
        <w:rPr>
          <w:color w:val="231F20"/>
          <w:spacing w:val="-4"/>
        </w:rPr>
        <w:t>429 mm. </w:t>
      </w:r>
      <w:r>
        <w:rPr>
          <w:color w:val="231F20"/>
          <w:spacing w:val="-3"/>
        </w:rPr>
        <w:t>La </w:t>
      </w:r>
      <w:r>
        <w:rPr>
          <w:color w:val="231F20"/>
          <w:spacing w:val="-4"/>
        </w:rPr>
        <w:t>mayor </w:t>
      </w:r>
      <w:r>
        <w:rPr>
          <w:color w:val="231F20"/>
          <w:spacing w:val="-5"/>
        </w:rPr>
        <w:t>lámina </w:t>
      </w:r>
      <w:r>
        <w:rPr>
          <w:color w:val="231F20"/>
          <w:spacing w:val="-3"/>
        </w:rPr>
        <w:t>de </w:t>
      </w:r>
      <w:r>
        <w:rPr>
          <w:color w:val="231F20"/>
          <w:spacing w:val="-4"/>
        </w:rPr>
        <w:t>riego </w:t>
      </w:r>
      <w:r>
        <w:rPr>
          <w:color w:val="231F20"/>
          <w:spacing w:val="-3"/>
        </w:rPr>
        <w:t>se </w:t>
      </w:r>
      <w:r>
        <w:rPr>
          <w:color w:val="231F20"/>
          <w:spacing w:val="-5"/>
        </w:rPr>
        <w:t>aplicó en </w:t>
      </w:r>
      <w:r>
        <w:rPr>
          <w:color w:val="231F20"/>
          <w:spacing w:val="-3"/>
        </w:rPr>
        <w:t>la </w:t>
      </w:r>
      <w:r>
        <w:rPr>
          <w:color w:val="231F20"/>
          <w:spacing w:val="-5"/>
        </w:rPr>
        <w:t>siembra </w:t>
      </w:r>
      <w:r>
        <w:rPr>
          <w:color w:val="231F20"/>
          <w:spacing w:val="-4"/>
        </w:rPr>
        <w:t>A15 (218 mm), </w:t>
      </w:r>
      <w:r>
        <w:rPr>
          <w:color w:val="231F20"/>
          <w:spacing w:val="-3"/>
        </w:rPr>
        <w:t>la </w:t>
      </w:r>
      <w:r>
        <w:rPr>
          <w:color w:val="231F20"/>
          <w:spacing w:val="-4"/>
        </w:rPr>
        <w:t>cual fue </w:t>
      </w:r>
      <w:r>
        <w:rPr>
          <w:color w:val="231F20"/>
          <w:spacing w:val="-5"/>
        </w:rPr>
        <w:t>reduciéndose conforme </w:t>
      </w:r>
      <w:r>
        <w:rPr>
          <w:color w:val="231F20"/>
          <w:spacing w:val="-3"/>
        </w:rPr>
        <w:t>se </w:t>
      </w:r>
      <w:r>
        <w:rPr>
          <w:color w:val="231F20"/>
          <w:spacing w:val="-5"/>
        </w:rPr>
        <w:t>retrasó </w:t>
      </w:r>
      <w:r>
        <w:rPr>
          <w:color w:val="231F20"/>
          <w:spacing w:val="-3"/>
        </w:rPr>
        <w:t>la </w:t>
      </w:r>
      <w:r>
        <w:rPr>
          <w:color w:val="231F20"/>
          <w:spacing w:val="-5"/>
        </w:rPr>
        <w:t>siembra (Cuadro </w:t>
      </w:r>
      <w:r>
        <w:rPr>
          <w:color w:val="231F20"/>
          <w:spacing w:val="-4"/>
        </w:rPr>
        <w:t>1). </w:t>
      </w:r>
      <w:r>
        <w:rPr>
          <w:color w:val="231F20"/>
          <w:spacing w:val="-3"/>
        </w:rPr>
        <w:t>De </w:t>
      </w:r>
      <w:r>
        <w:rPr>
          <w:color w:val="231F20"/>
          <w:spacing w:val="-5"/>
        </w:rPr>
        <w:t>tal manera</w:t>
      </w:r>
      <w:r>
        <w:rPr>
          <w:color w:val="231F20"/>
          <w:spacing w:val="-7"/>
        </w:rPr>
        <w:t> </w:t>
      </w:r>
      <w:r>
        <w:rPr>
          <w:color w:val="231F20"/>
          <w:spacing w:val="-4"/>
        </w:rPr>
        <w:t>que</w:t>
      </w:r>
      <w:r>
        <w:rPr>
          <w:color w:val="231F20"/>
          <w:spacing w:val="-7"/>
        </w:rPr>
        <w:t> </w:t>
      </w:r>
      <w:r>
        <w:rPr>
          <w:color w:val="231F20"/>
          <w:spacing w:val="-4"/>
        </w:rPr>
        <w:t>este</w:t>
      </w:r>
      <w:r>
        <w:rPr>
          <w:color w:val="231F20"/>
          <w:spacing w:val="-7"/>
        </w:rPr>
        <w:t> </w:t>
      </w:r>
      <w:r>
        <w:rPr>
          <w:color w:val="231F20"/>
          <w:spacing w:val="-5"/>
        </w:rPr>
        <w:t>índice</w:t>
      </w:r>
      <w:r>
        <w:rPr>
          <w:color w:val="231F20"/>
          <w:spacing w:val="-7"/>
        </w:rPr>
        <w:t> </w:t>
      </w:r>
      <w:r>
        <w:rPr>
          <w:color w:val="231F20"/>
          <w:spacing w:val="-5"/>
        </w:rPr>
        <w:t>climático</w:t>
      </w:r>
      <w:r>
        <w:rPr>
          <w:color w:val="231F20"/>
          <w:spacing w:val="-7"/>
        </w:rPr>
        <w:t> </w:t>
      </w:r>
      <w:r>
        <w:rPr>
          <w:color w:val="231F20"/>
          <w:spacing w:val="-3"/>
        </w:rPr>
        <w:t>no</w:t>
      </w:r>
      <w:r>
        <w:rPr>
          <w:color w:val="231F20"/>
          <w:spacing w:val="-7"/>
        </w:rPr>
        <w:t> </w:t>
      </w:r>
      <w:r>
        <w:rPr>
          <w:color w:val="231F20"/>
          <w:spacing w:val="-4"/>
        </w:rPr>
        <w:t>fue</w:t>
      </w:r>
      <w:r>
        <w:rPr>
          <w:color w:val="231F20"/>
          <w:spacing w:val="-7"/>
        </w:rPr>
        <w:t> </w:t>
      </w:r>
      <w:r>
        <w:rPr>
          <w:color w:val="231F20"/>
          <w:spacing w:val="-5"/>
        </w:rPr>
        <w:t>determinante</w:t>
      </w:r>
      <w:r>
        <w:rPr>
          <w:color w:val="231F20"/>
          <w:spacing w:val="-7"/>
        </w:rPr>
        <w:t> </w:t>
      </w:r>
      <w:r>
        <w:rPr>
          <w:color w:val="231F20"/>
          <w:spacing w:val="-3"/>
        </w:rPr>
        <w:t>en</w:t>
      </w:r>
      <w:r>
        <w:rPr>
          <w:color w:val="231F20"/>
          <w:spacing w:val="-7"/>
        </w:rPr>
        <w:t> </w:t>
      </w:r>
      <w:r>
        <w:rPr>
          <w:color w:val="231F20"/>
          <w:spacing w:val="-3"/>
        </w:rPr>
        <w:t>la</w:t>
      </w:r>
      <w:r>
        <w:rPr>
          <w:color w:val="231F20"/>
          <w:spacing w:val="-7"/>
        </w:rPr>
        <w:t> </w:t>
      </w:r>
      <w:r>
        <w:rPr>
          <w:color w:val="231F20"/>
          <w:spacing w:val="-5"/>
        </w:rPr>
        <w:t>respuesta</w:t>
      </w:r>
      <w:r>
        <w:rPr>
          <w:color w:val="231F20"/>
          <w:spacing w:val="-7"/>
        </w:rPr>
        <w:t> </w:t>
      </w:r>
      <w:r>
        <w:rPr>
          <w:color w:val="231F20"/>
          <w:spacing w:val="-4"/>
        </w:rPr>
        <w:t>del</w:t>
      </w:r>
      <w:r>
        <w:rPr>
          <w:color w:val="231F20"/>
          <w:spacing w:val="-7"/>
        </w:rPr>
        <w:t> </w:t>
      </w:r>
      <w:r>
        <w:rPr>
          <w:color w:val="231F20"/>
          <w:spacing w:val="-4"/>
        </w:rPr>
        <w:t>FCH</w:t>
      </w:r>
      <w:r>
        <w:rPr>
          <w:color w:val="231F20"/>
          <w:spacing w:val="-7"/>
        </w:rPr>
        <w:t> </w:t>
      </w:r>
      <w:r>
        <w:rPr>
          <w:color w:val="231F20"/>
        </w:rPr>
        <w:t>a</w:t>
      </w:r>
      <w:r>
        <w:rPr>
          <w:color w:val="231F20"/>
          <w:spacing w:val="-7"/>
        </w:rPr>
        <w:t> </w:t>
      </w:r>
      <w:r>
        <w:rPr>
          <w:color w:val="231F20"/>
          <w:spacing w:val="-4"/>
        </w:rPr>
        <w:t>las</w:t>
      </w:r>
      <w:r>
        <w:rPr>
          <w:color w:val="231F20"/>
          <w:spacing w:val="-7"/>
        </w:rPr>
        <w:t> </w:t>
      </w:r>
      <w:r>
        <w:rPr>
          <w:color w:val="231F20"/>
          <w:spacing w:val="-5"/>
        </w:rPr>
        <w:t>fechas</w:t>
      </w:r>
      <w:r>
        <w:rPr>
          <w:color w:val="231F20"/>
          <w:spacing w:val="-7"/>
        </w:rPr>
        <w:t> </w:t>
      </w:r>
      <w:r>
        <w:rPr>
          <w:color w:val="231F20"/>
          <w:spacing w:val="-3"/>
        </w:rPr>
        <w:t>de</w:t>
      </w:r>
      <w:r>
        <w:rPr>
          <w:color w:val="231F20"/>
          <w:spacing w:val="-7"/>
        </w:rPr>
        <w:t> </w:t>
      </w:r>
      <w:r>
        <w:rPr>
          <w:color w:val="231F20"/>
          <w:spacing w:val="-5"/>
        </w:rPr>
        <w:t>siembra.</w:t>
      </w:r>
    </w:p>
    <w:p>
      <w:pPr>
        <w:pStyle w:val="BodyText"/>
        <w:rPr>
          <w:sz w:val="20"/>
        </w:rPr>
      </w:pPr>
    </w:p>
    <w:p>
      <w:pPr>
        <w:pStyle w:val="BodyText"/>
        <w:spacing w:before="2"/>
        <w:rPr>
          <w:sz w:val="23"/>
        </w:rPr>
      </w:pPr>
    </w:p>
    <w:p>
      <w:pPr>
        <w:spacing w:line="290" w:lineRule="auto" w:before="1"/>
        <w:ind w:left="1635" w:right="1606" w:firstLine="124"/>
        <w:jc w:val="left"/>
        <w:rPr>
          <w:b/>
          <w:sz w:val="18"/>
        </w:rPr>
      </w:pPr>
      <w:r>
        <w:rPr>
          <w:b/>
          <w:color w:val="010202"/>
          <w:sz w:val="18"/>
        </w:rPr>
        <w:t>Figura 1. Temperatura máxima, mínima (media decenal) y precipitación (suma decenal) durante el ciclo de cultivo del FCH en espaldera de maíz en función de las fechas de siembra, verano de 2011</w:t>
      </w:r>
    </w:p>
    <w:p>
      <w:pPr>
        <w:pStyle w:val="BodyText"/>
        <w:spacing w:before="1"/>
        <w:rPr>
          <w:b/>
          <w:sz w:val="15"/>
        </w:rPr>
      </w:pPr>
      <w:r>
        <w:rPr/>
        <w:drawing>
          <wp:anchor distT="0" distB="0" distL="0" distR="0" allowOverlap="1" layoutInCell="1" locked="0" behindDoc="0" simplePos="0" relativeHeight="4528">
            <wp:simplePos x="0" y="0"/>
            <wp:positionH relativeFrom="page">
              <wp:posOffset>1214539</wp:posOffset>
            </wp:positionH>
            <wp:positionV relativeFrom="paragraph">
              <wp:posOffset>135373</wp:posOffset>
            </wp:positionV>
            <wp:extent cx="4423049" cy="2400300"/>
            <wp:effectExtent l="0" t="0" r="0" b="0"/>
            <wp:wrapTopAndBottom/>
            <wp:docPr id="163" name="image64.png" descr=""/>
            <wp:cNvGraphicFramePr>
              <a:graphicFrameLocks noChangeAspect="1"/>
            </wp:cNvGraphicFramePr>
            <a:graphic>
              <a:graphicData uri="http://schemas.openxmlformats.org/drawingml/2006/picture">
                <pic:pic>
                  <pic:nvPicPr>
                    <pic:cNvPr id="164" name="image64.png"/>
                    <pic:cNvPicPr/>
                  </pic:nvPicPr>
                  <pic:blipFill>
                    <a:blip r:embed="rId96" cstate="print"/>
                    <a:stretch>
                      <a:fillRect/>
                    </a:stretch>
                  </pic:blipFill>
                  <pic:spPr>
                    <a:xfrm>
                      <a:off x="0" y="0"/>
                      <a:ext cx="4423049" cy="2400300"/>
                    </a:xfrm>
                    <a:prstGeom prst="rect">
                      <a:avLst/>
                    </a:prstGeom>
                  </pic:spPr>
                </pic:pic>
              </a:graphicData>
            </a:graphic>
          </wp:anchor>
        </w:drawing>
      </w:r>
    </w:p>
    <w:p>
      <w:pPr>
        <w:spacing w:after="0"/>
        <w:rPr>
          <w:sz w:val="15"/>
        </w:rPr>
        <w:sectPr>
          <w:pgSz w:w="10920" w:h="13080"/>
          <w:pgMar w:header="0" w:footer="965" w:top="420" w:bottom="1220" w:left="0" w:right="0"/>
        </w:sectPr>
      </w:pPr>
    </w:p>
    <w:p>
      <w:pPr>
        <w:pStyle w:val="BodyText"/>
        <w:rPr>
          <w:b/>
          <w:sz w:val="20"/>
        </w:rPr>
      </w:pPr>
    </w:p>
    <w:p>
      <w:pPr>
        <w:pStyle w:val="BodyText"/>
        <w:rPr>
          <w:b/>
          <w:sz w:val="20"/>
        </w:rPr>
      </w:pPr>
    </w:p>
    <w:p>
      <w:pPr>
        <w:pStyle w:val="BodyText"/>
        <w:rPr>
          <w:b/>
          <w:sz w:val="23"/>
        </w:rPr>
      </w:pPr>
    </w:p>
    <w:p>
      <w:pPr>
        <w:pStyle w:val="Heading5"/>
        <w:spacing w:before="73"/>
      </w:pPr>
      <w:r>
        <w:rPr>
          <w:color w:val="231F20"/>
        </w:rPr>
        <w:t>Unidades calor (UC) y evapotranspiración (ETc)</w:t>
      </w:r>
    </w:p>
    <w:p>
      <w:pPr>
        <w:pStyle w:val="BodyText"/>
        <w:spacing w:line="247" w:lineRule="auto" w:before="8"/>
        <w:ind w:left="1270" w:right="1267"/>
        <w:jc w:val="both"/>
      </w:pPr>
      <w:r>
        <w:rPr>
          <w:color w:val="231F20"/>
        </w:rPr>
        <w:t>Las</w:t>
      </w:r>
      <w:r>
        <w:rPr>
          <w:color w:val="231F20"/>
          <w:spacing w:val="-5"/>
        </w:rPr>
        <w:t> </w:t>
      </w:r>
      <w:r>
        <w:rPr>
          <w:color w:val="231F20"/>
        </w:rPr>
        <w:t>UC</w:t>
      </w:r>
      <w:r>
        <w:rPr>
          <w:color w:val="231F20"/>
          <w:spacing w:val="-5"/>
        </w:rPr>
        <w:t> </w:t>
      </w:r>
      <w:r>
        <w:rPr>
          <w:color w:val="231F20"/>
        </w:rPr>
        <w:t>y</w:t>
      </w:r>
      <w:r>
        <w:rPr>
          <w:color w:val="231F20"/>
          <w:spacing w:val="-5"/>
        </w:rPr>
        <w:t> ETc </w:t>
      </w:r>
      <w:r>
        <w:rPr>
          <w:color w:val="231F20"/>
        </w:rPr>
        <w:t>acumuladas</w:t>
      </w:r>
      <w:r>
        <w:rPr>
          <w:color w:val="231F20"/>
          <w:spacing w:val="-5"/>
        </w:rPr>
        <w:t> </w:t>
      </w:r>
      <w:r>
        <w:rPr>
          <w:color w:val="231F20"/>
        </w:rPr>
        <w:t>durante</w:t>
      </w:r>
      <w:r>
        <w:rPr>
          <w:color w:val="231F20"/>
          <w:spacing w:val="-5"/>
        </w:rPr>
        <w:t> </w:t>
      </w:r>
      <w:r>
        <w:rPr>
          <w:color w:val="231F20"/>
        </w:rPr>
        <w:t>el</w:t>
      </w:r>
      <w:r>
        <w:rPr>
          <w:color w:val="231F20"/>
          <w:spacing w:val="-5"/>
        </w:rPr>
        <w:t> </w:t>
      </w:r>
      <w:r>
        <w:rPr>
          <w:color w:val="231F20"/>
        </w:rPr>
        <w:t>ciclo</w:t>
      </w:r>
      <w:r>
        <w:rPr>
          <w:color w:val="231F20"/>
          <w:spacing w:val="-5"/>
        </w:rPr>
        <w:t> </w:t>
      </w:r>
      <w:r>
        <w:rPr>
          <w:color w:val="231F20"/>
        </w:rPr>
        <w:t>del</w:t>
      </w:r>
      <w:r>
        <w:rPr>
          <w:color w:val="231F20"/>
          <w:spacing w:val="-5"/>
        </w:rPr>
        <w:t> </w:t>
      </w:r>
      <w:r>
        <w:rPr>
          <w:color w:val="231F20"/>
        </w:rPr>
        <w:t>cultivo</w:t>
      </w:r>
      <w:r>
        <w:rPr>
          <w:color w:val="231F20"/>
          <w:spacing w:val="-5"/>
        </w:rPr>
        <w:t> </w:t>
      </w:r>
      <w:r>
        <w:rPr>
          <w:color w:val="231F20"/>
        </w:rPr>
        <w:t>difirieron</w:t>
      </w:r>
      <w:r>
        <w:rPr>
          <w:color w:val="231F20"/>
          <w:spacing w:val="-5"/>
        </w:rPr>
        <w:t> </w:t>
      </w:r>
      <w:r>
        <w:rPr>
          <w:color w:val="231F20"/>
        </w:rPr>
        <w:t>entre</w:t>
      </w:r>
      <w:r>
        <w:rPr>
          <w:color w:val="231F20"/>
          <w:spacing w:val="-5"/>
        </w:rPr>
        <w:t> </w:t>
      </w:r>
      <w:r>
        <w:rPr>
          <w:color w:val="231F20"/>
        </w:rPr>
        <w:t>fechas</w:t>
      </w:r>
      <w:r>
        <w:rPr>
          <w:color w:val="231F20"/>
          <w:spacing w:val="-5"/>
        </w:rPr>
        <w:t> </w:t>
      </w:r>
      <w:r>
        <w:rPr>
          <w:color w:val="231F20"/>
        </w:rPr>
        <w:t>de</w:t>
      </w:r>
      <w:r>
        <w:rPr>
          <w:color w:val="231F20"/>
          <w:spacing w:val="-5"/>
        </w:rPr>
        <w:t> </w:t>
      </w:r>
      <w:r>
        <w:rPr>
          <w:color w:val="231F20"/>
        </w:rPr>
        <w:t>siembra;</w:t>
      </w:r>
      <w:r>
        <w:rPr>
          <w:color w:val="231F20"/>
          <w:spacing w:val="-5"/>
        </w:rPr>
        <w:t> </w:t>
      </w:r>
      <w:r>
        <w:rPr>
          <w:color w:val="231F20"/>
        </w:rPr>
        <w:t>sus</w:t>
      </w:r>
      <w:r>
        <w:rPr>
          <w:color w:val="231F20"/>
          <w:spacing w:val="-5"/>
        </w:rPr>
        <w:t> </w:t>
      </w:r>
      <w:r>
        <w:rPr>
          <w:color w:val="231F20"/>
        </w:rPr>
        <w:t>valores más altos se observaron en la siembra A15 (1204 °C y 486 mm) y disminuyó conforme ésta se hizo más</w:t>
      </w:r>
      <w:r>
        <w:rPr>
          <w:color w:val="231F20"/>
          <w:spacing w:val="-3"/>
        </w:rPr>
        <w:t> </w:t>
      </w:r>
      <w:r>
        <w:rPr>
          <w:color w:val="231F20"/>
        </w:rPr>
        <w:t>tarde,</w:t>
      </w:r>
      <w:r>
        <w:rPr>
          <w:color w:val="231F20"/>
          <w:spacing w:val="-4"/>
        </w:rPr>
        <w:t> </w:t>
      </w:r>
      <w:r>
        <w:rPr>
          <w:color w:val="231F20"/>
        </w:rPr>
        <w:t>de</w:t>
      </w:r>
      <w:r>
        <w:rPr>
          <w:color w:val="231F20"/>
          <w:spacing w:val="-3"/>
        </w:rPr>
        <w:t> </w:t>
      </w:r>
      <w:r>
        <w:rPr>
          <w:color w:val="231F20"/>
        </w:rPr>
        <w:t>modo</w:t>
      </w:r>
      <w:r>
        <w:rPr>
          <w:color w:val="231F20"/>
          <w:spacing w:val="-4"/>
        </w:rPr>
        <w:t> </w:t>
      </w:r>
      <w:r>
        <w:rPr>
          <w:color w:val="231F20"/>
        </w:rPr>
        <w:t>que</w:t>
      </w:r>
      <w:r>
        <w:rPr>
          <w:color w:val="231F20"/>
          <w:spacing w:val="-3"/>
        </w:rPr>
        <w:t> </w:t>
      </w:r>
      <w:r>
        <w:rPr>
          <w:color w:val="231F20"/>
        </w:rPr>
        <w:t>los</w:t>
      </w:r>
      <w:r>
        <w:rPr>
          <w:color w:val="231F20"/>
          <w:spacing w:val="-4"/>
        </w:rPr>
        <w:t> </w:t>
      </w:r>
      <w:r>
        <w:rPr>
          <w:color w:val="231F20"/>
        </w:rPr>
        <w:t>valores</w:t>
      </w:r>
      <w:r>
        <w:rPr>
          <w:color w:val="231F20"/>
          <w:spacing w:val="-3"/>
        </w:rPr>
        <w:t> </w:t>
      </w:r>
      <w:r>
        <w:rPr>
          <w:color w:val="231F20"/>
        </w:rPr>
        <w:t>más</w:t>
      </w:r>
      <w:r>
        <w:rPr>
          <w:color w:val="231F20"/>
          <w:spacing w:val="-3"/>
        </w:rPr>
        <w:t> </w:t>
      </w:r>
      <w:r>
        <w:rPr>
          <w:color w:val="231F20"/>
        </w:rPr>
        <w:t>bajos</w:t>
      </w:r>
      <w:r>
        <w:rPr>
          <w:color w:val="231F20"/>
          <w:spacing w:val="-3"/>
        </w:rPr>
        <w:t> </w:t>
      </w:r>
      <w:r>
        <w:rPr>
          <w:color w:val="231F20"/>
        </w:rPr>
        <w:t>(961</w:t>
      </w:r>
      <w:r>
        <w:rPr>
          <w:color w:val="231F20"/>
          <w:spacing w:val="-3"/>
        </w:rPr>
        <w:t> </w:t>
      </w:r>
      <w:r>
        <w:rPr>
          <w:color w:val="231F20"/>
        </w:rPr>
        <w:t>°C</w:t>
      </w:r>
      <w:r>
        <w:rPr>
          <w:color w:val="231F20"/>
          <w:spacing w:val="-3"/>
        </w:rPr>
        <w:t> </w:t>
      </w:r>
      <w:r>
        <w:rPr>
          <w:color w:val="231F20"/>
        </w:rPr>
        <w:t>y</w:t>
      </w:r>
      <w:r>
        <w:rPr>
          <w:color w:val="231F20"/>
          <w:spacing w:val="-3"/>
        </w:rPr>
        <w:t> </w:t>
      </w:r>
      <w:r>
        <w:rPr>
          <w:color w:val="231F20"/>
        </w:rPr>
        <w:t>363</w:t>
      </w:r>
      <w:r>
        <w:rPr>
          <w:color w:val="231F20"/>
          <w:spacing w:val="-3"/>
        </w:rPr>
        <w:t> </w:t>
      </w:r>
      <w:r>
        <w:rPr>
          <w:color w:val="231F20"/>
        </w:rPr>
        <w:t>mm)</w:t>
      </w:r>
      <w:r>
        <w:rPr>
          <w:color w:val="231F20"/>
          <w:spacing w:val="-3"/>
        </w:rPr>
        <w:t> </w:t>
      </w:r>
      <w:r>
        <w:rPr>
          <w:color w:val="231F20"/>
        </w:rPr>
        <w:t>correspondieron</w:t>
      </w:r>
      <w:r>
        <w:rPr>
          <w:color w:val="231F20"/>
          <w:spacing w:val="-4"/>
        </w:rPr>
        <w:t> </w:t>
      </w:r>
      <w:r>
        <w:rPr>
          <w:color w:val="231F20"/>
        </w:rPr>
        <w:t>a</w:t>
      </w:r>
      <w:r>
        <w:rPr>
          <w:color w:val="231F20"/>
          <w:spacing w:val="-3"/>
        </w:rPr>
        <w:t> </w:t>
      </w:r>
      <w:r>
        <w:rPr>
          <w:color w:val="231F20"/>
        </w:rPr>
        <w:t>la</w:t>
      </w:r>
      <w:r>
        <w:rPr>
          <w:color w:val="231F20"/>
          <w:spacing w:val="-3"/>
        </w:rPr>
        <w:t> </w:t>
      </w:r>
      <w:r>
        <w:rPr>
          <w:color w:val="231F20"/>
        </w:rPr>
        <w:t>siembra</w:t>
      </w:r>
      <w:r>
        <w:rPr>
          <w:color w:val="231F20"/>
          <w:spacing w:val="-3"/>
        </w:rPr>
        <w:t> </w:t>
      </w:r>
      <w:r>
        <w:rPr>
          <w:color w:val="231F20"/>
        </w:rPr>
        <w:t>J15. La</w:t>
      </w:r>
      <w:r>
        <w:rPr>
          <w:color w:val="231F20"/>
          <w:spacing w:val="-10"/>
        </w:rPr>
        <w:t> </w:t>
      </w:r>
      <w:r>
        <w:rPr>
          <w:color w:val="231F20"/>
        </w:rPr>
        <w:t>reducción</w:t>
      </w:r>
      <w:r>
        <w:rPr>
          <w:color w:val="231F20"/>
          <w:spacing w:val="-10"/>
        </w:rPr>
        <w:t> </w:t>
      </w:r>
      <w:r>
        <w:rPr>
          <w:color w:val="231F20"/>
        </w:rPr>
        <w:t>en</w:t>
      </w:r>
      <w:r>
        <w:rPr>
          <w:color w:val="231F20"/>
          <w:spacing w:val="-10"/>
        </w:rPr>
        <w:t> </w:t>
      </w:r>
      <w:r>
        <w:rPr>
          <w:color w:val="231F20"/>
        </w:rPr>
        <w:t>los</w:t>
      </w:r>
      <w:r>
        <w:rPr>
          <w:color w:val="231F20"/>
          <w:spacing w:val="-10"/>
        </w:rPr>
        <w:t> </w:t>
      </w:r>
      <w:r>
        <w:rPr>
          <w:color w:val="231F20"/>
        </w:rPr>
        <w:t>valores</w:t>
      </w:r>
      <w:r>
        <w:rPr>
          <w:color w:val="231F20"/>
          <w:spacing w:val="-10"/>
        </w:rPr>
        <w:t> </w:t>
      </w:r>
      <w:r>
        <w:rPr>
          <w:color w:val="231F20"/>
        </w:rPr>
        <w:t>de</w:t>
      </w:r>
      <w:r>
        <w:rPr>
          <w:color w:val="231F20"/>
          <w:spacing w:val="-10"/>
        </w:rPr>
        <w:t> </w:t>
      </w:r>
      <w:r>
        <w:rPr>
          <w:color w:val="231F20"/>
        </w:rPr>
        <w:t>UC</w:t>
      </w:r>
      <w:r>
        <w:rPr>
          <w:color w:val="231F20"/>
          <w:spacing w:val="-10"/>
        </w:rPr>
        <w:t> </w:t>
      </w:r>
      <w:r>
        <w:rPr>
          <w:color w:val="231F20"/>
        </w:rPr>
        <w:t>y</w:t>
      </w:r>
      <w:r>
        <w:rPr>
          <w:color w:val="231F20"/>
          <w:spacing w:val="-10"/>
        </w:rPr>
        <w:t> </w:t>
      </w:r>
      <w:r>
        <w:rPr>
          <w:color w:val="231F20"/>
          <w:spacing w:val="-5"/>
        </w:rPr>
        <w:t>ETc</w:t>
      </w:r>
      <w:r>
        <w:rPr>
          <w:color w:val="231F20"/>
          <w:spacing w:val="-10"/>
        </w:rPr>
        <w:t> </w:t>
      </w:r>
      <w:r>
        <w:rPr>
          <w:color w:val="231F20"/>
        </w:rPr>
        <w:t>en</w:t>
      </w:r>
      <w:r>
        <w:rPr>
          <w:color w:val="231F20"/>
          <w:spacing w:val="-10"/>
        </w:rPr>
        <w:t> </w:t>
      </w:r>
      <w:r>
        <w:rPr>
          <w:color w:val="231F20"/>
        </w:rPr>
        <w:t>siembras</w:t>
      </w:r>
      <w:r>
        <w:rPr>
          <w:color w:val="231F20"/>
          <w:spacing w:val="-9"/>
        </w:rPr>
        <w:t> </w:t>
      </w:r>
      <w:r>
        <w:rPr>
          <w:color w:val="231F20"/>
        </w:rPr>
        <w:t>posteriores</w:t>
      </w:r>
      <w:r>
        <w:rPr>
          <w:color w:val="231F20"/>
          <w:spacing w:val="-10"/>
        </w:rPr>
        <w:t> </w:t>
      </w:r>
      <w:r>
        <w:rPr>
          <w:color w:val="231F20"/>
        </w:rPr>
        <w:t>a</w:t>
      </w:r>
      <w:r>
        <w:rPr>
          <w:color w:val="231F20"/>
          <w:spacing w:val="-10"/>
        </w:rPr>
        <w:t> </w:t>
      </w:r>
      <w:r>
        <w:rPr>
          <w:color w:val="231F20"/>
        </w:rPr>
        <w:t>15A</w:t>
      </w:r>
      <w:r>
        <w:rPr>
          <w:color w:val="231F20"/>
          <w:spacing w:val="-21"/>
        </w:rPr>
        <w:t> </w:t>
      </w:r>
      <w:r>
        <w:rPr>
          <w:color w:val="231F20"/>
        </w:rPr>
        <w:t>se</w:t>
      </w:r>
      <w:r>
        <w:rPr>
          <w:color w:val="231F20"/>
          <w:spacing w:val="-10"/>
        </w:rPr>
        <w:t> </w:t>
      </w:r>
      <w:r>
        <w:rPr>
          <w:color w:val="231F20"/>
        </w:rPr>
        <w:t>relaciona</w:t>
      </w:r>
      <w:r>
        <w:rPr>
          <w:color w:val="231F20"/>
          <w:spacing w:val="-10"/>
        </w:rPr>
        <w:t> </w:t>
      </w:r>
      <w:r>
        <w:rPr>
          <w:color w:val="231F20"/>
        </w:rPr>
        <w:t>con</w:t>
      </w:r>
      <w:r>
        <w:rPr>
          <w:color w:val="231F20"/>
          <w:spacing w:val="-10"/>
        </w:rPr>
        <w:t> </w:t>
      </w:r>
      <w:r>
        <w:rPr>
          <w:color w:val="231F20"/>
        </w:rPr>
        <w:t>disminución en</w:t>
      </w:r>
      <w:r>
        <w:rPr>
          <w:color w:val="231F20"/>
          <w:spacing w:val="-12"/>
        </w:rPr>
        <w:t> </w:t>
      </w:r>
      <w:r>
        <w:rPr>
          <w:color w:val="231F20"/>
        </w:rPr>
        <w:t>la</w:t>
      </w:r>
      <w:r>
        <w:rPr>
          <w:color w:val="231F20"/>
          <w:spacing w:val="-12"/>
        </w:rPr>
        <w:t> </w:t>
      </w:r>
      <w:r>
        <w:rPr>
          <w:color w:val="231F20"/>
        </w:rPr>
        <w:t>temperatura</w:t>
      </w:r>
      <w:r>
        <w:rPr>
          <w:color w:val="231F20"/>
          <w:spacing w:val="-13"/>
        </w:rPr>
        <w:t> </w:t>
      </w:r>
      <w:r>
        <w:rPr>
          <w:color w:val="231F20"/>
        </w:rPr>
        <w:t>máxima</w:t>
      </w:r>
      <w:r>
        <w:rPr>
          <w:color w:val="231F20"/>
          <w:spacing w:val="-12"/>
        </w:rPr>
        <w:t> </w:t>
      </w:r>
      <w:r>
        <w:rPr>
          <w:color w:val="231F20"/>
        </w:rPr>
        <w:t>de</w:t>
      </w:r>
      <w:r>
        <w:rPr>
          <w:color w:val="231F20"/>
          <w:spacing w:val="29"/>
        </w:rPr>
        <w:t> </w:t>
      </w:r>
      <w:r>
        <w:rPr>
          <w:color w:val="231F20"/>
        </w:rPr>
        <w:t>26.4</w:t>
      </w:r>
      <w:r>
        <w:rPr>
          <w:color w:val="231F20"/>
          <w:spacing w:val="-12"/>
        </w:rPr>
        <w:t> </w:t>
      </w:r>
      <w:r>
        <w:rPr>
          <w:color w:val="231F20"/>
        </w:rPr>
        <w:t>°C</w:t>
      </w:r>
      <w:r>
        <w:rPr>
          <w:color w:val="231F20"/>
          <w:spacing w:val="-12"/>
        </w:rPr>
        <w:t> </w:t>
      </w:r>
      <w:r>
        <w:rPr>
          <w:color w:val="231F20"/>
        </w:rPr>
        <w:t>a</w:t>
      </w:r>
      <w:r>
        <w:rPr>
          <w:color w:val="231F20"/>
          <w:spacing w:val="-12"/>
        </w:rPr>
        <w:t> </w:t>
      </w:r>
      <w:r>
        <w:rPr>
          <w:color w:val="231F20"/>
        </w:rPr>
        <w:t>24.0</w:t>
      </w:r>
      <w:r>
        <w:rPr>
          <w:color w:val="231F20"/>
          <w:spacing w:val="-12"/>
        </w:rPr>
        <w:t> </w:t>
      </w:r>
      <w:r>
        <w:rPr>
          <w:color w:val="231F20"/>
        </w:rPr>
        <w:t>°C.</w:t>
      </w:r>
      <w:r>
        <w:rPr>
          <w:color w:val="231F20"/>
          <w:spacing w:val="-16"/>
        </w:rPr>
        <w:t> </w:t>
      </w:r>
      <w:r>
        <w:rPr>
          <w:color w:val="231F20"/>
        </w:rPr>
        <w:t>Tendencias</w:t>
      </w:r>
      <w:r>
        <w:rPr>
          <w:color w:val="231F20"/>
          <w:spacing w:val="-12"/>
        </w:rPr>
        <w:t> </w:t>
      </w:r>
      <w:r>
        <w:rPr>
          <w:color w:val="231F20"/>
        </w:rPr>
        <w:t>similares</w:t>
      </w:r>
      <w:r>
        <w:rPr>
          <w:color w:val="231F20"/>
          <w:spacing w:val="-11"/>
        </w:rPr>
        <w:t> </w:t>
      </w:r>
      <w:r>
        <w:rPr>
          <w:color w:val="231F20"/>
        </w:rPr>
        <w:t>fueron</w:t>
      </w:r>
      <w:r>
        <w:rPr>
          <w:color w:val="231F20"/>
          <w:spacing w:val="-12"/>
        </w:rPr>
        <w:t> </w:t>
      </w:r>
      <w:r>
        <w:rPr>
          <w:color w:val="231F20"/>
        </w:rPr>
        <w:t>encontradas</w:t>
      </w:r>
      <w:r>
        <w:rPr>
          <w:color w:val="231F20"/>
          <w:spacing w:val="-12"/>
        </w:rPr>
        <w:t> </w:t>
      </w:r>
      <w:r>
        <w:rPr>
          <w:color w:val="231F20"/>
        </w:rPr>
        <w:t>por</w:t>
      </w:r>
      <w:r>
        <w:rPr>
          <w:color w:val="231F20"/>
          <w:spacing w:val="-12"/>
        </w:rPr>
        <w:t> </w:t>
      </w:r>
      <w:r>
        <w:rPr>
          <w:color w:val="231F20"/>
        </w:rPr>
        <w:t>Salinas et al. (2008), quienes al evaluar fechas de siembra del frijol común en clima templado, observaron disminución</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acumulación</w:t>
      </w:r>
      <w:r>
        <w:rPr>
          <w:color w:val="231F20"/>
          <w:spacing w:val="-10"/>
        </w:rPr>
        <w:t> </w:t>
      </w:r>
      <w:r>
        <w:rPr>
          <w:color w:val="231F20"/>
        </w:rPr>
        <w:t>de</w:t>
      </w:r>
      <w:r>
        <w:rPr>
          <w:color w:val="231F20"/>
          <w:spacing w:val="-10"/>
        </w:rPr>
        <w:t> </w:t>
      </w:r>
      <w:r>
        <w:rPr>
          <w:color w:val="231F20"/>
        </w:rPr>
        <w:t>UC</w:t>
      </w:r>
      <w:r>
        <w:rPr>
          <w:color w:val="231F20"/>
          <w:spacing w:val="-10"/>
        </w:rPr>
        <w:t> </w:t>
      </w:r>
      <w:r>
        <w:rPr>
          <w:color w:val="231F20"/>
        </w:rPr>
        <w:t>y</w:t>
      </w:r>
      <w:r>
        <w:rPr>
          <w:color w:val="231F20"/>
          <w:spacing w:val="-10"/>
        </w:rPr>
        <w:t> </w:t>
      </w:r>
      <w:r>
        <w:rPr>
          <w:color w:val="231F20"/>
          <w:spacing w:val="-5"/>
        </w:rPr>
        <w:t>ETc</w:t>
      </w:r>
      <w:r>
        <w:rPr>
          <w:color w:val="231F20"/>
          <w:spacing w:val="-10"/>
        </w:rPr>
        <w:t> </w:t>
      </w:r>
      <w:r>
        <w:rPr>
          <w:color w:val="231F20"/>
        </w:rPr>
        <w:t>a</w:t>
      </w:r>
      <w:r>
        <w:rPr>
          <w:color w:val="231F20"/>
          <w:spacing w:val="-10"/>
        </w:rPr>
        <w:t> </w:t>
      </w:r>
      <w:r>
        <w:rPr>
          <w:color w:val="231F20"/>
        </w:rPr>
        <w:t>medida</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retrasa</w:t>
      </w:r>
      <w:r>
        <w:rPr>
          <w:color w:val="231F20"/>
          <w:spacing w:val="-10"/>
        </w:rPr>
        <w:t> </w:t>
      </w:r>
      <w:r>
        <w:rPr>
          <w:color w:val="231F20"/>
        </w:rPr>
        <w:t>la</w:t>
      </w:r>
      <w:r>
        <w:rPr>
          <w:color w:val="231F20"/>
          <w:spacing w:val="-10"/>
        </w:rPr>
        <w:t> </w:t>
      </w:r>
      <w:r>
        <w:rPr>
          <w:color w:val="231F20"/>
        </w:rPr>
        <w:t>fecha</w:t>
      </w:r>
      <w:r>
        <w:rPr>
          <w:color w:val="231F20"/>
          <w:spacing w:val="-10"/>
        </w:rPr>
        <w:t> </w:t>
      </w:r>
      <w:r>
        <w:rPr>
          <w:color w:val="231F20"/>
        </w:rPr>
        <w:t>de</w:t>
      </w:r>
      <w:r>
        <w:rPr>
          <w:color w:val="231F20"/>
          <w:spacing w:val="-10"/>
        </w:rPr>
        <w:t> </w:t>
      </w:r>
      <w:r>
        <w:rPr>
          <w:color w:val="231F20"/>
        </w:rPr>
        <w:t>siembra,</w:t>
      </w:r>
      <w:r>
        <w:rPr>
          <w:color w:val="231F20"/>
          <w:spacing w:val="-9"/>
        </w:rPr>
        <w:t> </w:t>
      </w:r>
      <w:r>
        <w:rPr>
          <w:color w:val="231F20"/>
        </w:rPr>
        <w:t>al</w:t>
      </w:r>
      <w:r>
        <w:rPr>
          <w:color w:val="231F20"/>
          <w:spacing w:val="-10"/>
        </w:rPr>
        <w:t> </w:t>
      </w:r>
      <w:r>
        <w:rPr>
          <w:color w:val="231F20"/>
        </w:rPr>
        <w:t>presentar los</w:t>
      </w:r>
      <w:r>
        <w:rPr>
          <w:color w:val="231F20"/>
          <w:spacing w:val="-3"/>
        </w:rPr>
        <w:t> </w:t>
      </w:r>
      <w:r>
        <w:rPr>
          <w:color w:val="231F20"/>
        </w:rPr>
        <w:t>valores</w:t>
      </w:r>
      <w:r>
        <w:rPr>
          <w:color w:val="231F20"/>
          <w:spacing w:val="-3"/>
        </w:rPr>
        <w:t> </w:t>
      </w:r>
      <w:r>
        <w:rPr>
          <w:color w:val="231F20"/>
        </w:rPr>
        <w:t>más</w:t>
      </w:r>
      <w:r>
        <w:rPr>
          <w:color w:val="231F20"/>
          <w:spacing w:val="-3"/>
        </w:rPr>
        <w:t> </w:t>
      </w:r>
      <w:r>
        <w:rPr>
          <w:color w:val="231F20"/>
        </w:rPr>
        <w:t>altos</w:t>
      </w:r>
      <w:r>
        <w:rPr>
          <w:color w:val="231F20"/>
          <w:spacing w:val="-3"/>
        </w:rPr>
        <w:t> </w:t>
      </w:r>
      <w:r>
        <w:rPr>
          <w:color w:val="231F20"/>
        </w:rPr>
        <w:t>la</w:t>
      </w:r>
      <w:r>
        <w:rPr>
          <w:color w:val="231F20"/>
          <w:spacing w:val="-3"/>
        </w:rPr>
        <w:t> </w:t>
      </w:r>
      <w:r>
        <w:rPr>
          <w:color w:val="231F20"/>
        </w:rPr>
        <w:t>siembra</w:t>
      </w:r>
      <w:r>
        <w:rPr>
          <w:color w:val="231F20"/>
          <w:spacing w:val="-3"/>
        </w:rPr>
        <w:t> </w:t>
      </w:r>
      <w:r>
        <w:rPr>
          <w:color w:val="231F20"/>
        </w:rPr>
        <w:t>del</w:t>
      </w:r>
      <w:r>
        <w:rPr>
          <w:color w:val="231F20"/>
          <w:spacing w:val="-3"/>
        </w:rPr>
        <w:t> </w:t>
      </w:r>
      <w:r>
        <w:rPr>
          <w:color w:val="231F20"/>
        </w:rPr>
        <w:t>02</w:t>
      </w:r>
      <w:r>
        <w:rPr>
          <w:color w:val="231F20"/>
          <w:spacing w:val="-3"/>
        </w:rPr>
        <w:t> </w:t>
      </w:r>
      <w:r>
        <w:rPr>
          <w:color w:val="231F20"/>
        </w:rPr>
        <w:t>de</w:t>
      </w:r>
      <w:r>
        <w:rPr>
          <w:color w:val="231F20"/>
          <w:spacing w:val="-3"/>
        </w:rPr>
        <w:t> </w:t>
      </w:r>
      <w:r>
        <w:rPr>
          <w:color w:val="231F20"/>
        </w:rPr>
        <w:t>mayo</w:t>
      </w:r>
      <w:r>
        <w:rPr>
          <w:color w:val="231F20"/>
          <w:spacing w:val="-3"/>
        </w:rPr>
        <w:t> </w:t>
      </w:r>
      <w:r>
        <w:rPr>
          <w:color w:val="231F20"/>
        </w:rPr>
        <w:t>(1087</w:t>
      </w:r>
      <w:r>
        <w:rPr>
          <w:color w:val="231F20"/>
          <w:spacing w:val="-3"/>
        </w:rPr>
        <w:t> </w:t>
      </w:r>
      <w:r>
        <w:rPr>
          <w:color w:val="231F20"/>
        </w:rPr>
        <w:t>°C</w:t>
      </w:r>
      <w:r>
        <w:rPr>
          <w:color w:val="231F20"/>
          <w:spacing w:val="-3"/>
        </w:rPr>
        <w:t> </w:t>
      </w:r>
      <w:r>
        <w:rPr>
          <w:color w:val="231F20"/>
        </w:rPr>
        <w:t>y</w:t>
      </w:r>
      <w:r>
        <w:rPr>
          <w:color w:val="231F20"/>
          <w:spacing w:val="-3"/>
        </w:rPr>
        <w:t> </w:t>
      </w:r>
      <w:r>
        <w:rPr>
          <w:color w:val="231F20"/>
        </w:rPr>
        <w:t>224</w:t>
      </w:r>
      <w:r>
        <w:rPr>
          <w:color w:val="231F20"/>
          <w:spacing w:val="-3"/>
        </w:rPr>
        <w:t> </w:t>
      </w:r>
      <w:r>
        <w:rPr>
          <w:color w:val="231F20"/>
        </w:rPr>
        <w:t>mm)</w:t>
      </w:r>
      <w:r>
        <w:rPr>
          <w:color w:val="231F20"/>
          <w:spacing w:val="-3"/>
        </w:rPr>
        <w:t> </w:t>
      </w:r>
      <w:r>
        <w:rPr>
          <w:color w:val="231F20"/>
        </w:rPr>
        <w:t>y</w:t>
      </w:r>
      <w:r>
        <w:rPr>
          <w:color w:val="231F20"/>
          <w:spacing w:val="-3"/>
        </w:rPr>
        <w:t> </w:t>
      </w:r>
      <w:r>
        <w:rPr>
          <w:color w:val="231F20"/>
        </w:rPr>
        <w:t>los</w:t>
      </w:r>
      <w:r>
        <w:rPr>
          <w:color w:val="231F20"/>
          <w:spacing w:val="-3"/>
        </w:rPr>
        <w:t> </w:t>
      </w:r>
      <w:r>
        <w:rPr>
          <w:color w:val="231F20"/>
        </w:rPr>
        <w:t>más</w:t>
      </w:r>
      <w:r>
        <w:rPr>
          <w:color w:val="231F20"/>
          <w:spacing w:val="-3"/>
        </w:rPr>
        <w:t> </w:t>
      </w:r>
      <w:r>
        <w:rPr>
          <w:color w:val="231F20"/>
        </w:rPr>
        <w:t>bajos</w:t>
      </w:r>
      <w:r>
        <w:rPr>
          <w:color w:val="231F20"/>
          <w:spacing w:val="-3"/>
        </w:rPr>
        <w:t> </w:t>
      </w:r>
      <w:r>
        <w:rPr>
          <w:color w:val="231F20"/>
        </w:rPr>
        <w:t>en</w:t>
      </w:r>
      <w:r>
        <w:rPr>
          <w:color w:val="231F20"/>
          <w:spacing w:val="-3"/>
        </w:rPr>
        <w:t> </w:t>
      </w:r>
      <w:r>
        <w:rPr>
          <w:color w:val="231F20"/>
        </w:rPr>
        <w:t>la</w:t>
      </w:r>
      <w:r>
        <w:rPr>
          <w:color w:val="231F20"/>
          <w:spacing w:val="-3"/>
        </w:rPr>
        <w:t> </w:t>
      </w:r>
      <w:r>
        <w:rPr>
          <w:color w:val="231F20"/>
        </w:rPr>
        <w:t>del</w:t>
      </w:r>
      <w:r>
        <w:rPr>
          <w:color w:val="231F20"/>
          <w:spacing w:val="-3"/>
        </w:rPr>
        <w:t> </w:t>
      </w:r>
      <w:r>
        <w:rPr>
          <w:color w:val="231F20"/>
        </w:rPr>
        <w:t>01</w:t>
      </w:r>
      <w:r>
        <w:rPr>
          <w:color w:val="231F20"/>
          <w:spacing w:val="-3"/>
        </w:rPr>
        <w:t> </w:t>
      </w:r>
      <w:r>
        <w:rPr>
          <w:color w:val="231F20"/>
        </w:rPr>
        <w:t>de julio (884 °C y 147 mm). En este caso, la disminución de la Tmáx fue de 6 °C entre la primera y la última fecha de</w:t>
      </w:r>
      <w:r>
        <w:rPr>
          <w:color w:val="231F20"/>
          <w:spacing w:val="-8"/>
        </w:rPr>
        <w:t> </w:t>
      </w:r>
      <w:r>
        <w:rPr>
          <w:color w:val="231F20"/>
        </w:rPr>
        <w:t>siembra.</w:t>
      </w:r>
    </w:p>
    <w:p>
      <w:pPr>
        <w:pStyle w:val="BodyText"/>
        <w:spacing w:before="5"/>
      </w:pPr>
    </w:p>
    <w:p>
      <w:pPr>
        <w:spacing w:line="249" w:lineRule="auto" w:before="0"/>
        <w:ind w:left="2727" w:right="1569" w:hanging="672"/>
        <w:jc w:val="left"/>
        <w:rPr>
          <w:b/>
          <w:sz w:val="18"/>
        </w:rPr>
      </w:pPr>
      <w:r>
        <w:rPr>
          <w:b/>
          <w:color w:val="010202"/>
          <w:sz w:val="18"/>
        </w:rPr>
        <w:t>Cuadro 1. Fenología, unidades calor, precipitación, lámina de riego y evapotranspiración durante el ciclo del cultivo. Montecillo, Edo. de México. Verano de 2011</w:t>
      </w:r>
    </w:p>
    <w:p>
      <w:pPr>
        <w:pStyle w:val="BodyText"/>
        <w:spacing w:before="6"/>
        <w:rPr>
          <w:b/>
          <w:sz w:val="19"/>
        </w:rPr>
      </w:pPr>
      <w:r>
        <w:rPr/>
        <w:drawing>
          <wp:anchor distT="0" distB="0" distL="0" distR="0" allowOverlap="1" layoutInCell="1" locked="0" behindDoc="0" simplePos="0" relativeHeight="4552">
            <wp:simplePos x="0" y="0"/>
            <wp:positionH relativeFrom="page">
              <wp:posOffset>806699</wp:posOffset>
            </wp:positionH>
            <wp:positionV relativeFrom="paragraph">
              <wp:posOffset>167584</wp:posOffset>
            </wp:positionV>
            <wp:extent cx="5304699" cy="1544192"/>
            <wp:effectExtent l="0" t="0" r="0" b="0"/>
            <wp:wrapTopAndBottom/>
            <wp:docPr id="165" name="image65.jpeg" descr=""/>
            <wp:cNvGraphicFramePr>
              <a:graphicFrameLocks noChangeAspect="1"/>
            </wp:cNvGraphicFramePr>
            <a:graphic>
              <a:graphicData uri="http://schemas.openxmlformats.org/drawingml/2006/picture">
                <pic:pic>
                  <pic:nvPicPr>
                    <pic:cNvPr id="166" name="image65.jpeg"/>
                    <pic:cNvPicPr/>
                  </pic:nvPicPr>
                  <pic:blipFill>
                    <a:blip r:embed="rId97" cstate="print"/>
                    <a:stretch>
                      <a:fillRect/>
                    </a:stretch>
                  </pic:blipFill>
                  <pic:spPr>
                    <a:xfrm>
                      <a:off x="0" y="0"/>
                      <a:ext cx="5304699" cy="1544192"/>
                    </a:xfrm>
                    <a:prstGeom prst="rect">
                      <a:avLst/>
                    </a:prstGeom>
                  </pic:spPr>
                </pic:pic>
              </a:graphicData>
            </a:graphic>
          </wp:anchor>
        </w:drawing>
      </w:r>
    </w:p>
    <w:p>
      <w:pPr>
        <w:pStyle w:val="BodyText"/>
        <w:spacing w:before="6"/>
        <w:rPr>
          <w:b/>
          <w:sz w:val="24"/>
        </w:rPr>
      </w:pPr>
    </w:p>
    <w:p>
      <w:pPr>
        <w:pStyle w:val="Heading5"/>
      </w:pPr>
      <w:r>
        <w:rPr>
          <w:color w:val="231F20"/>
        </w:rPr>
        <w:t>Rendimiento y componentes del rendimiento</w:t>
      </w:r>
    </w:p>
    <w:p>
      <w:pPr>
        <w:pStyle w:val="BodyText"/>
        <w:spacing w:line="249" w:lineRule="auto" w:before="8"/>
        <w:ind w:left="1270" w:right="1268"/>
        <w:jc w:val="both"/>
      </w:pPr>
      <w:r>
        <w:rPr>
          <w:color w:val="231F20"/>
        </w:rPr>
        <w:t>El</w:t>
      </w:r>
      <w:r>
        <w:rPr>
          <w:color w:val="231F20"/>
          <w:spacing w:val="-11"/>
        </w:rPr>
        <w:t> </w:t>
      </w:r>
      <w:r>
        <w:rPr>
          <w:color w:val="231F20"/>
        </w:rPr>
        <w:t>rendimiento</w:t>
      </w:r>
      <w:r>
        <w:rPr>
          <w:color w:val="231F20"/>
          <w:spacing w:val="-11"/>
        </w:rPr>
        <w:t> </w:t>
      </w:r>
      <w:r>
        <w:rPr>
          <w:color w:val="231F20"/>
        </w:rPr>
        <w:t>de</w:t>
      </w:r>
      <w:r>
        <w:rPr>
          <w:color w:val="231F20"/>
          <w:spacing w:val="-11"/>
        </w:rPr>
        <w:t> </w:t>
      </w:r>
      <w:r>
        <w:rPr>
          <w:color w:val="231F20"/>
        </w:rPr>
        <w:t>grano</w:t>
      </w:r>
      <w:r>
        <w:rPr>
          <w:color w:val="231F20"/>
          <w:spacing w:val="-11"/>
        </w:rPr>
        <w:t> </w:t>
      </w:r>
      <w:r>
        <w:rPr>
          <w:color w:val="231F20"/>
        </w:rPr>
        <w:t>(RG),</w:t>
      </w:r>
      <w:r>
        <w:rPr>
          <w:color w:val="231F20"/>
          <w:spacing w:val="-11"/>
        </w:rPr>
        <w:t> </w:t>
      </w:r>
      <w:r>
        <w:rPr>
          <w:color w:val="231F20"/>
        </w:rPr>
        <w:t>número</w:t>
      </w:r>
      <w:r>
        <w:rPr>
          <w:color w:val="231F20"/>
          <w:spacing w:val="-11"/>
        </w:rPr>
        <w:t> </w:t>
      </w:r>
      <w:r>
        <w:rPr>
          <w:color w:val="231F20"/>
        </w:rPr>
        <w:t>de</w:t>
      </w:r>
      <w:r>
        <w:rPr>
          <w:color w:val="231F20"/>
          <w:spacing w:val="-11"/>
        </w:rPr>
        <w:t> </w:t>
      </w:r>
      <w:r>
        <w:rPr>
          <w:color w:val="231F20"/>
        </w:rPr>
        <w:t>grano</w:t>
      </w:r>
      <w:r>
        <w:rPr>
          <w:color w:val="231F20"/>
          <w:spacing w:val="-11"/>
        </w:rPr>
        <w:t> </w:t>
      </w:r>
      <w:r>
        <w:rPr>
          <w:color w:val="231F20"/>
        </w:rPr>
        <w:t>por</w:t>
      </w:r>
      <w:r>
        <w:rPr>
          <w:color w:val="231F20"/>
          <w:spacing w:val="-11"/>
        </w:rPr>
        <w:t> </w:t>
      </w:r>
      <w:r>
        <w:rPr>
          <w:color w:val="231F20"/>
        </w:rPr>
        <w:t>m-2</w:t>
      </w:r>
      <w:r>
        <w:rPr>
          <w:color w:val="231F20"/>
          <w:spacing w:val="-11"/>
        </w:rPr>
        <w:t> </w:t>
      </w:r>
      <w:r>
        <w:rPr>
          <w:color w:val="231F20"/>
        </w:rPr>
        <w:t>(NG),</w:t>
      </w:r>
      <w:r>
        <w:rPr>
          <w:color w:val="231F20"/>
          <w:spacing w:val="-11"/>
        </w:rPr>
        <w:t> </w:t>
      </w:r>
      <w:r>
        <w:rPr>
          <w:color w:val="231F20"/>
        </w:rPr>
        <w:t>peso</w:t>
      </w:r>
      <w:r>
        <w:rPr>
          <w:color w:val="231F20"/>
          <w:spacing w:val="-11"/>
        </w:rPr>
        <w:t> </w:t>
      </w:r>
      <w:r>
        <w:rPr>
          <w:color w:val="231F20"/>
        </w:rPr>
        <w:t>de</w:t>
      </w:r>
      <w:r>
        <w:rPr>
          <w:color w:val="231F20"/>
          <w:spacing w:val="-11"/>
        </w:rPr>
        <w:t> </w:t>
      </w:r>
      <w:r>
        <w:rPr>
          <w:color w:val="231F20"/>
        </w:rPr>
        <w:t>cien</w:t>
      </w:r>
      <w:r>
        <w:rPr>
          <w:color w:val="231F20"/>
          <w:spacing w:val="-11"/>
        </w:rPr>
        <w:t> </w:t>
      </w:r>
      <w:r>
        <w:rPr>
          <w:color w:val="231F20"/>
        </w:rPr>
        <w:t>granos</w:t>
      </w:r>
      <w:r>
        <w:rPr>
          <w:color w:val="231F20"/>
          <w:spacing w:val="-11"/>
        </w:rPr>
        <w:t> </w:t>
      </w:r>
      <w:r>
        <w:rPr>
          <w:color w:val="231F20"/>
        </w:rPr>
        <w:t>(P100G),</w:t>
      </w:r>
      <w:r>
        <w:rPr>
          <w:color w:val="231F20"/>
          <w:spacing w:val="-11"/>
        </w:rPr>
        <w:t> </w:t>
      </w:r>
      <w:r>
        <w:rPr>
          <w:color w:val="231F20"/>
        </w:rPr>
        <w:t>número de vainas por m</w:t>
      </w:r>
      <w:r>
        <w:rPr>
          <w:color w:val="231F20"/>
          <w:position w:val="7"/>
          <w:sz w:val="12"/>
        </w:rPr>
        <w:t>-2 </w:t>
      </w:r>
      <w:r>
        <w:rPr>
          <w:color w:val="231F20"/>
        </w:rPr>
        <w:t>(NV) y granos por vaina (GV), mostraron cambios significativos por efecto de las fechas</w:t>
      </w:r>
      <w:r>
        <w:rPr>
          <w:color w:val="231F20"/>
          <w:spacing w:val="15"/>
        </w:rPr>
        <w:t> </w:t>
      </w:r>
      <w:r>
        <w:rPr>
          <w:color w:val="231F20"/>
        </w:rPr>
        <w:t>de</w:t>
      </w:r>
      <w:r>
        <w:rPr>
          <w:color w:val="231F20"/>
          <w:spacing w:val="15"/>
        </w:rPr>
        <w:t> </w:t>
      </w:r>
      <w:r>
        <w:rPr>
          <w:color w:val="231F20"/>
        </w:rPr>
        <w:t>siembra</w:t>
      </w:r>
      <w:r>
        <w:rPr>
          <w:color w:val="231F20"/>
          <w:spacing w:val="15"/>
        </w:rPr>
        <w:t> </w:t>
      </w:r>
      <w:r>
        <w:rPr>
          <w:color w:val="231F20"/>
        </w:rPr>
        <w:t>(Cuadro</w:t>
      </w:r>
      <w:r>
        <w:rPr>
          <w:color w:val="231F20"/>
          <w:spacing w:val="15"/>
        </w:rPr>
        <w:t> </w:t>
      </w:r>
      <w:r>
        <w:rPr>
          <w:color w:val="231F20"/>
        </w:rPr>
        <w:t>2).</w:t>
      </w:r>
      <w:r>
        <w:rPr>
          <w:color w:val="231F20"/>
          <w:spacing w:val="15"/>
        </w:rPr>
        <w:t> </w:t>
      </w:r>
      <w:r>
        <w:rPr>
          <w:color w:val="231F20"/>
        </w:rPr>
        <w:t>La</w:t>
      </w:r>
      <w:r>
        <w:rPr>
          <w:color w:val="231F20"/>
          <w:spacing w:val="15"/>
        </w:rPr>
        <w:t> </w:t>
      </w:r>
      <w:r>
        <w:rPr>
          <w:color w:val="231F20"/>
        </w:rPr>
        <w:t>siembra</w:t>
      </w:r>
      <w:r>
        <w:rPr>
          <w:color w:val="231F20"/>
          <w:spacing w:val="4"/>
        </w:rPr>
        <w:t> </w:t>
      </w:r>
      <w:r>
        <w:rPr>
          <w:color w:val="231F20"/>
        </w:rPr>
        <w:t>A15</w:t>
      </w:r>
      <w:r>
        <w:rPr>
          <w:color w:val="231F20"/>
          <w:spacing w:val="15"/>
        </w:rPr>
        <w:t> </w:t>
      </w:r>
      <w:r>
        <w:rPr>
          <w:color w:val="231F20"/>
        </w:rPr>
        <w:t>presentó</w:t>
      </w:r>
      <w:r>
        <w:rPr>
          <w:color w:val="231F20"/>
          <w:spacing w:val="15"/>
        </w:rPr>
        <w:t> </w:t>
      </w:r>
      <w:r>
        <w:rPr>
          <w:color w:val="231F20"/>
        </w:rPr>
        <w:t>los</w:t>
      </w:r>
      <w:r>
        <w:rPr>
          <w:color w:val="231F20"/>
          <w:spacing w:val="15"/>
        </w:rPr>
        <w:t> </w:t>
      </w:r>
      <w:r>
        <w:rPr>
          <w:color w:val="231F20"/>
        </w:rPr>
        <w:t>mayores</w:t>
      </w:r>
      <w:r>
        <w:rPr>
          <w:color w:val="231F20"/>
          <w:spacing w:val="15"/>
        </w:rPr>
        <w:t> </w:t>
      </w:r>
      <w:r>
        <w:rPr>
          <w:color w:val="231F20"/>
        </w:rPr>
        <w:t>valores,</w:t>
      </w:r>
      <w:r>
        <w:rPr>
          <w:color w:val="231F20"/>
          <w:spacing w:val="15"/>
        </w:rPr>
        <w:t> </w:t>
      </w:r>
      <w:r>
        <w:rPr>
          <w:color w:val="231F20"/>
        </w:rPr>
        <w:t>con</w:t>
      </w:r>
      <w:r>
        <w:rPr>
          <w:color w:val="231F20"/>
          <w:spacing w:val="15"/>
        </w:rPr>
        <w:t> </w:t>
      </w:r>
      <w:r>
        <w:rPr>
          <w:color w:val="231F20"/>
        </w:rPr>
        <w:t>incrementos</w:t>
      </w:r>
      <w:r>
        <w:rPr>
          <w:color w:val="231F20"/>
          <w:spacing w:val="15"/>
        </w:rPr>
        <w:t> </w:t>
      </w:r>
      <w:r>
        <w:rPr>
          <w:color w:val="231F20"/>
        </w:rPr>
        <w:t>de</w:t>
      </w:r>
    </w:p>
    <w:p>
      <w:pPr>
        <w:pStyle w:val="BodyText"/>
        <w:spacing w:line="249" w:lineRule="auto"/>
        <w:ind w:left="1270" w:right="1268" w:hanging="1"/>
        <w:jc w:val="both"/>
      </w:pPr>
      <w:r>
        <w:rPr>
          <w:color w:val="231F20"/>
        </w:rPr>
        <w:t>3.7</w:t>
      </w:r>
      <w:r>
        <w:rPr>
          <w:color w:val="231F20"/>
          <w:spacing w:val="-5"/>
        </w:rPr>
        <w:t> </w:t>
      </w:r>
      <w:r>
        <w:rPr>
          <w:color w:val="231F20"/>
        </w:rPr>
        <w:t>g</w:t>
      </w:r>
      <w:r>
        <w:rPr>
          <w:color w:val="231F20"/>
          <w:spacing w:val="-5"/>
        </w:rPr>
        <w:t> </w:t>
      </w:r>
      <w:r>
        <w:rPr>
          <w:color w:val="231F20"/>
        </w:rPr>
        <w:t>m</w:t>
      </w:r>
      <w:r>
        <w:rPr>
          <w:color w:val="231F20"/>
          <w:position w:val="7"/>
          <w:sz w:val="12"/>
        </w:rPr>
        <w:t>-2</w:t>
      </w:r>
      <w:r>
        <w:rPr>
          <w:color w:val="231F20"/>
        </w:rPr>
        <w:t>,</w:t>
      </w:r>
      <w:r>
        <w:rPr>
          <w:color w:val="231F20"/>
          <w:spacing w:val="-5"/>
        </w:rPr>
        <w:t> </w:t>
      </w:r>
      <w:r>
        <w:rPr>
          <w:color w:val="231F20"/>
        </w:rPr>
        <w:t>35</w:t>
      </w:r>
      <w:r>
        <w:rPr>
          <w:color w:val="231F20"/>
          <w:spacing w:val="-5"/>
        </w:rPr>
        <w:t> </w:t>
      </w:r>
      <w:r>
        <w:rPr>
          <w:color w:val="231F20"/>
        </w:rPr>
        <w:t>granos</w:t>
      </w:r>
      <w:r>
        <w:rPr>
          <w:color w:val="231F20"/>
          <w:spacing w:val="-5"/>
        </w:rPr>
        <w:t> </w:t>
      </w:r>
      <w:r>
        <w:rPr>
          <w:color w:val="231F20"/>
        </w:rPr>
        <w:t>m</w:t>
      </w:r>
      <w:r>
        <w:rPr>
          <w:color w:val="231F20"/>
          <w:position w:val="7"/>
          <w:sz w:val="12"/>
        </w:rPr>
        <w:t>-2</w:t>
      </w:r>
      <w:r>
        <w:rPr>
          <w:color w:val="231F20"/>
          <w:spacing w:val="18"/>
          <w:position w:val="7"/>
          <w:sz w:val="12"/>
        </w:rPr>
        <w:t> </w:t>
      </w:r>
      <w:r>
        <w:rPr>
          <w:color w:val="231F20"/>
        </w:rPr>
        <w:t>y</w:t>
      </w:r>
      <w:r>
        <w:rPr>
          <w:color w:val="231F20"/>
          <w:spacing w:val="-5"/>
        </w:rPr>
        <w:t> </w:t>
      </w:r>
      <w:r>
        <w:rPr>
          <w:color w:val="231F20"/>
        </w:rPr>
        <w:t>4</w:t>
      </w:r>
      <w:r>
        <w:rPr>
          <w:color w:val="231F20"/>
          <w:spacing w:val="-5"/>
        </w:rPr>
        <w:t> </w:t>
      </w:r>
      <w:r>
        <w:rPr>
          <w:color w:val="231F20"/>
        </w:rPr>
        <w:t>vainas</w:t>
      </w:r>
      <w:r>
        <w:rPr>
          <w:color w:val="231F20"/>
          <w:spacing w:val="-5"/>
        </w:rPr>
        <w:t> </w:t>
      </w:r>
      <w:r>
        <w:rPr>
          <w:color w:val="231F20"/>
        </w:rPr>
        <w:t>m-2</w:t>
      </w:r>
      <w:r>
        <w:rPr>
          <w:color w:val="231F20"/>
          <w:spacing w:val="-5"/>
        </w:rPr>
        <w:t> </w:t>
      </w:r>
      <w:r>
        <w:rPr>
          <w:color w:val="231F20"/>
        </w:rPr>
        <w:t>para</w:t>
      </w:r>
      <w:r>
        <w:rPr>
          <w:color w:val="231F20"/>
          <w:spacing w:val="-5"/>
        </w:rPr>
        <w:t> </w:t>
      </w:r>
      <w:r>
        <w:rPr>
          <w:color w:val="231F20"/>
        </w:rPr>
        <w:t>RG,</w:t>
      </w:r>
      <w:r>
        <w:rPr>
          <w:color w:val="231F20"/>
          <w:spacing w:val="-5"/>
        </w:rPr>
        <w:t> </w:t>
      </w:r>
      <w:r>
        <w:rPr>
          <w:color w:val="231F20"/>
        </w:rPr>
        <w:t>NG</w:t>
      </w:r>
      <w:r>
        <w:rPr>
          <w:color w:val="231F20"/>
          <w:spacing w:val="-5"/>
        </w:rPr>
        <w:t> </w:t>
      </w:r>
      <w:r>
        <w:rPr>
          <w:color w:val="231F20"/>
        </w:rPr>
        <w:t>y</w:t>
      </w:r>
      <w:r>
        <w:rPr>
          <w:color w:val="231F20"/>
          <w:spacing w:val="-5"/>
        </w:rPr>
        <w:t> </w:t>
      </w:r>
      <w:r>
        <w:rPr>
          <w:color w:val="231F20"/>
          <w:spacing w:val="-10"/>
        </w:rPr>
        <w:t>NV,</w:t>
      </w:r>
      <w:r>
        <w:rPr>
          <w:color w:val="231F20"/>
          <w:spacing w:val="-5"/>
        </w:rPr>
        <w:t> </w:t>
      </w:r>
      <w:r>
        <w:rPr>
          <w:color w:val="231F20"/>
        </w:rPr>
        <w:t>respectivamente</w:t>
      </w:r>
      <w:r>
        <w:rPr>
          <w:color w:val="231F20"/>
          <w:spacing w:val="-5"/>
        </w:rPr>
        <w:t> </w:t>
      </w:r>
      <w:r>
        <w:rPr>
          <w:color w:val="231F20"/>
        </w:rPr>
        <w:t>en</w:t>
      </w:r>
      <w:r>
        <w:rPr>
          <w:color w:val="231F20"/>
          <w:spacing w:val="-5"/>
        </w:rPr>
        <w:t> </w:t>
      </w:r>
      <w:r>
        <w:rPr>
          <w:color w:val="231F20"/>
        </w:rPr>
        <w:t>relación</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siembra A30</w:t>
      </w:r>
      <w:r>
        <w:rPr>
          <w:color w:val="231F20"/>
          <w:spacing w:val="-6"/>
        </w:rPr>
        <w:t> </w:t>
      </w:r>
      <w:r>
        <w:rPr>
          <w:color w:val="231F20"/>
        </w:rPr>
        <w:t>y</w:t>
      </w:r>
      <w:r>
        <w:rPr>
          <w:color w:val="231F20"/>
          <w:spacing w:val="-6"/>
        </w:rPr>
        <w:t> </w:t>
      </w:r>
      <w:r>
        <w:rPr>
          <w:color w:val="231F20"/>
        </w:rPr>
        <w:t>en</w:t>
      </w:r>
      <w:r>
        <w:rPr>
          <w:color w:val="231F20"/>
          <w:spacing w:val="-6"/>
        </w:rPr>
        <w:t> </w:t>
      </w:r>
      <w:r>
        <w:rPr>
          <w:color w:val="231F20"/>
        </w:rPr>
        <w:t>5.1</w:t>
      </w:r>
      <w:r>
        <w:rPr>
          <w:color w:val="231F20"/>
          <w:spacing w:val="-6"/>
        </w:rPr>
        <w:t> </w:t>
      </w:r>
      <w:r>
        <w:rPr>
          <w:color w:val="231F20"/>
        </w:rPr>
        <w:t>g</w:t>
      </w:r>
      <w:r>
        <w:rPr>
          <w:color w:val="231F20"/>
          <w:spacing w:val="-6"/>
        </w:rPr>
        <w:t> </w:t>
      </w:r>
      <w:r>
        <w:rPr>
          <w:color w:val="231F20"/>
        </w:rPr>
        <w:t>m</w:t>
      </w:r>
      <w:r>
        <w:rPr>
          <w:color w:val="231F20"/>
          <w:position w:val="7"/>
          <w:sz w:val="12"/>
        </w:rPr>
        <w:t>-2</w:t>
      </w:r>
      <w:r>
        <w:rPr>
          <w:color w:val="231F20"/>
        </w:rPr>
        <w:t>,</w:t>
      </w:r>
      <w:r>
        <w:rPr>
          <w:color w:val="231F20"/>
          <w:spacing w:val="-6"/>
        </w:rPr>
        <w:t> </w:t>
      </w:r>
      <w:r>
        <w:rPr>
          <w:color w:val="231F20"/>
        </w:rPr>
        <w:t>54</w:t>
      </w:r>
      <w:r>
        <w:rPr>
          <w:color w:val="231F20"/>
          <w:spacing w:val="-6"/>
        </w:rPr>
        <w:t> </w:t>
      </w:r>
      <w:r>
        <w:rPr>
          <w:color w:val="231F20"/>
        </w:rPr>
        <w:t>granos</w:t>
      </w:r>
      <w:r>
        <w:rPr>
          <w:color w:val="231F20"/>
          <w:spacing w:val="-6"/>
        </w:rPr>
        <w:t> </w:t>
      </w:r>
      <w:r>
        <w:rPr>
          <w:color w:val="231F20"/>
        </w:rPr>
        <w:t>m</w:t>
      </w:r>
      <w:r>
        <w:rPr>
          <w:color w:val="231F20"/>
          <w:position w:val="7"/>
          <w:sz w:val="12"/>
        </w:rPr>
        <w:t>-2</w:t>
      </w:r>
      <w:r>
        <w:rPr>
          <w:color w:val="231F20"/>
          <w:spacing w:val="17"/>
          <w:position w:val="7"/>
          <w:sz w:val="12"/>
        </w:rPr>
        <w:t> </w:t>
      </w:r>
      <w:r>
        <w:rPr>
          <w:color w:val="231F20"/>
        </w:rPr>
        <w:t>y</w:t>
      </w:r>
      <w:r>
        <w:rPr>
          <w:color w:val="231F20"/>
          <w:spacing w:val="-6"/>
        </w:rPr>
        <w:t> </w:t>
      </w:r>
      <w:r>
        <w:rPr>
          <w:color w:val="231F20"/>
        </w:rPr>
        <w:t>6.5</w:t>
      </w:r>
      <w:r>
        <w:rPr>
          <w:color w:val="231F20"/>
          <w:spacing w:val="-6"/>
        </w:rPr>
        <w:t> </w:t>
      </w:r>
      <w:r>
        <w:rPr>
          <w:color w:val="231F20"/>
        </w:rPr>
        <w:t>vainas</w:t>
      </w:r>
      <w:r>
        <w:rPr>
          <w:color w:val="231F20"/>
          <w:spacing w:val="-6"/>
        </w:rPr>
        <w:t> </w:t>
      </w:r>
      <w:r>
        <w:rPr>
          <w:color w:val="231F20"/>
        </w:rPr>
        <w:t>m</w:t>
      </w:r>
      <w:r>
        <w:rPr>
          <w:color w:val="231F20"/>
          <w:position w:val="7"/>
          <w:sz w:val="12"/>
        </w:rPr>
        <w:t>-2</w:t>
      </w:r>
      <w:r>
        <w:rPr>
          <w:color w:val="231F20"/>
        </w:rPr>
        <w:t>,</w:t>
      </w:r>
      <w:r>
        <w:rPr>
          <w:color w:val="231F20"/>
          <w:spacing w:val="-6"/>
        </w:rPr>
        <w:t> </w:t>
      </w:r>
      <w:r>
        <w:rPr>
          <w:color w:val="231F20"/>
        </w:rPr>
        <w:t>respecto</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siembra</w:t>
      </w:r>
      <w:r>
        <w:rPr>
          <w:color w:val="231F20"/>
          <w:spacing w:val="-5"/>
        </w:rPr>
        <w:t> </w:t>
      </w:r>
      <w:r>
        <w:rPr>
          <w:color w:val="231F20"/>
        </w:rPr>
        <w:t>M15.</w:t>
      </w:r>
      <w:r>
        <w:rPr>
          <w:color w:val="231F20"/>
          <w:spacing w:val="-6"/>
        </w:rPr>
        <w:t> </w:t>
      </w:r>
      <w:r>
        <w:rPr>
          <w:color w:val="231F20"/>
        </w:rPr>
        <w:t>Los</w:t>
      </w:r>
      <w:r>
        <w:rPr>
          <w:color w:val="231F20"/>
          <w:spacing w:val="-6"/>
        </w:rPr>
        <w:t> </w:t>
      </w:r>
      <w:r>
        <w:rPr>
          <w:color w:val="231F20"/>
        </w:rPr>
        <w:t>tratamientos</w:t>
      </w:r>
      <w:r>
        <w:rPr>
          <w:color w:val="231F20"/>
          <w:spacing w:val="-7"/>
        </w:rPr>
        <w:t> </w:t>
      </w:r>
      <w:r>
        <w:rPr>
          <w:color w:val="231F20"/>
        </w:rPr>
        <w:t>M30 y J15 por la ocurrencia de heladas durante el inicio de su periodo reproductivo no completaron su ciclo reproductivo, por lo que no lograron producir</w:t>
      </w:r>
      <w:r>
        <w:rPr>
          <w:color w:val="231F20"/>
          <w:spacing w:val="-3"/>
        </w:rPr>
        <w:t> </w:t>
      </w:r>
      <w:r>
        <w:rPr>
          <w:color w:val="231F20"/>
        </w:rPr>
        <w:t>grano.</w:t>
      </w:r>
    </w:p>
    <w:p>
      <w:pPr>
        <w:pStyle w:val="BodyText"/>
        <w:spacing w:before="7"/>
      </w:pPr>
    </w:p>
    <w:p>
      <w:pPr>
        <w:pStyle w:val="BodyText"/>
        <w:spacing w:line="249" w:lineRule="auto"/>
        <w:ind w:left="1270" w:right="1268"/>
        <w:jc w:val="both"/>
      </w:pPr>
      <w:r>
        <w:rPr>
          <w:color w:val="231F20"/>
          <w:spacing w:val="-3"/>
        </w:rPr>
        <w:t>Al </w:t>
      </w:r>
      <w:r>
        <w:rPr>
          <w:color w:val="231F20"/>
          <w:spacing w:val="-5"/>
        </w:rPr>
        <w:t>respecto, Kurubetta, (2006) </w:t>
      </w:r>
      <w:r>
        <w:rPr>
          <w:color w:val="231F20"/>
          <w:spacing w:val="-4"/>
        </w:rPr>
        <w:t>bajo </w:t>
      </w:r>
      <w:r>
        <w:rPr>
          <w:color w:val="231F20"/>
          <w:spacing w:val="-5"/>
        </w:rPr>
        <w:t>condiciones </w:t>
      </w:r>
      <w:r>
        <w:rPr>
          <w:color w:val="231F20"/>
          <w:spacing w:val="-3"/>
        </w:rPr>
        <w:t>de </w:t>
      </w:r>
      <w:r>
        <w:rPr>
          <w:color w:val="231F20"/>
          <w:spacing w:val="-4"/>
        </w:rPr>
        <w:t>clima </w:t>
      </w:r>
      <w:r>
        <w:rPr>
          <w:color w:val="231F20"/>
          <w:spacing w:val="-5"/>
        </w:rPr>
        <w:t>cálido, evaluaron </w:t>
      </w:r>
      <w:r>
        <w:rPr>
          <w:color w:val="231F20"/>
          <w:spacing w:val="-3"/>
        </w:rPr>
        <w:t>la </w:t>
      </w:r>
      <w:r>
        <w:rPr>
          <w:color w:val="231F20"/>
          <w:spacing w:val="-5"/>
        </w:rPr>
        <w:t>siembra </w:t>
      </w:r>
      <w:r>
        <w:rPr>
          <w:color w:val="231F20"/>
          <w:spacing w:val="-3"/>
        </w:rPr>
        <w:t>de </w:t>
      </w:r>
      <w:r>
        <w:rPr>
          <w:color w:val="231F20"/>
          <w:spacing w:val="-4"/>
        </w:rPr>
        <w:t>FCH </w:t>
      </w:r>
      <w:r>
        <w:rPr>
          <w:color w:val="231F20"/>
          <w:spacing w:val="-3"/>
        </w:rPr>
        <w:t>en </w:t>
      </w:r>
      <w:r>
        <w:rPr>
          <w:color w:val="231F20"/>
          <w:spacing w:val="-4"/>
        </w:rPr>
        <w:t>tres fe- chas</w:t>
      </w:r>
      <w:r>
        <w:rPr>
          <w:color w:val="231F20"/>
          <w:spacing w:val="-10"/>
        </w:rPr>
        <w:t> </w:t>
      </w:r>
      <w:r>
        <w:rPr>
          <w:color w:val="231F20"/>
          <w:spacing w:val="-4"/>
        </w:rPr>
        <w:t>(22</w:t>
      </w:r>
      <w:r>
        <w:rPr>
          <w:color w:val="231F20"/>
          <w:spacing w:val="-9"/>
        </w:rPr>
        <w:t> </w:t>
      </w:r>
      <w:r>
        <w:rPr>
          <w:color w:val="231F20"/>
          <w:spacing w:val="-3"/>
        </w:rPr>
        <w:t>de</w:t>
      </w:r>
      <w:r>
        <w:rPr>
          <w:color w:val="231F20"/>
          <w:spacing w:val="-9"/>
        </w:rPr>
        <w:t> </w:t>
      </w:r>
      <w:r>
        <w:rPr>
          <w:color w:val="231F20"/>
          <w:spacing w:val="-5"/>
        </w:rPr>
        <w:t>junio,</w:t>
      </w:r>
      <w:r>
        <w:rPr>
          <w:color w:val="231F20"/>
          <w:spacing w:val="-10"/>
        </w:rPr>
        <w:t> </w:t>
      </w:r>
      <w:r>
        <w:rPr>
          <w:color w:val="231F20"/>
          <w:spacing w:val="-3"/>
        </w:rPr>
        <w:t>15</w:t>
      </w:r>
      <w:r>
        <w:rPr>
          <w:color w:val="231F20"/>
          <w:spacing w:val="-9"/>
        </w:rPr>
        <w:t> </w:t>
      </w:r>
      <w:r>
        <w:rPr>
          <w:color w:val="231F20"/>
        </w:rPr>
        <w:t>y</w:t>
      </w:r>
      <w:r>
        <w:rPr>
          <w:color w:val="231F20"/>
          <w:spacing w:val="-9"/>
        </w:rPr>
        <w:t> </w:t>
      </w:r>
      <w:r>
        <w:rPr>
          <w:color w:val="231F20"/>
          <w:spacing w:val="-3"/>
        </w:rPr>
        <w:t>23</w:t>
      </w:r>
      <w:r>
        <w:rPr>
          <w:color w:val="231F20"/>
          <w:spacing w:val="-9"/>
        </w:rPr>
        <w:t> </w:t>
      </w:r>
      <w:r>
        <w:rPr>
          <w:color w:val="231F20"/>
          <w:spacing w:val="-3"/>
        </w:rPr>
        <w:t>de</w:t>
      </w:r>
      <w:r>
        <w:rPr>
          <w:color w:val="231F20"/>
          <w:spacing w:val="-9"/>
        </w:rPr>
        <w:t> </w:t>
      </w:r>
      <w:r>
        <w:rPr>
          <w:color w:val="231F20"/>
          <w:spacing w:val="-5"/>
        </w:rPr>
        <w:t>julio)</w:t>
      </w:r>
      <w:r>
        <w:rPr>
          <w:color w:val="231F20"/>
          <w:spacing w:val="-10"/>
        </w:rPr>
        <w:t> </w:t>
      </w:r>
      <w:r>
        <w:rPr>
          <w:color w:val="231F20"/>
        </w:rPr>
        <w:t>y</w:t>
      </w:r>
      <w:r>
        <w:rPr>
          <w:color w:val="231F20"/>
          <w:spacing w:val="-9"/>
        </w:rPr>
        <w:t> </w:t>
      </w:r>
      <w:r>
        <w:rPr>
          <w:color w:val="231F20"/>
          <w:spacing w:val="-5"/>
        </w:rPr>
        <w:t>encontraron</w:t>
      </w:r>
      <w:r>
        <w:rPr>
          <w:color w:val="231F20"/>
          <w:spacing w:val="-10"/>
        </w:rPr>
        <w:t> </w:t>
      </w:r>
      <w:r>
        <w:rPr>
          <w:color w:val="231F20"/>
          <w:spacing w:val="-5"/>
        </w:rPr>
        <w:t>reducción</w:t>
      </w:r>
      <w:r>
        <w:rPr>
          <w:color w:val="231F20"/>
          <w:spacing w:val="-9"/>
        </w:rPr>
        <w:t> </w:t>
      </w:r>
      <w:r>
        <w:rPr>
          <w:color w:val="231F20"/>
          <w:spacing w:val="-3"/>
        </w:rPr>
        <w:t>en</w:t>
      </w:r>
      <w:r>
        <w:rPr>
          <w:color w:val="231F20"/>
          <w:spacing w:val="-9"/>
        </w:rPr>
        <w:t> </w:t>
      </w:r>
      <w:r>
        <w:rPr>
          <w:color w:val="231F20"/>
          <w:spacing w:val="-3"/>
        </w:rPr>
        <w:t>el</w:t>
      </w:r>
      <w:r>
        <w:rPr>
          <w:color w:val="231F20"/>
          <w:spacing w:val="-9"/>
        </w:rPr>
        <w:t> </w:t>
      </w:r>
      <w:r>
        <w:rPr>
          <w:color w:val="231F20"/>
          <w:spacing w:val="-3"/>
        </w:rPr>
        <w:t>RG</w:t>
      </w:r>
      <w:r>
        <w:rPr>
          <w:color w:val="231F20"/>
          <w:spacing w:val="-9"/>
        </w:rPr>
        <w:t> </w:t>
      </w:r>
      <w:r>
        <w:rPr>
          <w:color w:val="231F20"/>
        </w:rPr>
        <w:t>y</w:t>
      </w:r>
      <w:r>
        <w:rPr>
          <w:color w:val="231F20"/>
          <w:spacing w:val="-9"/>
        </w:rPr>
        <w:t> </w:t>
      </w:r>
      <w:r>
        <w:rPr>
          <w:color w:val="231F20"/>
          <w:spacing w:val="-3"/>
        </w:rPr>
        <w:t>en</w:t>
      </w:r>
      <w:r>
        <w:rPr>
          <w:color w:val="231F20"/>
          <w:spacing w:val="-9"/>
        </w:rPr>
        <w:t> </w:t>
      </w:r>
      <w:r>
        <w:rPr>
          <w:color w:val="231F20"/>
          <w:spacing w:val="-3"/>
        </w:rPr>
        <w:t>el</w:t>
      </w:r>
      <w:r>
        <w:rPr>
          <w:color w:val="231F20"/>
          <w:spacing w:val="-9"/>
        </w:rPr>
        <w:t> </w:t>
      </w:r>
      <w:r>
        <w:rPr>
          <w:color w:val="231F20"/>
          <w:spacing w:val="-5"/>
        </w:rPr>
        <w:t>tamaño</w:t>
      </w:r>
      <w:r>
        <w:rPr>
          <w:color w:val="231F20"/>
          <w:spacing w:val="-10"/>
        </w:rPr>
        <w:t> </w:t>
      </w:r>
      <w:r>
        <w:rPr>
          <w:color w:val="231F20"/>
          <w:spacing w:val="-3"/>
        </w:rPr>
        <w:t>de</w:t>
      </w:r>
      <w:r>
        <w:rPr>
          <w:color w:val="231F20"/>
          <w:spacing w:val="-9"/>
        </w:rPr>
        <w:t> </w:t>
      </w:r>
      <w:r>
        <w:rPr>
          <w:color w:val="231F20"/>
          <w:spacing w:val="-4"/>
        </w:rPr>
        <w:t>grano</w:t>
      </w:r>
      <w:r>
        <w:rPr>
          <w:color w:val="231F20"/>
          <w:spacing w:val="-9"/>
        </w:rPr>
        <w:t> </w:t>
      </w:r>
      <w:r>
        <w:rPr>
          <w:color w:val="231F20"/>
          <w:spacing w:val="-4"/>
        </w:rPr>
        <w:t>por</w:t>
      </w:r>
      <w:r>
        <w:rPr>
          <w:color w:val="231F20"/>
          <w:spacing w:val="-9"/>
        </w:rPr>
        <w:t> </w:t>
      </w:r>
      <w:r>
        <w:rPr>
          <w:color w:val="231F20"/>
          <w:spacing w:val="-5"/>
        </w:rPr>
        <w:t>retraso </w:t>
      </w:r>
      <w:r>
        <w:rPr>
          <w:color w:val="231F20"/>
          <w:spacing w:val="-3"/>
        </w:rPr>
        <w:t>en</w:t>
      </w:r>
      <w:r>
        <w:rPr>
          <w:color w:val="231F20"/>
          <w:spacing w:val="-11"/>
        </w:rPr>
        <w:t> </w:t>
      </w:r>
      <w:r>
        <w:rPr>
          <w:color w:val="231F20"/>
          <w:spacing w:val="-3"/>
        </w:rPr>
        <w:t>la</w:t>
      </w:r>
      <w:r>
        <w:rPr>
          <w:color w:val="231F20"/>
          <w:spacing w:val="-11"/>
        </w:rPr>
        <w:t> </w:t>
      </w:r>
      <w:r>
        <w:rPr>
          <w:color w:val="231F20"/>
          <w:spacing w:val="-5"/>
        </w:rPr>
        <w:t>siembra.</w:t>
      </w:r>
      <w:r>
        <w:rPr>
          <w:color w:val="231F20"/>
          <w:spacing w:val="-11"/>
        </w:rPr>
        <w:t> </w:t>
      </w:r>
      <w:r>
        <w:rPr>
          <w:color w:val="231F20"/>
          <w:spacing w:val="-3"/>
        </w:rPr>
        <w:t>De</w:t>
      </w:r>
      <w:r>
        <w:rPr>
          <w:color w:val="231F20"/>
          <w:spacing w:val="-11"/>
        </w:rPr>
        <w:t> </w:t>
      </w:r>
      <w:r>
        <w:rPr>
          <w:color w:val="231F20"/>
          <w:spacing w:val="-4"/>
        </w:rPr>
        <w:t>tal</w:t>
      </w:r>
      <w:r>
        <w:rPr>
          <w:color w:val="231F20"/>
          <w:spacing w:val="-11"/>
        </w:rPr>
        <w:t> </w:t>
      </w:r>
      <w:r>
        <w:rPr>
          <w:color w:val="231F20"/>
          <w:spacing w:val="-5"/>
        </w:rPr>
        <w:t>manera</w:t>
      </w:r>
      <w:r>
        <w:rPr>
          <w:color w:val="231F20"/>
          <w:spacing w:val="-11"/>
        </w:rPr>
        <w:t> </w:t>
      </w:r>
      <w:r>
        <w:rPr>
          <w:color w:val="231F20"/>
          <w:spacing w:val="-4"/>
        </w:rPr>
        <w:t>que</w:t>
      </w:r>
      <w:r>
        <w:rPr>
          <w:color w:val="231F20"/>
          <w:spacing w:val="-11"/>
        </w:rPr>
        <w:t> </w:t>
      </w:r>
      <w:r>
        <w:rPr>
          <w:color w:val="231F20"/>
          <w:spacing w:val="-3"/>
        </w:rPr>
        <w:t>la</w:t>
      </w:r>
      <w:r>
        <w:rPr>
          <w:color w:val="231F20"/>
          <w:spacing w:val="-11"/>
        </w:rPr>
        <w:t> </w:t>
      </w:r>
      <w:r>
        <w:rPr>
          <w:color w:val="231F20"/>
          <w:spacing w:val="-4"/>
        </w:rPr>
        <w:t>del</w:t>
      </w:r>
      <w:r>
        <w:rPr>
          <w:color w:val="231F20"/>
          <w:spacing w:val="-11"/>
        </w:rPr>
        <w:t> </w:t>
      </w:r>
      <w:r>
        <w:rPr>
          <w:color w:val="231F20"/>
          <w:spacing w:val="-3"/>
        </w:rPr>
        <w:t>22</w:t>
      </w:r>
      <w:r>
        <w:rPr>
          <w:color w:val="231F20"/>
          <w:spacing w:val="-11"/>
        </w:rPr>
        <w:t> </w:t>
      </w:r>
      <w:r>
        <w:rPr>
          <w:color w:val="231F20"/>
          <w:spacing w:val="-3"/>
        </w:rPr>
        <w:t>de</w:t>
      </w:r>
      <w:r>
        <w:rPr>
          <w:color w:val="231F20"/>
          <w:spacing w:val="-11"/>
        </w:rPr>
        <w:t> </w:t>
      </w:r>
      <w:r>
        <w:rPr>
          <w:color w:val="231F20"/>
          <w:spacing w:val="-4"/>
        </w:rPr>
        <w:t>junio</w:t>
      </w:r>
      <w:r>
        <w:rPr>
          <w:color w:val="231F20"/>
          <w:spacing w:val="-11"/>
        </w:rPr>
        <w:t> </w:t>
      </w:r>
      <w:r>
        <w:rPr>
          <w:color w:val="231F20"/>
          <w:spacing w:val="-5"/>
        </w:rPr>
        <w:t>presentó</w:t>
      </w:r>
      <w:r>
        <w:rPr>
          <w:color w:val="231F20"/>
          <w:spacing w:val="-11"/>
        </w:rPr>
        <w:t> </w:t>
      </w:r>
      <w:r>
        <w:rPr>
          <w:color w:val="231F20"/>
          <w:spacing w:val="-3"/>
        </w:rPr>
        <w:t>el</w:t>
      </w:r>
      <w:r>
        <w:rPr>
          <w:color w:val="231F20"/>
          <w:spacing w:val="-11"/>
        </w:rPr>
        <w:t> </w:t>
      </w:r>
      <w:r>
        <w:rPr>
          <w:color w:val="231F20"/>
          <w:spacing w:val="-4"/>
        </w:rPr>
        <w:t>mayor</w:t>
      </w:r>
      <w:r>
        <w:rPr>
          <w:color w:val="231F20"/>
          <w:spacing w:val="-11"/>
        </w:rPr>
        <w:t> </w:t>
      </w:r>
      <w:r>
        <w:rPr>
          <w:color w:val="231F20"/>
          <w:spacing w:val="-3"/>
        </w:rPr>
        <w:t>RG</w:t>
      </w:r>
      <w:r>
        <w:rPr>
          <w:color w:val="231F20"/>
          <w:spacing w:val="-11"/>
        </w:rPr>
        <w:t> </w:t>
      </w:r>
      <w:r>
        <w:rPr>
          <w:color w:val="231F20"/>
        </w:rPr>
        <w:t>y</w:t>
      </w:r>
      <w:r>
        <w:rPr>
          <w:color w:val="231F20"/>
          <w:spacing w:val="-11"/>
        </w:rPr>
        <w:t> </w:t>
      </w:r>
      <w:r>
        <w:rPr>
          <w:color w:val="231F20"/>
          <w:spacing w:val="-4"/>
        </w:rPr>
        <w:t>P100G</w:t>
      </w:r>
      <w:r>
        <w:rPr>
          <w:color w:val="231F20"/>
          <w:spacing w:val="-11"/>
        </w:rPr>
        <w:t> </w:t>
      </w:r>
      <w:r>
        <w:rPr>
          <w:color w:val="231F20"/>
          <w:spacing w:val="-4"/>
        </w:rPr>
        <w:t>(925</w:t>
      </w:r>
      <w:r>
        <w:rPr>
          <w:color w:val="231F20"/>
          <w:spacing w:val="-11"/>
        </w:rPr>
        <w:t> </w:t>
      </w:r>
      <w:r>
        <w:rPr>
          <w:color w:val="231F20"/>
          <w:spacing w:val="-3"/>
        </w:rPr>
        <w:t>kg</w:t>
      </w:r>
      <w:r>
        <w:rPr>
          <w:color w:val="231F20"/>
          <w:spacing w:val="-11"/>
        </w:rPr>
        <w:t> </w:t>
      </w:r>
      <w:r>
        <w:rPr>
          <w:color w:val="231F20"/>
          <w:spacing w:val="-4"/>
        </w:rPr>
        <w:t>ha</w:t>
      </w:r>
      <w:r>
        <w:rPr>
          <w:color w:val="231F20"/>
          <w:spacing w:val="-4"/>
          <w:position w:val="7"/>
          <w:sz w:val="12"/>
        </w:rPr>
        <w:t>-1</w:t>
      </w:r>
      <w:r>
        <w:rPr>
          <w:color w:val="231F20"/>
          <w:spacing w:val="14"/>
          <w:position w:val="7"/>
          <w:sz w:val="12"/>
        </w:rPr>
        <w:t> </w:t>
      </w:r>
      <w:r>
        <w:rPr>
          <w:color w:val="231F20"/>
        </w:rPr>
        <w:t>y</w:t>
      </w:r>
      <w:r>
        <w:rPr>
          <w:color w:val="231F20"/>
          <w:spacing w:val="-11"/>
        </w:rPr>
        <w:t> </w:t>
      </w:r>
      <w:r>
        <w:rPr>
          <w:color w:val="231F20"/>
          <w:spacing w:val="-4"/>
        </w:rPr>
        <w:t>10.2</w:t>
      </w:r>
      <w:r>
        <w:rPr>
          <w:color w:val="231F20"/>
          <w:spacing w:val="-11"/>
        </w:rPr>
        <w:t> </w:t>
      </w:r>
      <w:r>
        <w:rPr>
          <w:color w:val="231F20"/>
          <w:spacing w:val="-5"/>
        </w:rPr>
        <w:t>g), seguido</w:t>
      </w:r>
      <w:r>
        <w:rPr>
          <w:color w:val="231F20"/>
          <w:spacing w:val="-9"/>
        </w:rPr>
        <w:t> </w:t>
      </w:r>
      <w:r>
        <w:rPr>
          <w:color w:val="231F20"/>
          <w:spacing w:val="-3"/>
        </w:rPr>
        <w:t>de</w:t>
      </w:r>
      <w:r>
        <w:rPr>
          <w:color w:val="231F20"/>
          <w:spacing w:val="-9"/>
        </w:rPr>
        <w:t> </w:t>
      </w:r>
      <w:r>
        <w:rPr>
          <w:color w:val="231F20"/>
          <w:spacing w:val="-3"/>
        </w:rPr>
        <w:t>la</w:t>
      </w:r>
      <w:r>
        <w:rPr>
          <w:color w:val="231F20"/>
          <w:spacing w:val="-9"/>
        </w:rPr>
        <w:t> </w:t>
      </w:r>
      <w:r>
        <w:rPr>
          <w:color w:val="231F20"/>
          <w:spacing w:val="-5"/>
        </w:rPr>
        <w:t>siembra</w:t>
      </w:r>
      <w:r>
        <w:rPr>
          <w:color w:val="231F20"/>
          <w:spacing w:val="-9"/>
        </w:rPr>
        <w:t> </w:t>
      </w:r>
      <w:r>
        <w:rPr>
          <w:color w:val="231F20"/>
          <w:spacing w:val="-4"/>
        </w:rPr>
        <w:t>del</w:t>
      </w:r>
      <w:r>
        <w:rPr>
          <w:color w:val="231F20"/>
          <w:spacing w:val="-9"/>
        </w:rPr>
        <w:t> </w:t>
      </w:r>
      <w:r>
        <w:rPr>
          <w:color w:val="231F20"/>
          <w:spacing w:val="-3"/>
        </w:rPr>
        <w:t>15</w:t>
      </w:r>
      <w:r>
        <w:rPr>
          <w:color w:val="231F20"/>
          <w:spacing w:val="-9"/>
        </w:rPr>
        <w:t> </w:t>
      </w:r>
      <w:r>
        <w:rPr>
          <w:color w:val="231F20"/>
          <w:spacing w:val="-3"/>
        </w:rPr>
        <w:t>de</w:t>
      </w:r>
      <w:r>
        <w:rPr>
          <w:color w:val="231F20"/>
          <w:spacing w:val="-9"/>
        </w:rPr>
        <w:t> </w:t>
      </w:r>
      <w:r>
        <w:rPr>
          <w:color w:val="231F20"/>
          <w:spacing w:val="-4"/>
        </w:rPr>
        <w:t>julio</w:t>
      </w:r>
      <w:r>
        <w:rPr>
          <w:color w:val="231F20"/>
          <w:spacing w:val="-10"/>
        </w:rPr>
        <w:t> </w:t>
      </w:r>
      <w:r>
        <w:rPr>
          <w:color w:val="231F20"/>
          <w:spacing w:val="-4"/>
        </w:rPr>
        <w:t>(625</w:t>
      </w:r>
      <w:r>
        <w:rPr>
          <w:color w:val="231F20"/>
          <w:spacing w:val="-9"/>
        </w:rPr>
        <w:t> </w:t>
      </w:r>
      <w:r>
        <w:rPr>
          <w:color w:val="231F20"/>
          <w:spacing w:val="-3"/>
        </w:rPr>
        <w:t>kg</w:t>
      </w:r>
      <w:r>
        <w:rPr>
          <w:color w:val="231F20"/>
          <w:spacing w:val="-9"/>
        </w:rPr>
        <w:t> </w:t>
      </w:r>
      <w:r>
        <w:rPr>
          <w:color w:val="231F20"/>
          <w:spacing w:val="-4"/>
        </w:rPr>
        <w:t>ha</w:t>
      </w:r>
      <w:r>
        <w:rPr>
          <w:color w:val="231F20"/>
          <w:spacing w:val="-4"/>
          <w:position w:val="7"/>
          <w:sz w:val="12"/>
        </w:rPr>
        <w:t>-1</w:t>
      </w:r>
      <w:r>
        <w:rPr>
          <w:color w:val="231F20"/>
          <w:spacing w:val="15"/>
          <w:position w:val="7"/>
          <w:sz w:val="12"/>
        </w:rPr>
        <w:t> </w:t>
      </w:r>
      <w:r>
        <w:rPr>
          <w:color w:val="231F20"/>
        </w:rPr>
        <w:t>y</w:t>
      </w:r>
      <w:r>
        <w:rPr>
          <w:color w:val="231F20"/>
          <w:spacing w:val="-9"/>
        </w:rPr>
        <w:t> </w:t>
      </w:r>
      <w:r>
        <w:rPr>
          <w:color w:val="231F20"/>
          <w:spacing w:val="-4"/>
        </w:rPr>
        <w:t>9.9</w:t>
      </w:r>
      <w:r>
        <w:rPr>
          <w:color w:val="231F20"/>
          <w:spacing w:val="-9"/>
        </w:rPr>
        <w:t> </w:t>
      </w:r>
      <w:r>
        <w:rPr>
          <w:color w:val="231F20"/>
          <w:spacing w:val="-3"/>
        </w:rPr>
        <w:t>g)</w:t>
      </w:r>
      <w:r>
        <w:rPr>
          <w:color w:val="231F20"/>
          <w:spacing w:val="-9"/>
        </w:rPr>
        <w:t> </w:t>
      </w:r>
      <w:r>
        <w:rPr>
          <w:color w:val="231F20"/>
        </w:rPr>
        <w:t>y</w:t>
      </w:r>
      <w:r>
        <w:rPr>
          <w:color w:val="231F20"/>
          <w:spacing w:val="-9"/>
        </w:rPr>
        <w:t> </w:t>
      </w:r>
      <w:r>
        <w:rPr>
          <w:color w:val="231F20"/>
          <w:spacing w:val="-3"/>
        </w:rPr>
        <w:t>la</w:t>
      </w:r>
      <w:r>
        <w:rPr>
          <w:color w:val="231F20"/>
          <w:spacing w:val="-9"/>
        </w:rPr>
        <w:t> </w:t>
      </w:r>
      <w:r>
        <w:rPr>
          <w:color w:val="231F20"/>
          <w:spacing w:val="-4"/>
        </w:rPr>
        <w:t>más</w:t>
      </w:r>
      <w:r>
        <w:rPr>
          <w:color w:val="231F20"/>
          <w:spacing w:val="-9"/>
        </w:rPr>
        <w:t> </w:t>
      </w:r>
      <w:r>
        <w:rPr>
          <w:color w:val="231F20"/>
          <w:spacing w:val="-4"/>
        </w:rPr>
        <w:t>baja</w:t>
      </w:r>
      <w:r>
        <w:rPr>
          <w:color w:val="231F20"/>
          <w:spacing w:val="-9"/>
        </w:rPr>
        <w:t> </w:t>
      </w:r>
      <w:r>
        <w:rPr>
          <w:color w:val="231F20"/>
          <w:spacing w:val="-4"/>
        </w:rPr>
        <w:t>con</w:t>
      </w:r>
      <w:r>
        <w:rPr>
          <w:color w:val="231F20"/>
          <w:spacing w:val="-9"/>
        </w:rPr>
        <w:t> </w:t>
      </w:r>
      <w:r>
        <w:rPr>
          <w:color w:val="231F20"/>
          <w:spacing w:val="-3"/>
        </w:rPr>
        <w:t>la</w:t>
      </w:r>
      <w:r>
        <w:rPr>
          <w:color w:val="231F20"/>
          <w:spacing w:val="-9"/>
        </w:rPr>
        <w:t> </w:t>
      </w:r>
      <w:r>
        <w:rPr>
          <w:color w:val="231F20"/>
          <w:spacing w:val="-4"/>
        </w:rPr>
        <w:t>del</w:t>
      </w:r>
      <w:r>
        <w:rPr>
          <w:color w:val="231F20"/>
          <w:spacing w:val="-9"/>
        </w:rPr>
        <w:t> </w:t>
      </w:r>
      <w:r>
        <w:rPr>
          <w:color w:val="231F20"/>
          <w:spacing w:val="-3"/>
        </w:rPr>
        <w:t>23</w:t>
      </w:r>
      <w:r>
        <w:rPr>
          <w:color w:val="231F20"/>
          <w:spacing w:val="-9"/>
        </w:rPr>
        <w:t> </w:t>
      </w:r>
      <w:r>
        <w:rPr>
          <w:color w:val="231F20"/>
          <w:spacing w:val="-3"/>
        </w:rPr>
        <w:t>de</w:t>
      </w:r>
      <w:r>
        <w:rPr>
          <w:color w:val="231F20"/>
          <w:spacing w:val="-9"/>
        </w:rPr>
        <w:t> </w:t>
      </w:r>
      <w:r>
        <w:rPr>
          <w:color w:val="231F20"/>
          <w:spacing w:val="-4"/>
        </w:rPr>
        <w:t>julio</w:t>
      </w:r>
      <w:r>
        <w:rPr>
          <w:color w:val="231F20"/>
          <w:spacing w:val="-10"/>
        </w:rPr>
        <w:t> </w:t>
      </w:r>
      <w:r>
        <w:rPr>
          <w:color w:val="231F20"/>
          <w:spacing w:val="-4"/>
        </w:rPr>
        <w:t>(579</w:t>
      </w:r>
      <w:r>
        <w:rPr>
          <w:color w:val="231F20"/>
          <w:spacing w:val="-9"/>
        </w:rPr>
        <w:t> </w:t>
      </w:r>
      <w:r>
        <w:rPr>
          <w:color w:val="231F20"/>
          <w:spacing w:val="-3"/>
        </w:rPr>
        <w:t>kg</w:t>
      </w:r>
      <w:r>
        <w:rPr>
          <w:color w:val="231F20"/>
          <w:spacing w:val="-9"/>
        </w:rPr>
        <w:t> </w:t>
      </w:r>
      <w:r>
        <w:rPr>
          <w:color w:val="231F20"/>
          <w:spacing w:val="-4"/>
        </w:rPr>
        <w:t>ha</w:t>
      </w:r>
      <w:r>
        <w:rPr>
          <w:color w:val="231F20"/>
          <w:spacing w:val="-4"/>
          <w:position w:val="7"/>
          <w:sz w:val="12"/>
        </w:rPr>
        <w:t>-1 </w:t>
      </w:r>
      <w:r>
        <w:rPr>
          <w:color w:val="231F20"/>
        </w:rPr>
        <w:t>y </w:t>
      </w:r>
      <w:r>
        <w:rPr>
          <w:color w:val="231F20"/>
          <w:spacing w:val="-4"/>
        </w:rPr>
        <w:t>9.8 g). </w:t>
      </w:r>
      <w:r>
        <w:rPr>
          <w:color w:val="231F20"/>
          <w:spacing w:val="-9"/>
        </w:rPr>
        <w:t>Yadav </w:t>
      </w:r>
      <w:r>
        <w:rPr>
          <w:color w:val="231F20"/>
          <w:spacing w:val="-5"/>
        </w:rPr>
        <w:t>(2003) </w:t>
      </w:r>
      <w:r>
        <w:rPr>
          <w:color w:val="231F20"/>
          <w:spacing w:val="-3"/>
        </w:rPr>
        <w:t>en </w:t>
      </w:r>
      <w:r>
        <w:rPr>
          <w:color w:val="231F20"/>
          <w:spacing w:val="-4"/>
        </w:rPr>
        <w:t>FCH </w:t>
      </w:r>
      <w:r>
        <w:rPr>
          <w:color w:val="231F20"/>
          <w:spacing w:val="-5"/>
        </w:rPr>
        <w:t>encontraron </w:t>
      </w:r>
      <w:r>
        <w:rPr>
          <w:color w:val="231F20"/>
          <w:spacing w:val="-4"/>
        </w:rPr>
        <w:t>que </w:t>
      </w:r>
      <w:r>
        <w:rPr>
          <w:color w:val="231F20"/>
          <w:spacing w:val="-3"/>
        </w:rPr>
        <w:t>en </w:t>
      </w:r>
      <w:r>
        <w:rPr>
          <w:color w:val="231F20"/>
          <w:spacing w:val="-4"/>
        </w:rPr>
        <w:t>clima </w:t>
      </w:r>
      <w:r>
        <w:rPr>
          <w:color w:val="231F20"/>
          <w:spacing w:val="-5"/>
        </w:rPr>
        <w:t>cálido, </w:t>
      </w:r>
      <w:r>
        <w:rPr>
          <w:color w:val="231F20"/>
          <w:spacing w:val="-3"/>
        </w:rPr>
        <w:t>la </w:t>
      </w:r>
      <w:r>
        <w:rPr>
          <w:color w:val="231F20"/>
          <w:spacing w:val="-5"/>
        </w:rPr>
        <w:t>siembra tardía después </w:t>
      </w:r>
      <w:r>
        <w:rPr>
          <w:color w:val="231F20"/>
          <w:spacing w:val="-3"/>
        </w:rPr>
        <w:t>de la </w:t>
      </w:r>
      <w:r>
        <w:rPr>
          <w:color w:val="231F20"/>
          <w:spacing w:val="-5"/>
        </w:rPr>
        <w:t>segunda semana </w:t>
      </w:r>
      <w:r>
        <w:rPr>
          <w:color w:val="231F20"/>
          <w:spacing w:val="-3"/>
        </w:rPr>
        <w:t>de </w:t>
      </w:r>
      <w:r>
        <w:rPr>
          <w:color w:val="231F20"/>
          <w:spacing w:val="-4"/>
        </w:rPr>
        <w:t>julio </w:t>
      </w:r>
      <w:r>
        <w:rPr>
          <w:color w:val="231F20"/>
          <w:spacing w:val="-5"/>
        </w:rPr>
        <w:t>disminuyó </w:t>
      </w:r>
      <w:r>
        <w:rPr>
          <w:color w:val="231F20"/>
          <w:spacing w:val="-3"/>
        </w:rPr>
        <w:t>el </w:t>
      </w:r>
      <w:r>
        <w:rPr>
          <w:color w:val="231F20"/>
          <w:spacing w:val="-5"/>
        </w:rPr>
        <w:t>rendimiento </w:t>
      </w:r>
      <w:r>
        <w:rPr>
          <w:color w:val="231F20"/>
        </w:rPr>
        <w:t>y </w:t>
      </w:r>
      <w:r>
        <w:rPr>
          <w:color w:val="231F20"/>
          <w:spacing w:val="-5"/>
        </w:rPr>
        <w:t>número </w:t>
      </w:r>
      <w:r>
        <w:rPr>
          <w:color w:val="231F20"/>
          <w:spacing w:val="-3"/>
        </w:rPr>
        <w:t>de </w:t>
      </w:r>
      <w:r>
        <w:rPr>
          <w:color w:val="231F20"/>
          <w:spacing w:val="-5"/>
        </w:rPr>
        <w:t>vainas </w:t>
      </w:r>
      <w:r>
        <w:rPr>
          <w:color w:val="231F20"/>
          <w:spacing w:val="-3"/>
        </w:rPr>
        <w:t>en </w:t>
      </w:r>
      <w:r>
        <w:rPr>
          <w:color w:val="231F20"/>
          <w:spacing w:val="-5"/>
        </w:rPr>
        <w:t>comparación </w:t>
      </w:r>
      <w:r>
        <w:rPr>
          <w:color w:val="231F20"/>
          <w:spacing w:val="-4"/>
        </w:rPr>
        <w:t>con </w:t>
      </w:r>
      <w:r>
        <w:rPr>
          <w:color w:val="231F20"/>
          <w:spacing w:val="-3"/>
        </w:rPr>
        <w:t>la</w:t>
      </w:r>
      <w:r>
        <w:rPr>
          <w:color w:val="231F20"/>
          <w:spacing w:val="-36"/>
        </w:rPr>
        <w:t> </w:t>
      </w:r>
      <w:r>
        <w:rPr>
          <w:color w:val="231F20"/>
          <w:spacing w:val="-5"/>
        </w:rPr>
        <w:t>siembra temprana.</w:t>
      </w:r>
    </w:p>
    <w:p>
      <w:pPr>
        <w:spacing w:after="0" w:line="249" w:lineRule="auto"/>
        <w:jc w:val="both"/>
        <w:sectPr>
          <w:pgSz w:w="10920" w:h="13080"/>
          <w:pgMar w:header="0" w:footer="965" w:top="420" w:bottom="1220" w:left="0" w:right="0"/>
        </w:sectPr>
      </w:pPr>
    </w:p>
    <w:p>
      <w:pPr>
        <w:pStyle w:val="BodyText"/>
        <w:rPr>
          <w:sz w:val="20"/>
        </w:rPr>
      </w:pPr>
    </w:p>
    <w:p>
      <w:pPr>
        <w:pStyle w:val="BodyText"/>
        <w:rPr>
          <w:sz w:val="20"/>
        </w:rPr>
      </w:pPr>
    </w:p>
    <w:p>
      <w:pPr>
        <w:pStyle w:val="BodyText"/>
        <w:rPr>
          <w:sz w:val="23"/>
        </w:rPr>
      </w:pPr>
    </w:p>
    <w:p>
      <w:pPr>
        <w:spacing w:line="249" w:lineRule="auto" w:before="77"/>
        <w:ind w:left="2810" w:right="2538" w:hanging="180"/>
        <w:jc w:val="left"/>
        <w:rPr>
          <w:b/>
          <w:sz w:val="18"/>
        </w:rPr>
      </w:pPr>
      <w:r>
        <w:rPr/>
        <w:drawing>
          <wp:anchor distT="0" distB="0" distL="0" distR="0" allowOverlap="1" layoutInCell="1" locked="0" behindDoc="0" simplePos="0" relativeHeight="4576">
            <wp:simplePos x="0" y="0"/>
            <wp:positionH relativeFrom="page">
              <wp:posOffset>812101</wp:posOffset>
            </wp:positionH>
            <wp:positionV relativeFrom="paragraph">
              <wp:posOffset>377474</wp:posOffset>
            </wp:positionV>
            <wp:extent cx="5311113" cy="2116645"/>
            <wp:effectExtent l="0" t="0" r="0" b="0"/>
            <wp:wrapTopAndBottom/>
            <wp:docPr id="167" name="image66.jpeg" descr=""/>
            <wp:cNvGraphicFramePr>
              <a:graphicFrameLocks noChangeAspect="1"/>
            </wp:cNvGraphicFramePr>
            <a:graphic>
              <a:graphicData uri="http://schemas.openxmlformats.org/drawingml/2006/picture">
                <pic:pic>
                  <pic:nvPicPr>
                    <pic:cNvPr id="168" name="image66.jpeg"/>
                    <pic:cNvPicPr/>
                  </pic:nvPicPr>
                  <pic:blipFill>
                    <a:blip r:embed="rId98" cstate="print"/>
                    <a:stretch>
                      <a:fillRect/>
                    </a:stretch>
                  </pic:blipFill>
                  <pic:spPr>
                    <a:xfrm>
                      <a:off x="0" y="0"/>
                      <a:ext cx="5311113" cy="2116645"/>
                    </a:xfrm>
                    <a:prstGeom prst="rect">
                      <a:avLst/>
                    </a:prstGeom>
                  </pic:spPr>
                </pic:pic>
              </a:graphicData>
            </a:graphic>
          </wp:anchor>
        </w:drawing>
      </w:r>
      <w:r>
        <w:rPr>
          <w:b/>
          <w:color w:val="010202"/>
          <w:sz w:val="18"/>
        </w:rPr>
        <w:t>Cuadro 2. Rendimiento de grano y componentes del rendimiento del FCH en función de las fechas de siembra. Montecillo, Méx. Verano de 2011</w:t>
      </w:r>
    </w:p>
    <w:p>
      <w:pPr>
        <w:spacing w:line="307" w:lineRule="auto" w:before="61"/>
        <w:ind w:left="1270" w:right="1267" w:firstLine="0"/>
        <w:jc w:val="both"/>
        <w:rPr>
          <w:b/>
          <w:i/>
          <w:sz w:val="17"/>
        </w:rPr>
      </w:pPr>
      <w:r>
        <w:rPr>
          <w:b/>
          <w:i/>
          <w:color w:val="231F20"/>
          <w:spacing w:val="-5"/>
          <w:sz w:val="17"/>
        </w:rPr>
        <w:t>Medias </w:t>
      </w:r>
      <w:r>
        <w:rPr>
          <w:b/>
          <w:i/>
          <w:color w:val="231F20"/>
          <w:spacing w:val="-4"/>
          <w:sz w:val="17"/>
        </w:rPr>
        <w:t>con </w:t>
      </w:r>
      <w:r>
        <w:rPr>
          <w:b/>
          <w:i/>
          <w:color w:val="231F20"/>
          <w:spacing w:val="-3"/>
          <w:sz w:val="17"/>
        </w:rPr>
        <w:t>la </w:t>
      </w:r>
      <w:r>
        <w:rPr>
          <w:b/>
          <w:i/>
          <w:color w:val="231F20"/>
          <w:spacing w:val="-4"/>
          <w:sz w:val="17"/>
        </w:rPr>
        <w:t>misma letra </w:t>
      </w:r>
      <w:r>
        <w:rPr>
          <w:b/>
          <w:i/>
          <w:color w:val="231F20"/>
          <w:spacing w:val="-5"/>
          <w:sz w:val="17"/>
        </w:rPr>
        <w:t>dentro </w:t>
      </w:r>
      <w:r>
        <w:rPr>
          <w:b/>
          <w:i/>
          <w:color w:val="231F20"/>
          <w:spacing w:val="-3"/>
          <w:sz w:val="17"/>
        </w:rPr>
        <w:t>de </w:t>
      </w:r>
      <w:r>
        <w:rPr>
          <w:b/>
          <w:i/>
          <w:color w:val="231F20"/>
          <w:spacing w:val="-4"/>
          <w:sz w:val="17"/>
        </w:rPr>
        <w:t>cada </w:t>
      </w:r>
      <w:r>
        <w:rPr>
          <w:b/>
          <w:i/>
          <w:color w:val="231F20"/>
          <w:spacing w:val="-5"/>
          <w:sz w:val="17"/>
        </w:rPr>
        <w:t>columna </w:t>
      </w:r>
      <w:r>
        <w:rPr>
          <w:b/>
          <w:i/>
          <w:color w:val="231F20"/>
          <w:spacing w:val="-4"/>
          <w:sz w:val="17"/>
        </w:rPr>
        <w:t>son </w:t>
      </w:r>
      <w:r>
        <w:rPr>
          <w:b/>
          <w:i/>
          <w:color w:val="231F20"/>
          <w:spacing w:val="-5"/>
          <w:sz w:val="17"/>
        </w:rPr>
        <w:t>diferentes estadísticamente, </w:t>
      </w:r>
      <w:r>
        <w:rPr>
          <w:b/>
          <w:i/>
          <w:color w:val="231F20"/>
          <w:spacing w:val="-4"/>
          <w:sz w:val="17"/>
        </w:rPr>
        <w:t>según </w:t>
      </w:r>
      <w:r>
        <w:rPr>
          <w:b/>
          <w:i/>
          <w:color w:val="231F20"/>
          <w:spacing w:val="-6"/>
          <w:sz w:val="17"/>
        </w:rPr>
        <w:t>Tukey </w:t>
      </w:r>
      <w:r>
        <w:rPr>
          <w:b/>
          <w:i/>
          <w:color w:val="231F20"/>
          <w:spacing w:val="-3"/>
          <w:sz w:val="17"/>
        </w:rPr>
        <w:t>(α </w:t>
      </w:r>
      <w:r>
        <w:rPr>
          <w:b/>
          <w:i/>
          <w:color w:val="231F20"/>
          <w:sz w:val="17"/>
        </w:rPr>
        <w:t>= </w:t>
      </w:r>
      <w:r>
        <w:rPr>
          <w:b/>
          <w:i/>
          <w:color w:val="231F20"/>
          <w:spacing w:val="-4"/>
          <w:sz w:val="17"/>
        </w:rPr>
        <w:t>0.05) </w:t>
      </w:r>
      <w:r>
        <w:rPr>
          <w:b/>
          <w:i/>
          <w:color w:val="231F20"/>
          <w:spacing w:val="-3"/>
          <w:sz w:val="17"/>
        </w:rPr>
        <w:t>*, ** </w:t>
      </w:r>
      <w:r>
        <w:rPr>
          <w:b/>
          <w:i/>
          <w:color w:val="231F20"/>
          <w:sz w:val="17"/>
        </w:rPr>
        <w:t>= P ≤ </w:t>
      </w:r>
      <w:r>
        <w:rPr>
          <w:b/>
          <w:i/>
          <w:color w:val="231F20"/>
          <w:spacing w:val="-4"/>
          <w:sz w:val="17"/>
        </w:rPr>
        <w:t>0.01 </w:t>
      </w:r>
      <w:r>
        <w:rPr>
          <w:b/>
          <w:i/>
          <w:color w:val="231F20"/>
          <w:sz w:val="17"/>
        </w:rPr>
        <w:t>y </w:t>
      </w:r>
      <w:r>
        <w:rPr>
          <w:b/>
          <w:i/>
          <w:color w:val="231F20"/>
          <w:spacing w:val="-4"/>
          <w:sz w:val="17"/>
        </w:rPr>
        <w:t>0.05, </w:t>
      </w:r>
      <w:r>
        <w:rPr>
          <w:b/>
          <w:i/>
          <w:color w:val="231F20"/>
          <w:spacing w:val="-5"/>
          <w:sz w:val="17"/>
        </w:rPr>
        <w:t>respectivamente. </w:t>
      </w:r>
      <w:r>
        <w:rPr>
          <w:b/>
          <w:i/>
          <w:color w:val="231F20"/>
          <w:spacing w:val="-4"/>
          <w:sz w:val="17"/>
        </w:rPr>
        <w:t>DMS </w:t>
      </w:r>
      <w:r>
        <w:rPr>
          <w:b/>
          <w:i/>
          <w:color w:val="231F20"/>
          <w:sz w:val="17"/>
        </w:rPr>
        <w:t>= </w:t>
      </w:r>
      <w:r>
        <w:rPr>
          <w:b/>
          <w:i/>
          <w:color w:val="231F20"/>
          <w:spacing w:val="-5"/>
          <w:sz w:val="17"/>
        </w:rPr>
        <w:t>diferencia mínima significativa </w:t>
      </w:r>
      <w:r>
        <w:rPr>
          <w:b/>
          <w:i/>
          <w:color w:val="231F20"/>
          <w:spacing w:val="-3"/>
          <w:sz w:val="17"/>
        </w:rPr>
        <w:t>al </w:t>
      </w:r>
      <w:r>
        <w:rPr>
          <w:b/>
          <w:i/>
          <w:color w:val="231F20"/>
          <w:sz w:val="17"/>
        </w:rPr>
        <w:t>5 % </w:t>
      </w:r>
      <w:r>
        <w:rPr>
          <w:b/>
          <w:i/>
          <w:color w:val="231F20"/>
          <w:spacing w:val="-3"/>
          <w:sz w:val="17"/>
        </w:rPr>
        <w:t>de </w:t>
      </w:r>
      <w:r>
        <w:rPr>
          <w:b/>
          <w:i/>
          <w:color w:val="231F20"/>
          <w:spacing w:val="-5"/>
          <w:sz w:val="17"/>
        </w:rPr>
        <w:t>probabilidad </w:t>
      </w:r>
      <w:r>
        <w:rPr>
          <w:b/>
          <w:i/>
          <w:color w:val="231F20"/>
          <w:spacing w:val="-3"/>
          <w:sz w:val="17"/>
        </w:rPr>
        <w:t>de </w:t>
      </w:r>
      <w:r>
        <w:rPr>
          <w:b/>
          <w:i/>
          <w:color w:val="231F20"/>
          <w:spacing w:val="-6"/>
          <w:sz w:val="17"/>
        </w:rPr>
        <w:t>error. </w:t>
      </w:r>
      <w:r>
        <w:rPr>
          <w:b/>
          <w:i/>
          <w:color w:val="231F20"/>
          <w:spacing w:val="-4"/>
          <w:sz w:val="17"/>
        </w:rPr>
        <w:t>C.V </w:t>
      </w:r>
      <w:r>
        <w:rPr>
          <w:b/>
          <w:i/>
          <w:color w:val="231F20"/>
          <w:sz w:val="17"/>
        </w:rPr>
        <w:t>= </w:t>
      </w:r>
      <w:r>
        <w:rPr>
          <w:b/>
          <w:i/>
          <w:color w:val="231F20"/>
          <w:spacing w:val="-5"/>
          <w:sz w:val="17"/>
        </w:rPr>
        <w:t>coeficiente </w:t>
      </w:r>
      <w:r>
        <w:rPr>
          <w:b/>
          <w:i/>
          <w:color w:val="231F20"/>
          <w:spacing w:val="-3"/>
          <w:sz w:val="17"/>
        </w:rPr>
        <w:t>de </w:t>
      </w:r>
      <w:r>
        <w:rPr>
          <w:b/>
          <w:i/>
          <w:color w:val="231F20"/>
          <w:spacing w:val="-5"/>
          <w:sz w:val="17"/>
        </w:rPr>
        <w:t>variación.</w:t>
      </w:r>
    </w:p>
    <w:p>
      <w:pPr>
        <w:pStyle w:val="BodyText"/>
        <w:spacing w:before="7"/>
        <w:rPr>
          <w:b/>
          <w:i/>
          <w:sz w:val="18"/>
        </w:rPr>
      </w:pPr>
    </w:p>
    <w:p>
      <w:pPr>
        <w:pStyle w:val="Heading5"/>
      </w:pPr>
      <w:r>
        <w:rPr>
          <w:color w:val="231F20"/>
        </w:rPr>
        <w:t>Biomasa, índice de cosecha y eficiencia en el uso del agua</w:t>
      </w:r>
    </w:p>
    <w:p>
      <w:pPr>
        <w:pStyle w:val="BodyText"/>
        <w:spacing w:line="249" w:lineRule="auto" w:before="8"/>
        <w:ind w:left="1270" w:right="1267"/>
        <w:jc w:val="both"/>
      </w:pPr>
      <w:r>
        <w:rPr>
          <w:color w:val="231F20"/>
        </w:rPr>
        <w:t>La biomasa total (BT), índice de cosecha (IC) y eficiencia en el uso del agua para biomasa (EUAB) y grano (EUAG) se modificaron significativamente por las fechas de siembra (Cuadro 3). El FCH sembrado el A15 presentó el mayor RG (139 g m</w:t>
      </w:r>
      <w:r>
        <w:rPr>
          <w:color w:val="231F20"/>
          <w:position w:val="7"/>
          <w:sz w:val="12"/>
        </w:rPr>
        <w:t>-2</w:t>
      </w:r>
      <w:r>
        <w:rPr>
          <w:color w:val="231F20"/>
        </w:rPr>
        <w:t>), IC (5.4 %), EUAB (0.29 g m</w:t>
      </w:r>
      <w:r>
        <w:rPr>
          <w:color w:val="231F20"/>
          <w:position w:val="7"/>
          <w:sz w:val="12"/>
        </w:rPr>
        <w:t>-2 </w:t>
      </w:r>
      <w:r>
        <w:rPr>
          <w:color w:val="231F20"/>
        </w:rPr>
        <w:t>mm</w:t>
      </w:r>
      <w:r>
        <w:rPr>
          <w:color w:val="231F20"/>
          <w:position w:val="7"/>
          <w:sz w:val="12"/>
        </w:rPr>
        <w:t>-1</w:t>
      </w:r>
      <w:r>
        <w:rPr>
          <w:color w:val="231F20"/>
        </w:rPr>
        <w:t>) y EUAG (0.015 g m</w:t>
      </w:r>
      <w:r>
        <w:rPr>
          <w:color w:val="231F20"/>
          <w:position w:val="7"/>
          <w:sz w:val="12"/>
        </w:rPr>
        <w:t>-2 </w:t>
      </w:r>
      <w:r>
        <w:rPr>
          <w:color w:val="231F20"/>
        </w:rPr>
        <w:t>mm</w:t>
      </w:r>
      <w:r>
        <w:rPr>
          <w:color w:val="231F20"/>
          <w:position w:val="7"/>
          <w:sz w:val="12"/>
        </w:rPr>
        <w:t>-1</w:t>
      </w:r>
      <w:r>
        <w:rPr>
          <w:color w:val="231F20"/>
        </w:rPr>
        <w:t>), que superó a la siembra A30 en </w:t>
      </w:r>
      <w:r>
        <w:rPr>
          <w:color w:val="231F20"/>
          <w:spacing w:val="-4"/>
        </w:rPr>
        <w:t>11 </w:t>
      </w:r>
      <w:r>
        <w:rPr>
          <w:color w:val="231F20"/>
        </w:rPr>
        <w:t>%, 43 %, 7 % y 53 % para </w:t>
      </w:r>
      <w:r>
        <w:rPr>
          <w:color w:val="231F20"/>
          <w:spacing w:val="-6"/>
        </w:rPr>
        <w:t>BT, </w:t>
      </w:r>
      <w:r>
        <w:rPr>
          <w:color w:val="231F20"/>
        </w:rPr>
        <w:t>IC, EUAB y EUAG,</w:t>
      </w:r>
      <w:r>
        <w:rPr>
          <w:color w:val="231F20"/>
          <w:spacing w:val="-5"/>
        </w:rPr>
        <w:t> </w:t>
      </w:r>
      <w:r>
        <w:rPr>
          <w:color w:val="231F20"/>
        </w:rPr>
        <w:t>respectivamente.</w:t>
      </w:r>
      <w:r>
        <w:rPr>
          <w:color w:val="231F20"/>
          <w:spacing w:val="-5"/>
        </w:rPr>
        <w:t> </w:t>
      </w:r>
      <w:r>
        <w:rPr>
          <w:color w:val="231F20"/>
        </w:rPr>
        <w:t>Sin</w:t>
      </w:r>
      <w:r>
        <w:rPr>
          <w:color w:val="231F20"/>
          <w:spacing w:val="-5"/>
        </w:rPr>
        <w:t> </w:t>
      </w:r>
      <w:r>
        <w:rPr>
          <w:color w:val="231F20"/>
        </w:rPr>
        <w:t>embargo,</w:t>
      </w:r>
      <w:r>
        <w:rPr>
          <w:color w:val="231F20"/>
          <w:spacing w:val="-5"/>
        </w:rPr>
        <w:t> </w:t>
      </w:r>
      <w:r>
        <w:rPr>
          <w:color w:val="231F20"/>
        </w:rPr>
        <w:t>el</w:t>
      </w:r>
      <w:r>
        <w:rPr>
          <w:color w:val="231F20"/>
          <w:spacing w:val="-5"/>
        </w:rPr>
        <w:t> </w:t>
      </w:r>
      <w:r>
        <w:rPr>
          <w:color w:val="231F20"/>
        </w:rPr>
        <w:t>mayor</w:t>
      </w:r>
      <w:r>
        <w:rPr>
          <w:color w:val="231F20"/>
          <w:spacing w:val="-5"/>
        </w:rPr>
        <w:t> </w:t>
      </w:r>
      <w:r>
        <w:rPr>
          <w:color w:val="231F20"/>
        </w:rPr>
        <w:t>incremento</w:t>
      </w:r>
      <w:r>
        <w:rPr>
          <w:color w:val="231F20"/>
          <w:spacing w:val="-6"/>
        </w:rPr>
        <w:t> </w:t>
      </w:r>
      <w:r>
        <w:rPr>
          <w:color w:val="231F20"/>
        </w:rPr>
        <w:t>fue</w:t>
      </w:r>
      <w:r>
        <w:rPr>
          <w:color w:val="231F20"/>
          <w:spacing w:val="-5"/>
        </w:rPr>
        <w:t> </w:t>
      </w:r>
      <w:r>
        <w:rPr>
          <w:color w:val="231F20"/>
        </w:rPr>
        <w:t>respecto</w:t>
      </w:r>
      <w:r>
        <w:rPr>
          <w:color w:val="231F20"/>
          <w:spacing w:val="-5"/>
        </w:rPr>
        <w:t> </w:t>
      </w:r>
      <w:r>
        <w:rPr>
          <w:color w:val="231F20"/>
        </w:rPr>
        <w:t>a</w:t>
      </w:r>
      <w:r>
        <w:rPr>
          <w:color w:val="231F20"/>
          <w:spacing w:val="-5"/>
        </w:rPr>
        <w:t> </w:t>
      </w:r>
      <w:r>
        <w:rPr>
          <w:color w:val="231F20"/>
        </w:rPr>
        <w:t>J15</w:t>
      </w:r>
      <w:r>
        <w:rPr>
          <w:color w:val="231F20"/>
          <w:spacing w:val="-5"/>
        </w:rPr>
        <w:t> </w:t>
      </w:r>
      <w:r>
        <w:rPr>
          <w:color w:val="231F20"/>
        </w:rPr>
        <w:t>con</w:t>
      </w:r>
      <w:r>
        <w:rPr>
          <w:color w:val="231F20"/>
          <w:spacing w:val="-5"/>
        </w:rPr>
        <w:t> </w:t>
      </w:r>
      <w:r>
        <w:rPr>
          <w:color w:val="231F20"/>
        </w:rPr>
        <w:t>72</w:t>
      </w:r>
      <w:r>
        <w:rPr>
          <w:color w:val="231F20"/>
          <w:spacing w:val="-5"/>
        </w:rPr>
        <w:t> </w:t>
      </w:r>
      <w:r>
        <w:rPr>
          <w:color w:val="231F20"/>
        </w:rPr>
        <w:t>%,</w:t>
      </w:r>
      <w:r>
        <w:rPr>
          <w:color w:val="231F20"/>
          <w:spacing w:val="-5"/>
        </w:rPr>
        <w:t> </w:t>
      </w:r>
      <w:r>
        <w:rPr>
          <w:color w:val="231F20"/>
        </w:rPr>
        <w:t>100</w:t>
      </w:r>
      <w:r>
        <w:rPr>
          <w:color w:val="231F20"/>
          <w:spacing w:val="-5"/>
        </w:rPr>
        <w:t> </w:t>
      </w:r>
      <w:r>
        <w:rPr>
          <w:color w:val="231F20"/>
        </w:rPr>
        <w:t>%,</w:t>
      </w:r>
      <w:r>
        <w:rPr>
          <w:color w:val="231F20"/>
          <w:spacing w:val="-5"/>
        </w:rPr>
        <w:t> </w:t>
      </w:r>
      <w:r>
        <w:rPr>
          <w:color w:val="231F20"/>
        </w:rPr>
        <w:t>62</w:t>
      </w:r>
    </w:p>
    <w:p>
      <w:pPr>
        <w:pStyle w:val="BodyText"/>
        <w:spacing w:line="247" w:lineRule="auto"/>
        <w:ind w:left="1270" w:right="1263"/>
        <w:jc w:val="both"/>
      </w:pPr>
      <w:r>
        <w:rPr>
          <w:color w:val="231F20"/>
        </w:rPr>
        <w:t>%</w:t>
      </w:r>
      <w:r>
        <w:rPr>
          <w:color w:val="231F20"/>
          <w:spacing w:val="-5"/>
        </w:rPr>
        <w:t> </w:t>
      </w:r>
      <w:r>
        <w:rPr>
          <w:color w:val="231F20"/>
        </w:rPr>
        <w:t>y</w:t>
      </w:r>
      <w:r>
        <w:rPr>
          <w:color w:val="231F20"/>
          <w:spacing w:val="-5"/>
        </w:rPr>
        <w:t> </w:t>
      </w:r>
      <w:r>
        <w:rPr>
          <w:color w:val="231F20"/>
        </w:rPr>
        <w:t>100</w:t>
      </w:r>
      <w:r>
        <w:rPr>
          <w:color w:val="231F20"/>
          <w:spacing w:val="-5"/>
        </w:rPr>
        <w:t> </w:t>
      </w:r>
      <w:r>
        <w:rPr>
          <w:color w:val="231F20"/>
        </w:rPr>
        <w:t>%</w:t>
      </w:r>
      <w:r>
        <w:rPr>
          <w:color w:val="231F20"/>
          <w:spacing w:val="-5"/>
        </w:rPr>
        <w:t> </w:t>
      </w:r>
      <w:r>
        <w:rPr>
          <w:color w:val="231F20"/>
        </w:rPr>
        <w:t>para</w:t>
      </w:r>
      <w:r>
        <w:rPr>
          <w:color w:val="231F20"/>
          <w:spacing w:val="-5"/>
        </w:rPr>
        <w:t> </w:t>
      </w:r>
      <w:r>
        <w:rPr>
          <w:color w:val="231F20"/>
          <w:spacing w:val="-6"/>
        </w:rPr>
        <w:t>BT,</w:t>
      </w:r>
      <w:r>
        <w:rPr>
          <w:color w:val="231F20"/>
          <w:spacing w:val="-5"/>
        </w:rPr>
        <w:t> </w:t>
      </w:r>
      <w:r>
        <w:rPr>
          <w:color w:val="231F20"/>
        </w:rPr>
        <w:t>IC,</w:t>
      </w:r>
      <w:r>
        <w:rPr>
          <w:color w:val="231F20"/>
          <w:spacing w:val="-5"/>
        </w:rPr>
        <w:t> </w:t>
      </w:r>
      <w:r>
        <w:rPr>
          <w:color w:val="231F20"/>
        </w:rPr>
        <w:t>EUAB</w:t>
      </w:r>
      <w:r>
        <w:rPr>
          <w:color w:val="231F20"/>
          <w:spacing w:val="-5"/>
        </w:rPr>
        <w:t> </w:t>
      </w:r>
      <w:r>
        <w:rPr>
          <w:color w:val="231F20"/>
        </w:rPr>
        <w:t>y</w:t>
      </w:r>
      <w:r>
        <w:rPr>
          <w:color w:val="231F20"/>
          <w:spacing w:val="-5"/>
        </w:rPr>
        <w:t> </w:t>
      </w:r>
      <w:r>
        <w:rPr>
          <w:color w:val="231F20"/>
        </w:rPr>
        <w:t>EUAG,</w:t>
      </w:r>
      <w:r>
        <w:rPr>
          <w:color w:val="231F20"/>
          <w:spacing w:val="-5"/>
        </w:rPr>
        <w:t> </w:t>
      </w:r>
      <w:r>
        <w:rPr>
          <w:color w:val="231F20"/>
        </w:rPr>
        <w:t>respectivamente.</w:t>
      </w:r>
      <w:r>
        <w:rPr>
          <w:color w:val="231F20"/>
          <w:spacing w:val="-8"/>
        </w:rPr>
        <w:t> </w:t>
      </w:r>
      <w:r>
        <w:rPr>
          <w:color w:val="231F20"/>
        </w:rPr>
        <w:t>Tendencias</w:t>
      </w:r>
      <w:r>
        <w:rPr>
          <w:color w:val="231F20"/>
          <w:spacing w:val="-5"/>
        </w:rPr>
        <w:t> </w:t>
      </w:r>
      <w:r>
        <w:rPr>
          <w:color w:val="231F20"/>
        </w:rPr>
        <w:t>similares</w:t>
      </w:r>
      <w:r>
        <w:rPr>
          <w:color w:val="231F20"/>
          <w:spacing w:val="-4"/>
        </w:rPr>
        <w:t> </w:t>
      </w:r>
      <w:r>
        <w:rPr>
          <w:color w:val="231F20"/>
        </w:rPr>
        <w:t>fueron</w:t>
      </w:r>
      <w:r>
        <w:rPr>
          <w:color w:val="231F20"/>
          <w:spacing w:val="-5"/>
        </w:rPr>
        <w:t> </w:t>
      </w:r>
      <w:r>
        <w:rPr>
          <w:color w:val="231F20"/>
        </w:rPr>
        <w:t>encontradas por</w:t>
      </w:r>
      <w:r>
        <w:rPr>
          <w:color w:val="231F20"/>
          <w:spacing w:val="-8"/>
        </w:rPr>
        <w:t> </w:t>
      </w:r>
      <w:r>
        <w:rPr>
          <w:color w:val="231F20"/>
        </w:rPr>
        <w:t>Kurubetta</w:t>
      </w:r>
      <w:r>
        <w:rPr>
          <w:color w:val="231F20"/>
          <w:spacing w:val="-8"/>
        </w:rPr>
        <w:t> </w:t>
      </w:r>
      <w:r>
        <w:rPr>
          <w:color w:val="231F20"/>
        </w:rPr>
        <w:t>(2006)</w:t>
      </w:r>
      <w:r>
        <w:rPr>
          <w:color w:val="231F20"/>
          <w:spacing w:val="-8"/>
        </w:rPr>
        <w:t> </w:t>
      </w:r>
      <w:r>
        <w:rPr>
          <w:color w:val="231F20"/>
        </w:rPr>
        <w:t>en</w:t>
      </w:r>
      <w:r>
        <w:rPr>
          <w:color w:val="231F20"/>
          <w:spacing w:val="-8"/>
        </w:rPr>
        <w:t> </w:t>
      </w:r>
      <w:r>
        <w:rPr>
          <w:color w:val="231F20"/>
        </w:rPr>
        <w:t>FCH</w:t>
      </w:r>
      <w:r>
        <w:rPr>
          <w:color w:val="231F20"/>
          <w:spacing w:val="-8"/>
        </w:rPr>
        <w:t> </w:t>
      </w:r>
      <w:r>
        <w:rPr>
          <w:color w:val="231F20"/>
        </w:rPr>
        <w:t>en</w:t>
      </w:r>
      <w:r>
        <w:rPr>
          <w:color w:val="231F20"/>
          <w:spacing w:val="-8"/>
        </w:rPr>
        <w:t> </w:t>
      </w:r>
      <w:r>
        <w:rPr>
          <w:color w:val="231F20"/>
        </w:rPr>
        <w:t>clima</w:t>
      </w:r>
      <w:r>
        <w:rPr>
          <w:color w:val="231F20"/>
          <w:spacing w:val="-9"/>
        </w:rPr>
        <w:t> </w:t>
      </w:r>
      <w:r>
        <w:rPr>
          <w:color w:val="231F20"/>
        </w:rPr>
        <w:t>cálido,</w:t>
      </w:r>
      <w:r>
        <w:rPr>
          <w:color w:val="231F20"/>
          <w:spacing w:val="-9"/>
        </w:rPr>
        <w:t> </w:t>
      </w:r>
      <w:r>
        <w:rPr>
          <w:color w:val="231F20"/>
        </w:rPr>
        <w:t>al</w:t>
      </w:r>
      <w:r>
        <w:rPr>
          <w:color w:val="231F20"/>
          <w:spacing w:val="-8"/>
        </w:rPr>
        <w:t> </w:t>
      </w:r>
      <w:r>
        <w:rPr>
          <w:color w:val="231F20"/>
        </w:rPr>
        <w:t>presentar</w:t>
      </w:r>
      <w:r>
        <w:rPr>
          <w:color w:val="231F20"/>
          <w:spacing w:val="-8"/>
        </w:rPr>
        <w:t> </w:t>
      </w:r>
      <w:r>
        <w:rPr>
          <w:color w:val="231F20"/>
        </w:rPr>
        <w:t>reducción</w:t>
      </w:r>
      <w:r>
        <w:rPr>
          <w:color w:val="231F20"/>
          <w:spacing w:val="-8"/>
        </w:rPr>
        <w:t> </w:t>
      </w:r>
      <w:r>
        <w:rPr>
          <w:color w:val="231F20"/>
        </w:rPr>
        <w:t>del</w:t>
      </w:r>
      <w:r>
        <w:rPr>
          <w:color w:val="231F20"/>
          <w:spacing w:val="-8"/>
        </w:rPr>
        <w:t> </w:t>
      </w:r>
      <w:r>
        <w:rPr>
          <w:color w:val="231F20"/>
        </w:rPr>
        <w:t>20</w:t>
      </w:r>
      <w:r>
        <w:rPr>
          <w:color w:val="231F20"/>
          <w:spacing w:val="-8"/>
        </w:rPr>
        <w:t> </w:t>
      </w:r>
      <w:r>
        <w:rPr>
          <w:color w:val="231F20"/>
        </w:rPr>
        <w:t>%</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IC</w:t>
      </w:r>
      <w:r>
        <w:rPr>
          <w:color w:val="231F20"/>
          <w:spacing w:val="-8"/>
        </w:rPr>
        <w:t> </w:t>
      </w:r>
      <w:r>
        <w:rPr>
          <w:color w:val="231F20"/>
        </w:rPr>
        <w:t>y</w:t>
      </w:r>
      <w:r>
        <w:rPr>
          <w:color w:val="231F20"/>
          <w:spacing w:val="-8"/>
        </w:rPr>
        <w:t> </w:t>
      </w:r>
      <w:r>
        <w:rPr>
          <w:color w:val="231F20"/>
        </w:rPr>
        <w:t>14</w:t>
      </w:r>
      <w:r>
        <w:rPr>
          <w:color w:val="231F20"/>
          <w:spacing w:val="-8"/>
        </w:rPr>
        <w:t> </w:t>
      </w:r>
      <w:r>
        <w:rPr>
          <w:color w:val="231F20"/>
        </w:rPr>
        <w:t>%</w:t>
      </w:r>
      <w:r>
        <w:rPr>
          <w:color w:val="231F20"/>
          <w:spacing w:val="-8"/>
        </w:rPr>
        <w:t> </w:t>
      </w:r>
      <w:r>
        <w:rPr>
          <w:color w:val="231F20"/>
        </w:rPr>
        <w:t>en</w:t>
      </w:r>
      <w:r>
        <w:rPr>
          <w:color w:val="231F20"/>
          <w:spacing w:val="-8"/>
        </w:rPr>
        <w:t> </w:t>
      </w:r>
      <w:r>
        <w:rPr>
          <w:color w:val="231F20"/>
        </w:rPr>
        <w:t>BT con la siembra del 23 de julio respecto a la del 22 de</w:t>
      </w:r>
      <w:r>
        <w:rPr>
          <w:color w:val="231F20"/>
          <w:spacing w:val="-8"/>
        </w:rPr>
        <w:t> </w:t>
      </w:r>
      <w:r>
        <w:rPr>
          <w:color w:val="231F20"/>
        </w:rPr>
        <w:t>julio.</w:t>
      </w:r>
    </w:p>
    <w:p>
      <w:pPr>
        <w:pStyle w:val="BodyText"/>
        <w:spacing w:before="10"/>
      </w:pPr>
    </w:p>
    <w:p>
      <w:pPr>
        <w:pStyle w:val="BodyText"/>
        <w:spacing w:line="249" w:lineRule="auto"/>
        <w:ind w:left="1270" w:right="1267"/>
        <w:jc w:val="both"/>
      </w:pPr>
      <w:r>
        <w:rPr>
          <w:color w:val="231F20"/>
        </w:rPr>
        <w:t>A</w:t>
      </w:r>
      <w:r>
        <w:rPr>
          <w:color w:val="231F20"/>
          <w:spacing w:val="-16"/>
        </w:rPr>
        <w:t> </w:t>
      </w:r>
      <w:r>
        <w:rPr>
          <w:color w:val="231F20"/>
        </w:rPr>
        <w:t>pesar</w:t>
      </w:r>
      <w:r>
        <w:rPr>
          <w:color w:val="231F20"/>
          <w:spacing w:val="-4"/>
        </w:rPr>
        <w:t> </w:t>
      </w:r>
      <w:r>
        <w:rPr>
          <w:color w:val="231F20"/>
        </w:rPr>
        <w:t>que</w:t>
      </w:r>
      <w:r>
        <w:rPr>
          <w:color w:val="231F20"/>
          <w:spacing w:val="-4"/>
        </w:rPr>
        <w:t> </w:t>
      </w:r>
      <w:r>
        <w:rPr>
          <w:color w:val="231F20"/>
        </w:rPr>
        <w:t>el</w:t>
      </w:r>
      <w:r>
        <w:rPr>
          <w:color w:val="231F20"/>
          <w:spacing w:val="-4"/>
        </w:rPr>
        <w:t> </w:t>
      </w:r>
      <w:r>
        <w:rPr>
          <w:color w:val="231F20"/>
        </w:rPr>
        <w:t>RG</w:t>
      </w:r>
      <w:r>
        <w:rPr>
          <w:color w:val="231F20"/>
          <w:spacing w:val="-4"/>
        </w:rPr>
        <w:t> </w:t>
      </w:r>
      <w:r>
        <w:rPr>
          <w:color w:val="231F20"/>
        </w:rPr>
        <w:t>de</w:t>
      </w:r>
      <w:r>
        <w:rPr>
          <w:color w:val="231F20"/>
          <w:spacing w:val="-4"/>
        </w:rPr>
        <w:t> </w:t>
      </w:r>
      <w:r>
        <w:rPr>
          <w:color w:val="231F20"/>
        </w:rPr>
        <w:t>FCH</w:t>
      </w:r>
      <w:r>
        <w:rPr>
          <w:color w:val="231F20"/>
          <w:spacing w:val="-4"/>
        </w:rPr>
        <w:t> </w:t>
      </w:r>
      <w:r>
        <w:rPr>
          <w:color w:val="231F20"/>
        </w:rPr>
        <w:t>en</w:t>
      </w:r>
      <w:r>
        <w:rPr>
          <w:color w:val="231F20"/>
          <w:spacing w:val="-4"/>
        </w:rPr>
        <w:t> </w:t>
      </w:r>
      <w:r>
        <w:rPr>
          <w:color w:val="231F20"/>
        </w:rPr>
        <w:t>clima</w:t>
      </w:r>
      <w:r>
        <w:rPr>
          <w:color w:val="231F20"/>
          <w:spacing w:val="-4"/>
        </w:rPr>
        <w:t> </w:t>
      </w:r>
      <w:r>
        <w:rPr>
          <w:color w:val="231F20"/>
        </w:rPr>
        <w:t>templado</w:t>
      </w:r>
      <w:r>
        <w:rPr>
          <w:color w:val="231F20"/>
          <w:spacing w:val="-5"/>
        </w:rPr>
        <w:t> </w:t>
      </w:r>
      <w:r>
        <w:rPr>
          <w:color w:val="231F20"/>
        </w:rPr>
        <w:t>fue</w:t>
      </w:r>
      <w:r>
        <w:rPr>
          <w:color w:val="231F20"/>
          <w:spacing w:val="-4"/>
        </w:rPr>
        <w:t> </w:t>
      </w:r>
      <w:r>
        <w:rPr>
          <w:color w:val="231F20"/>
        </w:rPr>
        <w:t>relativamente</w:t>
      </w:r>
      <w:r>
        <w:rPr>
          <w:color w:val="231F20"/>
          <w:spacing w:val="-4"/>
        </w:rPr>
        <w:t> </w:t>
      </w:r>
      <w:r>
        <w:rPr>
          <w:color w:val="231F20"/>
        </w:rPr>
        <w:t>bajo</w:t>
      </w:r>
      <w:r>
        <w:rPr>
          <w:color w:val="231F20"/>
          <w:spacing w:val="-4"/>
        </w:rPr>
        <w:t> </w:t>
      </w:r>
      <w:r>
        <w:rPr>
          <w:color w:val="231F20"/>
        </w:rPr>
        <w:t>en</w:t>
      </w:r>
      <w:r>
        <w:rPr>
          <w:color w:val="231F20"/>
          <w:spacing w:val="-4"/>
        </w:rPr>
        <w:t> </w:t>
      </w:r>
      <w:r>
        <w:rPr>
          <w:color w:val="231F20"/>
        </w:rPr>
        <w:t>todas</w:t>
      </w:r>
      <w:r>
        <w:rPr>
          <w:color w:val="231F20"/>
          <w:spacing w:val="-4"/>
        </w:rPr>
        <w:t> </w:t>
      </w:r>
      <w:r>
        <w:rPr>
          <w:color w:val="231F20"/>
        </w:rPr>
        <w:t>las</w:t>
      </w:r>
      <w:r>
        <w:rPr>
          <w:color w:val="231F20"/>
          <w:spacing w:val="-4"/>
        </w:rPr>
        <w:t> </w:t>
      </w:r>
      <w:r>
        <w:rPr>
          <w:color w:val="231F20"/>
        </w:rPr>
        <w:t>fechas</w:t>
      </w:r>
      <w:r>
        <w:rPr>
          <w:color w:val="231F20"/>
          <w:spacing w:val="-4"/>
        </w:rPr>
        <w:t> </w:t>
      </w:r>
      <w:r>
        <w:rPr>
          <w:color w:val="231F20"/>
        </w:rPr>
        <w:t>de</w:t>
      </w:r>
      <w:r>
        <w:rPr>
          <w:color w:val="231F20"/>
          <w:spacing w:val="-4"/>
        </w:rPr>
        <w:t> </w:t>
      </w:r>
      <w:r>
        <w:rPr>
          <w:color w:val="231F20"/>
        </w:rPr>
        <w:t>siembra, la producción de BT se considera aceptable para las dos primeras fechas de siembra (A15 y A30), cuyos</w:t>
      </w:r>
      <w:r>
        <w:rPr>
          <w:color w:val="231F20"/>
          <w:spacing w:val="-6"/>
        </w:rPr>
        <w:t> </w:t>
      </w:r>
      <w:r>
        <w:rPr>
          <w:color w:val="231F20"/>
        </w:rPr>
        <w:t>valores</w:t>
      </w:r>
      <w:r>
        <w:rPr>
          <w:color w:val="231F20"/>
          <w:spacing w:val="-6"/>
        </w:rPr>
        <w:t> </w:t>
      </w:r>
      <w:r>
        <w:rPr>
          <w:color w:val="231F20"/>
        </w:rPr>
        <w:t>son</w:t>
      </w:r>
      <w:r>
        <w:rPr>
          <w:color w:val="231F20"/>
          <w:spacing w:val="-6"/>
        </w:rPr>
        <w:t> </w:t>
      </w:r>
      <w:r>
        <w:rPr>
          <w:color w:val="231F20"/>
        </w:rPr>
        <w:t>equivalentes</w:t>
      </w:r>
      <w:r>
        <w:rPr>
          <w:color w:val="231F20"/>
          <w:spacing w:val="-6"/>
        </w:rPr>
        <w:t> </w:t>
      </w:r>
      <w:r>
        <w:rPr>
          <w:color w:val="231F20"/>
        </w:rPr>
        <w:t>a</w:t>
      </w:r>
      <w:r>
        <w:rPr>
          <w:color w:val="231F20"/>
          <w:spacing w:val="-6"/>
        </w:rPr>
        <w:t> </w:t>
      </w:r>
      <w:r>
        <w:rPr>
          <w:color w:val="231F20"/>
        </w:rPr>
        <w:t>1.4</w:t>
      </w:r>
      <w:r>
        <w:rPr>
          <w:color w:val="231F20"/>
          <w:spacing w:val="-6"/>
        </w:rPr>
        <w:t> </w:t>
      </w:r>
      <w:r>
        <w:rPr>
          <w:color w:val="231F20"/>
        </w:rPr>
        <w:t>y</w:t>
      </w:r>
      <w:r>
        <w:rPr>
          <w:color w:val="231F20"/>
          <w:spacing w:val="-6"/>
        </w:rPr>
        <w:t> </w:t>
      </w:r>
      <w:r>
        <w:rPr>
          <w:color w:val="231F20"/>
        </w:rPr>
        <w:t>1.2</w:t>
      </w:r>
      <w:r>
        <w:rPr>
          <w:color w:val="231F20"/>
          <w:spacing w:val="-6"/>
        </w:rPr>
        <w:t> </w:t>
      </w:r>
      <w:r>
        <w:rPr>
          <w:color w:val="231F20"/>
        </w:rPr>
        <w:t>ton</w:t>
      </w:r>
      <w:r>
        <w:rPr>
          <w:color w:val="231F20"/>
          <w:spacing w:val="-6"/>
        </w:rPr>
        <w:t> </w:t>
      </w:r>
      <w:r>
        <w:rPr>
          <w:color w:val="231F20"/>
        </w:rPr>
        <w:t>ha</w:t>
      </w:r>
      <w:r>
        <w:rPr>
          <w:color w:val="231F20"/>
          <w:position w:val="7"/>
          <w:sz w:val="12"/>
        </w:rPr>
        <w:t>-1</w:t>
      </w:r>
      <w:r>
        <w:rPr>
          <w:color w:val="231F20"/>
          <w:spacing w:val="17"/>
          <w:position w:val="7"/>
          <w:sz w:val="12"/>
        </w:rPr>
        <w:t> </w:t>
      </w:r>
      <w:r>
        <w:rPr>
          <w:color w:val="231F20"/>
        </w:rPr>
        <w:t>de</w:t>
      </w:r>
      <w:r>
        <w:rPr>
          <w:color w:val="231F20"/>
          <w:spacing w:val="-6"/>
        </w:rPr>
        <w:t> </w:t>
      </w:r>
      <w:r>
        <w:rPr>
          <w:color w:val="231F20"/>
        </w:rPr>
        <w:t>materia</w:t>
      </w:r>
      <w:r>
        <w:rPr>
          <w:color w:val="231F20"/>
          <w:spacing w:val="-6"/>
        </w:rPr>
        <w:t> </w:t>
      </w:r>
      <w:r>
        <w:rPr>
          <w:color w:val="231F20"/>
        </w:rPr>
        <w:t>seca,</w:t>
      </w:r>
      <w:r>
        <w:rPr>
          <w:color w:val="231F20"/>
          <w:spacing w:val="-5"/>
        </w:rPr>
        <w:t> </w:t>
      </w:r>
      <w:r>
        <w:rPr>
          <w:color w:val="231F20"/>
        </w:rPr>
        <w:t>que</w:t>
      </w:r>
      <w:r>
        <w:rPr>
          <w:color w:val="231F20"/>
          <w:spacing w:val="-6"/>
        </w:rPr>
        <w:t> </w:t>
      </w:r>
      <w:r>
        <w:rPr>
          <w:color w:val="231F20"/>
        </w:rPr>
        <w:t>de</w:t>
      </w:r>
      <w:r>
        <w:rPr>
          <w:color w:val="231F20"/>
          <w:spacing w:val="-6"/>
        </w:rPr>
        <w:t> </w:t>
      </w:r>
      <w:r>
        <w:rPr>
          <w:color w:val="231F20"/>
        </w:rPr>
        <w:t>acuerdo</w:t>
      </w:r>
      <w:r>
        <w:rPr>
          <w:color w:val="231F20"/>
          <w:spacing w:val="-6"/>
        </w:rPr>
        <w:t> </w:t>
      </w:r>
      <w:r>
        <w:rPr>
          <w:color w:val="231F20"/>
        </w:rPr>
        <w:t>con</w:t>
      </w:r>
      <w:r>
        <w:rPr>
          <w:color w:val="231F20"/>
          <w:spacing w:val="-6"/>
        </w:rPr>
        <w:t> </w:t>
      </w:r>
      <w:r>
        <w:rPr>
          <w:color w:val="231F20"/>
        </w:rPr>
        <w:t>Castillo</w:t>
      </w:r>
      <w:r>
        <w:rPr>
          <w:color w:val="231F20"/>
          <w:spacing w:val="-6"/>
        </w:rPr>
        <w:t> </w:t>
      </w:r>
      <w:r>
        <w:rPr>
          <w:i/>
          <w:color w:val="231F20"/>
        </w:rPr>
        <w:t>et</w:t>
      </w:r>
      <w:r>
        <w:rPr>
          <w:i/>
          <w:color w:val="231F20"/>
          <w:spacing w:val="-6"/>
        </w:rPr>
        <w:t> </w:t>
      </w:r>
      <w:r>
        <w:rPr>
          <w:i/>
          <w:color w:val="231F20"/>
        </w:rPr>
        <w:t>al. </w:t>
      </w:r>
      <w:r>
        <w:rPr>
          <w:color w:val="231F20"/>
        </w:rPr>
        <w:t>(2009) es considerado como forraje de excelente calidad para la alimentación de ganado bovino. En la Figura 2 se observa que la BT en función de la acumulación de UC y </w:t>
      </w:r>
      <w:r>
        <w:rPr>
          <w:color w:val="231F20"/>
          <w:spacing w:val="-5"/>
        </w:rPr>
        <w:t>ETc </w:t>
      </w:r>
      <w:r>
        <w:rPr>
          <w:color w:val="231F20"/>
        </w:rPr>
        <w:t>se ajustó a modelos de regresión lineal. El incremento en una UC aumenta en 0.4 g m</w:t>
      </w:r>
      <w:r>
        <w:rPr>
          <w:color w:val="231F20"/>
          <w:position w:val="7"/>
          <w:sz w:val="12"/>
        </w:rPr>
        <w:t>-2 </w:t>
      </w:r>
      <w:r>
        <w:rPr>
          <w:color w:val="231F20"/>
        </w:rPr>
        <w:t>la </w:t>
      </w:r>
      <w:r>
        <w:rPr>
          <w:color w:val="231F20"/>
          <w:spacing w:val="-6"/>
        </w:rPr>
        <w:t>BT, </w:t>
      </w:r>
      <w:r>
        <w:rPr>
          <w:color w:val="231F20"/>
        </w:rPr>
        <w:t>de tal manera que la siembra A15</w:t>
      </w:r>
      <w:r>
        <w:rPr>
          <w:color w:val="231F20"/>
          <w:spacing w:val="9"/>
        </w:rPr>
        <w:t> </w:t>
      </w:r>
      <w:r>
        <w:rPr>
          <w:color w:val="231F20"/>
        </w:rPr>
        <w:t>presentó</w:t>
      </w:r>
      <w:r>
        <w:rPr>
          <w:color w:val="231F20"/>
          <w:spacing w:val="9"/>
        </w:rPr>
        <w:t> </w:t>
      </w:r>
      <w:r>
        <w:rPr>
          <w:color w:val="231F20"/>
        </w:rPr>
        <w:t>la</w:t>
      </w:r>
      <w:r>
        <w:rPr>
          <w:color w:val="231F20"/>
          <w:spacing w:val="9"/>
        </w:rPr>
        <w:t> </w:t>
      </w:r>
      <w:r>
        <w:rPr>
          <w:color w:val="231F20"/>
        </w:rPr>
        <w:t>mayor</w:t>
      </w:r>
      <w:r>
        <w:rPr>
          <w:color w:val="231F20"/>
          <w:spacing w:val="9"/>
        </w:rPr>
        <w:t> </w:t>
      </w:r>
      <w:r>
        <w:rPr>
          <w:color w:val="231F20"/>
        </w:rPr>
        <w:t>BT</w:t>
      </w:r>
      <w:r>
        <w:rPr>
          <w:color w:val="231F20"/>
          <w:spacing w:val="5"/>
        </w:rPr>
        <w:t> </w:t>
      </w:r>
      <w:r>
        <w:rPr>
          <w:color w:val="231F20"/>
        </w:rPr>
        <w:t>(139</w:t>
      </w:r>
      <w:r>
        <w:rPr>
          <w:color w:val="231F20"/>
          <w:spacing w:val="9"/>
        </w:rPr>
        <w:t> </w:t>
      </w:r>
      <w:r>
        <w:rPr>
          <w:color w:val="231F20"/>
        </w:rPr>
        <w:t>g</w:t>
      </w:r>
      <w:r>
        <w:rPr>
          <w:color w:val="231F20"/>
          <w:spacing w:val="9"/>
        </w:rPr>
        <w:t> </w:t>
      </w:r>
      <w:r>
        <w:rPr>
          <w:color w:val="231F20"/>
        </w:rPr>
        <w:t>m</w:t>
      </w:r>
      <w:r>
        <w:rPr>
          <w:color w:val="231F20"/>
          <w:position w:val="7"/>
          <w:sz w:val="12"/>
        </w:rPr>
        <w:t>-2</w:t>
      </w:r>
      <w:r>
        <w:rPr>
          <w:color w:val="231F20"/>
        </w:rPr>
        <w:t>)</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relacionó</w:t>
      </w:r>
      <w:r>
        <w:rPr>
          <w:color w:val="231F20"/>
          <w:spacing w:val="9"/>
        </w:rPr>
        <w:t> </w:t>
      </w:r>
      <w:r>
        <w:rPr>
          <w:color w:val="231F20"/>
        </w:rPr>
        <w:t>con</w:t>
      </w:r>
      <w:r>
        <w:rPr>
          <w:color w:val="231F20"/>
          <w:spacing w:val="9"/>
        </w:rPr>
        <w:t> </w:t>
      </w:r>
      <w:r>
        <w:rPr>
          <w:color w:val="231F20"/>
        </w:rPr>
        <w:t>una</w:t>
      </w:r>
      <w:r>
        <w:rPr>
          <w:color w:val="231F20"/>
          <w:spacing w:val="9"/>
        </w:rPr>
        <w:t> </w:t>
      </w:r>
      <w:r>
        <w:rPr>
          <w:color w:val="231F20"/>
        </w:rPr>
        <w:t>mayor</w:t>
      </w:r>
      <w:r>
        <w:rPr>
          <w:color w:val="231F20"/>
          <w:spacing w:val="9"/>
        </w:rPr>
        <w:t> </w:t>
      </w:r>
      <w:r>
        <w:rPr>
          <w:color w:val="231F20"/>
        </w:rPr>
        <w:t>acumulación</w:t>
      </w:r>
      <w:r>
        <w:rPr>
          <w:color w:val="231F20"/>
          <w:spacing w:val="9"/>
        </w:rPr>
        <w:t> </w:t>
      </w:r>
      <w:r>
        <w:rPr>
          <w:color w:val="231F20"/>
        </w:rPr>
        <w:t>de</w:t>
      </w:r>
      <w:r>
        <w:rPr>
          <w:color w:val="231F20"/>
          <w:spacing w:val="9"/>
        </w:rPr>
        <w:t> </w:t>
      </w:r>
      <w:r>
        <w:rPr>
          <w:color w:val="231F20"/>
        </w:rPr>
        <w:t>UC</w:t>
      </w:r>
      <w:r>
        <w:rPr>
          <w:color w:val="231F20"/>
          <w:spacing w:val="9"/>
        </w:rPr>
        <w:t> </w:t>
      </w:r>
      <w:r>
        <w:rPr>
          <w:color w:val="231F20"/>
        </w:rPr>
        <w:t>(1204</w:t>
      </w:r>
    </w:p>
    <w:p>
      <w:pPr>
        <w:pStyle w:val="BodyText"/>
        <w:spacing w:line="249" w:lineRule="auto"/>
        <w:ind w:left="1270" w:right="1264"/>
        <w:jc w:val="both"/>
      </w:pPr>
      <w:r>
        <w:rPr>
          <w:color w:val="231F20"/>
        </w:rPr>
        <w:t>°C), mientras que la más baja acumulación de UC (961 °C) propició una menor producción de BT (39 g m</w:t>
      </w:r>
      <w:r>
        <w:rPr>
          <w:color w:val="231F20"/>
          <w:position w:val="7"/>
          <w:sz w:val="12"/>
        </w:rPr>
        <w:t>-2</w:t>
      </w:r>
      <w:r>
        <w:rPr>
          <w:color w:val="231F20"/>
        </w:rPr>
        <w:t>) en la siembra J15. La ETc también presentó alta relación con la BT (R2 = 0.92**), el in- cremento en un mm de ETc aumenta la BT en 0.9 g m</w:t>
      </w:r>
      <w:r>
        <w:rPr>
          <w:color w:val="231F20"/>
          <w:position w:val="7"/>
          <w:sz w:val="12"/>
        </w:rPr>
        <w:t>-2</w:t>
      </w:r>
      <w:r>
        <w:rPr>
          <w:color w:val="231F20"/>
        </w:rPr>
        <w:t>.</w:t>
      </w:r>
    </w:p>
    <w:p>
      <w:pPr>
        <w:spacing w:after="0" w:line="249" w:lineRule="auto"/>
        <w:jc w:val="both"/>
        <w:sectPr>
          <w:pgSz w:w="10920" w:h="13080"/>
          <w:pgMar w:header="0" w:footer="965" w:top="420" w:bottom="1220" w:left="0" w:right="0"/>
        </w:sectPr>
      </w:pPr>
    </w:p>
    <w:p>
      <w:pPr>
        <w:pStyle w:val="BodyText"/>
        <w:rPr>
          <w:sz w:val="20"/>
        </w:rPr>
      </w:pPr>
    </w:p>
    <w:p>
      <w:pPr>
        <w:pStyle w:val="BodyText"/>
        <w:rPr>
          <w:sz w:val="20"/>
        </w:rPr>
      </w:pPr>
    </w:p>
    <w:p>
      <w:pPr>
        <w:pStyle w:val="BodyText"/>
        <w:rPr>
          <w:sz w:val="23"/>
        </w:rPr>
      </w:pPr>
    </w:p>
    <w:p>
      <w:pPr>
        <w:spacing w:before="77"/>
        <w:ind w:left="1489" w:right="1489" w:firstLine="0"/>
        <w:jc w:val="center"/>
        <w:rPr>
          <w:b/>
          <w:sz w:val="18"/>
        </w:rPr>
      </w:pPr>
      <w:r>
        <w:rPr>
          <w:b/>
          <w:color w:val="010202"/>
          <w:sz w:val="18"/>
        </w:rPr>
        <w:t>Cuadro 3. Biomasa total (BT), Índice de cosecha (IC) y eficiencia en el uso del agua para grano</w:t>
      </w:r>
    </w:p>
    <w:p>
      <w:pPr>
        <w:spacing w:before="43"/>
        <w:ind w:left="1489" w:right="1489" w:firstLine="0"/>
        <w:jc w:val="center"/>
        <w:rPr>
          <w:b/>
          <w:sz w:val="18"/>
        </w:rPr>
      </w:pPr>
      <w:r>
        <w:rPr/>
        <w:drawing>
          <wp:anchor distT="0" distB="0" distL="0" distR="0" allowOverlap="1" layoutInCell="1" locked="0" behindDoc="0" simplePos="0" relativeHeight="4600">
            <wp:simplePos x="0" y="0"/>
            <wp:positionH relativeFrom="page">
              <wp:posOffset>806699</wp:posOffset>
            </wp:positionH>
            <wp:positionV relativeFrom="paragraph">
              <wp:posOffset>229926</wp:posOffset>
            </wp:positionV>
            <wp:extent cx="5345430" cy="2295905"/>
            <wp:effectExtent l="0" t="0" r="0" b="0"/>
            <wp:wrapTopAndBottom/>
            <wp:docPr id="169" name="image67.png" descr=""/>
            <wp:cNvGraphicFramePr>
              <a:graphicFrameLocks noChangeAspect="1"/>
            </wp:cNvGraphicFramePr>
            <a:graphic>
              <a:graphicData uri="http://schemas.openxmlformats.org/drawingml/2006/picture">
                <pic:pic>
                  <pic:nvPicPr>
                    <pic:cNvPr id="170" name="image67.png"/>
                    <pic:cNvPicPr/>
                  </pic:nvPicPr>
                  <pic:blipFill>
                    <a:blip r:embed="rId99" cstate="print"/>
                    <a:stretch>
                      <a:fillRect/>
                    </a:stretch>
                  </pic:blipFill>
                  <pic:spPr>
                    <a:xfrm>
                      <a:off x="0" y="0"/>
                      <a:ext cx="5345430" cy="2295905"/>
                    </a:xfrm>
                    <a:prstGeom prst="rect">
                      <a:avLst/>
                    </a:prstGeom>
                  </pic:spPr>
                </pic:pic>
              </a:graphicData>
            </a:graphic>
          </wp:anchor>
        </w:drawing>
      </w:r>
      <w:r>
        <w:rPr>
          <w:b/>
          <w:color w:val="010202"/>
          <w:sz w:val="18"/>
        </w:rPr>
        <w:t>y biomasa (EUAG y EUAB) del FCH en función de las fechas de siembra, verano de 2011</w:t>
      </w:r>
    </w:p>
    <w:p>
      <w:pPr>
        <w:pStyle w:val="BodyText"/>
        <w:spacing w:before="8"/>
        <w:rPr>
          <w:b/>
          <w:sz w:val="25"/>
        </w:rPr>
      </w:pPr>
    </w:p>
    <w:p>
      <w:pPr>
        <w:spacing w:line="307" w:lineRule="auto" w:before="0"/>
        <w:ind w:left="1270" w:right="1267" w:firstLine="0"/>
        <w:jc w:val="both"/>
        <w:rPr>
          <w:b/>
          <w:i/>
          <w:sz w:val="17"/>
        </w:rPr>
      </w:pPr>
      <w:r>
        <w:rPr>
          <w:b/>
          <w:i/>
          <w:color w:val="231F20"/>
          <w:spacing w:val="-5"/>
          <w:sz w:val="17"/>
        </w:rPr>
        <w:t>Medias </w:t>
      </w:r>
      <w:r>
        <w:rPr>
          <w:b/>
          <w:i/>
          <w:color w:val="231F20"/>
          <w:spacing w:val="-4"/>
          <w:sz w:val="17"/>
        </w:rPr>
        <w:t>con </w:t>
      </w:r>
      <w:r>
        <w:rPr>
          <w:b/>
          <w:i/>
          <w:color w:val="231F20"/>
          <w:spacing w:val="-3"/>
          <w:sz w:val="17"/>
        </w:rPr>
        <w:t>la </w:t>
      </w:r>
      <w:r>
        <w:rPr>
          <w:b/>
          <w:i/>
          <w:color w:val="231F20"/>
          <w:spacing w:val="-4"/>
          <w:sz w:val="17"/>
        </w:rPr>
        <w:t>misma letra </w:t>
      </w:r>
      <w:r>
        <w:rPr>
          <w:b/>
          <w:i/>
          <w:color w:val="231F20"/>
          <w:spacing w:val="-5"/>
          <w:sz w:val="17"/>
        </w:rPr>
        <w:t>dentro </w:t>
      </w:r>
      <w:r>
        <w:rPr>
          <w:b/>
          <w:i/>
          <w:color w:val="231F20"/>
          <w:spacing w:val="-3"/>
          <w:sz w:val="17"/>
        </w:rPr>
        <w:t>de </w:t>
      </w:r>
      <w:r>
        <w:rPr>
          <w:b/>
          <w:i/>
          <w:color w:val="231F20"/>
          <w:spacing w:val="-4"/>
          <w:sz w:val="17"/>
        </w:rPr>
        <w:t>cada </w:t>
      </w:r>
      <w:r>
        <w:rPr>
          <w:b/>
          <w:i/>
          <w:color w:val="231F20"/>
          <w:spacing w:val="-5"/>
          <w:sz w:val="17"/>
        </w:rPr>
        <w:t>columna </w:t>
      </w:r>
      <w:r>
        <w:rPr>
          <w:b/>
          <w:i/>
          <w:color w:val="231F20"/>
          <w:spacing w:val="-4"/>
          <w:sz w:val="17"/>
        </w:rPr>
        <w:t>son </w:t>
      </w:r>
      <w:r>
        <w:rPr>
          <w:b/>
          <w:i/>
          <w:color w:val="231F20"/>
          <w:spacing w:val="-5"/>
          <w:sz w:val="17"/>
        </w:rPr>
        <w:t>diferentes estadísticamente, </w:t>
      </w:r>
      <w:r>
        <w:rPr>
          <w:b/>
          <w:i/>
          <w:color w:val="231F20"/>
          <w:spacing w:val="-4"/>
          <w:sz w:val="17"/>
        </w:rPr>
        <w:t>según </w:t>
      </w:r>
      <w:r>
        <w:rPr>
          <w:b/>
          <w:i/>
          <w:color w:val="231F20"/>
          <w:spacing w:val="-6"/>
          <w:sz w:val="17"/>
        </w:rPr>
        <w:t>Tukey </w:t>
      </w:r>
      <w:r>
        <w:rPr>
          <w:b/>
          <w:i/>
          <w:color w:val="231F20"/>
          <w:spacing w:val="-3"/>
          <w:sz w:val="17"/>
        </w:rPr>
        <w:t>(α </w:t>
      </w:r>
      <w:r>
        <w:rPr>
          <w:b/>
          <w:i/>
          <w:color w:val="231F20"/>
          <w:sz w:val="17"/>
        </w:rPr>
        <w:t>= </w:t>
      </w:r>
      <w:r>
        <w:rPr>
          <w:b/>
          <w:i/>
          <w:color w:val="231F20"/>
          <w:spacing w:val="-4"/>
          <w:sz w:val="17"/>
        </w:rPr>
        <w:t>0.05) </w:t>
      </w:r>
      <w:r>
        <w:rPr>
          <w:b/>
          <w:i/>
          <w:color w:val="231F20"/>
          <w:spacing w:val="-3"/>
          <w:sz w:val="17"/>
        </w:rPr>
        <w:t>*, ** </w:t>
      </w:r>
      <w:r>
        <w:rPr>
          <w:b/>
          <w:i/>
          <w:color w:val="231F20"/>
          <w:sz w:val="17"/>
        </w:rPr>
        <w:t>= P ≤ </w:t>
      </w:r>
      <w:r>
        <w:rPr>
          <w:b/>
          <w:i/>
          <w:color w:val="231F20"/>
          <w:spacing w:val="-4"/>
          <w:sz w:val="17"/>
        </w:rPr>
        <w:t>0.01 </w:t>
      </w:r>
      <w:r>
        <w:rPr>
          <w:b/>
          <w:i/>
          <w:color w:val="231F20"/>
          <w:sz w:val="17"/>
        </w:rPr>
        <w:t>y </w:t>
      </w:r>
      <w:r>
        <w:rPr>
          <w:b/>
          <w:i/>
          <w:color w:val="231F20"/>
          <w:spacing w:val="-4"/>
          <w:sz w:val="17"/>
        </w:rPr>
        <w:t>0.05, </w:t>
      </w:r>
      <w:r>
        <w:rPr>
          <w:b/>
          <w:i/>
          <w:color w:val="231F20"/>
          <w:spacing w:val="-5"/>
          <w:sz w:val="17"/>
        </w:rPr>
        <w:t>respectivamente. </w:t>
      </w:r>
      <w:r>
        <w:rPr>
          <w:b/>
          <w:i/>
          <w:color w:val="231F20"/>
          <w:spacing w:val="-4"/>
          <w:sz w:val="17"/>
        </w:rPr>
        <w:t>DMS </w:t>
      </w:r>
      <w:r>
        <w:rPr>
          <w:b/>
          <w:i/>
          <w:color w:val="231F20"/>
          <w:sz w:val="17"/>
        </w:rPr>
        <w:t>= </w:t>
      </w:r>
      <w:r>
        <w:rPr>
          <w:b/>
          <w:i/>
          <w:color w:val="231F20"/>
          <w:spacing w:val="-5"/>
          <w:sz w:val="17"/>
        </w:rPr>
        <w:t>diferencia mínima significativa </w:t>
      </w:r>
      <w:r>
        <w:rPr>
          <w:b/>
          <w:i/>
          <w:color w:val="231F20"/>
          <w:spacing w:val="-3"/>
          <w:sz w:val="17"/>
        </w:rPr>
        <w:t>al </w:t>
      </w:r>
      <w:r>
        <w:rPr>
          <w:b/>
          <w:i/>
          <w:color w:val="231F20"/>
          <w:sz w:val="17"/>
        </w:rPr>
        <w:t>5 % </w:t>
      </w:r>
      <w:r>
        <w:rPr>
          <w:b/>
          <w:i/>
          <w:color w:val="231F20"/>
          <w:spacing w:val="-3"/>
          <w:sz w:val="17"/>
        </w:rPr>
        <w:t>de </w:t>
      </w:r>
      <w:r>
        <w:rPr>
          <w:b/>
          <w:i/>
          <w:color w:val="231F20"/>
          <w:spacing w:val="-5"/>
          <w:sz w:val="17"/>
        </w:rPr>
        <w:t>probabilidad </w:t>
      </w:r>
      <w:r>
        <w:rPr>
          <w:b/>
          <w:i/>
          <w:color w:val="231F20"/>
          <w:spacing w:val="-3"/>
          <w:sz w:val="17"/>
        </w:rPr>
        <w:t>de </w:t>
      </w:r>
      <w:r>
        <w:rPr>
          <w:b/>
          <w:i/>
          <w:color w:val="231F20"/>
          <w:spacing w:val="-6"/>
          <w:sz w:val="17"/>
        </w:rPr>
        <w:t>error. </w:t>
      </w:r>
      <w:r>
        <w:rPr>
          <w:b/>
          <w:i/>
          <w:color w:val="231F20"/>
          <w:spacing w:val="-4"/>
          <w:sz w:val="17"/>
        </w:rPr>
        <w:t>C.V </w:t>
      </w:r>
      <w:r>
        <w:rPr>
          <w:b/>
          <w:i/>
          <w:color w:val="231F20"/>
          <w:sz w:val="17"/>
        </w:rPr>
        <w:t>= </w:t>
      </w:r>
      <w:r>
        <w:rPr>
          <w:b/>
          <w:i/>
          <w:color w:val="231F20"/>
          <w:spacing w:val="-5"/>
          <w:sz w:val="17"/>
        </w:rPr>
        <w:t>coeficiente </w:t>
      </w:r>
      <w:r>
        <w:rPr>
          <w:b/>
          <w:i/>
          <w:color w:val="231F20"/>
          <w:spacing w:val="-3"/>
          <w:sz w:val="17"/>
        </w:rPr>
        <w:t>de </w:t>
      </w:r>
      <w:r>
        <w:rPr>
          <w:b/>
          <w:i/>
          <w:color w:val="231F20"/>
          <w:spacing w:val="-5"/>
          <w:sz w:val="17"/>
        </w:rPr>
        <w:t>variación.</w:t>
      </w:r>
    </w:p>
    <w:p>
      <w:pPr>
        <w:pStyle w:val="BodyText"/>
        <w:rPr>
          <w:b/>
          <w:i/>
        </w:rPr>
      </w:pPr>
    </w:p>
    <w:p>
      <w:pPr>
        <w:spacing w:before="1"/>
        <w:ind w:left="1489" w:right="1489" w:firstLine="0"/>
        <w:jc w:val="center"/>
        <w:rPr>
          <w:b/>
          <w:sz w:val="18"/>
        </w:rPr>
      </w:pPr>
      <w:r>
        <w:rPr>
          <w:b/>
          <w:color w:val="010202"/>
          <w:sz w:val="18"/>
        </w:rPr>
        <w:t>Figura 2. Relación entre la biomasa  total e índices climáticos. Montecillo, Méx., verano de 2011</w:t>
      </w:r>
    </w:p>
    <w:p>
      <w:pPr>
        <w:pStyle w:val="BodyText"/>
        <w:spacing w:before="9"/>
        <w:rPr>
          <w:b/>
          <w:sz w:val="9"/>
        </w:rPr>
      </w:pPr>
      <w:r>
        <w:rPr/>
        <w:drawing>
          <wp:anchor distT="0" distB="0" distL="0" distR="0" allowOverlap="1" layoutInCell="1" locked="0" behindDoc="0" simplePos="0" relativeHeight="4624">
            <wp:simplePos x="0" y="0"/>
            <wp:positionH relativeFrom="page">
              <wp:posOffset>806699</wp:posOffset>
            </wp:positionH>
            <wp:positionV relativeFrom="paragraph">
              <wp:posOffset>96390</wp:posOffset>
            </wp:positionV>
            <wp:extent cx="5323525" cy="1782222"/>
            <wp:effectExtent l="0" t="0" r="0" b="0"/>
            <wp:wrapTopAndBottom/>
            <wp:docPr id="171" name="image68.png" descr=""/>
            <wp:cNvGraphicFramePr>
              <a:graphicFrameLocks noChangeAspect="1"/>
            </wp:cNvGraphicFramePr>
            <a:graphic>
              <a:graphicData uri="http://schemas.openxmlformats.org/drawingml/2006/picture">
                <pic:pic>
                  <pic:nvPicPr>
                    <pic:cNvPr id="172" name="image68.png"/>
                    <pic:cNvPicPr/>
                  </pic:nvPicPr>
                  <pic:blipFill>
                    <a:blip r:embed="rId100" cstate="print"/>
                    <a:stretch>
                      <a:fillRect/>
                    </a:stretch>
                  </pic:blipFill>
                  <pic:spPr>
                    <a:xfrm>
                      <a:off x="0" y="0"/>
                      <a:ext cx="5323525" cy="1782222"/>
                    </a:xfrm>
                    <a:prstGeom prst="rect">
                      <a:avLst/>
                    </a:prstGeom>
                  </pic:spPr>
                </pic:pic>
              </a:graphicData>
            </a:graphic>
          </wp:anchor>
        </w:drawing>
      </w:r>
    </w:p>
    <w:p>
      <w:pPr>
        <w:pStyle w:val="BodyText"/>
        <w:rPr>
          <w:b/>
          <w:sz w:val="25"/>
        </w:rPr>
      </w:pPr>
    </w:p>
    <w:p>
      <w:pPr>
        <w:pStyle w:val="Heading3"/>
      </w:pPr>
      <w:r>
        <w:rPr>
          <w:color w:val="010202"/>
        </w:rPr>
        <w:t>Conclusiones</w:t>
      </w:r>
    </w:p>
    <w:p>
      <w:pPr>
        <w:pStyle w:val="BodyText"/>
        <w:spacing w:before="10"/>
        <w:rPr>
          <w:b/>
        </w:rPr>
      </w:pPr>
    </w:p>
    <w:p>
      <w:pPr>
        <w:pStyle w:val="BodyText"/>
        <w:spacing w:line="247" w:lineRule="auto"/>
        <w:ind w:left="1270" w:right="1267"/>
        <w:jc w:val="both"/>
      </w:pPr>
      <w:r>
        <w:rPr>
          <w:color w:val="231F20"/>
        </w:rPr>
        <w:t>La</w:t>
      </w:r>
      <w:r>
        <w:rPr>
          <w:color w:val="231F20"/>
          <w:spacing w:val="-7"/>
        </w:rPr>
        <w:t> </w:t>
      </w:r>
      <w:r>
        <w:rPr>
          <w:color w:val="231F20"/>
        </w:rPr>
        <w:t>fenología,</w:t>
      </w:r>
      <w:r>
        <w:rPr>
          <w:color w:val="231F20"/>
          <w:spacing w:val="-6"/>
        </w:rPr>
        <w:t> </w:t>
      </w:r>
      <w:r>
        <w:rPr>
          <w:color w:val="231F20"/>
        </w:rPr>
        <w:t>RG,</w:t>
      </w:r>
      <w:r>
        <w:rPr>
          <w:color w:val="231F20"/>
          <w:spacing w:val="-7"/>
        </w:rPr>
        <w:t> </w:t>
      </w:r>
      <w:r>
        <w:rPr>
          <w:color w:val="231F20"/>
        </w:rPr>
        <w:t>NG,</w:t>
      </w:r>
      <w:r>
        <w:rPr>
          <w:color w:val="231F20"/>
          <w:spacing w:val="-6"/>
        </w:rPr>
        <w:t> </w:t>
      </w:r>
      <w:r>
        <w:rPr>
          <w:color w:val="231F20"/>
        </w:rPr>
        <w:t>P100G,</w:t>
      </w:r>
      <w:r>
        <w:rPr>
          <w:color w:val="231F20"/>
          <w:spacing w:val="-6"/>
        </w:rPr>
        <w:t> </w:t>
      </w:r>
      <w:r>
        <w:rPr>
          <w:color w:val="231F20"/>
          <w:spacing w:val="-10"/>
        </w:rPr>
        <w:t>NV,</w:t>
      </w:r>
      <w:r>
        <w:rPr>
          <w:color w:val="231F20"/>
          <w:spacing w:val="-7"/>
        </w:rPr>
        <w:t> </w:t>
      </w:r>
      <w:r>
        <w:rPr>
          <w:color w:val="231F20"/>
          <w:spacing w:val="-10"/>
        </w:rPr>
        <w:t>GV,</w:t>
      </w:r>
      <w:r>
        <w:rPr>
          <w:color w:val="231F20"/>
          <w:spacing w:val="-7"/>
        </w:rPr>
        <w:t> </w:t>
      </w:r>
      <w:r>
        <w:rPr>
          <w:color w:val="231F20"/>
          <w:spacing w:val="-6"/>
        </w:rPr>
        <w:t>BT,</w:t>
      </w:r>
      <w:r>
        <w:rPr>
          <w:color w:val="231F20"/>
          <w:spacing w:val="-7"/>
        </w:rPr>
        <w:t> </w:t>
      </w:r>
      <w:r>
        <w:rPr>
          <w:color w:val="231F20"/>
        </w:rPr>
        <w:t>IC,</w:t>
      </w:r>
      <w:r>
        <w:rPr>
          <w:color w:val="231F20"/>
          <w:spacing w:val="-7"/>
        </w:rPr>
        <w:t> </w:t>
      </w:r>
      <w:r>
        <w:rPr>
          <w:color w:val="231F20"/>
        </w:rPr>
        <w:t>EUAB</w:t>
      </w:r>
      <w:r>
        <w:rPr>
          <w:color w:val="231F20"/>
          <w:spacing w:val="-7"/>
        </w:rPr>
        <w:t> </w:t>
      </w:r>
      <w:r>
        <w:rPr>
          <w:color w:val="231F20"/>
        </w:rPr>
        <w:t>y</w:t>
      </w:r>
      <w:r>
        <w:rPr>
          <w:color w:val="231F20"/>
          <w:spacing w:val="-7"/>
        </w:rPr>
        <w:t> </w:t>
      </w:r>
      <w:r>
        <w:rPr>
          <w:color w:val="231F20"/>
        </w:rPr>
        <w:t>EUAG</w:t>
      </w:r>
      <w:r>
        <w:rPr>
          <w:color w:val="231F20"/>
          <w:spacing w:val="-7"/>
        </w:rPr>
        <w:t> </w:t>
      </w:r>
      <w:r>
        <w:rPr>
          <w:color w:val="231F20"/>
        </w:rPr>
        <w:t>del</w:t>
      </w:r>
      <w:r>
        <w:rPr>
          <w:color w:val="231F20"/>
          <w:spacing w:val="-6"/>
        </w:rPr>
        <w:t> </w:t>
      </w:r>
      <w:r>
        <w:rPr>
          <w:color w:val="231F20"/>
        </w:rPr>
        <w:t>FCH</w:t>
      </w:r>
      <w:r>
        <w:rPr>
          <w:color w:val="231F20"/>
          <w:spacing w:val="-6"/>
        </w:rPr>
        <w:t> </w:t>
      </w:r>
      <w:r>
        <w:rPr>
          <w:color w:val="231F20"/>
        </w:rPr>
        <w:t>son</w:t>
      </w:r>
      <w:r>
        <w:rPr>
          <w:color w:val="231F20"/>
          <w:spacing w:val="-6"/>
        </w:rPr>
        <w:t> </w:t>
      </w:r>
      <w:r>
        <w:rPr>
          <w:color w:val="231F20"/>
        </w:rPr>
        <w:t>afectados</w:t>
      </w:r>
      <w:r>
        <w:rPr>
          <w:color w:val="231F20"/>
          <w:spacing w:val="-7"/>
        </w:rPr>
        <w:t> </w:t>
      </w:r>
      <w:r>
        <w:rPr>
          <w:color w:val="231F20"/>
        </w:rPr>
        <w:t>por</w:t>
      </w:r>
      <w:r>
        <w:rPr>
          <w:color w:val="231F20"/>
          <w:spacing w:val="-7"/>
        </w:rPr>
        <w:t> </w:t>
      </w:r>
      <w:r>
        <w:rPr>
          <w:color w:val="231F20"/>
        </w:rPr>
        <w:t>la</w:t>
      </w:r>
      <w:r>
        <w:rPr>
          <w:color w:val="231F20"/>
          <w:spacing w:val="-7"/>
        </w:rPr>
        <w:t> </w:t>
      </w:r>
      <w:r>
        <w:rPr>
          <w:color w:val="231F20"/>
        </w:rPr>
        <w:t>fecha de</w:t>
      </w:r>
      <w:r>
        <w:rPr>
          <w:color w:val="231F20"/>
          <w:spacing w:val="-3"/>
        </w:rPr>
        <w:t> </w:t>
      </w:r>
      <w:r>
        <w:rPr>
          <w:color w:val="231F20"/>
        </w:rPr>
        <w:t>siembra.</w:t>
      </w:r>
      <w:r>
        <w:rPr>
          <w:color w:val="231F20"/>
          <w:spacing w:val="-3"/>
        </w:rPr>
        <w:t> </w:t>
      </w:r>
      <w:r>
        <w:rPr>
          <w:color w:val="231F20"/>
        </w:rPr>
        <w:t>El</w:t>
      </w:r>
      <w:r>
        <w:rPr>
          <w:color w:val="231F20"/>
          <w:spacing w:val="-3"/>
        </w:rPr>
        <w:t> </w:t>
      </w:r>
      <w:r>
        <w:rPr>
          <w:color w:val="231F20"/>
        </w:rPr>
        <w:t>FCH</w:t>
      </w:r>
      <w:r>
        <w:rPr>
          <w:color w:val="231F20"/>
          <w:spacing w:val="-3"/>
        </w:rPr>
        <w:t> </w:t>
      </w:r>
      <w:r>
        <w:rPr>
          <w:color w:val="231F20"/>
        </w:rPr>
        <w:t>en</w:t>
      </w:r>
      <w:r>
        <w:rPr>
          <w:color w:val="231F20"/>
          <w:spacing w:val="-3"/>
        </w:rPr>
        <w:t> </w:t>
      </w:r>
      <w:r>
        <w:rPr>
          <w:color w:val="231F20"/>
        </w:rPr>
        <w:t>la</w:t>
      </w:r>
      <w:r>
        <w:rPr>
          <w:color w:val="231F20"/>
          <w:spacing w:val="-3"/>
        </w:rPr>
        <w:t> </w:t>
      </w:r>
      <w:r>
        <w:rPr>
          <w:color w:val="231F20"/>
        </w:rPr>
        <w:t>siembra</w:t>
      </w:r>
      <w:r>
        <w:rPr>
          <w:color w:val="231F20"/>
          <w:spacing w:val="-3"/>
        </w:rPr>
        <w:t> </w:t>
      </w:r>
      <w:r>
        <w:rPr>
          <w:color w:val="231F20"/>
        </w:rPr>
        <w:t>temprana</w:t>
      </w:r>
      <w:r>
        <w:rPr>
          <w:color w:val="231F20"/>
          <w:spacing w:val="-4"/>
        </w:rPr>
        <w:t> </w:t>
      </w:r>
      <w:r>
        <w:rPr>
          <w:color w:val="231F20"/>
        </w:rPr>
        <w:t>(A15)</w:t>
      </w:r>
      <w:r>
        <w:rPr>
          <w:color w:val="231F20"/>
          <w:spacing w:val="-3"/>
        </w:rPr>
        <w:t> </w:t>
      </w:r>
      <w:r>
        <w:rPr>
          <w:color w:val="231F20"/>
        </w:rPr>
        <w:t>presenta</w:t>
      </w:r>
      <w:r>
        <w:rPr>
          <w:color w:val="231F20"/>
          <w:spacing w:val="-3"/>
        </w:rPr>
        <w:t> </w:t>
      </w:r>
      <w:r>
        <w:rPr>
          <w:color w:val="231F20"/>
        </w:rPr>
        <w:t>un</w:t>
      </w:r>
      <w:r>
        <w:rPr>
          <w:color w:val="231F20"/>
          <w:spacing w:val="-3"/>
        </w:rPr>
        <w:t> </w:t>
      </w:r>
      <w:r>
        <w:rPr>
          <w:color w:val="231F20"/>
        </w:rPr>
        <w:t>ciclo</w:t>
      </w:r>
      <w:r>
        <w:rPr>
          <w:color w:val="231F20"/>
          <w:spacing w:val="-3"/>
        </w:rPr>
        <w:t> </w:t>
      </w:r>
      <w:r>
        <w:rPr>
          <w:color w:val="231F20"/>
        </w:rPr>
        <w:t>del</w:t>
      </w:r>
      <w:r>
        <w:rPr>
          <w:color w:val="231F20"/>
          <w:spacing w:val="-3"/>
        </w:rPr>
        <w:t> </w:t>
      </w:r>
      <w:r>
        <w:rPr>
          <w:color w:val="231F20"/>
        </w:rPr>
        <w:t>cultivo</w:t>
      </w:r>
      <w:r>
        <w:rPr>
          <w:color w:val="231F20"/>
          <w:spacing w:val="-4"/>
        </w:rPr>
        <w:t> </w:t>
      </w:r>
      <w:r>
        <w:rPr>
          <w:color w:val="231F20"/>
        </w:rPr>
        <w:t>más</w:t>
      </w:r>
      <w:r>
        <w:rPr>
          <w:color w:val="231F20"/>
          <w:spacing w:val="-3"/>
        </w:rPr>
        <w:t> </w:t>
      </w:r>
      <w:r>
        <w:rPr>
          <w:color w:val="231F20"/>
        </w:rPr>
        <w:t>corto,</w:t>
      </w:r>
      <w:r>
        <w:rPr>
          <w:color w:val="231F20"/>
          <w:spacing w:val="-3"/>
        </w:rPr>
        <w:t> </w:t>
      </w:r>
      <w:r>
        <w:rPr>
          <w:color w:val="231F20"/>
        </w:rPr>
        <w:t>el</w:t>
      </w:r>
      <w:r>
        <w:rPr>
          <w:color w:val="231F20"/>
          <w:spacing w:val="-3"/>
        </w:rPr>
        <w:t> </w:t>
      </w:r>
      <w:r>
        <w:rPr>
          <w:color w:val="231F20"/>
        </w:rPr>
        <w:t>cual</w:t>
      </w:r>
      <w:r>
        <w:rPr>
          <w:color w:val="231F20"/>
          <w:spacing w:val="-3"/>
        </w:rPr>
        <w:t> </w:t>
      </w:r>
      <w:r>
        <w:rPr>
          <w:color w:val="231F20"/>
        </w:rPr>
        <w:t>se prolonga a medida que se retrasa la siembra. La mayor producción se logra con la siembra del 15 de abril y la más baja con la del 15 de junio. La mayor BT en la siembra A15 se relacionó con  </w:t>
      </w:r>
      <w:r>
        <w:rPr>
          <w:color w:val="231F20"/>
          <w:spacing w:val="2"/>
        </w:rPr>
        <w:t> </w:t>
      </w:r>
      <w:r>
        <w:rPr>
          <w:color w:val="231F20"/>
        </w:rPr>
        <w:t>una</w:t>
      </w:r>
    </w:p>
    <w:p>
      <w:pPr>
        <w:spacing w:after="0" w:line="247" w:lineRule="auto"/>
        <w:jc w:val="both"/>
        <w:sectPr>
          <w:pgSz w:w="10920" w:h="13080"/>
          <w:pgMar w:header="0" w:footer="965" w:top="420" w:bottom="1220" w:left="0" w:right="0"/>
        </w:sectPr>
      </w:pPr>
    </w:p>
    <w:p>
      <w:pPr>
        <w:pStyle w:val="BodyText"/>
        <w:rPr>
          <w:sz w:val="20"/>
        </w:rPr>
      </w:pPr>
    </w:p>
    <w:p>
      <w:pPr>
        <w:pStyle w:val="BodyText"/>
        <w:rPr>
          <w:sz w:val="20"/>
        </w:rPr>
      </w:pPr>
    </w:p>
    <w:p>
      <w:pPr>
        <w:pStyle w:val="BodyText"/>
        <w:rPr>
          <w:sz w:val="23"/>
        </w:rPr>
      </w:pPr>
    </w:p>
    <w:p>
      <w:pPr>
        <w:pStyle w:val="BodyText"/>
        <w:spacing w:line="247" w:lineRule="auto" w:before="73"/>
        <w:ind w:left="1270" w:right="1267"/>
        <w:jc w:val="both"/>
      </w:pPr>
      <w:r>
        <w:rPr>
          <w:color w:val="231F20"/>
        </w:rPr>
        <w:t>mayor acumulación de UC y </w:t>
      </w:r>
      <w:r>
        <w:rPr>
          <w:color w:val="231F20"/>
          <w:spacing w:val="-4"/>
        </w:rPr>
        <w:t>ETc. </w:t>
      </w:r>
      <w:r>
        <w:rPr>
          <w:color w:val="231F20"/>
        </w:rPr>
        <w:t>Para condiciones de clima templado la siembra del 15 de abril es la</w:t>
      </w:r>
      <w:r>
        <w:rPr>
          <w:color w:val="231F20"/>
          <w:spacing w:val="-8"/>
        </w:rPr>
        <w:t> </w:t>
      </w:r>
      <w:r>
        <w:rPr>
          <w:color w:val="231F20"/>
        </w:rPr>
        <w:t>más</w:t>
      </w:r>
      <w:r>
        <w:rPr>
          <w:color w:val="231F20"/>
          <w:spacing w:val="-8"/>
        </w:rPr>
        <w:t> </w:t>
      </w:r>
      <w:r>
        <w:rPr>
          <w:color w:val="231F20"/>
        </w:rPr>
        <w:t>recomendable</w:t>
      </w:r>
      <w:r>
        <w:rPr>
          <w:color w:val="231F20"/>
          <w:spacing w:val="-8"/>
        </w:rPr>
        <w:t> </w:t>
      </w:r>
      <w:r>
        <w:rPr>
          <w:color w:val="231F20"/>
        </w:rPr>
        <w:t>para</w:t>
      </w:r>
      <w:r>
        <w:rPr>
          <w:color w:val="231F20"/>
          <w:spacing w:val="-8"/>
        </w:rPr>
        <w:t> </w:t>
      </w:r>
      <w:r>
        <w:rPr>
          <w:color w:val="231F20"/>
        </w:rPr>
        <w:t>el</w:t>
      </w:r>
      <w:r>
        <w:rPr>
          <w:color w:val="231F20"/>
          <w:spacing w:val="-8"/>
        </w:rPr>
        <w:t> </w:t>
      </w:r>
      <w:r>
        <w:rPr>
          <w:color w:val="231F20"/>
        </w:rPr>
        <w:t>FCH.</w:t>
      </w:r>
      <w:r>
        <w:rPr>
          <w:color w:val="231F20"/>
          <w:spacing w:val="-8"/>
        </w:rPr>
        <w:t> </w:t>
      </w:r>
      <w:r>
        <w:rPr>
          <w:color w:val="231F20"/>
        </w:rPr>
        <w:t>Siembras</w:t>
      </w:r>
      <w:r>
        <w:rPr>
          <w:color w:val="231F20"/>
          <w:spacing w:val="-8"/>
        </w:rPr>
        <w:t> </w:t>
      </w:r>
      <w:r>
        <w:rPr>
          <w:color w:val="231F20"/>
        </w:rPr>
        <w:t>después</w:t>
      </w:r>
      <w:r>
        <w:rPr>
          <w:color w:val="231F20"/>
          <w:spacing w:val="-8"/>
        </w:rPr>
        <w:t> </w:t>
      </w:r>
      <w:r>
        <w:rPr>
          <w:color w:val="231F20"/>
        </w:rPr>
        <w:t>del</w:t>
      </w:r>
      <w:r>
        <w:rPr>
          <w:color w:val="231F20"/>
          <w:spacing w:val="-8"/>
        </w:rPr>
        <w:t> </w:t>
      </w:r>
      <w:r>
        <w:rPr>
          <w:color w:val="231F20"/>
        </w:rPr>
        <w:t>30</w:t>
      </w:r>
      <w:r>
        <w:rPr>
          <w:color w:val="231F20"/>
          <w:spacing w:val="-8"/>
        </w:rPr>
        <w:t> </w:t>
      </w:r>
      <w:r>
        <w:rPr>
          <w:color w:val="231F20"/>
        </w:rPr>
        <w:t>de</w:t>
      </w:r>
      <w:r>
        <w:rPr>
          <w:color w:val="231F20"/>
          <w:spacing w:val="-8"/>
        </w:rPr>
        <w:t> </w:t>
      </w:r>
      <w:r>
        <w:rPr>
          <w:color w:val="231F20"/>
        </w:rPr>
        <w:t>mayo</w:t>
      </w:r>
      <w:r>
        <w:rPr>
          <w:color w:val="231F20"/>
          <w:spacing w:val="-8"/>
        </w:rPr>
        <w:t> </w:t>
      </w:r>
      <w:r>
        <w:rPr>
          <w:color w:val="231F20"/>
        </w:rPr>
        <w:t>tienen</w:t>
      </w:r>
      <w:r>
        <w:rPr>
          <w:color w:val="231F20"/>
          <w:spacing w:val="-8"/>
        </w:rPr>
        <w:t> </w:t>
      </w:r>
      <w:r>
        <w:rPr>
          <w:color w:val="231F20"/>
        </w:rPr>
        <w:t>alto</w:t>
      </w:r>
      <w:r>
        <w:rPr>
          <w:color w:val="231F20"/>
          <w:spacing w:val="-8"/>
        </w:rPr>
        <w:t> </w:t>
      </w:r>
      <w:r>
        <w:rPr>
          <w:color w:val="231F20"/>
        </w:rPr>
        <w:t>riesgo</w:t>
      </w:r>
      <w:r>
        <w:rPr>
          <w:color w:val="231F20"/>
          <w:spacing w:val="-8"/>
        </w:rPr>
        <w:t> </w:t>
      </w:r>
      <w:r>
        <w:rPr>
          <w:color w:val="231F20"/>
        </w:rPr>
        <w:t>de</w:t>
      </w:r>
      <w:r>
        <w:rPr>
          <w:color w:val="231F20"/>
          <w:spacing w:val="-8"/>
        </w:rPr>
        <w:t> </w:t>
      </w:r>
      <w:r>
        <w:rPr>
          <w:color w:val="231F20"/>
        </w:rPr>
        <w:t>ocurrencia de heladas durante el desarrollo del cultivo.</w:t>
      </w:r>
    </w:p>
    <w:p>
      <w:pPr>
        <w:pStyle w:val="BodyText"/>
        <w:spacing w:before="8"/>
        <w:rPr>
          <w:sz w:val="22"/>
        </w:rPr>
      </w:pPr>
    </w:p>
    <w:p>
      <w:pPr>
        <w:pStyle w:val="Heading3"/>
      </w:pPr>
      <w:r>
        <w:rPr>
          <w:color w:val="010202"/>
        </w:rPr>
        <w:t>Literatura citada</w:t>
      </w:r>
    </w:p>
    <w:p>
      <w:pPr>
        <w:pStyle w:val="BodyText"/>
        <w:spacing w:before="7"/>
        <w:rPr>
          <w:b/>
        </w:rPr>
      </w:pPr>
    </w:p>
    <w:p>
      <w:pPr>
        <w:spacing w:line="249" w:lineRule="auto" w:before="0"/>
        <w:ind w:left="1270" w:right="1268" w:firstLine="0"/>
        <w:jc w:val="both"/>
        <w:rPr>
          <w:sz w:val="19"/>
        </w:rPr>
      </w:pPr>
      <w:r>
        <w:rPr>
          <w:color w:val="231F20"/>
          <w:sz w:val="19"/>
        </w:rPr>
        <w:t>Allen,</w:t>
      </w:r>
      <w:r>
        <w:rPr>
          <w:color w:val="231F20"/>
          <w:spacing w:val="-4"/>
          <w:sz w:val="19"/>
        </w:rPr>
        <w:t> </w:t>
      </w:r>
      <w:r>
        <w:rPr>
          <w:color w:val="231F20"/>
          <w:sz w:val="19"/>
        </w:rPr>
        <w:t>R.</w:t>
      </w:r>
      <w:r>
        <w:rPr>
          <w:color w:val="231F20"/>
          <w:spacing w:val="-3"/>
          <w:sz w:val="19"/>
        </w:rPr>
        <w:t> </w:t>
      </w:r>
      <w:r>
        <w:rPr>
          <w:color w:val="231F20"/>
          <w:sz w:val="19"/>
        </w:rPr>
        <w:t>G.;</w:t>
      </w:r>
      <w:r>
        <w:rPr>
          <w:color w:val="231F20"/>
          <w:spacing w:val="-3"/>
          <w:sz w:val="19"/>
        </w:rPr>
        <w:t> </w:t>
      </w:r>
      <w:r>
        <w:rPr>
          <w:color w:val="231F20"/>
          <w:sz w:val="19"/>
        </w:rPr>
        <w:t>Pereira,</w:t>
      </w:r>
      <w:r>
        <w:rPr>
          <w:color w:val="231F20"/>
          <w:spacing w:val="-4"/>
          <w:sz w:val="19"/>
        </w:rPr>
        <w:t> </w:t>
      </w:r>
      <w:r>
        <w:rPr>
          <w:color w:val="231F20"/>
          <w:sz w:val="19"/>
        </w:rPr>
        <w:t>L.S.;</w:t>
      </w:r>
      <w:r>
        <w:rPr>
          <w:color w:val="231F20"/>
          <w:spacing w:val="-3"/>
          <w:sz w:val="19"/>
        </w:rPr>
        <w:t> </w:t>
      </w:r>
      <w:r>
        <w:rPr>
          <w:color w:val="231F20"/>
          <w:sz w:val="19"/>
        </w:rPr>
        <w:t>Raes,</w:t>
      </w:r>
      <w:r>
        <w:rPr>
          <w:color w:val="231F20"/>
          <w:spacing w:val="-3"/>
          <w:sz w:val="19"/>
        </w:rPr>
        <w:t> </w:t>
      </w:r>
      <w:r>
        <w:rPr>
          <w:color w:val="231F20"/>
          <w:sz w:val="19"/>
        </w:rPr>
        <w:t>D.;</w:t>
      </w:r>
      <w:r>
        <w:rPr>
          <w:color w:val="231F20"/>
          <w:spacing w:val="-3"/>
          <w:sz w:val="19"/>
        </w:rPr>
        <w:t> </w:t>
      </w:r>
      <w:r>
        <w:rPr>
          <w:color w:val="231F20"/>
          <w:sz w:val="19"/>
        </w:rPr>
        <w:t>Smith,</w:t>
      </w:r>
      <w:r>
        <w:rPr>
          <w:color w:val="231F20"/>
          <w:spacing w:val="-4"/>
          <w:sz w:val="19"/>
        </w:rPr>
        <w:t> </w:t>
      </w:r>
      <w:r>
        <w:rPr>
          <w:color w:val="231F20"/>
          <w:sz w:val="19"/>
        </w:rPr>
        <w:t>M.</w:t>
      </w:r>
      <w:r>
        <w:rPr>
          <w:color w:val="231F20"/>
          <w:spacing w:val="-3"/>
          <w:sz w:val="19"/>
        </w:rPr>
        <w:t> </w:t>
      </w:r>
      <w:r>
        <w:rPr>
          <w:color w:val="231F20"/>
          <w:sz w:val="19"/>
        </w:rPr>
        <w:t>2006.</w:t>
      </w:r>
      <w:r>
        <w:rPr>
          <w:color w:val="231F20"/>
          <w:spacing w:val="-3"/>
          <w:sz w:val="19"/>
        </w:rPr>
        <w:t> </w:t>
      </w:r>
      <w:r>
        <w:rPr>
          <w:color w:val="231F20"/>
          <w:sz w:val="19"/>
        </w:rPr>
        <w:t>Evapotranspiración</w:t>
      </w:r>
      <w:r>
        <w:rPr>
          <w:color w:val="231F20"/>
          <w:spacing w:val="-4"/>
          <w:sz w:val="19"/>
        </w:rPr>
        <w:t> </w:t>
      </w:r>
      <w:r>
        <w:rPr>
          <w:color w:val="231F20"/>
          <w:sz w:val="19"/>
        </w:rPr>
        <w:t>del</w:t>
      </w:r>
      <w:r>
        <w:rPr>
          <w:color w:val="231F20"/>
          <w:spacing w:val="-4"/>
          <w:sz w:val="19"/>
        </w:rPr>
        <w:t> </w:t>
      </w:r>
      <w:r>
        <w:rPr>
          <w:color w:val="231F20"/>
          <w:sz w:val="19"/>
        </w:rPr>
        <w:t>cultivo.</w:t>
      </w:r>
      <w:r>
        <w:rPr>
          <w:color w:val="231F20"/>
          <w:spacing w:val="-4"/>
          <w:sz w:val="19"/>
        </w:rPr>
        <w:t> </w:t>
      </w:r>
      <w:r>
        <w:rPr>
          <w:color w:val="231F20"/>
          <w:sz w:val="19"/>
        </w:rPr>
        <w:t>Guías</w:t>
      </w:r>
      <w:r>
        <w:rPr>
          <w:color w:val="231F20"/>
          <w:spacing w:val="-3"/>
          <w:sz w:val="19"/>
        </w:rPr>
        <w:t> </w:t>
      </w:r>
      <w:r>
        <w:rPr>
          <w:color w:val="231F20"/>
          <w:sz w:val="19"/>
        </w:rPr>
        <w:t>para</w:t>
      </w:r>
      <w:r>
        <w:rPr>
          <w:color w:val="231F20"/>
          <w:spacing w:val="-4"/>
          <w:sz w:val="19"/>
        </w:rPr>
        <w:t> </w:t>
      </w:r>
      <w:r>
        <w:rPr>
          <w:color w:val="231F20"/>
          <w:sz w:val="19"/>
        </w:rPr>
        <w:t>la</w:t>
      </w:r>
      <w:r>
        <w:rPr>
          <w:color w:val="231F20"/>
          <w:spacing w:val="-4"/>
          <w:sz w:val="19"/>
        </w:rPr>
        <w:t> </w:t>
      </w:r>
      <w:r>
        <w:rPr>
          <w:color w:val="231F20"/>
          <w:sz w:val="19"/>
        </w:rPr>
        <w:t>determina- ción de los requerimientos de agua de los cultivos. Riego y drenaje. Manual. 56. </w:t>
      </w:r>
      <w:r>
        <w:rPr>
          <w:color w:val="231F20"/>
          <w:spacing w:val="-5"/>
          <w:sz w:val="19"/>
        </w:rPr>
        <w:t>FAO. </w:t>
      </w:r>
      <w:r>
        <w:rPr>
          <w:color w:val="231F20"/>
          <w:sz w:val="19"/>
        </w:rPr>
        <w:t>Roma. 298</w:t>
      </w:r>
      <w:r>
        <w:rPr>
          <w:color w:val="231F20"/>
          <w:spacing w:val="-3"/>
          <w:sz w:val="19"/>
        </w:rPr>
        <w:t> </w:t>
      </w:r>
      <w:r>
        <w:rPr>
          <w:color w:val="231F20"/>
          <w:sz w:val="19"/>
        </w:rPr>
        <w:t>p.</w:t>
      </w:r>
    </w:p>
    <w:p>
      <w:pPr>
        <w:pStyle w:val="BodyText"/>
        <w:spacing w:before="10"/>
        <w:rPr>
          <w:sz w:val="19"/>
        </w:rPr>
      </w:pPr>
    </w:p>
    <w:p>
      <w:pPr>
        <w:spacing w:line="249" w:lineRule="auto" w:before="0"/>
        <w:ind w:left="1270" w:right="1268" w:firstLine="0"/>
        <w:jc w:val="both"/>
        <w:rPr>
          <w:sz w:val="19"/>
        </w:rPr>
      </w:pPr>
      <w:r>
        <w:rPr>
          <w:color w:val="231F20"/>
          <w:sz w:val="19"/>
        </w:rPr>
        <w:t>Apáez, B. P., Escalante, E. J. A. and Rodríguez, G. M. T. 2011. Growth and yield of cowpea bean in relation with trellises types and climate. Tropical and Subtropical Agroecosystems, 13(3): 307-315.</w:t>
      </w:r>
    </w:p>
    <w:p>
      <w:pPr>
        <w:pStyle w:val="BodyText"/>
        <w:spacing w:before="10"/>
        <w:rPr>
          <w:sz w:val="19"/>
        </w:rPr>
      </w:pPr>
    </w:p>
    <w:p>
      <w:pPr>
        <w:spacing w:before="0"/>
        <w:ind w:left="1270" w:right="0" w:firstLine="0"/>
        <w:jc w:val="both"/>
        <w:rPr>
          <w:sz w:val="19"/>
        </w:rPr>
      </w:pPr>
      <w:r>
        <w:rPr>
          <w:color w:val="231F20"/>
          <w:sz w:val="19"/>
        </w:rPr>
        <w:t>Barrios, G. E. J., López, C. 2009. Temperatura base y tasa de extensión foliar en frijol. Agrociencias 43: 29-35.</w:t>
      </w:r>
    </w:p>
    <w:p>
      <w:pPr>
        <w:pStyle w:val="BodyText"/>
        <w:spacing w:before="7"/>
        <w:rPr>
          <w:sz w:val="20"/>
        </w:rPr>
      </w:pPr>
    </w:p>
    <w:p>
      <w:pPr>
        <w:spacing w:line="249" w:lineRule="auto" w:before="0"/>
        <w:ind w:left="1270" w:right="1268" w:firstLine="0"/>
        <w:jc w:val="both"/>
        <w:rPr>
          <w:sz w:val="19"/>
        </w:rPr>
      </w:pPr>
      <w:r>
        <w:rPr>
          <w:color w:val="231F20"/>
          <w:sz w:val="19"/>
        </w:rPr>
        <w:t>Castillo, J. M., Bourrillón, A. R., Jones R. </w:t>
      </w:r>
      <w:r>
        <w:rPr>
          <w:color w:val="231F20"/>
          <w:spacing w:val="-9"/>
          <w:sz w:val="19"/>
        </w:rPr>
        <w:t>W. </w:t>
      </w:r>
      <w:r>
        <w:rPr>
          <w:color w:val="231F20"/>
          <w:sz w:val="19"/>
        </w:rPr>
        <w:t>2009. </w:t>
      </w:r>
      <w:r>
        <w:rPr>
          <w:color w:val="231F20"/>
          <w:spacing w:val="-5"/>
          <w:sz w:val="19"/>
        </w:rPr>
        <w:t>Valor </w:t>
      </w:r>
      <w:r>
        <w:rPr>
          <w:color w:val="231F20"/>
          <w:sz w:val="19"/>
        </w:rPr>
        <w:t>nutricional del ensilaje de maíz cultivado en asocia- ción con vigna. Agronomía Costarricense 33: 133-146.</w:t>
      </w:r>
    </w:p>
    <w:p>
      <w:pPr>
        <w:pStyle w:val="BodyText"/>
        <w:spacing w:before="10"/>
        <w:rPr>
          <w:sz w:val="19"/>
        </w:rPr>
      </w:pPr>
    </w:p>
    <w:p>
      <w:pPr>
        <w:spacing w:line="249" w:lineRule="auto" w:before="0"/>
        <w:ind w:left="1270" w:right="1268" w:firstLine="0"/>
        <w:jc w:val="both"/>
        <w:rPr>
          <w:sz w:val="19"/>
        </w:rPr>
      </w:pPr>
      <w:r>
        <w:rPr>
          <w:color w:val="231F20"/>
          <w:sz w:val="19"/>
        </w:rPr>
        <w:t>Davis, </w:t>
      </w:r>
      <w:r>
        <w:rPr>
          <w:color w:val="231F20"/>
          <w:spacing w:val="-4"/>
          <w:sz w:val="19"/>
        </w:rPr>
        <w:t>D.W., </w:t>
      </w:r>
      <w:r>
        <w:rPr>
          <w:color w:val="231F20"/>
          <w:sz w:val="19"/>
        </w:rPr>
        <w:t>E.A. Oelke., E.A. Oplinger., J.D. Doll., </w:t>
      </w:r>
      <w:r>
        <w:rPr>
          <w:color w:val="231F20"/>
          <w:spacing w:val="-7"/>
          <w:sz w:val="19"/>
        </w:rPr>
        <w:t>C.V. </w:t>
      </w:r>
      <w:r>
        <w:rPr>
          <w:color w:val="231F20"/>
          <w:sz w:val="19"/>
        </w:rPr>
        <w:t>Hanson and D.H. Putman. 1991. Cowpea.</w:t>
      </w:r>
      <w:r>
        <w:rPr>
          <w:color w:val="231F20"/>
          <w:spacing w:val="-36"/>
          <w:sz w:val="19"/>
        </w:rPr>
        <w:t> </w:t>
      </w:r>
      <w:r>
        <w:rPr>
          <w:color w:val="231F20"/>
          <w:sz w:val="19"/>
        </w:rPr>
        <w:t>Alternati- ve Field Crops Manual. University of Wisconsin, Cooperative Extension, University of Minnesota: Center for Alternative</w:t>
      </w:r>
      <w:r>
        <w:rPr>
          <w:color w:val="231F20"/>
          <w:spacing w:val="-4"/>
          <w:sz w:val="19"/>
        </w:rPr>
        <w:t> </w:t>
      </w:r>
      <w:r>
        <w:rPr>
          <w:color w:val="231F20"/>
          <w:sz w:val="19"/>
        </w:rPr>
        <w:t>Plant</w:t>
      </w:r>
      <w:r>
        <w:rPr>
          <w:color w:val="231F20"/>
          <w:spacing w:val="-4"/>
          <w:sz w:val="19"/>
        </w:rPr>
        <w:t> </w:t>
      </w:r>
      <w:r>
        <w:rPr>
          <w:color w:val="231F20"/>
          <w:sz w:val="19"/>
        </w:rPr>
        <w:t>and</w:t>
      </w:r>
      <w:r>
        <w:rPr>
          <w:color w:val="231F20"/>
          <w:spacing w:val="-14"/>
          <w:sz w:val="19"/>
        </w:rPr>
        <w:t> </w:t>
      </w:r>
      <w:r>
        <w:rPr>
          <w:color w:val="231F20"/>
          <w:sz w:val="19"/>
        </w:rPr>
        <w:t>Animal</w:t>
      </w:r>
      <w:r>
        <w:rPr>
          <w:color w:val="231F20"/>
          <w:spacing w:val="-4"/>
          <w:sz w:val="19"/>
        </w:rPr>
        <w:t> </w:t>
      </w:r>
      <w:r>
        <w:rPr>
          <w:color w:val="231F20"/>
          <w:sz w:val="19"/>
        </w:rPr>
        <w:t>Products</w:t>
      </w:r>
      <w:r>
        <w:rPr>
          <w:color w:val="231F20"/>
          <w:spacing w:val="-4"/>
          <w:sz w:val="19"/>
        </w:rPr>
        <w:t> </w:t>
      </w:r>
      <w:r>
        <w:rPr>
          <w:color w:val="231F20"/>
          <w:sz w:val="19"/>
        </w:rPr>
        <w:t>and</w:t>
      </w:r>
      <w:r>
        <w:rPr>
          <w:color w:val="231F20"/>
          <w:spacing w:val="-5"/>
          <w:sz w:val="19"/>
        </w:rPr>
        <w:t> </w:t>
      </w:r>
      <w:r>
        <w:rPr>
          <w:color w:val="231F20"/>
          <w:sz w:val="19"/>
        </w:rPr>
        <w:t>the</w:t>
      </w:r>
      <w:r>
        <w:rPr>
          <w:color w:val="231F20"/>
          <w:spacing w:val="-5"/>
          <w:sz w:val="19"/>
        </w:rPr>
        <w:t> </w:t>
      </w:r>
      <w:r>
        <w:rPr>
          <w:color w:val="231F20"/>
          <w:sz w:val="19"/>
        </w:rPr>
        <w:t>Minnesota</w:t>
      </w:r>
      <w:r>
        <w:rPr>
          <w:color w:val="231F20"/>
          <w:spacing w:val="-4"/>
          <w:sz w:val="19"/>
        </w:rPr>
        <w:t> </w:t>
      </w:r>
      <w:r>
        <w:rPr>
          <w:color w:val="231F20"/>
          <w:sz w:val="19"/>
        </w:rPr>
        <w:t>Extension</w:t>
      </w:r>
      <w:r>
        <w:rPr>
          <w:color w:val="231F20"/>
          <w:spacing w:val="-5"/>
          <w:sz w:val="19"/>
        </w:rPr>
        <w:t> </w:t>
      </w:r>
      <w:r>
        <w:rPr>
          <w:color w:val="231F20"/>
          <w:sz w:val="19"/>
        </w:rPr>
        <w:t>Service.</w:t>
      </w:r>
      <w:r>
        <w:rPr>
          <w:color w:val="231F20"/>
          <w:spacing w:val="-4"/>
          <w:sz w:val="19"/>
        </w:rPr>
        <w:t> 11 </w:t>
      </w:r>
      <w:r>
        <w:rPr>
          <w:color w:val="231F20"/>
          <w:sz w:val="19"/>
        </w:rPr>
        <w:t>p.</w:t>
      </w:r>
    </w:p>
    <w:p>
      <w:pPr>
        <w:pStyle w:val="BodyText"/>
        <w:spacing w:before="10"/>
        <w:rPr>
          <w:sz w:val="19"/>
        </w:rPr>
      </w:pPr>
    </w:p>
    <w:p>
      <w:pPr>
        <w:spacing w:line="249" w:lineRule="auto" w:before="0"/>
        <w:ind w:left="1270" w:right="1267" w:firstLine="0"/>
        <w:jc w:val="both"/>
        <w:rPr>
          <w:sz w:val="19"/>
        </w:rPr>
      </w:pPr>
      <w:r>
        <w:rPr>
          <w:color w:val="231F20"/>
          <w:sz w:val="19"/>
        </w:rPr>
        <w:t>Escalante,</w:t>
      </w:r>
      <w:r>
        <w:rPr>
          <w:color w:val="231F20"/>
          <w:spacing w:val="-6"/>
          <w:sz w:val="19"/>
        </w:rPr>
        <w:t> </w:t>
      </w:r>
      <w:r>
        <w:rPr>
          <w:color w:val="231F20"/>
          <w:sz w:val="19"/>
        </w:rPr>
        <w:t>E.</w:t>
      </w:r>
      <w:r>
        <w:rPr>
          <w:color w:val="231F20"/>
          <w:spacing w:val="-5"/>
          <w:sz w:val="19"/>
        </w:rPr>
        <w:t> </w:t>
      </w:r>
      <w:r>
        <w:rPr>
          <w:color w:val="231F20"/>
          <w:sz w:val="19"/>
        </w:rPr>
        <w:t>J.</w:t>
      </w:r>
      <w:r>
        <w:rPr>
          <w:color w:val="231F20"/>
          <w:spacing w:val="-16"/>
          <w:sz w:val="19"/>
        </w:rPr>
        <w:t> </w:t>
      </w:r>
      <w:r>
        <w:rPr>
          <w:color w:val="231F20"/>
          <w:sz w:val="19"/>
        </w:rPr>
        <w:t>A.</w:t>
      </w:r>
      <w:r>
        <w:rPr>
          <w:color w:val="231F20"/>
          <w:spacing w:val="-5"/>
          <w:sz w:val="19"/>
        </w:rPr>
        <w:t> </w:t>
      </w:r>
      <w:r>
        <w:rPr>
          <w:color w:val="231F20"/>
          <w:sz w:val="19"/>
        </w:rPr>
        <w:t>y</w:t>
      </w:r>
      <w:r>
        <w:rPr>
          <w:color w:val="231F20"/>
          <w:spacing w:val="-5"/>
          <w:sz w:val="19"/>
        </w:rPr>
        <w:t> </w:t>
      </w:r>
      <w:r>
        <w:rPr>
          <w:color w:val="231F20"/>
          <w:sz w:val="19"/>
        </w:rPr>
        <w:t>J.</w:t>
      </w:r>
      <w:r>
        <w:rPr>
          <w:color w:val="231F20"/>
          <w:spacing w:val="-5"/>
          <w:sz w:val="19"/>
        </w:rPr>
        <w:t> </w:t>
      </w:r>
      <w:r>
        <w:rPr>
          <w:color w:val="231F20"/>
          <w:sz w:val="19"/>
        </w:rPr>
        <w:t>Kohashi,</w:t>
      </w:r>
      <w:r>
        <w:rPr>
          <w:color w:val="231F20"/>
          <w:spacing w:val="-5"/>
          <w:sz w:val="19"/>
        </w:rPr>
        <w:t> </w:t>
      </w:r>
      <w:r>
        <w:rPr>
          <w:color w:val="231F20"/>
          <w:sz w:val="19"/>
        </w:rPr>
        <w:t>S.</w:t>
      </w:r>
      <w:r>
        <w:rPr>
          <w:color w:val="231F20"/>
          <w:spacing w:val="-5"/>
          <w:sz w:val="19"/>
        </w:rPr>
        <w:t> </w:t>
      </w:r>
      <w:r>
        <w:rPr>
          <w:color w:val="231F20"/>
          <w:sz w:val="19"/>
        </w:rPr>
        <w:t>1993.</w:t>
      </w:r>
      <w:r>
        <w:rPr>
          <w:color w:val="231F20"/>
          <w:spacing w:val="-5"/>
          <w:sz w:val="19"/>
        </w:rPr>
        <w:t> </w:t>
      </w:r>
      <w:r>
        <w:rPr>
          <w:color w:val="231F20"/>
          <w:sz w:val="19"/>
        </w:rPr>
        <w:t>El</w:t>
      </w:r>
      <w:r>
        <w:rPr>
          <w:color w:val="231F20"/>
          <w:spacing w:val="-5"/>
          <w:sz w:val="19"/>
        </w:rPr>
        <w:t> </w:t>
      </w:r>
      <w:r>
        <w:rPr>
          <w:color w:val="231F20"/>
          <w:sz w:val="19"/>
        </w:rPr>
        <w:t>rendimiento</w:t>
      </w:r>
      <w:r>
        <w:rPr>
          <w:color w:val="231F20"/>
          <w:spacing w:val="-5"/>
          <w:sz w:val="19"/>
        </w:rPr>
        <w:t> </w:t>
      </w:r>
      <w:r>
        <w:rPr>
          <w:color w:val="231F20"/>
          <w:sz w:val="19"/>
        </w:rPr>
        <w:t>y</w:t>
      </w:r>
      <w:r>
        <w:rPr>
          <w:color w:val="231F20"/>
          <w:spacing w:val="-5"/>
          <w:sz w:val="19"/>
        </w:rPr>
        <w:t> </w:t>
      </w:r>
      <w:r>
        <w:rPr>
          <w:color w:val="231F20"/>
          <w:sz w:val="19"/>
        </w:rPr>
        <w:t>crecimiento</w:t>
      </w:r>
      <w:r>
        <w:rPr>
          <w:color w:val="231F20"/>
          <w:spacing w:val="-5"/>
          <w:sz w:val="19"/>
        </w:rPr>
        <w:t> </w:t>
      </w:r>
      <w:r>
        <w:rPr>
          <w:color w:val="231F20"/>
          <w:sz w:val="19"/>
        </w:rPr>
        <w:t>del</w:t>
      </w:r>
      <w:r>
        <w:rPr>
          <w:color w:val="231F20"/>
          <w:spacing w:val="-5"/>
          <w:sz w:val="19"/>
        </w:rPr>
        <w:t> </w:t>
      </w:r>
      <w:r>
        <w:rPr>
          <w:color w:val="231F20"/>
          <w:sz w:val="19"/>
        </w:rPr>
        <w:t>frijol.</w:t>
      </w:r>
      <w:r>
        <w:rPr>
          <w:color w:val="231F20"/>
          <w:spacing w:val="-5"/>
          <w:sz w:val="19"/>
        </w:rPr>
        <w:t> </w:t>
      </w:r>
      <w:r>
        <w:rPr>
          <w:color w:val="231F20"/>
          <w:sz w:val="19"/>
        </w:rPr>
        <w:t>Manual</w:t>
      </w:r>
      <w:r>
        <w:rPr>
          <w:color w:val="231F20"/>
          <w:spacing w:val="-5"/>
          <w:sz w:val="19"/>
        </w:rPr>
        <w:t> </w:t>
      </w:r>
      <w:r>
        <w:rPr>
          <w:color w:val="231F20"/>
          <w:sz w:val="19"/>
        </w:rPr>
        <w:t>para</w:t>
      </w:r>
      <w:r>
        <w:rPr>
          <w:color w:val="231F20"/>
          <w:spacing w:val="-5"/>
          <w:sz w:val="19"/>
        </w:rPr>
        <w:t> </w:t>
      </w:r>
      <w:r>
        <w:rPr>
          <w:color w:val="231F20"/>
          <w:sz w:val="19"/>
        </w:rPr>
        <w:t>la</w:t>
      </w:r>
      <w:r>
        <w:rPr>
          <w:color w:val="231F20"/>
          <w:spacing w:val="-5"/>
          <w:sz w:val="19"/>
        </w:rPr>
        <w:t> </w:t>
      </w:r>
      <w:r>
        <w:rPr>
          <w:color w:val="231F20"/>
          <w:sz w:val="19"/>
        </w:rPr>
        <w:t>toma</w:t>
      </w:r>
      <w:r>
        <w:rPr>
          <w:color w:val="231F20"/>
          <w:spacing w:val="-5"/>
          <w:sz w:val="19"/>
        </w:rPr>
        <w:t> </w:t>
      </w:r>
      <w:r>
        <w:rPr>
          <w:color w:val="231F20"/>
          <w:sz w:val="19"/>
        </w:rPr>
        <w:t>de</w:t>
      </w:r>
      <w:r>
        <w:rPr>
          <w:color w:val="231F20"/>
          <w:spacing w:val="-5"/>
          <w:sz w:val="19"/>
        </w:rPr>
        <w:t> </w:t>
      </w:r>
      <w:r>
        <w:rPr>
          <w:color w:val="231F20"/>
          <w:sz w:val="19"/>
        </w:rPr>
        <w:t>datos. Colegio de Postgraduados, Montecillo, Méx. 84</w:t>
      </w:r>
      <w:r>
        <w:rPr>
          <w:color w:val="231F20"/>
          <w:spacing w:val="-26"/>
          <w:sz w:val="19"/>
        </w:rPr>
        <w:t> </w:t>
      </w:r>
      <w:r>
        <w:rPr>
          <w:color w:val="231F20"/>
          <w:sz w:val="19"/>
        </w:rPr>
        <w:t>p.</w:t>
      </w:r>
    </w:p>
    <w:p>
      <w:pPr>
        <w:pStyle w:val="BodyText"/>
        <w:spacing w:before="10"/>
        <w:rPr>
          <w:sz w:val="19"/>
        </w:rPr>
      </w:pPr>
    </w:p>
    <w:p>
      <w:pPr>
        <w:spacing w:line="249" w:lineRule="auto" w:before="0"/>
        <w:ind w:left="1270" w:right="1265" w:firstLine="0"/>
        <w:jc w:val="both"/>
        <w:rPr>
          <w:sz w:val="19"/>
        </w:rPr>
      </w:pPr>
      <w:r>
        <w:rPr>
          <w:color w:val="231F20"/>
          <w:sz w:val="19"/>
        </w:rPr>
        <w:t>Escalante, E. J. A. 1995. Aprovechamiento del recurso agua en cultivos de secano. Agroproductividad 12: 28-32.</w:t>
      </w:r>
    </w:p>
    <w:p>
      <w:pPr>
        <w:pStyle w:val="BodyText"/>
        <w:spacing w:before="10"/>
        <w:rPr>
          <w:sz w:val="19"/>
        </w:rPr>
      </w:pPr>
    </w:p>
    <w:p>
      <w:pPr>
        <w:spacing w:before="0"/>
        <w:ind w:left="1270" w:right="0" w:firstLine="0"/>
        <w:jc w:val="both"/>
        <w:rPr>
          <w:sz w:val="19"/>
        </w:rPr>
      </w:pPr>
      <w:r>
        <w:rPr>
          <w:color w:val="231F20"/>
          <w:sz w:val="19"/>
        </w:rPr>
        <w:t>Esquivel, E. G., Acosta, G. J. A., Rosales, S. R., Pérez, H. P., Hernández, C. M., Navarrete, M. R.,  Muruaga,</w:t>
      </w:r>
    </w:p>
    <w:p>
      <w:pPr>
        <w:spacing w:line="249" w:lineRule="auto" w:before="9"/>
        <w:ind w:left="1270" w:right="1268" w:firstLine="0"/>
        <w:jc w:val="both"/>
        <w:rPr>
          <w:sz w:val="19"/>
        </w:rPr>
      </w:pPr>
      <w:r>
        <w:rPr>
          <w:color w:val="231F20"/>
          <w:sz w:val="19"/>
        </w:rPr>
        <w:t>M.</w:t>
      </w:r>
      <w:r>
        <w:rPr>
          <w:color w:val="231F20"/>
          <w:spacing w:val="-6"/>
          <w:sz w:val="19"/>
        </w:rPr>
        <w:t> </w:t>
      </w:r>
      <w:r>
        <w:rPr>
          <w:color w:val="231F20"/>
          <w:sz w:val="19"/>
        </w:rPr>
        <w:t>J.</w:t>
      </w:r>
      <w:r>
        <w:rPr>
          <w:color w:val="231F20"/>
          <w:spacing w:val="-6"/>
          <w:sz w:val="19"/>
        </w:rPr>
        <w:t> </w:t>
      </w:r>
      <w:r>
        <w:rPr>
          <w:color w:val="231F20"/>
          <w:sz w:val="19"/>
        </w:rPr>
        <w:t>S.</w:t>
      </w:r>
      <w:r>
        <w:rPr>
          <w:color w:val="231F20"/>
          <w:spacing w:val="-6"/>
          <w:sz w:val="19"/>
        </w:rPr>
        <w:t> </w:t>
      </w:r>
      <w:r>
        <w:rPr>
          <w:color w:val="231F20"/>
          <w:sz w:val="19"/>
        </w:rPr>
        <w:t>2006.</w:t>
      </w:r>
      <w:r>
        <w:rPr>
          <w:color w:val="231F20"/>
          <w:spacing w:val="-6"/>
          <w:sz w:val="19"/>
        </w:rPr>
        <w:t> </w:t>
      </w:r>
      <w:r>
        <w:rPr>
          <w:color w:val="231F20"/>
          <w:sz w:val="19"/>
        </w:rPr>
        <w:t>Productividad</w:t>
      </w:r>
      <w:r>
        <w:rPr>
          <w:color w:val="231F20"/>
          <w:spacing w:val="-6"/>
          <w:sz w:val="19"/>
        </w:rPr>
        <w:t> </w:t>
      </w:r>
      <w:r>
        <w:rPr>
          <w:color w:val="231F20"/>
          <w:sz w:val="19"/>
        </w:rPr>
        <w:t>y</w:t>
      </w:r>
      <w:r>
        <w:rPr>
          <w:color w:val="231F20"/>
          <w:spacing w:val="-6"/>
          <w:sz w:val="19"/>
        </w:rPr>
        <w:t> </w:t>
      </w:r>
      <w:r>
        <w:rPr>
          <w:color w:val="231F20"/>
          <w:sz w:val="19"/>
        </w:rPr>
        <w:t>adaptabilidad</w:t>
      </w:r>
      <w:r>
        <w:rPr>
          <w:color w:val="231F20"/>
          <w:spacing w:val="-6"/>
          <w:sz w:val="19"/>
        </w:rPr>
        <w:t> </w:t>
      </w:r>
      <w:r>
        <w:rPr>
          <w:color w:val="231F20"/>
          <w:sz w:val="19"/>
        </w:rPr>
        <w:t>del</w:t>
      </w:r>
      <w:r>
        <w:rPr>
          <w:color w:val="231F20"/>
          <w:spacing w:val="-6"/>
          <w:sz w:val="19"/>
        </w:rPr>
        <w:t> </w:t>
      </w:r>
      <w:r>
        <w:rPr>
          <w:color w:val="231F20"/>
          <w:sz w:val="19"/>
        </w:rPr>
        <w:t>frijol</w:t>
      </w:r>
      <w:r>
        <w:rPr>
          <w:color w:val="231F20"/>
          <w:spacing w:val="-6"/>
          <w:sz w:val="19"/>
        </w:rPr>
        <w:t> </w:t>
      </w:r>
      <w:r>
        <w:rPr>
          <w:color w:val="231F20"/>
          <w:sz w:val="19"/>
        </w:rPr>
        <w:t>ejotero</w:t>
      </w:r>
      <w:r>
        <w:rPr>
          <w:color w:val="231F20"/>
          <w:spacing w:val="-6"/>
          <w:sz w:val="19"/>
        </w:rPr>
        <w:t> </w:t>
      </w:r>
      <w:r>
        <w:rPr>
          <w:color w:val="231F20"/>
          <w:sz w:val="19"/>
        </w:rPr>
        <w:t>en</w:t>
      </w:r>
      <w:r>
        <w:rPr>
          <w:color w:val="231F20"/>
          <w:spacing w:val="-6"/>
          <w:sz w:val="19"/>
        </w:rPr>
        <w:t> </w:t>
      </w:r>
      <w:r>
        <w:rPr>
          <w:color w:val="231F20"/>
          <w:sz w:val="19"/>
        </w:rPr>
        <w:t>el</w:t>
      </w:r>
      <w:r>
        <w:rPr>
          <w:color w:val="231F20"/>
          <w:spacing w:val="-6"/>
          <w:sz w:val="19"/>
        </w:rPr>
        <w:t> </w:t>
      </w:r>
      <w:r>
        <w:rPr>
          <w:color w:val="231F20"/>
          <w:sz w:val="19"/>
        </w:rPr>
        <w:t>valle</w:t>
      </w:r>
      <w:r>
        <w:rPr>
          <w:color w:val="231F20"/>
          <w:spacing w:val="-6"/>
          <w:sz w:val="19"/>
        </w:rPr>
        <w:t> </w:t>
      </w:r>
      <w:r>
        <w:rPr>
          <w:color w:val="231F20"/>
          <w:sz w:val="19"/>
        </w:rPr>
        <w:t>de</w:t>
      </w:r>
      <w:r>
        <w:rPr>
          <w:color w:val="231F20"/>
          <w:spacing w:val="-6"/>
          <w:sz w:val="19"/>
        </w:rPr>
        <w:t> </w:t>
      </w:r>
      <w:r>
        <w:rPr>
          <w:color w:val="231F20"/>
          <w:sz w:val="19"/>
        </w:rPr>
        <w:t>México.</w:t>
      </w:r>
      <w:r>
        <w:rPr>
          <w:color w:val="231F20"/>
          <w:spacing w:val="-6"/>
          <w:sz w:val="19"/>
        </w:rPr>
        <w:t> </w:t>
      </w:r>
      <w:r>
        <w:rPr>
          <w:color w:val="231F20"/>
          <w:sz w:val="19"/>
        </w:rPr>
        <w:t>Revista</w:t>
      </w:r>
      <w:r>
        <w:rPr>
          <w:color w:val="231F20"/>
          <w:spacing w:val="-6"/>
          <w:sz w:val="19"/>
        </w:rPr>
        <w:t> </w:t>
      </w:r>
      <w:r>
        <w:rPr>
          <w:color w:val="231F20"/>
          <w:sz w:val="19"/>
        </w:rPr>
        <w:t>Serie</w:t>
      </w:r>
      <w:r>
        <w:rPr>
          <w:color w:val="231F20"/>
          <w:spacing w:val="-6"/>
          <w:sz w:val="19"/>
        </w:rPr>
        <w:t> </w:t>
      </w:r>
      <w:r>
        <w:rPr>
          <w:color w:val="231F20"/>
          <w:sz w:val="19"/>
        </w:rPr>
        <w:t>Horticultura 12:119-126.</w:t>
      </w:r>
    </w:p>
    <w:p>
      <w:pPr>
        <w:pStyle w:val="BodyText"/>
        <w:spacing w:before="10"/>
        <w:rPr>
          <w:sz w:val="19"/>
        </w:rPr>
      </w:pPr>
    </w:p>
    <w:p>
      <w:pPr>
        <w:spacing w:line="249" w:lineRule="auto" w:before="0"/>
        <w:ind w:left="1270" w:right="1268" w:firstLine="0"/>
        <w:jc w:val="both"/>
        <w:rPr>
          <w:sz w:val="19"/>
        </w:rPr>
      </w:pPr>
      <w:r>
        <w:rPr>
          <w:color w:val="231F20"/>
          <w:sz w:val="19"/>
        </w:rPr>
        <w:t>García,</w:t>
      </w:r>
      <w:r>
        <w:rPr>
          <w:color w:val="231F20"/>
          <w:spacing w:val="-11"/>
          <w:sz w:val="19"/>
        </w:rPr>
        <w:t> </w:t>
      </w:r>
      <w:r>
        <w:rPr>
          <w:color w:val="231F20"/>
          <w:sz w:val="19"/>
        </w:rPr>
        <w:t>E.</w:t>
      </w:r>
      <w:r>
        <w:rPr>
          <w:color w:val="231F20"/>
          <w:spacing w:val="-11"/>
          <w:sz w:val="19"/>
        </w:rPr>
        <w:t> </w:t>
      </w:r>
      <w:r>
        <w:rPr>
          <w:color w:val="231F20"/>
          <w:sz w:val="19"/>
        </w:rPr>
        <w:t>2005.</w:t>
      </w:r>
      <w:r>
        <w:rPr>
          <w:color w:val="231F20"/>
          <w:spacing w:val="-11"/>
          <w:sz w:val="19"/>
        </w:rPr>
        <w:t> </w:t>
      </w:r>
      <w:r>
        <w:rPr>
          <w:color w:val="231F20"/>
          <w:sz w:val="19"/>
        </w:rPr>
        <w:t>Modificación</w:t>
      </w:r>
      <w:r>
        <w:rPr>
          <w:color w:val="231F20"/>
          <w:spacing w:val="-11"/>
          <w:sz w:val="19"/>
        </w:rPr>
        <w:t> </w:t>
      </w:r>
      <w:r>
        <w:rPr>
          <w:color w:val="231F20"/>
          <w:sz w:val="19"/>
        </w:rPr>
        <w:t>al</w:t>
      </w:r>
      <w:r>
        <w:rPr>
          <w:color w:val="231F20"/>
          <w:spacing w:val="-11"/>
          <w:sz w:val="19"/>
        </w:rPr>
        <w:t> </w:t>
      </w:r>
      <w:r>
        <w:rPr>
          <w:color w:val="231F20"/>
          <w:sz w:val="19"/>
        </w:rPr>
        <w:t>sistema</w:t>
      </w:r>
      <w:r>
        <w:rPr>
          <w:color w:val="231F20"/>
          <w:spacing w:val="-11"/>
          <w:sz w:val="19"/>
        </w:rPr>
        <w:t> </w:t>
      </w:r>
      <w:r>
        <w:rPr>
          <w:color w:val="231F20"/>
          <w:sz w:val="19"/>
        </w:rPr>
        <w:t>de</w:t>
      </w:r>
      <w:r>
        <w:rPr>
          <w:color w:val="231F20"/>
          <w:spacing w:val="-11"/>
          <w:sz w:val="19"/>
        </w:rPr>
        <w:t> </w:t>
      </w:r>
      <w:r>
        <w:rPr>
          <w:color w:val="231F20"/>
          <w:sz w:val="19"/>
        </w:rPr>
        <w:t>clasificación</w:t>
      </w:r>
      <w:r>
        <w:rPr>
          <w:color w:val="231F20"/>
          <w:spacing w:val="-11"/>
          <w:sz w:val="19"/>
        </w:rPr>
        <w:t> </w:t>
      </w:r>
      <w:r>
        <w:rPr>
          <w:color w:val="231F20"/>
          <w:sz w:val="19"/>
        </w:rPr>
        <w:t>climática</w:t>
      </w:r>
      <w:r>
        <w:rPr>
          <w:color w:val="231F20"/>
          <w:spacing w:val="-11"/>
          <w:sz w:val="19"/>
        </w:rPr>
        <w:t> </w:t>
      </w:r>
      <w:r>
        <w:rPr>
          <w:color w:val="231F20"/>
          <w:sz w:val="19"/>
        </w:rPr>
        <w:t>de</w:t>
      </w:r>
      <w:r>
        <w:rPr>
          <w:color w:val="231F20"/>
          <w:spacing w:val="-11"/>
          <w:sz w:val="19"/>
        </w:rPr>
        <w:t> </w:t>
      </w:r>
      <w:r>
        <w:rPr>
          <w:color w:val="231F20"/>
          <w:sz w:val="19"/>
        </w:rPr>
        <w:t>Köppen.</w:t>
      </w:r>
      <w:r>
        <w:rPr>
          <w:color w:val="231F20"/>
          <w:spacing w:val="-10"/>
          <w:sz w:val="19"/>
        </w:rPr>
        <w:t> </w:t>
      </w:r>
      <w:r>
        <w:rPr>
          <w:color w:val="231F20"/>
          <w:sz w:val="19"/>
        </w:rPr>
        <w:t>4ª.</w:t>
      </w:r>
      <w:r>
        <w:rPr>
          <w:color w:val="231F20"/>
          <w:spacing w:val="-11"/>
          <w:sz w:val="19"/>
        </w:rPr>
        <w:t> </w:t>
      </w:r>
      <w:r>
        <w:rPr>
          <w:color w:val="231F20"/>
          <w:sz w:val="19"/>
        </w:rPr>
        <w:t>Edición.</w:t>
      </w:r>
      <w:r>
        <w:rPr>
          <w:color w:val="231F20"/>
          <w:spacing w:val="-11"/>
          <w:sz w:val="19"/>
        </w:rPr>
        <w:t> </w:t>
      </w:r>
      <w:r>
        <w:rPr>
          <w:color w:val="231F20"/>
          <w:sz w:val="19"/>
        </w:rPr>
        <w:t>Instituto</w:t>
      </w:r>
      <w:r>
        <w:rPr>
          <w:color w:val="231F20"/>
          <w:spacing w:val="-11"/>
          <w:sz w:val="19"/>
        </w:rPr>
        <w:t> </w:t>
      </w:r>
      <w:r>
        <w:rPr>
          <w:color w:val="231F20"/>
          <w:sz w:val="19"/>
        </w:rPr>
        <w:t>de</w:t>
      </w:r>
      <w:r>
        <w:rPr>
          <w:color w:val="231F20"/>
          <w:spacing w:val="-11"/>
          <w:sz w:val="19"/>
        </w:rPr>
        <w:t> </w:t>
      </w:r>
      <w:r>
        <w:rPr>
          <w:color w:val="231F20"/>
          <w:sz w:val="19"/>
        </w:rPr>
        <w:t>Geogra- fía. Universidad Autónoma de México. 217</w:t>
      </w:r>
      <w:r>
        <w:rPr>
          <w:color w:val="231F20"/>
          <w:spacing w:val="-33"/>
          <w:sz w:val="19"/>
        </w:rPr>
        <w:t> </w:t>
      </w:r>
      <w:r>
        <w:rPr>
          <w:color w:val="231F20"/>
          <w:sz w:val="19"/>
        </w:rPr>
        <w:t>p.</w:t>
      </w:r>
    </w:p>
    <w:p>
      <w:pPr>
        <w:pStyle w:val="BodyText"/>
        <w:spacing w:before="10"/>
        <w:rPr>
          <w:sz w:val="19"/>
        </w:rPr>
      </w:pPr>
    </w:p>
    <w:p>
      <w:pPr>
        <w:spacing w:before="0"/>
        <w:ind w:left="1270" w:right="0" w:firstLine="0"/>
        <w:jc w:val="both"/>
        <w:rPr>
          <w:sz w:val="19"/>
        </w:rPr>
      </w:pPr>
      <w:r>
        <w:rPr>
          <w:color w:val="231F20"/>
          <w:sz w:val="19"/>
        </w:rPr>
        <w:t>Kobata, T., Uemuki, N. 2004. High temperatures during the grain filling period no not reduce the potential grain</w:t>
      </w:r>
    </w:p>
    <w:p>
      <w:pPr>
        <w:spacing w:before="9"/>
        <w:ind w:left="1270" w:right="0" w:firstLine="0"/>
        <w:jc w:val="both"/>
        <w:rPr>
          <w:sz w:val="19"/>
        </w:rPr>
      </w:pPr>
      <w:r>
        <w:rPr>
          <w:color w:val="231F20"/>
          <w:sz w:val="19"/>
        </w:rPr>
        <w:t>dry meter increase of rice. Agronomy Journal 96:406-414.</w:t>
      </w:r>
    </w:p>
    <w:p>
      <w:pPr>
        <w:pStyle w:val="BodyText"/>
        <w:spacing w:before="7"/>
        <w:rPr>
          <w:sz w:val="20"/>
        </w:rPr>
      </w:pPr>
    </w:p>
    <w:p>
      <w:pPr>
        <w:spacing w:line="249" w:lineRule="auto" w:before="0"/>
        <w:ind w:left="1270" w:right="1268" w:firstLine="0"/>
        <w:jc w:val="both"/>
        <w:rPr>
          <w:sz w:val="19"/>
        </w:rPr>
      </w:pPr>
      <w:r>
        <w:rPr>
          <w:color w:val="231F20"/>
          <w:sz w:val="19"/>
        </w:rPr>
        <w:t>Kurubetta, D. K. 2006. Effect of time of sowing, spacing and seed rate on seed production potentiality and quality of fodder cowpea (Vigna unguiculata (L.) Walp). Thesis Master of Science. Department of agronomy Collage of Agriculture. University of Agricultural Science. 85 p.</w:t>
      </w:r>
    </w:p>
    <w:p>
      <w:pPr>
        <w:pStyle w:val="BodyText"/>
        <w:spacing w:before="10"/>
        <w:rPr>
          <w:sz w:val="19"/>
        </w:rPr>
      </w:pPr>
    </w:p>
    <w:p>
      <w:pPr>
        <w:spacing w:line="249" w:lineRule="auto" w:before="0"/>
        <w:ind w:left="1270" w:right="1268" w:firstLine="0"/>
        <w:jc w:val="both"/>
        <w:rPr>
          <w:sz w:val="19"/>
        </w:rPr>
      </w:pPr>
      <w:r>
        <w:rPr>
          <w:color w:val="231F20"/>
          <w:sz w:val="19"/>
        </w:rPr>
        <w:t>Oporta, E y Rivas, A. 2006. Efecto de la densidad poblacional y la época de siembra en el rendimiento y cali- dad</w:t>
      </w:r>
      <w:r>
        <w:rPr>
          <w:color w:val="231F20"/>
          <w:spacing w:val="-5"/>
          <w:sz w:val="19"/>
        </w:rPr>
        <w:t> </w:t>
      </w:r>
      <w:r>
        <w:rPr>
          <w:color w:val="231F20"/>
          <w:sz w:val="19"/>
        </w:rPr>
        <w:t>de</w:t>
      </w:r>
      <w:r>
        <w:rPr>
          <w:color w:val="231F20"/>
          <w:spacing w:val="-5"/>
          <w:sz w:val="19"/>
        </w:rPr>
        <w:t> </w:t>
      </w:r>
      <w:r>
        <w:rPr>
          <w:color w:val="231F20"/>
          <w:sz w:val="19"/>
        </w:rPr>
        <w:t>una</w:t>
      </w:r>
      <w:r>
        <w:rPr>
          <w:color w:val="231F20"/>
          <w:spacing w:val="-5"/>
          <w:sz w:val="19"/>
        </w:rPr>
        <w:t> </w:t>
      </w:r>
      <w:r>
        <w:rPr>
          <w:color w:val="231F20"/>
          <w:sz w:val="19"/>
        </w:rPr>
        <w:t>población</w:t>
      </w:r>
      <w:r>
        <w:rPr>
          <w:color w:val="231F20"/>
          <w:spacing w:val="-5"/>
          <w:sz w:val="19"/>
        </w:rPr>
        <w:t> </w:t>
      </w:r>
      <w:r>
        <w:rPr>
          <w:color w:val="231F20"/>
          <w:sz w:val="19"/>
        </w:rPr>
        <w:t>de</w:t>
      </w:r>
      <w:r>
        <w:rPr>
          <w:color w:val="231F20"/>
          <w:spacing w:val="-5"/>
          <w:sz w:val="19"/>
        </w:rPr>
        <w:t> </w:t>
      </w:r>
      <w:r>
        <w:rPr>
          <w:color w:val="231F20"/>
          <w:sz w:val="19"/>
        </w:rPr>
        <w:t>caupí</w:t>
      </w:r>
      <w:r>
        <w:rPr>
          <w:color w:val="231F20"/>
          <w:spacing w:val="-5"/>
          <w:sz w:val="19"/>
        </w:rPr>
        <w:t> </w:t>
      </w:r>
      <w:r>
        <w:rPr>
          <w:color w:val="231F20"/>
          <w:sz w:val="19"/>
        </w:rPr>
        <w:t>rojo</w:t>
      </w:r>
      <w:r>
        <w:rPr>
          <w:color w:val="231F20"/>
          <w:spacing w:val="-5"/>
          <w:sz w:val="19"/>
        </w:rPr>
        <w:t> </w:t>
      </w:r>
      <w:r>
        <w:rPr>
          <w:color w:val="231F20"/>
          <w:sz w:val="19"/>
        </w:rPr>
        <w:t>(Vigna</w:t>
      </w:r>
      <w:r>
        <w:rPr>
          <w:color w:val="231F20"/>
          <w:spacing w:val="-5"/>
          <w:sz w:val="19"/>
        </w:rPr>
        <w:t> </w:t>
      </w:r>
      <w:r>
        <w:rPr>
          <w:color w:val="231F20"/>
          <w:sz w:val="19"/>
        </w:rPr>
        <w:t>unguiculata</w:t>
      </w:r>
      <w:r>
        <w:rPr>
          <w:color w:val="231F20"/>
          <w:spacing w:val="-5"/>
          <w:sz w:val="19"/>
        </w:rPr>
        <w:t> </w:t>
      </w:r>
      <w:r>
        <w:rPr>
          <w:color w:val="231F20"/>
          <w:sz w:val="19"/>
        </w:rPr>
        <w:t>L.</w:t>
      </w:r>
      <w:r>
        <w:rPr>
          <w:color w:val="231F20"/>
          <w:spacing w:val="-8"/>
          <w:sz w:val="19"/>
        </w:rPr>
        <w:t> </w:t>
      </w:r>
      <w:r>
        <w:rPr>
          <w:color w:val="231F20"/>
          <w:sz w:val="19"/>
        </w:rPr>
        <w:t>Walpers)</w:t>
      </w:r>
      <w:r>
        <w:rPr>
          <w:color w:val="231F20"/>
          <w:spacing w:val="-5"/>
          <w:sz w:val="19"/>
        </w:rPr>
        <w:t> </w:t>
      </w:r>
      <w:r>
        <w:rPr>
          <w:color w:val="231F20"/>
          <w:sz w:val="19"/>
        </w:rPr>
        <w:t>en</w:t>
      </w:r>
      <w:r>
        <w:rPr>
          <w:color w:val="231F20"/>
          <w:spacing w:val="-5"/>
          <w:sz w:val="19"/>
        </w:rPr>
        <w:t> </w:t>
      </w:r>
      <w:r>
        <w:rPr>
          <w:color w:val="231F20"/>
          <w:sz w:val="19"/>
        </w:rPr>
        <w:t>la</w:t>
      </w:r>
      <w:r>
        <w:rPr>
          <w:color w:val="231F20"/>
          <w:spacing w:val="-5"/>
          <w:sz w:val="19"/>
        </w:rPr>
        <w:t> </w:t>
      </w:r>
      <w:r>
        <w:rPr>
          <w:color w:val="231F20"/>
          <w:sz w:val="19"/>
        </w:rPr>
        <w:t>finca</w:t>
      </w:r>
      <w:r>
        <w:rPr>
          <w:color w:val="231F20"/>
          <w:spacing w:val="-5"/>
          <w:sz w:val="19"/>
        </w:rPr>
        <w:t> </w:t>
      </w:r>
      <w:r>
        <w:rPr>
          <w:color w:val="231F20"/>
          <w:sz w:val="19"/>
        </w:rPr>
        <w:t>el</w:t>
      </w:r>
      <w:r>
        <w:rPr>
          <w:color w:val="231F20"/>
          <w:spacing w:val="-5"/>
          <w:sz w:val="19"/>
        </w:rPr>
        <w:t> </w:t>
      </w:r>
      <w:r>
        <w:rPr>
          <w:color w:val="231F20"/>
          <w:sz w:val="19"/>
        </w:rPr>
        <w:t>plantel.</w:t>
      </w:r>
      <w:r>
        <w:rPr>
          <w:color w:val="231F20"/>
          <w:spacing w:val="-8"/>
          <w:sz w:val="19"/>
        </w:rPr>
        <w:t> </w:t>
      </w:r>
      <w:r>
        <w:rPr>
          <w:color w:val="231F20"/>
          <w:spacing w:val="-3"/>
          <w:sz w:val="19"/>
        </w:rPr>
        <w:t>Tesis.</w:t>
      </w:r>
      <w:r>
        <w:rPr>
          <w:color w:val="231F20"/>
          <w:spacing w:val="-5"/>
          <w:sz w:val="19"/>
        </w:rPr>
        <w:t> </w:t>
      </w:r>
      <w:r>
        <w:rPr>
          <w:color w:val="231F20"/>
          <w:sz w:val="19"/>
        </w:rPr>
        <w:t>Ing.</w:t>
      </w:r>
      <w:r>
        <w:rPr>
          <w:color w:val="231F20"/>
          <w:spacing w:val="-15"/>
          <w:sz w:val="19"/>
        </w:rPr>
        <w:t> </w:t>
      </w:r>
      <w:r>
        <w:rPr>
          <w:color w:val="231F20"/>
          <w:spacing w:val="-3"/>
          <w:sz w:val="19"/>
        </w:rPr>
        <w:t>Agr.</w:t>
      </w:r>
      <w:r>
        <w:rPr>
          <w:color w:val="231F20"/>
          <w:spacing w:val="-5"/>
          <w:sz w:val="19"/>
        </w:rPr>
        <w:t> </w:t>
      </w:r>
      <w:r>
        <w:rPr>
          <w:color w:val="231F20"/>
          <w:sz w:val="19"/>
        </w:rPr>
        <w:t>UNA. Managua, Nicaragua. 45</w:t>
      </w:r>
      <w:r>
        <w:rPr>
          <w:color w:val="231F20"/>
          <w:spacing w:val="-16"/>
          <w:sz w:val="19"/>
        </w:rPr>
        <w:t> </w:t>
      </w:r>
      <w:r>
        <w:rPr>
          <w:color w:val="231F20"/>
          <w:sz w:val="19"/>
        </w:rPr>
        <w:t>p.</w:t>
      </w:r>
    </w:p>
    <w:p>
      <w:pPr>
        <w:spacing w:after="0" w:line="249" w:lineRule="auto"/>
        <w:jc w:val="both"/>
        <w:rPr>
          <w:sz w:val="19"/>
        </w:rPr>
        <w:sectPr>
          <w:pgSz w:w="10920" w:h="13080"/>
          <w:pgMar w:header="0" w:footer="965" w:top="420" w:bottom="1220" w:left="0" w:right="0"/>
        </w:sectPr>
      </w:pPr>
    </w:p>
    <w:p>
      <w:pPr>
        <w:pStyle w:val="BodyText"/>
        <w:rPr>
          <w:sz w:val="20"/>
        </w:rPr>
      </w:pPr>
    </w:p>
    <w:p>
      <w:pPr>
        <w:pStyle w:val="BodyText"/>
        <w:rPr>
          <w:sz w:val="20"/>
        </w:rPr>
      </w:pPr>
    </w:p>
    <w:p>
      <w:pPr>
        <w:pStyle w:val="BodyText"/>
        <w:spacing w:before="2"/>
        <w:rPr>
          <w:sz w:val="23"/>
        </w:rPr>
      </w:pPr>
    </w:p>
    <w:p>
      <w:pPr>
        <w:spacing w:line="249" w:lineRule="auto" w:before="76"/>
        <w:ind w:left="1270" w:right="1181" w:firstLine="0"/>
        <w:jc w:val="left"/>
        <w:rPr>
          <w:sz w:val="19"/>
        </w:rPr>
      </w:pPr>
      <w:r>
        <w:rPr>
          <w:color w:val="231F20"/>
          <w:sz w:val="19"/>
        </w:rPr>
        <w:t>Salinas, R. N., Escalante E. J. A., Rodríguez, G. M. T., Sosa M. E. 2008. Rendimiento y calidad nutrimental de frijol ejotero (Phaseolus vulgaris L.) en fechas de siembra. Revista Fitotecnia Mexicana 31(3): 235-241.</w:t>
      </w:r>
    </w:p>
    <w:p>
      <w:pPr>
        <w:pStyle w:val="BodyText"/>
        <w:spacing w:before="10"/>
        <w:rPr>
          <w:sz w:val="19"/>
        </w:rPr>
      </w:pPr>
    </w:p>
    <w:p>
      <w:pPr>
        <w:spacing w:line="249" w:lineRule="auto" w:before="0"/>
        <w:ind w:left="1270" w:right="1279" w:firstLine="0"/>
        <w:jc w:val="left"/>
        <w:rPr>
          <w:sz w:val="19"/>
        </w:rPr>
      </w:pPr>
      <w:r>
        <w:rPr>
          <w:color w:val="231F20"/>
          <w:sz w:val="19"/>
        </w:rPr>
        <w:t>Shehu, Y., Alhassan, W. S., Pal, U. R., Phillps, C. J. C. 2001. The effects of sowing date on the growth and nutritive value of Lablab perpureus. Journal of Agronomy and Crop Science, 186: 21-29.</w:t>
      </w:r>
    </w:p>
    <w:p>
      <w:pPr>
        <w:pStyle w:val="BodyText"/>
        <w:spacing w:before="10"/>
        <w:rPr>
          <w:sz w:val="19"/>
        </w:rPr>
      </w:pPr>
    </w:p>
    <w:p>
      <w:pPr>
        <w:spacing w:before="0"/>
        <w:ind w:left="1270" w:right="1279" w:firstLine="0"/>
        <w:jc w:val="left"/>
        <w:rPr>
          <w:sz w:val="19"/>
        </w:rPr>
      </w:pPr>
      <w:r>
        <w:rPr>
          <w:color w:val="231F20"/>
          <w:sz w:val="19"/>
        </w:rPr>
        <w:t>Snyder, R. L. 1985. Hand calculating degree days. Agri. For. Meteorol. 35: 353-358.</w:t>
      </w:r>
    </w:p>
    <w:p>
      <w:pPr>
        <w:pStyle w:val="BodyText"/>
        <w:spacing w:before="7"/>
        <w:rPr>
          <w:sz w:val="20"/>
        </w:rPr>
      </w:pPr>
    </w:p>
    <w:p>
      <w:pPr>
        <w:spacing w:line="249" w:lineRule="auto" w:before="0"/>
        <w:ind w:left="1270" w:right="1176" w:firstLine="0"/>
        <w:jc w:val="left"/>
        <w:rPr>
          <w:sz w:val="19"/>
        </w:rPr>
      </w:pPr>
      <w:r>
        <w:rPr>
          <w:color w:val="231F20"/>
          <w:sz w:val="19"/>
        </w:rPr>
        <w:t>Volante, J. N., García, M. A. S., Paoli, H. P., Fili, J. M., Bianchi, A. R., Garkus, C. 2004. Evaluación de daños por heladas en el cultivo deporoto en Salta y Juguy. EEA Salta. Salta AR. 15 p.</w:t>
      </w:r>
    </w:p>
    <w:p>
      <w:pPr>
        <w:pStyle w:val="BodyText"/>
        <w:spacing w:before="10"/>
        <w:rPr>
          <w:sz w:val="19"/>
        </w:rPr>
      </w:pPr>
    </w:p>
    <w:p>
      <w:pPr>
        <w:spacing w:line="273" w:lineRule="auto" w:before="0"/>
        <w:ind w:left="1270" w:right="1267" w:firstLine="0"/>
        <w:jc w:val="left"/>
        <w:rPr>
          <w:sz w:val="19"/>
        </w:rPr>
      </w:pPr>
      <w:r>
        <w:rPr>
          <w:color w:val="231F20"/>
          <w:sz w:val="19"/>
        </w:rPr>
        <w:t>Yadav, G. L., 2003, Effect of sowing time, row spacing and seed rate on yield of cowpea under rainfed condi- tion. Indian Journal of Pulses Research, 16(2): 157-158.</w:t>
      </w:r>
    </w:p>
    <w:p>
      <w:pPr>
        <w:spacing w:after="0" w:line="273" w:lineRule="auto"/>
        <w:jc w:val="left"/>
        <w:rPr>
          <w:sz w:val="19"/>
        </w:rPr>
        <w:sectPr>
          <w:pgSz w:w="10920" w:h="13080"/>
          <w:pgMar w:header="0" w:footer="965" w:top="420" w:bottom="1220" w:left="0" w:right="0"/>
        </w:sectPr>
      </w:pPr>
    </w:p>
    <w:p>
      <w:pPr>
        <w:pStyle w:val="BodyText"/>
        <w:rPr>
          <w:sz w:val="20"/>
        </w:rPr>
      </w:pPr>
    </w:p>
    <w:p>
      <w:pPr>
        <w:pStyle w:val="BodyText"/>
        <w:rPr>
          <w:sz w:val="20"/>
        </w:rPr>
      </w:pPr>
    </w:p>
    <w:p>
      <w:pPr>
        <w:pStyle w:val="BodyText"/>
        <w:spacing w:before="6"/>
        <w:rPr>
          <w:sz w:val="23"/>
        </w:rPr>
      </w:pPr>
    </w:p>
    <w:p>
      <w:pPr>
        <w:spacing w:before="69"/>
        <w:ind w:left="1489" w:right="1489" w:firstLine="0"/>
        <w:jc w:val="center"/>
        <w:rPr>
          <w:rFonts w:ascii="Trebuchet MS" w:hAnsi="Trebuchet MS"/>
          <w:i/>
          <w:sz w:val="24"/>
        </w:rPr>
      </w:pPr>
      <w:r>
        <w:rPr>
          <w:rFonts w:ascii="Trebuchet MS" w:hAnsi="Trebuchet MS"/>
          <w:i/>
          <w:color w:val="010202"/>
          <w:sz w:val="24"/>
        </w:rPr>
        <w:t>Miguel Ángel Sánchez Hernández</w:t>
      </w:r>
      <w:r>
        <w:rPr>
          <w:rFonts w:ascii="Trebuchet MS" w:hAnsi="Trebuchet MS"/>
          <w:i/>
          <w:color w:val="010202"/>
          <w:position w:val="8"/>
          <w:sz w:val="14"/>
        </w:rPr>
        <w:t>1¶</w:t>
      </w:r>
      <w:r>
        <w:rPr>
          <w:rFonts w:ascii="Trebuchet MS" w:hAnsi="Trebuchet MS"/>
          <w:i/>
          <w:color w:val="010202"/>
          <w:sz w:val="24"/>
        </w:rPr>
        <w:t>; Cecilio Ubaldo Aguilar Martínez</w:t>
      </w:r>
      <w:r>
        <w:rPr>
          <w:rFonts w:ascii="Trebuchet MS" w:hAnsi="Trebuchet MS"/>
          <w:i/>
          <w:color w:val="010202"/>
          <w:position w:val="8"/>
          <w:sz w:val="14"/>
        </w:rPr>
        <w:t>1</w:t>
      </w:r>
      <w:r>
        <w:rPr>
          <w:rFonts w:ascii="Trebuchet MS" w:hAnsi="Trebuchet MS"/>
          <w:i/>
          <w:color w:val="010202"/>
          <w:sz w:val="24"/>
        </w:rPr>
        <w:t>;</w:t>
      </w:r>
    </w:p>
    <w:p>
      <w:pPr>
        <w:spacing w:line="247" w:lineRule="auto" w:before="9"/>
        <w:ind w:left="2423" w:right="2421" w:firstLine="0"/>
        <w:jc w:val="center"/>
        <w:rPr>
          <w:rFonts w:ascii="Trebuchet MS" w:hAnsi="Trebuchet MS"/>
          <w:i/>
          <w:sz w:val="14"/>
        </w:rPr>
      </w:pPr>
      <w:r>
        <w:rPr>
          <w:rFonts w:ascii="Trebuchet MS" w:hAnsi="Trebuchet MS"/>
          <w:i/>
          <w:color w:val="010202"/>
          <w:sz w:val="24"/>
        </w:rPr>
        <w:t>César Sánchez Hernández</w:t>
      </w:r>
      <w:r>
        <w:rPr>
          <w:rFonts w:ascii="Trebuchet MS" w:hAnsi="Trebuchet MS"/>
          <w:i/>
          <w:color w:val="010202"/>
          <w:position w:val="8"/>
          <w:sz w:val="14"/>
        </w:rPr>
        <w:t>2</w:t>
      </w:r>
      <w:r>
        <w:rPr>
          <w:rFonts w:ascii="Trebuchet MS" w:hAnsi="Trebuchet MS"/>
          <w:i/>
          <w:color w:val="010202"/>
          <w:sz w:val="24"/>
        </w:rPr>
        <w:t>; Nicolás Valenzuela Jiménez</w:t>
      </w:r>
      <w:r>
        <w:rPr>
          <w:rFonts w:ascii="Trebuchet MS" w:hAnsi="Trebuchet MS"/>
          <w:i/>
          <w:color w:val="010202"/>
          <w:position w:val="8"/>
          <w:sz w:val="14"/>
        </w:rPr>
        <w:t>1 </w:t>
      </w:r>
      <w:r>
        <w:rPr>
          <w:rFonts w:ascii="Trebuchet MS" w:hAnsi="Trebuchet MS"/>
          <w:i/>
          <w:color w:val="010202"/>
          <w:sz w:val="24"/>
        </w:rPr>
        <w:t>y Bertín Maurilio Joaquín Torres</w:t>
      </w:r>
      <w:r>
        <w:rPr>
          <w:rFonts w:ascii="Trebuchet MS" w:hAnsi="Trebuchet MS"/>
          <w:i/>
          <w:color w:val="010202"/>
          <w:position w:val="8"/>
          <w:sz w:val="14"/>
        </w:rPr>
        <w:t>1</w:t>
      </w: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rPr>
          <w:rFonts w:ascii="Trebuchet MS"/>
          <w:i/>
          <w:sz w:val="24"/>
        </w:rPr>
      </w:pPr>
    </w:p>
    <w:p>
      <w:pPr>
        <w:spacing w:before="213"/>
        <w:ind w:left="1489" w:right="1489" w:firstLine="0"/>
        <w:jc w:val="center"/>
        <w:rPr>
          <w:rFonts w:ascii="Trebuchet MS"/>
          <w:b/>
          <w:sz w:val="36"/>
        </w:rPr>
      </w:pPr>
      <w:r>
        <w:rPr>
          <w:rFonts w:ascii="Trebuchet MS"/>
          <w:b/>
          <w:color w:val="010202"/>
          <w:sz w:val="36"/>
        </w:rPr>
        <w:t>COMPONENTES DE RENDIMIENTO</w:t>
      </w:r>
    </w:p>
    <w:p>
      <w:pPr>
        <w:spacing w:line="247" w:lineRule="auto" w:before="14"/>
        <w:ind w:left="1489" w:right="1489" w:firstLine="0"/>
        <w:jc w:val="center"/>
        <w:rPr>
          <w:rFonts w:ascii="Trebuchet MS" w:hAnsi="Trebuchet MS"/>
          <w:b/>
          <w:sz w:val="36"/>
        </w:rPr>
      </w:pPr>
      <w:r>
        <w:rPr>
          <w:rFonts w:ascii="Trebuchet MS" w:hAnsi="Trebuchet MS"/>
          <w:b/>
          <w:color w:val="010202"/>
          <w:sz w:val="36"/>
        </w:rPr>
        <w:t>DE SORGO PRODUCIDO EN LOMA BONITA, OAXACA, MÉXICO</w:t>
      </w:r>
    </w:p>
    <w:p>
      <w:pPr>
        <w:pStyle w:val="BodyText"/>
        <w:rPr>
          <w:rFonts w:ascii="Trebuchet MS"/>
          <w:b/>
          <w:sz w:val="36"/>
        </w:rPr>
      </w:pPr>
    </w:p>
    <w:p>
      <w:pPr>
        <w:pStyle w:val="BodyText"/>
        <w:spacing w:before="5"/>
        <w:rPr>
          <w:rFonts w:ascii="Trebuchet MS"/>
          <w:b/>
          <w:sz w:val="52"/>
        </w:rPr>
      </w:pPr>
    </w:p>
    <w:p>
      <w:pPr>
        <w:spacing w:before="0"/>
        <w:ind w:left="1270" w:right="0" w:firstLine="0"/>
        <w:jc w:val="both"/>
        <w:rPr>
          <w:b/>
          <w:sz w:val="24"/>
        </w:rPr>
      </w:pPr>
      <w:r>
        <w:rPr>
          <w:b/>
          <w:color w:val="010202"/>
          <w:sz w:val="24"/>
        </w:rPr>
        <w:t>Introducción</w:t>
      </w:r>
    </w:p>
    <w:p>
      <w:pPr>
        <w:pStyle w:val="BodyText"/>
        <w:spacing w:before="10"/>
        <w:rPr>
          <w:b/>
        </w:rPr>
      </w:pPr>
    </w:p>
    <w:p>
      <w:pPr>
        <w:pStyle w:val="BodyText"/>
        <w:spacing w:line="249" w:lineRule="auto"/>
        <w:ind w:left="1270" w:right="1267"/>
        <w:jc w:val="both"/>
      </w:pPr>
      <w:r>
        <w:rPr>
          <w:color w:val="231F20"/>
        </w:rPr>
        <w:t>El sorgo Sorghum bicolor L. Moench es el quinto cereal en importancia en el mundo, después del maíz, arroz, trigo y cebada </w:t>
      </w:r>
      <w:r>
        <w:rPr>
          <w:color w:val="231F20"/>
          <w:spacing w:val="-4"/>
        </w:rPr>
        <w:t>(FAO, </w:t>
      </w:r>
      <w:r>
        <w:rPr>
          <w:color w:val="231F20"/>
        </w:rPr>
        <w:t>2011). El 48% de la producción mundial de sorgo se destina a consumo</w:t>
      </w:r>
      <w:r>
        <w:rPr>
          <w:color w:val="231F20"/>
          <w:spacing w:val="-4"/>
        </w:rPr>
        <w:t> </w:t>
      </w:r>
      <w:r>
        <w:rPr>
          <w:color w:val="231F20"/>
        </w:rPr>
        <w:t>animal</w:t>
      </w:r>
      <w:r>
        <w:rPr>
          <w:color w:val="231F20"/>
          <w:spacing w:val="-4"/>
        </w:rPr>
        <w:t> </w:t>
      </w:r>
      <w:r>
        <w:rPr>
          <w:color w:val="231F20"/>
        </w:rPr>
        <w:t>en</w:t>
      </w:r>
      <w:r>
        <w:rPr>
          <w:color w:val="231F20"/>
          <w:spacing w:val="-4"/>
        </w:rPr>
        <w:t> </w:t>
      </w:r>
      <w:r>
        <w:rPr>
          <w:color w:val="231F20"/>
        </w:rPr>
        <w:t>forma</w:t>
      </w:r>
      <w:r>
        <w:rPr>
          <w:color w:val="231F20"/>
          <w:spacing w:val="-3"/>
        </w:rPr>
        <w:t> </w:t>
      </w:r>
      <w:r>
        <w:rPr>
          <w:color w:val="231F20"/>
        </w:rPr>
        <w:t>de</w:t>
      </w:r>
      <w:r>
        <w:rPr>
          <w:color w:val="231F20"/>
          <w:spacing w:val="-3"/>
        </w:rPr>
        <w:t> </w:t>
      </w:r>
      <w:r>
        <w:rPr>
          <w:color w:val="231F20"/>
        </w:rPr>
        <w:t>grano</w:t>
      </w:r>
      <w:r>
        <w:rPr>
          <w:color w:val="231F20"/>
          <w:spacing w:val="-3"/>
        </w:rPr>
        <w:t> </w:t>
      </w:r>
      <w:r>
        <w:rPr>
          <w:color w:val="231F20"/>
        </w:rPr>
        <w:t>o</w:t>
      </w:r>
      <w:r>
        <w:rPr>
          <w:color w:val="231F20"/>
          <w:spacing w:val="-3"/>
        </w:rPr>
        <w:t> </w:t>
      </w:r>
      <w:r>
        <w:rPr>
          <w:color w:val="231F20"/>
        </w:rPr>
        <w:t>forraje,</w:t>
      </w:r>
      <w:r>
        <w:rPr>
          <w:color w:val="231F20"/>
          <w:spacing w:val="-3"/>
        </w:rPr>
        <w:t> </w:t>
      </w:r>
      <w:r>
        <w:rPr>
          <w:color w:val="231F20"/>
        </w:rPr>
        <w:t>y</w:t>
      </w:r>
      <w:r>
        <w:rPr>
          <w:color w:val="231F20"/>
          <w:spacing w:val="-3"/>
        </w:rPr>
        <w:t> </w:t>
      </w:r>
      <w:r>
        <w:rPr>
          <w:color w:val="231F20"/>
        </w:rPr>
        <w:t>solo</w:t>
      </w:r>
      <w:r>
        <w:rPr>
          <w:color w:val="231F20"/>
          <w:spacing w:val="-3"/>
        </w:rPr>
        <w:t> </w:t>
      </w:r>
      <w:r>
        <w:rPr>
          <w:color w:val="231F20"/>
        </w:rPr>
        <w:t>un</w:t>
      </w:r>
      <w:r>
        <w:rPr>
          <w:color w:val="231F20"/>
          <w:spacing w:val="-3"/>
        </w:rPr>
        <w:t> </w:t>
      </w:r>
      <w:r>
        <w:rPr>
          <w:color w:val="231F20"/>
        </w:rPr>
        <w:t>42%</w:t>
      </w:r>
      <w:r>
        <w:rPr>
          <w:color w:val="231F20"/>
          <w:spacing w:val="-3"/>
        </w:rPr>
        <w:t> </w:t>
      </w:r>
      <w:r>
        <w:rPr>
          <w:color w:val="231F20"/>
        </w:rPr>
        <w:t>se</w:t>
      </w:r>
      <w:r>
        <w:rPr>
          <w:color w:val="231F20"/>
          <w:spacing w:val="-3"/>
        </w:rPr>
        <w:t> </w:t>
      </w:r>
      <w:r>
        <w:rPr>
          <w:color w:val="231F20"/>
        </w:rPr>
        <w:t>usa</w:t>
      </w:r>
      <w:r>
        <w:rPr>
          <w:color w:val="231F20"/>
          <w:spacing w:val="-3"/>
        </w:rPr>
        <w:t> </w:t>
      </w:r>
      <w:r>
        <w:rPr>
          <w:color w:val="231F20"/>
        </w:rPr>
        <w:t>para</w:t>
      </w:r>
      <w:r>
        <w:rPr>
          <w:color w:val="231F20"/>
          <w:spacing w:val="-3"/>
        </w:rPr>
        <w:t> </w:t>
      </w:r>
      <w:r>
        <w:rPr>
          <w:color w:val="231F20"/>
        </w:rPr>
        <w:t>consumo</w:t>
      </w:r>
      <w:r>
        <w:rPr>
          <w:color w:val="231F20"/>
          <w:spacing w:val="-4"/>
        </w:rPr>
        <w:t> </w:t>
      </w:r>
      <w:r>
        <w:rPr>
          <w:color w:val="231F20"/>
        </w:rPr>
        <w:t>humano</w:t>
      </w:r>
      <w:r>
        <w:rPr>
          <w:color w:val="231F20"/>
          <w:spacing w:val="-3"/>
        </w:rPr>
        <w:t> </w:t>
      </w:r>
      <w:r>
        <w:rPr>
          <w:color w:val="231F20"/>
        </w:rPr>
        <w:t>(López</w:t>
      </w:r>
      <w:r>
        <w:rPr>
          <w:color w:val="231F20"/>
          <w:spacing w:val="-4"/>
        </w:rPr>
        <w:t> </w:t>
      </w:r>
      <w:r>
        <w:rPr>
          <w:i/>
          <w:color w:val="231F20"/>
        </w:rPr>
        <w:t>et </w:t>
      </w:r>
      <w:r>
        <w:rPr>
          <w:i/>
          <w:color w:val="231F20"/>
        </w:rPr>
        <w:t>al.</w:t>
      </w:r>
      <w:r>
        <w:rPr>
          <w:color w:val="231F20"/>
        </w:rPr>
        <w:t>,</w:t>
      </w:r>
      <w:r>
        <w:rPr>
          <w:color w:val="231F20"/>
          <w:spacing w:val="-13"/>
        </w:rPr>
        <w:t> </w:t>
      </w:r>
      <w:r>
        <w:rPr>
          <w:color w:val="231F20"/>
        </w:rPr>
        <w:t>2011).</w:t>
      </w:r>
      <w:r>
        <w:rPr>
          <w:color w:val="231F20"/>
          <w:spacing w:val="-13"/>
        </w:rPr>
        <w:t> </w:t>
      </w:r>
      <w:r>
        <w:rPr>
          <w:color w:val="231F20"/>
        </w:rPr>
        <w:t>En</w:t>
      </w:r>
      <w:r>
        <w:rPr>
          <w:color w:val="231F20"/>
          <w:spacing w:val="-13"/>
        </w:rPr>
        <w:t> </w:t>
      </w:r>
      <w:r>
        <w:rPr>
          <w:color w:val="231F20"/>
        </w:rPr>
        <w:t>México</w:t>
      </w:r>
      <w:r>
        <w:rPr>
          <w:color w:val="231F20"/>
          <w:spacing w:val="-12"/>
        </w:rPr>
        <w:t> </w:t>
      </w:r>
      <w:r>
        <w:rPr>
          <w:color w:val="231F20"/>
        </w:rPr>
        <w:t>se</w:t>
      </w:r>
      <w:r>
        <w:rPr>
          <w:color w:val="231F20"/>
          <w:spacing w:val="-12"/>
        </w:rPr>
        <w:t> </w:t>
      </w:r>
      <w:r>
        <w:rPr>
          <w:color w:val="231F20"/>
        </w:rPr>
        <w:t>producen</w:t>
      </w:r>
      <w:r>
        <w:rPr>
          <w:color w:val="231F20"/>
          <w:spacing w:val="-13"/>
        </w:rPr>
        <w:t> </w:t>
      </w:r>
      <w:r>
        <w:rPr>
          <w:color w:val="231F20"/>
        </w:rPr>
        <w:t>6.9</w:t>
      </w:r>
      <w:r>
        <w:rPr>
          <w:color w:val="231F20"/>
          <w:spacing w:val="-13"/>
        </w:rPr>
        <w:t> </w:t>
      </w:r>
      <w:r>
        <w:rPr>
          <w:color w:val="231F20"/>
        </w:rPr>
        <w:t>millones</w:t>
      </w:r>
      <w:r>
        <w:rPr>
          <w:color w:val="231F20"/>
          <w:spacing w:val="-13"/>
        </w:rPr>
        <w:t> </w:t>
      </w:r>
      <w:r>
        <w:rPr>
          <w:color w:val="231F20"/>
        </w:rPr>
        <w:t>de</w:t>
      </w:r>
      <w:r>
        <w:rPr>
          <w:color w:val="231F20"/>
          <w:spacing w:val="-13"/>
        </w:rPr>
        <w:t> </w:t>
      </w:r>
      <w:r>
        <w:rPr>
          <w:color w:val="231F20"/>
        </w:rPr>
        <w:t>toneladas</w:t>
      </w:r>
      <w:r>
        <w:rPr>
          <w:color w:val="231F20"/>
          <w:spacing w:val="-13"/>
        </w:rPr>
        <w:t> </w:t>
      </w:r>
      <w:r>
        <w:rPr>
          <w:color w:val="231F20"/>
        </w:rPr>
        <w:t>de</w:t>
      </w:r>
      <w:r>
        <w:rPr>
          <w:color w:val="231F20"/>
          <w:spacing w:val="-13"/>
        </w:rPr>
        <w:t> </w:t>
      </w:r>
      <w:r>
        <w:rPr>
          <w:color w:val="231F20"/>
        </w:rPr>
        <w:t>sorgo</w:t>
      </w:r>
      <w:r>
        <w:rPr>
          <w:color w:val="231F20"/>
          <w:spacing w:val="-13"/>
        </w:rPr>
        <w:t> </w:t>
      </w:r>
      <w:r>
        <w:rPr>
          <w:color w:val="231F20"/>
        </w:rPr>
        <w:t>para</w:t>
      </w:r>
      <w:r>
        <w:rPr>
          <w:color w:val="231F20"/>
          <w:spacing w:val="-13"/>
        </w:rPr>
        <w:t> </w:t>
      </w:r>
      <w:r>
        <w:rPr>
          <w:color w:val="231F20"/>
        </w:rPr>
        <w:t>grano,</w:t>
      </w:r>
      <w:r>
        <w:rPr>
          <w:color w:val="231F20"/>
          <w:spacing w:val="-13"/>
        </w:rPr>
        <w:t> </w:t>
      </w:r>
      <w:r>
        <w:rPr>
          <w:color w:val="231F20"/>
        </w:rPr>
        <w:t>estableciéndose</w:t>
      </w:r>
      <w:r>
        <w:rPr>
          <w:color w:val="231F20"/>
          <w:spacing w:val="-14"/>
        </w:rPr>
        <w:t> </w:t>
      </w:r>
      <w:r>
        <w:rPr>
          <w:color w:val="231F20"/>
        </w:rPr>
        <w:t>1.9 millones de hectáreas, con rendimientos de 3.9 t•ha</w:t>
      </w:r>
      <w:r>
        <w:rPr>
          <w:color w:val="231F20"/>
          <w:position w:val="7"/>
          <w:sz w:val="12"/>
        </w:rPr>
        <w:t>-1 </w:t>
      </w:r>
      <w:r>
        <w:rPr>
          <w:color w:val="231F20"/>
          <w:spacing w:val="-5"/>
        </w:rPr>
        <w:t>(SIAP, </w:t>
      </w:r>
      <w:r>
        <w:rPr>
          <w:color w:val="231F20"/>
        </w:rPr>
        <w:t>2010). Se cultiva en zonas con escasez de lluvias, presencia de altas temperaturas y sequías prolongadas; tolera, calor, salinidad y crece en una amplia variedad de suelos con aporte limitado de nutrientes (Burke </w:t>
      </w:r>
      <w:r>
        <w:rPr>
          <w:i/>
          <w:color w:val="231F20"/>
        </w:rPr>
        <w:t>et al.</w:t>
      </w:r>
      <w:r>
        <w:rPr>
          <w:color w:val="231F20"/>
        </w:rPr>
        <w:t>, 2010; López </w:t>
      </w:r>
      <w:r>
        <w:rPr>
          <w:i/>
          <w:color w:val="231F20"/>
        </w:rPr>
        <w:t>et al.</w:t>
      </w:r>
      <w:r>
        <w:rPr>
          <w:color w:val="231F20"/>
        </w:rPr>
        <w:t>, 2011).</w:t>
      </w:r>
      <w:r>
        <w:rPr>
          <w:color w:val="231F20"/>
          <w:spacing w:val="-8"/>
        </w:rPr>
        <w:t> </w:t>
      </w:r>
      <w:r>
        <w:rPr>
          <w:color w:val="231F20"/>
        </w:rPr>
        <w:t>Es</w:t>
      </w:r>
      <w:r>
        <w:rPr>
          <w:color w:val="231F20"/>
          <w:spacing w:val="-8"/>
        </w:rPr>
        <w:t> </w:t>
      </w:r>
      <w:r>
        <w:rPr>
          <w:color w:val="231F20"/>
        </w:rPr>
        <w:t>una</w:t>
      </w:r>
      <w:r>
        <w:rPr>
          <w:color w:val="231F20"/>
          <w:spacing w:val="-8"/>
        </w:rPr>
        <w:t> </w:t>
      </w:r>
      <w:r>
        <w:rPr>
          <w:color w:val="231F20"/>
        </w:rPr>
        <w:t>planta</w:t>
      </w:r>
      <w:r>
        <w:rPr>
          <w:color w:val="231F20"/>
          <w:spacing w:val="-8"/>
        </w:rPr>
        <w:t> </w:t>
      </w:r>
      <w:r>
        <w:rPr>
          <w:color w:val="231F20"/>
        </w:rPr>
        <w:t>rústica</w:t>
      </w:r>
      <w:r>
        <w:rPr>
          <w:color w:val="231F20"/>
          <w:spacing w:val="-8"/>
        </w:rPr>
        <w:t> </w:t>
      </w:r>
      <w:r>
        <w:rPr>
          <w:color w:val="231F20"/>
        </w:rPr>
        <w:t>altamente</w:t>
      </w:r>
      <w:r>
        <w:rPr>
          <w:color w:val="231F20"/>
          <w:spacing w:val="-9"/>
        </w:rPr>
        <w:t> </w:t>
      </w:r>
      <w:r>
        <w:rPr>
          <w:color w:val="231F20"/>
        </w:rPr>
        <w:t>productiva</w:t>
      </w:r>
      <w:r>
        <w:rPr>
          <w:color w:val="231F20"/>
          <w:spacing w:val="-8"/>
        </w:rPr>
        <w:t> </w:t>
      </w:r>
      <w:r>
        <w:rPr>
          <w:color w:val="231F20"/>
        </w:rPr>
        <w:t>en</w:t>
      </w:r>
      <w:r>
        <w:rPr>
          <w:color w:val="231F20"/>
          <w:spacing w:val="-8"/>
        </w:rPr>
        <w:t> </w:t>
      </w:r>
      <w:r>
        <w:rPr>
          <w:color w:val="231F20"/>
        </w:rPr>
        <w:t>zonas</w:t>
      </w:r>
      <w:r>
        <w:rPr>
          <w:color w:val="231F20"/>
          <w:spacing w:val="-8"/>
        </w:rPr>
        <w:t> </w:t>
      </w:r>
      <w:r>
        <w:rPr>
          <w:color w:val="231F20"/>
        </w:rPr>
        <w:t>tropicales,</w:t>
      </w:r>
      <w:r>
        <w:rPr>
          <w:color w:val="231F20"/>
          <w:spacing w:val="-9"/>
        </w:rPr>
        <w:t> </w:t>
      </w:r>
      <w:r>
        <w:rPr>
          <w:color w:val="231F20"/>
        </w:rPr>
        <w:t>presenta</w:t>
      </w:r>
      <w:r>
        <w:rPr>
          <w:color w:val="231F20"/>
          <w:spacing w:val="-8"/>
        </w:rPr>
        <w:t> </w:t>
      </w:r>
      <w:r>
        <w:rPr>
          <w:color w:val="231F20"/>
        </w:rPr>
        <w:t>una</w:t>
      </w:r>
      <w:r>
        <w:rPr>
          <w:color w:val="231F20"/>
          <w:spacing w:val="-8"/>
        </w:rPr>
        <w:t> </w:t>
      </w:r>
      <w:r>
        <w:rPr>
          <w:color w:val="231F20"/>
        </w:rPr>
        <w:t>excelente</w:t>
      </w:r>
      <w:r>
        <w:rPr>
          <w:color w:val="231F20"/>
          <w:spacing w:val="-9"/>
        </w:rPr>
        <w:t> </w:t>
      </w:r>
      <w:r>
        <w:rPr>
          <w:color w:val="231F20"/>
        </w:rPr>
        <w:t>capaci- dad de exploración del suelo por sus raíces, debido a una elevada densidad y ramificación, lo que le permite absorber del suelo elementos como nitrógeno (Bolaños y Emile, 2011; Zegada </w:t>
      </w:r>
      <w:r>
        <w:rPr>
          <w:i/>
          <w:color w:val="231F20"/>
        </w:rPr>
        <w:t>et al.</w:t>
      </w:r>
      <w:r>
        <w:rPr>
          <w:color w:val="231F20"/>
        </w:rPr>
        <w:t>,</w:t>
      </w:r>
      <w:r>
        <w:rPr>
          <w:color w:val="231F20"/>
          <w:spacing w:val="-33"/>
        </w:rPr>
        <w:t> </w:t>
      </w:r>
      <w:r>
        <w:rPr>
          <w:color w:val="231F20"/>
        </w:rPr>
        <w:t>2011).</w:t>
      </w:r>
    </w:p>
    <w:p>
      <w:pPr>
        <w:pStyle w:val="BodyText"/>
        <w:spacing w:before="7"/>
      </w:pPr>
    </w:p>
    <w:p>
      <w:pPr>
        <w:pStyle w:val="BodyText"/>
        <w:spacing w:line="247" w:lineRule="auto"/>
        <w:ind w:left="1270" w:right="1267"/>
        <w:jc w:val="both"/>
      </w:pPr>
      <w:r>
        <w:rPr>
          <w:color w:val="231F20"/>
        </w:rPr>
        <w:t>La</w:t>
      </w:r>
      <w:r>
        <w:rPr>
          <w:color w:val="231F20"/>
          <w:spacing w:val="-7"/>
        </w:rPr>
        <w:t> </w:t>
      </w:r>
      <w:r>
        <w:rPr>
          <w:color w:val="231F20"/>
        </w:rPr>
        <w:t>producción</w:t>
      </w:r>
      <w:r>
        <w:rPr>
          <w:color w:val="231F20"/>
          <w:spacing w:val="-7"/>
        </w:rPr>
        <w:t> </w:t>
      </w:r>
      <w:r>
        <w:rPr>
          <w:color w:val="231F20"/>
        </w:rPr>
        <w:t>de</w:t>
      </w:r>
      <w:r>
        <w:rPr>
          <w:color w:val="231F20"/>
          <w:spacing w:val="-7"/>
        </w:rPr>
        <w:t> </w:t>
      </w:r>
      <w:r>
        <w:rPr>
          <w:color w:val="231F20"/>
        </w:rPr>
        <w:t>sorgo</w:t>
      </w:r>
      <w:r>
        <w:rPr>
          <w:color w:val="231F20"/>
          <w:spacing w:val="-7"/>
        </w:rPr>
        <w:t> </w:t>
      </w:r>
      <w:r>
        <w:rPr>
          <w:color w:val="231F20"/>
        </w:rPr>
        <w:t>es</w:t>
      </w:r>
      <w:r>
        <w:rPr>
          <w:color w:val="231F20"/>
          <w:spacing w:val="-7"/>
        </w:rPr>
        <w:t> </w:t>
      </w:r>
      <w:r>
        <w:rPr>
          <w:color w:val="231F20"/>
        </w:rPr>
        <w:t>influenciada</w:t>
      </w:r>
      <w:r>
        <w:rPr>
          <w:color w:val="231F20"/>
          <w:spacing w:val="-7"/>
        </w:rPr>
        <w:t> </w:t>
      </w:r>
      <w:r>
        <w:rPr>
          <w:color w:val="231F20"/>
        </w:rPr>
        <w:t>por</w:t>
      </w:r>
      <w:r>
        <w:rPr>
          <w:color w:val="231F20"/>
          <w:spacing w:val="-7"/>
        </w:rPr>
        <w:t> </w:t>
      </w:r>
      <w:r>
        <w:rPr>
          <w:color w:val="231F20"/>
        </w:rPr>
        <w:t>factores</w:t>
      </w:r>
      <w:r>
        <w:rPr>
          <w:color w:val="231F20"/>
          <w:spacing w:val="-7"/>
        </w:rPr>
        <w:t> </w:t>
      </w:r>
      <w:r>
        <w:rPr>
          <w:color w:val="231F20"/>
        </w:rPr>
        <w:t>bióticos</w:t>
      </w:r>
      <w:r>
        <w:rPr>
          <w:color w:val="231F20"/>
          <w:spacing w:val="-7"/>
        </w:rPr>
        <w:t> </w:t>
      </w:r>
      <w:r>
        <w:rPr>
          <w:color w:val="231F20"/>
        </w:rPr>
        <w:t>(suelo,</w:t>
      </w:r>
      <w:r>
        <w:rPr>
          <w:color w:val="231F20"/>
          <w:spacing w:val="-7"/>
        </w:rPr>
        <w:t> </w:t>
      </w:r>
      <w:r>
        <w:rPr>
          <w:color w:val="231F20"/>
        </w:rPr>
        <w:t>genotipo,</w:t>
      </w:r>
      <w:r>
        <w:rPr>
          <w:color w:val="231F20"/>
          <w:spacing w:val="-7"/>
        </w:rPr>
        <w:t> </w:t>
      </w:r>
      <w:r>
        <w:rPr>
          <w:color w:val="231F20"/>
        </w:rPr>
        <w:t>plagas,</w:t>
      </w:r>
      <w:r>
        <w:rPr>
          <w:color w:val="231F20"/>
          <w:spacing w:val="-7"/>
        </w:rPr>
        <w:t> </w:t>
      </w:r>
      <w:r>
        <w:rPr>
          <w:color w:val="231F20"/>
        </w:rPr>
        <w:t>enfermedades, malezas)</w:t>
      </w:r>
      <w:r>
        <w:rPr>
          <w:color w:val="231F20"/>
          <w:spacing w:val="-9"/>
        </w:rPr>
        <w:t> </w:t>
      </w:r>
      <w:r>
        <w:rPr>
          <w:color w:val="231F20"/>
        </w:rPr>
        <w:t>y</w:t>
      </w:r>
      <w:r>
        <w:rPr>
          <w:color w:val="231F20"/>
          <w:spacing w:val="-8"/>
        </w:rPr>
        <w:t> </w:t>
      </w:r>
      <w:r>
        <w:rPr>
          <w:color w:val="231F20"/>
        </w:rPr>
        <w:t>abióticos</w:t>
      </w:r>
      <w:r>
        <w:rPr>
          <w:color w:val="231F20"/>
          <w:spacing w:val="-9"/>
        </w:rPr>
        <w:t> </w:t>
      </w:r>
      <w:r>
        <w:rPr>
          <w:color w:val="231F20"/>
        </w:rPr>
        <w:t>(sequía,</w:t>
      </w:r>
      <w:r>
        <w:rPr>
          <w:color w:val="231F20"/>
          <w:spacing w:val="-8"/>
        </w:rPr>
        <w:t> </w:t>
      </w:r>
      <w:r>
        <w:rPr>
          <w:color w:val="231F20"/>
        </w:rPr>
        <w:t>humedad,</w:t>
      </w:r>
      <w:r>
        <w:rPr>
          <w:color w:val="231F20"/>
          <w:spacing w:val="-8"/>
        </w:rPr>
        <w:t> </w:t>
      </w:r>
      <w:r>
        <w:rPr>
          <w:color w:val="231F20"/>
        </w:rPr>
        <w:t>labranza)</w:t>
      </w:r>
      <w:r>
        <w:rPr>
          <w:color w:val="231F20"/>
          <w:spacing w:val="-9"/>
        </w:rPr>
        <w:t> </w:t>
      </w:r>
      <w:r>
        <w:rPr>
          <w:color w:val="231F20"/>
        </w:rPr>
        <w:t>que</w:t>
      </w:r>
      <w:r>
        <w:rPr>
          <w:color w:val="231F20"/>
          <w:spacing w:val="-8"/>
        </w:rPr>
        <w:t> </w:t>
      </w:r>
      <w:r>
        <w:rPr>
          <w:color w:val="231F20"/>
        </w:rPr>
        <w:t>limitan</w:t>
      </w:r>
      <w:r>
        <w:rPr>
          <w:color w:val="231F20"/>
          <w:spacing w:val="-9"/>
        </w:rPr>
        <w:t> </w:t>
      </w:r>
      <w:r>
        <w:rPr>
          <w:color w:val="231F20"/>
        </w:rPr>
        <w:t>su</w:t>
      </w:r>
      <w:r>
        <w:rPr>
          <w:color w:val="231F20"/>
          <w:spacing w:val="-8"/>
        </w:rPr>
        <w:t> </w:t>
      </w:r>
      <w:r>
        <w:rPr>
          <w:color w:val="231F20"/>
        </w:rPr>
        <w:t>potencial</w:t>
      </w:r>
      <w:r>
        <w:rPr>
          <w:color w:val="231F20"/>
          <w:spacing w:val="-8"/>
        </w:rPr>
        <w:t> </w:t>
      </w:r>
      <w:r>
        <w:rPr>
          <w:color w:val="231F20"/>
        </w:rPr>
        <w:t>de</w:t>
      </w:r>
      <w:r>
        <w:rPr>
          <w:color w:val="231F20"/>
          <w:spacing w:val="-8"/>
        </w:rPr>
        <w:t> </w:t>
      </w:r>
      <w:r>
        <w:rPr>
          <w:color w:val="231F20"/>
        </w:rPr>
        <w:t>rendimiento,</w:t>
      </w:r>
      <w:r>
        <w:rPr>
          <w:color w:val="231F20"/>
          <w:spacing w:val="-8"/>
        </w:rPr>
        <w:t> </w:t>
      </w:r>
      <w:r>
        <w:rPr>
          <w:color w:val="231F20"/>
        </w:rPr>
        <w:t>por</w:t>
      </w:r>
      <w:r>
        <w:rPr>
          <w:color w:val="231F20"/>
          <w:spacing w:val="-8"/>
        </w:rPr>
        <w:t> </w:t>
      </w:r>
      <w:r>
        <w:rPr>
          <w:color w:val="231F20"/>
        </w:rPr>
        <w:t>lo</w:t>
      </w:r>
      <w:r>
        <w:rPr>
          <w:color w:val="231F20"/>
          <w:spacing w:val="-8"/>
        </w:rPr>
        <w:t> </w:t>
      </w:r>
      <w:r>
        <w:rPr>
          <w:color w:val="231F20"/>
        </w:rPr>
        <w:t>que mejorando su tolerancia a dichos factores se incrementa el rendimiento en zonas marginales asegu- rando una mejor rentabilidad del cultivo (Assefa y Staggenborg, 2010; Burke </w:t>
      </w:r>
      <w:r>
        <w:rPr>
          <w:i/>
          <w:color w:val="231F20"/>
        </w:rPr>
        <w:t>et al.</w:t>
      </w:r>
      <w:r>
        <w:rPr>
          <w:color w:val="231F20"/>
        </w:rPr>
        <w:t>, 2010). Mason </w:t>
      </w:r>
      <w:r>
        <w:rPr>
          <w:i/>
          <w:color w:val="231F20"/>
        </w:rPr>
        <w:t>et al. </w:t>
      </w:r>
      <w:r>
        <w:rPr>
          <w:color w:val="231F20"/>
        </w:rPr>
        <w:t>(2008), aseguraron que el rendimiento de sorgo es susceptible a competencia por malezas, humedad del suelo, defoliación y a cambios en la densidad de</w:t>
      </w:r>
      <w:r>
        <w:rPr>
          <w:color w:val="231F20"/>
          <w:spacing w:val="-15"/>
        </w:rPr>
        <w:t> </w:t>
      </w:r>
      <w:r>
        <w:rPr>
          <w:color w:val="231F20"/>
        </w:rPr>
        <w:t>siembra.</w:t>
      </w:r>
    </w:p>
    <w:p>
      <w:pPr>
        <w:pStyle w:val="BodyText"/>
        <w:rPr>
          <w:sz w:val="20"/>
        </w:rPr>
      </w:pPr>
    </w:p>
    <w:p>
      <w:pPr>
        <w:pStyle w:val="BodyText"/>
        <w:spacing w:before="6"/>
        <w:rPr>
          <w:sz w:val="17"/>
        </w:rPr>
      </w:pPr>
    </w:p>
    <w:p>
      <w:pPr>
        <w:spacing w:line="247" w:lineRule="auto" w:before="1"/>
        <w:ind w:left="1270" w:right="1268" w:firstLine="0"/>
        <w:jc w:val="both"/>
        <w:rPr>
          <w:rFonts w:ascii="Trebuchet MS" w:hAnsi="Trebuchet MS"/>
          <w:sz w:val="16"/>
        </w:rPr>
      </w:pPr>
      <w:r>
        <w:rPr>
          <w:rFonts w:ascii="Trebuchet MS" w:hAnsi="Trebuchet MS"/>
          <w:color w:val="231F20"/>
          <w:position w:val="5"/>
          <w:sz w:val="9"/>
        </w:rPr>
        <w:t>1</w:t>
      </w:r>
      <w:r>
        <w:rPr>
          <w:rFonts w:ascii="Trebuchet MS" w:hAnsi="Trebuchet MS"/>
          <w:color w:val="231F20"/>
          <w:sz w:val="16"/>
        </w:rPr>
        <w:t>Universidad del Papaloapan. Av. Ferrocarril S/N. Ciudad Universitaria. Loma Bonita, Oaxaca, México. Tel. 01(281) 87-29230. Correo-e: msanchez@unpa.edu.mx; </w:t>
      </w:r>
      <w:r>
        <w:rPr>
          <w:rFonts w:ascii="Trebuchet MS" w:hAnsi="Trebuchet MS"/>
          <w:color w:val="231F20"/>
          <w:position w:val="5"/>
          <w:sz w:val="9"/>
        </w:rPr>
        <w:t>2</w:t>
      </w:r>
      <w:r>
        <w:rPr>
          <w:rFonts w:ascii="Trebuchet MS" w:hAnsi="Trebuchet MS"/>
          <w:color w:val="231F20"/>
          <w:sz w:val="16"/>
        </w:rPr>
        <w:t>Universidad de la Cañada. Teotitlán de Flores Magón, Oaxaca. C. P. 68540. México.</w:t>
      </w:r>
    </w:p>
    <w:p>
      <w:pPr>
        <w:spacing w:after="0" w:line="247" w:lineRule="auto"/>
        <w:jc w:val="both"/>
        <w:rPr>
          <w:rFonts w:ascii="Trebuchet MS" w:hAnsi="Trebuchet MS"/>
          <w:sz w:val="16"/>
        </w:rPr>
        <w:sectPr>
          <w:pgSz w:w="10920" w:h="13080"/>
          <w:pgMar w:header="0" w:footer="965" w:top="420" w:bottom="1220" w:left="0" w:right="0"/>
        </w:sectPr>
      </w:pPr>
    </w:p>
    <w:p>
      <w:pPr>
        <w:pStyle w:val="BodyText"/>
        <w:rPr>
          <w:rFonts w:ascii="Trebuchet MS"/>
          <w:sz w:val="20"/>
        </w:rPr>
      </w:pPr>
    </w:p>
    <w:p>
      <w:pPr>
        <w:pStyle w:val="BodyText"/>
        <w:rPr>
          <w:rFonts w:ascii="Trebuchet MS"/>
          <w:sz w:val="20"/>
        </w:rPr>
      </w:pPr>
    </w:p>
    <w:p>
      <w:pPr>
        <w:pStyle w:val="BodyText"/>
        <w:spacing w:before="4"/>
        <w:rPr>
          <w:rFonts w:ascii="Trebuchet MS"/>
          <w:sz w:val="22"/>
        </w:rPr>
      </w:pPr>
    </w:p>
    <w:p>
      <w:pPr>
        <w:pStyle w:val="BodyText"/>
        <w:spacing w:line="249" w:lineRule="auto" w:before="73"/>
        <w:ind w:left="1270" w:right="1269"/>
        <w:jc w:val="both"/>
      </w:pPr>
      <w:r>
        <w:rPr>
          <w:color w:val="231F20"/>
        </w:rPr>
        <w:t>Entre las prácticas agronómicas para incrementar el rendimiento de grano y forraje en sorgo se en- cuentran hacer un buen uso de la fertilización nitrogenada e incrementar el número de plantas por hectárea</w:t>
      </w:r>
      <w:r>
        <w:rPr>
          <w:color w:val="231F20"/>
          <w:spacing w:val="-10"/>
        </w:rPr>
        <w:t> </w:t>
      </w:r>
      <w:r>
        <w:rPr>
          <w:color w:val="231F20"/>
        </w:rPr>
        <w:t>(Bolaños</w:t>
      </w:r>
      <w:r>
        <w:rPr>
          <w:color w:val="231F20"/>
          <w:spacing w:val="-10"/>
        </w:rPr>
        <w:t> </w:t>
      </w:r>
      <w:r>
        <w:rPr>
          <w:color w:val="231F20"/>
        </w:rPr>
        <w:t>y</w:t>
      </w:r>
      <w:r>
        <w:rPr>
          <w:color w:val="231F20"/>
          <w:spacing w:val="-10"/>
        </w:rPr>
        <w:t> </w:t>
      </w:r>
      <w:r>
        <w:rPr>
          <w:color w:val="231F20"/>
        </w:rPr>
        <w:t>Emile,</w:t>
      </w:r>
      <w:r>
        <w:rPr>
          <w:color w:val="231F20"/>
          <w:spacing w:val="-10"/>
        </w:rPr>
        <w:t> </w:t>
      </w:r>
      <w:r>
        <w:rPr>
          <w:color w:val="231F20"/>
        </w:rPr>
        <w:t>2011).</w:t>
      </w:r>
      <w:r>
        <w:rPr>
          <w:color w:val="231F20"/>
          <w:spacing w:val="-10"/>
        </w:rPr>
        <w:t> </w:t>
      </w:r>
      <w:r>
        <w:rPr>
          <w:color w:val="231F20"/>
        </w:rPr>
        <w:t>La</w:t>
      </w:r>
      <w:r>
        <w:rPr>
          <w:color w:val="231F20"/>
          <w:spacing w:val="-10"/>
        </w:rPr>
        <w:t> </w:t>
      </w:r>
      <w:r>
        <w:rPr>
          <w:color w:val="231F20"/>
        </w:rPr>
        <w:t>fertilización</w:t>
      </w:r>
      <w:r>
        <w:rPr>
          <w:color w:val="231F20"/>
          <w:spacing w:val="-10"/>
        </w:rPr>
        <w:t> </w:t>
      </w:r>
      <w:r>
        <w:rPr>
          <w:color w:val="231F20"/>
        </w:rPr>
        <w:t>nitrogenada</w:t>
      </w:r>
      <w:r>
        <w:rPr>
          <w:color w:val="231F20"/>
          <w:spacing w:val="-10"/>
        </w:rPr>
        <w:t> </w:t>
      </w:r>
      <w:r>
        <w:rPr>
          <w:color w:val="231F20"/>
        </w:rPr>
        <w:t>recomendada</w:t>
      </w:r>
      <w:r>
        <w:rPr>
          <w:color w:val="231F20"/>
          <w:spacing w:val="-10"/>
        </w:rPr>
        <w:t> </w:t>
      </w:r>
      <w:r>
        <w:rPr>
          <w:color w:val="231F20"/>
        </w:rPr>
        <w:t>para</w:t>
      </w:r>
      <w:r>
        <w:rPr>
          <w:color w:val="231F20"/>
          <w:spacing w:val="-10"/>
        </w:rPr>
        <w:t> </w:t>
      </w:r>
      <w:r>
        <w:rPr>
          <w:color w:val="231F20"/>
        </w:rPr>
        <w:t>sorgo</w:t>
      </w:r>
      <w:r>
        <w:rPr>
          <w:color w:val="231F20"/>
          <w:spacing w:val="-10"/>
        </w:rPr>
        <w:t> </w:t>
      </w:r>
      <w:r>
        <w:rPr>
          <w:color w:val="231F20"/>
        </w:rPr>
        <w:t>varía</w:t>
      </w:r>
      <w:r>
        <w:rPr>
          <w:color w:val="231F20"/>
          <w:spacing w:val="-10"/>
        </w:rPr>
        <w:t> </w:t>
      </w:r>
      <w:r>
        <w:rPr>
          <w:color w:val="231F20"/>
        </w:rPr>
        <w:t>en</w:t>
      </w:r>
      <w:r>
        <w:rPr>
          <w:color w:val="231F20"/>
          <w:spacing w:val="-10"/>
        </w:rPr>
        <w:t> </w:t>
      </w:r>
      <w:r>
        <w:rPr>
          <w:color w:val="231F20"/>
        </w:rPr>
        <w:t>Mé- xico de una región agrícola a otra. Ávila (1977) recomendó aplicar en tierras del estado de Morelos entre 100 y 120 unidades de nitrógeno. </w:t>
      </w:r>
      <w:r>
        <w:rPr>
          <w:color w:val="231F20"/>
          <w:spacing w:val="-4"/>
        </w:rPr>
        <w:t>Valadez </w:t>
      </w:r>
      <w:r>
        <w:rPr>
          <w:color w:val="231F20"/>
        </w:rPr>
        <w:t>(1996) en el sur de Tamaulipas ensayó niveles</w:t>
      </w:r>
      <w:r>
        <w:rPr>
          <w:color w:val="231F20"/>
          <w:spacing w:val="-29"/>
        </w:rPr>
        <w:t> </w:t>
      </w:r>
      <w:r>
        <w:rPr>
          <w:color w:val="231F20"/>
        </w:rPr>
        <w:t>entre 30,</w:t>
      </w:r>
      <w:r>
        <w:rPr>
          <w:color w:val="231F20"/>
          <w:spacing w:val="-8"/>
        </w:rPr>
        <w:t> </w:t>
      </w:r>
      <w:r>
        <w:rPr>
          <w:color w:val="231F20"/>
        </w:rPr>
        <w:t>60</w:t>
      </w:r>
      <w:r>
        <w:rPr>
          <w:color w:val="231F20"/>
          <w:spacing w:val="-8"/>
        </w:rPr>
        <w:t> </w:t>
      </w:r>
      <w:r>
        <w:rPr>
          <w:color w:val="231F20"/>
        </w:rPr>
        <w:t>a</w:t>
      </w:r>
      <w:r>
        <w:rPr>
          <w:color w:val="231F20"/>
          <w:spacing w:val="-8"/>
        </w:rPr>
        <w:t> </w:t>
      </w:r>
      <w:r>
        <w:rPr>
          <w:color w:val="231F20"/>
        </w:rPr>
        <w:t>90</w:t>
      </w:r>
      <w:r>
        <w:rPr>
          <w:color w:val="231F20"/>
          <w:spacing w:val="-8"/>
        </w:rPr>
        <w:t> </w:t>
      </w:r>
      <w:r>
        <w:rPr>
          <w:color w:val="231F20"/>
        </w:rPr>
        <w:t>unidades</w:t>
      </w:r>
      <w:r>
        <w:rPr>
          <w:color w:val="231F20"/>
          <w:spacing w:val="-8"/>
        </w:rPr>
        <w:t> </w:t>
      </w:r>
      <w:r>
        <w:rPr>
          <w:color w:val="231F20"/>
        </w:rPr>
        <w:t>de</w:t>
      </w:r>
      <w:r>
        <w:rPr>
          <w:color w:val="231F20"/>
          <w:spacing w:val="-8"/>
        </w:rPr>
        <w:t> </w:t>
      </w:r>
      <w:r>
        <w:rPr>
          <w:color w:val="231F20"/>
        </w:rPr>
        <w:t>N•ha</w:t>
      </w:r>
      <w:r>
        <w:rPr>
          <w:color w:val="231F20"/>
          <w:position w:val="7"/>
          <w:sz w:val="12"/>
        </w:rPr>
        <w:t>-1</w:t>
      </w:r>
      <w:r>
        <w:rPr>
          <w:color w:val="231F20"/>
        </w:rPr>
        <w:t>,</w:t>
      </w:r>
      <w:r>
        <w:rPr>
          <w:color w:val="231F20"/>
          <w:spacing w:val="-8"/>
        </w:rPr>
        <w:t> </w:t>
      </w:r>
      <w:r>
        <w:rPr>
          <w:color w:val="231F20"/>
        </w:rPr>
        <w:t>recomendando</w:t>
      </w:r>
      <w:r>
        <w:rPr>
          <w:color w:val="231F20"/>
          <w:spacing w:val="-8"/>
        </w:rPr>
        <w:t> </w:t>
      </w:r>
      <w:r>
        <w:rPr>
          <w:color w:val="231F20"/>
        </w:rPr>
        <w:t>aplicar</w:t>
      </w:r>
      <w:r>
        <w:rPr>
          <w:color w:val="231F20"/>
          <w:spacing w:val="-8"/>
        </w:rPr>
        <w:t> </w:t>
      </w:r>
      <w:r>
        <w:rPr>
          <w:color w:val="231F20"/>
        </w:rPr>
        <w:t>90</w:t>
      </w:r>
      <w:r>
        <w:rPr>
          <w:color w:val="231F20"/>
          <w:spacing w:val="-8"/>
        </w:rPr>
        <w:t> </w:t>
      </w:r>
      <w:r>
        <w:rPr>
          <w:color w:val="231F20"/>
        </w:rPr>
        <w:t>unidades</w:t>
      </w:r>
      <w:r>
        <w:rPr>
          <w:color w:val="231F20"/>
          <w:spacing w:val="-8"/>
        </w:rPr>
        <w:t> </w:t>
      </w:r>
      <w:r>
        <w:rPr>
          <w:color w:val="231F20"/>
        </w:rPr>
        <w:t>del</w:t>
      </w:r>
      <w:r>
        <w:rPr>
          <w:color w:val="231F20"/>
          <w:spacing w:val="-8"/>
        </w:rPr>
        <w:t> </w:t>
      </w:r>
      <w:r>
        <w:rPr>
          <w:color w:val="231F20"/>
        </w:rPr>
        <w:t>elemento.</w:t>
      </w:r>
      <w:r>
        <w:rPr>
          <w:color w:val="231F20"/>
          <w:spacing w:val="-8"/>
        </w:rPr>
        <w:t> </w:t>
      </w:r>
      <w:r>
        <w:rPr>
          <w:color w:val="231F20"/>
        </w:rPr>
        <w:t>León</w:t>
      </w:r>
      <w:r>
        <w:rPr>
          <w:color w:val="231F20"/>
          <w:spacing w:val="-8"/>
        </w:rPr>
        <w:t> </w:t>
      </w:r>
      <w:r>
        <w:rPr>
          <w:i/>
          <w:color w:val="231F20"/>
        </w:rPr>
        <w:t>et</w:t>
      </w:r>
      <w:r>
        <w:rPr>
          <w:i/>
          <w:color w:val="231F20"/>
          <w:spacing w:val="-8"/>
        </w:rPr>
        <w:t> </w:t>
      </w:r>
      <w:r>
        <w:rPr>
          <w:i/>
          <w:color w:val="231F20"/>
        </w:rPr>
        <w:t>al.</w:t>
      </w:r>
      <w:r>
        <w:rPr>
          <w:i/>
          <w:color w:val="231F20"/>
          <w:spacing w:val="-8"/>
        </w:rPr>
        <w:t> </w:t>
      </w:r>
      <w:r>
        <w:rPr>
          <w:color w:val="231F20"/>
        </w:rPr>
        <w:t>(2009b), en sorgos tolerantes al frio producidos en los valles altos centrales de México, y a densidades de siembra</w:t>
      </w:r>
      <w:r>
        <w:rPr>
          <w:color w:val="231F20"/>
          <w:spacing w:val="-12"/>
        </w:rPr>
        <w:t> </w:t>
      </w:r>
      <w:r>
        <w:rPr>
          <w:color w:val="231F20"/>
        </w:rPr>
        <w:t>de</w:t>
      </w:r>
      <w:r>
        <w:rPr>
          <w:color w:val="231F20"/>
          <w:spacing w:val="-11"/>
        </w:rPr>
        <w:t> </w:t>
      </w:r>
      <w:r>
        <w:rPr>
          <w:color w:val="231F20"/>
        </w:rPr>
        <w:t>142,850</w:t>
      </w:r>
      <w:r>
        <w:rPr>
          <w:color w:val="231F20"/>
          <w:spacing w:val="-11"/>
        </w:rPr>
        <w:t> </w:t>
      </w:r>
      <w:r>
        <w:rPr>
          <w:color w:val="231F20"/>
        </w:rPr>
        <w:t>plantas•ha</w:t>
      </w:r>
      <w:r>
        <w:rPr>
          <w:color w:val="231F20"/>
          <w:position w:val="7"/>
          <w:sz w:val="12"/>
        </w:rPr>
        <w:t>-1</w:t>
      </w:r>
      <w:r>
        <w:rPr>
          <w:color w:val="231F20"/>
        </w:rPr>
        <w:t>,</w:t>
      </w:r>
      <w:r>
        <w:rPr>
          <w:color w:val="231F20"/>
          <w:spacing w:val="-11"/>
        </w:rPr>
        <w:t> </w:t>
      </w:r>
      <w:r>
        <w:rPr>
          <w:color w:val="231F20"/>
        </w:rPr>
        <w:t>utilizaron</w:t>
      </w:r>
      <w:r>
        <w:rPr>
          <w:color w:val="231F20"/>
          <w:spacing w:val="-11"/>
        </w:rPr>
        <w:t> </w:t>
      </w:r>
      <w:r>
        <w:rPr>
          <w:color w:val="231F20"/>
        </w:rPr>
        <w:t>la</w:t>
      </w:r>
      <w:r>
        <w:rPr>
          <w:color w:val="231F20"/>
          <w:spacing w:val="-12"/>
        </w:rPr>
        <w:t> </w:t>
      </w:r>
      <w:r>
        <w:rPr>
          <w:color w:val="231F20"/>
        </w:rPr>
        <w:t>fórmula</w:t>
      </w:r>
      <w:r>
        <w:rPr>
          <w:color w:val="231F20"/>
          <w:spacing w:val="-11"/>
        </w:rPr>
        <w:t> </w:t>
      </w:r>
      <w:r>
        <w:rPr>
          <w:color w:val="231F20"/>
        </w:rPr>
        <w:t>120-60-00</w:t>
      </w:r>
      <w:r>
        <w:rPr>
          <w:color w:val="231F20"/>
          <w:spacing w:val="-11"/>
        </w:rPr>
        <w:t> </w:t>
      </w:r>
      <w:r>
        <w:rPr>
          <w:color w:val="231F20"/>
        </w:rPr>
        <w:t>en</w:t>
      </w:r>
      <w:r>
        <w:rPr>
          <w:color w:val="231F20"/>
          <w:spacing w:val="-12"/>
        </w:rPr>
        <w:t> </w:t>
      </w:r>
      <w:r>
        <w:rPr>
          <w:color w:val="231F20"/>
        </w:rPr>
        <w:t>riego;</w:t>
      </w:r>
      <w:r>
        <w:rPr>
          <w:color w:val="231F20"/>
          <w:spacing w:val="-11"/>
        </w:rPr>
        <w:t> </w:t>
      </w:r>
      <w:r>
        <w:rPr>
          <w:color w:val="231F20"/>
        </w:rPr>
        <w:t>y</w:t>
      </w:r>
      <w:r>
        <w:rPr>
          <w:color w:val="231F20"/>
          <w:spacing w:val="-11"/>
        </w:rPr>
        <w:t> </w:t>
      </w:r>
      <w:r>
        <w:rPr>
          <w:color w:val="231F20"/>
        </w:rPr>
        <w:t>en</w:t>
      </w:r>
      <w:r>
        <w:rPr>
          <w:color w:val="231F20"/>
          <w:spacing w:val="-11"/>
        </w:rPr>
        <w:t> </w:t>
      </w:r>
      <w:r>
        <w:rPr>
          <w:color w:val="231F20"/>
        </w:rPr>
        <w:t>secano</w:t>
      </w:r>
      <w:r>
        <w:rPr>
          <w:color w:val="231F20"/>
          <w:spacing w:val="-11"/>
        </w:rPr>
        <w:t> </w:t>
      </w:r>
      <w:r>
        <w:rPr>
          <w:color w:val="231F20"/>
        </w:rPr>
        <w:t>recomendaron fertilizar con la fórmula</w:t>
      </w:r>
      <w:r>
        <w:rPr>
          <w:color w:val="231F20"/>
          <w:spacing w:val="-1"/>
        </w:rPr>
        <w:t> </w:t>
      </w:r>
      <w:r>
        <w:rPr>
          <w:color w:val="231F20"/>
        </w:rPr>
        <w:t>80-40-00.</w:t>
      </w:r>
    </w:p>
    <w:p>
      <w:pPr>
        <w:pStyle w:val="BodyText"/>
        <w:spacing w:before="7"/>
      </w:pPr>
    </w:p>
    <w:p>
      <w:pPr>
        <w:pStyle w:val="BodyText"/>
        <w:spacing w:line="247" w:lineRule="auto"/>
        <w:ind w:left="1270" w:right="1267"/>
        <w:jc w:val="both"/>
      </w:pPr>
      <w:r>
        <w:rPr>
          <w:color w:val="231F20"/>
        </w:rPr>
        <w:t>Los principales componentes del rendimiento en sorgo son: precocidad, plantas altas, tallos fuertes, alto número de hojas, amacollamiento, semillas pesadas, alta producción de grano y biomasa, velo- cidad de emergencia, vigor y peso seco de plántulas, uniformidad de plantas, panojas grandes, alto número de granos por panoja, granos pesados y excersión de mayor longitud (Mason </w:t>
      </w:r>
      <w:r>
        <w:rPr>
          <w:i/>
          <w:color w:val="231F20"/>
        </w:rPr>
        <w:t>et al.</w:t>
      </w:r>
      <w:r>
        <w:rPr>
          <w:color w:val="231F20"/>
        </w:rPr>
        <w:t>, 2008; León</w:t>
      </w:r>
      <w:r>
        <w:rPr>
          <w:color w:val="231F20"/>
          <w:spacing w:val="-10"/>
        </w:rPr>
        <w:t> </w:t>
      </w:r>
      <w:r>
        <w:rPr>
          <w:i/>
          <w:color w:val="231F20"/>
        </w:rPr>
        <w:t>et</w:t>
      </w:r>
      <w:r>
        <w:rPr>
          <w:i/>
          <w:color w:val="231F20"/>
          <w:spacing w:val="-10"/>
        </w:rPr>
        <w:t> </w:t>
      </w:r>
      <w:r>
        <w:rPr>
          <w:i/>
          <w:color w:val="231F20"/>
        </w:rPr>
        <w:t>al.</w:t>
      </w:r>
      <w:r>
        <w:rPr>
          <w:color w:val="231F20"/>
        </w:rPr>
        <w:t>,</w:t>
      </w:r>
      <w:r>
        <w:rPr>
          <w:color w:val="231F20"/>
          <w:spacing w:val="-10"/>
        </w:rPr>
        <w:t> </w:t>
      </w:r>
      <w:r>
        <w:rPr>
          <w:color w:val="231F20"/>
        </w:rPr>
        <w:t>2009b;</w:t>
      </w:r>
      <w:r>
        <w:rPr>
          <w:color w:val="231F20"/>
          <w:spacing w:val="-10"/>
        </w:rPr>
        <w:t> </w:t>
      </w:r>
      <w:r>
        <w:rPr>
          <w:color w:val="231F20"/>
        </w:rPr>
        <w:t>Pfeiffer</w:t>
      </w:r>
      <w:r>
        <w:rPr>
          <w:color w:val="231F20"/>
          <w:spacing w:val="-10"/>
        </w:rPr>
        <w:t> </w:t>
      </w:r>
      <w:r>
        <w:rPr>
          <w:i/>
          <w:color w:val="231F20"/>
        </w:rPr>
        <w:t>et</w:t>
      </w:r>
      <w:r>
        <w:rPr>
          <w:i/>
          <w:color w:val="231F20"/>
          <w:spacing w:val="-10"/>
        </w:rPr>
        <w:t> </w:t>
      </w:r>
      <w:r>
        <w:rPr>
          <w:i/>
          <w:color w:val="231F20"/>
        </w:rPr>
        <w:t>al.</w:t>
      </w:r>
      <w:r>
        <w:rPr>
          <w:color w:val="231F20"/>
        </w:rPr>
        <w:t>,</w:t>
      </w:r>
      <w:r>
        <w:rPr>
          <w:color w:val="231F20"/>
          <w:spacing w:val="-10"/>
        </w:rPr>
        <w:t> </w:t>
      </w:r>
      <w:r>
        <w:rPr>
          <w:color w:val="231F20"/>
        </w:rPr>
        <w:t>2010).</w:t>
      </w:r>
      <w:r>
        <w:rPr>
          <w:color w:val="231F20"/>
          <w:spacing w:val="-10"/>
        </w:rPr>
        <w:t> </w:t>
      </w:r>
      <w:r>
        <w:rPr>
          <w:color w:val="231F20"/>
        </w:rPr>
        <w:t>El</w:t>
      </w:r>
      <w:r>
        <w:rPr>
          <w:color w:val="231F20"/>
          <w:spacing w:val="-10"/>
        </w:rPr>
        <w:t> </w:t>
      </w:r>
      <w:r>
        <w:rPr>
          <w:color w:val="231F20"/>
        </w:rPr>
        <w:t>número</w:t>
      </w:r>
      <w:r>
        <w:rPr>
          <w:color w:val="231F20"/>
          <w:spacing w:val="-10"/>
        </w:rPr>
        <w:t> </w:t>
      </w:r>
      <w:r>
        <w:rPr>
          <w:color w:val="231F20"/>
        </w:rPr>
        <w:t>de</w:t>
      </w:r>
      <w:r>
        <w:rPr>
          <w:color w:val="231F20"/>
          <w:spacing w:val="-10"/>
        </w:rPr>
        <w:t> </w:t>
      </w:r>
      <w:r>
        <w:rPr>
          <w:color w:val="231F20"/>
        </w:rPr>
        <w:t>granos</w:t>
      </w:r>
      <w:r>
        <w:rPr>
          <w:color w:val="231F20"/>
          <w:spacing w:val="-10"/>
        </w:rPr>
        <w:t> </w:t>
      </w:r>
      <w:r>
        <w:rPr>
          <w:color w:val="231F20"/>
        </w:rPr>
        <w:t>por</w:t>
      </w:r>
      <w:r>
        <w:rPr>
          <w:color w:val="231F20"/>
          <w:spacing w:val="-10"/>
        </w:rPr>
        <w:t> </w:t>
      </w:r>
      <w:r>
        <w:rPr>
          <w:color w:val="231F20"/>
        </w:rPr>
        <w:t>panoja</w:t>
      </w:r>
      <w:r>
        <w:rPr>
          <w:color w:val="231F20"/>
          <w:spacing w:val="-10"/>
        </w:rPr>
        <w:t> </w:t>
      </w:r>
      <w:r>
        <w:rPr>
          <w:color w:val="231F20"/>
        </w:rPr>
        <w:t>es</w:t>
      </w:r>
      <w:r>
        <w:rPr>
          <w:color w:val="231F20"/>
          <w:spacing w:val="-10"/>
        </w:rPr>
        <w:t> </w:t>
      </w:r>
      <w:r>
        <w:rPr>
          <w:color w:val="231F20"/>
        </w:rPr>
        <w:t>el</w:t>
      </w:r>
      <w:r>
        <w:rPr>
          <w:color w:val="231F20"/>
          <w:spacing w:val="-10"/>
        </w:rPr>
        <w:t> </w:t>
      </w:r>
      <w:r>
        <w:rPr>
          <w:color w:val="231F20"/>
        </w:rPr>
        <w:t>principal</w:t>
      </w:r>
      <w:r>
        <w:rPr>
          <w:color w:val="231F20"/>
          <w:spacing w:val="-10"/>
        </w:rPr>
        <w:t> </w:t>
      </w:r>
      <w:r>
        <w:rPr>
          <w:color w:val="231F20"/>
        </w:rPr>
        <w:t>determinante del rendimiento de grano </w:t>
      </w:r>
      <w:r>
        <w:rPr>
          <w:color w:val="231F20"/>
          <w:spacing w:val="-6"/>
        </w:rPr>
        <w:t>(Van </w:t>
      </w:r>
      <w:r>
        <w:rPr>
          <w:color w:val="231F20"/>
        </w:rPr>
        <w:t>et al.,</w:t>
      </w:r>
      <w:r>
        <w:rPr>
          <w:color w:val="231F20"/>
          <w:spacing w:val="-4"/>
        </w:rPr>
        <w:t> </w:t>
      </w:r>
      <w:r>
        <w:rPr>
          <w:color w:val="231F20"/>
        </w:rPr>
        <w:t>2011).</w:t>
      </w:r>
    </w:p>
    <w:p>
      <w:pPr>
        <w:pStyle w:val="BodyText"/>
        <w:spacing w:before="10"/>
      </w:pPr>
    </w:p>
    <w:p>
      <w:pPr>
        <w:pStyle w:val="BodyText"/>
        <w:spacing w:line="249" w:lineRule="auto"/>
        <w:ind w:left="1270" w:right="1267"/>
        <w:jc w:val="both"/>
      </w:pPr>
      <w:r>
        <w:rPr>
          <w:color w:val="231F20"/>
        </w:rPr>
        <w:t>El rendimiento de grano en sorgo responde de manera diferencial al espacio entre surcos y depende del ambiente, por lo que altas densidades de población incrementan el rendimiento de grano por unidad</w:t>
      </w:r>
      <w:r>
        <w:rPr>
          <w:color w:val="231F20"/>
          <w:spacing w:val="-6"/>
        </w:rPr>
        <w:t> </w:t>
      </w:r>
      <w:r>
        <w:rPr>
          <w:color w:val="231F20"/>
        </w:rPr>
        <w:t>de</w:t>
      </w:r>
      <w:r>
        <w:rPr>
          <w:color w:val="231F20"/>
          <w:spacing w:val="-6"/>
        </w:rPr>
        <w:t> </w:t>
      </w:r>
      <w:r>
        <w:rPr>
          <w:color w:val="231F20"/>
        </w:rPr>
        <w:t>superficie.</w:t>
      </w:r>
      <w:r>
        <w:rPr>
          <w:color w:val="231F20"/>
          <w:spacing w:val="-6"/>
        </w:rPr>
        <w:t> </w:t>
      </w:r>
      <w:r>
        <w:rPr>
          <w:color w:val="231F20"/>
        </w:rPr>
        <w:t>No</w:t>
      </w:r>
      <w:r>
        <w:rPr>
          <w:color w:val="231F20"/>
          <w:spacing w:val="-6"/>
        </w:rPr>
        <w:t> </w:t>
      </w:r>
      <w:r>
        <w:rPr>
          <w:color w:val="231F20"/>
        </w:rPr>
        <w:t>obstante,</w:t>
      </w:r>
      <w:r>
        <w:rPr>
          <w:color w:val="231F20"/>
          <w:spacing w:val="-6"/>
        </w:rPr>
        <w:t> </w:t>
      </w:r>
      <w:r>
        <w:rPr>
          <w:color w:val="231F20"/>
        </w:rPr>
        <w:t>densidades</w:t>
      </w:r>
      <w:r>
        <w:rPr>
          <w:color w:val="231F20"/>
          <w:spacing w:val="-6"/>
        </w:rPr>
        <w:t> </w:t>
      </w:r>
      <w:r>
        <w:rPr>
          <w:color w:val="231F20"/>
        </w:rPr>
        <w:t>de</w:t>
      </w:r>
      <w:r>
        <w:rPr>
          <w:color w:val="231F20"/>
          <w:spacing w:val="-6"/>
        </w:rPr>
        <w:t> </w:t>
      </w:r>
      <w:r>
        <w:rPr>
          <w:color w:val="231F20"/>
        </w:rPr>
        <w:t>siembra</w:t>
      </w:r>
      <w:r>
        <w:rPr>
          <w:color w:val="231F20"/>
          <w:spacing w:val="-6"/>
        </w:rPr>
        <w:t> </w:t>
      </w:r>
      <w:r>
        <w:rPr>
          <w:color w:val="231F20"/>
        </w:rPr>
        <w:t>bajas</w:t>
      </w:r>
      <w:r>
        <w:rPr>
          <w:color w:val="231F20"/>
          <w:spacing w:val="-6"/>
        </w:rPr>
        <w:t> </w:t>
      </w:r>
      <w:r>
        <w:rPr>
          <w:color w:val="231F20"/>
        </w:rPr>
        <w:t>generan</w:t>
      </w:r>
      <w:r>
        <w:rPr>
          <w:color w:val="231F20"/>
          <w:spacing w:val="-6"/>
        </w:rPr>
        <w:t> </w:t>
      </w:r>
      <w:r>
        <w:rPr>
          <w:color w:val="231F20"/>
        </w:rPr>
        <w:t>rendimientos</w:t>
      </w:r>
      <w:r>
        <w:rPr>
          <w:color w:val="231F20"/>
          <w:spacing w:val="-6"/>
        </w:rPr>
        <w:t> </w:t>
      </w:r>
      <w:r>
        <w:rPr>
          <w:color w:val="231F20"/>
        </w:rPr>
        <w:t>altos</w:t>
      </w:r>
      <w:r>
        <w:rPr>
          <w:color w:val="231F20"/>
          <w:spacing w:val="-6"/>
        </w:rPr>
        <w:t> </w:t>
      </w:r>
      <w:r>
        <w:rPr>
          <w:color w:val="231F20"/>
        </w:rPr>
        <w:t>en</w:t>
      </w:r>
      <w:r>
        <w:rPr>
          <w:color w:val="231F20"/>
          <w:spacing w:val="-6"/>
        </w:rPr>
        <w:t> </w:t>
      </w:r>
      <w:r>
        <w:rPr>
          <w:color w:val="231F20"/>
        </w:rPr>
        <w:t>condi- ciones</w:t>
      </w:r>
      <w:r>
        <w:rPr>
          <w:color w:val="231F20"/>
          <w:spacing w:val="-6"/>
        </w:rPr>
        <w:t> </w:t>
      </w:r>
      <w:r>
        <w:rPr>
          <w:color w:val="231F20"/>
        </w:rPr>
        <w:t>de</w:t>
      </w:r>
      <w:r>
        <w:rPr>
          <w:color w:val="231F20"/>
          <w:spacing w:val="-6"/>
        </w:rPr>
        <w:t> </w:t>
      </w:r>
      <w:r>
        <w:rPr>
          <w:color w:val="231F20"/>
        </w:rPr>
        <w:t>estrés</w:t>
      </w:r>
      <w:r>
        <w:rPr>
          <w:color w:val="231F20"/>
          <w:spacing w:val="-6"/>
        </w:rPr>
        <w:t> </w:t>
      </w:r>
      <w:r>
        <w:rPr>
          <w:color w:val="231F20"/>
        </w:rPr>
        <w:t>de</w:t>
      </w:r>
      <w:r>
        <w:rPr>
          <w:color w:val="231F20"/>
          <w:spacing w:val="-6"/>
        </w:rPr>
        <w:t> </w:t>
      </w:r>
      <w:r>
        <w:rPr>
          <w:color w:val="231F20"/>
        </w:rPr>
        <w:t>humedad.</w:t>
      </w:r>
      <w:r>
        <w:rPr>
          <w:color w:val="231F20"/>
          <w:spacing w:val="-10"/>
        </w:rPr>
        <w:t> </w:t>
      </w:r>
      <w:r>
        <w:rPr>
          <w:color w:val="231F20"/>
          <w:spacing w:val="-5"/>
        </w:rPr>
        <w:t>Wade</w:t>
      </w:r>
      <w:r>
        <w:rPr>
          <w:color w:val="231F20"/>
          <w:spacing w:val="-6"/>
        </w:rPr>
        <w:t> </w:t>
      </w:r>
      <w:r>
        <w:rPr>
          <w:color w:val="231F20"/>
        </w:rPr>
        <w:t>y</w:t>
      </w:r>
      <w:r>
        <w:rPr>
          <w:color w:val="231F20"/>
          <w:spacing w:val="-6"/>
        </w:rPr>
        <w:t> </w:t>
      </w:r>
      <w:r>
        <w:rPr>
          <w:color w:val="231F20"/>
        </w:rPr>
        <w:t>Douglas</w:t>
      </w:r>
      <w:r>
        <w:rPr>
          <w:color w:val="231F20"/>
          <w:spacing w:val="-6"/>
        </w:rPr>
        <w:t> </w:t>
      </w:r>
      <w:r>
        <w:rPr>
          <w:color w:val="231F20"/>
        </w:rPr>
        <w:t>(1990),</w:t>
      </w:r>
      <w:r>
        <w:rPr>
          <w:color w:val="231F20"/>
          <w:spacing w:val="-6"/>
        </w:rPr>
        <w:t> </w:t>
      </w:r>
      <w:r>
        <w:rPr>
          <w:color w:val="231F20"/>
        </w:rPr>
        <w:t>mencionaron</w:t>
      </w:r>
      <w:r>
        <w:rPr>
          <w:color w:val="231F20"/>
          <w:spacing w:val="-6"/>
        </w:rPr>
        <w:t> </w:t>
      </w:r>
      <w:r>
        <w:rPr>
          <w:color w:val="231F20"/>
        </w:rPr>
        <w:t>que</w:t>
      </w:r>
      <w:r>
        <w:rPr>
          <w:color w:val="231F20"/>
          <w:spacing w:val="-6"/>
        </w:rPr>
        <w:t> </w:t>
      </w:r>
      <w:r>
        <w:rPr>
          <w:color w:val="231F20"/>
        </w:rPr>
        <w:t>la</w:t>
      </w:r>
      <w:r>
        <w:rPr>
          <w:color w:val="231F20"/>
          <w:spacing w:val="-6"/>
        </w:rPr>
        <w:t> </w:t>
      </w:r>
      <w:r>
        <w:rPr>
          <w:color w:val="231F20"/>
        </w:rPr>
        <w:t>densidad</w:t>
      </w:r>
      <w:r>
        <w:rPr>
          <w:color w:val="231F20"/>
          <w:spacing w:val="-6"/>
        </w:rPr>
        <w:t> </w:t>
      </w:r>
      <w:r>
        <w:rPr>
          <w:color w:val="231F20"/>
        </w:rPr>
        <w:t>óptima</w:t>
      </w:r>
      <w:r>
        <w:rPr>
          <w:color w:val="231F20"/>
          <w:spacing w:val="-6"/>
        </w:rPr>
        <w:t> </w:t>
      </w:r>
      <w:r>
        <w:rPr>
          <w:color w:val="231F20"/>
        </w:rPr>
        <w:t>en</w:t>
      </w:r>
      <w:r>
        <w:rPr>
          <w:color w:val="231F20"/>
          <w:spacing w:val="-6"/>
        </w:rPr>
        <w:t> </w:t>
      </w:r>
      <w:r>
        <w:rPr>
          <w:color w:val="231F20"/>
        </w:rPr>
        <w:t>sorgo está entre 50,000 y 100,000 plantas•ha</w:t>
      </w:r>
      <w:r>
        <w:rPr>
          <w:color w:val="231F20"/>
          <w:position w:val="7"/>
          <w:sz w:val="12"/>
        </w:rPr>
        <w:t>-1 </w:t>
      </w:r>
      <w:r>
        <w:rPr>
          <w:color w:val="231F20"/>
        </w:rPr>
        <w:t>en secano. Abunyewa </w:t>
      </w:r>
      <w:r>
        <w:rPr>
          <w:i/>
          <w:color w:val="231F20"/>
        </w:rPr>
        <w:t>et al. </w:t>
      </w:r>
      <w:r>
        <w:rPr>
          <w:color w:val="231F20"/>
        </w:rPr>
        <w:t>(2010), sugirieron 123,500 a 185,250 plantas•ha</w:t>
      </w:r>
      <w:r>
        <w:rPr>
          <w:color w:val="231F20"/>
          <w:position w:val="7"/>
          <w:sz w:val="12"/>
        </w:rPr>
        <w:t>-1 </w:t>
      </w:r>
      <w:r>
        <w:rPr>
          <w:color w:val="231F20"/>
        </w:rPr>
        <w:t>para sorgos graníferos, ya que en genotipos con amplia capacidad de amaco- llamiento, la densidad óptima de plantas está en función de humedad del suelo y días a madurez del híbrido. El objetivo del presente estudio fue determinar la influencia de la fertilización nitrogenada y de diferentes densidades de siembra sobre los principales componentes de rendimiento en sorgo producido en la región</w:t>
      </w:r>
      <w:r>
        <w:rPr>
          <w:color w:val="231F20"/>
          <w:spacing w:val="-12"/>
        </w:rPr>
        <w:t> </w:t>
      </w:r>
      <w:r>
        <w:rPr>
          <w:color w:val="231F20"/>
        </w:rPr>
        <w:t>Papaloapan.</w:t>
      </w:r>
    </w:p>
    <w:p>
      <w:pPr>
        <w:pStyle w:val="BodyText"/>
        <w:spacing w:before="6"/>
        <w:rPr>
          <w:sz w:val="22"/>
        </w:rPr>
      </w:pPr>
    </w:p>
    <w:p>
      <w:pPr>
        <w:pStyle w:val="Heading3"/>
      </w:pPr>
      <w:r>
        <w:rPr>
          <w:color w:val="010202"/>
        </w:rPr>
        <w:t>Materiales y métodos</w:t>
      </w:r>
    </w:p>
    <w:p>
      <w:pPr>
        <w:pStyle w:val="BodyText"/>
        <w:spacing w:before="10"/>
        <w:rPr>
          <w:b/>
        </w:rPr>
      </w:pPr>
    </w:p>
    <w:p>
      <w:pPr>
        <w:pStyle w:val="BodyText"/>
        <w:spacing w:line="247" w:lineRule="auto"/>
        <w:ind w:left="1270" w:right="1267"/>
        <w:jc w:val="both"/>
      </w:pPr>
      <w:r>
        <w:rPr>
          <w:color w:val="231F20"/>
        </w:rPr>
        <w:t>Localidad</w:t>
      </w:r>
      <w:r>
        <w:rPr>
          <w:color w:val="231F20"/>
          <w:spacing w:val="-9"/>
        </w:rPr>
        <w:t> </w:t>
      </w:r>
      <w:r>
        <w:rPr>
          <w:color w:val="231F20"/>
        </w:rPr>
        <w:t>de</w:t>
      </w:r>
      <w:r>
        <w:rPr>
          <w:color w:val="231F20"/>
          <w:spacing w:val="-8"/>
        </w:rPr>
        <w:t> </w:t>
      </w:r>
      <w:r>
        <w:rPr>
          <w:color w:val="231F20"/>
        </w:rPr>
        <w:t>evaluación</w:t>
      </w:r>
      <w:r>
        <w:rPr>
          <w:color w:val="231F20"/>
          <w:spacing w:val="-9"/>
        </w:rPr>
        <w:t> </w:t>
      </w:r>
      <w:r>
        <w:rPr>
          <w:color w:val="231F20"/>
        </w:rPr>
        <w:t>y</w:t>
      </w:r>
      <w:r>
        <w:rPr>
          <w:color w:val="231F20"/>
          <w:spacing w:val="-8"/>
        </w:rPr>
        <w:t> </w:t>
      </w:r>
      <w:r>
        <w:rPr>
          <w:color w:val="231F20"/>
        </w:rPr>
        <w:t>material</w:t>
      </w:r>
      <w:r>
        <w:rPr>
          <w:color w:val="231F20"/>
          <w:spacing w:val="-8"/>
        </w:rPr>
        <w:t> </w:t>
      </w:r>
      <w:r>
        <w:rPr>
          <w:color w:val="231F20"/>
        </w:rPr>
        <w:t>genético.</w:t>
      </w:r>
      <w:r>
        <w:rPr>
          <w:color w:val="231F20"/>
          <w:spacing w:val="-8"/>
        </w:rPr>
        <w:t> </w:t>
      </w:r>
      <w:r>
        <w:rPr>
          <w:color w:val="231F20"/>
        </w:rPr>
        <w:t>La</w:t>
      </w:r>
      <w:r>
        <w:rPr>
          <w:color w:val="231F20"/>
          <w:spacing w:val="-8"/>
        </w:rPr>
        <w:t> </w:t>
      </w:r>
      <w:r>
        <w:rPr>
          <w:color w:val="231F20"/>
        </w:rPr>
        <w:t>investigación</w:t>
      </w:r>
      <w:r>
        <w:rPr>
          <w:color w:val="231F20"/>
          <w:spacing w:val="-9"/>
        </w:rPr>
        <w:t> </w:t>
      </w:r>
      <w:r>
        <w:rPr>
          <w:color w:val="231F20"/>
        </w:rPr>
        <w:t>se</w:t>
      </w:r>
      <w:r>
        <w:rPr>
          <w:color w:val="231F20"/>
          <w:spacing w:val="-8"/>
        </w:rPr>
        <w:t> </w:t>
      </w:r>
      <w:r>
        <w:rPr>
          <w:color w:val="231F20"/>
        </w:rPr>
        <w:t>condujo</w:t>
      </w:r>
      <w:r>
        <w:rPr>
          <w:color w:val="231F20"/>
          <w:spacing w:val="-9"/>
        </w:rPr>
        <w:t> </w:t>
      </w:r>
      <w:r>
        <w:rPr>
          <w:color w:val="231F20"/>
        </w:rPr>
        <w:t>en</w:t>
      </w:r>
      <w:r>
        <w:rPr>
          <w:color w:val="231F20"/>
          <w:spacing w:val="-8"/>
        </w:rPr>
        <w:t> </w:t>
      </w:r>
      <w:r>
        <w:rPr>
          <w:color w:val="231F20"/>
        </w:rPr>
        <w:t>el</w:t>
      </w:r>
      <w:r>
        <w:rPr>
          <w:color w:val="231F20"/>
          <w:spacing w:val="-8"/>
        </w:rPr>
        <w:t> </w:t>
      </w:r>
      <w:r>
        <w:rPr>
          <w:color w:val="231F20"/>
        </w:rPr>
        <w:t>Campo</w:t>
      </w:r>
      <w:r>
        <w:rPr>
          <w:color w:val="231F20"/>
          <w:spacing w:val="-8"/>
        </w:rPr>
        <w:t> </w:t>
      </w:r>
      <w:r>
        <w:rPr>
          <w:color w:val="231F20"/>
        </w:rPr>
        <w:t>Experimental de</w:t>
      </w:r>
      <w:r>
        <w:rPr>
          <w:color w:val="231F20"/>
          <w:spacing w:val="-5"/>
        </w:rPr>
        <w:t> </w:t>
      </w:r>
      <w:r>
        <w:rPr>
          <w:color w:val="231F20"/>
        </w:rPr>
        <w:t>la</w:t>
      </w:r>
      <w:r>
        <w:rPr>
          <w:color w:val="231F20"/>
          <w:spacing w:val="-5"/>
        </w:rPr>
        <w:t> </w:t>
      </w:r>
      <w:r>
        <w:rPr>
          <w:color w:val="231F20"/>
        </w:rPr>
        <w:t>Universidad</w:t>
      </w:r>
      <w:r>
        <w:rPr>
          <w:color w:val="231F20"/>
          <w:spacing w:val="-4"/>
        </w:rPr>
        <w:t> </w:t>
      </w:r>
      <w:r>
        <w:rPr>
          <w:color w:val="231F20"/>
        </w:rPr>
        <w:t>del</w:t>
      </w:r>
      <w:r>
        <w:rPr>
          <w:color w:val="231F20"/>
          <w:spacing w:val="-5"/>
        </w:rPr>
        <w:t> </w:t>
      </w:r>
      <w:r>
        <w:rPr>
          <w:color w:val="231F20"/>
        </w:rPr>
        <w:t>Papaloapan,</w:t>
      </w:r>
      <w:r>
        <w:rPr>
          <w:color w:val="231F20"/>
          <w:spacing w:val="-4"/>
        </w:rPr>
        <w:t> </w:t>
      </w:r>
      <w:r>
        <w:rPr>
          <w:color w:val="231F20"/>
        </w:rPr>
        <w:t>Campus</w:t>
      </w:r>
      <w:r>
        <w:rPr>
          <w:color w:val="231F20"/>
          <w:spacing w:val="-5"/>
        </w:rPr>
        <w:t> </w:t>
      </w:r>
      <w:r>
        <w:rPr>
          <w:color w:val="231F20"/>
        </w:rPr>
        <w:t>Loma</w:t>
      </w:r>
      <w:r>
        <w:rPr>
          <w:color w:val="231F20"/>
          <w:spacing w:val="-5"/>
        </w:rPr>
        <w:t> </w:t>
      </w:r>
      <w:r>
        <w:rPr>
          <w:color w:val="231F20"/>
        </w:rPr>
        <w:t>Bonita,</w:t>
      </w:r>
      <w:r>
        <w:rPr>
          <w:color w:val="231F20"/>
          <w:spacing w:val="-5"/>
        </w:rPr>
        <w:t> </w:t>
      </w:r>
      <w:r>
        <w:rPr>
          <w:color w:val="231F20"/>
        </w:rPr>
        <w:t>la</w:t>
      </w:r>
      <w:r>
        <w:rPr>
          <w:color w:val="231F20"/>
          <w:spacing w:val="-5"/>
        </w:rPr>
        <w:t> </w:t>
      </w:r>
      <w:r>
        <w:rPr>
          <w:color w:val="231F20"/>
        </w:rPr>
        <w:t>cual</w:t>
      </w:r>
      <w:r>
        <w:rPr>
          <w:color w:val="231F20"/>
          <w:spacing w:val="-5"/>
        </w:rPr>
        <w:t> </w:t>
      </w:r>
      <w:r>
        <w:rPr>
          <w:color w:val="231F20"/>
        </w:rPr>
        <w:t>se</w:t>
      </w:r>
      <w:r>
        <w:rPr>
          <w:color w:val="231F20"/>
          <w:spacing w:val="-5"/>
        </w:rPr>
        <w:t> </w:t>
      </w:r>
      <w:r>
        <w:rPr>
          <w:color w:val="231F20"/>
        </w:rPr>
        <w:t>localiza</w:t>
      </w:r>
      <w:r>
        <w:rPr>
          <w:color w:val="231F20"/>
          <w:spacing w:val="-5"/>
        </w:rPr>
        <w:t> </w:t>
      </w:r>
      <w:r>
        <w:rPr>
          <w:color w:val="231F20"/>
        </w:rPr>
        <w:t>a</w:t>
      </w:r>
      <w:r>
        <w:rPr>
          <w:color w:val="231F20"/>
          <w:spacing w:val="-5"/>
        </w:rPr>
        <w:t> </w:t>
      </w:r>
      <w:r>
        <w:rPr>
          <w:color w:val="231F20"/>
        </w:rPr>
        <w:t>18°</w:t>
      </w:r>
      <w:r>
        <w:rPr>
          <w:color w:val="231F20"/>
          <w:spacing w:val="-5"/>
        </w:rPr>
        <w:t> </w:t>
      </w:r>
      <w:r>
        <w:rPr>
          <w:color w:val="231F20"/>
        </w:rPr>
        <w:t>06’</w:t>
      </w:r>
      <w:r>
        <w:rPr>
          <w:color w:val="231F20"/>
          <w:spacing w:val="30"/>
        </w:rPr>
        <w:t> </w:t>
      </w:r>
      <w:r>
        <w:rPr>
          <w:color w:val="231F20"/>
          <w:spacing w:val="-4"/>
        </w:rPr>
        <w:t>25’’</w:t>
      </w:r>
      <w:r>
        <w:rPr>
          <w:color w:val="231F20"/>
          <w:spacing w:val="-19"/>
        </w:rPr>
        <w:t> </w:t>
      </w:r>
      <w:r>
        <w:rPr>
          <w:color w:val="231F20"/>
        </w:rPr>
        <w:t>LN</w:t>
      </w:r>
      <w:r>
        <w:rPr>
          <w:color w:val="231F20"/>
          <w:spacing w:val="-5"/>
        </w:rPr>
        <w:t> </w:t>
      </w:r>
      <w:r>
        <w:rPr>
          <w:color w:val="231F20"/>
        </w:rPr>
        <w:t>y</w:t>
      </w:r>
      <w:r>
        <w:rPr>
          <w:color w:val="231F20"/>
          <w:spacing w:val="-5"/>
        </w:rPr>
        <w:t> </w:t>
      </w:r>
      <w:r>
        <w:rPr>
          <w:color w:val="231F20"/>
        </w:rPr>
        <w:t>95° 52’ </w:t>
      </w:r>
      <w:r>
        <w:rPr>
          <w:color w:val="231F20"/>
          <w:spacing w:val="-4"/>
        </w:rPr>
        <w:t>50’’ </w:t>
      </w:r>
      <w:r>
        <w:rPr>
          <w:color w:val="231F20"/>
          <w:spacing w:val="-8"/>
        </w:rPr>
        <w:t>LW </w:t>
      </w:r>
      <w:r>
        <w:rPr>
          <w:color w:val="231F20"/>
        </w:rPr>
        <w:t>a una altura de 25 msnm. El clima del lugar es Am (tropical lluvioso con abundantes lluvias en verano), con temperatura media del mes más frio mayor de 18 °C (García, 2004). La pre- cipitación</w:t>
      </w:r>
      <w:r>
        <w:rPr>
          <w:color w:val="231F20"/>
          <w:spacing w:val="-7"/>
        </w:rPr>
        <w:t> </w:t>
      </w:r>
      <w:r>
        <w:rPr>
          <w:color w:val="231F20"/>
        </w:rPr>
        <w:t>y</w:t>
      </w:r>
      <w:r>
        <w:rPr>
          <w:color w:val="231F20"/>
          <w:spacing w:val="-6"/>
        </w:rPr>
        <w:t> </w:t>
      </w:r>
      <w:r>
        <w:rPr>
          <w:color w:val="231F20"/>
        </w:rPr>
        <w:t>temperatura</w:t>
      </w:r>
      <w:r>
        <w:rPr>
          <w:color w:val="231F20"/>
          <w:spacing w:val="-7"/>
        </w:rPr>
        <w:t> </w:t>
      </w:r>
      <w:r>
        <w:rPr>
          <w:color w:val="231F20"/>
        </w:rPr>
        <w:t>media</w:t>
      </w:r>
      <w:r>
        <w:rPr>
          <w:color w:val="231F20"/>
          <w:spacing w:val="-6"/>
        </w:rPr>
        <w:t> </w:t>
      </w:r>
      <w:r>
        <w:rPr>
          <w:color w:val="231F20"/>
        </w:rPr>
        <w:t>anual</w:t>
      </w:r>
      <w:r>
        <w:rPr>
          <w:color w:val="231F20"/>
          <w:spacing w:val="-6"/>
        </w:rPr>
        <w:t> </w:t>
      </w:r>
      <w:r>
        <w:rPr>
          <w:color w:val="231F20"/>
        </w:rPr>
        <w:t>son</w:t>
      </w:r>
      <w:r>
        <w:rPr>
          <w:color w:val="231F20"/>
          <w:spacing w:val="-6"/>
        </w:rPr>
        <w:t> </w:t>
      </w:r>
      <w:r>
        <w:rPr>
          <w:color w:val="231F20"/>
        </w:rPr>
        <w:t>de</w:t>
      </w:r>
      <w:r>
        <w:rPr>
          <w:color w:val="231F20"/>
          <w:spacing w:val="-6"/>
        </w:rPr>
        <w:t> </w:t>
      </w:r>
      <w:r>
        <w:rPr>
          <w:color w:val="231F20"/>
        </w:rPr>
        <w:t>1845</w:t>
      </w:r>
      <w:r>
        <w:rPr>
          <w:color w:val="231F20"/>
          <w:spacing w:val="-6"/>
        </w:rPr>
        <w:t> </w:t>
      </w:r>
      <w:r>
        <w:rPr>
          <w:color w:val="231F20"/>
        </w:rPr>
        <w:t>mm</w:t>
      </w:r>
      <w:r>
        <w:rPr>
          <w:color w:val="231F20"/>
          <w:spacing w:val="-6"/>
        </w:rPr>
        <w:t> </w:t>
      </w:r>
      <w:r>
        <w:rPr>
          <w:color w:val="231F20"/>
        </w:rPr>
        <w:t>y</w:t>
      </w:r>
      <w:r>
        <w:rPr>
          <w:color w:val="231F20"/>
          <w:spacing w:val="-6"/>
        </w:rPr>
        <w:t> </w:t>
      </w:r>
      <w:r>
        <w:rPr>
          <w:color w:val="231F20"/>
        </w:rPr>
        <w:t>24.7</w:t>
      </w:r>
      <w:r>
        <w:rPr>
          <w:color w:val="231F20"/>
          <w:spacing w:val="-6"/>
        </w:rPr>
        <w:t> </w:t>
      </w:r>
      <w:r>
        <w:rPr>
          <w:color w:val="231F20"/>
        </w:rPr>
        <w:t>°C,</w:t>
      </w:r>
      <w:r>
        <w:rPr>
          <w:color w:val="231F20"/>
          <w:spacing w:val="-6"/>
        </w:rPr>
        <w:t> </w:t>
      </w:r>
      <w:r>
        <w:rPr>
          <w:color w:val="231F20"/>
        </w:rPr>
        <w:t>respectivamente</w:t>
      </w:r>
      <w:r>
        <w:rPr>
          <w:color w:val="231F20"/>
          <w:spacing w:val="-6"/>
        </w:rPr>
        <w:t> </w:t>
      </w:r>
      <w:r>
        <w:rPr>
          <w:color w:val="231F20"/>
        </w:rPr>
        <w:t>(Anónimo,</w:t>
      </w:r>
      <w:r>
        <w:rPr>
          <w:color w:val="231F20"/>
          <w:spacing w:val="-6"/>
        </w:rPr>
        <w:t> </w:t>
      </w:r>
      <w:r>
        <w:rPr>
          <w:color w:val="231F20"/>
        </w:rPr>
        <w:t>2005). Los suelos dominantes en el municipio son arenosoles cámbicos y acrisoles húmico y órtico, varios de los cuales presentan un pH ácido (Zetina </w:t>
      </w:r>
      <w:r>
        <w:rPr>
          <w:i/>
          <w:color w:val="231F20"/>
        </w:rPr>
        <w:t>et al. </w:t>
      </w:r>
      <w:r>
        <w:rPr>
          <w:color w:val="231F20"/>
        </w:rPr>
        <w:t>2002, Anónimo 2005). Se utilizó el híbrido de sorgo para grano </w:t>
      </w:r>
      <w:r>
        <w:rPr>
          <w:color w:val="231F20"/>
          <w:spacing w:val="-4"/>
        </w:rPr>
        <w:t>WAC-610, </w:t>
      </w:r>
      <w:r>
        <w:rPr>
          <w:color w:val="231F20"/>
        </w:rPr>
        <w:t>de reciente introducción en la</w:t>
      </w:r>
      <w:r>
        <w:rPr>
          <w:color w:val="231F20"/>
          <w:spacing w:val="-6"/>
        </w:rPr>
        <w:t> </w:t>
      </w:r>
      <w:r>
        <w:rPr>
          <w:color w:val="231F20"/>
        </w:rPr>
        <w:t>región.</w:t>
      </w:r>
    </w:p>
    <w:p>
      <w:pPr>
        <w:pStyle w:val="BodyText"/>
        <w:spacing w:before="10"/>
      </w:pPr>
    </w:p>
    <w:p>
      <w:pPr>
        <w:pStyle w:val="BodyText"/>
        <w:ind w:left="1270"/>
        <w:jc w:val="both"/>
      </w:pPr>
      <w:r>
        <w:rPr>
          <w:color w:val="231F20"/>
        </w:rPr>
        <w:t>Tratamientos, diseño y parcela experimental. Se evaluaron cuatro densidades de siembra: voleo,</w:t>
      </w:r>
    </w:p>
    <w:p>
      <w:pPr>
        <w:pStyle w:val="BodyText"/>
        <w:spacing w:before="8"/>
        <w:ind w:left="1270"/>
        <w:jc w:val="both"/>
      </w:pPr>
      <w:r>
        <w:rPr>
          <w:color w:val="231F20"/>
        </w:rPr>
        <w:t>178,500; 212,500, 250,000 plantas•ha-1 y dos fertilizaciones nitrogenadas: 120 unidades de nitróge-</w:t>
      </w:r>
    </w:p>
    <w:p>
      <w:pPr>
        <w:spacing w:after="0"/>
        <w:jc w:val="both"/>
        <w:sectPr>
          <w:pgSz w:w="10920" w:h="13080"/>
          <w:pgMar w:header="0" w:footer="965" w:top="420" w:bottom="1220" w:left="0" w:right="0"/>
        </w:sectPr>
      </w:pPr>
    </w:p>
    <w:p>
      <w:pPr>
        <w:pStyle w:val="BodyText"/>
        <w:rPr>
          <w:sz w:val="20"/>
        </w:rPr>
      </w:pPr>
    </w:p>
    <w:p>
      <w:pPr>
        <w:pStyle w:val="BodyText"/>
        <w:rPr>
          <w:sz w:val="20"/>
        </w:rPr>
      </w:pPr>
    </w:p>
    <w:p>
      <w:pPr>
        <w:pStyle w:val="BodyText"/>
        <w:rPr>
          <w:sz w:val="23"/>
        </w:rPr>
      </w:pPr>
    </w:p>
    <w:p>
      <w:pPr>
        <w:pStyle w:val="BodyText"/>
        <w:spacing w:line="249" w:lineRule="auto" w:before="73"/>
        <w:ind w:left="1270" w:right="1266"/>
        <w:jc w:val="both"/>
      </w:pPr>
      <w:r>
        <w:rPr>
          <w:color w:val="231F20"/>
        </w:rPr>
        <w:t>no</w:t>
      </w:r>
      <w:r>
        <w:rPr>
          <w:color w:val="231F20"/>
          <w:spacing w:val="-3"/>
        </w:rPr>
        <w:t> </w:t>
      </w:r>
      <w:r>
        <w:rPr>
          <w:color w:val="231F20"/>
        </w:rPr>
        <w:t>(CF)</w:t>
      </w:r>
      <w:r>
        <w:rPr>
          <w:color w:val="231F20"/>
          <w:spacing w:val="-3"/>
        </w:rPr>
        <w:t> </w:t>
      </w:r>
      <w:r>
        <w:rPr>
          <w:color w:val="231F20"/>
        </w:rPr>
        <w:t>y</w:t>
      </w:r>
      <w:r>
        <w:rPr>
          <w:color w:val="231F20"/>
          <w:spacing w:val="-3"/>
        </w:rPr>
        <w:t> </w:t>
      </w:r>
      <w:r>
        <w:rPr>
          <w:color w:val="231F20"/>
        </w:rPr>
        <w:t>sin</w:t>
      </w:r>
      <w:r>
        <w:rPr>
          <w:color w:val="231F20"/>
          <w:spacing w:val="-3"/>
        </w:rPr>
        <w:t> </w:t>
      </w:r>
      <w:r>
        <w:rPr>
          <w:color w:val="231F20"/>
        </w:rPr>
        <w:t>fertilización</w:t>
      </w:r>
      <w:r>
        <w:rPr>
          <w:color w:val="231F20"/>
          <w:spacing w:val="-3"/>
        </w:rPr>
        <w:t> </w:t>
      </w:r>
      <w:r>
        <w:rPr>
          <w:color w:val="231F20"/>
        </w:rPr>
        <w:t>(SF).</w:t>
      </w:r>
      <w:r>
        <w:rPr>
          <w:color w:val="231F20"/>
          <w:spacing w:val="-3"/>
        </w:rPr>
        <w:t> </w:t>
      </w:r>
      <w:r>
        <w:rPr>
          <w:color w:val="231F20"/>
        </w:rPr>
        <w:t>Los</w:t>
      </w:r>
      <w:r>
        <w:rPr>
          <w:color w:val="231F20"/>
          <w:spacing w:val="-3"/>
        </w:rPr>
        <w:t> </w:t>
      </w:r>
      <w:r>
        <w:rPr>
          <w:color w:val="231F20"/>
        </w:rPr>
        <w:t>tratamientos</w:t>
      </w:r>
      <w:r>
        <w:rPr>
          <w:color w:val="231F20"/>
          <w:spacing w:val="-3"/>
        </w:rPr>
        <w:t> </w:t>
      </w:r>
      <w:r>
        <w:rPr>
          <w:color w:val="231F20"/>
        </w:rPr>
        <w:t>fueron:</w:t>
      </w:r>
      <w:r>
        <w:rPr>
          <w:color w:val="231F20"/>
          <w:spacing w:val="-6"/>
        </w:rPr>
        <w:t> </w:t>
      </w:r>
      <w:r>
        <w:rPr>
          <w:color w:val="231F20"/>
        </w:rPr>
        <w:t>T1=178,500</w:t>
      </w:r>
      <w:r>
        <w:rPr>
          <w:color w:val="231F20"/>
          <w:spacing w:val="-3"/>
        </w:rPr>
        <w:t> </w:t>
      </w:r>
      <w:r>
        <w:rPr>
          <w:color w:val="231F20"/>
        </w:rPr>
        <w:t>plantas•ha-1</w:t>
      </w:r>
      <w:r>
        <w:rPr>
          <w:color w:val="231F20"/>
          <w:spacing w:val="-3"/>
        </w:rPr>
        <w:t> </w:t>
      </w:r>
      <w:r>
        <w:rPr>
          <w:color w:val="231F20"/>
        </w:rPr>
        <w:t>CF;</w:t>
      </w:r>
      <w:r>
        <w:rPr>
          <w:color w:val="231F20"/>
          <w:spacing w:val="-6"/>
        </w:rPr>
        <w:t> </w:t>
      </w:r>
      <w:r>
        <w:rPr>
          <w:color w:val="231F20"/>
        </w:rPr>
        <w:t>T2=178,500 plantas•ha</w:t>
      </w:r>
      <w:r>
        <w:rPr>
          <w:color w:val="231F20"/>
          <w:position w:val="7"/>
          <w:sz w:val="12"/>
        </w:rPr>
        <w:t>-1 </w:t>
      </w:r>
      <w:r>
        <w:rPr>
          <w:color w:val="231F20"/>
        </w:rPr>
        <w:t>SF; T3=212,500 plantas•ha</w:t>
      </w:r>
      <w:r>
        <w:rPr>
          <w:color w:val="231F20"/>
          <w:position w:val="7"/>
          <w:sz w:val="12"/>
        </w:rPr>
        <w:t>-1 </w:t>
      </w:r>
      <w:r>
        <w:rPr>
          <w:color w:val="231F20"/>
        </w:rPr>
        <w:t>CF; T4=212,500 plantas•ha</w:t>
      </w:r>
      <w:r>
        <w:rPr>
          <w:color w:val="231F20"/>
          <w:position w:val="7"/>
          <w:sz w:val="12"/>
        </w:rPr>
        <w:t>-1 </w:t>
      </w:r>
      <w:r>
        <w:rPr>
          <w:color w:val="231F20"/>
        </w:rPr>
        <w:t>SF; T5=250,000 plantas•ha</w:t>
      </w:r>
      <w:r>
        <w:rPr>
          <w:color w:val="231F20"/>
          <w:position w:val="7"/>
          <w:sz w:val="12"/>
        </w:rPr>
        <w:t>-1 </w:t>
      </w:r>
      <w:r>
        <w:rPr>
          <w:color w:val="231F20"/>
        </w:rPr>
        <w:t>CF; T6=250,000 plantas•ha</w:t>
      </w:r>
      <w:r>
        <w:rPr>
          <w:color w:val="231F20"/>
          <w:position w:val="7"/>
          <w:sz w:val="12"/>
        </w:rPr>
        <w:t>-1 </w:t>
      </w:r>
      <w:r>
        <w:rPr>
          <w:color w:val="231F20"/>
        </w:rPr>
        <w:t>SF; </w:t>
      </w:r>
      <w:r>
        <w:rPr>
          <w:color w:val="231F20"/>
          <w:spacing w:val="-4"/>
        </w:rPr>
        <w:t>T7=Voleo </w:t>
      </w:r>
      <w:r>
        <w:rPr>
          <w:color w:val="231F20"/>
        </w:rPr>
        <w:t>CF; </w:t>
      </w:r>
      <w:r>
        <w:rPr>
          <w:color w:val="231F20"/>
          <w:spacing w:val="-4"/>
        </w:rPr>
        <w:t>T8=Voleo </w:t>
      </w:r>
      <w:r>
        <w:rPr>
          <w:color w:val="231F20"/>
          <w:spacing w:val="-6"/>
        </w:rPr>
        <w:t>SF. </w:t>
      </w:r>
      <w:r>
        <w:rPr>
          <w:color w:val="231F20"/>
        </w:rPr>
        <w:t>Los tratamientos fueron la combina- ción</w:t>
      </w:r>
      <w:r>
        <w:rPr>
          <w:color w:val="231F20"/>
          <w:spacing w:val="-4"/>
        </w:rPr>
        <w:t> </w:t>
      </w:r>
      <w:r>
        <w:rPr>
          <w:color w:val="231F20"/>
        </w:rPr>
        <w:t>de</w:t>
      </w:r>
      <w:r>
        <w:rPr>
          <w:color w:val="231F20"/>
          <w:spacing w:val="-4"/>
        </w:rPr>
        <w:t> </w:t>
      </w:r>
      <w:r>
        <w:rPr>
          <w:color w:val="231F20"/>
        </w:rPr>
        <w:t>densidades</w:t>
      </w:r>
      <w:r>
        <w:rPr>
          <w:color w:val="231F20"/>
          <w:spacing w:val="-4"/>
        </w:rPr>
        <w:t> </w:t>
      </w:r>
      <w:r>
        <w:rPr>
          <w:color w:val="231F20"/>
        </w:rPr>
        <w:t>y</w:t>
      </w:r>
      <w:r>
        <w:rPr>
          <w:color w:val="231F20"/>
          <w:spacing w:val="-4"/>
        </w:rPr>
        <w:t> </w:t>
      </w:r>
      <w:r>
        <w:rPr>
          <w:color w:val="231F20"/>
        </w:rPr>
        <w:t>niveles</w:t>
      </w:r>
      <w:r>
        <w:rPr>
          <w:color w:val="231F20"/>
          <w:spacing w:val="-4"/>
        </w:rPr>
        <w:t> </w:t>
      </w:r>
      <w:r>
        <w:rPr>
          <w:color w:val="231F20"/>
        </w:rPr>
        <w:t>de</w:t>
      </w:r>
      <w:r>
        <w:rPr>
          <w:color w:val="231F20"/>
          <w:spacing w:val="-4"/>
        </w:rPr>
        <w:t> </w:t>
      </w:r>
      <w:r>
        <w:rPr>
          <w:color w:val="231F20"/>
        </w:rPr>
        <w:t>fertilización,</w:t>
      </w:r>
      <w:r>
        <w:rPr>
          <w:color w:val="231F20"/>
          <w:spacing w:val="-4"/>
        </w:rPr>
        <w:t> </w:t>
      </w:r>
      <w:r>
        <w:rPr>
          <w:color w:val="231F20"/>
        </w:rPr>
        <w:t>siendo</w:t>
      </w:r>
      <w:r>
        <w:rPr>
          <w:color w:val="231F20"/>
          <w:spacing w:val="-7"/>
        </w:rPr>
        <w:t> </w:t>
      </w:r>
      <w:r>
        <w:rPr>
          <w:color w:val="231F20"/>
        </w:rPr>
        <w:t>T8</w:t>
      </w:r>
      <w:r>
        <w:rPr>
          <w:color w:val="231F20"/>
          <w:spacing w:val="-4"/>
        </w:rPr>
        <w:t> </w:t>
      </w:r>
      <w:r>
        <w:rPr>
          <w:color w:val="231F20"/>
        </w:rPr>
        <w:t>el</w:t>
      </w:r>
      <w:r>
        <w:rPr>
          <w:color w:val="231F20"/>
          <w:spacing w:val="-4"/>
        </w:rPr>
        <w:t> </w:t>
      </w:r>
      <w:r>
        <w:rPr>
          <w:color w:val="231F20"/>
        </w:rPr>
        <w:t>testigo.</w:t>
      </w:r>
      <w:r>
        <w:rPr>
          <w:color w:val="231F20"/>
          <w:spacing w:val="-4"/>
        </w:rPr>
        <w:t> </w:t>
      </w:r>
      <w:r>
        <w:rPr>
          <w:color w:val="231F20"/>
        </w:rPr>
        <w:t>La</w:t>
      </w:r>
      <w:r>
        <w:rPr>
          <w:color w:val="231F20"/>
          <w:spacing w:val="-4"/>
        </w:rPr>
        <w:t> </w:t>
      </w:r>
      <w:r>
        <w:rPr>
          <w:color w:val="231F20"/>
        </w:rPr>
        <w:t>distribución</w:t>
      </w:r>
      <w:r>
        <w:rPr>
          <w:color w:val="231F20"/>
          <w:spacing w:val="-4"/>
        </w:rPr>
        <w:t> </w:t>
      </w:r>
      <w:r>
        <w:rPr>
          <w:color w:val="231F20"/>
        </w:rPr>
        <w:t>de</w:t>
      </w:r>
      <w:r>
        <w:rPr>
          <w:color w:val="231F20"/>
          <w:spacing w:val="-4"/>
        </w:rPr>
        <w:t> </w:t>
      </w:r>
      <w:r>
        <w:rPr>
          <w:color w:val="231F20"/>
        </w:rPr>
        <w:t>tratamientos</w:t>
      </w:r>
      <w:r>
        <w:rPr>
          <w:color w:val="231F20"/>
          <w:spacing w:val="-4"/>
        </w:rPr>
        <w:t> </w:t>
      </w:r>
      <w:r>
        <w:rPr>
          <w:color w:val="231F20"/>
        </w:rPr>
        <w:t>se realizó en campo bajo un diseño de bloques al azar con cuatro repeticiones. La unidad experimental de 16 m</w:t>
      </w:r>
      <w:r>
        <w:rPr>
          <w:color w:val="231F20"/>
          <w:position w:val="7"/>
          <w:sz w:val="12"/>
        </w:rPr>
        <w:t>2  </w:t>
      </w:r>
      <w:r>
        <w:rPr>
          <w:color w:val="231F20"/>
        </w:rPr>
        <w:t>se conformó de 4 surcos de 5 m de</w:t>
      </w:r>
      <w:r>
        <w:rPr>
          <w:color w:val="231F20"/>
          <w:spacing w:val="-15"/>
        </w:rPr>
        <w:t> </w:t>
      </w:r>
      <w:r>
        <w:rPr>
          <w:color w:val="231F20"/>
        </w:rPr>
        <w:t>longitud.</w:t>
      </w:r>
    </w:p>
    <w:p>
      <w:pPr>
        <w:pStyle w:val="BodyText"/>
        <w:spacing w:before="7"/>
      </w:pPr>
    </w:p>
    <w:p>
      <w:pPr>
        <w:pStyle w:val="BodyText"/>
        <w:spacing w:line="249" w:lineRule="auto"/>
        <w:ind w:left="1270" w:right="1266"/>
        <w:jc w:val="both"/>
      </w:pPr>
      <w:r>
        <w:rPr>
          <w:color w:val="231F20"/>
        </w:rPr>
        <w:t>Manejo general del cultivo. La preparación del terreno con maquinaria consistió en barbecho, ras- treo, cruza y surcado a 80 cm entre líneas. La siembra se efectuó manualmente el seis de Agosto  del año 2009, depositando la semilla al voleo en el testigo y en los demás tratamientos la semilla   se depositó a chorro en el fondo de cada surco a una profundidad de dos centímetros. Cuando las plantas tenían una altura de 15 cm se raleó a 7.0 cm, 6.0 cm y 5.0 cm para ajustar las densidades de 178,500; 212,500 y 250,000 plantas por hectárea. En el primer control de malezas, 25 días después de siembra, se fertilizó a los tratamientos que así lo requirieron con la fórmula 120-00-00, aplican- do la mitad del nitrógeno (urea; 46% N). Con el segundo control de malezas 20 días después de la primera fertilización se incorporó el nitrógeno restante, según la recomendación de Ruíz y Carrillo (2005) para sorgo de riego en Oaxaca. Las malezas se eliminaron manualmente. Para controlar gu- sano cogollero (Spodoptera frugiperda), pulgón del cogollo (Rhopalosiphum maidis) y mosquita de la panoja (Contarinia sorghicola) se aplicó Lorsban 480 CE 0.75 L•ha</w:t>
      </w:r>
      <w:r>
        <w:rPr>
          <w:color w:val="231F20"/>
          <w:position w:val="7"/>
          <w:sz w:val="12"/>
        </w:rPr>
        <w:t>-1</w:t>
      </w:r>
      <w:r>
        <w:rPr>
          <w:color w:val="231F20"/>
        </w:rPr>
        <w:t>. Paration metílico (Foley 35 CE) en dosis de 1 L•h</w:t>
      </w:r>
      <w:r>
        <w:rPr>
          <w:color w:val="231F20"/>
          <w:position w:val="7"/>
          <w:sz w:val="12"/>
        </w:rPr>
        <w:t>-1 </w:t>
      </w:r>
      <w:r>
        <w:rPr>
          <w:color w:val="231F20"/>
        </w:rPr>
        <w:t>previno el ataque de chapulines (Melanoplus sp) y diabróticas (Diabrotica spp). Para evitar daños a panojas por ataque de pájaros se vigiló el cultivo mañana y tarde, previo inicio de madurez del grano hasta cosecha, la cual se efectuó 106 días después de la </w:t>
      </w:r>
      <w:r>
        <w:rPr>
          <w:color w:val="231F20"/>
          <w:spacing w:val="36"/>
        </w:rPr>
        <w:t> </w:t>
      </w:r>
      <w:r>
        <w:rPr>
          <w:color w:val="231F20"/>
        </w:rPr>
        <w:t>siembra.</w:t>
      </w:r>
    </w:p>
    <w:p>
      <w:pPr>
        <w:pStyle w:val="BodyText"/>
        <w:spacing w:before="7"/>
      </w:pPr>
    </w:p>
    <w:p>
      <w:pPr>
        <w:pStyle w:val="BodyText"/>
        <w:spacing w:line="247" w:lineRule="auto"/>
        <w:ind w:left="1270" w:right="1265"/>
        <w:jc w:val="both"/>
      </w:pPr>
      <w:r>
        <w:rPr>
          <w:color w:val="231F20"/>
        </w:rPr>
        <w:t>Variables registradas. Se utilizó una parcela útil conformada por dos surcos centrales de 5 m de longitud, de los que se seleccionaron diez plantas al azar con competencia completa dentro de cada parcela para hacer las estimaciones de crecimiento y rendimiento. De crecimiento se midió: altura de planta (ALP; cm) desde la base del tallo a nivel del suelo hasta el extremo superior de la pano- ja. Longitud de panoja (LPA; cm) desde la base del raquis hasta el ápice (extremo superior) de la panoja, para ello se usó una regla metálica. Longitud del pedúnculo (LPE; cm) consideró desde la inserción de la hoja bandera hasta donde termina el último nudo. Para diámetro del tallo (DTA; cm) se utilizó un vernier que se colocó a nivel de la parte media del tallo a la altura del primer entre- nudo de la planta. El número de nudos por planta (NPP), se estimó contabilizando todos los nudos presentes en el tallo.</w:t>
      </w:r>
    </w:p>
    <w:p>
      <w:pPr>
        <w:pStyle w:val="BodyText"/>
        <w:spacing w:before="10"/>
      </w:pPr>
    </w:p>
    <w:p>
      <w:pPr>
        <w:pStyle w:val="BodyText"/>
        <w:spacing w:line="247" w:lineRule="auto"/>
        <w:ind w:left="1270" w:right="1267"/>
        <w:jc w:val="both"/>
      </w:pPr>
      <w:r>
        <w:rPr>
          <w:color w:val="231F20"/>
        </w:rPr>
        <w:t>Para</w:t>
      </w:r>
      <w:r>
        <w:rPr>
          <w:color w:val="231F20"/>
          <w:spacing w:val="-11"/>
        </w:rPr>
        <w:t> </w:t>
      </w:r>
      <w:r>
        <w:rPr>
          <w:color w:val="231F20"/>
        </w:rPr>
        <w:t>rendimiento,</w:t>
      </w:r>
      <w:r>
        <w:rPr>
          <w:color w:val="231F20"/>
          <w:spacing w:val="-12"/>
        </w:rPr>
        <w:t> </w:t>
      </w:r>
      <w:r>
        <w:rPr>
          <w:color w:val="231F20"/>
        </w:rPr>
        <w:t>los</w:t>
      </w:r>
      <w:r>
        <w:rPr>
          <w:color w:val="231F20"/>
          <w:spacing w:val="-12"/>
        </w:rPr>
        <w:t> </w:t>
      </w:r>
      <w:r>
        <w:rPr>
          <w:color w:val="231F20"/>
        </w:rPr>
        <w:t>pesos</w:t>
      </w:r>
      <w:r>
        <w:rPr>
          <w:color w:val="231F20"/>
          <w:spacing w:val="-12"/>
        </w:rPr>
        <w:t> </w:t>
      </w:r>
      <w:r>
        <w:rPr>
          <w:color w:val="231F20"/>
        </w:rPr>
        <w:t>se</w:t>
      </w:r>
      <w:r>
        <w:rPr>
          <w:color w:val="231F20"/>
          <w:spacing w:val="-11"/>
        </w:rPr>
        <w:t> </w:t>
      </w:r>
      <w:r>
        <w:rPr>
          <w:color w:val="231F20"/>
        </w:rPr>
        <w:t>obtuvieron</w:t>
      </w:r>
      <w:r>
        <w:rPr>
          <w:color w:val="231F20"/>
          <w:spacing w:val="-12"/>
        </w:rPr>
        <w:t> </w:t>
      </w:r>
      <w:r>
        <w:rPr>
          <w:color w:val="231F20"/>
        </w:rPr>
        <w:t>utilizando</w:t>
      </w:r>
      <w:r>
        <w:rPr>
          <w:color w:val="231F20"/>
          <w:spacing w:val="-12"/>
        </w:rPr>
        <w:t> </w:t>
      </w:r>
      <w:r>
        <w:rPr>
          <w:color w:val="231F20"/>
        </w:rPr>
        <w:t>una</w:t>
      </w:r>
      <w:r>
        <w:rPr>
          <w:color w:val="231F20"/>
          <w:spacing w:val="-12"/>
        </w:rPr>
        <w:t> </w:t>
      </w:r>
      <w:r>
        <w:rPr>
          <w:color w:val="231F20"/>
        </w:rPr>
        <w:t>báscula</w:t>
      </w:r>
      <w:r>
        <w:rPr>
          <w:color w:val="231F20"/>
          <w:spacing w:val="-12"/>
        </w:rPr>
        <w:t> </w:t>
      </w:r>
      <w:r>
        <w:rPr>
          <w:color w:val="231F20"/>
        </w:rPr>
        <w:t>digital</w:t>
      </w:r>
      <w:r>
        <w:rPr>
          <w:color w:val="231F20"/>
          <w:spacing w:val="-12"/>
        </w:rPr>
        <w:t> </w:t>
      </w:r>
      <w:r>
        <w:rPr>
          <w:color w:val="231F20"/>
        </w:rPr>
        <w:t>(modelo</w:t>
      </w:r>
      <w:r>
        <w:rPr>
          <w:color w:val="231F20"/>
          <w:spacing w:val="-12"/>
        </w:rPr>
        <w:t> </w:t>
      </w:r>
      <w:r>
        <w:rPr>
          <w:color w:val="231F20"/>
        </w:rPr>
        <w:t>Scout</w:t>
      </w:r>
      <w:r>
        <w:rPr>
          <w:color w:val="231F20"/>
          <w:spacing w:val="-11"/>
        </w:rPr>
        <w:t> </w:t>
      </w:r>
      <w:r>
        <w:rPr>
          <w:color w:val="231F20"/>
        </w:rPr>
        <w:t>pro</w:t>
      </w:r>
      <w:r>
        <w:rPr>
          <w:color w:val="231F20"/>
          <w:spacing w:val="-12"/>
        </w:rPr>
        <w:t> </w:t>
      </w:r>
      <w:r>
        <w:rPr>
          <w:color w:val="231F20"/>
        </w:rPr>
        <w:t>2000);</w:t>
      </w:r>
      <w:r>
        <w:rPr>
          <w:color w:val="231F20"/>
          <w:spacing w:val="-12"/>
        </w:rPr>
        <w:t> </w:t>
      </w:r>
      <w:r>
        <w:rPr>
          <w:color w:val="231F20"/>
        </w:rPr>
        <w:t>así peso de hojas (PEH; g), se estimó considerando todas las hojas de la planta. Peso de tallos </w:t>
      </w:r>
      <w:r>
        <w:rPr>
          <w:color w:val="231F20"/>
          <w:spacing w:val="-3"/>
        </w:rPr>
        <w:t>(PET; </w:t>
      </w:r>
      <w:r>
        <w:rPr>
          <w:color w:val="231F20"/>
        </w:rPr>
        <w:t>g), cuando</w:t>
      </w:r>
      <w:r>
        <w:rPr>
          <w:color w:val="231F20"/>
          <w:spacing w:val="-9"/>
        </w:rPr>
        <w:t> </w:t>
      </w:r>
      <w:r>
        <w:rPr>
          <w:color w:val="231F20"/>
        </w:rPr>
        <w:t>estuvieron</w:t>
      </w:r>
      <w:r>
        <w:rPr>
          <w:color w:val="231F20"/>
          <w:spacing w:val="-9"/>
        </w:rPr>
        <w:t> </w:t>
      </w:r>
      <w:r>
        <w:rPr>
          <w:color w:val="231F20"/>
        </w:rPr>
        <w:t>libres</w:t>
      </w:r>
      <w:r>
        <w:rPr>
          <w:color w:val="231F20"/>
          <w:spacing w:val="-9"/>
        </w:rPr>
        <w:t> </w:t>
      </w:r>
      <w:r>
        <w:rPr>
          <w:color w:val="231F20"/>
        </w:rPr>
        <w:t>de</w:t>
      </w:r>
      <w:r>
        <w:rPr>
          <w:color w:val="231F20"/>
          <w:spacing w:val="-9"/>
        </w:rPr>
        <w:t> </w:t>
      </w:r>
      <w:r>
        <w:rPr>
          <w:color w:val="231F20"/>
        </w:rPr>
        <w:t>hojas,</w:t>
      </w:r>
      <w:r>
        <w:rPr>
          <w:color w:val="231F20"/>
          <w:spacing w:val="-9"/>
        </w:rPr>
        <w:t> </w:t>
      </w:r>
      <w:r>
        <w:rPr>
          <w:color w:val="231F20"/>
        </w:rPr>
        <w:t>raíces</w:t>
      </w:r>
      <w:r>
        <w:rPr>
          <w:color w:val="231F20"/>
          <w:spacing w:val="-9"/>
        </w:rPr>
        <w:t> </w:t>
      </w:r>
      <w:r>
        <w:rPr>
          <w:color w:val="231F20"/>
        </w:rPr>
        <w:t>y</w:t>
      </w:r>
      <w:r>
        <w:rPr>
          <w:color w:val="231F20"/>
          <w:spacing w:val="-9"/>
        </w:rPr>
        <w:t> </w:t>
      </w:r>
      <w:r>
        <w:rPr>
          <w:color w:val="231F20"/>
        </w:rPr>
        <w:t>panojas.</w:t>
      </w:r>
      <w:r>
        <w:rPr>
          <w:color w:val="231F20"/>
          <w:spacing w:val="-9"/>
        </w:rPr>
        <w:t> </w:t>
      </w:r>
      <w:r>
        <w:rPr>
          <w:color w:val="231F20"/>
        </w:rPr>
        <w:t>Peso</w:t>
      </w:r>
      <w:r>
        <w:rPr>
          <w:color w:val="231F20"/>
          <w:spacing w:val="-9"/>
        </w:rPr>
        <w:t> </w:t>
      </w:r>
      <w:r>
        <w:rPr>
          <w:color w:val="231F20"/>
        </w:rPr>
        <w:t>de</w:t>
      </w:r>
      <w:r>
        <w:rPr>
          <w:color w:val="231F20"/>
          <w:spacing w:val="-9"/>
        </w:rPr>
        <w:t> </w:t>
      </w:r>
      <w:r>
        <w:rPr>
          <w:color w:val="231F20"/>
        </w:rPr>
        <w:t>panojas</w:t>
      </w:r>
      <w:r>
        <w:rPr>
          <w:color w:val="231F20"/>
          <w:spacing w:val="-9"/>
        </w:rPr>
        <w:t> </w:t>
      </w:r>
      <w:r>
        <w:rPr>
          <w:color w:val="231F20"/>
        </w:rPr>
        <w:t>(PEP;</w:t>
      </w:r>
      <w:r>
        <w:rPr>
          <w:color w:val="231F20"/>
          <w:spacing w:val="-9"/>
        </w:rPr>
        <w:t> </w:t>
      </w:r>
      <w:r>
        <w:rPr>
          <w:color w:val="231F20"/>
        </w:rPr>
        <w:t>g),</w:t>
      </w:r>
      <w:r>
        <w:rPr>
          <w:color w:val="231F20"/>
          <w:spacing w:val="-9"/>
        </w:rPr>
        <w:t> </w:t>
      </w:r>
      <w:r>
        <w:rPr>
          <w:color w:val="231F20"/>
        </w:rPr>
        <w:t>se</w:t>
      </w:r>
      <w:r>
        <w:rPr>
          <w:color w:val="231F20"/>
          <w:spacing w:val="-9"/>
        </w:rPr>
        <w:t> </w:t>
      </w:r>
      <w:r>
        <w:rPr>
          <w:color w:val="231F20"/>
        </w:rPr>
        <w:t>pesaron</w:t>
      </w:r>
      <w:r>
        <w:rPr>
          <w:color w:val="231F20"/>
          <w:spacing w:val="-9"/>
        </w:rPr>
        <w:t> </w:t>
      </w:r>
      <w:r>
        <w:rPr>
          <w:color w:val="231F20"/>
        </w:rPr>
        <w:t>panojas</w:t>
      </w:r>
      <w:r>
        <w:rPr>
          <w:color w:val="231F20"/>
          <w:spacing w:val="-9"/>
        </w:rPr>
        <w:t> </w:t>
      </w:r>
      <w:r>
        <w:rPr>
          <w:color w:val="231F20"/>
        </w:rPr>
        <w:t>con sus</w:t>
      </w:r>
      <w:r>
        <w:rPr>
          <w:color w:val="231F20"/>
          <w:spacing w:val="-4"/>
        </w:rPr>
        <w:t> </w:t>
      </w:r>
      <w:r>
        <w:rPr>
          <w:color w:val="231F20"/>
        </w:rPr>
        <w:t>granos.</w:t>
      </w:r>
      <w:r>
        <w:rPr>
          <w:color w:val="231F20"/>
          <w:spacing w:val="-4"/>
        </w:rPr>
        <w:t> </w:t>
      </w:r>
      <w:r>
        <w:rPr>
          <w:color w:val="231F20"/>
        </w:rPr>
        <w:t>Espiguillas</w:t>
      </w:r>
      <w:r>
        <w:rPr>
          <w:color w:val="231F20"/>
          <w:spacing w:val="-4"/>
        </w:rPr>
        <w:t> </w:t>
      </w:r>
      <w:r>
        <w:rPr>
          <w:color w:val="231F20"/>
        </w:rPr>
        <w:t>por</w:t>
      </w:r>
      <w:r>
        <w:rPr>
          <w:color w:val="231F20"/>
          <w:spacing w:val="-4"/>
        </w:rPr>
        <w:t> </w:t>
      </w:r>
      <w:r>
        <w:rPr>
          <w:color w:val="231F20"/>
        </w:rPr>
        <w:t>panoja</w:t>
      </w:r>
      <w:r>
        <w:rPr>
          <w:color w:val="231F20"/>
          <w:spacing w:val="-4"/>
        </w:rPr>
        <w:t> (ESPA), </w:t>
      </w:r>
      <w:r>
        <w:rPr>
          <w:color w:val="231F20"/>
        </w:rPr>
        <w:t>se</w:t>
      </w:r>
      <w:r>
        <w:rPr>
          <w:color w:val="231F20"/>
          <w:spacing w:val="-4"/>
        </w:rPr>
        <w:t> </w:t>
      </w:r>
      <w:r>
        <w:rPr>
          <w:color w:val="231F20"/>
        </w:rPr>
        <w:t>contabilizó</w:t>
      </w:r>
      <w:r>
        <w:rPr>
          <w:color w:val="231F20"/>
          <w:spacing w:val="-4"/>
        </w:rPr>
        <w:t> </w:t>
      </w:r>
      <w:r>
        <w:rPr>
          <w:color w:val="231F20"/>
        </w:rPr>
        <w:t>el</w:t>
      </w:r>
      <w:r>
        <w:rPr>
          <w:color w:val="231F20"/>
          <w:spacing w:val="-4"/>
        </w:rPr>
        <w:t> </w:t>
      </w:r>
      <w:r>
        <w:rPr>
          <w:color w:val="231F20"/>
        </w:rPr>
        <w:t>número</w:t>
      </w:r>
      <w:r>
        <w:rPr>
          <w:color w:val="231F20"/>
          <w:spacing w:val="-4"/>
        </w:rPr>
        <w:t> </w:t>
      </w:r>
      <w:r>
        <w:rPr>
          <w:color w:val="231F20"/>
        </w:rPr>
        <w:t>total</w:t>
      </w:r>
      <w:r>
        <w:rPr>
          <w:color w:val="231F20"/>
          <w:spacing w:val="-4"/>
        </w:rPr>
        <w:t> </w:t>
      </w:r>
      <w:r>
        <w:rPr>
          <w:color w:val="231F20"/>
        </w:rPr>
        <w:t>de</w:t>
      </w:r>
      <w:r>
        <w:rPr>
          <w:color w:val="231F20"/>
          <w:spacing w:val="-4"/>
        </w:rPr>
        <w:t> </w:t>
      </w:r>
      <w:r>
        <w:rPr>
          <w:color w:val="231F20"/>
        </w:rPr>
        <w:t>espiguillas</w:t>
      </w:r>
      <w:r>
        <w:rPr>
          <w:color w:val="231F20"/>
          <w:spacing w:val="-4"/>
        </w:rPr>
        <w:t> </w:t>
      </w:r>
      <w:r>
        <w:rPr>
          <w:color w:val="231F20"/>
        </w:rPr>
        <w:t>presentes</w:t>
      </w:r>
      <w:r>
        <w:rPr>
          <w:color w:val="231F20"/>
          <w:spacing w:val="-4"/>
        </w:rPr>
        <w:t> </w:t>
      </w:r>
      <w:r>
        <w:rPr>
          <w:color w:val="231F20"/>
        </w:rPr>
        <w:t>en las panojas de plantas seleccionadas. Número de granos por espiguilla (GPE), de cinco espiguillas representativas por panoja se contó el número de granos totales en cada una y se obtuvo un prome- dio. Granos por panoja </w:t>
      </w:r>
      <w:r>
        <w:rPr>
          <w:color w:val="231F20"/>
          <w:spacing w:val="-4"/>
        </w:rPr>
        <w:t>(GPA), </w:t>
      </w:r>
      <w:r>
        <w:rPr>
          <w:color w:val="231F20"/>
        </w:rPr>
        <w:t>se desgranaron cinco panojas, de las que se contó el número total</w:t>
      </w:r>
      <w:r>
        <w:rPr>
          <w:color w:val="231F20"/>
          <w:spacing w:val="29"/>
        </w:rPr>
        <w:t> </w:t>
      </w:r>
      <w:r>
        <w:rPr>
          <w:color w:val="231F20"/>
        </w:rPr>
        <w:t>de</w:t>
      </w:r>
    </w:p>
    <w:p>
      <w:pPr>
        <w:spacing w:after="0" w:line="247" w:lineRule="auto"/>
        <w:jc w:val="both"/>
        <w:sectPr>
          <w:pgSz w:w="10920" w:h="13080"/>
          <w:pgMar w:header="0" w:footer="965" w:top="420" w:bottom="1220" w:left="0" w:right="0"/>
        </w:sectPr>
      </w:pPr>
    </w:p>
    <w:p>
      <w:pPr>
        <w:pStyle w:val="BodyText"/>
        <w:rPr>
          <w:sz w:val="20"/>
        </w:rPr>
      </w:pPr>
    </w:p>
    <w:p>
      <w:pPr>
        <w:pStyle w:val="BodyText"/>
        <w:rPr>
          <w:sz w:val="20"/>
        </w:rPr>
      </w:pPr>
    </w:p>
    <w:p>
      <w:pPr>
        <w:pStyle w:val="BodyText"/>
        <w:rPr>
          <w:sz w:val="23"/>
        </w:rPr>
      </w:pPr>
    </w:p>
    <w:p>
      <w:pPr>
        <w:pStyle w:val="BodyText"/>
        <w:spacing w:line="249" w:lineRule="auto" w:before="73"/>
        <w:ind w:left="1270" w:right="1267"/>
        <w:jc w:val="both"/>
      </w:pPr>
      <w:r>
        <w:rPr>
          <w:color w:val="231F20"/>
        </w:rPr>
        <w:t>granos presentes. Peso de 100 semillas (P100; g), se eligieron al azar 100 semillas por panoja con buenas características físicas. Peso de grano por panoja (PGP) y por planta (PPL) se determinaron en gramos. Se estimó también el rendimiento en forraje (FHA; t•ha</w:t>
      </w:r>
      <w:r>
        <w:rPr>
          <w:color w:val="231F20"/>
          <w:position w:val="7"/>
          <w:sz w:val="12"/>
        </w:rPr>
        <w:t>-1</w:t>
      </w:r>
      <w:r>
        <w:rPr>
          <w:color w:val="231F20"/>
        </w:rPr>
        <w:t>) y grano por hectárea (GHA; t•ha</w:t>
      </w:r>
      <w:r>
        <w:rPr>
          <w:color w:val="231F20"/>
          <w:position w:val="7"/>
          <w:sz w:val="12"/>
        </w:rPr>
        <w:t>-1</w:t>
      </w:r>
      <w:r>
        <w:rPr>
          <w:color w:val="231F20"/>
        </w:rPr>
        <w:t>), además del índice de cosecha (INC) que consideró la proporción de grano en relación con el peso total de la planta.</w:t>
      </w:r>
    </w:p>
    <w:p>
      <w:pPr>
        <w:pStyle w:val="BodyText"/>
        <w:spacing w:before="7"/>
      </w:pPr>
    </w:p>
    <w:p>
      <w:pPr>
        <w:pStyle w:val="BodyText"/>
        <w:spacing w:line="247" w:lineRule="auto"/>
        <w:ind w:left="1270" w:right="1267"/>
        <w:jc w:val="both"/>
      </w:pPr>
      <w:r>
        <w:rPr>
          <w:color w:val="231F20"/>
        </w:rPr>
        <w:t>Análisis</w:t>
      </w:r>
      <w:r>
        <w:rPr>
          <w:color w:val="231F20"/>
          <w:spacing w:val="-9"/>
        </w:rPr>
        <w:t> </w:t>
      </w:r>
      <w:r>
        <w:rPr>
          <w:color w:val="231F20"/>
        </w:rPr>
        <w:t>estadístico.</w:t>
      </w:r>
      <w:r>
        <w:rPr>
          <w:color w:val="231F20"/>
          <w:spacing w:val="-10"/>
        </w:rPr>
        <w:t> </w:t>
      </w:r>
      <w:r>
        <w:rPr>
          <w:color w:val="231F20"/>
        </w:rPr>
        <w:t>La</w:t>
      </w:r>
      <w:r>
        <w:rPr>
          <w:color w:val="231F20"/>
          <w:spacing w:val="-10"/>
        </w:rPr>
        <w:t> </w:t>
      </w:r>
      <w:r>
        <w:rPr>
          <w:color w:val="231F20"/>
        </w:rPr>
        <w:t>información</w:t>
      </w:r>
      <w:r>
        <w:rPr>
          <w:color w:val="231F20"/>
          <w:spacing w:val="-10"/>
        </w:rPr>
        <w:t> </w:t>
      </w:r>
      <w:r>
        <w:rPr>
          <w:color w:val="231F20"/>
        </w:rPr>
        <w:t>obtenida</w:t>
      </w:r>
      <w:r>
        <w:rPr>
          <w:color w:val="231F20"/>
          <w:spacing w:val="-9"/>
        </w:rPr>
        <w:t> </w:t>
      </w:r>
      <w:r>
        <w:rPr>
          <w:color w:val="231F20"/>
        </w:rPr>
        <w:t>en</w:t>
      </w:r>
      <w:r>
        <w:rPr>
          <w:color w:val="231F20"/>
          <w:spacing w:val="-10"/>
        </w:rPr>
        <w:t> </w:t>
      </w:r>
      <w:r>
        <w:rPr>
          <w:color w:val="231F20"/>
        </w:rPr>
        <w:t>cada</w:t>
      </w:r>
      <w:r>
        <w:rPr>
          <w:color w:val="231F20"/>
          <w:spacing w:val="-10"/>
        </w:rPr>
        <w:t> </w:t>
      </w:r>
      <w:r>
        <w:rPr>
          <w:color w:val="231F20"/>
        </w:rPr>
        <w:t>una</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variables</w:t>
      </w:r>
      <w:r>
        <w:rPr>
          <w:color w:val="231F20"/>
          <w:spacing w:val="-9"/>
        </w:rPr>
        <w:t> </w:t>
      </w:r>
      <w:r>
        <w:rPr>
          <w:color w:val="231F20"/>
        </w:rPr>
        <w:t>se</w:t>
      </w:r>
      <w:r>
        <w:rPr>
          <w:color w:val="231F20"/>
          <w:spacing w:val="-10"/>
        </w:rPr>
        <w:t> </w:t>
      </w:r>
      <w:r>
        <w:rPr>
          <w:color w:val="231F20"/>
        </w:rPr>
        <w:t>sometió</w:t>
      </w:r>
      <w:r>
        <w:rPr>
          <w:color w:val="231F20"/>
          <w:spacing w:val="-9"/>
        </w:rPr>
        <w:t> </w:t>
      </w:r>
      <w:r>
        <w:rPr>
          <w:color w:val="231F20"/>
        </w:rPr>
        <w:t>a</w:t>
      </w:r>
      <w:r>
        <w:rPr>
          <w:color w:val="231F20"/>
          <w:spacing w:val="-10"/>
        </w:rPr>
        <w:t> </w:t>
      </w:r>
      <w:r>
        <w:rPr>
          <w:color w:val="231F20"/>
        </w:rPr>
        <w:t>un</w:t>
      </w:r>
      <w:r>
        <w:rPr>
          <w:color w:val="231F20"/>
          <w:spacing w:val="-10"/>
        </w:rPr>
        <w:t> </w:t>
      </w:r>
      <w:r>
        <w:rPr>
          <w:color w:val="231F20"/>
        </w:rPr>
        <w:t>análisis</w:t>
      </w:r>
      <w:r>
        <w:rPr>
          <w:color w:val="231F20"/>
          <w:spacing w:val="-10"/>
        </w:rPr>
        <w:t> </w:t>
      </w:r>
      <w:r>
        <w:rPr>
          <w:color w:val="231F20"/>
        </w:rPr>
        <w:t>de varianza,</w:t>
      </w:r>
      <w:r>
        <w:rPr>
          <w:color w:val="231F20"/>
          <w:spacing w:val="-5"/>
        </w:rPr>
        <w:t> </w:t>
      </w:r>
      <w:r>
        <w:rPr>
          <w:color w:val="231F20"/>
        </w:rPr>
        <w:t>utilizando</w:t>
      </w:r>
      <w:r>
        <w:rPr>
          <w:color w:val="231F20"/>
          <w:spacing w:val="-5"/>
        </w:rPr>
        <w:t> </w:t>
      </w:r>
      <w:r>
        <w:rPr>
          <w:color w:val="231F20"/>
        </w:rPr>
        <w:t>el</w:t>
      </w:r>
      <w:r>
        <w:rPr>
          <w:color w:val="231F20"/>
          <w:spacing w:val="-5"/>
        </w:rPr>
        <w:t> </w:t>
      </w:r>
      <w:r>
        <w:rPr>
          <w:color w:val="231F20"/>
        </w:rPr>
        <w:t>PROC</w:t>
      </w:r>
      <w:r>
        <w:rPr>
          <w:color w:val="231F20"/>
          <w:spacing w:val="-5"/>
        </w:rPr>
        <w:t> </w:t>
      </w:r>
      <w:r>
        <w:rPr>
          <w:color w:val="231F20"/>
        </w:rPr>
        <w:t>GLM</w:t>
      </w:r>
      <w:r>
        <w:rPr>
          <w:color w:val="231F20"/>
          <w:spacing w:val="-5"/>
        </w:rPr>
        <w:t> </w:t>
      </w:r>
      <w:r>
        <w:rPr>
          <w:color w:val="231F20"/>
        </w:rPr>
        <w:t>de</w:t>
      </w:r>
      <w:r>
        <w:rPr>
          <w:color w:val="231F20"/>
          <w:spacing w:val="-5"/>
        </w:rPr>
        <w:t> </w:t>
      </w:r>
      <w:r>
        <w:rPr>
          <w:color w:val="231F20"/>
        </w:rPr>
        <w:t>SAS</w:t>
      </w:r>
      <w:r>
        <w:rPr>
          <w:color w:val="231F20"/>
          <w:spacing w:val="-5"/>
        </w:rPr>
        <w:t> </w:t>
      </w:r>
      <w:r>
        <w:rPr>
          <w:color w:val="231F20"/>
        </w:rPr>
        <w:t>(SAS</w:t>
      </w:r>
      <w:r>
        <w:rPr>
          <w:color w:val="231F20"/>
          <w:spacing w:val="-5"/>
        </w:rPr>
        <w:t> </w:t>
      </w:r>
      <w:r>
        <w:rPr>
          <w:color w:val="231F20"/>
        </w:rPr>
        <w:t>Institute,</w:t>
      </w:r>
      <w:r>
        <w:rPr>
          <w:color w:val="231F20"/>
          <w:spacing w:val="-5"/>
        </w:rPr>
        <w:t> </w:t>
      </w:r>
      <w:r>
        <w:rPr>
          <w:color w:val="231F20"/>
        </w:rPr>
        <w:t>2010)</w:t>
      </w:r>
      <w:r>
        <w:rPr>
          <w:color w:val="231F20"/>
          <w:spacing w:val="-5"/>
        </w:rPr>
        <w:t> </w:t>
      </w:r>
      <w:r>
        <w:rPr>
          <w:color w:val="231F20"/>
        </w:rPr>
        <w:t>con</w:t>
      </w:r>
      <w:r>
        <w:rPr>
          <w:color w:val="231F20"/>
          <w:spacing w:val="-5"/>
        </w:rPr>
        <w:t> </w:t>
      </w:r>
      <w:r>
        <w:rPr>
          <w:color w:val="231F20"/>
        </w:rPr>
        <w:t>la</w:t>
      </w:r>
      <w:r>
        <w:rPr>
          <w:color w:val="231F20"/>
          <w:spacing w:val="-5"/>
        </w:rPr>
        <w:t> </w:t>
      </w:r>
      <w:r>
        <w:rPr>
          <w:color w:val="231F20"/>
        </w:rPr>
        <w:t>finalidad</w:t>
      </w:r>
      <w:r>
        <w:rPr>
          <w:color w:val="231F20"/>
          <w:spacing w:val="-5"/>
        </w:rPr>
        <w:t> </w:t>
      </w:r>
      <w:r>
        <w:rPr>
          <w:color w:val="231F20"/>
        </w:rPr>
        <w:t>de</w:t>
      </w:r>
      <w:r>
        <w:rPr>
          <w:color w:val="231F20"/>
          <w:spacing w:val="-5"/>
        </w:rPr>
        <w:t> </w:t>
      </w:r>
      <w:r>
        <w:rPr>
          <w:color w:val="231F20"/>
        </w:rPr>
        <w:t>probar</w:t>
      </w:r>
      <w:r>
        <w:rPr>
          <w:color w:val="231F20"/>
          <w:spacing w:val="-5"/>
        </w:rPr>
        <w:t> </w:t>
      </w:r>
      <w:r>
        <w:rPr>
          <w:color w:val="231F20"/>
        </w:rPr>
        <w:t>la</w:t>
      </w:r>
      <w:r>
        <w:rPr>
          <w:color w:val="231F20"/>
          <w:spacing w:val="-5"/>
        </w:rPr>
        <w:t> </w:t>
      </w:r>
      <w:r>
        <w:rPr>
          <w:color w:val="231F20"/>
        </w:rPr>
        <w:t>exis- tencia</w:t>
      </w:r>
      <w:r>
        <w:rPr>
          <w:color w:val="231F20"/>
          <w:spacing w:val="-8"/>
        </w:rPr>
        <w:t> </w:t>
      </w:r>
      <w:r>
        <w:rPr>
          <w:color w:val="231F20"/>
        </w:rPr>
        <w:t>de</w:t>
      </w:r>
      <w:r>
        <w:rPr>
          <w:color w:val="231F20"/>
          <w:spacing w:val="-8"/>
        </w:rPr>
        <w:t> </w:t>
      </w:r>
      <w:r>
        <w:rPr>
          <w:color w:val="231F20"/>
        </w:rPr>
        <w:t>diferencias</w:t>
      </w:r>
      <w:r>
        <w:rPr>
          <w:color w:val="231F20"/>
          <w:spacing w:val="-7"/>
        </w:rPr>
        <w:t> </w:t>
      </w:r>
      <w:r>
        <w:rPr>
          <w:color w:val="231F20"/>
        </w:rPr>
        <w:t>estadísticas</w:t>
      </w:r>
      <w:r>
        <w:rPr>
          <w:color w:val="231F20"/>
          <w:spacing w:val="-8"/>
        </w:rPr>
        <w:t> </w:t>
      </w:r>
      <w:r>
        <w:rPr>
          <w:color w:val="231F20"/>
        </w:rPr>
        <w:t>entre</w:t>
      </w:r>
      <w:r>
        <w:rPr>
          <w:color w:val="231F20"/>
          <w:spacing w:val="-8"/>
        </w:rPr>
        <w:t> </w:t>
      </w:r>
      <w:r>
        <w:rPr>
          <w:color w:val="231F20"/>
        </w:rPr>
        <w:t>tratamientos.</w:t>
      </w:r>
      <w:r>
        <w:rPr>
          <w:color w:val="231F20"/>
          <w:spacing w:val="-8"/>
        </w:rPr>
        <w:t> </w:t>
      </w:r>
      <w:r>
        <w:rPr>
          <w:color w:val="231F20"/>
        </w:rPr>
        <w:t>La</w:t>
      </w:r>
      <w:r>
        <w:rPr>
          <w:color w:val="231F20"/>
          <w:spacing w:val="-8"/>
        </w:rPr>
        <w:t> </w:t>
      </w:r>
      <w:r>
        <w:rPr>
          <w:color w:val="231F20"/>
        </w:rPr>
        <w:t>comparación</w:t>
      </w:r>
      <w:r>
        <w:rPr>
          <w:color w:val="231F20"/>
          <w:spacing w:val="-8"/>
        </w:rPr>
        <w:t> </w:t>
      </w:r>
      <w:r>
        <w:rPr>
          <w:color w:val="231F20"/>
        </w:rPr>
        <w:t>de</w:t>
      </w:r>
      <w:r>
        <w:rPr>
          <w:color w:val="231F20"/>
          <w:spacing w:val="-8"/>
        </w:rPr>
        <w:t> </w:t>
      </w:r>
      <w:r>
        <w:rPr>
          <w:color w:val="231F20"/>
        </w:rPr>
        <w:t>medias</w:t>
      </w:r>
      <w:r>
        <w:rPr>
          <w:color w:val="231F20"/>
          <w:spacing w:val="-8"/>
        </w:rPr>
        <w:t> </w:t>
      </w:r>
      <w:r>
        <w:rPr>
          <w:color w:val="231F20"/>
        </w:rPr>
        <w:t>entre</w:t>
      </w:r>
      <w:r>
        <w:rPr>
          <w:color w:val="231F20"/>
          <w:spacing w:val="-8"/>
        </w:rPr>
        <w:t> </w:t>
      </w:r>
      <w:r>
        <w:rPr>
          <w:color w:val="231F20"/>
        </w:rPr>
        <w:t>tratamientos</w:t>
      </w:r>
      <w:r>
        <w:rPr>
          <w:color w:val="231F20"/>
          <w:spacing w:val="-8"/>
        </w:rPr>
        <w:t> </w:t>
      </w:r>
      <w:r>
        <w:rPr>
          <w:color w:val="231F20"/>
        </w:rPr>
        <w:t>se realizó</w:t>
      </w:r>
      <w:r>
        <w:rPr>
          <w:color w:val="231F20"/>
          <w:spacing w:val="-13"/>
        </w:rPr>
        <w:t> </w:t>
      </w:r>
      <w:r>
        <w:rPr>
          <w:color w:val="231F20"/>
        </w:rPr>
        <w:t>mediante</w:t>
      </w:r>
      <w:r>
        <w:rPr>
          <w:color w:val="231F20"/>
          <w:spacing w:val="-13"/>
        </w:rPr>
        <w:t> </w:t>
      </w:r>
      <w:r>
        <w:rPr>
          <w:color w:val="231F20"/>
        </w:rPr>
        <w:t>la</w:t>
      </w:r>
      <w:r>
        <w:rPr>
          <w:color w:val="231F20"/>
          <w:spacing w:val="-13"/>
        </w:rPr>
        <w:t> </w:t>
      </w:r>
      <w:r>
        <w:rPr>
          <w:color w:val="231F20"/>
        </w:rPr>
        <w:t>prueba</w:t>
      </w:r>
      <w:r>
        <w:rPr>
          <w:color w:val="231F20"/>
          <w:spacing w:val="-13"/>
        </w:rPr>
        <w:t> </w:t>
      </w:r>
      <w:r>
        <w:rPr>
          <w:color w:val="231F20"/>
        </w:rPr>
        <w:t>de</w:t>
      </w:r>
      <w:r>
        <w:rPr>
          <w:color w:val="231F20"/>
          <w:spacing w:val="-16"/>
        </w:rPr>
        <w:t> </w:t>
      </w:r>
      <w:r>
        <w:rPr>
          <w:color w:val="231F20"/>
          <w:spacing w:val="-3"/>
        </w:rPr>
        <w:t>Tukey</w:t>
      </w:r>
      <w:r>
        <w:rPr>
          <w:color w:val="231F20"/>
          <w:spacing w:val="-13"/>
        </w:rPr>
        <w:t> </w:t>
      </w:r>
      <w:r>
        <w:rPr>
          <w:color w:val="231F20"/>
        </w:rPr>
        <w:t>(P≤0.05).</w:t>
      </w:r>
    </w:p>
    <w:p>
      <w:pPr>
        <w:pStyle w:val="BodyText"/>
        <w:spacing w:before="8"/>
        <w:rPr>
          <w:sz w:val="22"/>
        </w:rPr>
      </w:pPr>
    </w:p>
    <w:p>
      <w:pPr>
        <w:pStyle w:val="Heading3"/>
        <w:spacing w:before="1"/>
      </w:pPr>
      <w:r>
        <w:rPr>
          <w:color w:val="010202"/>
        </w:rPr>
        <w:t>Análisis y discusión de resultados</w:t>
      </w:r>
    </w:p>
    <w:p>
      <w:pPr>
        <w:pStyle w:val="BodyText"/>
        <w:spacing w:before="10"/>
        <w:rPr>
          <w:b/>
        </w:rPr>
      </w:pPr>
    </w:p>
    <w:p>
      <w:pPr>
        <w:pStyle w:val="BodyText"/>
        <w:spacing w:line="247" w:lineRule="auto"/>
        <w:ind w:left="1270" w:right="1267"/>
        <w:jc w:val="both"/>
      </w:pPr>
      <w:r>
        <w:rPr>
          <w:color w:val="231F20"/>
        </w:rPr>
        <w:t>Análisis de varianza. Los tratamientos en estudio presentaron diferencia estadística al 1%, en 17 caracteres de crecimiento y rendimiento evaluados (Cuadro 1). Existieron diferencias al 1% para  16 caracteres en fertilización (F), en 15 caracteres para densidades de siembra (D) y para la interac- ción FxD y en cinco variables respuesta para repeticiones (R). Hubo diferencias al 5% para algunas variables en repeticiones, densidades e interacción FxD. No se tuvieron diferencias estadísticas en varios caracteres relacionados con repeticiones, fertilización e interacción FxD (Cuadro 1). El com- portamiento anterior muestra diferencias entre tratamientos (conformados por densidades y niveles de fertilización), repeticiones e interacción FxD atribuido a un comportamiento diferencial entre di- chos componentes, aunado a que la precipitación de Agosto a Septiembre fue abundante,</w:t>
      </w:r>
      <w:r>
        <w:rPr>
          <w:color w:val="231F20"/>
          <w:spacing w:val="-32"/>
        </w:rPr>
        <w:t> </w:t>
      </w:r>
      <w:r>
        <w:rPr>
          <w:color w:val="231F20"/>
        </w:rPr>
        <w:t>generando encharcamientos</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terreno,</w:t>
      </w:r>
      <w:r>
        <w:rPr>
          <w:color w:val="231F20"/>
          <w:spacing w:val="-7"/>
        </w:rPr>
        <w:t> </w:t>
      </w:r>
      <w:r>
        <w:rPr>
          <w:color w:val="231F20"/>
        </w:rPr>
        <w:t>lo</w:t>
      </w:r>
      <w:r>
        <w:rPr>
          <w:color w:val="231F20"/>
          <w:spacing w:val="-7"/>
        </w:rPr>
        <w:t> </w:t>
      </w:r>
      <w:r>
        <w:rPr>
          <w:color w:val="231F20"/>
        </w:rPr>
        <w:t>que</w:t>
      </w:r>
      <w:r>
        <w:rPr>
          <w:color w:val="231F20"/>
          <w:spacing w:val="-7"/>
        </w:rPr>
        <w:t> </w:t>
      </w:r>
      <w:r>
        <w:rPr>
          <w:color w:val="231F20"/>
        </w:rPr>
        <w:t>incidió</w:t>
      </w:r>
      <w:r>
        <w:rPr>
          <w:color w:val="231F20"/>
          <w:spacing w:val="-7"/>
        </w:rPr>
        <w:t> </w:t>
      </w:r>
      <w:r>
        <w:rPr>
          <w:color w:val="231F20"/>
        </w:rPr>
        <w:t>en</w:t>
      </w:r>
      <w:r>
        <w:rPr>
          <w:color w:val="231F20"/>
          <w:spacing w:val="-7"/>
        </w:rPr>
        <w:t> </w:t>
      </w:r>
      <w:r>
        <w:rPr>
          <w:color w:val="231F20"/>
        </w:rPr>
        <w:t>los</w:t>
      </w:r>
      <w:r>
        <w:rPr>
          <w:color w:val="231F20"/>
          <w:spacing w:val="-7"/>
        </w:rPr>
        <w:t> </w:t>
      </w:r>
      <w:r>
        <w:rPr>
          <w:color w:val="231F20"/>
        </w:rPr>
        <w:t>resultados</w:t>
      </w:r>
      <w:r>
        <w:rPr>
          <w:color w:val="231F20"/>
          <w:spacing w:val="-7"/>
        </w:rPr>
        <w:t> </w:t>
      </w:r>
      <w:r>
        <w:rPr>
          <w:color w:val="231F20"/>
        </w:rPr>
        <w:t>obtenidos</w:t>
      </w:r>
      <w:r>
        <w:rPr>
          <w:color w:val="231F20"/>
          <w:spacing w:val="-7"/>
        </w:rPr>
        <w:t> </w:t>
      </w:r>
      <w:r>
        <w:rPr>
          <w:color w:val="231F20"/>
        </w:rPr>
        <w:t>(Figura</w:t>
      </w:r>
      <w:r>
        <w:rPr>
          <w:color w:val="231F20"/>
          <w:spacing w:val="-7"/>
        </w:rPr>
        <w:t> </w:t>
      </w:r>
      <w:r>
        <w:rPr>
          <w:color w:val="231F20"/>
        </w:rPr>
        <w:t>1).</w:t>
      </w:r>
      <w:r>
        <w:rPr>
          <w:color w:val="231F20"/>
          <w:spacing w:val="-7"/>
        </w:rPr>
        <w:t> </w:t>
      </w:r>
      <w:r>
        <w:rPr>
          <w:color w:val="231F20"/>
        </w:rPr>
        <w:t>Los</w:t>
      </w:r>
      <w:r>
        <w:rPr>
          <w:color w:val="231F20"/>
          <w:spacing w:val="-7"/>
        </w:rPr>
        <w:t> </w:t>
      </w:r>
      <w:r>
        <w:rPr>
          <w:color w:val="231F20"/>
        </w:rPr>
        <w:t>coeficientes de variación oscilaron entre 12.1 y 43.8%, correspondientes a espiguillas por panoja y peso de ho- jas, respectivamente (Cuadro 1), indicando que hubo una consistencia entre información y modelo estadístico</w:t>
      </w:r>
      <w:r>
        <w:rPr>
          <w:color w:val="231F20"/>
          <w:spacing w:val="-1"/>
        </w:rPr>
        <w:t> </w:t>
      </w:r>
      <w:r>
        <w:rPr>
          <w:color w:val="231F20"/>
        </w:rPr>
        <w:t>utilizado.</w:t>
      </w:r>
    </w:p>
    <w:p>
      <w:pPr>
        <w:pStyle w:val="BodyText"/>
        <w:spacing w:before="10"/>
      </w:pPr>
    </w:p>
    <w:p>
      <w:pPr>
        <w:pStyle w:val="BodyText"/>
        <w:spacing w:line="249" w:lineRule="auto"/>
        <w:ind w:left="1270" w:right="1265"/>
        <w:jc w:val="both"/>
      </w:pPr>
      <w:r>
        <w:rPr>
          <w:color w:val="231F20"/>
        </w:rPr>
        <w:t>Variables de crecimiento. Altura de planta, longitud de panoja, longitud de pedúnculo y diámetro de tallo, tuvieron los valores más altos en T7 (sorgo al voleo y fertilizado con 120 kg•ha</w:t>
      </w:r>
      <w:r>
        <w:rPr>
          <w:color w:val="231F20"/>
          <w:position w:val="7"/>
          <w:sz w:val="12"/>
        </w:rPr>
        <w:t>-1 </w:t>
      </w:r>
      <w:r>
        <w:rPr>
          <w:color w:val="231F20"/>
        </w:rPr>
        <w:t>N) y T1 (siembra a 178,500 plantas•ha</w:t>
      </w:r>
      <w:r>
        <w:rPr>
          <w:color w:val="231F20"/>
          <w:position w:val="7"/>
          <w:sz w:val="12"/>
        </w:rPr>
        <w:t>-1 </w:t>
      </w:r>
      <w:r>
        <w:rPr>
          <w:color w:val="231F20"/>
        </w:rPr>
        <w:t>y fertilización con 120 kg•ha</w:t>
      </w:r>
      <w:r>
        <w:rPr>
          <w:color w:val="231F20"/>
          <w:position w:val="7"/>
          <w:sz w:val="12"/>
        </w:rPr>
        <w:t>-1 </w:t>
      </w:r>
      <w:r>
        <w:rPr>
          <w:color w:val="231F20"/>
        </w:rPr>
        <w:t>N), superando ligeramente a T5 (sorgo a 250,000 plantas•ha</w:t>
      </w:r>
      <w:r>
        <w:rPr>
          <w:color w:val="231F20"/>
          <w:position w:val="7"/>
          <w:sz w:val="12"/>
        </w:rPr>
        <w:t>-1 </w:t>
      </w:r>
      <w:r>
        <w:rPr>
          <w:color w:val="231F20"/>
        </w:rPr>
        <w:t>y fertilizado) y al testigo T8 (siembra al voleo sin fertilización) que estuvieron</w:t>
      </w:r>
      <w:r>
        <w:rPr>
          <w:color w:val="231F20"/>
          <w:spacing w:val="-4"/>
        </w:rPr>
        <w:t> </w:t>
      </w:r>
      <w:r>
        <w:rPr>
          <w:color w:val="231F20"/>
        </w:rPr>
        <w:t>en</w:t>
      </w:r>
      <w:r>
        <w:rPr>
          <w:color w:val="231F20"/>
          <w:spacing w:val="-4"/>
        </w:rPr>
        <w:t> </w:t>
      </w:r>
      <w:r>
        <w:rPr>
          <w:color w:val="231F20"/>
        </w:rPr>
        <w:t>otro</w:t>
      </w:r>
      <w:r>
        <w:rPr>
          <w:color w:val="231F20"/>
          <w:spacing w:val="-4"/>
        </w:rPr>
        <w:t> </w:t>
      </w:r>
      <w:r>
        <w:rPr>
          <w:color w:val="231F20"/>
        </w:rPr>
        <w:t>grupo</w:t>
      </w:r>
      <w:r>
        <w:rPr>
          <w:color w:val="231F20"/>
          <w:spacing w:val="-4"/>
        </w:rPr>
        <w:t> </w:t>
      </w:r>
      <w:r>
        <w:rPr>
          <w:color w:val="231F20"/>
        </w:rPr>
        <w:t>de</w:t>
      </w:r>
      <w:r>
        <w:rPr>
          <w:color w:val="231F20"/>
          <w:spacing w:val="-4"/>
        </w:rPr>
        <w:t> </w:t>
      </w:r>
      <w:r>
        <w:rPr>
          <w:color w:val="231F20"/>
        </w:rPr>
        <w:t>significancia</w:t>
      </w:r>
      <w:r>
        <w:rPr>
          <w:color w:val="231F20"/>
          <w:spacing w:val="-4"/>
        </w:rPr>
        <w:t> </w:t>
      </w:r>
      <w:r>
        <w:rPr>
          <w:color w:val="231F20"/>
        </w:rPr>
        <w:t>(Cuadro</w:t>
      </w:r>
      <w:r>
        <w:rPr>
          <w:color w:val="231F20"/>
          <w:spacing w:val="-4"/>
        </w:rPr>
        <w:t> </w:t>
      </w:r>
      <w:r>
        <w:rPr>
          <w:color w:val="231F20"/>
        </w:rPr>
        <w:t>2).</w:t>
      </w:r>
      <w:r>
        <w:rPr>
          <w:color w:val="231F20"/>
          <w:spacing w:val="-4"/>
        </w:rPr>
        <w:t> </w:t>
      </w:r>
      <w:r>
        <w:rPr>
          <w:color w:val="231F20"/>
        </w:rPr>
        <w:t>La</w:t>
      </w:r>
      <w:r>
        <w:rPr>
          <w:color w:val="231F20"/>
          <w:spacing w:val="-4"/>
        </w:rPr>
        <w:t> </w:t>
      </w:r>
      <w:r>
        <w:rPr>
          <w:color w:val="231F20"/>
        </w:rPr>
        <w:t>altura</w:t>
      </w:r>
      <w:r>
        <w:rPr>
          <w:color w:val="231F20"/>
          <w:spacing w:val="-4"/>
        </w:rPr>
        <w:t> </w:t>
      </w:r>
      <w:r>
        <w:rPr>
          <w:color w:val="231F20"/>
        </w:rPr>
        <w:t>de</w:t>
      </w:r>
      <w:r>
        <w:rPr>
          <w:color w:val="231F20"/>
          <w:spacing w:val="-4"/>
        </w:rPr>
        <w:t> </w:t>
      </w:r>
      <w:r>
        <w:rPr>
          <w:color w:val="231F20"/>
        </w:rPr>
        <w:t>planta</w:t>
      </w:r>
      <w:r>
        <w:rPr>
          <w:color w:val="231F20"/>
          <w:spacing w:val="-4"/>
        </w:rPr>
        <w:t> </w:t>
      </w:r>
      <w:r>
        <w:rPr>
          <w:color w:val="231F20"/>
        </w:rPr>
        <w:t>en</w:t>
      </w:r>
      <w:r>
        <w:rPr>
          <w:color w:val="231F20"/>
          <w:spacing w:val="-8"/>
        </w:rPr>
        <w:t> </w:t>
      </w:r>
      <w:r>
        <w:rPr>
          <w:color w:val="231F20"/>
        </w:rPr>
        <w:t>T7=104.0</w:t>
      </w:r>
      <w:r>
        <w:rPr>
          <w:color w:val="231F20"/>
          <w:spacing w:val="-4"/>
        </w:rPr>
        <w:t> </w:t>
      </w:r>
      <w:r>
        <w:rPr>
          <w:color w:val="231F20"/>
        </w:rPr>
        <w:t>cm</w:t>
      </w:r>
      <w:r>
        <w:rPr>
          <w:color w:val="231F20"/>
          <w:spacing w:val="-4"/>
        </w:rPr>
        <w:t> </w:t>
      </w:r>
      <w:r>
        <w:rPr>
          <w:color w:val="231F20"/>
        </w:rPr>
        <w:t>y</w:t>
      </w:r>
      <w:r>
        <w:rPr>
          <w:color w:val="231F20"/>
          <w:spacing w:val="-8"/>
        </w:rPr>
        <w:t> </w:t>
      </w:r>
      <w:r>
        <w:rPr>
          <w:color w:val="231F20"/>
        </w:rPr>
        <w:t>T1=92.2 cm, concuerda con lo indicado por Jordan </w:t>
      </w:r>
      <w:r>
        <w:rPr>
          <w:i/>
          <w:color w:val="231F20"/>
        </w:rPr>
        <w:t>et al. </w:t>
      </w:r>
      <w:r>
        <w:rPr>
          <w:color w:val="231F20"/>
        </w:rPr>
        <w:t>(2011), quienes en diferentes materiales de sorgo estimaron</w:t>
      </w:r>
      <w:r>
        <w:rPr>
          <w:color w:val="231F20"/>
          <w:spacing w:val="-6"/>
        </w:rPr>
        <w:t> </w:t>
      </w:r>
      <w:r>
        <w:rPr>
          <w:color w:val="231F20"/>
        </w:rPr>
        <w:t>una</w:t>
      </w:r>
      <w:r>
        <w:rPr>
          <w:color w:val="231F20"/>
          <w:spacing w:val="-6"/>
        </w:rPr>
        <w:t> </w:t>
      </w:r>
      <w:r>
        <w:rPr>
          <w:color w:val="231F20"/>
        </w:rPr>
        <w:t>altura</w:t>
      </w:r>
      <w:r>
        <w:rPr>
          <w:color w:val="231F20"/>
          <w:spacing w:val="-6"/>
        </w:rPr>
        <w:t> </w:t>
      </w:r>
      <w:r>
        <w:rPr>
          <w:color w:val="231F20"/>
        </w:rPr>
        <w:t>de</w:t>
      </w:r>
      <w:r>
        <w:rPr>
          <w:color w:val="231F20"/>
          <w:spacing w:val="-6"/>
        </w:rPr>
        <w:t> </w:t>
      </w:r>
      <w:r>
        <w:rPr>
          <w:color w:val="231F20"/>
        </w:rPr>
        <w:t>planta</w:t>
      </w:r>
      <w:r>
        <w:rPr>
          <w:color w:val="231F20"/>
          <w:spacing w:val="-6"/>
        </w:rPr>
        <w:t> </w:t>
      </w:r>
      <w:r>
        <w:rPr>
          <w:color w:val="231F20"/>
        </w:rPr>
        <w:t>entre</w:t>
      </w:r>
      <w:r>
        <w:rPr>
          <w:color w:val="231F20"/>
          <w:spacing w:val="40"/>
        </w:rPr>
        <w:t> </w:t>
      </w:r>
      <w:r>
        <w:rPr>
          <w:color w:val="231F20"/>
        </w:rPr>
        <w:t>91</w:t>
      </w:r>
      <w:r>
        <w:rPr>
          <w:color w:val="231F20"/>
          <w:spacing w:val="-6"/>
        </w:rPr>
        <w:t> </w:t>
      </w:r>
      <w:r>
        <w:rPr>
          <w:color w:val="231F20"/>
        </w:rPr>
        <w:t>y</w:t>
      </w:r>
      <w:r>
        <w:rPr>
          <w:color w:val="231F20"/>
          <w:spacing w:val="-6"/>
        </w:rPr>
        <w:t> </w:t>
      </w:r>
      <w:r>
        <w:rPr>
          <w:color w:val="231F20"/>
        </w:rPr>
        <w:t>117</w:t>
      </w:r>
      <w:r>
        <w:rPr>
          <w:color w:val="231F20"/>
          <w:spacing w:val="-6"/>
        </w:rPr>
        <w:t> </w:t>
      </w:r>
      <w:r>
        <w:rPr>
          <w:color w:val="231F20"/>
        </w:rPr>
        <w:t>cm.</w:t>
      </w:r>
      <w:r>
        <w:rPr>
          <w:color w:val="231F20"/>
          <w:spacing w:val="-6"/>
        </w:rPr>
        <w:t> </w:t>
      </w:r>
      <w:r>
        <w:rPr>
          <w:color w:val="231F20"/>
        </w:rPr>
        <w:t>Rosales</w:t>
      </w:r>
      <w:r>
        <w:rPr>
          <w:color w:val="231F20"/>
          <w:spacing w:val="-6"/>
        </w:rPr>
        <w:t> </w:t>
      </w:r>
      <w:r>
        <w:rPr>
          <w:i/>
          <w:color w:val="231F20"/>
        </w:rPr>
        <w:t>et</w:t>
      </w:r>
      <w:r>
        <w:rPr>
          <w:i/>
          <w:color w:val="231F20"/>
          <w:spacing w:val="-6"/>
        </w:rPr>
        <w:t> </w:t>
      </w:r>
      <w:r>
        <w:rPr>
          <w:i/>
          <w:color w:val="231F20"/>
        </w:rPr>
        <w:t>al.</w:t>
      </w:r>
      <w:r>
        <w:rPr>
          <w:i/>
          <w:color w:val="231F20"/>
          <w:spacing w:val="-6"/>
        </w:rPr>
        <w:t> </w:t>
      </w:r>
      <w:r>
        <w:rPr>
          <w:color w:val="231F20"/>
        </w:rPr>
        <w:t>(2011)</w:t>
      </w:r>
      <w:r>
        <w:rPr>
          <w:color w:val="231F20"/>
          <w:spacing w:val="-6"/>
        </w:rPr>
        <w:t> </w:t>
      </w:r>
      <w:r>
        <w:rPr>
          <w:color w:val="231F20"/>
        </w:rPr>
        <w:t>reportaron</w:t>
      </w:r>
      <w:r>
        <w:rPr>
          <w:color w:val="231F20"/>
          <w:spacing w:val="-6"/>
        </w:rPr>
        <w:t> </w:t>
      </w:r>
      <w:r>
        <w:rPr>
          <w:color w:val="231F20"/>
        </w:rPr>
        <w:t>para</w:t>
      </w:r>
      <w:r>
        <w:rPr>
          <w:color w:val="231F20"/>
          <w:spacing w:val="-6"/>
        </w:rPr>
        <w:t> </w:t>
      </w:r>
      <w:r>
        <w:rPr>
          <w:color w:val="231F20"/>
        </w:rPr>
        <w:t>sorgo</w:t>
      </w:r>
      <w:r>
        <w:rPr>
          <w:color w:val="231F20"/>
          <w:spacing w:val="-6"/>
        </w:rPr>
        <w:t> </w:t>
      </w:r>
      <w:r>
        <w:rPr>
          <w:color w:val="231F20"/>
        </w:rPr>
        <w:t>alturas de planta que oscilaron entre 63 y 128</w:t>
      </w:r>
      <w:r>
        <w:rPr>
          <w:color w:val="231F20"/>
          <w:spacing w:val="40"/>
        </w:rPr>
        <w:t> </w:t>
      </w:r>
      <w:r>
        <w:rPr>
          <w:color w:val="231F20"/>
        </w:rPr>
        <w:t>cm.</w:t>
      </w:r>
    </w:p>
    <w:p>
      <w:pPr>
        <w:spacing w:after="0" w:line="249" w:lineRule="auto"/>
        <w:jc w:val="both"/>
        <w:sectPr>
          <w:pgSz w:w="10920" w:h="13080"/>
          <w:pgMar w:header="0" w:footer="965" w:top="420" w:bottom="1220" w:left="0" w:right="0"/>
        </w:sectPr>
      </w:pPr>
    </w:p>
    <w:p>
      <w:pPr>
        <w:pStyle w:val="BodyText"/>
        <w:rPr>
          <w:sz w:val="20"/>
        </w:rPr>
      </w:pPr>
    </w:p>
    <w:p>
      <w:pPr>
        <w:pStyle w:val="BodyText"/>
        <w:rPr>
          <w:sz w:val="20"/>
        </w:rPr>
      </w:pPr>
    </w:p>
    <w:p>
      <w:pPr>
        <w:pStyle w:val="BodyText"/>
        <w:rPr>
          <w:sz w:val="23"/>
        </w:rPr>
      </w:pPr>
    </w:p>
    <w:p>
      <w:pPr>
        <w:spacing w:line="249" w:lineRule="auto" w:before="77"/>
        <w:ind w:left="2557" w:right="2538" w:firstLine="133"/>
        <w:jc w:val="left"/>
        <w:rPr>
          <w:b/>
          <w:sz w:val="18"/>
        </w:rPr>
      </w:pPr>
      <w:r>
        <w:rPr>
          <w:b/>
          <w:color w:val="010202"/>
          <w:sz w:val="18"/>
        </w:rPr>
        <w:t>Cuadro 1. Cuadrados medios del análisis de varianza para 17 caracteres en sorgo </w:t>
      </w:r>
      <w:r>
        <w:rPr>
          <w:b/>
          <w:i/>
          <w:color w:val="010202"/>
          <w:sz w:val="18"/>
        </w:rPr>
        <w:t>Sorghum bicolor </w:t>
      </w:r>
      <w:r>
        <w:rPr>
          <w:b/>
          <w:color w:val="010202"/>
          <w:sz w:val="18"/>
        </w:rPr>
        <w:t>L. (Moench). Loma Bonita, Oaxaca, México, 2009</w:t>
      </w:r>
    </w:p>
    <w:p>
      <w:pPr>
        <w:pStyle w:val="BodyText"/>
        <w:spacing w:before="9"/>
        <w:rPr>
          <w:b/>
          <w:sz w:val="10"/>
        </w:rPr>
      </w:pPr>
      <w:r>
        <w:rPr/>
        <w:drawing>
          <wp:anchor distT="0" distB="0" distL="0" distR="0" allowOverlap="1" layoutInCell="1" locked="0" behindDoc="0" simplePos="0" relativeHeight="4648">
            <wp:simplePos x="0" y="0"/>
            <wp:positionH relativeFrom="page">
              <wp:posOffset>1391538</wp:posOffset>
            </wp:positionH>
            <wp:positionV relativeFrom="paragraph">
              <wp:posOffset>103690</wp:posOffset>
            </wp:positionV>
            <wp:extent cx="4147386" cy="2714339"/>
            <wp:effectExtent l="0" t="0" r="0" b="0"/>
            <wp:wrapTopAndBottom/>
            <wp:docPr id="173" name="image69.jpeg" descr=""/>
            <wp:cNvGraphicFramePr>
              <a:graphicFrameLocks noChangeAspect="1"/>
            </wp:cNvGraphicFramePr>
            <a:graphic>
              <a:graphicData uri="http://schemas.openxmlformats.org/drawingml/2006/picture">
                <pic:pic>
                  <pic:nvPicPr>
                    <pic:cNvPr id="174" name="image69.jpeg"/>
                    <pic:cNvPicPr/>
                  </pic:nvPicPr>
                  <pic:blipFill>
                    <a:blip r:embed="rId101" cstate="print"/>
                    <a:stretch>
                      <a:fillRect/>
                    </a:stretch>
                  </pic:blipFill>
                  <pic:spPr>
                    <a:xfrm>
                      <a:off x="0" y="0"/>
                      <a:ext cx="4147386" cy="2714339"/>
                    </a:xfrm>
                    <a:prstGeom prst="rect">
                      <a:avLst/>
                    </a:prstGeom>
                  </pic:spPr>
                </pic:pic>
              </a:graphicData>
            </a:graphic>
          </wp:anchor>
        </w:drawing>
      </w:r>
    </w:p>
    <w:p>
      <w:pPr>
        <w:spacing w:line="307" w:lineRule="auto" w:before="77"/>
        <w:ind w:left="1270" w:right="1273" w:firstLine="0"/>
        <w:jc w:val="both"/>
        <w:rPr>
          <w:b/>
          <w:i/>
          <w:sz w:val="17"/>
        </w:rPr>
      </w:pPr>
      <w:r>
        <w:rPr>
          <w:b/>
          <w:i/>
          <w:color w:val="231F20"/>
          <w:spacing w:val="-6"/>
          <w:sz w:val="17"/>
        </w:rPr>
        <w:t>C.V.=Coeficiente </w:t>
      </w:r>
      <w:r>
        <w:rPr>
          <w:b/>
          <w:i/>
          <w:color w:val="231F20"/>
          <w:spacing w:val="-3"/>
          <w:sz w:val="17"/>
        </w:rPr>
        <w:t>de </w:t>
      </w:r>
      <w:r>
        <w:rPr>
          <w:b/>
          <w:i/>
          <w:color w:val="231F20"/>
          <w:spacing w:val="-5"/>
          <w:sz w:val="17"/>
        </w:rPr>
        <w:t>variación </w:t>
      </w:r>
      <w:r>
        <w:rPr>
          <w:b/>
          <w:i/>
          <w:color w:val="231F20"/>
          <w:spacing w:val="-4"/>
          <w:sz w:val="17"/>
        </w:rPr>
        <w:t>(%), G.L.= </w:t>
      </w:r>
      <w:r>
        <w:rPr>
          <w:b/>
          <w:i/>
          <w:color w:val="231F20"/>
          <w:spacing w:val="-5"/>
          <w:sz w:val="17"/>
        </w:rPr>
        <w:t>Grados </w:t>
      </w:r>
      <w:r>
        <w:rPr>
          <w:b/>
          <w:i/>
          <w:color w:val="231F20"/>
          <w:spacing w:val="-3"/>
          <w:sz w:val="17"/>
        </w:rPr>
        <w:t>de </w:t>
      </w:r>
      <w:r>
        <w:rPr>
          <w:b/>
          <w:i/>
          <w:color w:val="231F20"/>
          <w:spacing w:val="-5"/>
          <w:sz w:val="17"/>
        </w:rPr>
        <w:t>libertad, R=Repeticiones, </w:t>
      </w:r>
      <w:r>
        <w:rPr>
          <w:b/>
          <w:i/>
          <w:color w:val="231F20"/>
          <w:spacing w:val="-6"/>
          <w:sz w:val="17"/>
        </w:rPr>
        <w:t>T=Tratamientos, </w:t>
      </w:r>
      <w:r>
        <w:rPr>
          <w:b/>
          <w:i/>
          <w:color w:val="231F20"/>
          <w:spacing w:val="-5"/>
          <w:sz w:val="17"/>
        </w:rPr>
        <w:t>F=Fertilización, D=Densidades, </w:t>
      </w:r>
      <w:r>
        <w:rPr>
          <w:b/>
          <w:i/>
          <w:color w:val="231F20"/>
          <w:spacing w:val="-5"/>
          <w:sz w:val="17"/>
        </w:rPr>
        <w:t>FxD=Fertilización</w:t>
      </w:r>
      <w:r>
        <w:rPr>
          <w:b/>
          <w:i/>
          <w:color w:val="231F20"/>
          <w:spacing w:val="-13"/>
          <w:sz w:val="17"/>
        </w:rPr>
        <w:t> </w:t>
      </w:r>
      <w:r>
        <w:rPr>
          <w:b/>
          <w:i/>
          <w:color w:val="231F20"/>
          <w:sz w:val="17"/>
        </w:rPr>
        <w:t>x</w:t>
      </w:r>
      <w:r>
        <w:rPr>
          <w:b/>
          <w:i/>
          <w:color w:val="231F20"/>
          <w:spacing w:val="-13"/>
          <w:sz w:val="17"/>
        </w:rPr>
        <w:t> </w:t>
      </w:r>
      <w:r>
        <w:rPr>
          <w:b/>
          <w:i/>
          <w:color w:val="231F20"/>
          <w:spacing w:val="-5"/>
          <w:sz w:val="17"/>
        </w:rPr>
        <w:t>Densidad,</w:t>
      </w:r>
      <w:r>
        <w:rPr>
          <w:b/>
          <w:i/>
          <w:color w:val="231F20"/>
          <w:spacing w:val="-20"/>
          <w:sz w:val="17"/>
        </w:rPr>
        <w:t> </w:t>
      </w:r>
      <w:r>
        <w:rPr>
          <w:b/>
          <w:i/>
          <w:color w:val="231F20"/>
          <w:spacing w:val="-5"/>
          <w:sz w:val="17"/>
        </w:rPr>
        <w:t>ALP=Altura</w:t>
      </w:r>
      <w:r>
        <w:rPr>
          <w:b/>
          <w:i/>
          <w:color w:val="231F20"/>
          <w:spacing w:val="-13"/>
          <w:sz w:val="17"/>
        </w:rPr>
        <w:t> </w:t>
      </w:r>
      <w:r>
        <w:rPr>
          <w:b/>
          <w:i/>
          <w:color w:val="231F20"/>
          <w:spacing w:val="-3"/>
          <w:sz w:val="17"/>
        </w:rPr>
        <w:t>de</w:t>
      </w:r>
      <w:r>
        <w:rPr>
          <w:b/>
          <w:i/>
          <w:color w:val="231F20"/>
          <w:spacing w:val="-13"/>
          <w:sz w:val="17"/>
        </w:rPr>
        <w:t> </w:t>
      </w:r>
      <w:r>
        <w:rPr>
          <w:b/>
          <w:i/>
          <w:color w:val="231F20"/>
          <w:spacing w:val="-5"/>
          <w:sz w:val="17"/>
        </w:rPr>
        <w:t>planta,</w:t>
      </w:r>
      <w:r>
        <w:rPr>
          <w:b/>
          <w:i/>
          <w:color w:val="231F20"/>
          <w:spacing w:val="-13"/>
          <w:sz w:val="17"/>
        </w:rPr>
        <w:t> </w:t>
      </w:r>
      <w:r>
        <w:rPr>
          <w:b/>
          <w:i/>
          <w:color w:val="231F20"/>
          <w:spacing w:val="-6"/>
          <w:sz w:val="17"/>
        </w:rPr>
        <w:t>LPA=Longitud</w:t>
      </w:r>
      <w:r>
        <w:rPr>
          <w:b/>
          <w:i/>
          <w:color w:val="231F20"/>
          <w:spacing w:val="-13"/>
          <w:sz w:val="17"/>
        </w:rPr>
        <w:t> </w:t>
      </w:r>
      <w:r>
        <w:rPr>
          <w:b/>
          <w:i/>
          <w:color w:val="231F20"/>
          <w:spacing w:val="-3"/>
          <w:sz w:val="17"/>
        </w:rPr>
        <w:t>de</w:t>
      </w:r>
      <w:r>
        <w:rPr>
          <w:b/>
          <w:i/>
          <w:color w:val="231F20"/>
          <w:spacing w:val="-13"/>
          <w:sz w:val="17"/>
        </w:rPr>
        <w:t> </w:t>
      </w:r>
      <w:r>
        <w:rPr>
          <w:b/>
          <w:i/>
          <w:color w:val="231F20"/>
          <w:spacing w:val="-5"/>
          <w:sz w:val="17"/>
        </w:rPr>
        <w:t>panoja,</w:t>
      </w:r>
      <w:r>
        <w:rPr>
          <w:b/>
          <w:i/>
          <w:color w:val="231F20"/>
          <w:spacing w:val="-13"/>
          <w:sz w:val="17"/>
        </w:rPr>
        <w:t> </w:t>
      </w:r>
      <w:r>
        <w:rPr>
          <w:b/>
          <w:i/>
          <w:color w:val="231F20"/>
          <w:spacing w:val="-5"/>
          <w:sz w:val="17"/>
        </w:rPr>
        <w:t>LPE=Longitud</w:t>
      </w:r>
      <w:r>
        <w:rPr>
          <w:b/>
          <w:i/>
          <w:color w:val="231F20"/>
          <w:spacing w:val="-13"/>
          <w:sz w:val="17"/>
        </w:rPr>
        <w:t> </w:t>
      </w:r>
      <w:r>
        <w:rPr>
          <w:b/>
          <w:i/>
          <w:color w:val="231F20"/>
          <w:spacing w:val="-3"/>
          <w:sz w:val="17"/>
        </w:rPr>
        <w:t>de</w:t>
      </w:r>
      <w:r>
        <w:rPr>
          <w:b/>
          <w:i/>
          <w:color w:val="231F20"/>
          <w:spacing w:val="-13"/>
          <w:sz w:val="17"/>
        </w:rPr>
        <w:t> </w:t>
      </w:r>
      <w:r>
        <w:rPr>
          <w:b/>
          <w:i/>
          <w:color w:val="231F20"/>
          <w:spacing w:val="-5"/>
          <w:sz w:val="17"/>
        </w:rPr>
        <w:t>pedúnculo,</w:t>
      </w:r>
      <w:r>
        <w:rPr>
          <w:b/>
          <w:i/>
          <w:color w:val="231F20"/>
          <w:spacing w:val="-13"/>
          <w:sz w:val="17"/>
        </w:rPr>
        <w:t> </w:t>
      </w:r>
      <w:r>
        <w:rPr>
          <w:b/>
          <w:i/>
          <w:color w:val="231F20"/>
          <w:spacing w:val="-6"/>
          <w:sz w:val="17"/>
        </w:rPr>
        <w:t>DTA=Diámetro </w:t>
      </w:r>
      <w:r>
        <w:rPr>
          <w:b/>
          <w:i/>
          <w:color w:val="231F20"/>
          <w:spacing w:val="-3"/>
          <w:sz w:val="17"/>
        </w:rPr>
        <w:t>de</w:t>
      </w:r>
      <w:r>
        <w:rPr>
          <w:b/>
          <w:i/>
          <w:color w:val="231F20"/>
          <w:spacing w:val="-12"/>
          <w:sz w:val="17"/>
        </w:rPr>
        <w:t> </w:t>
      </w:r>
      <w:r>
        <w:rPr>
          <w:b/>
          <w:i/>
          <w:color w:val="231F20"/>
          <w:spacing w:val="-5"/>
          <w:sz w:val="17"/>
        </w:rPr>
        <w:t>tallo,</w:t>
      </w:r>
      <w:r>
        <w:rPr>
          <w:b/>
          <w:i/>
          <w:color w:val="231F20"/>
          <w:spacing w:val="-12"/>
          <w:sz w:val="17"/>
        </w:rPr>
        <w:t> </w:t>
      </w:r>
      <w:r>
        <w:rPr>
          <w:b/>
          <w:i/>
          <w:color w:val="231F20"/>
          <w:spacing w:val="-5"/>
          <w:sz w:val="17"/>
        </w:rPr>
        <w:t>NPP=Nudos</w:t>
      </w:r>
      <w:r>
        <w:rPr>
          <w:b/>
          <w:i/>
          <w:color w:val="231F20"/>
          <w:spacing w:val="-12"/>
          <w:sz w:val="17"/>
        </w:rPr>
        <w:t> </w:t>
      </w:r>
      <w:r>
        <w:rPr>
          <w:b/>
          <w:i/>
          <w:color w:val="231F20"/>
          <w:spacing w:val="-4"/>
          <w:sz w:val="17"/>
        </w:rPr>
        <w:t>por</w:t>
      </w:r>
      <w:r>
        <w:rPr>
          <w:b/>
          <w:i/>
          <w:color w:val="231F20"/>
          <w:spacing w:val="-12"/>
          <w:sz w:val="17"/>
        </w:rPr>
        <w:t> </w:t>
      </w:r>
      <w:r>
        <w:rPr>
          <w:b/>
          <w:i/>
          <w:color w:val="231F20"/>
          <w:spacing w:val="-5"/>
          <w:sz w:val="17"/>
        </w:rPr>
        <w:t>planta,</w:t>
      </w:r>
      <w:r>
        <w:rPr>
          <w:b/>
          <w:i/>
          <w:color w:val="231F20"/>
          <w:spacing w:val="-12"/>
          <w:sz w:val="17"/>
        </w:rPr>
        <w:t> </w:t>
      </w:r>
      <w:r>
        <w:rPr>
          <w:b/>
          <w:i/>
          <w:color w:val="231F20"/>
          <w:spacing w:val="-5"/>
          <w:sz w:val="17"/>
        </w:rPr>
        <w:t>PEH=Peso</w:t>
      </w:r>
      <w:r>
        <w:rPr>
          <w:b/>
          <w:i/>
          <w:color w:val="231F20"/>
          <w:spacing w:val="-12"/>
          <w:sz w:val="17"/>
        </w:rPr>
        <w:t> </w:t>
      </w:r>
      <w:r>
        <w:rPr>
          <w:b/>
          <w:i/>
          <w:color w:val="231F20"/>
          <w:spacing w:val="-3"/>
          <w:sz w:val="17"/>
        </w:rPr>
        <w:t>de</w:t>
      </w:r>
      <w:r>
        <w:rPr>
          <w:b/>
          <w:i/>
          <w:color w:val="231F20"/>
          <w:spacing w:val="-12"/>
          <w:sz w:val="17"/>
        </w:rPr>
        <w:t> </w:t>
      </w:r>
      <w:r>
        <w:rPr>
          <w:b/>
          <w:i/>
          <w:color w:val="231F20"/>
          <w:spacing w:val="-5"/>
          <w:sz w:val="17"/>
        </w:rPr>
        <w:t>hojas,</w:t>
      </w:r>
      <w:r>
        <w:rPr>
          <w:b/>
          <w:i/>
          <w:color w:val="231F20"/>
          <w:spacing w:val="-12"/>
          <w:sz w:val="17"/>
        </w:rPr>
        <w:t> </w:t>
      </w:r>
      <w:r>
        <w:rPr>
          <w:b/>
          <w:i/>
          <w:color w:val="231F20"/>
          <w:spacing w:val="-5"/>
          <w:sz w:val="17"/>
        </w:rPr>
        <w:t>PET=Peso</w:t>
      </w:r>
      <w:r>
        <w:rPr>
          <w:b/>
          <w:i/>
          <w:color w:val="231F20"/>
          <w:spacing w:val="-12"/>
          <w:sz w:val="17"/>
        </w:rPr>
        <w:t> </w:t>
      </w:r>
      <w:r>
        <w:rPr>
          <w:b/>
          <w:i/>
          <w:color w:val="231F20"/>
          <w:spacing w:val="-3"/>
          <w:sz w:val="17"/>
        </w:rPr>
        <w:t>de</w:t>
      </w:r>
      <w:r>
        <w:rPr>
          <w:b/>
          <w:i/>
          <w:color w:val="231F20"/>
          <w:spacing w:val="-12"/>
          <w:sz w:val="17"/>
        </w:rPr>
        <w:t> </w:t>
      </w:r>
      <w:r>
        <w:rPr>
          <w:b/>
          <w:i/>
          <w:color w:val="231F20"/>
          <w:spacing w:val="-5"/>
          <w:sz w:val="17"/>
        </w:rPr>
        <w:t>tallo,</w:t>
      </w:r>
      <w:r>
        <w:rPr>
          <w:b/>
          <w:i/>
          <w:color w:val="231F20"/>
          <w:spacing w:val="-12"/>
          <w:sz w:val="17"/>
        </w:rPr>
        <w:t> </w:t>
      </w:r>
      <w:r>
        <w:rPr>
          <w:b/>
          <w:i/>
          <w:color w:val="231F20"/>
          <w:spacing w:val="-5"/>
          <w:sz w:val="17"/>
        </w:rPr>
        <w:t>PEP=Peso</w:t>
      </w:r>
      <w:r>
        <w:rPr>
          <w:b/>
          <w:i/>
          <w:color w:val="231F20"/>
          <w:spacing w:val="-12"/>
          <w:sz w:val="17"/>
        </w:rPr>
        <w:t> </w:t>
      </w:r>
      <w:r>
        <w:rPr>
          <w:b/>
          <w:i/>
          <w:color w:val="231F20"/>
          <w:spacing w:val="-3"/>
          <w:sz w:val="17"/>
        </w:rPr>
        <w:t>de</w:t>
      </w:r>
      <w:r>
        <w:rPr>
          <w:b/>
          <w:i/>
          <w:color w:val="231F20"/>
          <w:spacing w:val="-12"/>
          <w:sz w:val="17"/>
        </w:rPr>
        <w:t> </w:t>
      </w:r>
      <w:r>
        <w:rPr>
          <w:b/>
          <w:i/>
          <w:color w:val="231F20"/>
          <w:spacing w:val="-5"/>
          <w:sz w:val="17"/>
        </w:rPr>
        <w:t>panojas,</w:t>
      </w:r>
      <w:r>
        <w:rPr>
          <w:b/>
          <w:i/>
          <w:color w:val="231F20"/>
          <w:spacing w:val="-12"/>
          <w:sz w:val="17"/>
        </w:rPr>
        <w:t> </w:t>
      </w:r>
      <w:r>
        <w:rPr>
          <w:b/>
          <w:i/>
          <w:color w:val="231F20"/>
          <w:spacing w:val="-6"/>
          <w:sz w:val="17"/>
        </w:rPr>
        <w:t>ESPA=Espiguillas</w:t>
      </w:r>
      <w:r>
        <w:rPr>
          <w:b/>
          <w:i/>
          <w:color w:val="231F20"/>
          <w:spacing w:val="-12"/>
          <w:sz w:val="17"/>
        </w:rPr>
        <w:t> </w:t>
      </w:r>
      <w:r>
        <w:rPr>
          <w:b/>
          <w:i/>
          <w:color w:val="231F20"/>
          <w:spacing w:val="-4"/>
          <w:sz w:val="17"/>
        </w:rPr>
        <w:t>por</w:t>
      </w:r>
      <w:r>
        <w:rPr>
          <w:b/>
          <w:i/>
          <w:color w:val="231F20"/>
          <w:spacing w:val="-12"/>
          <w:sz w:val="17"/>
        </w:rPr>
        <w:t> </w:t>
      </w:r>
      <w:r>
        <w:rPr>
          <w:b/>
          <w:i/>
          <w:color w:val="231F20"/>
          <w:spacing w:val="-5"/>
          <w:sz w:val="17"/>
        </w:rPr>
        <w:t>panoja, GEP=Granos</w:t>
      </w:r>
      <w:r>
        <w:rPr>
          <w:b/>
          <w:i/>
          <w:color w:val="231F20"/>
          <w:spacing w:val="-12"/>
          <w:sz w:val="17"/>
        </w:rPr>
        <w:t> </w:t>
      </w:r>
      <w:r>
        <w:rPr>
          <w:b/>
          <w:i/>
          <w:color w:val="231F20"/>
          <w:spacing w:val="-4"/>
          <w:sz w:val="17"/>
        </w:rPr>
        <w:t>por</w:t>
      </w:r>
      <w:r>
        <w:rPr>
          <w:b/>
          <w:i/>
          <w:color w:val="231F20"/>
          <w:spacing w:val="-12"/>
          <w:sz w:val="17"/>
        </w:rPr>
        <w:t> </w:t>
      </w:r>
      <w:r>
        <w:rPr>
          <w:b/>
          <w:i/>
          <w:color w:val="231F20"/>
          <w:spacing w:val="-5"/>
          <w:sz w:val="17"/>
        </w:rPr>
        <w:t>espiguilla,</w:t>
      </w:r>
      <w:r>
        <w:rPr>
          <w:b/>
          <w:i/>
          <w:color w:val="231F20"/>
          <w:spacing w:val="-12"/>
          <w:sz w:val="17"/>
        </w:rPr>
        <w:t> </w:t>
      </w:r>
      <w:r>
        <w:rPr>
          <w:b/>
          <w:i/>
          <w:color w:val="231F20"/>
          <w:spacing w:val="-6"/>
          <w:sz w:val="17"/>
        </w:rPr>
        <w:t>GPA=Granos</w:t>
      </w:r>
      <w:r>
        <w:rPr>
          <w:b/>
          <w:i/>
          <w:color w:val="231F20"/>
          <w:spacing w:val="-12"/>
          <w:sz w:val="17"/>
        </w:rPr>
        <w:t> </w:t>
      </w:r>
      <w:r>
        <w:rPr>
          <w:b/>
          <w:i/>
          <w:color w:val="231F20"/>
          <w:spacing w:val="-4"/>
          <w:sz w:val="17"/>
        </w:rPr>
        <w:t>por</w:t>
      </w:r>
      <w:r>
        <w:rPr>
          <w:b/>
          <w:i/>
          <w:color w:val="231F20"/>
          <w:spacing w:val="-12"/>
          <w:sz w:val="17"/>
        </w:rPr>
        <w:t> </w:t>
      </w:r>
      <w:r>
        <w:rPr>
          <w:b/>
          <w:i/>
          <w:color w:val="231F20"/>
          <w:spacing w:val="-5"/>
          <w:sz w:val="17"/>
        </w:rPr>
        <w:t>panoja,</w:t>
      </w:r>
      <w:r>
        <w:rPr>
          <w:b/>
          <w:i/>
          <w:color w:val="231F20"/>
          <w:spacing w:val="-12"/>
          <w:sz w:val="17"/>
        </w:rPr>
        <w:t> </w:t>
      </w:r>
      <w:r>
        <w:rPr>
          <w:b/>
          <w:i/>
          <w:color w:val="231F20"/>
          <w:spacing w:val="-5"/>
          <w:sz w:val="17"/>
        </w:rPr>
        <w:t>P100=Peso</w:t>
      </w:r>
      <w:r>
        <w:rPr>
          <w:b/>
          <w:i/>
          <w:color w:val="231F20"/>
          <w:spacing w:val="-12"/>
          <w:sz w:val="17"/>
        </w:rPr>
        <w:t> </w:t>
      </w:r>
      <w:r>
        <w:rPr>
          <w:b/>
          <w:i/>
          <w:color w:val="231F20"/>
          <w:spacing w:val="-3"/>
          <w:sz w:val="17"/>
        </w:rPr>
        <w:t>de</w:t>
      </w:r>
      <w:r>
        <w:rPr>
          <w:b/>
          <w:i/>
          <w:color w:val="231F20"/>
          <w:spacing w:val="-12"/>
          <w:sz w:val="17"/>
        </w:rPr>
        <w:t> </w:t>
      </w:r>
      <w:r>
        <w:rPr>
          <w:b/>
          <w:i/>
          <w:color w:val="231F20"/>
          <w:spacing w:val="-4"/>
          <w:sz w:val="17"/>
        </w:rPr>
        <w:t>cien</w:t>
      </w:r>
      <w:r>
        <w:rPr>
          <w:b/>
          <w:i/>
          <w:color w:val="231F20"/>
          <w:spacing w:val="-12"/>
          <w:sz w:val="17"/>
        </w:rPr>
        <w:t> </w:t>
      </w:r>
      <w:r>
        <w:rPr>
          <w:b/>
          <w:i/>
          <w:color w:val="231F20"/>
          <w:spacing w:val="-5"/>
          <w:sz w:val="17"/>
        </w:rPr>
        <w:t>semillas,</w:t>
      </w:r>
      <w:r>
        <w:rPr>
          <w:b/>
          <w:i/>
          <w:color w:val="231F20"/>
          <w:spacing w:val="-12"/>
          <w:sz w:val="17"/>
        </w:rPr>
        <w:t> </w:t>
      </w:r>
      <w:r>
        <w:rPr>
          <w:b/>
          <w:i/>
          <w:color w:val="231F20"/>
          <w:spacing w:val="-5"/>
          <w:sz w:val="17"/>
        </w:rPr>
        <w:t>PGP=Peso</w:t>
      </w:r>
      <w:r>
        <w:rPr>
          <w:b/>
          <w:i/>
          <w:color w:val="231F20"/>
          <w:spacing w:val="-12"/>
          <w:sz w:val="17"/>
        </w:rPr>
        <w:t> </w:t>
      </w:r>
      <w:r>
        <w:rPr>
          <w:b/>
          <w:i/>
          <w:color w:val="231F20"/>
          <w:spacing w:val="-3"/>
          <w:sz w:val="17"/>
        </w:rPr>
        <w:t>de</w:t>
      </w:r>
      <w:r>
        <w:rPr>
          <w:b/>
          <w:i/>
          <w:color w:val="231F20"/>
          <w:spacing w:val="-12"/>
          <w:sz w:val="17"/>
        </w:rPr>
        <w:t> </w:t>
      </w:r>
      <w:r>
        <w:rPr>
          <w:b/>
          <w:i/>
          <w:color w:val="231F20"/>
          <w:spacing w:val="-4"/>
          <w:sz w:val="17"/>
        </w:rPr>
        <w:t>grano</w:t>
      </w:r>
      <w:r>
        <w:rPr>
          <w:b/>
          <w:i/>
          <w:color w:val="231F20"/>
          <w:spacing w:val="-12"/>
          <w:sz w:val="17"/>
        </w:rPr>
        <w:t> </w:t>
      </w:r>
      <w:r>
        <w:rPr>
          <w:b/>
          <w:i/>
          <w:color w:val="231F20"/>
          <w:spacing w:val="-4"/>
          <w:sz w:val="17"/>
        </w:rPr>
        <w:t>por</w:t>
      </w:r>
      <w:r>
        <w:rPr>
          <w:b/>
          <w:i/>
          <w:color w:val="231F20"/>
          <w:spacing w:val="-12"/>
          <w:sz w:val="17"/>
        </w:rPr>
        <w:t> </w:t>
      </w:r>
      <w:r>
        <w:rPr>
          <w:b/>
          <w:i/>
          <w:color w:val="231F20"/>
          <w:spacing w:val="-5"/>
          <w:sz w:val="17"/>
        </w:rPr>
        <w:t>panoja,</w:t>
      </w:r>
      <w:r>
        <w:rPr>
          <w:b/>
          <w:i/>
          <w:color w:val="231F20"/>
          <w:spacing w:val="-12"/>
          <w:sz w:val="17"/>
        </w:rPr>
        <w:t> </w:t>
      </w:r>
      <w:r>
        <w:rPr>
          <w:b/>
          <w:i/>
          <w:color w:val="231F20"/>
          <w:spacing w:val="-5"/>
          <w:sz w:val="17"/>
        </w:rPr>
        <w:t>PPL=Peso </w:t>
      </w:r>
      <w:r>
        <w:rPr>
          <w:b/>
          <w:i/>
          <w:color w:val="231F20"/>
          <w:spacing w:val="-4"/>
          <w:sz w:val="17"/>
        </w:rPr>
        <w:t>por</w:t>
      </w:r>
      <w:r>
        <w:rPr>
          <w:b/>
          <w:i/>
          <w:color w:val="231F20"/>
          <w:spacing w:val="-11"/>
          <w:sz w:val="17"/>
        </w:rPr>
        <w:t> </w:t>
      </w:r>
      <w:r>
        <w:rPr>
          <w:b/>
          <w:i/>
          <w:color w:val="231F20"/>
          <w:spacing w:val="-5"/>
          <w:sz w:val="17"/>
        </w:rPr>
        <w:t>planta,</w:t>
      </w:r>
      <w:r>
        <w:rPr>
          <w:b/>
          <w:i/>
          <w:color w:val="231F20"/>
          <w:spacing w:val="-11"/>
          <w:sz w:val="17"/>
        </w:rPr>
        <w:t> </w:t>
      </w:r>
      <w:r>
        <w:rPr>
          <w:b/>
          <w:i/>
          <w:color w:val="231F20"/>
          <w:spacing w:val="-5"/>
          <w:sz w:val="17"/>
        </w:rPr>
        <w:t>FHA=Rendimiento</w:t>
      </w:r>
      <w:r>
        <w:rPr>
          <w:b/>
          <w:i/>
          <w:color w:val="231F20"/>
          <w:spacing w:val="-11"/>
          <w:sz w:val="17"/>
        </w:rPr>
        <w:t> </w:t>
      </w:r>
      <w:r>
        <w:rPr>
          <w:b/>
          <w:i/>
          <w:color w:val="231F20"/>
          <w:spacing w:val="-3"/>
          <w:sz w:val="17"/>
        </w:rPr>
        <w:t>de</w:t>
      </w:r>
      <w:r>
        <w:rPr>
          <w:b/>
          <w:i/>
          <w:color w:val="231F20"/>
          <w:spacing w:val="-11"/>
          <w:sz w:val="17"/>
        </w:rPr>
        <w:t> </w:t>
      </w:r>
      <w:r>
        <w:rPr>
          <w:b/>
          <w:i/>
          <w:color w:val="231F20"/>
          <w:spacing w:val="-5"/>
          <w:sz w:val="17"/>
        </w:rPr>
        <w:t>forraje</w:t>
      </w:r>
      <w:r>
        <w:rPr>
          <w:b/>
          <w:i/>
          <w:color w:val="231F20"/>
          <w:spacing w:val="-11"/>
          <w:sz w:val="17"/>
        </w:rPr>
        <w:t> </w:t>
      </w:r>
      <w:r>
        <w:rPr>
          <w:b/>
          <w:i/>
          <w:color w:val="231F20"/>
          <w:spacing w:val="-4"/>
          <w:sz w:val="17"/>
        </w:rPr>
        <w:t>por</w:t>
      </w:r>
      <w:r>
        <w:rPr>
          <w:b/>
          <w:i/>
          <w:color w:val="231F20"/>
          <w:spacing w:val="-11"/>
          <w:sz w:val="17"/>
        </w:rPr>
        <w:t> </w:t>
      </w:r>
      <w:r>
        <w:rPr>
          <w:b/>
          <w:i/>
          <w:color w:val="231F20"/>
          <w:spacing w:val="-5"/>
          <w:sz w:val="17"/>
        </w:rPr>
        <w:t>hectárea,</w:t>
      </w:r>
      <w:r>
        <w:rPr>
          <w:b/>
          <w:i/>
          <w:color w:val="231F20"/>
          <w:spacing w:val="-11"/>
          <w:sz w:val="17"/>
        </w:rPr>
        <w:t> </w:t>
      </w:r>
      <w:r>
        <w:rPr>
          <w:b/>
          <w:i/>
          <w:color w:val="231F20"/>
          <w:spacing w:val="-5"/>
          <w:sz w:val="17"/>
        </w:rPr>
        <w:t>GHA=Rendimiento</w:t>
      </w:r>
      <w:r>
        <w:rPr>
          <w:b/>
          <w:i/>
          <w:color w:val="231F20"/>
          <w:spacing w:val="-11"/>
          <w:sz w:val="17"/>
        </w:rPr>
        <w:t> </w:t>
      </w:r>
      <w:r>
        <w:rPr>
          <w:b/>
          <w:i/>
          <w:color w:val="231F20"/>
          <w:spacing w:val="-3"/>
          <w:sz w:val="17"/>
        </w:rPr>
        <w:t>de</w:t>
      </w:r>
      <w:r>
        <w:rPr>
          <w:b/>
          <w:i/>
          <w:color w:val="231F20"/>
          <w:spacing w:val="-11"/>
          <w:sz w:val="17"/>
        </w:rPr>
        <w:t> </w:t>
      </w:r>
      <w:r>
        <w:rPr>
          <w:b/>
          <w:i/>
          <w:color w:val="231F20"/>
          <w:spacing w:val="-4"/>
          <w:sz w:val="17"/>
        </w:rPr>
        <w:t>grano</w:t>
      </w:r>
      <w:r>
        <w:rPr>
          <w:b/>
          <w:i/>
          <w:color w:val="231F20"/>
          <w:spacing w:val="-11"/>
          <w:sz w:val="17"/>
        </w:rPr>
        <w:t> </w:t>
      </w:r>
      <w:r>
        <w:rPr>
          <w:b/>
          <w:i/>
          <w:color w:val="231F20"/>
          <w:spacing w:val="-4"/>
          <w:sz w:val="17"/>
        </w:rPr>
        <w:t>por</w:t>
      </w:r>
      <w:r>
        <w:rPr>
          <w:b/>
          <w:i/>
          <w:color w:val="231F20"/>
          <w:spacing w:val="-11"/>
          <w:sz w:val="17"/>
        </w:rPr>
        <w:t> </w:t>
      </w:r>
      <w:r>
        <w:rPr>
          <w:b/>
          <w:i/>
          <w:color w:val="231F20"/>
          <w:spacing w:val="-5"/>
          <w:sz w:val="17"/>
        </w:rPr>
        <w:t>hectárea,</w:t>
      </w:r>
      <w:r>
        <w:rPr>
          <w:b/>
          <w:i/>
          <w:color w:val="231F20"/>
          <w:spacing w:val="-11"/>
          <w:sz w:val="17"/>
        </w:rPr>
        <w:t> </w:t>
      </w:r>
      <w:r>
        <w:rPr>
          <w:b/>
          <w:i/>
          <w:color w:val="231F20"/>
          <w:spacing w:val="-5"/>
          <w:sz w:val="17"/>
        </w:rPr>
        <w:t>INC=Índice</w:t>
      </w:r>
      <w:r>
        <w:rPr>
          <w:b/>
          <w:i/>
          <w:color w:val="231F20"/>
          <w:spacing w:val="-11"/>
          <w:sz w:val="17"/>
        </w:rPr>
        <w:t> </w:t>
      </w:r>
      <w:r>
        <w:rPr>
          <w:b/>
          <w:i/>
          <w:color w:val="231F20"/>
          <w:spacing w:val="-3"/>
          <w:sz w:val="17"/>
        </w:rPr>
        <w:t>de</w:t>
      </w:r>
      <w:r>
        <w:rPr>
          <w:b/>
          <w:i/>
          <w:color w:val="231F20"/>
          <w:spacing w:val="-11"/>
          <w:sz w:val="17"/>
        </w:rPr>
        <w:t> </w:t>
      </w:r>
      <w:r>
        <w:rPr>
          <w:b/>
          <w:i/>
          <w:color w:val="231F20"/>
          <w:spacing w:val="-5"/>
          <w:sz w:val="17"/>
        </w:rPr>
        <w:t>cosecha.</w:t>
      </w:r>
      <w:r>
        <w:rPr>
          <w:b/>
          <w:i/>
          <w:color w:val="231F20"/>
          <w:spacing w:val="-11"/>
          <w:sz w:val="17"/>
        </w:rPr>
        <w:t> </w:t>
      </w:r>
      <w:r>
        <w:rPr>
          <w:b/>
          <w:i/>
          <w:color w:val="231F20"/>
          <w:spacing w:val="-5"/>
          <w:sz w:val="17"/>
        </w:rPr>
        <w:t>*,**</w:t>
      </w:r>
    </w:p>
    <w:p>
      <w:pPr>
        <w:spacing w:before="2"/>
        <w:ind w:left="1270" w:right="0" w:firstLine="0"/>
        <w:jc w:val="both"/>
        <w:rPr>
          <w:b/>
          <w:i/>
          <w:sz w:val="17"/>
        </w:rPr>
      </w:pPr>
      <w:r>
        <w:rPr>
          <w:b/>
          <w:i/>
          <w:color w:val="231F20"/>
          <w:sz w:val="17"/>
        </w:rPr>
        <w:t>=Significancia estadística al 5 y 1%, respectivamente, ns=no significativo.</w:t>
      </w:r>
    </w:p>
    <w:p>
      <w:pPr>
        <w:pStyle w:val="BodyText"/>
        <w:spacing w:before="7"/>
        <w:rPr>
          <w:b/>
          <w:i/>
          <w:sz w:val="22"/>
        </w:rPr>
      </w:pPr>
    </w:p>
    <w:p>
      <w:pPr>
        <w:spacing w:before="1"/>
        <w:ind w:left="1556" w:right="0" w:firstLine="0"/>
        <w:jc w:val="left"/>
        <w:rPr>
          <w:b/>
          <w:sz w:val="18"/>
        </w:rPr>
      </w:pPr>
      <w:r>
        <w:rPr>
          <w:b/>
          <w:color w:val="010202"/>
          <w:sz w:val="18"/>
        </w:rPr>
        <w:t>Figura 1. Comportamiento de la temperatura (°C) y precipitación (mm) en Loma Bonita, Oaxaca. Año 2009</w:t>
      </w:r>
    </w:p>
    <w:p>
      <w:pPr>
        <w:pStyle w:val="BodyText"/>
        <w:spacing w:before="9"/>
        <w:rPr>
          <w:b/>
          <w:sz w:val="18"/>
        </w:rPr>
      </w:pPr>
      <w:r>
        <w:rPr/>
        <w:drawing>
          <wp:anchor distT="0" distB="0" distL="0" distR="0" allowOverlap="1" layoutInCell="1" locked="0" behindDoc="0" simplePos="0" relativeHeight="4672">
            <wp:simplePos x="0" y="0"/>
            <wp:positionH relativeFrom="page">
              <wp:posOffset>1685429</wp:posOffset>
            </wp:positionH>
            <wp:positionV relativeFrom="paragraph">
              <wp:posOffset>161967</wp:posOffset>
            </wp:positionV>
            <wp:extent cx="3523375" cy="1978723"/>
            <wp:effectExtent l="0" t="0" r="0" b="0"/>
            <wp:wrapTopAndBottom/>
            <wp:docPr id="175" name="image70.png" descr=""/>
            <wp:cNvGraphicFramePr>
              <a:graphicFrameLocks noChangeAspect="1"/>
            </wp:cNvGraphicFramePr>
            <a:graphic>
              <a:graphicData uri="http://schemas.openxmlformats.org/drawingml/2006/picture">
                <pic:pic>
                  <pic:nvPicPr>
                    <pic:cNvPr id="176" name="image70.png"/>
                    <pic:cNvPicPr/>
                  </pic:nvPicPr>
                  <pic:blipFill>
                    <a:blip r:embed="rId102" cstate="print"/>
                    <a:stretch>
                      <a:fillRect/>
                    </a:stretch>
                  </pic:blipFill>
                  <pic:spPr>
                    <a:xfrm>
                      <a:off x="0" y="0"/>
                      <a:ext cx="3523375" cy="1978723"/>
                    </a:xfrm>
                    <a:prstGeom prst="rect">
                      <a:avLst/>
                    </a:prstGeom>
                  </pic:spPr>
                </pic:pic>
              </a:graphicData>
            </a:graphic>
          </wp:anchor>
        </w:drawing>
      </w:r>
    </w:p>
    <w:p>
      <w:pPr>
        <w:spacing w:after="0"/>
        <w:rPr>
          <w:sz w:val="18"/>
        </w:rPr>
        <w:sectPr>
          <w:pgSz w:w="10920" w:h="13080"/>
          <w:pgMar w:header="0" w:footer="965" w:top="420" w:bottom="1220" w:left="0" w:right="0"/>
        </w:sectPr>
      </w:pPr>
    </w:p>
    <w:p>
      <w:pPr>
        <w:pStyle w:val="BodyText"/>
        <w:rPr>
          <w:b/>
          <w:sz w:val="20"/>
        </w:rPr>
      </w:pPr>
    </w:p>
    <w:p>
      <w:pPr>
        <w:pStyle w:val="BodyText"/>
        <w:rPr>
          <w:b/>
          <w:sz w:val="20"/>
        </w:rPr>
      </w:pPr>
    </w:p>
    <w:p>
      <w:pPr>
        <w:pStyle w:val="BodyText"/>
        <w:rPr>
          <w:b/>
          <w:sz w:val="23"/>
        </w:rPr>
      </w:pPr>
    </w:p>
    <w:p>
      <w:pPr>
        <w:pStyle w:val="BodyText"/>
        <w:spacing w:line="249" w:lineRule="auto" w:before="73"/>
        <w:ind w:left="1270" w:right="1267"/>
        <w:jc w:val="both"/>
      </w:pPr>
      <w:r>
        <w:rPr>
          <w:color w:val="231F20"/>
        </w:rPr>
        <w:t>La longitud de panoja entre tratamientos varió de 20.3 cm (T4) a 24.0 cm (T1), promediando 22.0 cm</w:t>
      </w:r>
      <w:r>
        <w:rPr>
          <w:color w:val="231F20"/>
          <w:spacing w:val="-7"/>
        </w:rPr>
        <w:t> </w:t>
      </w:r>
      <w:r>
        <w:rPr>
          <w:color w:val="231F20"/>
        </w:rPr>
        <w:t>(Cuadros</w:t>
      </w:r>
      <w:r>
        <w:rPr>
          <w:color w:val="231F20"/>
          <w:spacing w:val="-7"/>
        </w:rPr>
        <w:t> </w:t>
      </w:r>
      <w:r>
        <w:rPr>
          <w:color w:val="231F20"/>
        </w:rPr>
        <w:t>1</w:t>
      </w:r>
      <w:r>
        <w:rPr>
          <w:color w:val="231F20"/>
          <w:spacing w:val="-7"/>
        </w:rPr>
        <w:t> </w:t>
      </w:r>
      <w:r>
        <w:rPr>
          <w:color w:val="231F20"/>
        </w:rPr>
        <w:t>y</w:t>
      </w:r>
      <w:r>
        <w:rPr>
          <w:color w:val="231F20"/>
          <w:spacing w:val="-7"/>
        </w:rPr>
        <w:t> </w:t>
      </w:r>
      <w:r>
        <w:rPr>
          <w:color w:val="231F20"/>
        </w:rPr>
        <w:t>2),</w:t>
      </w:r>
      <w:r>
        <w:rPr>
          <w:color w:val="231F20"/>
          <w:spacing w:val="-7"/>
        </w:rPr>
        <w:t> </w:t>
      </w:r>
      <w:r>
        <w:rPr>
          <w:color w:val="231F20"/>
        </w:rPr>
        <w:t>lo</w:t>
      </w:r>
      <w:r>
        <w:rPr>
          <w:color w:val="231F20"/>
          <w:spacing w:val="-7"/>
        </w:rPr>
        <w:t> </w:t>
      </w:r>
      <w:r>
        <w:rPr>
          <w:color w:val="231F20"/>
        </w:rPr>
        <w:t>que</w:t>
      </w:r>
      <w:r>
        <w:rPr>
          <w:color w:val="231F20"/>
          <w:spacing w:val="-7"/>
        </w:rPr>
        <w:t> </w:t>
      </w:r>
      <w:r>
        <w:rPr>
          <w:color w:val="231F20"/>
        </w:rPr>
        <w:t>está</w:t>
      </w:r>
      <w:r>
        <w:rPr>
          <w:color w:val="231F20"/>
          <w:spacing w:val="-7"/>
        </w:rPr>
        <w:t> </w:t>
      </w:r>
      <w:r>
        <w:rPr>
          <w:color w:val="231F20"/>
        </w:rPr>
        <w:t>en</w:t>
      </w:r>
      <w:r>
        <w:rPr>
          <w:color w:val="231F20"/>
          <w:spacing w:val="-7"/>
        </w:rPr>
        <w:t> </w:t>
      </w:r>
      <w:r>
        <w:rPr>
          <w:color w:val="231F20"/>
        </w:rPr>
        <w:t>concordancia</w:t>
      </w:r>
      <w:r>
        <w:rPr>
          <w:color w:val="231F20"/>
          <w:spacing w:val="-8"/>
        </w:rPr>
        <w:t> </w:t>
      </w:r>
      <w:r>
        <w:rPr>
          <w:color w:val="231F20"/>
        </w:rPr>
        <w:t>con</w:t>
      </w:r>
      <w:r>
        <w:rPr>
          <w:color w:val="231F20"/>
          <w:spacing w:val="-7"/>
        </w:rPr>
        <w:t> </w:t>
      </w:r>
      <w:r>
        <w:rPr>
          <w:color w:val="231F20"/>
        </w:rPr>
        <w:t>León</w:t>
      </w:r>
      <w:r>
        <w:rPr>
          <w:color w:val="231F20"/>
          <w:spacing w:val="-7"/>
        </w:rPr>
        <w:t> </w:t>
      </w:r>
      <w:r>
        <w:rPr>
          <w:i/>
          <w:color w:val="231F20"/>
        </w:rPr>
        <w:t>et</w:t>
      </w:r>
      <w:r>
        <w:rPr>
          <w:i/>
          <w:color w:val="231F20"/>
          <w:spacing w:val="-7"/>
        </w:rPr>
        <w:t> </w:t>
      </w:r>
      <w:r>
        <w:rPr>
          <w:i/>
          <w:color w:val="231F20"/>
        </w:rPr>
        <w:t>al.</w:t>
      </w:r>
      <w:r>
        <w:rPr>
          <w:i/>
          <w:color w:val="231F20"/>
          <w:spacing w:val="-7"/>
        </w:rPr>
        <w:t> </w:t>
      </w:r>
      <w:r>
        <w:rPr>
          <w:color w:val="231F20"/>
        </w:rPr>
        <w:t>(2009a),</w:t>
      </w:r>
      <w:r>
        <w:rPr>
          <w:color w:val="231F20"/>
          <w:spacing w:val="-7"/>
        </w:rPr>
        <w:t> </w:t>
      </w:r>
      <w:r>
        <w:rPr>
          <w:color w:val="231F20"/>
        </w:rPr>
        <w:t>quienes</w:t>
      </w:r>
      <w:r>
        <w:rPr>
          <w:color w:val="231F20"/>
          <w:spacing w:val="-7"/>
        </w:rPr>
        <w:t> </w:t>
      </w:r>
      <w:r>
        <w:rPr>
          <w:color w:val="231F20"/>
        </w:rPr>
        <w:t>en</w:t>
      </w:r>
      <w:r>
        <w:rPr>
          <w:color w:val="231F20"/>
          <w:spacing w:val="-7"/>
        </w:rPr>
        <w:t> </w:t>
      </w:r>
      <w:r>
        <w:rPr>
          <w:color w:val="231F20"/>
        </w:rPr>
        <w:t>sorgo</w:t>
      </w:r>
      <w:r>
        <w:rPr>
          <w:color w:val="231F20"/>
          <w:spacing w:val="-7"/>
        </w:rPr>
        <w:t> </w:t>
      </w:r>
      <w:r>
        <w:rPr>
          <w:color w:val="231F20"/>
        </w:rPr>
        <w:t>producido en secano encontraron longitudes de panoja de 22.1 a 27.8 cm con una longitud promedio de 24.6 cm. Güler </w:t>
      </w:r>
      <w:r>
        <w:rPr>
          <w:i/>
          <w:color w:val="231F20"/>
        </w:rPr>
        <w:t>et al. </w:t>
      </w:r>
      <w:r>
        <w:rPr>
          <w:color w:val="231F20"/>
        </w:rPr>
        <w:t>(2008) cuantificaron en sorgo longitudes de panoja entre 14.1 y 22.3 cm. Aunque González</w:t>
      </w:r>
      <w:r>
        <w:rPr>
          <w:color w:val="231F20"/>
          <w:spacing w:val="-4"/>
        </w:rPr>
        <w:t> </w:t>
      </w:r>
      <w:r>
        <w:rPr>
          <w:i/>
          <w:color w:val="231F20"/>
        </w:rPr>
        <w:t>et</w:t>
      </w:r>
      <w:r>
        <w:rPr>
          <w:i/>
          <w:color w:val="231F20"/>
          <w:spacing w:val="-5"/>
        </w:rPr>
        <w:t> </w:t>
      </w:r>
      <w:r>
        <w:rPr>
          <w:i/>
          <w:color w:val="231F20"/>
        </w:rPr>
        <w:t>al.</w:t>
      </w:r>
      <w:r>
        <w:rPr>
          <w:i/>
          <w:color w:val="231F20"/>
          <w:spacing w:val="-5"/>
        </w:rPr>
        <w:t> </w:t>
      </w:r>
      <w:r>
        <w:rPr>
          <w:color w:val="231F20"/>
        </w:rPr>
        <w:t>(2008)</w:t>
      </w:r>
      <w:r>
        <w:rPr>
          <w:color w:val="231F20"/>
          <w:spacing w:val="-5"/>
        </w:rPr>
        <w:t> </w:t>
      </w:r>
      <w:r>
        <w:rPr>
          <w:color w:val="231F20"/>
        </w:rPr>
        <w:t>reportaron</w:t>
      </w:r>
      <w:r>
        <w:rPr>
          <w:color w:val="231F20"/>
          <w:spacing w:val="-5"/>
        </w:rPr>
        <w:t> </w:t>
      </w:r>
      <w:r>
        <w:rPr>
          <w:color w:val="231F20"/>
        </w:rPr>
        <w:t>longitudes</w:t>
      </w:r>
      <w:r>
        <w:rPr>
          <w:color w:val="231F20"/>
          <w:spacing w:val="-5"/>
        </w:rPr>
        <w:t> </w:t>
      </w:r>
      <w:r>
        <w:rPr>
          <w:color w:val="231F20"/>
        </w:rPr>
        <w:t>de</w:t>
      </w:r>
      <w:r>
        <w:rPr>
          <w:color w:val="231F20"/>
          <w:spacing w:val="-5"/>
        </w:rPr>
        <w:t> </w:t>
      </w:r>
      <w:r>
        <w:rPr>
          <w:color w:val="231F20"/>
        </w:rPr>
        <w:t>panoja</w:t>
      </w:r>
      <w:r>
        <w:rPr>
          <w:color w:val="231F20"/>
          <w:spacing w:val="-5"/>
        </w:rPr>
        <w:t> </w:t>
      </w:r>
      <w:r>
        <w:rPr>
          <w:color w:val="231F20"/>
        </w:rPr>
        <w:t>entre</w:t>
      </w:r>
      <w:r>
        <w:rPr>
          <w:color w:val="231F20"/>
          <w:spacing w:val="-5"/>
        </w:rPr>
        <w:t> </w:t>
      </w:r>
      <w:r>
        <w:rPr>
          <w:color w:val="231F20"/>
        </w:rPr>
        <w:t>19</w:t>
      </w:r>
      <w:r>
        <w:rPr>
          <w:color w:val="231F20"/>
          <w:spacing w:val="-5"/>
        </w:rPr>
        <w:t> </w:t>
      </w:r>
      <w:r>
        <w:rPr>
          <w:color w:val="231F20"/>
        </w:rPr>
        <w:t>y</w:t>
      </w:r>
      <w:r>
        <w:rPr>
          <w:color w:val="231F20"/>
          <w:spacing w:val="-5"/>
        </w:rPr>
        <w:t> </w:t>
      </w:r>
      <w:r>
        <w:rPr>
          <w:color w:val="231F20"/>
        </w:rPr>
        <w:t>26</w:t>
      </w:r>
      <w:r>
        <w:rPr>
          <w:color w:val="231F20"/>
          <w:spacing w:val="-5"/>
        </w:rPr>
        <w:t> </w:t>
      </w:r>
      <w:r>
        <w:rPr>
          <w:color w:val="231F20"/>
        </w:rPr>
        <w:t>cm.</w:t>
      </w:r>
      <w:r>
        <w:rPr>
          <w:color w:val="231F20"/>
          <w:spacing w:val="-5"/>
        </w:rPr>
        <w:t> </w:t>
      </w:r>
      <w:r>
        <w:rPr>
          <w:color w:val="231F20"/>
        </w:rPr>
        <w:t>Longitud</w:t>
      </w:r>
      <w:r>
        <w:rPr>
          <w:color w:val="231F20"/>
          <w:spacing w:val="-5"/>
        </w:rPr>
        <w:t> </w:t>
      </w:r>
      <w:r>
        <w:rPr>
          <w:color w:val="231F20"/>
        </w:rPr>
        <w:t>de</w:t>
      </w:r>
      <w:r>
        <w:rPr>
          <w:color w:val="231F20"/>
          <w:spacing w:val="-5"/>
        </w:rPr>
        <w:t> </w:t>
      </w:r>
      <w:r>
        <w:rPr>
          <w:color w:val="231F20"/>
        </w:rPr>
        <w:t>pedúnculo</w:t>
      </w:r>
      <w:r>
        <w:rPr>
          <w:color w:val="231F20"/>
          <w:spacing w:val="-5"/>
        </w:rPr>
        <w:t> </w:t>
      </w:r>
      <w:r>
        <w:rPr>
          <w:color w:val="231F20"/>
        </w:rPr>
        <w:t>fue superior en T7=16.9 cm y T2=16.4 cm, teniéndose un promedio de 13.9 cm (Cuadros 1 y 2). </w:t>
      </w:r>
      <w:r>
        <w:rPr>
          <w:color w:val="231F20"/>
          <w:spacing w:val="-5"/>
        </w:rPr>
        <w:t>Valo- </w:t>
      </w:r>
      <w:r>
        <w:rPr>
          <w:color w:val="231F20"/>
        </w:rPr>
        <w:t>res que difieren de los de González </w:t>
      </w:r>
      <w:r>
        <w:rPr>
          <w:i/>
          <w:color w:val="231F20"/>
        </w:rPr>
        <w:t>et al. </w:t>
      </w:r>
      <w:r>
        <w:rPr>
          <w:color w:val="231F20"/>
        </w:rPr>
        <w:t>(2008), ya que en doce cultivares de sorgo estimaron una longitud de pedúnculo de 0.30 a 17 cm. Por su parte Cisneros </w:t>
      </w:r>
      <w:r>
        <w:rPr>
          <w:i/>
          <w:color w:val="231F20"/>
        </w:rPr>
        <w:t>et al. </w:t>
      </w:r>
      <w:r>
        <w:rPr>
          <w:color w:val="231F20"/>
        </w:rPr>
        <w:t>(2007) obtuvieron longitudes</w:t>
      </w:r>
      <w:r>
        <w:rPr>
          <w:color w:val="231F20"/>
          <w:spacing w:val="-21"/>
        </w:rPr>
        <w:t> </w:t>
      </w:r>
      <w:r>
        <w:rPr>
          <w:color w:val="231F20"/>
        </w:rPr>
        <w:t>de pedúnculo de 13.7 a 21.6 cm. El diámetro de tallo fue mayor en T1=5.4 cm y el menor se registró en</w:t>
      </w:r>
      <w:r>
        <w:rPr>
          <w:color w:val="231F20"/>
          <w:spacing w:val="-7"/>
        </w:rPr>
        <w:t> </w:t>
      </w:r>
      <w:r>
        <w:rPr>
          <w:color w:val="231F20"/>
        </w:rPr>
        <w:t>T4=4.1</w:t>
      </w:r>
      <w:r>
        <w:rPr>
          <w:color w:val="231F20"/>
          <w:spacing w:val="-4"/>
        </w:rPr>
        <w:t> </w:t>
      </w:r>
      <w:r>
        <w:rPr>
          <w:color w:val="231F20"/>
        </w:rPr>
        <w:t>cm,</w:t>
      </w:r>
      <w:r>
        <w:rPr>
          <w:color w:val="231F20"/>
          <w:spacing w:val="-3"/>
        </w:rPr>
        <w:t> </w:t>
      </w:r>
      <w:r>
        <w:rPr>
          <w:color w:val="231F20"/>
        </w:rPr>
        <w:t>con</w:t>
      </w:r>
      <w:r>
        <w:rPr>
          <w:color w:val="231F20"/>
          <w:spacing w:val="-3"/>
        </w:rPr>
        <w:t> </w:t>
      </w:r>
      <w:r>
        <w:rPr>
          <w:color w:val="231F20"/>
        </w:rPr>
        <w:t>un</w:t>
      </w:r>
      <w:r>
        <w:rPr>
          <w:color w:val="231F20"/>
          <w:spacing w:val="-3"/>
        </w:rPr>
        <w:t> </w:t>
      </w:r>
      <w:r>
        <w:rPr>
          <w:color w:val="231F20"/>
        </w:rPr>
        <w:t>promedio</w:t>
      </w:r>
      <w:r>
        <w:rPr>
          <w:color w:val="231F20"/>
          <w:spacing w:val="-3"/>
        </w:rPr>
        <w:t> </w:t>
      </w:r>
      <w:r>
        <w:rPr>
          <w:color w:val="231F20"/>
        </w:rPr>
        <w:t>de</w:t>
      </w:r>
      <w:r>
        <w:rPr>
          <w:color w:val="231F20"/>
          <w:spacing w:val="-3"/>
        </w:rPr>
        <w:t> </w:t>
      </w:r>
      <w:r>
        <w:rPr>
          <w:color w:val="231F20"/>
        </w:rPr>
        <w:t>4.6</w:t>
      </w:r>
      <w:r>
        <w:rPr>
          <w:color w:val="231F20"/>
          <w:spacing w:val="-3"/>
        </w:rPr>
        <w:t> </w:t>
      </w:r>
      <w:r>
        <w:rPr>
          <w:color w:val="231F20"/>
        </w:rPr>
        <w:t>cm</w:t>
      </w:r>
      <w:r>
        <w:rPr>
          <w:color w:val="231F20"/>
          <w:spacing w:val="-3"/>
        </w:rPr>
        <w:t> </w:t>
      </w:r>
      <w:r>
        <w:rPr>
          <w:color w:val="231F20"/>
        </w:rPr>
        <w:t>(Cuadros</w:t>
      </w:r>
      <w:r>
        <w:rPr>
          <w:color w:val="231F20"/>
          <w:spacing w:val="-3"/>
        </w:rPr>
        <w:t> </w:t>
      </w:r>
      <w:r>
        <w:rPr>
          <w:color w:val="231F20"/>
        </w:rPr>
        <w:t>1</w:t>
      </w:r>
      <w:r>
        <w:rPr>
          <w:color w:val="231F20"/>
          <w:spacing w:val="-3"/>
        </w:rPr>
        <w:t> </w:t>
      </w:r>
      <w:r>
        <w:rPr>
          <w:color w:val="231F20"/>
        </w:rPr>
        <w:t>y</w:t>
      </w:r>
      <w:r>
        <w:rPr>
          <w:color w:val="231F20"/>
          <w:spacing w:val="-3"/>
        </w:rPr>
        <w:t> </w:t>
      </w:r>
      <w:r>
        <w:rPr>
          <w:color w:val="231F20"/>
        </w:rPr>
        <w:t>2),</w:t>
      </w:r>
      <w:r>
        <w:rPr>
          <w:color w:val="231F20"/>
          <w:spacing w:val="-3"/>
        </w:rPr>
        <w:t> </w:t>
      </w:r>
      <w:r>
        <w:rPr>
          <w:color w:val="231F20"/>
        </w:rPr>
        <w:t>valores</w:t>
      </w:r>
      <w:r>
        <w:rPr>
          <w:color w:val="231F20"/>
          <w:spacing w:val="-3"/>
        </w:rPr>
        <w:t> </w:t>
      </w:r>
      <w:r>
        <w:rPr>
          <w:color w:val="231F20"/>
        </w:rPr>
        <w:t>superiores</w:t>
      </w:r>
      <w:r>
        <w:rPr>
          <w:color w:val="231F20"/>
          <w:spacing w:val="-3"/>
        </w:rPr>
        <w:t> </w:t>
      </w:r>
      <w:r>
        <w:rPr>
          <w:color w:val="231F20"/>
        </w:rPr>
        <w:t>a</w:t>
      </w:r>
      <w:r>
        <w:rPr>
          <w:color w:val="231F20"/>
          <w:spacing w:val="-3"/>
        </w:rPr>
        <w:t> </w:t>
      </w:r>
      <w:r>
        <w:rPr>
          <w:color w:val="231F20"/>
        </w:rPr>
        <w:t>los</w:t>
      </w:r>
      <w:r>
        <w:rPr>
          <w:color w:val="231F20"/>
          <w:spacing w:val="-4"/>
        </w:rPr>
        <w:t> </w:t>
      </w:r>
      <w:r>
        <w:rPr>
          <w:color w:val="231F20"/>
        </w:rPr>
        <w:t>de</w:t>
      </w:r>
      <w:r>
        <w:rPr>
          <w:color w:val="231F20"/>
          <w:spacing w:val="-3"/>
        </w:rPr>
        <w:t> </w:t>
      </w:r>
      <w:r>
        <w:rPr>
          <w:color w:val="231F20"/>
        </w:rPr>
        <w:t>Elangovan</w:t>
      </w:r>
      <w:r>
        <w:rPr>
          <w:color w:val="231F20"/>
          <w:spacing w:val="-4"/>
        </w:rPr>
        <w:t> </w:t>
      </w:r>
      <w:r>
        <w:rPr>
          <w:i/>
          <w:color w:val="231F20"/>
        </w:rPr>
        <w:t>et </w:t>
      </w:r>
      <w:r>
        <w:rPr>
          <w:i/>
          <w:color w:val="231F20"/>
        </w:rPr>
        <w:t>al.</w:t>
      </w:r>
      <w:r>
        <w:rPr>
          <w:i/>
          <w:color w:val="231F20"/>
          <w:spacing w:val="-4"/>
        </w:rPr>
        <w:t> </w:t>
      </w:r>
      <w:r>
        <w:rPr>
          <w:color w:val="231F20"/>
        </w:rPr>
        <w:t>(2007)</w:t>
      </w:r>
      <w:r>
        <w:rPr>
          <w:color w:val="231F20"/>
          <w:spacing w:val="-4"/>
        </w:rPr>
        <w:t> </w:t>
      </w:r>
      <w:r>
        <w:rPr>
          <w:color w:val="231F20"/>
        </w:rPr>
        <w:t>quienes</w:t>
      </w:r>
      <w:r>
        <w:rPr>
          <w:color w:val="231F20"/>
          <w:spacing w:val="-4"/>
        </w:rPr>
        <w:t> </w:t>
      </w:r>
      <w:r>
        <w:rPr>
          <w:color w:val="231F20"/>
        </w:rPr>
        <w:t>encontraron</w:t>
      </w:r>
      <w:r>
        <w:rPr>
          <w:color w:val="231F20"/>
          <w:spacing w:val="-5"/>
        </w:rPr>
        <w:t> </w:t>
      </w:r>
      <w:r>
        <w:rPr>
          <w:color w:val="231F20"/>
        </w:rPr>
        <w:t>un</w:t>
      </w:r>
      <w:r>
        <w:rPr>
          <w:color w:val="231F20"/>
          <w:spacing w:val="-4"/>
        </w:rPr>
        <w:t> </w:t>
      </w:r>
      <w:r>
        <w:rPr>
          <w:color w:val="231F20"/>
        </w:rPr>
        <w:t>diámetro</w:t>
      </w:r>
      <w:r>
        <w:rPr>
          <w:color w:val="231F20"/>
          <w:spacing w:val="-4"/>
        </w:rPr>
        <w:t> </w:t>
      </w:r>
      <w:r>
        <w:rPr>
          <w:color w:val="231F20"/>
        </w:rPr>
        <w:t>de</w:t>
      </w:r>
      <w:r>
        <w:rPr>
          <w:color w:val="231F20"/>
          <w:spacing w:val="-4"/>
        </w:rPr>
        <w:t> </w:t>
      </w:r>
      <w:r>
        <w:rPr>
          <w:color w:val="231F20"/>
        </w:rPr>
        <w:t>tallo</w:t>
      </w:r>
      <w:r>
        <w:rPr>
          <w:color w:val="231F20"/>
          <w:spacing w:val="-4"/>
        </w:rPr>
        <w:t> </w:t>
      </w:r>
      <w:r>
        <w:rPr>
          <w:color w:val="231F20"/>
        </w:rPr>
        <w:t>máximo</w:t>
      </w:r>
      <w:r>
        <w:rPr>
          <w:color w:val="231F20"/>
          <w:spacing w:val="-4"/>
        </w:rPr>
        <w:t> </w:t>
      </w:r>
      <w:r>
        <w:rPr>
          <w:color w:val="231F20"/>
        </w:rPr>
        <w:t>de</w:t>
      </w:r>
      <w:r>
        <w:rPr>
          <w:color w:val="231F20"/>
          <w:spacing w:val="-4"/>
        </w:rPr>
        <w:t> </w:t>
      </w:r>
      <w:r>
        <w:rPr>
          <w:color w:val="231F20"/>
        </w:rPr>
        <w:t>2.9</w:t>
      </w:r>
      <w:r>
        <w:rPr>
          <w:color w:val="231F20"/>
          <w:spacing w:val="-4"/>
        </w:rPr>
        <w:t> </w:t>
      </w:r>
      <w:r>
        <w:rPr>
          <w:color w:val="231F20"/>
        </w:rPr>
        <w:t>cm.</w:t>
      </w:r>
      <w:r>
        <w:rPr>
          <w:color w:val="231F20"/>
          <w:spacing w:val="-4"/>
        </w:rPr>
        <w:t> </w:t>
      </w:r>
      <w:r>
        <w:rPr>
          <w:color w:val="231F20"/>
        </w:rPr>
        <w:t>La</w:t>
      </w:r>
      <w:r>
        <w:rPr>
          <w:color w:val="231F20"/>
          <w:spacing w:val="-4"/>
        </w:rPr>
        <w:t> </w:t>
      </w:r>
      <w:r>
        <w:rPr>
          <w:color w:val="231F20"/>
        </w:rPr>
        <w:t>variable</w:t>
      </w:r>
      <w:r>
        <w:rPr>
          <w:color w:val="231F20"/>
          <w:spacing w:val="-4"/>
        </w:rPr>
        <w:t> </w:t>
      </w:r>
      <w:r>
        <w:rPr>
          <w:color w:val="231F20"/>
        </w:rPr>
        <w:t>nudos</w:t>
      </w:r>
      <w:r>
        <w:rPr>
          <w:color w:val="231F20"/>
          <w:spacing w:val="-4"/>
        </w:rPr>
        <w:t> </w:t>
      </w:r>
      <w:r>
        <w:rPr>
          <w:color w:val="231F20"/>
        </w:rPr>
        <w:t>por</w:t>
      </w:r>
      <w:r>
        <w:rPr>
          <w:color w:val="231F20"/>
          <w:spacing w:val="-4"/>
        </w:rPr>
        <w:t> </w:t>
      </w:r>
      <w:r>
        <w:rPr>
          <w:color w:val="231F20"/>
        </w:rPr>
        <w:t>planta se expresó de mejor forma en los tratamientos sin fertilización nitrogenada a 178,500 plantas•ha</w:t>
      </w:r>
      <w:r>
        <w:rPr>
          <w:color w:val="231F20"/>
          <w:position w:val="7"/>
          <w:sz w:val="12"/>
        </w:rPr>
        <w:t>-1 </w:t>
      </w:r>
      <w:r>
        <w:rPr>
          <w:color w:val="231F20"/>
        </w:rPr>
        <w:t>(T2) y 250,000 plantas•ha</w:t>
      </w:r>
      <w:r>
        <w:rPr>
          <w:color w:val="231F20"/>
          <w:position w:val="7"/>
          <w:sz w:val="12"/>
        </w:rPr>
        <w:t>-1 </w:t>
      </w:r>
      <w:r>
        <w:rPr>
          <w:color w:val="231F20"/>
        </w:rPr>
        <w:t>(T6), teniéndose en promedio ocho nudos por planta, valor inferior al reportado por Williams (2003) para sorgo RB-4040 producido en Tamaulipas, México con un total de once nudos por</w:t>
      </w:r>
      <w:r>
        <w:rPr>
          <w:color w:val="231F20"/>
          <w:spacing w:val="-1"/>
        </w:rPr>
        <w:t> </w:t>
      </w:r>
      <w:r>
        <w:rPr>
          <w:color w:val="231F20"/>
        </w:rPr>
        <w:t>planta.</w:t>
      </w:r>
    </w:p>
    <w:p>
      <w:pPr>
        <w:pStyle w:val="BodyText"/>
        <w:spacing w:before="7"/>
      </w:pPr>
    </w:p>
    <w:p>
      <w:pPr>
        <w:pStyle w:val="BodyText"/>
        <w:spacing w:line="247" w:lineRule="auto"/>
        <w:ind w:left="1270" w:right="1267"/>
        <w:jc w:val="both"/>
      </w:pPr>
      <w:r>
        <w:rPr>
          <w:color w:val="231F20"/>
          <w:spacing w:val="-3"/>
        </w:rPr>
        <w:t>Variables </w:t>
      </w:r>
      <w:r>
        <w:rPr>
          <w:color w:val="231F20"/>
        </w:rPr>
        <w:t>de rendimiento. Los principales componentes de rendimiento: peso de hojas (PEH), peso de tallos (PET), peso de panojas (PEP), espiguillas por panoja </w:t>
      </w:r>
      <w:r>
        <w:rPr>
          <w:color w:val="231F20"/>
          <w:spacing w:val="-4"/>
        </w:rPr>
        <w:t>(ESPA), </w:t>
      </w:r>
      <w:r>
        <w:rPr>
          <w:color w:val="231F20"/>
        </w:rPr>
        <w:t>granos por espiguilla</w:t>
      </w:r>
      <w:r>
        <w:rPr>
          <w:color w:val="231F20"/>
          <w:spacing w:val="-20"/>
        </w:rPr>
        <w:t> </w:t>
      </w:r>
      <w:r>
        <w:rPr>
          <w:color w:val="231F20"/>
        </w:rPr>
        <w:t>(GEP), granos por panoja </w:t>
      </w:r>
      <w:r>
        <w:rPr>
          <w:color w:val="231F20"/>
          <w:spacing w:val="-4"/>
        </w:rPr>
        <w:t>(GPA), </w:t>
      </w:r>
      <w:r>
        <w:rPr>
          <w:color w:val="231F20"/>
        </w:rPr>
        <w:t>peso de cien semillas (P100), peso de granos por panoja (PGP), peso por planta (PPL) y rendimiento de grano (GHA) y forraje por hectárea (FHA), además del índice de co- secha (INC) presentaron diferencias marcadas entre los diferentes tratamientos en estudio (Cuadro 1). La variabilidad es atribuible a que la fertilización y densidades de siembra ensayadas tuvieron incidencia directa en los caracteres</w:t>
      </w:r>
      <w:r>
        <w:rPr>
          <w:color w:val="231F20"/>
          <w:spacing w:val="-4"/>
        </w:rPr>
        <w:t> </w:t>
      </w:r>
      <w:r>
        <w:rPr>
          <w:color w:val="231F20"/>
        </w:rPr>
        <w:t>descritos.</w:t>
      </w:r>
    </w:p>
    <w:p>
      <w:pPr>
        <w:pStyle w:val="BodyText"/>
        <w:spacing w:before="4"/>
      </w:pPr>
    </w:p>
    <w:p>
      <w:pPr>
        <w:spacing w:before="1"/>
        <w:ind w:left="2658" w:right="1279" w:firstLine="0"/>
        <w:jc w:val="left"/>
        <w:rPr>
          <w:b/>
          <w:sz w:val="18"/>
        </w:rPr>
      </w:pPr>
      <w:r>
        <w:rPr>
          <w:b/>
          <w:color w:val="010202"/>
          <w:sz w:val="18"/>
        </w:rPr>
        <w:t>Cuadro 2. Prueba de comparación de medias para 17 caracteres en sorgo</w:t>
      </w:r>
    </w:p>
    <w:p>
      <w:pPr>
        <w:spacing w:before="9"/>
        <w:ind w:left="2724" w:right="1279" w:firstLine="0"/>
        <w:jc w:val="left"/>
        <w:rPr>
          <w:b/>
          <w:sz w:val="18"/>
        </w:rPr>
      </w:pPr>
      <w:r>
        <w:rPr/>
        <w:drawing>
          <wp:anchor distT="0" distB="0" distL="0" distR="0" allowOverlap="1" layoutInCell="1" locked="0" behindDoc="0" simplePos="0" relativeHeight="4696">
            <wp:simplePos x="0" y="0"/>
            <wp:positionH relativeFrom="page">
              <wp:posOffset>1306841</wp:posOffset>
            </wp:positionH>
            <wp:positionV relativeFrom="paragraph">
              <wp:posOffset>202781</wp:posOffset>
            </wp:positionV>
            <wp:extent cx="4258913" cy="2236946"/>
            <wp:effectExtent l="0" t="0" r="0" b="0"/>
            <wp:wrapTopAndBottom/>
            <wp:docPr id="177" name="image71.jpeg" descr=""/>
            <wp:cNvGraphicFramePr>
              <a:graphicFrameLocks noChangeAspect="1"/>
            </wp:cNvGraphicFramePr>
            <a:graphic>
              <a:graphicData uri="http://schemas.openxmlformats.org/drawingml/2006/picture">
                <pic:pic>
                  <pic:nvPicPr>
                    <pic:cNvPr id="178" name="image71.jpeg"/>
                    <pic:cNvPicPr/>
                  </pic:nvPicPr>
                  <pic:blipFill>
                    <a:blip r:embed="rId103" cstate="print"/>
                    <a:stretch>
                      <a:fillRect/>
                    </a:stretch>
                  </pic:blipFill>
                  <pic:spPr>
                    <a:xfrm>
                      <a:off x="0" y="0"/>
                      <a:ext cx="4258913" cy="2236946"/>
                    </a:xfrm>
                    <a:prstGeom prst="rect">
                      <a:avLst/>
                    </a:prstGeom>
                  </pic:spPr>
                </pic:pic>
              </a:graphicData>
            </a:graphic>
          </wp:anchor>
        </w:drawing>
      </w:r>
      <w:r>
        <w:rPr>
          <w:b/>
          <w:i/>
          <w:color w:val="010202"/>
          <w:sz w:val="18"/>
        </w:rPr>
        <w:t>Sorghum bicolor </w:t>
      </w:r>
      <w:r>
        <w:rPr>
          <w:b/>
          <w:color w:val="010202"/>
          <w:sz w:val="18"/>
        </w:rPr>
        <w:t>L. (Moench). Loma Bonita, Oaxaca, México. Año 2009</w:t>
      </w:r>
    </w:p>
    <w:p>
      <w:pPr>
        <w:spacing w:after="0"/>
        <w:jc w:val="left"/>
        <w:rPr>
          <w:sz w:val="18"/>
        </w:rPr>
        <w:sectPr>
          <w:pgSz w:w="10920" w:h="13080"/>
          <w:pgMar w:header="0" w:footer="965" w:top="420" w:bottom="1220" w:left="0" w:right="0"/>
        </w:sectPr>
      </w:pPr>
    </w:p>
    <w:p>
      <w:pPr>
        <w:pStyle w:val="BodyText"/>
        <w:rPr>
          <w:b/>
          <w:sz w:val="20"/>
        </w:rPr>
      </w:pPr>
    </w:p>
    <w:p>
      <w:pPr>
        <w:pStyle w:val="BodyText"/>
        <w:rPr>
          <w:b/>
          <w:sz w:val="20"/>
        </w:rPr>
      </w:pPr>
    </w:p>
    <w:p>
      <w:pPr>
        <w:pStyle w:val="BodyText"/>
        <w:spacing w:before="1"/>
        <w:rPr>
          <w:b/>
          <w:sz w:val="23"/>
        </w:rPr>
      </w:pPr>
    </w:p>
    <w:p>
      <w:pPr>
        <w:spacing w:line="307" w:lineRule="auto" w:before="79"/>
        <w:ind w:left="1270" w:right="1269" w:firstLine="0"/>
        <w:jc w:val="both"/>
        <w:rPr>
          <w:b/>
          <w:i/>
          <w:sz w:val="17"/>
        </w:rPr>
      </w:pPr>
      <w:r>
        <w:rPr>
          <w:b/>
          <w:i/>
          <w:color w:val="231F20"/>
          <w:spacing w:val="-5"/>
          <w:sz w:val="17"/>
        </w:rPr>
        <w:t>T1=178,500 plantas•ha</w:t>
      </w:r>
      <w:r>
        <w:rPr>
          <w:b/>
          <w:i/>
          <w:color w:val="231F20"/>
          <w:spacing w:val="-5"/>
          <w:position w:val="6"/>
          <w:sz w:val="10"/>
        </w:rPr>
        <w:t>-1 </w:t>
      </w:r>
      <w:r>
        <w:rPr>
          <w:b/>
          <w:i/>
          <w:color w:val="231F20"/>
          <w:spacing w:val="-4"/>
          <w:sz w:val="17"/>
        </w:rPr>
        <w:t>con </w:t>
      </w:r>
      <w:r>
        <w:rPr>
          <w:b/>
          <w:i/>
          <w:color w:val="231F20"/>
          <w:spacing w:val="-5"/>
          <w:sz w:val="17"/>
        </w:rPr>
        <w:t>fertilización </w:t>
      </w:r>
      <w:r>
        <w:rPr>
          <w:b/>
          <w:i/>
          <w:color w:val="231F20"/>
          <w:spacing w:val="-4"/>
          <w:sz w:val="17"/>
        </w:rPr>
        <w:t>(CF), </w:t>
      </w:r>
      <w:r>
        <w:rPr>
          <w:b/>
          <w:i/>
          <w:color w:val="231F20"/>
          <w:spacing w:val="-5"/>
          <w:sz w:val="17"/>
        </w:rPr>
        <w:t>T2=178,500 plantas•ha-1 </w:t>
      </w:r>
      <w:r>
        <w:rPr>
          <w:b/>
          <w:i/>
          <w:color w:val="231F20"/>
          <w:spacing w:val="-4"/>
          <w:sz w:val="17"/>
        </w:rPr>
        <w:t>sin </w:t>
      </w:r>
      <w:r>
        <w:rPr>
          <w:b/>
          <w:i/>
          <w:color w:val="231F20"/>
          <w:spacing w:val="-5"/>
          <w:sz w:val="17"/>
        </w:rPr>
        <w:t>fertilización </w:t>
      </w:r>
      <w:r>
        <w:rPr>
          <w:b/>
          <w:i/>
          <w:color w:val="231F20"/>
          <w:spacing w:val="-4"/>
          <w:sz w:val="17"/>
        </w:rPr>
        <w:t>(SF), </w:t>
      </w:r>
      <w:r>
        <w:rPr>
          <w:b/>
          <w:i/>
          <w:color w:val="231F20"/>
          <w:spacing w:val="-5"/>
          <w:sz w:val="17"/>
        </w:rPr>
        <w:t>T3=212,500 plantas•ha</w:t>
      </w:r>
      <w:r>
        <w:rPr>
          <w:b/>
          <w:i/>
          <w:color w:val="231F20"/>
          <w:spacing w:val="-5"/>
          <w:position w:val="6"/>
          <w:sz w:val="10"/>
        </w:rPr>
        <w:t>-1 </w:t>
      </w:r>
      <w:r>
        <w:rPr>
          <w:b/>
          <w:i/>
          <w:color w:val="231F20"/>
          <w:spacing w:val="-20"/>
          <w:sz w:val="17"/>
        </w:rPr>
        <w:t>CF, </w:t>
      </w:r>
      <w:r>
        <w:rPr>
          <w:b/>
          <w:i/>
          <w:color w:val="231F20"/>
          <w:spacing w:val="-5"/>
          <w:sz w:val="17"/>
        </w:rPr>
        <w:t>T4=212,500 plantas•ha</w:t>
      </w:r>
      <w:r>
        <w:rPr>
          <w:b/>
          <w:i/>
          <w:color w:val="231F20"/>
          <w:spacing w:val="-5"/>
          <w:position w:val="6"/>
          <w:sz w:val="10"/>
        </w:rPr>
        <w:t>-1 </w:t>
      </w:r>
      <w:r>
        <w:rPr>
          <w:b/>
          <w:i/>
          <w:color w:val="231F20"/>
          <w:spacing w:val="-11"/>
          <w:sz w:val="17"/>
        </w:rPr>
        <w:t>SF, </w:t>
      </w:r>
      <w:r>
        <w:rPr>
          <w:b/>
          <w:i/>
          <w:color w:val="231F20"/>
          <w:spacing w:val="-5"/>
          <w:sz w:val="17"/>
        </w:rPr>
        <w:t>T5=250,000 plantas•ha-1 </w:t>
      </w:r>
      <w:r>
        <w:rPr>
          <w:b/>
          <w:i/>
          <w:color w:val="231F20"/>
          <w:spacing w:val="-11"/>
          <w:sz w:val="17"/>
        </w:rPr>
        <w:t>CF, </w:t>
      </w:r>
      <w:r>
        <w:rPr>
          <w:b/>
          <w:i/>
          <w:color w:val="231F20"/>
          <w:spacing w:val="-5"/>
          <w:sz w:val="17"/>
        </w:rPr>
        <w:t>T6=250,000 plantas•ha</w:t>
      </w:r>
      <w:r>
        <w:rPr>
          <w:b/>
          <w:i/>
          <w:color w:val="231F20"/>
          <w:spacing w:val="-5"/>
          <w:position w:val="6"/>
          <w:sz w:val="10"/>
        </w:rPr>
        <w:t>-1 </w:t>
      </w:r>
      <w:r>
        <w:rPr>
          <w:b/>
          <w:i/>
          <w:color w:val="231F20"/>
          <w:spacing w:val="-11"/>
          <w:sz w:val="17"/>
        </w:rPr>
        <w:t>SF, </w:t>
      </w:r>
      <w:r>
        <w:rPr>
          <w:b/>
          <w:i/>
          <w:color w:val="231F20"/>
          <w:spacing w:val="-7"/>
          <w:sz w:val="17"/>
        </w:rPr>
        <w:t>T7=Voleo </w:t>
      </w:r>
      <w:r>
        <w:rPr>
          <w:b/>
          <w:i/>
          <w:color w:val="231F20"/>
          <w:spacing w:val="-11"/>
          <w:sz w:val="17"/>
        </w:rPr>
        <w:t>CF, </w:t>
      </w:r>
      <w:r>
        <w:rPr>
          <w:b/>
          <w:i/>
          <w:color w:val="231F20"/>
          <w:spacing w:val="-7"/>
          <w:sz w:val="17"/>
        </w:rPr>
        <w:t>T8=Voleo </w:t>
      </w:r>
      <w:r>
        <w:rPr>
          <w:b/>
          <w:i/>
          <w:color w:val="231F20"/>
          <w:spacing w:val="-3"/>
          <w:sz w:val="17"/>
        </w:rPr>
        <w:t>SF </w:t>
      </w:r>
      <w:r>
        <w:rPr>
          <w:b/>
          <w:i/>
          <w:color w:val="231F20"/>
          <w:spacing w:val="-5"/>
          <w:sz w:val="17"/>
        </w:rPr>
        <w:t>(testigo), ALP=Altura </w:t>
      </w:r>
      <w:r>
        <w:rPr>
          <w:b/>
          <w:i/>
          <w:color w:val="231F20"/>
          <w:spacing w:val="-3"/>
          <w:sz w:val="17"/>
        </w:rPr>
        <w:t>de </w:t>
      </w:r>
      <w:r>
        <w:rPr>
          <w:b/>
          <w:i/>
          <w:color w:val="231F20"/>
          <w:spacing w:val="-5"/>
          <w:sz w:val="17"/>
        </w:rPr>
        <w:t>planta </w:t>
      </w:r>
      <w:r>
        <w:rPr>
          <w:b/>
          <w:i/>
          <w:color w:val="231F20"/>
          <w:spacing w:val="-4"/>
          <w:sz w:val="17"/>
        </w:rPr>
        <w:t>(cm), </w:t>
      </w:r>
      <w:r>
        <w:rPr>
          <w:b/>
          <w:i/>
          <w:color w:val="231F20"/>
          <w:spacing w:val="-6"/>
          <w:sz w:val="17"/>
        </w:rPr>
        <w:t>LPA=Longitud </w:t>
      </w:r>
      <w:r>
        <w:rPr>
          <w:b/>
          <w:i/>
          <w:color w:val="231F20"/>
          <w:spacing w:val="-3"/>
          <w:sz w:val="17"/>
        </w:rPr>
        <w:t>de </w:t>
      </w:r>
      <w:r>
        <w:rPr>
          <w:b/>
          <w:i/>
          <w:color w:val="231F20"/>
          <w:spacing w:val="-5"/>
          <w:sz w:val="17"/>
        </w:rPr>
        <w:t>panoja </w:t>
      </w:r>
      <w:r>
        <w:rPr>
          <w:b/>
          <w:i/>
          <w:color w:val="231F20"/>
          <w:spacing w:val="-4"/>
          <w:sz w:val="17"/>
        </w:rPr>
        <w:t>(cm), </w:t>
      </w:r>
      <w:r>
        <w:rPr>
          <w:b/>
          <w:i/>
          <w:color w:val="231F20"/>
          <w:spacing w:val="-5"/>
          <w:sz w:val="17"/>
        </w:rPr>
        <w:t>LPE=Longitud </w:t>
      </w:r>
      <w:r>
        <w:rPr>
          <w:b/>
          <w:i/>
          <w:color w:val="231F20"/>
          <w:spacing w:val="-3"/>
          <w:sz w:val="17"/>
        </w:rPr>
        <w:t>de </w:t>
      </w:r>
      <w:r>
        <w:rPr>
          <w:b/>
          <w:i/>
          <w:color w:val="231F20"/>
          <w:spacing w:val="-5"/>
          <w:sz w:val="17"/>
        </w:rPr>
        <w:t>pedúnculo </w:t>
      </w:r>
      <w:r>
        <w:rPr>
          <w:b/>
          <w:i/>
          <w:color w:val="231F20"/>
          <w:spacing w:val="-4"/>
          <w:sz w:val="17"/>
        </w:rPr>
        <w:t>(cm), </w:t>
      </w:r>
      <w:r>
        <w:rPr>
          <w:b/>
          <w:i/>
          <w:color w:val="231F20"/>
          <w:spacing w:val="-6"/>
          <w:sz w:val="17"/>
        </w:rPr>
        <w:t>DTA=Diámetro </w:t>
      </w:r>
      <w:r>
        <w:rPr>
          <w:b/>
          <w:i/>
          <w:color w:val="231F20"/>
          <w:spacing w:val="-3"/>
          <w:sz w:val="17"/>
        </w:rPr>
        <w:t>de </w:t>
      </w:r>
      <w:r>
        <w:rPr>
          <w:b/>
          <w:i/>
          <w:color w:val="231F20"/>
          <w:spacing w:val="-4"/>
          <w:sz w:val="17"/>
        </w:rPr>
        <w:t>tallo </w:t>
      </w:r>
      <w:r>
        <w:rPr>
          <w:b/>
          <w:i/>
          <w:color w:val="231F20"/>
          <w:spacing w:val="-5"/>
          <w:sz w:val="17"/>
        </w:rPr>
        <w:t>(cm), NPP=Nudos </w:t>
      </w:r>
      <w:r>
        <w:rPr>
          <w:b/>
          <w:i/>
          <w:color w:val="231F20"/>
          <w:spacing w:val="-4"/>
          <w:sz w:val="17"/>
        </w:rPr>
        <w:t>por </w:t>
      </w:r>
      <w:r>
        <w:rPr>
          <w:b/>
          <w:i/>
          <w:color w:val="231F20"/>
          <w:spacing w:val="-5"/>
          <w:sz w:val="17"/>
        </w:rPr>
        <w:t>planta, PEH=Peso </w:t>
      </w:r>
      <w:r>
        <w:rPr>
          <w:b/>
          <w:i/>
          <w:color w:val="231F20"/>
          <w:spacing w:val="-3"/>
          <w:sz w:val="17"/>
        </w:rPr>
        <w:t>de </w:t>
      </w:r>
      <w:r>
        <w:rPr>
          <w:b/>
          <w:i/>
          <w:color w:val="231F20"/>
          <w:spacing w:val="-4"/>
          <w:sz w:val="17"/>
        </w:rPr>
        <w:t>hojas (g), </w:t>
      </w:r>
      <w:r>
        <w:rPr>
          <w:b/>
          <w:i/>
          <w:color w:val="231F20"/>
          <w:spacing w:val="-5"/>
          <w:sz w:val="17"/>
        </w:rPr>
        <w:t>PET=Peso </w:t>
      </w:r>
      <w:r>
        <w:rPr>
          <w:b/>
          <w:i/>
          <w:color w:val="231F20"/>
          <w:spacing w:val="-3"/>
          <w:sz w:val="17"/>
        </w:rPr>
        <w:t>de </w:t>
      </w:r>
      <w:r>
        <w:rPr>
          <w:b/>
          <w:i/>
          <w:color w:val="231F20"/>
          <w:spacing w:val="-4"/>
          <w:sz w:val="17"/>
        </w:rPr>
        <w:t>tallo (g), </w:t>
      </w:r>
      <w:r>
        <w:rPr>
          <w:b/>
          <w:i/>
          <w:color w:val="231F20"/>
          <w:spacing w:val="-5"/>
          <w:sz w:val="17"/>
        </w:rPr>
        <w:t>PEP=Peso </w:t>
      </w:r>
      <w:r>
        <w:rPr>
          <w:b/>
          <w:i/>
          <w:color w:val="231F20"/>
          <w:spacing w:val="-3"/>
          <w:sz w:val="17"/>
        </w:rPr>
        <w:t>de </w:t>
      </w:r>
      <w:r>
        <w:rPr>
          <w:b/>
          <w:i/>
          <w:color w:val="231F20"/>
          <w:spacing w:val="-5"/>
          <w:sz w:val="17"/>
        </w:rPr>
        <w:t>panojas </w:t>
      </w:r>
      <w:r>
        <w:rPr>
          <w:b/>
          <w:i/>
          <w:color w:val="231F20"/>
          <w:spacing w:val="-4"/>
          <w:sz w:val="17"/>
        </w:rPr>
        <w:t>(g), </w:t>
      </w:r>
      <w:r>
        <w:rPr>
          <w:b/>
          <w:i/>
          <w:color w:val="231F20"/>
          <w:spacing w:val="-6"/>
          <w:sz w:val="17"/>
        </w:rPr>
        <w:t>ESPA=Espiguillas </w:t>
      </w:r>
      <w:r>
        <w:rPr>
          <w:b/>
          <w:i/>
          <w:color w:val="231F20"/>
          <w:spacing w:val="-4"/>
          <w:sz w:val="17"/>
        </w:rPr>
        <w:t>por pa- noja, </w:t>
      </w:r>
      <w:r>
        <w:rPr>
          <w:b/>
          <w:i/>
          <w:color w:val="231F20"/>
          <w:spacing w:val="-5"/>
          <w:sz w:val="17"/>
        </w:rPr>
        <w:t>GEP=Granos </w:t>
      </w:r>
      <w:r>
        <w:rPr>
          <w:b/>
          <w:i/>
          <w:color w:val="231F20"/>
          <w:spacing w:val="-4"/>
          <w:sz w:val="17"/>
        </w:rPr>
        <w:t>por </w:t>
      </w:r>
      <w:r>
        <w:rPr>
          <w:b/>
          <w:i/>
          <w:color w:val="231F20"/>
          <w:spacing w:val="-5"/>
          <w:sz w:val="17"/>
        </w:rPr>
        <w:t>espiguilla, </w:t>
      </w:r>
      <w:r>
        <w:rPr>
          <w:b/>
          <w:i/>
          <w:color w:val="231F20"/>
          <w:spacing w:val="-6"/>
          <w:sz w:val="17"/>
        </w:rPr>
        <w:t>GPA=Granos </w:t>
      </w:r>
      <w:r>
        <w:rPr>
          <w:b/>
          <w:i/>
          <w:color w:val="231F20"/>
          <w:spacing w:val="-4"/>
          <w:sz w:val="17"/>
        </w:rPr>
        <w:t>por </w:t>
      </w:r>
      <w:r>
        <w:rPr>
          <w:b/>
          <w:i/>
          <w:color w:val="231F20"/>
          <w:spacing w:val="-5"/>
          <w:sz w:val="17"/>
        </w:rPr>
        <w:t>panoja, P100=Peso </w:t>
      </w:r>
      <w:r>
        <w:rPr>
          <w:b/>
          <w:i/>
          <w:color w:val="231F20"/>
          <w:spacing w:val="-3"/>
          <w:sz w:val="17"/>
        </w:rPr>
        <w:t>de </w:t>
      </w:r>
      <w:r>
        <w:rPr>
          <w:b/>
          <w:i/>
          <w:color w:val="231F20"/>
          <w:spacing w:val="-4"/>
          <w:sz w:val="17"/>
        </w:rPr>
        <w:t>cien </w:t>
      </w:r>
      <w:r>
        <w:rPr>
          <w:b/>
          <w:i/>
          <w:color w:val="231F20"/>
          <w:spacing w:val="-5"/>
          <w:sz w:val="17"/>
        </w:rPr>
        <w:t>semillas </w:t>
      </w:r>
      <w:r>
        <w:rPr>
          <w:b/>
          <w:i/>
          <w:color w:val="231F20"/>
          <w:spacing w:val="-4"/>
          <w:sz w:val="17"/>
        </w:rPr>
        <w:t>(g), </w:t>
      </w:r>
      <w:r>
        <w:rPr>
          <w:b/>
          <w:i/>
          <w:color w:val="231F20"/>
          <w:spacing w:val="-5"/>
          <w:sz w:val="17"/>
        </w:rPr>
        <w:t>PGP=Peso </w:t>
      </w:r>
      <w:r>
        <w:rPr>
          <w:b/>
          <w:i/>
          <w:color w:val="231F20"/>
          <w:spacing w:val="-3"/>
          <w:sz w:val="17"/>
        </w:rPr>
        <w:t>de </w:t>
      </w:r>
      <w:r>
        <w:rPr>
          <w:b/>
          <w:i/>
          <w:color w:val="231F20"/>
          <w:spacing w:val="-4"/>
          <w:sz w:val="17"/>
        </w:rPr>
        <w:t>grano por </w:t>
      </w:r>
      <w:r>
        <w:rPr>
          <w:b/>
          <w:i/>
          <w:color w:val="231F20"/>
          <w:spacing w:val="-5"/>
          <w:sz w:val="17"/>
        </w:rPr>
        <w:t>panoja </w:t>
      </w:r>
      <w:r>
        <w:rPr>
          <w:b/>
          <w:i/>
          <w:color w:val="231F20"/>
          <w:spacing w:val="-4"/>
          <w:sz w:val="17"/>
        </w:rPr>
        <w:t>(g), </w:t>
      </w:r>
      <w:r>
        <w:rPr>
          <w:b/>
          <w:i/>
          <w:color w:val="231F20"/>
          <w:spacing w:val="-5"/>
          <w:sz w:val="17"/>
        </w:rPr>
        <w:t>PPL=Peso </w:t>
      </w:r>
      <w:r>
        <w:rPr>
          <w:b/>
          <w:i/>
          <w:color w:val="231F20"/>
          <w:spacing w:val="-4"/>
          <w:sz w:val="17"/>
        </w:rPr>
        <w:t>por </w:t>
      </w:r>
      <w:r>
        <w:rPr>
          <w:b/>
          <w:i/>
          <w:color w:val="231F20"/>
          <w:spacing w:val="-5"/>
          <w:sz w:val="17"/>
        </w:rPr>
        <w:t>planta </w:t>
      </w:r>
      <w:r>
        <w:rPr>
          <w:b/>
          <w:i/>
          <w:color w:val="231F20"/>
          <w:spacing w:val="-4"/>
          <w:sz w:val="17"/>
        </w:rPr>
        <w:t>(g), </w:t>
      </w:r>
      <w:r>
        <w:rPr>
          <w:b/>
          <w:i/>
          <w:color w:val="231F20"/>
          <w:spacing w:val="-5"/>
          <w:sz w:val="17"/>
        </w:rPr>
        <w:t>FHA=Rendimiento </w:t>
      </w:r>
      <w:r>
        <w:rPr>
          <w:b/>
          <w:i/>
          <w:color w:val="231F20"/>
          <w:spacing w:val="-3"/>
          <w:sz w:val="17"/>
        </w:rPr>
        <w:t>de </w:t>
      </w:r>
      <w:r>
        <w:rPr>
          <w:b/>
          <w:i/>
          <w:color w:val="231F20"/>
          <w:spacing w:val="-5"/>
          <w:sz w:val="17"/>
        </w:rPr>
        <w:t>forraje </w:t>
      </w:r>
      <w:r>
        <w:rPr>
          <w:b/>
          <w:i/>
          <w:color w:val="231F20"/>
          <w:spacing w:val="-4"/>
          <w:sz w:val="17"/>
        </w:rPr>
        <w:t>por </w:t>
      </w:r>
      <w:r>
        <w:rPr>
          <w:b/>
          <w:i/>
          <w:color w:val="231F20"/>
          <w:spacing w:val="-5"/>
          <w:sz w:val="17"/>
        </w:rPr>
        <w:t>hectárea </w:t>
      </w:r>
      <w:r>
        <w:rPr>
          <w:b/>
          <w:i/>
          <w:color w:val="231F20"/>
          <w:spacing w:val="-4"/>
          <w:sz w:val="17"/>
        </w:rPr>
        <w:t>(t•ha</w:t>
      </w:r>
      <w:r>
        <w:rPr>
          <w:b/>
          <w:i/>
          <w:color w:val="231F20"/>
          <w:spacing w:val="-4"/>
          <w:position w:val="6"/>
          <w:sz w:val="10"/>
        </w:rPr>
        <w:t>-1</w:t>
      </w:r>
      <w:r>
        <w:rPr>
          <w:b/>
          <w:i/>
          <w:color w:val="231F20"/>
          <w:spacing w:val="-4"/>
          <w:sz w:val="17"/>
        </w:rPr>
        <w:t>), </w:t>
      </w:r>
      <w:r>
        <w:rPr>
          <w:b/>
          <w:i/>
          <w:color w:val="231F20"/>
          <w:spacing w:val="-5"/>
          <w:sz w:val="17"/>
        </w:rPr>
        <w:t>GHA=Rendimiento </w:t>
      </w:r>
      <w:r>
        <w:rPr>
          <w:b/>
          <w:i/>
          <w:color w:val="231F20"/>
          <w:spacing w:val="-3"/>
          <w:sz w:val="17"/>
        </w:rPr>
        <w:t>de </w:t>
      </w:r>
      <w:r>
        <w:rPr>
          <w:b/>
          <w:i/>
          <w:color w:val="231F20"/>
          <w:spacing w:val="-4"/>
          <w:sz w:val="17"/>
        </w:rPr>
        <w:t>grano por </w:t>
      </w:r>
      <w:r>
        <w:rPr>
          <w:b/>
          <w:i/>
          <w:color w:val="231F20"/>
          <w:spacing w:val="-5"/>
          <w:sz w:val="17"/>
        </w:rPr>
        <w:t>hectárea (kg•ha</w:t>
      </w:r>
      <w:r>
        <w:rPr>
          <w:b/>
          <w:i/>
          <w:color w:val="231F20"/>
          <w:spacing w:val="-5"/>
          <w:position w:val="6"/>
          <w:sz w:val="10"/>
        </w:rPr>
        <w:t>-1</w:t>
      </w:r>
      <w:r>
        <w:rPr>
          <w:b/>
          <w:i/>
          <w:color w:val="231F20"/>
          <w:spacing w:val="-5"/>
          <w:sz w:val="17"/>
        </w:rPr>
        <w:t>), INC=Índice </w:t>
      </w:r>
      <w:r>
        <w:rPr>
          <w:b/>
          <w:i/>
          <w:color w:val="231F20"/>
          <w:spacing w:val="-3"/>
          <w:sz w:val="17"/>
        </w:rPr>
        <w:t>de </w:t>
      </w:r>
      <w:r>
        <w:rPr>
          <w:b/>
          <w:i/>
          <w:color w:val="231F20"/>
          <w:spacing w:val="-5"/>
          <w:sz w:val="17"/>
        </w:rPr>
        <w:t>cosecha. DMS=Diferencia mínima significativa, ¶=Letras iguales dentro </w:t>
      </w:r>
      <w:r>
        <w:rPr>
          <w:b/>
          <w:i/>
          <w:color w:val="231F20"/>
          <w:spacing w:val="-3"/>
          <w:sz w:val="17"/>
        </w:rPr>
        <w:t>de </w:t>
      </w:r>
      <w:r>
        <w:rPr>
          <w:b/>
          <w:i/>
          <w:color w:val="231F20"/>
          <w:spacing w:val="-5"/>
          <w:sz w:val="17"/>
        </w:rPr>
        <w:t>hileras </w:t>
      </w:r>
      <w:r>
        <w:rPr>
          <w:b/>
          <w:i/>
          <w:color w:val="231F20"/>
          <w:spacing w:val="-3"/>
          <w:sz w:val="17"/>
        </w:rPr>
        <w:t>no </w:t>
      </w:r>
      <w:r>
        <w:rPr>
          <w:b/>
          <w:i/>
          <w:color w:val="231F20"/>
          <w:spacing w:val="-4"/>
          <w:sz w:val="17"/>
        </w:rPr>
        <w:t>son </w:t>
      </w:r>
      <w:r>
        <w:rPr>
          <w:b/>
          <w:i/>
          <w:color w:val="231F20"/>
          <w:spacing w:val="-5"/>
          <w:sz w:val="17"/>
        </w:rPr>
        <w:t>significati- vamente diferentes </w:t>
      </w:r>
      <w:r>
        <w:rPr>
          <w:b/>
          <w:i/>
          <w:color w:val="231F20"/>
          <w:spacing w:val="-6"/>
          <w:sz w:val="17"/>
        </w:rPr>
        <w:t>(Tukey, </w:t>
      </w:r>
      <w:r>
        <w:rPr>
          <w:b/>
          <w:i/>
          <w:color w:val="231F20"/>
          <w:spacing w:val="-5"/>
          <w:sz w:val="17"/>
        </w:rPr>
        <w:t>P≤0.05).</w:t>
      </w:r>
    </w:p>
    <w:p>
      <w:pPr>
        <w:pStyle w:val="BodyText"/>
        <w:spacing w:before="7"/>
        <w:rPr>
          <w:b/>
          <w:i/>
          <w:sz w:val="18"/>
        </w:rPr>
      </w:pPr>
    </w:p>
    <w:p>
      <w:pPr>
        <w:pStyle w:val="BodyText"/>
        <w:spacing w:line="247" w:lineRule="auto"/>
        <w:ind w:left="1270" w:right="1268"/>
        <w:jc w:val="both"/>
      </w:pPr>
      <w:r>
        <w:rPr>
          <w:color w:val="231F20"/>
        </w:rPr>
        <w:t>Las</w:t>
      </w:r>
      <w:r>
        <w:rPr>
          <w:color w:val="231F20"/>
          <w:spacing w:val="-9"/>
        </w:rPr>
        <w:t> </w:t>
      </w:r>
      <w:r>
        <w:rPr>
          <w:color w:val="231F20"/>
        </w:rPr>
        <w:t>diferencias</w:t>
      </w:r>
      <w:r>
        <w:rPr>
          <w:color w:val="231F20"/>
          <w:spacing w:val="-8"/>
        </w:rPr>
        <w:t> </w:t>
      </w:r>
      <w:r>
        <w:rPr>
          <w:color w:val="231F20"/>
        </w:rPr>
        <w:t>anteriores</w:t>
      </w:r>
      <w:r>
        <w:rPr>
          <w:color w:val="231F20"/>
          <w:spacing w:val="-9"/>
        </w:rPr>
        <w:t> </w:t>
      </w:r>
      <w:r>
        <w:rPr>
          <w:color w:val="231F20"/>
        </w:rPr>
        <w:t>son</w:t>
      </w:r>
      <w:r>
        <w:rPr>
          <w:color w:val="231F20"/>
          <w:spacing w:val="-9"/>
        </w:rPr>
        <w:t> </w:t>
      </w:r>
      <w:r>
        <w:rPr>
          <w:color w:val="231F20"/>
        </w:rPr>
        <w:t>evidentes;</w:t>
      </w:r>
      <w:r>
        <w:rPr>
          <w:color w:val="231F20"/>
          <w:spacing w:val="-9"/>
        </w:rPr>
        <w:t> </w:t>
      </w:r>
      <w:r>
        <w:rPr>
          <w:color w:val="231F20"/>
        </w:rPr>
        <w:t>ya</w:t>
      </w:r>
      <w:r>
        <w:rPr>
          <w:color w:val="231F20"/>
          <w:spacing w:val="-9"/>
        </w:rPr>
        <w:t> </w:t>
      </w:r>
      <w:r>
        <w:rPr>
          <w:color w:val="231F20"/>
        </w:rPr>
        <w:t>que</w:t>
      </w:r>
      <w:r>
        <w:rPr>
          <w:color w:val="231F20"/>
          <w:spacing w:val="-9"/>
        </w:rPr>
        <w:t> </w:t>
      </w:r>
      <w:r>
        <w:rPr>
          <w:color w:val="231F20"/>
        </w:rPr>
        <w:t>de</w:t>
      </w:r>
      <w:r>
        <w:rPr>
          <w:color w:val="231F20"/>
          <w:spacing w:val="-9"/>
        </w:rPr>
        <w:t> </w:t>
      </w:r>
      <w:r>
        <w:rPr>
          <w:color w:val="231F20"/>
        </w:rPr>
        <w:t>acuerdo</w:t>
      </w:r>
      <w:r>
        <w:rPr>
          <w:color w:val="231F20"/>
          <w:spacing w:val="-9"/>
        </w:rPr>
        <w:t> </w:t>
      </w:r>
      <w:r>
        <w:rPr>
          <w:color w:val="231F20"/>
        </w:rPr>
        <w:t>con</w:t>
      </w:r>
      <w:r>
        <w:rPr>
          <w:color w:val="231F20"/>
          <w:spacing w:val="-9"/>
        </w:rPr>
        <w:t> </w:t>
      </w:r>
      <w:r>
        <w:rPr>
          <w:color w:val="231F20"/>
        </w:rPr>
        <w:t>el</w:t>
      </w:r>
      <w:r>
        <w:rPr>
          <w:color w:val="231F20"/>
          <w:spacing w:val="-9"/>
        </w:rPr>
        <w:t> </w:t>
      </w:r>
      <w:r>
        <w:rPr>
          <w:color w:val="231F20"/>
        </w:rPr>
        <w:t>Cuadro</w:t>
      </w:r>
      <w:r>
        <w:rPr>
          <w:color w:val="231F20"/>
          <w:spacing w:val="-9"/>
        </w:rPr>
        <w:t> </w:t>
      </w:r>
      <w:r>
        <w:rPr>
          <w:color w:val="231F20"/>
        </w:rPr>
        <w:t>2,</w:t>
      </w:r>
      <w:r>
        <w:rPr>
          <w:color w:val="231F20"/>
          <w:spacing w:val="-9"/>
        </w:rPr>
        <w:t> </w:t>
      </w:r>
      <w:r>
        <w:rPr>
          <w:color w:val="231F20"/>
        </w:rPr>
        <w:t>el</w:t>
      </w:r>
      <w:r>
        <w:rPr>
          <w:color w:val="231F20"/>
          <w:spacing w:val="-9"/>
        </w:rPr>
        <w:t> </w:t>
      </w:r>
      <w:r>
        <w:rPr>
          <w:color w:val="231F20"/>
        </w:rPr>
        <w:t>tratamiento</w:t>
      </w:r>
      <w:r>
        <w:rPr>
          <w:color w:val="231F20"/>
          <w:spacing w:val="-13"/>
        </w:rPr>
        <w:t> </w:t>
      </w:r>
      <w:r>
        <w:rPr>
          <w:color w:val="231F20"/>
        </w:rPr>
        <w:t>T1</w:t>
      </w:r>
      <w:r>
        <w:rPr>
          <w:color w:val="231F20"/>
          <w:spacing w:val="-9"/>
        </w:rPr>
        <w:t> </w:t>
      </w:r>
      <w:r>
        <w:rPr>
          <w:color w:val="231F20"/>
          <w:spacing w:val="-3"/>
        </w:rPr>
        <w:t>(sorgo </w:t>
      </w:r>
      <w:r>
        <w:rPr>
          <w:color w:val="231F20"/>
        </w:rPr>
        <w:t>a</w:t>
      </w:r>
      <w:r>
        <w:rPr>
          <w:color w:val="231F20"/>
          <w:spacing w:val="-11"/>
        </w:rPr>
        <w:t> </w:t>
      </w:r>
      <w:r>
        <w:rPr>
          <w:color w:val="231F20"/>
        </w:rPr>
        <w:t>178,500</w:t>
      </w:r>
      <w:r>
        <w:rPr>
          <w:color w:val="231F20"/>
          <w:spacing w:val="-11"/>
        </w:rPr>
        <w:t> </w:t>
      </w:r>
      <w:r>
        <w:rPr>
          <w:color w:val="231F20"/>
        </w:rPr>
        <w:t>plantas•ha</w:t>
      </w:r>
      <w:r>
        <w:rPr>
          <w:color w:val="231F20"/>
          <w:position w:val="7"/>
          <w:sz w:val="12"/>
        </w:rPr>
        <w:t>-1</w:t>
      </w:r>
      <w:r>
        <w:rPr>
          <w:color w:val="231F20"/>
          <w:spacing w:val="12"/>
          <w:position w:val="7"/>
          <w:sz w:val="12"/>
        </w:rPr>
        <w:t> </w:t>
      </w:r>
      <w:r>
        <w:rPr>
          <w:color w:val="231F20"/>
        </w:rPr>
        <w:t>fertilizado</w:t>
      </w:r>
      <w:r>
        <w:rPr>
          <w:color w:val="231F20"/>
          <w:spacing w:val="-10"/>
        </w:rPr>
        <w:t> </w:t>
      </w:r>
      <w:r>
        <w:rPr>
          <w:color w:val="231F20"/>
        </w:rPr>
        <w:t>con</w:t>
      </w:r>
      <w:r>
        <w:rPr>
          <w:color w:val="231F20"/>
          <w:spacing w:val="-11"/>
        </w:rPr>
        <w:t> </w:t>
      </w:r>
      <w:r>
        <w:rPr>
          <w:color w:val="231F20"/>
        </w:rPr>
        <w:t>120</w:t>
      </w:r>
      <w:r>
        <w:rPr>
          <w:color w:val="231F20"/>
          <w:spacing w:val="-11"/>
        </w:rPr>
        <w:t> </w:t>
      </w:r>
      <w:r>
        <w:rPr>
          <w:color w:val="231F20"/>
        </w:rPr>
        <w:t>kg</w:t>
      </w:r>
      <w:r>
        <w:rPr>
          <w:color w:val="231F20"/>
          <w:spacing w:val="-11"/>
        </w:rPr>
        <w:t> </w:t>
      </w:r>
      <w:r>
        <w:rPr>
          <w:color w:val="231F20"/>
        </w:rPr>
        <w:t>ha</w:t>
      </w:r>
      <w:r>
        <w:rPr>
          <w:color w:val="231F20"/>
          <w:position w:val="7"/>
          <w:sz w:val="12"/>
        </w:rPr>
        <w:t>-1</w:t>
      </w:r>
      <w:r>
        <w:rPr>
          <w:color w:val="231F20"/>
          <w:spacing w:val="12"/>
          <w:position w:val="7"/>
          <w:sz w:val="12"/>
        </w:rPr>
        <w:t> </w:t>
      </w:r>
      <w:r>
        <w:rPr>
          <w:color w:val="231F20"/>
        </w:rPr>
        <w:t>N)</w:t>
      </w:r>
      <w:r>
        <w:rPr>
          <w:color w:val="231F20"/>
          <w:spacing w:val="-11"/>
        </w:rPr>
        <w:t> </w:t>
      </w:r>
      <w:r>
        <w:rPr>
          <w:color w:val="231F20"/>
        </w:rPr>
        <w:t>destacó</w:t>
      </w:r>
      <w:r>
        <w:rPr>
          <w:color w:val="231F20"/>
          <w:spacing w:val="-10"/>
        </w:rPr>
        <w:t> </w:t>
      </w:r>
      <w:r>
        <w:rPr>
          <w:color w:val="231F20"/>
        </w:rPr>
        <w:t>en</w:t>
      </w:r>
      <w:r>
        <w:rPr>
          <w:color w:val="231F20"/>
          <w:spacing w:val="-11"/>
        </w:rPr>
        <w:t> </w:t>
      </w:r>
      <w:r>
        <w:rPr>
          <w:color w:val="231F20"/>
        </w:rPr>
        <w:t>PEH=36.5</w:t>
      </w:r>
      <w:r>
        <w:rPr>
          <w:color w:val="231F20"/>
          <w:spacing w:val="-10"/>
        </w:rPr>
        <w:t> </w:t>
      </w:r>
      <w:r>
        <w:rPr>
          <w:color w:val="231F20"/>
        </w:rPr>
        <w:t>g,</w:t>
      </w:r>
      <w:r>
        <w:rPr>
          <w:color w:val="231F20"/>
          <w:spacing w:val="-11"/>
        </w:rPr>
        <w:t> </w:t>
      </w:r>
      <w:r>
        <w:rPr>
          <w:color w:val="231F20"/>
        </w:rPr>
        <w:t>PET=49.3</w:t>
      </w:r>
      <w:r>
        <w:rPr>
          <w:color w:val="231F20"/>
          <w:spacing w:val="-10"/>
        </w:rPr>
        <w:t> </w:t>
      </w:r>
      <w:r>
        <w:rPr>
          <w:color w:val="231F20"/>
        </w:rPr>
        <w:t>g,</w:t>
      </w:r>
      <w:r>
        <w:rPr>
          <w:color w:val="231F20"/>
          <w:spacing w:val="-11"/>
        </w:rPr>
        <w:t> </w:t>
      </w:r>
      <w:r>
        <w:rPr>
          <w:color w:val="231F20"/>
        </w:rPr>
        <w:t>PEP=55.8 g, </w:t>
      </w:r>
      <w:r>
        <w:rPr>
          <w:color w:val="231F20"/>
          <w:spacing w:val="-4"/>
        </w:rPr>
        <w:t>ESPA=50.2, GPA=2355.2, </w:t>
      </w:r>
      <w:r>
        <w:rPr>
          <w:color w:val="231F20"/>
        </w:rPr>
        <w:t>PGP=53.9 g y PPL=141.5 g, en relación con el resto de los tratamien- tos probados. Di Marco </w:t>
      </w:r>
      <w:r>
        <w:rPr>
          <w:i/>
          <w:color w:val="231F20"/>
        </w:rPr>
        <w:t>et al. </w:t>
      </w:r>
      <w:r>
        <w:rPr>
          <w:color w:val="231F20"/>
        </w:rPr>
        <w:t>(2007) al evaluar la calidad nutritiva de ensilajes en </w:t>
      </w:r>
      <w:r>
        <w:rPr>
          <w:color w:val="231F20"/>
          <w:spacing w:val="-3"/>
        </w:rPr>
        <w:t>sorgo </w:t>
      </w:r>
      <w:r>
        <w:rPr>
          <w:color w:val="231F20"/>
        </w:rPr>
        <w:t>presentaron valores en PEH=31 g, PET=44.7 g, PEP=55.8 g y </w:t>
      </w:r>
      <w:r>
        <w:rPr>
          <w:color w:val="231F20"/>
          <w:spacing w:val="-3"/>
        </w:rPr>
        <w:t>PPL=115.4 </w:t>
      </w:r>
      <w:r>
        <w:rPr>
          <w:color w:val="231F20"/>
        </w:rPr>
        <w:t>g, los cuales son consistentes con los indicados</w:t>
      </w:r>
      <w:r>
        <w:rPr>
          <w:color w:val="231F20"/>
          <w:spacing w:val="-13"/>
        </w:rPr>
        <w:t> </w:t>
      </w:r>
      <w:r>
        <w:rPr>
          <w:color w:val="231F20"/>
        </w:rPr>
        <w:t>previamente.</w:t>
      </w:r>
      <w:r>
        <w:rPr>
          <w:color w:val="231F20"/>
          <w:spacing w:val="-12"/>
        </w:rPr>
        <w:t> </w:t>
      </w:r>
      <w:r>
        <w:rPr>
          <w:color w:val="231F20"/>
        </w:rPr>
        <w:t>El</w:t>
      </w:r>
      <w:r>
        <w:rPr>
          <w:color w:val="231F20"/>
          <w:spacing w:val="-12"/>
        </w:rPr>
        <w:t> </w:t>
      </w:r>
      <w:r>
        <w:rPr>
          <w:color w:val="231F20"/>
        </w:rPr>
        <w:t>promedio</w:t>
      </w:r>
      <w:r>
        <w:rPr>
          <w:color w:val="231F20"/>
          <w:spacing w:val="-12"/>
        </w:rPr>
        <w:t> </w:t>
      </w:r>
      <w:r>
        <w:rPr>
          <w:color w:val="231F20"/>
        </w:rPr>
        <w:t>de</w:t>
      </w:r>
      <w:r>
        <w:rPr>
          <w:color w:val="231F20"/>
          <w:spacing w:val="-12"/>
        </w:rPr>
        <w:t> </w:t>
      </w:r>
      <w:r>
        <w:rPr>
          <w:color w:val="231F20"/>
        </w:rPr>
        <w:t>granos</w:t>
      </w:r>
      <w:r>
        <w:rPr>
          <w:color w:val="231F20"/>
          <w:spacing w:val="-12"/>
        </w:rPr>
        <w:t> </w:t>
      </w:r>
      <w:r>
        <w:rPr>
          <w:color w:val="231F20"/>
        </w:rPr>
        <w:t>por</w:t>
      </w:r>
      <w:r>
        <w:rPr>
          <w:color w:val="231F20"/>
          <w:spacing w:val="-12"/>
        </w:rPr>
        <w:t> </w:t>
      </w:r>
      <w:r>
        <w:rPr>
          <w:color w:val="231F20"/>
        </w:rPr>
        <w:t>panoja</w:t>
      </w:r>
      <w:r>
        <w:rPr>
          <w:color w:val="231F20"/>
          <w:spacing w:val="-12"/>
        </w:rPr>
        <w:t> </w:t>
      </w:r>
      <w:r>
        <w:rPr>
          <w:color w:val="231F20"/>
        </w:rPr>
        <w:t>fue</w:t>
      </w:r>
      <w:r>
        <w:rPr>
          <w:color w:val="231F20"/>
          <w:spacing w:val="-12"/>
        </w:rPr>
        <w:t> </w:t>
      </w:r>
      <w:r>
        <w:rPr>
          <w:color w:val="231F20"/>
        </w:rPr>
        <w:t>de</w:t>
      </w:r>
      <w:r>
        <w:rPr>
          <w:color w:val="231F20"/>
          <w:spacing w:val="-12"/>
        </w:rPr>
        <w:t> </w:t>
      </w:r>
      <w:r>
        <w:rPr>
          <w:color w:val="231F20"/>
          <w:spacing w:val="-4"/>
        </w:rPr>
        <w:t>GPA=1662.4,</w:t>
      </w:r>
      <w:r>
        <w:rPr>
          <w:color w:val="231F20"/>
          <w:spacing w:val="-12"/>
        </w:rPr>
        <w:t> </w:t>
      </w:r>
      <w:r>
        <w:rPr>
          <w:color w:val="231F20"/>
        </w:rPr>
        <w:t>superior</w:t>
      </w:r>
      <w:r>
        <w:rPr>
          <w:color w:val="231F20"/>
          <w:spacing w:val="-12"/>
        </w:rPr>
        <w:t> </w:t>
      </w:r>
      <w:r>
        <w:rPr>
          <w:color w:val="231F20"/>
        </w:rPr>
        <w:t>a</w:t>
      </w:r>
      <w:r>
        <w:rPr>
          <w:color w:val="231F20"/>
          <w:spacing w:val="-12"/>
        </w:rPr>
        <w:t> </w:t>
      </w:r>
      <w:r>
        <w:rPr>
          <w:color w:val="231F20"/>
        </w:rPr>
        <w:t>lo</w:t>
      </w:r>
      <w:r>
        <w:rPr>
          <w:color w:val="231F20"/>
          <w:spacing w:val="-12"/>
        </w:rPr>
        <w:t> </w:t>
      </w:r>
      <w:r>
        <w:rPr>
          <w:color w:val="231F20"/>
        </w:rPr>
        <w:t>obtenido por León </w:t>
      </w:r>
      <w:r>
        <w:rPr>
          <w:i/>
          <w:color w:val="231F20"/>
        </w:rPr>
        <w:t>et al. </w:t>
      </w:r>
      <w:r>
        <w:rPr>
          <w:color w:val="231F20"/>
        </w:rPr>
        <w:t>(2009a) quienes reportaron para </w:t>
      </w:r>
      <w:r>
        <w:rPr>
          <w:color w:val="231F20"/>
          <w:spacing w:val="-3"/>
        </w:rPr>
        <w:t>sorgo </w:t>
      </w:r>
      <w:r>
        <w:rPr>
          <w:color w:val="231F20"/>
        </w:rPr>
        <w:t>producido en secano 1055 a 1339 granos </w:t>
      </w:r>
      <w:r>
        <w:rPr>
          <w:color w:val="231F20"/>
          <w:spacing w:val="-2"/>
        </w:rPr>
        <w:t>por </w:t>
      </w:r>
      <w:r>
        <w:rPr>
          <w:color w:val="231F20"/>
        </w:rPr>
        <w:t>panoja,</w:t>
      </w:r>
      <w:r>
        <w:rPr>
          <w:color w:val="231F20"/>
          <w:spacing w:val="-11"/>
        </w:rPr>
        <w:t> </w:t>
      </w:r>
      <w:r>
        <w:rPr>
          <w:color w:val="231F20"/>
        </w:rPr>
        <w:t>con</w:t>
      </w:r>
      <w:r>
        <w:rPr>
          <w:color w:val="231F20"/>
          <w:spacing w:val="-12"/>
        </w:rPr>
        <w:t> </w:t>
      </w:r>
      <w:r>
        <w:rPr>
          <w:color w:val="231F20"/>
        </w:rPr>
        <w:t>promedio</w:t>
      </w:r>
      <w:r>
        <w:rPr>
          <w:color w:val="231F20"/>
          <w:spacing w:val="-11"/>
        </w:rPr>
        <w:t> </w:t>
      </w:r>
      <w:r>
        <w:rPr>
          <w:color w:val="231F20"/>
        </w:rPr>
        <w:t>de</w:t>
      </w:r>
      <w:r>
        <w:rPr>
          <w:color w:val="231F20"/>
          <w:spacing w:val="-12"/>
        </w:rPr>
        <w:t> </w:t>
      </w:r>
      <w:r>
        <w:rPr>
          <w:color w:val="231F20"/>
          <w:spacing w:val="-4"/>
        </w:rPr>
        <w:t>1164</w:t>
      </w:r>
      <w:r>
        <w:rPr>
          <w:color w:val="231F20"/>
          <w:spacing w:val="-12"/>
        </w:rPr>
        <w:t> </w:t>
      </w:r>
      <w:r>
        <w:rPr>
          <w:color w:val="231F20"/>
        </w:rPr>
        <w:t>granos.</w:t>
      </w:r>
      <w:r>
        <w:rPr>
          <w:color w:val="231F20"/>
          <w:spacing w:val="-12"/>
        </w:rPr>
        <w:t> </w:t>
      </w:r>
      <w:r>
        <w:rPr>
          <w:color w:val="231F20"/>
        </w:rPr>
        <w:t>Jirali</w:t>
      </w:r>
      <w:r>
        <w:rPr>
          <w:color w:val="231F20"/>
          <w:spacing w:val="-11"/>
        </w:rPr>
        <w:t> </w:t>
      </w:r>
      <w:r>
        <w:rPr>
          <w:i/>
          <w:color w:val="231F20"/>
        </w:rPr>
        <w:t>et</w:t>
      </w:r>
      <w:r>
        <w:rPr>
          <w:i/>
          <w:color w:val="231F20"/>
          <w:spacing w:val="-12"/>
        </w:rPr>
        <w:t> </w:t>
      </w:r>
      <w:r>
        <w:rPr>
          <w:i/>
          <w:color w:val="231F20"/>
        </w:rPr>
        <w:t>al.</w:t>
      </w:r>
      <w:r>
        <w:rPr>
          <w:i/>
          <w:color w:val="231F20"/>
          <w:spacing w:val="-12"/>
        </w:rPr>
        <w:t> </w:t>
      </w:r>
      <w:r>
        <w:rPr>
          <w:color w:val="231F20"/>
        </w:rPr>
        <w:t>(2007)</w:t>
      </w:r>
      <w:r>
        <w:rPr>
          <w:color w:val="231F20"/>
          <w:spacing w:val="-12"/>
        </w:rPr>
        <w:t> </w:t>
      </w:r>
      <w:r>
        <w:rPr>
          <w:color w:val="231F20"/>
        </w:rPr>
        <w:t>cuantificaron</w:t>
      </w:r>
      <w:r>
        <w:rPr>
          <w:color w:val="231F20"/>
          <w:spacing w:val="-12"/>
        </w:rPr>
        <w:t> </w:t>
      </w:r>
      <w:r>
        <w:rPr>
          <w:color w:val="231F20"/>
          <w:spacing w:val="-4"/>
        </w:rPr>
        <w:t>1168</w:t>
      </w:r>
      <w:r>
        <w:rPr>
          <w:color w:val="231F20"/>
          <w:spacing w:val="-12"/>
        </w:rPr>
        <w:t> </w:t>
      </w:r>
      <w:r>
        <w:rPr>
          <w:color w:val="231F20"/>
        </w:rPr>
        <w:t>granos</w:t>
      </w:r>
      <w:r>
        <w:rPr>
          <w:color w:val="231F20"/>
          <w:spacing w:val="-12"/>
        </w:rPr>
        <w:t> </w:t>
      </w:r>
      <w:r>
        <w:rPr>
          <w:color w:val="231F20"/>
        </w:rPr>
        <w:t>por</w:t>
      </w:r>
      <w:r>
        <w:rPr>
          <w:color w:val="231F20"/>
          <w:spacing w:val="-12"/>
        </w:rPr>
        <w:t> </w:t>
      </w:r>
      <w:r>
        <w:rPr>
          <w:color w:val="231F20"/>
        </w:rPr>
        <w:t>panoja.</w:t>
      </w:r>
    </w:p>
    <w:p>
      <w:pPr>
        <w:pStyle w:val="BodyText"/>
        <w:spacing w:before="10"/>
      </w:pPr>
    </w:p>
    <w:p>
      <w:pPr>
        <w:pStyle w:val="BodyText"/>
        <w:spacing w:line="249" w:lineRule="auto"/>
        <w:ind w:left="1270" w:right="1266"/>
        <w:jc w:val="both"/>
      </w:pPr>
      <w:r>
        <w:rPr>
          <w:color w:val="231F20"/>
        </w:rPr>
        <w:t>En</w:t>
      </w:r>
      <w:r>
        <w:rPr>
          <w:color w:val="231F20"/>
          <w:spacing w:val="-17"/>
        </w:rPr>
        <w:t> </w:t>
      </w:r>
      <w:r>
        <w:rPr>
          <w:color w:val="231F20"/>
        </w:rPr>
        <w:t>peso</w:t>
      </w:r>
      <w:r>
        <w:rPr>
          <w:color w:val="231F20"/>
          <w:spacing w:val="-17"/>
        </w:rPr>
        <w:t> </w:t>
      </w:r>
      <w:r>
        <w:rPr>
          <w:color w:val="231F20"/>
        </w:rPr>
        <w:t>de</w:t>
      </w:r>
      <w:r>
        <w:rPr>
          <w:color w:val="231F20"/>
          <w:spacing w:val="-17"/>
        </w:rPr>
        <w:t> </w:t>
      </w:r>
      <w:r>
        <w:rPr>
          <w:color w:val="231F20"/>
        </w:rPr>
        <w:t>cien</w:t>
      </w:r>
      <w:r>
        <w:rPr>
          <w:color w:val="231F20"/>
          <w:spacing w:val="-17"/>
        </w:rPr>
        <w:t> </w:t>
      </w:r>
      <w:r>
        <w:rPr>
          <w:color w:val="231F20"/>
        </w:rPr>
        <w:t>semillas</w:t>
      </w:r>
      <w:r>
        <w:rPr>
          <w:color w:val="231F20"/>
          <w:spacing w:val="-17"/>
        </w:rPr>
        <w:t> </w:t>
      </w:r>
      <w:r>
        <w:rPr>
          <w:color w:val="231F20"/>
        </w:rPr>
        <w:t>(P100=3.0</w:t>
      </w:r>
      <w:r>
        <w:rPr>
          <w:color w:val="231F20"/>
          <w:spacing w:val="-17"/>
        </w:rPr>
        <w:t> </w:t>
      </w:r>
      <w:r>
        <w:rPr>
          <w:color w:val="231F20"/>
        </w:rPr>
        <w:t>g),</w:t>
      </w:r>
      <w:r>
        <w:rPr>
          <w:color w:val="231F20"/>
          <w:spacing w:val="-17"/>
        </w:rPr>
        <w:t> </w:t>
      </w:r>
      <w:r>
        <w:rPr>
          <w:color w:val="231F20"/>
        </w:rPr>
        <w:t>peso</w:t>
      </w:r>
      <w:r>
        <w:rPr>
          <w:color w:val="231F20"/>
          <w:spacing w:val="-17"/>
        </w:rPr>
        <w:t> </w:t>
      </w:r>
      <w:r>
        <w:rPr>
          <w:color w:val="231F20"/>
        </w:rPr>
        <w:t>de</w:t>
      </w:r>
      <w:r>
        <w:rPr>
          <w:color w:val="231F20"/>
          <w:spacing w:val="-17"/>
        </w:rPr>
        <w:t> </w:t>
      </w:r>
      <w:r>
        <w:rPr>
          <w:color w:val="231F20"/>
        </w:rPr>
        <w:t>granos</w:t>
      </w:r>
      <w:r>
        <w:rPr>
          <w:color w:val="231F20"/>
          <w:spacing w:val="-17"/>
        </w:rPr>
        <w:t> </w:t>
      </w:r>
      <w:r>
        <w:rPr>
          <w:color w:val="231F20"/>
        </w:rPr>
        <w:t>por</w:t>
      </w:r>
      <w:r>
        <w:rPr>
          <w:color w:val="231F20"/>
          <w:spacing w:val="-17"/>
        </w:rPr>
        <w:t> </w:t>
      </w:r>
      <w:r>
        <w:rPr>
          <w:color w:val="231F20"/>
        </w:rPr>
        <w:t>panoja</w:t>
      </w:r>
      <w:r>
        <w:rPr>
          <w:color w:val="231F20"/>
          <w:spacing w:val="-17"/>
        </w:rPr>
        <w:t> </w:t>
      </w:r>
      <w:r>
        <w:rPr>
          <w:color w:val="231F20"/>
        </w:rPr>
        <w:t>(PGP=47.0</w:t>
      </w:r>
      <w:r>
        <w:rPr>
          <w:color w:val="231F20"/>
          <w:spacing w:val="-17"/>
        </w:rPr>
        <w:t> </w:t>
      </w:r>
      <w:r>
        <w:rPr>
          <w:color w:val="231F20"/>
        </w:rPr>
        <w:t>g)</w:t>
      </w:r>
      <w:r>
        <w:rPr>
          <w:color w:val="231F20"/>
          <w:spacing w:val="-17"/>
        </w:rPr>
        <w:t> </w:t>
      </w:r>
      <w:r>
        <w:rPr>
          <w:color w:val="231F20"/>
        </w:rPr>
        <w:t>y</w:t>
      </w:r>
      <w:r>
        <w:rPr>
          <w:color w:val="231F20"/>
          <w:spacing w:val="-17"/>
        </w:rPr>
        <w:t> </w:t>
      </w:r>
      <w:r>
        <w:rPr>
          <w:color w:val="231F20"/>
        </w:rPr>
        <w:t>rendimiento</w:t>
      </w:r>
      <w:r>
        <w:rPr>
          <w:color w:val="231F20"/>
          <w:spacing w:val="-17"/>
        </w:rPr>
        <w:t> </w:t>
      </w:r>
      <w:r>
        <w:rPr>
          <w:color w:val="231F20"/>
        </w:rPr>
        <w:t>de</w:t>
      </w:r>
      <w:r>
        <w:rPr>
          <w:color w:val="231F20"/>
          <w:spacing w:val="-17"/>
        </w:rPr>
        <w:t> </w:t>
      </w:r>
      <w:r>
        <w:rPr>
          <w:color w:val="231F20"/>
        </w:rPr>
        <w:t>gra- no</w:t>
      </w:r>
      <w:r>
        <w:rPr>
          <w:color w:val="231F20"/>
          <w:spacing w:val="-20"/>
        </w:rPr>
        <w:t> </w:t>
      </w:r>
      <w:r>
        <w:rPr>
          <w:color w:val="231F20"/>
        </w:rPr>
        <w:t>(GHA=9.4</w:t>
      </w:r>
      <w:r>
        <w:rPr>
          <w:color w:val="231F20"/>
          <w:spacing w:val="-20"/>
        </w:rPr>
        <w:t> </w:t>
      </w:r>
      <w:r>
        <w:rPr>
          <w:color w:val="231F20"/>
        </w:rPr>
        <w:t>t•ha</w:t>
      </w:r>
      <w:r>
        <w:rPr>
          <w:color w:val="231F20"/>
          <w:position w:val="7"/>
          <w:sz w:val="12"/>
        </w:rPr>
        <w:t>-1</w:t>
      </w:r>
      <w:r>
        <w:rPr>
          <w:color w:val="231F20"/>
        </w:rPr>
        <w:t>)</w:t>
      </w:r>
      <w:r>
        <w:rPr>
          <w:color w:val="231F20"/>
          <w:spacing w:val="-20"/>
        </w:rPr>
        <w:t> </w:t>
      </w:r>
      <w:r>
        <w:rPr>
          <w:color w:val="231F20"/>
        </w:rPr>
        <w:t>y</w:t>
      </w:r>
      <w:r>
        <w:rPr>
          <w:color w:val="231F20"/>
          <w:spacing w:val="-20"/>
        </w:rPr>
        <w:t> </w:t>
      </w:r>
      <w:r>
        <w:rPr>
          <w:color w:val="231F20"/>
        </w:rPr>
        <w:t>forraje</w:t>
      </w:r>
      <w:r>
        <w:rPr>
          <w:color w:val="231F20"/>
          <w:spacing w:val="-20"/>
        </w:rPr>
        <w:t> </w:t>
      </w:r>
      <w:r>
        <w:rPr>
          <w:color w:val="231F20"/>
        </w:rPr>
        <w:t>por</w:t>
      </w:r>
      <w:r>
        <w:rPr>
          <w:color w:val="231F20"/>
          <w:spacing w:val="-20"/>
        </w:rPr>
        <w:t> </w:t>
      </w:r>
      <w:r>
        <w:rPr>
          <w:color w:val="231F20"/>
        </w:rPr>
        <w:t>hectárea</w:t>
      </w:r>
      <w:r>
        <w:rPr>
          <w:color w:val="231F20"/>
          <w:spacing w:val="-20"/>
        </w:rPr>
        <w:t> </w:t>
      </w:r>
      <w:r>
        <w:rPr>
          <w:color w:val="231F20"/>
        </w:rPr>
        <w:t>(FHA=23.7</w:t>
      </w:r>
      <w:r>
        <w:rPr>
          <w:color w:val="231F20"/>
          <w:spacing w:val="-20"/>
        </w:rPr>
        <w:t> </w:t>
      </w:r>
      <w:r>
        <w:rPr>
          <w:color w:val="231F20"/>
        </w:rPr>
        <w:t>t•ha</w:t>
      </w:r>
      <w:r>
        <w:rPr>
          <w:color w:val="231F20"/>
          <w:position w:val="7"/>
          <w:sz w:val="12"/>
        </w:rPr>
        <w:t>-1</w:t>
      </w:r>
      <w:r>
        <w:rPr>
          <w:color w:val="231F20"/>
        </w:rPr>
        <w:t>)</w:t>
      </w:r>
      <w:r>
        <w:rPr>
          <w:color w:val="231F20"/>
          <w:spacing w:val="-20"/>
        </w:rPr>
        <w:t> </w:t>
      </w:r>
      <w:r>
        <w:rPr>
          <w:color w:val="231F20"/>
        </w:rPr>
        <w:t>destacó</w:t>
      </w:r>
      <w:r>
        <w:rPr>
          <w:color w:val="231F20"/>
          <w:spacing w:val="-23"/>
        </w:rPr>
        <w:t> </w:t>
      </w:r>
      <w:r>
        <w:rPr>
          <w:color w:val="231F20"/>
        </w:rPr>
        <w:t>T5</w:t>
      </w:r>
      <w:r>
        <w:rPr>
          <w:color w:val="231F20"/>
          <w:spacing w:val="-20"/>
        </w:rPr>
        <w:t> </w:t>
      </w:r>
      <w:r>
        <w:rPr>
          <w:color w:val="231F20"/>
          <w:spacing w:val="-3"/>
        </w:rPr>
        <w:t>(sorgo</w:t>
      </w:r>
      <w:r>
        <w:rPr>
          <w:color w:val="231F20"/>
          <w:spacing w:val="-20"/>
        </w:rPr>
        <w:t> </w:t>
      </w:r>
      <w:r>
        <w:rPr>
          <w:color w:val="231F20"/>
        </w:rPr>
        <w:t>a</w:t>
      </w:r>
      <w:r>
        <w:rPr>
          <w:color w:val="231F20"/>
          <w:spacing w:val="-20"/>
        </w:rPr>
        <w:t> </w:t>
      </w:r>
      <w:r>
        <w:rPr>
          <w:color w:val="231F20"/>
        </w:rPr>
        <w:t>250,000</w:t>
      </w:r>
      <w:r>
        <w:rPr>
          <w:color w:val="231F20"/>
          <w:spacing w:val="-20"/>
        </w:rPr>
        <w:t> </w:t>
      </w:r>
      <w:r>
        <w:rPr>
          <w:color w:val="231F20"/>
        </w:rPr>
        <w:t>plantas•ha</w:t>
      </w:r>
      <w:r>
        <w:rPr>
          <w:color w:val="231F20"/>
          <w:position w:val="7"/>
          <w:sz w:val="12"/>
        </w:rPr>
        <w:t>-1 </w:t>
      </w:r>
      <w:r>
        <w:rPr>
          <w:color w:val="231F20"/>
        </w:rPr>
        <w:t>fertilizado</w:t>
      </w:r>
      <w:r>
        <w:rPr>
          <w:color w:val="231F20"/>
          <w:spacing w:val="-8"/>
        </w:rPr>
        <w:t> </w:t>
      </w:r>
      <w:r>
        <w:rPr>
          <w:color w:val="231F20"/>
        </w:rPr>
        <w:t>con</w:t>
      </w:r>
      <w:r>
        <w:rPr>
          <w:color w:val="231F20"/>
          <w:spacing w:val="-8"/>
        </w:rPr>
        <w:t> </w:t>
      </w:r>
      <w:r>
        <w:rPr>
          <w:color w:val="231F20"/>
        </w:rPr>
        <w:t>120</w:t>
      </w:r>
      <w:r>
        <w:rPr>
          <w:color w:val="231F20"/>
          <w:spacing w:val="-8"/>
        </w:rPr>
        <w:t> </w:t>
      </w:r>
      <w:r>
        <w:rPr>
          <w:color w:val="231F20"/>
        </w:rPr>
        <w:t>kg•ha</w:t>
      </w:r>
      <w:r>
        <w:rPr>
          <w:color w:val="231F20"/>
          <w:position w:val="7"/>
          <w:sz w:val="12"/>
        </w:rPr>
        <w:t>-1</w:t>
      </w:r>
      <w:r>
        <w:rPr>
          <w:color w:val="231F20"/>
          <w:spacing w:val="14"/>
          <w:position w:val="7"/>
          <w:sz w:val="12"/>
        </w:rPr>
        <w:t> </w:t>
      </w:r>
      <w:r>
        <w:rPr>
          <w:color w:val="231F20"/>
        </w:rPr>
        <w:t>N)</w:t>
      </w:r>
      <w:r>
        <w:rPr>
          <w:color w:val="231F20"/>
          <w:spacing w:val="-8"/>
        </w:rPr>
        <w:t> </w:t>
      </w:r>
      <w:r>
        <w:rPr>
          <w:color w:val="231F20"/>
        </w:rPr>
        <w:t>superando</w:t>
      </w:r>
      <w:r>
        <w:rPr>
          <w:color w:val="231F20"/>
          <w:spacing w:val="-8"/>
        </w:rPr>
        <w:t> </w:t>
      </w:r>
      <w:r>
        <w:rPr>
          <w:color w:val="231F20"/>
        </w:rPr>
        <w:t>al</w:t>
      </w:r>
      <w:r>
        <w:rPr>
          <w:color w:val="231F20"/>
          <w:spacing w:val="-8"/>
        </w:rPr>
        <w:t> </w:t>
      </w:r>
      <w:r>
        <w:rPr>
          <w:color w:val="231F20"/>
        </w:rPr>
        <w:t>testigo</w:t>
      </w:r>
      <w:r>
        <w:rPr>
          <w:color w:val="231F20"/>
          <w:spacing w:val="-8"/>
        </w:rPr>
        <w:t> </w:t>
      </w:r>
      <w:r>
        <w:rPr>
          <w:color w:val="231F20"/>
        </w:rPr>
        <w:t>y</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mayoría</w:t>
      </w:r>
      <w:r>
        <w:rPr>
          <w:color w:val="231F20"/>
          <w:spacing w:val="-8"/>
        </w:rPr>
        <w:t> </w:t>
      </w:r>
      <w:r>
        <w:rPr>
          <w:color w:val="231F20"/>
        </w:rPr>
        <w:t>de</w:t>
      </w:r>
      <w:r>
        <w:rPr>
          <w:color w:val="231F20"/>
          <w:spacing w:val="-8"/>
        </w:rPr>
        <w:t> </w:t>
      </w:r>
      <w:r>
        <w:rPr>
          <w:color w:val="231F20"/>
        </w:rPr>
        <w:t>tratamientos</w:t>
      </w:r>
      <w:r>
        <w:rPr>
          <w:color w:val="231F20"/>
          <w:spacing w:val="-8"/>
        </w:rPr>
        <w:t> </w:t>
      </w:r>
      <w:r>
        <w:rPr>
          <w:color w:val="231F20"/>
        </w:rPr>
        <w:t>en</w:t>
      </w:r>
      <w:r>
        <w:rPr>
          <w:color w:val="231F20"/>
          <w:spacing w:val="-8"/>
        </w:rPr>
        <w:t> </w:t>
      </w:r>
      <w:r>
        <w:rPr>
          <w:color w:val="231F20"/>
        </w:rPr>
        <w:t>estudio</w:t>
      </w:r>
      <w:r>
        <w:rPr>
          <w:color w:val="231F20"/>
          <w:spacing w:val="-8"/>
        </w:rPr>
        <w:t> </w:t>
      </w:r>
      <w:r>
        <w:rPr>
          <w:color w:val="231F20"/>
        </w:rPr>
        <w:t>(Cuadro 2).</w:t>
      </w:r>
      <w:r>
        <w:rPr>
          <w:color w:val="231F20"/>
          <w:spacing w:val="-11"/>
        </w:rPr>
        <w:t> </w:t>
      </w:r>
      <w:r>
        <w:rPr>
          <w:color w:val="231F20"/>
        </w:rPr>
        <w:t>Esto</w:t>
      </w:r>
      <w:r>
        <w:rPr>
          <w:color w:val="231F20"/>
          <w:spacing w:val="-11"/>
        </w:rPr>
        <w:t> </w:t>
      </w:r>
      <w:r>
        <w:rPr>
          <w:color w:val="231F20"/>
        </w:rPr>
        <w:t>es</w:t>
      </w:r>
      <w:r>
        <w:rPr>
          <w:color w:val="231F20"/>
          <w:spacing w:val="-11"/>
        </w:rPr>
        <w:t> </w:t>
      </w:r>
      <w:r>
        <w:rPr>
          <w:color w:val="231F20"/>
        </w:rPr>
        <w:t>adecuado,</w:t>
      </w:r>
      <w:r>
        <w:rPr>
          <w:color w:val="231F20"/>
          <w:spacing w:val="-11"/>
        </w:rPr>
        <w:t> </w:t>
      </w:r>
      <w:r>
        <w:rPr>
          <w:color w:val="231F20"/>
        </w:rPr>
        <w:t>ya</w:t>
      </w:r>
      <w:r>
        <w:rPr>
          <w:color w:val="231F20"/>
          <w:spacing w:val="-11"/>
        </w:rPr>
        <w:t> </w:t>
      </w:r>
      <w:r>
        <w:rPr>
          <w:color w:val="231F20"/>
        </w:rPr>
        <w:t>que</w:t>
      </w:r>
      <w:r>
        <w:rPr>
          <w:color w:val="231F20"/>
          <w:spacing w:val="-11"/>
        </w:rPr>
        <w:t> </w:t>
      </w:r>
      <w:r>
        <w:rPr>
          <w:color w:val="231F20"/>
        </w:rPr>
        <w:t>Cisneros</w:t>
      </w:r>
      <w:r>
        <w:rPr>
          <w:color w:val="231F20"/>
          <w:spacing w:val="-11"/>
        </w:rPr>
        <w:t> </w:t>
      </w:r>
      <w:r>
        <w:rPr>
          <w:color w:val="231F20"/>
        </w:rPr>
        <w:t>y</w:t>
      </w:r>
      <w:r>
        <w:rPr>
          <w:color w:val="231F20"/>
          <w:spacing w:val="-11"/>
        </w:rPr>
        <w:t> </w:t>
      </w:r>
      <w:r>
        <w:rPr>
          <w:color w:val="231F20"/>
        </w:rPr>
        <w:t>Mendoza</w:t>
      </w:r>
      <w:r>
        <w:rPr>
          <w:color w:val="231F20"/>
          <w:spacing w:val="-10"/>
        </w:rPr>
        <w:t> </w:t>
      </w:r>
      <w:r>
        <w:rPr>
          <w:color w:val="231F20"/>
        </w:rPr>
        <w:t>(2010)</w:t>
      </w:r>
      <w:r>
        <w:rPr>
          <w:color w:val="231F20"/>
          <w:spacing w:val="-11"/>
        </w:rPr>
        <w:t> </w:t>
      </w:r>
      <w:r>
        <w:rPr>
          <w:color w:val="231F20"/>
        </w:rPr>
        <w:t>estimaron</w:t>
      </w:r>
      <w:r>
        <w:rPr>
          <w:color w:val="231F20"/>
          <w:spacing w:val="-11"/>
        </w:rPr>
        <w:t> </w:t>
      </w:r>
      <w:r>
        <w:rPr>
          <w:color w:val="231F20"/>
        </w:rPr>
        <w:t>en</w:t>
      </w:r>
      <w:r>
        <w:rPr>
          <w:color w:val="231F20"/>
          <w:spacing w:val="-11"/>
        </w:rPr>
        <w:t> </w:t>
      </w:r>
      <w:r>
        <w:rPr>
          <w:color w:val="231F20"/>
          <w:spacing w:val="-3"/>
        </w:rPr>
        <w:t>sorgo</w:t>
      </w:r>
      <w:r>
        <w:rPr>
          <w:color w:val="231F20"/>
          <w:spacing w:val="-11"/>
        </w:rPr>
        <w:t> </w:t>
      </w:r>
      <w:r>
        <w:rPr>
          <w:color w:val="231F20"/>
        </w:rPr>
        <w:t>un</w:t>
      </w:r>
      <w:r>
        <w:rPr>
          <w:color w:val="231F20"/>
          <w:spacing w:val="-11"/>
        </w:rPr>
        <w:t> </w:t>
      </w:r>
      <w:r>
        <w:rPr>
          <w:color w:val="231F20"/>
        </w:rPr>
        <w:t>peso</w:t>
      </w:r>
      <w:r>
        <w:rPr>
          <w:color w:val="231F20"/>
          <w:spacing w:val="-11"/>
        </w:rPr>
        <w:t> </w:t>
      </w:r>
      <w:r>
        <w:rPr>
          <w:color w:val="231F20"/>
        </w:rPr>
        <w:t>de</w:t>
      </w:r>
      <w:r>
        <w:rPr>
          <w:color w:val="231F20"/>
          <w:spacing w:val="-11"/>
        </w:rPr>
        <w:t> </w:t>
      </w:r>
      <w:r>
        <w:rPr>
          <w:color w:val="231F20"/>
        </w:rPr>
        <w:t>cien</w:t>
      </w:r>
      <w:r>
        <w:rPr>
          <w:color w:val="231F20"/>
          <w:spacing w:val="-11"/>
        </w:rPr>
        <w:t> </w:t>
      </w:r>
      <w:r>
        <w:rPr>
          <w:color w:val="231F20"/>
        </w:rPr>
        <w:t>semillas de</w:t>
      </w:r>
      <w:r>
        <w:rPr>
          <w:color w:val="231F20"/>
          <w:spacing w:val="-9"/>
        </w:rPr>
        <w:t> </w:t>
      </w:r>
      <w:r>
        <w:rPr>
          <w:color w:val="231F20"/>
        </w:rPr>
        <w:t>1.94</w:t>
      </w:r>
      <w:r>
        <w:rPr>
          <w:color w:val="231F20"/>
          <w:spacing w:val="-9"/>
        </w:rPr>
        <w:t> </w:t>
      </w:r>
      <w:r>
        <w:rPr>
          <w:color w:val="231F20"/>
        </w:rPr>
        <w:t>a</w:t>
      </w:r>
      <w:r>
        <w:rPr>
          <w:color w:val="231F20"/>
          <w:spacing w:val="-9"/>
        </w:rPr>
        <w:t> </w:t>
      </w:r>
      <w:r>
        <w:rPr>
          <w:color w:val="231F20"/>
        </w:rPr>
        <w:t>2.20</w:t>
      </w:r>
      <w:r>
        <w:rPr>
          <w:color w:val="231F20"/>
          <w:spacing w:val="-9"/>
        </w:rPr>
        <w:t> </w:t>
      </w:r>
      <w:r>
        <w:rPr>
          <w:color w:val="231F20"/>
        </w:rPr>
        <w:t>gramos.</w:t>
      </w:r>
      <w:r>
        <w:rPr>
          <w:color w:val="231F20"/>
          <w:spacing w:val="-12"/>
        </w:rPr>
        <w:t> </w:t>
      </w:r>
      <w:r>
        <w:rPr>
          <w:color w:val="231F20"/>
          <w:spacing w:val="-5"/>
        </w:rPr>
        <w:t>Valores</w:t>
      </w:r>
      <w:r>
        <w:rPr>
          <w:color w:val="231F20"/>
          <w:spacing w:val="-9"/>
        </w:rPr>
        <w:t> </w:t>
      </w:r>
      <w:r>
        <w:rPr>
          <w:color w:val="231F20"/>
        </w:rPr>
        <w:t>menores</w:t>
      </w:r>
      <w:r>
        <w:rPr>
          <w:color w:val="231F20"/>
          <w:spacing w:val="-9"/>
        </w:rPr>
        <w:t> </w:t>
      </w:r>
      <w:r>
        <w:rPr>
          <w:color w:val="231F20"/>
        </w:rPr>
        <w:t>a</w:t>
      </w:r>
      <w:r>
        <w:rPr>
          <w:color w:val="231F20"/>
          <w:spacing w:val="-9"/>
        </w:rPr>
        <w:t> </w:t>
      </w:r>
      <w:r>
        <w:rPr>
          <w:color w:val="231F20"/>
        </w:rPr>
        <w:t>los</w:t>
      </w:r>
      <w:r>
        <w:rPr>
          <w:color w:val="231F20"/>
          <w:spacing w:val="-9"/>
        </w:rPr>
        <w:t> </w:t>
      </w:r>
      <w:r>
        <w:rPr>
          <w:color w:val="231F20"/>
        </w:rPr>
        <w:t>de</w:t>
      </w:r>
      <w:r>
        <w:rPr>
          <w:color w:val="231F20"/>
          <w:spacing w:val="-9"/>
        </w:rPr>
        <w:t> </w:t>
      </w:r>
      <w:r>
        <w:rPr>
          <w:color w:val="231F20"/>
        </w:rPr>
        <w:t>León</w:t>
      </w:r>
      <w:r>
        <w:rPr>
          <w:color w:val="231F20"/>
          <w:spacing w:val="-9"/>
        </w:rPr>
        <w:t> </w:t>
      </w:r>
      <w:r>
        <w:rPr>
          <w:i/>
          <w:color w:val="231F20"/>
        </w:rPr>
        <w:t>et</w:t>
      </w:r>
      <w:r>
        <w:rPr>
          <w:i/>
          <w:color w:val="231F20"/>
          <w:spacing w:val="-9"/>
        </w:rPr>
        <w:t> </w:t>
      </w:r>
      <w:r>
        <w:rPr>
          <w:i/>
          <w:color w:val="231F20"/>
        </w:rPr>
        <w:t>al.</w:t>
      </w:r>
      <w:r>
        <w:rPr>
          <w:i/>
          <w:color w:val="231F20"/>
          <w:spacing w:val="-9"/>
        </w:rPr>
        <w:t> </w:t>
      </w:r>
      <w:r>
        <w:rPr>
          <w:color w:val="231F20"/>
        </w:rPr>
        <w:t>(2009a)</w:t>
      </w:r>
      <w:r>
        <w:rPr>
          <w:color w:val="231F20"/>
          <w:spacing w:val="-9"/>
        </w:rPr>
        <w:t> </w:t>
      </w:r>
      <w:r>
        <w:rPr>
          <w:color w:val="231F20"/>
        </w:rPr>
        <w:t>quienes</w:t>
      </w:r>
      <w:r>
        <w:rPr>
          <w:color w:val="231F20"/>
          <w:spacing w:val="-9"/>
        </w:rPr>
        <w:t> </w:t>
      </w:r>
      <w:r>
        <w:rPr>
          <w:color w:val="231F20"/>
        </w:rPr>
        <w:t>en</w:t>
      </w:r>
      <w:r>
        <w:rPr>
          <w:color w:val="231F20"/>
          <w:spacing w:val="-9"/>
        </w:rPr>
        <w:t> </w:t>
      </w:r>
      <w:r>
        <w:rPr>
          <w:color w:val="231F20"/>
        </w:rPr>
        <w:t>secano</w:t>
      </w:r>
      <w:r>
        <w:rPr>
          <w:color w:val="231F20"/>
          <w:spacing w:val="-9"/>
        </w:rPr>
        <w:t> </w:t>
      </w:r>
      <w:r>
        <w:rPr>
          <w:color w:val="231F20"/>
        </w:rPr>
        <w:t>obtuvieron</w:t>
      </w:r>
      <w:r>
        <w:rPr>
          <w:color w:val="231F20"/>
          <w:spacing w:val="-9"/>
        </w:rPr>
        <w:t> </w:t>
      </w:r>
      <w:r>
        <w:rPr>
          <w:color w:val="231F20"/>
        </w:rPr>
        <w:t>un peso de cien semillas de 0.80 a 1.37 gramos. Elangovan </w:t>
      </w:r>
      <w:r>
        <w:rPr>
          <w:i/>
          <w:color w:val="231F20"/>
        </w:rPr>
        <w:t>et al. </w:t>
      </w:r>
      <w:r>
        <w:rPr>
          <w:color w:val="231F20"/>
        </w:rPr>
        <w:t>(2007) cuantificaron un peso de cien semillas</w:t>
      </w:r>
      <w:r>
        <w:rPr>
          <w:color w:val="231F20"/>
          <w:spacing w:val="-8"/>
        </w:rPr>
        <w:t> </w:t>
      </w:r>
      <w:r>
        <w:rPr>
          <w:color w:val="231F20"/>
        </w:rPr>
        <w:t>de</w:t>
      </w:r>
      <w:r>
        <w:rPr>
          <w:color w:val="231F20"/>
          <w:spacing w:val="-9"/>
        </w:rPr>
        <w:t> </w:t>
      </w:r>
      <w:r>
        <w:rPr>
          <w:color w:val="231F20"/>
        </w:rPr>
        <w:t>2.67</w:t>
      </w:r>
      <w:r>
        <w:rPr>
          <w:color w:val="231F20"/>
          <w:spacing w:val="-9"/>
        </w:rPr>
        <w:t> </w:t>
      </w:r>
      <w:r>
        <w:rPr>
          <w:color w:val="231F20"/>
        </w:rPr>
        <w:t>g</w:t>
      </w:r>
      <w:r>
        <w:rPr>
          <w:color w:val="231F20"/>
          <w:spacing w:val="-9"/>
        </w:rPr>
        <w:t> </w:t>
      </w:r>
      <w:r>
        <w:rPr>
          <w:color w:val="231F20"/>
        </w:rPr>
        <w:t>con</w:t>
      </w:r>
      <w:r>
        <w:rPr>
          <w:color w:val="231F20"/>
          <w:spacing w:val="-9"/>
        </w:rPr>
        <w:t> </w:t>
      </w:r>
      <w:r>
        <w:rPr>
          <w:color w:val="231F20"/>
        </w:rPr>
        <w:t>longitudes</w:t>
      </w:r>
      <w:r>
        <w:rPr>
          <w:color w:val="231F20"/>
          <w:spacing w:val="-9"/>
        </w:rPr>
        <w:t> </w:t>
      </w:r>
      <w:r>
        <w:rPr>
          <w:color w:val="231F20"/>
        </w:rPr>
        <w:t>de</w:t>
      </w:r>
      <w:r>
        <w:rPr>
          <w:color w:val="231F20"/>
          <w:spacing w:val="-9"/>
        </w:rPr>
        <w:t> </w:t>
      </w:r>
      <w:r>
        <w:rPr>
          <w:color w:val="231F20"/>
        </w:rPr>
        <w:t>panoja</w:t>
      </w:r>
      <w:r>
        <w:rPr>
          <w:color w:val="231F20"/>
          <w:spacing w:val="-8"/>
        </w:rPr>
        <w:t> </w:t>
      </w:r>
      <w:r>
        <w:rPr>
          <w:color w:val="231F20"/>
        </w:rPr>
        <w:t>de</w:t>
      </w:r>
      <w:r>
        <w:rPr>
          <w:color w:val="231F20"/>
          <w:spacing w:val="-9"/>
        </w:rPr>
        <w:t> </w:t>
      </w:r>
      <w:r>
        <w:rPr>
          <w:color w:val="231F20"/>
        </w:rPr>
        <w:t>16.8</w:t>
      </w:r>
      <w:r>
        <w:rPr>
          <w:color w:val="231F20"/>
          <w:spacing w:val="-9"/>
        </w:rPr>
        <w:t> </w:t>
      </w:r>
      <w:r>
        <w:rPr>
          <w:color w:val="231F20"/>
        </w:rPr>
        <w:t>cm.</w:t>
      </w:r>
    </w:p>
    <w:p>
      <w:pPr>
        <w:pStyle w:val="BodyText"/>
        <w:spacing w:before="7"/>
      </w:pPr>
    </w:p>
    <w:p>
      <w:pPr>
        <w:pStyle w:val="BodyText"/>
        <w:spacing w:line="247" w:lineRule="auto"/>
        <w:ind w:left="1270" w:right="1268"/>
        <w:jc w:val="both"/>
      </w:pPr>
      <w:r>
        <w:rPr>
          <w:color w:val="231F20"/>
        </w:rPr>
        <w:t>El peso promedio de granos por panoja fue de PGP=35.7 g (Cuadro 1), muy similar a lo declarado por Durán et al. (2004) quienes en diferentes genotipos de sorgo encontraron un peso de granos por panoja de 38.5 g en riego y 33.1 en sequía. No obstante, Gul y Saruhan (2005) en 24 genotipos de sorgo obtuvieron un peso de granos por panoja de 67.3 gramos.</w:t>
      </w:r>
    </w:p>
    <w:p>
      <w:pPr>
        <w:pStyle w:val="BodyText"/>
        <w:spacing w:before="10"/>
      </w:pPr>
    </w:p>
    <w:p>
      <w:pPr>
        <w:pStyle w:val="BodyText"/>
        <w:spacing w:line="249" w:lineRule="auto"/>
        <w:ind w:left="1270" w:right="1266"/>
        <w:jc w:val="both"/>
      </w:pPr>
      <w:r>
        <w:rPr>
          <w:color w:val="231F20"/>
        </w:rPr>
        <w:t>El rendimiento en forraje fue superior en los tratamientos con fertilización nitrogenada, destacando T5=23.7</w:t>
      </w:r>
      <w:r>
        <w:rPr>
          <w:color w:val="231F20"/>
          <w:spacing w:val="-9"/>
        </w:rPr>
        <w:t> </w:t>
      </w:r>
      <w:r>
        <w:rPr>
          <w:color w:val="231F20"/>
        </w:rPr>
        <w:t>t•ha</w:t>
      </w:r>
      <w:r>
        <w:rPr>
          <w:color w:val="231F20"/>
          <w:position w:val="7"/>
          <w:sz w:val="12"/>
        </w:rPr>
        <w:t>-1</w:t>
      </w:r>
      <w:r>
        <w:rPr>
          <w:color w:val="231F20"/>
        </w:rPr>
        <w:t>,</w:t>
      </w:r>
      <w:r>
        <w:rPr>
          <w:color w:val="231F20"/>
          <w:spacing w:val="-9"/>
        </w:rPr>
        <w:t> </w:t>
      </w:r>
      <w:r>
        <w:rPr>
          <w:color w:val="231F20"/>
        </w:rPr>
        <w:t>seguido</w:t>
      </w:r>
      <w:r>
        <w:rPr>
          <w:color w:val="231F20"/>
          <w:spacing w:val="-9"/>
        </w:rPr>
        <w:t> </w:t>
      </w:r>
      <w:r>
        <w:rPr>
          <w:color w:val="231F20"/>
        </w:rPr>
        <w:t>de</w:t>
      </w:r>
      <w:r>
        <w:rPr>
          <w:color w:val="231F20"/>
          <w:spacing w:val="-13"/>
        </w:rPr>
        <w:t> </w:t>
      </w:r>
      <w:r>
        <w:rPr>
          <w:color w:val="231F20"/>
        </w:rPr>
        <w:t>T7=20.4</w:t>
      </w:r>
      <w:r>
        <w:rPr>
          <w:color w:val="231F20"/>
          <w:spacing w:val="-9"/>
        </w:rPr>
        <w:t> </w:t>
      </w:r>
      <w:r>
        <w:rPr>
          <w:color w:val="231F20"/>
        </w:rPr>
        <w:t>t•ha</w:t>
      </w:r>
      <w:r>
        <w:rPr>
          <w:color w:val="231F20"/>
          <w:position w:val="7"/>
          <w:sz w:val="12"/>
        </w:rPr>
        <w:t>-1</w:t>
      </w:r>
      <w:r>
        <w:rPr>
          <w:color w:val="231F20"/>
          <w:spacing w:val="13"/>
          <w:position w:val="7"/>
          <w:sz w:val="12"/>
        </w:rPr>
        <w:t> </w:t>
      </w:r>
      <w:r>
        <w:rPr>
          <w:color w:val="231F20"/>
        </w:rPr>
        <w:t>y</w:t>
      </w:r>
      <w:r>
        <w:rPr>
          <w:color w:val="231F20"/>
          <w:spacing w:val="-13"/>
        </w:rPr>
        <w:t> </w:t>
      </w:r>
      <w:r>
        <w:rPr>
          <w:color w:val="231F20"/>
        </w:rPr>
        <w:t>T1=20.2</w:t>
      </w:r>
      <w:r>
        <w:rPr>
          <w:color w:val="231F20"/>
          <w:spacing w:val="-9"/>
        </w:rPr>
        <w:t> </w:t>
      </w:r>
      <w:r>
        <w:rPr>
          <w:color w:val="231F20"/>
        </w:rPr>
        <w:t>t•ha</w:t>
      </w:r>
      <w:r>
        <w:rPr>
          <w:color w:val="231F20"/>
          <w:position w:val="7"/>
          <w:sz w:val="12"/>
        </w:rPr>
        <w:t>-1</w:t>
      </w:r>
      <w:r>
        <w:rPr>
          <w:color w:val="231F20"/>
        </w:rPr>
        <w:t>.</w:t>
      </w:r>
      <w:r>
        <w:rPr>
          <w:color w:val="231F20"/>
          <w:spacing w:val="-9"/>
        </w:rPr>
        <w:t> </w:t>
      </w:r>
      <w:r>
        <w:rPr>
          <w:color w:val="231F20"/>
        </w:rPr>
        <w:t>Estos</w:t>
      </w:r>
      <w:r>
        <w:rPr>
          <w:color w:val="231F20"/>
          <w:spacing w:val="-9"/>
        </w:rPr>
        <w:t> </w:t>
      </w:r>
      <w:r>
        <w:rPr>
          <w:color w:val="231F20"/>
        </w:rPr>
        <w:t>rendimientos</w:t>
      </w:r>
      <w:r>
        <w:rPr>
          <w:color w:val="231F20"/>
          <w:spacing w:val="-9"/>
        </w:rPr>
        <w:t> </w:t>
      </w:r>
      <w:r>
        <w:rPr>
          <w:color w:val="231F20"/>
        </w:rPr>
        <w:t>son</w:t>
      </w:r>
      <w:r>
        <w:rPr>
          <w:color w:val="231F20"/>
          <w:spacing w:val="-9"/>
        </w:rPr>
        <w:t> </w:t>
      </w:r>
      <w:r>
        <w:rPr>
          <w:color w:val="231F20"/>
        </w:rPr>
        <w:t>muy</w:t>
      </w:r>
      <w:r>
        <w:rPr>
          <w:color w:val="231F20"/>
          <w:spacing w:val="-9"/>
        </w:rPr>
        <w:t> </w:t>
      </w:r>
      <w:r>
        <w:rPr>
          <w:color w:val="231F20"/>
        </w:rPr>
        <w:t>aceptables</w:t>
      </w:r>
      <w:r>
        <w:rPr>
          <w:color w:val="231F20"/>
          <w:spacing w:val="-9"/>
        </w:rPr>
        <w:t> </w:t>
      </w:r>
      <w:r>
        <w:rPr>
          <w:color w:val="231F20"/>
        </w:rPr>
        <w:t>si se</w:t>
      </w:r>
      <w:r>
        <w:rPr>
          <w:color w:val="231F20"/>
          <w:spacing w:val="-9"/>
        </w:rPr>
        <w:t> </w:t>
      </w:r>
      <w:r>
        <w:rPr>
          <w:color w:val="231F20"/>
        </w:rPr>
        <w:t>considera</w:t>
      </w:r>
      <w:r>
        <w:rPr>
          <w:color w:val="231F20"/>
          <w:spacing w:val="-9"/>
        </w:rPr>
        <w:t> </w:t>
      </w:r>
      <w:r>
        <w:rPr>
          <w:color w:val="231F20"/>
        </w:rPr>
        <w:t>que</w:t>
      </w:r>
      <w:r>
        <w:rPr>
          <w:color w:val="231F20"/>
          <w:spacing w:val="-9"/>
        </w:rPr>
        <w:t> </w:t>
      </w:r>
      <w:r>
        <w:rPr>
          <w:color w:val="231F20"/>
        </w:rPr>
        <w:t>el</w:t>
      </w:r>
      <w:r>
        <w:rPr>
          <w:color w:val="231F20"/>
          <w:spacing w:val="-9"/>
        </w:rPr>
        <w:t> </w:t>
      </w:r>
      <w:r>
        <w:rPr>
          <w:color w:val="231F20"/>
        </w:rPr>
        <w:t>genotipo</w:t>
      </w:r>
      <w:r>
        <w:rPr>
          <w:color w:val="231F20"/>
          <w:spacing w:val="-9"/>
        </w:rPr>
        <w:t> </w:t>
      </w:r>
      <w:r>
        <w:rPr>
          <w:color w:val="231F20"/>
        </w:rPr>
        <w:t>utilizado</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región</w:t>
      </w:r>
      <w:r>
        <w:rPr>
          <w:color w:val="231F20"/>
          <w:spacing w:val="-9"/>
        </w:rPr>
        <w:t> </w:t>
      </w:r>
      <w:r>
        <w:rPr>
          <w:color w:val="231F20"/>
        </w:rPr>
        <w:t>Papaloapan</w:t>
      </w:r>
      <w:r>
        <w:rPr>
          <w:color w:val="231F20"/>
          <w:spacing w:val="-8"/>
        </w:rPr>
        <w:t> </w:t>
      </w:r>
      <w:r>
        <w:rPr>
          <w:color w:val="231F20"/>
        </w:rPr>
        <w:t>se</w:t>
      </w:r>
      <w:r>
        <w:rPr>
          <w:color w:val="231F20"/>
          <w:spacing w:val="-9"/>
        </w:rPr>
        <w:t> </w:t>
      </w:r>
      <w:r>
        <w:rPr>
          <w:color w:val="231F20"/>
        </w:rPr>
        <w:t>destina</w:t>
      </w:r>
      <w:r>
        <w:rPr>
          <w:color w:val="231F20"/>
          <w:spacing w:val="-9"/>
        </w:rPr>
        <w:t> </w:t>
      </w:r>
      <w:r>
        <w:rPr>
          <w:color w:val="231F20"/>
        </w:rPr>
        <w:t>principalmente</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produc- ción</w:t>
      </w:r>
      <w:r>
        <w:rPr>
          <w:color w:val="231F20"/>
          <w:spacing w:val="-9"/>
        </w:rPr>
        <w:t> </w:t>
      </w:r>
      <w:r>
        <w:rPr>
          <w:color w:val="231F20"/>
        </w:rPr>
        <w:t>de</w:t>
      </w:r>
      <w:r>
        <w:rPr>
          <w:color w:val="231F20"/>
          <w:spacing w:val="-9"/>
        </w:rPr>
        <w:t> </w:t>
      </w:r>
      <w:r>
        <w:rPr>
          <w:color w:val="231F20"/>
        </w:rPr>
        <w:t>grano.</w:t>
      </w:r>
      <w:r>
        <w:rPr>
          <w:color w:val="231F20"/>
          <w:spacing w:val="-12"/>
        </w:rPr>
        <w:t> </w:t>
      </w:r>
      <w:r>
        <w:rPr>
          <w:color w:val="231F20"/>
          <w:spacing w:val="-5"/>
        </w:rPr>
        <w:t>Velarde</w:t>
      </w:r>
      <w:r>
        <w:rPr>
          <w:color w:val="231F20"/>
          <w:spacing w:val="-9"/>
        </w:rPr>
        <w:t> </w:t>
      </w:r>
      <w:r>
        <w:rPr>
          <w:i/>
          <w:color w:val="231F20"/>
        </w:rPr>
        <w:t>et</w:t>
      </w:r>
      <w:r>
        <w:rPr>
          <w:i/>
          <w:color w:val="231F20"/>
          <w:spacing w:val="-9"/>
        </w:rPr>
        <w:t> </w:t>
      </w:r>
      <w:r>
        <w:rPr>
          <w:i/>
          <w:color w:val="231F20"/>
        </w:rPr>
        <w:t>al.</w:t>
      </w:r>
      <w:r>
        <w:rPr>
          <w:i/>
          <w:color w:val="231F20"/>
          <w:spacing w:val="-9"/>
        </w:rPr>
        <w:t> </w:t>
      </w:r>
      <w:r>
        <w:rPr>
          <w:color w:val="231F20"/>
        </w:rPr>
        <w:t>(2003)</w:t>
      </w:r>
      <w:r>
        <w:rPr>
          <w:color w:val="231F20"/>
          <w:spacing w:val="-9"/>
        </w:rPr>
        <w:t> </w:t>
      </w:r>
      <w:r>
        <w:rPr>
          <w:color w:val="231F20"/>
        </w:rPr>
        <w:t>en</w:t>
      </w:r>
      <w:r>
        <w:rPr>
          <w:color w:val="231F20"/>
          <w:spacing w:val="-9"/>
        </w:rPr>
        <w:t> </w:t>
      </w:r>
      <w:r>
        <w:rPr>
          <w:color w:val="231F20"/>
          <w:spacing w:val="-3"/>
        </w:rPr>
        <w:t>sorgo</w:t>
      </w:r>
      <w:r>
        <w:rPr>
          <w:color w:val="231F20"/>
          <w:spacing w:val="-9"/>
        </w:rPr>
        <w:t> </w:t>
      </w:r>
      <w:r>
        <w:rPr>
          <w:color w:val="231F20"/>
        </w:rPr>
        <w:t>forrajero</w:t>
      </w:r>
      <w:r>
        <w:rPr>
          <w:color w:val="231F20"/>
          <w:spacing w:val="-9"/>
        </w:rPr>
        <w:t> </w:t>
      </w:r>
      <w:r>
        <w:rPr>
          <w:color w:val="231F20"/>
        </w:rPr>
        <w:t>obtuvieron</w:t>
      </w:r>
      <w:r>
        <w:rPr>
          <w:color w:val="231F20"/>
          <w:spacing w:val="-9"/>
        </w:rPr>
        <w:t> </w:t>
      </w:r>
      <w:r>
        <w:rPr>
          <w:color w:val="231F20"/>
        </w:rPr>
        <w:t>18.5</w:t>
      </w:r>
      <w:r>
        <w:rPr>
          <w:color w:val="231F20"/>
          <w:spacing w:val="-9"/>
        </w:rPr>
        <w:t> </w:t>
      </w:r>
      <w:r>
        <w:rPr>
          <w:color w:val="231F20"/>
        </w:rPr>
        <w:t>t•ha</w:t>
      </w:r>
      <w:r>
        <w:rPr>
          <w:color w:val="231F20"/>
          <w:position w:val="7"/>
          <w:sz w:val="12"/>
        </w:rPr>
        <w:t>-1</w:t>
      </w:r>
      <w:r>
        <w:rPr>
          <w:color w:val="231F20"/>
          <w:spacing w:val="14"/>
          <w:position w:val="7"/>
          <w:sz w:val="12"/>
        </w:rPr>
        <w:t> </w:t>
      </w:r>
      <w:r>
        <w:rPr>
          <w:color w:val="231F20"/>
        </w:rPr>
        <w:t>en</w:t>
      </w:r>
      <w:r>
        <w:rPr>
          <w:color w:val="231F20"/>
          <w:spacing w:val="-9"/>
        </w:rPr>
        <w:t> </w:t>
      </w:r>
      <w:r>
        <w:rPr>
          <w:color w:val="231F20"/>
        </w:rPr>
        <w:t>temporal</w:t>
      </w:r>
      <w:r>
        <w:rPr>
          <w:color w:val="231F20"/>
          <w:spacing w:val="-9"/>
        </w:rPr>
        <w:t> </w:t>
      </w:r>
      <w:r>
        <w:rPr>
          <w:color w:val="231F20"/>
        </w:rPr>
        <w:t>y</w:t>
      </w:r>
      <w:r>
        <w:rPr>
          <w:color w:val="231F20"/>
          <w:spacing w:val="-9"/>
        </w:rPr>
        <w:t> </w:t>
      </w:r>
      <w:r>
        <w:rPr>
          <w:color w:val="231F20"/>
        </w:rPr>
        <w:t>23.9</w:t>
      </w:r>
      <w:r>
        <w:rPr>
          <w:color w:val="231F20"/>
          <w:spacing w:val="-9"/>
        </w:rPr>
        <w:t> </w:t>
      </w:r>
      <w:r>
        <w:rPr>
          <w:color w:val="231F20"/>
        </w:rPr>
        <w:t>tone- ladas</w:t>
      </w:r>
      <w:r>
        <w:rPr>
          <w:color w:val="231F20"/>
          <w:spacing w:val="-6"/>
        </w:rPr>
        <w:t> </w:t>
      </w:r>
      <w:r>
        <w:rPr>
          <w:color w:val="231F20"/>
        </w:rPr>
        <w:t>de</w:t>
      </w:r>
      <w:r>
        <w:rPr>
          <w:color w:val="231F20"/>
          <w:spacing w:val="-5"/>
        </w:rPr>
        <w:t> </w:t>
      </w:r>
      <w:r>
        <w:rPr>
          <w:color w:val="231F20"/>
        </w:rPr>
        <w:t>forraje</w:t>
      </w:r>
      <w:r>
        <w:rPr>
          <w:color w:val="231F20"/>
          <w:spacing w:val="-5"/>
        </w:rPr>
        <w:t> </w:t>
      </w:r>
      <w:r>
        <w:rPr>
          <w:color w:val="231F20"/>
        </w:rPr>
        <w:t>verde</w:t>
      </w:r>
      <w:r>
        <w:rPr>
          <w:color w:val="231F20"/>
          <w:spacing w:val="-5"/>
        </w:rPr>
        <w:t> </w:t>
      </w:r>
      <w:r>
        <w:rPr>
          <w:color w:val="231F20"/>
        </w:rPr>
        <w:t>por</w:t>
      </w:r>
      <w:r>
        <w:rPr>
          <w:color w:val="231F20"/>
          <w:spacing w:val="-5"/>
        </w:rPr>
        <w:t> </w:t>
      </w:r>
      <w:r>
        <w:rPr>
          <w:color w:val="231F20"/>
        </w:rPr>
        <w:t>hectárea</w:t>
      </w:r>
      <w:r>
        <w:rPr>
          <w:color w:val="231F20"/>
          <w:spacing w:val="-5"/>
        </w:rPr>
        <w:t> </w:t>
      </w:r>
      <w:r>
        <w:rPr>
          <w:color w:val="231F20"/>
        </w:rPr>
        <w:t>en</w:t>
      </w:r>
      <w:r>
        <w:rPr>
          <w:color w:val="231F20"/>
          <w:spacing w:val="-5"/>
        </w:rPr>
        <w:t> </w:t>
      </w:r>
      <w:r>
        <w:rPr>
          <w:color w:val="231F20"/>
        </w:rPr>
        <w:t>riego.</w:t>
      </w:r>
      <w:r>
        <w:rPr>
          <w:color w:val="231F20"/>
          <w:spacing w:val="-9"/>
        </w:rPr>
        <w:t> </w:t>
      </w:r>
      <w:r>
        <w:rPr>
          <w:color w:val="231F20"/>
          <w:spacing w:val="-7"/>
        </w:rPr>
        <w:t>Vargas</w:t>
      </w:r>
      <w:r>
        <w:rPr>
          <w:color w:val="231F20"/>
          <w:spacing w:val="-5"/>
        </w:rPr>
        <w:t> </w:t>
      </w:r>
      <w:r>
        <w:rPr>
          <w:color w:val="231F20"/>
        </w:rPr>
        <w:t>(2005)</w:t>
      </w:r>
      <w:r>
        <w:rPr>
          <w:color w:val="231F20"/>
          <w:spacing w:val="-5"/>
        </w:rPr>
        <w:t> </w:t>
      </w:r>
      <w:r>
        <w:rPr>
          <w:color w:val="231F20"/>
        </w:rPr>
        <w:t>en</w:t>
      </w:r>
      <w:r>
        <w:rPr>
          <w:color w:val="231F20"/>
          <w:spacing w:val="-5"/>
        </w:rPr>
        <w:t> </w:t>
      </w:r>
      <w:r>
        <w:rPr>
          <w:color w:val="231F20"/>
        </w:rPr>
        <w:t>15</w:t>
      </w:r>
      <w:r>
        <w:rPr>
          <w:color w:val="231F20"/>
          <w:spacing w:val="-5"/>
        </w:rPr>
        <w:t> </w:t>
      </w:r>
      <w:r>
        <w:rPr>
          <w:color w:val="231F20"/>
        </w:rPr>
        <w:t>genotipos</w:t>
      </w:r>
      <w:r>
        <w:rPr>
          <w:color w:val="231F20"/>
          <w:spacing w:val="-5"/>
        </w:rPr>
        <w:t> </w:t>
      </w:r>
      <w:r>
        <w:rPr>
          <w:color w:val="231F20"/>
        </w:rPr>
        <w:t>de</w:t>
      </w:r>
      <w:r>
        <w:rPr>
          <w:color w:val="231F20"/>
          <w:spacing w:val="-5"/>
        </w:rPr>
        <w:t> </w:t>
      </w:r>
      <w:r>
        <w:rPr>
          <w:color w:val="231F20"/>
          <w:spacing w:val="-3"/>
        </w:rPr>
        <w:t>sorgo</w:t>
      </w:r>
      <w:r>
        <w:rPr>
          <w:color w:val="231F20"/>
          <w:spacing w:val="-5"/>
        </w:rPr>
        <w:t> </w:t>
      </w:r>
      <w:r>
        <w:rPr>
          <w:color w:val="231F20"/>
        </w:rPr>
        <w:t>forrajero</w:t>
      </w:r>
      <w:r>
        <w:rPr>
          <w:color w:val="231F20"/>
          <w:spacing w:val="-5"/>
        </w:rPr>
        <w:t> </w:t>
      </w:r>
      <w:r>
        <w:rPr>
          <w:color w:val="231F20"/>
          <w:spacing w:val="-2"/>
        </w:rPr>
        <w:t>estimó </w:t>
      </w:r>
      <w:r>
        <w:rPr>
          <w:color w:val="231F20"/>
        </w:rPr>
        <w:t>rendimientos</w:t>
      </w:r>
      <w:r>
        <w:rPr>
          <w:color w:val="231F20"/>
          <w:spacing w:val="-20"/>
        </w:rPr>
        <w:t> </w:t>
      </w:r>
      <w:r>
        <w:rPr>
          <w:color w:val="231F20"/>
        </w:rPr>
        <w:t>en</w:t>
      </w:r>
      <w:r>
        <w:rPr>
          <w:color w:val="231F20"/>
          <w:spacing w:val="-20"/>
        </w:rPr>
        <w:t> </w:t>
      </w:r>
      <w:r>
        <w:rPr>
          <w:color w:val="231F20"/>
        </w:rPr>
        <w:t>materia</w:t>
      </w:r>
      <w:r>
        <w:rPr>
          <w:color w:val="231F20"/>
          <w:spacing w:val="-20"/>
        </w:rPr>
        <w:t> </w:t>
      </w:r>
      <w:r>
        <w:rPr>
          <w:color w:val="231F20"/>
        </w:rPr>
        <w:t>verde</w:t>
      </w:r>
      <w:r>
        <w:rPr>
          <w:color w:val="231F20"/>
          <w:spacing w:val="-20"/>
        </w:rPr>
        <w:t> </w:t>
      </w:r>
      <w:r>
        <w:rPr>
          <w:color w:val="231F20"/>
        </w:rPr>
        <w:t>de</w:t>
      </w:r>
      <w:r>
        <w:rPr>
          <w:color w:val="231F20"/>
          <w:spacing w:val="-20"/>
        </w:rPr>
        <w:t> </w:t>
      </w:r>
      <w:r>
        <w:rPr>
          <w:color w:val="231F20"/>
        </w:rPr>
        <w:t>22.9</w:t>
      </w:r>
      <w:r>
        <w:rPr>
          <w:color w:val="231F20"/>
          <w:spacing w:val="-20"/>
        </w:rPr>
        <w:t> </w:t>
      </w:r>
      <w:r>
        <w:rPr>
          <w:color w:val="231F20"/>
        </w:rPr>
        <w:t>a</w:t>
      </w:r>
      <w:r>
        <w:rPr>
          <w:color w:val="231F20"/>
          <w:spacing w:val="-20"/>
        </w:rPr>
        <w:t> </w:t>
      </w:r>
      <w:r>
        <w:rPr>
          <w:color w:val="231F20"/>
        </w:rPr>
        <w:t>41.6</w:t>
      </w:r>
      <w:r>
        <w:rPr>
          <w:color w:val="231F20"/>
          <w:spacing w:val="-20"/>
        </w:rPr>
        <w:t> </w:t>
      </w:r>
      <w:r>
        <w:rPr>
          <w:color w:val="231F20"/>
        </w:rPr>
        <w:t>t•ha</w:t>
      </w:r>
      <w:r>
        <w:rPr>
          <w:color w:val="231F20"/>
          <w:position w:val="7"/>
          <w:sz w:val="12"/>
        </w:rPr>
        <w:t>-1</w:t>
      </w:r>
      <w:r>
        <w:rPr>
          <w:color w:val="231F20"/>
        </w:rPr>
        <w:t>,</w:t>
      </w:r>
      <w:r>
        <w:rPr>
          <w:color w:val="231F20"/>
          <w:spacing w:val="-20"/>
        </w:rPr>
        <w:t> </w:t>
      </w:r>
      <w:r>
        <w:rPr>
          <w:color w:val="231F20"/>
        </w:rPr>
        <w:t>con</w:t>
      </w:r>
      <w:r>
        <w:rPr>
          <w:color w:val="231F20"/>
          <w:spacing w:val="-20"/>
        </w:rPr>
        <w:t> </w:t>
      </w:r>
      <w:r>
        <w:rPr>
          <w:color w:val="231F20"/>
        </w:rPr>
        <w:t>un</w:t>
      </w:r>
      <w:r>
        <w:rPr>
          <w:color w:val="231F20"/>
          <w:spacing w:val="-20"/>
        </w:rPr>
        <w:t> </w:t>
      </w:r>
      <w:r>
        <w:rPr>
          <w:color w:val="231F20"/>
        </w:rPr>
        <w:t>promedio</w:t>
      </w:r>
      <w:r>
        <w:rPr>
          <w:color w:val="231F20"/>
          <w:spacing w:val="-20"/>
        </w:rPr>
        <w:t> </w:t>
      </w:r>
      <w:r>
        <w:rPr>
          <w:color w:val="231F20"/>
        </w:rPr>
        <w:t>de</w:t>
      </w:r>
      <w:r>
        <w:rPr>
          <w:color w:val="231F20"/>
          <w:spacing w:val="-20"/>
        </w:rPr>
        <w:t> </w:t>
      </w:r>
      <w:r>
        <w:rPr>
          <w:color w:val="231F20"/>
        </w:rPr>
        <w:t>genotipos</w:t>
      </w:r>
      <w:r>
        <w:rPr>
          <w:color w:val="231F20"/>
          <w:spacing w:val="-20"/>
        </w:rPr>
        <w:t> </w:t>
      </w:r>
      <w:r>
        <w:rPr>
          <w:color w:val="231F20"/>
        </w:rPr>
        <w:t>de</w:t>
      </w:r>
      <w:r>
        <w:rPr>
          <w:color w:val="231F20"/>
          <w:spacing w:val="-20"/>
        </w:rPr>
        <w:t> </w:t>
      </w:r>
      <w:r>
        <w:rPr>
          <w:color w:val="231F20"/>
        </w:rPr>
        <w:t>33.0</w:t>
      </w:r>
      <w:r>
        <w:rPr>
          <w:color w:val="231F20"/>
          <w:spacing w:val="-20"/>
        </w:rPr>
        <w:t> </w:t>
      </w:r>
      <w:r>
        <w:rPr>
          <w:color w:val="231F20"/>
        </w:rPr>
        <w:t>t•ha</w:t>
      </w:r>
      <w:r>
        <w:rPr>
          <w:color w:val="231F20"/>
          <w:position w:val="7"/>
          <w:sz w:val="12"/>
        </w:rPr>
        <w:t>-1</w:t>
      </w:r>
      <w:r>
        <w:rPr>
          <w:color w:val="231F20"/>
          <w:spacing w:val="3"/>
          <w:position w:val="7"/>
          <w:sz w:val="12"/>
        </w:rPr>
        <w:t> </w:t>
      </w:r>
      <w:r>
        <w:rPr>
          <w:color w:val="231F20"/>
        </w:rPr>
        <w:t>de</w:t>
      </w:r>
      <w:r>
        <w:rPr>
          <w:color w:val="231F20"/>
          <w:spacing w:val="-20"/>
        </w:rPr>
        <w:t> </w:t>
      </w:r>
      <w:r>
        <w:rPr>
          <w:color w:val="231F20"/>
        </w:rPr>
        <w:t>ma- teria</w:t>
      </w:r>
      <w:r>
        <w:rPr>
          <w:color w:val="231F20"/>
          <w:spacing w:val="-15"/>
        </w:rPr>
        <w:t> </w:t>
      </w:r>
      <w:r>
        <w:rPr>
          <w:color w:val="231F20"/>
        </w:rPr>
        <w:t>verde.</w:t>
      </w:r>
      <w:r>
        <w:rPr>
          <w:color w:val="231F20"/>
          <w:spacing w:val="-15"/>
        </w:rPr>
        <w:t> </w:t>
      </w:r>
      <w:r>
        <w:rPr>
          <w:color w:val="231F20"/>
        </w:rPr>
        <w:t>Es</w:t>
      </w:r>
      <w:r>
        <w:rPr>
          <w:color w:val="231F20"/>
          <w:spacing w:val="-15"/>
        </w:rPr>
        <w:t> </w:t>
      </w:r>
      <w:r>
        <w:rPr>
          <w:color w:val="231F20"/>
        </w:rPr>
        <w:t>importante</w:t>
      </w:r>
      <w:r>
        <w:rPr>
          <w:color w:val="231F20"/>
          <w:spacing w:val="-15"/>
        </w:rPr>
        <w:t> </w:t>
      </w:r>
      <w:r>
        <w:rPr>
          <w:color w:val="231F20"/>
        </w:rPr>
        <w:t>destacar</w:t>
      </w:r>
      <w:r>
        <w:rPr>
          <w:color w:val="231F20"/>
          <w:spacing w:val="-15"/>
        </w:rPr>
        <w:t> </w:t>
      </w:r>
      <w:r>
        <w:rPr>
          <w:color w:val="231F20"/>
        </w:rPr>
        <w:t>que</w:t>
      </w:r>
      <w:r>
        <w:rPr>
          <w:color w:val="231F20"/>
          <w:spacing w:val="-15"/>
        </w:rPr>
        <w:t> </w:t>
      </w:r>
      <w:r>
        <w:rPr>
          <w:color w:val="231F20"/>
        </w:rPr>
        <w:t>a</w:t>
      </w:r>
      <w:r>
        <w:rPr>
          <w:color w:val="231F20"/>
          <w:spacing w:val="-15"/>
        </w:rPr>
        <w:t> </w:t>
      </w:r>
      <w:r>
        <w:rPr>
          <w:color w:val="231F20"/>
        </w:rPr>
        <w:t>nivel</w:t>
      </w:r>
      <w:r>
        <w:rPr>
          <w:color w:val="231F20"/>
          <w:spacing w:val="-15"/>
        </w:rPr>
        <w:t> </w:t>
      </w:r>
      <w:r>
        <w:rPr>
          <w:color w:val="231F20"/>
        </w:rPr>
        <w:t>nacional</w:t>
      </w:r>
      <w:r>
        <w:rPr>
          <w:color w:val="231F20"/>
          <w:spacing w:val="-15"/>
        </w:rPr>
        <w:t> </w:t>
      </w:r>
      <w:r>
        <w:rPr>
          <w:color w:val="231F20"/>
        </w:rPr>
        <w:t>el</w:t>
      </w:r>
      <w:r>
        <w:rPr>
          <w:color w:val="231F20"/>
          <w:spacing w:val="-15"/>
        </w:rPr>
        <w:t> </w:t>
      </w:r>
      <w:r>
        <w:rPr>
          <w:color w:val="231F20"/>
        </w:rPr>
        <w:t>rendimiento</w:t>
      </w:r>
      <w:r>
        <w:rPr>
          <w:color w:val="231F20"/>
          <w:spacing w:val="-15"/>
        </w:rPr>
        <w:t> </w:t>
      </w:r>
      <w:r>
        <w:rPr>
          <w:color w:val="231F20"/>
        </w:rPr>
        <w:t>en</w:t>
      </w:r>
      <w:r>
        <w:rPr>
          <w:color w:val="231F20"/>
          <w:spacing w:val="-15"/>
        </w:rPr>
        <w:t> </w:t>
      </w:r>
      <w:r>
        <w:rPr>
          <w:color w:val="231F20"/>
        </w:rPr>
        <w:t>forraje</w:t>
      </w:r>
      <w:r>
        <w:rPr>
          <w:color w:val="231F20"/>
          <w:spacing w:val="-15"/>
        </w:rPr>
        <w:t> </w:t>
      </w:r>
      <w:r>
        <w:rPr>
          <w:color w:val="231F20"/>
        </w:rPr>
        <w:t>de</w:t>
      </w:r>
      <w:r>
        <w:rPr>
          <w:color w:val="231F20"/>
          <w:spacing w:val="-15"/>
        </w:rPr>
        <w:t> </w:t>
      </w:r>
      <w:r>
        <w:rPr>
          <w:color w:val="231F20"/>
          <w:spacing w:val="-3"/>
        </w:rPr>
        <w:t>sorgo</w:t>
      </w:r>
      <w:r>
        <w:rPr>
          <w:color w:val="231F20"/>
          <w:spacing w:val="-15"/>
        </w:rPr>
        <w:t> </w:t>
      </w:r>
      <w:r>
        <w:rPr>
          <w:color w:val="231F20"/>
        </w:rPr>
        <w:t>está</w:t>
      </w:r>
      <w:r>
        <w:rPr>
          <w:color w:val="231F20"/>
          <w:spacing w:val="-15"/>
        </w:rPr>
        <w:t> </w:t>
      </w:r>
      <w:r>
        <w:rPr>
          <w:color w:val="231F20"/>
        </w:rPr>
        <w:t>en</w:t>
      </w:r>
      <w:r>
        <w:rPr>
          <w:color w:val="231F20"/>
          <w:spacing w:val="-15"/>
        </w:rPr>
        <w:t> </w:t>
      </w:r>
      <w:r>
        <w:rPr>
          <w:color w:val="231F20"/>
        </w:rPr>
        <w:t>21.9 t•ha</w:t>
      </w:r>
      <w:r>
        <w:rPr>
          <w:color w:val="231F20"/>
          <w:position w:val="7"/>
          <w:sz w:val="12"/>
        </w:rPr>
        <w:t>-1</w:t>
      </w:r>
      <w:r>
        <w:rPr>
          <w:color w:val="231F20"/>
          <w:spacing w:val="9"/>
          <w:position w:val="7"/>
          <w:sz w:val="12"/>
        </w:rPr>
        <w:t> </w:t>
      </w:r>
      <w:r>
        <w:rPr>
          <w:color w:val="231F20"/>
          <w:spacing w:val="-6"/>
        </w:rPr>
        <w:t>(SIAP,</w:t>
      </w:r>
      <w:r>
        <w:rPr>
          <w:color w:val="231F20"/>
          <w:spacing w:val="-14"/>
        </w:rPr>
        <w:t> </w:t>
      </w:r>
      <w:r>
        <w:rPr>
          <w:color w:val="231F20"/>
        </w:rPr>
        <w:t>2010),</w:t>
      </w:r>
      <w:r>
        <w:rPr>
          <w:color w:val="231F20"/>
          <w:spacing w:val="-14"/>
        </w:rPr>
        <w:t> </w:t>
      </w:r>
      <w:r>
        <w:rPr>
          <w:color w:val="231F20"/>
        </w:rPr>
        <w:t>por</w:t>
      </w:r>
      <w:r>
        <w:rPr>
          <w:color w:val="231F20"/>
          <w:spacing w:val="-14"/>
        </w:rPr>
        <w:t> </w:t>
      </w:r>
      <w:r>
        <w:rPr>
          <w:color w:val="231F20"/>
        </w:rPr>
        <w:t>lo</w:t>
      </w:r>
      <w:r>
        <w:rPr>
          <w:color w:val="231F20"/>
          <w:spacing w:val="-14"/>
        </w:rPr>
        <w:t> </w:t>
      </w:r>
      <w:r>
        <w:rPr>
          <w:color w:val="231F20"/>
        </w:rPr>
        <w:t>que</w:t>
      </w:r>
      <w:r>
        <w:rPr>
          <w:color w:val="231F20"/>
          <w:spacing w:val="-14"/>
        </w:rPr>
        <w:t> </w:t>
      </w:r>
      <w:r>
        <w:rPr>
          <w:color w:val="231F20"/>
        </w:rPr>
        <w:t>los</w:t>
      </w:r>
      <w:r>
        <w:rPr>
          <w:color w:val="231F20"/>
          <w:spacing w:val="-14"/>
        </w:rPr>
        <w:t> </w:t>
      </w:r>
      <w:r>
        <w:rPr>
          <w:color w:val="231F20"/>
        </w:rPr>
        <w:t>resultados</w:t>
      </w:r>
      <w:r>
        <w:rPr>
          <w:color w:val="231F20"/>
          <w:spacing w:val="-14"/>
        </w:rPr>
        <w:t> </w:t>
      </w:r>
      <w:r>
        <w:rPr>
          <w:color w:val="231F20"/>
        </w:rPr>
        <w:t>del</w:t>
      </w:r>
      <w:r>
        <w:rPr>
          <w:color w:val="231F20"/>
          <w:spacing w:val="-14"/>
        </w:rPr>
        <w:t> </w:t>
      </w:r>
      <w:r>
        <w:rPr>
          <w:color w:val="231F20"/>
        </w:rPr>
        <w:t>presente</w:t>
      </w:r>
      <w:r>
        <w:rPr>
          <w:color w:val="231F20"/>
          <w:spacing w:val="-14"/>
        </w:rPr>
        <w:t> </w:t>
      </w:r>
      <w:r>
        <w:rPr>
          <w:color w:val="231F20"/>
        </w:rPr>
        <w:t>trabajo</w:t>
      </w:r>
      <w:r>
        <w:rPr>
          <w:color w:val="231F20"/>
          <w:spacing w:val="-14"/>
        </w:rPr>
        <w:t> </w:t>
      </w:r>
      <w:r>
        <w:rPr>
          <w:color w:val="231F20"/>
        </w:rPr>
        <w:t>son</w:t>
      </w:r>
      <w:r>
        <w:rPr>
          <w:color w:val="231F20"/>
          <w:spacing w:val="-14"/>
        </w:rPr>
        <w:t> </w:t>
      </w:r>
      <w:r>
        <w:rPr>
          <w:color w:val="231F20"/>
        </w:rPr>
        <w:t>muy</w:t>
      </w:r>
      <w:r>
        <w:rPr>
          <w:color w:val="231F20"/>
          <w:spacing w:val="-14"/>
        </w:rPr>
        <w:t> </w:t>
      </w:r>
      <w:r>
        <w:rPr>
          <w:color w:val="231F20"/>
        </w:rPr>
        <w:t>acordes</w:t>
      </w:r>
      <w:r>
        <w:rPr>
          <w:color w:val="231F20"/>
          <w:spacing w:val="-14"/>
        </w:rPr>
        <w:t> </w:t>
      </w:r>
      <w:r>
        <w:rPr>
          <w:color w:val="231F20"/>
        </w:rPr>
        <w:t>con</w:t>
      </w:r>
      <w:r>
        <w:rPr>
          <w:color w:val="231F20"/>
          <w:spacing w:val="-14"/>
        </w:rPr>
        <w:t> </w:t>
      </w:r>
      <w:r>
        <w:rPr>
          <w:color w:val="231F20"/>
        </w:rPr>
        <w:t>dichos</w:t>
      </w:r>
      <w:r>
        <w:rPr>
          <w:color w:val="231F20"/>
          <w:spacing w:val="-14"/>
        </w:rPr>
        <w:t> </w:t>
      </w:r>
      <w:r>
        <w:rPr>
          <w:color w:val="231F20"/>
        </w:rPr>
        <w:t>valores. El rendimiento de grano por hectárea varió de 3.0 t•ha-1 (T4) hasta 9.4 t•ha-1 (T5), teniéndose un promedio de 6.7 t•ha</w:t>
      </w:r>
      <w:r>
        <w:rPr>
          <w:color w:val="231F20"/>
          <w:position w:val="7"/>
          <w:sz w:val="12"/>
        </w:rPr>
        <w:t>-1  </w:t>
      </w:r>
      <w:r>
        <w:rPr>
          <w:color w:val="231F20"/>
        </w:rPr>
        <w:t>(Cuadros 1 y 2). Este último valor es cercano a los de Rosales </w:t>
      </w:r>
      <w:r>
        <w:rPr>
          <w:i/>
          <w:color w:val="231F20"/>
        </w:rPr>
        <w:t>et al. </w:t>
      </w:r>
      <w:r>
        <w:rPr>
          <w:i/>
          <w:color w:val="231F20"/>
          <w:spacing w:val="42"/>
        </w:rPr>
        <w:t> </w:t>
      </w:r>
      <w:r>
        <w:rPr>
          <w:color w:val="231F20"/>
          <w:spacing w:val="-3"/>
        </w:rPr>
        <w:t>(2011),</w:t>
      </w:r>
    </w:p>
    <w:p>
      <w:pPr>
        <w:spacing w:after="0" w:line="249" w:lineRule="auto"/>
        <w:jc w:val="both"/>
        <w:sectPr>
          <w:pgSz w:w="10920" w:h="13080"/>
          <w:pgMar w:header="0" w:footer="965" w:top="420" w:bottom="1220" w:left="0" w:right="0"/>
        </w:sectPr>
      </w:pPr>
    </w:p>
    <w:p>
      <w:pPr>
        <w:pStyle w:val="BodyText"/>
        <w:rPr>
          <w:sz w:val="20"/>
        </w:rPr>
      </w:pPr>
    </w:p>
    <w:p>
      <w:pPr>
        <w:pStyle w:val="BodyText"/>
        <w:rPr>
          <w:sz w:val="20"/>
        </w:rPr>
      </w:pPr>
    </w:p>
    <w:p>
      <w:pPr>
        <w:pStyle w:val="BodyText"/>
        <w:rPr>
          <w:sz w:val="23"/>
        </w:rPr>
      </w:pPr>
    </w:p>
    <w:p>
      <w:pPr>
        <w:pStyle w:val="BodyText"/>
        <w:spacing w:line="249" w:lineRule="auto" w:before="73"/>
        <w:ind w:left="1270" w:right="1267"/>
        <w:jc w:val="both"/>
      </w:pPr>
      <w:r>
        <w:rPr>
          <w:color w:val="231F20"/>
        </w:rPr>
        <w:t>quienes</w:t>
      </w:r>
      <w:r>
        <w:rPr>
          <w:color w:val="231F20"/>
          <w:spacing w:val="-6"/>
        </w:rPr>
        <w:t> </w:t>
      </w:r>
      <w:r>
        <w:rPr>
          <w:color w:val="231F20"/>
        </w:rPr>
        <w:t>en</w:t>
      </w:r>
      <w:r>
        <w:rPr>
          <w:color w:val="231F20"/>
          <w:spacing w:val="-6"/>
        </w:rPr>
        <w:t> </w:t>
      </w:r>
      <w:r>
        <w:rPr>
          <w:color w:val="231F20"/>
          <w:spacing w:val="-3"/>
        </w:rPr>
        <w:t>sorgo</w:t>
      </w:r>
      <w:r>
        <w:rPr>
          <w:color w:val="231F20"/>
          <w:spacing w:val="-6"/>
        </w:rPr>
        <w:t> </w:t>
      </w:r>
      <w:r>
        <w:rPr>
          <w:color w:val="231F20"/>
        </w:rPr>
        <w:t>obtuvieron</w:t>
      </w:r>
      <w:r>
        <w:rPr>
          <w:color w:val="231F20"/>
          <w:spacing w:val="-6"/>
        </w:rPr>
        <w:t> </w:t>
      </w:r>
      <w:r>
        <w:rPr>
          <w:color w:val="231F20"/>
        </w:rPr>
        <w:t>rendimientos</w:t>
      </w:r>
      <w:r>
        <w:rPr>
          <w:color w:val="231F20"/>
          <w:spacing w:val="-6"/>
        </w:rPr>
        <w:t> </w:t>
      </w:r>
      <w:r>
        <w:rPr>
          <w:color w:val="231F20"/>
        </w:rPr>
        <w:t>de</w:t>
      </w:r>
      <w:r>
        <w:rPr>
          <w:color w:val="231F20"/>
          <w:spacing w:val="-6"/>
        </w:rPr>
        <w:t> </w:t>
      </w:r>
      <w:r>
        <w:rPr>
          <w:color w:val="231F20"/>
        </w:rPr>
        <w:t>grano</w:t>
      </w:r>
      <w:r>
        <w:rPr>
          <w:color w:val="231F20"/>
          <w:spacing w:val="-6"/>
        </w:rPr>
        <w:t> </w:t>
      </w:r>
      <w:r>
        <w:rPr>
          <w:color w:val="231F20"/>
        </w:rPr>
        <w:t>de</w:t>
      </w:r>
      <w:r>
        <w:rPr>
          <w:color w:val="231F20"/>
          <w:spacing w:val="-6"/>
        </w:rPr>
        <w:t> </w:t>
      </w:r>
      <w:r>
        <w:rPr>
          <w:color w:val="231F20"/>
        </w:rPr>
        <w:t>4.9</w:t>
      </w:r>
      <w:r>
        <w:rPr>
          <w:color w:val="231F20"/>
          <w:spacing w:val="-6"/>
        </w:rPr>
        <w:t> </w:t>
      </w:r>
      <w:r>
        <w:rPr>
          <w:color w:val="231F20"/>
        </w:rPr>
        <w:t>a</w:t>
      </w:r>
      <w:r>
        <w:rPr>
          <w:color w:val="231F20"/>
          <w:spacing w:val="-6"/>
        </w:rPr>
        <w:t> </w:t>
      </w:r>
      <w:r>
        <w:rPr>
          <w:color w:val="231F20"/>
        </w:rPr>
        <w:t>6.0</w:t>
      </w:r>
      <w:r>
        <w:rPr>
          <w:color w:val="231F20"/>
          <w:spacing w:val="-6"/>
        </w:rPr>
        <w:t> </w:t>
      </w:r>
      <w:r>
        <w:rPr>
          <w:color w:val="231F20"/>
        </w:rPr>
        <w:t>t•ha</w:t>
      </w:r>
      <w:r>
        <w:rPr>
          <w:color w:val="231F20"/>
          <w:position w:val="7"/>
          <w:sz w:val="12"/>
        </w:rPr>
        <w:t>-1</w:t>
      </w:r>
      <w:r>
        <w:rPr>
          <w:color w:val="231F20"/>
        </w:rPr>
        <w:t>.</w:t>
      </w:r>
      <w:r>
        <w:rPr>
          <w:color w:val="231F20"/>
          <w:spacing w:val="-6"/>
        </w:rPr>
        <w:t> </w:t>
      </w:r>
      <w:r>
        <w:rPr>
          <w:color w:val="231F20"/>
        </w:rPr>
        <w:t>Mason</w:t>
      </w:r>
      <w:r>
        <w:rPr>
          <w:color w:val="231F20"/>
          <w:spacing w:val="-6"/>
        </w:rPr>
        <w:t> </w:t>
      </w:r>
      <w:r>
        <w:rPr>
          <w:i/>
          <w:color w:val="231F20"/>
        </w:rPr>
        <w:t>et</w:t>
      </w:r>
      <w:r>
        <w:rPr>
          <w:i/>
          <w:color w:val="231F20"/>
          <w:spacing w:val="-6"/>
        </w:rPr>
        <w:t> </w:t>
      </w:r>
      <w:r>
        <w:rPr>
          <w:i/>
          <w:color w:val="231F20"/>
        </w:rPr>
        <w:t>al</w:t>
      </w:r>
      <w:r>
        <w:rPr>
          <w:color w:val="231F20"/>
        </w:rPr>
        <w:t>.</w:t>
      </w:r>
      <w:r>
        <w:rPr>
          <w:color w:val="231F20"/>
          <w:spacing w:val="-6"/>
        </w:rPr>
        <w:t> </w:t>
      </w:r>
      <w:r>
        <w:rPr>
          <w:color w:val="231F20"/>
        </w:rPr>
        <w:t>(2008)</w:t>
      </w:r>
      <w:r>
        <w:rPr>
          <w:color w:val="231F20"/>
          <w:spacing w:val="-6"/>
        </w:rPr>
        <w:t> </w:t>
      </w:r>
      <w:r>
        <w:rPr>
          <w:color w:val="231F20"/>
        </w:rPr>
        <w:t>contabili- zaron rendimientos de grano de 3.8 a 7.5 t•ha</w:t>
      </w:r>
      <w:r>
        <w:rPr>
          <w:color w:val="231F20"/>
          <w:position w:val="7"/>
          <w:sz w:val="12"/>
        </w:rPr>
        <w:t>-1 </w:t>
      </w:r>
      <w:r>
        <w:rPr>
          <w:color w:val="231F20"/>
        </w:rPr>
        <w:t>con 1720 a 2032 granos por panoja. Machado </w:t>
      </w:r>
      <w:r>
        <w:rPr>
          <w:i/>
          <w:color w:val="231F20"/>
        </w:rPr>
        <w:t>et al.</w:t>
      </w:r>
      <w:r>
        <w:rPr>
          <w:color w:val="231F20"/>
        </w:rPr>
        <w:t>, (2001) en ocho variedades de </w:t>
      </w:r>
      <w:r>
        <w:rPr>
          <w:color w:val="231F20"/>
          <w:spacing w:val="-3"/>
        </w:rPr>
        <w:t>sorgo </w:t>
      </w:r>
      <w:r>
        <w:rPr>
          <w:color w:val="231F20"/>
        </w:rPr>
        <w:t>estimaron rendimientos de grano que fueron de 5.8 a 9.9 t•ha</w:t>
      </w:r>
      <w:r>
        <w:rPr>
          <w:color w:val="231F20"/>
          <w:position w:val="7"/>
          <w:sz w:val="12"/>
        </w:rPr>
        <w:t>-1</w:t>
      </w:r>
      <w:r>
        <w:rPr>
          <w:color w:val="231F20"/>
        </w:rPr>
        <w:t>, de</w:t>
      </w:r>
      <w:r>
        <w:rPr>
          <w:color w:val="231F20"/>
          <w:spacing w:val="-9"/>
        </w:rPr>
        <w:t> </w:t>
      </w:r>
      <w:r>
        <w:rPr>
          <w:color w:val="231F20"/>
        </w:rPr>
        <w:t>ahí</w:t>
      </w:r>
      <w:r>
        <w:rPr>
          <w:color w:val="231F20"/>
          <w:spacing w:val="-9"/>
        </w:rPr>
        <w:t> </w:t>
      </w:r>
      <w:r>
        <w:rPr>
          <w:color w:val="231F20"/>
        </w:rPr>
        <w:t>que</w:t>
      </w:r>
      <w:r>
        <w:rPr>
          <w:color w:val="231F20"/>
          <w:spacing w:val="-9"/>
        </w:rPr>
        <w:t> </w:t>
      </w:r>
      <w:r>
        <w:rPr>
          <w:color w:val="231F20"/>
        </w:rPr>
        <w:t>la</w:t>
      </w:r>
      <w:r>
        <w:rPr>
          <w:color w:val="231F20"/>
          <w:spacing w:val="-9"/>
        </w:rPr>
        <w:t> </w:t>
      </w:r>
      <w:r>
        <w:rPr>
          <w:color w:val="231F20"/>
        </w:rPr>
        <w:t>información</w:t>
      </w:r>
      <w:r>
        <w:rPr>
          <w:color w:val="231F20"/>
          <w:spacing w:val="-9"/>
        </w:rPr>
        <w:t> </w:t>
      </w:r>
      <w:r>
        <w:rPr>
          <w:color w:val="231F20"/>
        </w:rPr>
        <w:t>derivada</w:t>
      </w:r>
      <w:r>
        <w:rPr>
          <w:color w:val="231F20"/>
          <w:spacing w:val="-8"/>
        </w:rPr>
        <w:t> </w:t>
      </w:r>
      <w:r>
        <w:rPr>
          <w:color w:val="231F20"/>
        </w:rPr>
        <w:t>del</w:t>
      </w:r>
      <w:r>
        <w:rPr>
          <w:color w:val="231F20"/>
          <w:spacing w:val="-9"/>
        </w:rPr>
        <w:t> </w:t>
      </w:r>
      <w:r>
        <w:rPr>
          <w:color w:val="231F20"/>
        </w:rPr>
        <w:t>presente</w:t>
      </w:r>
      <w:r>
        <w:rPr>
          <w:color w:val="231F20"/>
          <w:spacing w:val="-8"/>
        </w:rPr>
        <w:t> </w:t>
      </w:r>
      <w:r>
        <w:rPr>
          <w:color w:val="231F20"/>
        </w:rPr>
        <w:t>ensayo</w:t>
      </w:r>
      <w:r>
        <w:rPr>
          <w:color w:val="231F20"/>
          <w:spacing w:val="-9"/>
        </w:rPr>
        <w:t> </w:t>
      </w:r>
      <w:r>
        <w:rPr>
          <w:color w:val="231F20"/>
        </w:rPr>
        <w:t>sea</w:t>
      </w:r>
      <w:r>
        <w:rPr>
          <w:color w:val="231F20"/>
          <w:spacing w:val="-8"/>
        </w:rPr>
        <w:t> </w:t>
      </w:r>
      <w:r>
        <w:rPr>
          <w:color w:val="231F20"/>
        </w:rPr>
        <w:t>aceptable</w:t>
      </w:r>
      <w:r>
        <w:rPr>
          <w:color w:val="231F20"/>
          <w:spacing w:val="-9"/>
        </w:rPr>
        <w:t> </w:t>
      </w:r>
      <w:r>
        <w:rPr>
          <w:color w:val="231F20"/>
        </w:rPr>
        <w:t>si</w:t>
      </w:r>
      <w:r>
        <w:rPr>
          <w:color w:val="231F20"/>
          <w:spacing w:val="-9"/>
        </w:rPr>
        <w:t> </w:t>
      </w:r>
      <w:r>
        <w:rPr>
          <w:color w:val="231F20"/>
        </w:rPr>
        <w:t>se</w:t>
      </w:r>
      <w:r>
        <w:rPr>
          <w:color w:val="231F20"/>
          <w:spacing w:val="-9"/>
        </w:rPr>
        <w:t> </w:t>
      </w:r>
      <w:r>
        <w:rPr>
          <w:color w:val="231F20"/>
        </w:rPr>
        <w:t>considera</w:t>
      </w:r>
      <w:r>
        <w:rPr>
          <w:color w:val="231F20"/>
          <w:spacing w:val="-9"/>
        </w:rPr>
        <w:t> </w:t>
      </w:r>
      <w:r>
        <w:rPr>
          <w:color w:val="231F20"/>
        </w:rPr>
        <w:t>que</w:t>
      </w:r>
      <w:r>
        <w:rPr>
          <w:color w:val="231F20"/>
          <w:spacing w:val="-9"/>
        </w:rPr>
        <w:t> </w:t>
      </w:r>
      <w:r>
        <w:rPr>
          <w:color w:val="231F20"/>
        </w:rPr>
        <w:t>el</w:t>
      </w:r>
      <w:r>
        <w:rPr>
          <w:color w:val="231F20"/>
          <w:spacing w:val="-9"/>
        </w:rPr>
        <w:t> </w:t>
      </w:r>
      <w:r>
        <w:rPr>
          <w:color w:val="231F20"/>
        </w:rPr>
        <w:t>trabajo</w:t>
      </w:r>
      <w:r>
        <w:rPr>
          <w:color w:val="231F20"/>
          <w:spacing w:val="-9"/>
        </w:rPr>
        <w:t> </w:t>
      </w:r>
      <w:r>
        <w:rPr>
          <w:color w:val="231F20"/>
        </w:rPr>
        <w:t>se condujo</w:t>
      </w:r>
      <w:r>
        <w:rPr>
          <w:color w:val="231F20"/>
          <w:spacing w:val="-10"/>
        </w:rPr>
        <w:t> </w:t>
      </w:r>
      <w:r>
        <w:rPr>
          <w:color w:val="231F20"/>
        </w:rPr>
        <w:t>en</w:t>
      </w:r>
      <w:r>
        <w:rPr>
          <w:color w:val="231F20"/>
          <w:spacing w:val="-10"/>
        </w:rPr>
        <w:t> </w:t>
      </w:r>
      <w:r>
        <w:rPr>
          <w:color w:val="231F20"/>
        </w:rPr>
        <w:t>condiciones</w:t>
      </w:r>
      <w:r>
        <w:rPr>
          <w:color w:val="231F20"/>
          <w:spacing w:val="-10"/>
        </w:rPr>
        <w:t> </w:t>
      </w:r>
      <w:r>
        <w:rPr>
          <w:color w:val="231F20"/>
        </w:rPr>
        <w:t>de</w:t>
      </w:r>
      <w:r>
        <w:rPr>
          <w:color w:val="231F20"/>
          <w:spacing w:val="-10"/>
        </w:rPr>
        <w:t> </w:t>
      </w:r>
      <w:r>
        <w:rPr>
          <w:color w:val="231F20"/>
        </w:rPr>
        <w:t>temporal.</w:t>
      </w:r>
    </w:p>
    <w:p>
      <w:pPr>
        <w:pStyle w:val="BodyText"/>
        <w:spacing w:before="7"/>
      </w:pPr>
    </w:p>
    <w:p>
      <w:pPr>
        <w:pStyle w:val="BodyText"/>
        <w:spacing w:line="247" w:lineRule="auto"/>
        <w:ind w:left="1270" w:right="1267"/>
        <w:jc w:val="both"/>
      </w:pPr>
      <w:r>
        <w:rPr>
          <w:color w:val="231F20"/>
        </w:rPr>
        <w:t>El</w:t>
      </w:r>
      <w:r>
        <w:rPr>
          <w:color w:val="231F20"/>
          <w:spacing w:val="-10"/>
        </w:rPr>
        <w:t> </w:t>
      </w:r>
      <w:r>
        <w:rPr>
          <w:color w:val="231F20"/>
        </w:rPr>
        <w:t>índice</w:t>
      </w:r>
      <w:r>
        <w:rPr>
          <w:color w:val="231F20"/>
          <w:spacing w:val="-10"/>
        </w:rPr>
        <w:t> </w:t>
      </w:r>
      <w:r>
        <w:rPr>
          <w:color w:val="231F20"/>
        </w:rPr>
        <w:t>de</w:t>
      </w:r>
      <w:r>
        <w:rPr>
          <w:color w:val="231F20"/>
          <w:spacing w:val="-10"/>
        </w:rPr>
        <w:t> </w:t>
      </w:r>
      <w:r>
        <w:rPr>
          <w:color w:val="231F20"/>
        </w:rPr>
        <w:t>cosecha</w:t>
      </w:r>
      <w:r>
        <w:rPr>
          <w:color w:val="231F20"/>
          <w:spacing w:val="-10"/>
        </w:rPr>
        <w:t> </w:t>
      </w:r>
      <w:r>
        <w:rPr>
          <w:color w:val="231F20"/>
        </w:rPr>
        <w:t>varió</w:t>
      </w:r>
      <w:r>
        <w:rPr>
          <w:color w:val="231F20"/>
          <w:spacing w:val="-10"/>
        </w:rPr>
        <w:t> </w:t>
      </w:r>
      <w:r>
        <w:rPr>
          <w:color w:val="231F20"/>
        </w:rPr>
        <w:t>entre</w:t>
      </w:r>
      <w:r>
        <w:rPr>
          <w:color w:val="231F20"/>
          <w:spacing w:val="-10"/>
        </w:rPr>
        <w:t> </w:t>
      </w:r>
      <w:r>
        <w:rPr>
          <w:color w:val="231F20"/>
        </w:rPr>
        <w:t>0.33</w:t>
      </w:r>
      <w:r>
        <w:rPr>
          <w:color w:val="231F20"/>
          <w:spacing w:val="-10"/>
        </w:rPr>
        <w:t> </w:t>
      </w:r>
      <w:r>
        <w:rPr>
          <w:color w:val="231F20"/>
        </w:rPr>
        <w:t>(T4)</w:t>
      </w:r>
      <w:r>
        <w:rPr>
          <w:color w:val="231F20"/>
          <w:spacing w:val="-10"/>
        </w:rPr>
        <w:t> </w:t>
      </w:r>
      <w:r>
        <w:rPr>
          <w:color w:val="231F20"/>
        </w:rPr>
        <w:t>y</w:t>
      </w:r>
      <w:r>
        <w:rPr>
          <w:color w:val="231F20"/>
          <w:spacing w:val="-10"/>
        </w:rPr>
        <w:t> </w:t>
      </w:r>
      <w:r>
        <w:rPr>
          <w:color w:val="231F20"/>
        </w:rPr>
        <w:t>0.53</w:t>
      </w:r>
      <w:r>
        <w:rPr>
          <w:color w:val="231F20"/>
          <w:spacing w:val="-10"/>
        </w:rPr>
        <w:t> </w:t>
      </w:r>
      <w:r>
        <w:rPr>
          <w:color w:val="231F20"/>
        </w:rPr>
        <w:t>(T3),</w:t>
      </w:r>
      <w:r>
        <w:rPr>
          <w:color w:val="231F20"/>
          <w:spacing w:val="-10"/>
        </w:rPr>
        <w:t> </w:t>
      </w:r>
      <w:r>
        <w:rPr>
          <w:color w:val="231F20"/>
        </w:rPr>
        <w:t>con</w:t>
      </w:r>
      <w:r>
        <w:rPr>
          <w:color w:val="231F20"/>
          <w:spacing w:val="-10"/>
        </w:rPr>
        <w:t> </w:t>
      </w:r>
      <w:r>
        <w:rPr>
          <w:color w:val="231F20"/>
        </w:rPr>
        <w:t>un</w:t>
      </w:r>
      <w:r>
        <w:rPr>
          <w:color w:val="231F20"/>
          <w:spacing w:val="-10"/>
        </w:rPr>
        <w:t> </w:t>
      </w:r>
      <w:r>
        <w:rPr>
          <w:color w:val="231F20"/>
        </w:rPr>
        <w:t>promedio</w:t>
      </w:r>
      <w:r>
        <w:rPr>
          <w:color w:val="231F20"/>
          <w:spacing w:val="-10"/>
        </w:rPr>
        <w:t> </w:t>
      </w:r>
      <w:r>
        <w:rPr>
          <w:color w:val="231F20"/>
        </w:rPr>
        <w:t>de</w:t>
      </w:r>
      <w:r>
        <w:rPr>
          <w:color w:val="231F20"/>
          <w:spacing w:val="-10"/>
        </w:rPr>
        <w:t> </w:t>
      </w:r>
      <w:r>
        <w:rPr>
          <w:color w:val="231F20"/>
        </w:rPr>
        <w:t>0.39.</w:t>
      </w:r>
      <w:r>
        <w:rPr>
          <w:color w:val="231F20"/>
          <w:spacing w:val="-10"/>
        </w:rPr>
        <w:t> </w:t>
      </w:r>
      <w:r>
        <w:rPr>
          <w:color w:val="231F20"/>
        </w:rPr>
        <w:t>Mesfin</w:t>
      </w:r>
      <w:r>
        <w:rPr>
          <w:color w:val="231F20"/>
          <w:spacing w:val="-10"/>
        </w:rPr>
        <w:t> </w:t>
      </w:r>
      <w:r>
        <w:rPr>
          <w:i/>
          <w:color w:val="231F20"/>
        </w:rPr>
        <w:t>et</w:t>
      </w:r>
      <w:r>
        <w:rPr>
          <w:i/>
          <w:color w:val="231F20"/>
          <w:spacing w:val="-10"/>
        </w:rPr>
        <w:t> </w:t>
      </w:r>
      <w:r>
        <w:rPr>
          <w:i/>
          <w:color w:val="231F20"/>
        </w:rPr>
        <w:t>al.</w:t>
      </w:r>
      <w:r>
        <w:rPr>
          <w:i/>
          <w:color w:val="231F20"/>
          <w:spacing w:val="-10"/>
        </w:rPr>
        <w:t> </w:t>
      </w:r>
      <w:r>
        <w:rPr>
          <w:color w:val="231F20"/>
          <w:spacing w:val="-2"/>
        </w:rPr>
        <w:t>(2010) </w:t>
      </w:r>
      <w:r>
        <w:rPr>
          <w:color w:val="231F20"/>
        </w:rPr>
        <w:t>reportaron para </w:t>
      </w:r>
      <w:r>
        <w:rPr>
          <w:color w:val="231F20"/>
          <w:spacing w:val="-3"/>
        </w:rPr>
        <w:t>sorgo </w:t>
      </w:r>
      <w:r>
        <w:rPr>
          <w:color w:val="231F20"/>
        </w:rPr>
        <w:t>un índice de cosecha que varió de 0.31 a 0.43, con un promedio de 0.38, lo que está en sintonía con lo obtenido en el presente ensayo. La comparación de medias en función  de</w:t>
      </w:r>
      <w:r>
        <w:rPr>
          <w:color w:val="231F20"/>
          <w:spacing w:val="-7"/>
        </w:rPr>
        <w:t> </w:t>
      </w:r>
      <w:r>
        <w:rPr>
          <w:color w:val="231F20"/>
        </w:rPr>
        <w:t>fertilización</w:t>
      </w:r>
      <w:r>
        <w:rPr>
          <w:color w:val="231F20"/>
          <w:spacing w:val="-6"/>
        </w:rPr>
        <w:t> </w:t>
      </w:r>
      <w:r>
        <w:rPr>
          <w:color w:val="231F20"/>
        </w:rPr>
        <w:t>nitrogenada</w:t>
      </w:r>
      <w:r>
        <w:rPr>
          <w:color w:val="231F20"/>
          <w:spacing w:val="-7"/>
        </w:rPr>
        <w:t> </w:t>
      </w:r>
      <w:r>
        <w:rPr>
          <w:color w:val="231F20"/>
        </w:rPr>
        <w:t>y</w:t>
      </w:r>
      <w:r>
        <w:rPr>
          <w:color w:val="231F20"/>
          <w:spacing w:val="-7"/>
        </w:rPr>
        <w:t> </w:t>
      </w:r>
      <w:r>
        <w:rPr>
          <w:color w:val="231F20"/>
        </w:rPr>
        <w:t>promedio</w:t>
      </w:r>
      <w:r>
        <w:rPr>
          <w:color w:val="231F20"/>
          <w:spacing w:val="-7"/>
        </w:rPr>
        <w:t> </w:t>
      </w:r>
      <w:r>
        <w:rPr>
          <w:color w:val="231F20"/>
        </w:rPr>
        <w:t>de</w:t>
      </w:r>
      <w:r>
        <w:rPr>
          <w:color w:val="231F20"/>
          <w:spacing w:val="-7"/>
        </w:rPr>
        <w:t> </w:t>
      </w:r>
      <w:r>
        <w:rPr>
          <w:color w:val="231F20"/>
        </w:rPr>
        <w:t>densidades,</w:t>
      </w:r>
      <w:r>
        <w:rPr>
          <w:color w:val="231F20"/>
          <w:spacing w:val="-7"/>
        </w:rPr>
        <w:t> </w:t>
      </w:r>
      <w:r>
        <w:rPr>
          <w:color w:val="231F20"/>
        </w:rPr>
        <w:t>indicó</w:t>
      </w:r>
      <w:r>
        <w:rPr>
          <w:color w:val="231F20"/>
          <w:spacing w:val="-7"/>
        </w:rPr>
        <w:t> </w:t>
      </w:r>
      <w:r>
        <w:rPr>
          <w:color w:val="231F20"/>
        </w:rPr>
        <w:t>que</w:t>
      </w:r>
      <w:r>
        <w:rPr>
          <w:color w:val="231F20"/>
          <w:spacing w:val="-7"/>
        </w:rPr>
        <w:t> </w:t>
      </w:r>
      <w:r>
        <w:rPr>
          <w:color w:val="231F20"/>
        </w:rPr>
        <w:t>16</w:t>
      </w:r>
      <w:r>
        <w:rPr>
          <w:color w:val="231F20"/>
          <w:spacing w:val="-7"/>
        </w:rPr>
        <w:t> </w:t>
      </w:r>
      <w:r>
        <w:rPr>
          <w:color w:val="231F20"/>
        </w:rPr>
        <w:t>de</w:t>
      </w:r>
      <w:r>
        <w:rPr>
          <w:color w:val="231F20"/>
          <w:spacing w:val="-7"/>
        </w:rPr>
        <w:t> </w:t>
      </w:r>
      <w:r>
        <w:rPr>
          <w:color w:val="231F20"/>
        </w:rPr>
        <w:t>17</w:t>
      </w:r>
      <w:r>
        <w:rPr>
          <w:color w:val="231F20"/>
          <w:spacing w:val="-7"/>
        </w:rPr>
        <w:t> </w:t>
      </w:r>
      <w:r>
        <w:rPr>
          <w:color w:val="231F20"/>
        </w:rPr>
        <w:t>variables</w:t>
      </w:r>
      <w:r>
        <w:rPr>
          <w:color w:val="231F20"/>
          <w:spacing w:val="-7"/>
        </w:rPr>
        <w:t> </w:t>
      </w:r>
      <w:r>
        <w:rPr>
          <w:color w:val="231F20"/>
        </w:rPr>
        <w:t>respondieron</w:t>
      </w:r>
      <w:r>
        <w:rPr>
          <w:color w:val="231F20"/>
          <w:spacing w:val="-7"/>
        </w:rPr>
        <w:t> </w:t>
      </w:r>
      <w:r>
        <w:rPr>
          <w:color w:val="231F20"/>
        </w:rPr>
        <w:t>a la fertilización. Con excepción de longitud de pedúnculo, el resto de variables presentó diferencias estadísticas significativas (Cuadro 3). Generándose un aumento en rendimiento en los </w:t>
      </w:r>
      <w:r>
        <w:rPr>
          <w:color w:val="231F20"/>
          <w:spacing w:val="-2"/>
        </w:rPr>
        <w:t>tratamientos </w:t>
      </w:r>
      <w:r>
        <w:rPr>
          <w:color w:val="231F20"/>
        </w:rPr>
        <w:t>con</w:t>
      </w:r>
      <w:r>
        <w:rPr>
          <w:color w:val="231F20"/>
          <w:spacing w:val="-6"/>
        </w:rPr>
        <w:t> </w:t>
      </w:r>
      <w:r>
        <w:rPr>
          <w:color w:val="231F20"/>
        </w:rPr>
        <w:t>fertilización</w:t>
      </w:r>
      <w:r>
        <w:rPr>
          <w:color w:val="231F20"/>
          <w:spacing w:val="-5"/>
        </w:rPr>
        <w:t> </w:t>
      </w:r>
      <w:r>
        <w:rPr>
          <w:color w:val="231F20"/>
        </w:rPr>
        <w:t>para</w:t>
      </w:r>
      <w:r>
        <w:rPr>
          <w:color w:val="231F20"/>
          <w:spacing w:val="-6"/>
        </w:rPr>
        <w:t> </w:t>
      </w:r>
      <w:r>
        <w:rPr>
          <w:color w:val="231F20"/>
        </w:rPr>
        <w:t>las</w:t>
      </w:r>
      <w:r>
        <w:rPr>
          <w:color w:val="231F20"/>
          <w:spacing w:val="-6"/>
        </w:rPr>
        <w:t> </w:t>
      </w:r>
      <w:r>
        <w:rPr>
          <w:color w:val="231F20"/>
        </w:rPr>
        <w:t>variables</w:t>
      </w:r>
      <w:r>
        <w:rPr>
          <w:color w:val="231F20"/>
          <w:spacing w:val="-5"/>
        </w:rPr>
        <w:t> </w:t>
      </w:r>
      <w:r>
        <w:rPr>
          <w:color w:val="231F20"/>
        </w:rPr>
        <w:t>que</w:t>
      </w:r>
      <w:r>
        <w:rPr>
          <w:color w:val="231F20"/>
          <w:spacing w:val="-6"/>
        </w:rPr>
        <w:t> </w:t>
      </w:r>
      <w:r>
        <w:rPr>
          <w:color w:val="231F20"/>
        </w:rPr>
        <w:t>se</w:t>
      </w:r>
      <w:r>
        <w:rPr>
          <w:color w:val="231F20"/>
          <w:spacing w:val="-6"/>
        </w:rPr>
        <w:t> </w:t>
      </w:r>
      <w:r>
        <w:rPr>
          <w:color w:val="231F20"/>
        </w:rPr>
        <w:t>mencionan</w:t>
      </w:r>
      <w:r>
        <w:rPr>
          <w:color w:val="231F20"/>
          <w:spacing w:val="-6"/>
        </w:rPr>
        <w:t> </w:t>
      </w:r>
      <w:r>
        <w:rPr>
          <w:color w:val="231F20"/>
        </w:rPr>
        <w:t>y</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magnitud</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indica:</w:t>
      </w:r>
      <w:r>
        <w:rPr>
          <w:color w:val="231F20"/>
          <w:spacing w:val="-6"/>
        </w:rPr>
        <w:t> </w:t>
      </w:r>
      <w:r>
        <w:rPr>
          <w:color w:val="231F20"/>
        </w:rPr>
        <w:t>rendimiento</w:t>
      </w:r>
      <w:r>
        <w:rPr>
          <w:color w:val="231F20"/>
          <w:spacing w:val="-5"/>
        </w:rPr>
        <w:t> </w:t>
      </w:r>
      <w:r>
        <w:rPr>
          <w:color w:val="231F20"/>
        </w:rPr>
        <w:t>de grano</w:t>
      </w:r>
      <w:r>
        <w:rPr>
          <w:color w:val="231F20"/>
          <w:spacing w:val="-10"/>
        </w:rPr>
        <w:t> </w:t>
      </w:r>
      <w:r>
        <w:rPr>
          <w:color w:val="231F20"/>
        </w:rPr>
        <w:t>por</w:t>
      </w:r>
      <w:r>
        <w:rPr>
          <w:color w:val="231F20"/>
          <w:spacing w:val="-10"/>
        </w:rPr>
        <w:t> </w:t>
      </w:r>
      <w:r>
        <w:rPr>
          <w:color w:val="231F20"/>
        </w:rPr>
        <w:t>hectárea</w:t>
      </w:r>
      <w:r>
        <w:rPr>
          <w:color w:val="231F20"/>
          <w:spacing w:val="-10"/>
        </w:rPr>
        <w:t> </w:t>
      </w:r>
      <w:r>
        <w:rPr>
          <w:color w:val="231F20"/>
        </w:rPr>
        <w:t>(41.7%),</w:t>
      </w:r>
      <w:r>
        <w:rPr>
          <w:color w:val="231F20"/>
          <w:spacing w:val="-10"/>
        </w:rPr>
        <w:t> </w:t>
      </w:r>
      <w:r>
        <w:rPr>
          <w:color w:val="231F20"/>
        </w:rPr>
        <w:t>granos</w:t>
      </w:r>
      <w:r>
        <w:rPr>
          <w:color w:val="231F20"/>
          <w:spacing w:val="-10"/>
        </w:rPr>
        <w:t> </w:t>
      </w:r>
      <w:r>
        <w:rPr>
          <w:color w:val="231F20"/>
        </w:rPr>
        <w:t>por</w:t>
      </w:r>
      <w:r>
        <w:rPr>
          <w:color w:val="231F20"/>
          <w:spacing w:val="-10"/>
        </w:rPr>
        <w:t> </w:t>
      </w:r>
      <w:r>
        <w:rPr>
          <w:color w:val="231F20"/>
        </w:rPr>
        <w:t>panoja</w:t>
      </w:r>
      <w:r>
        <w:rPr>
          <w:color w:val="231F20"/>
          <w:spacing w:val="-10"/>
        </w:rPr>
        <w:t> </w:t>
      </w:r>
      <w:r>
        <w:rPr>
          <w:color w:val="231F20"/>
        </w:rPr>
        <w:t>(38.8%),</w:t>
      </w:r>
      <w:r>
        <w:rPr>
          <w:color w:val="231F20"/>
          <w:spacing w:val="-10"/>
        </w:rPr>
        <w:t> </w:t>
      </w:r>
      <w:r>
        <w:rPr>
          <w:color w:val="231F20"/>
        </w:rPr>
        <w:t>peso</w:t>
      </w:r>
      <w:r>
        <w:rPr>
          <w:color w:val="231F20"/>
          <w:spacing w:val="-10"/>
        </w:rPr>
        <w:t> </w:t>
      </w:r>
      <w:r>
        <w:rPr>
          <w:color w:val="231F20"/>
        </w:rPr>
        <w:t>de</w:t>
      </w:r>
      <w:r>
        <w:rPr>
          <w:color w:val="231F20"/>
          <w:spacing w:val="-10"/>
        </w:rPr>
        <w:t> </w:t>
      </w:r>
      <w:r>
        <w:rPr>
          <w:color w:val="231F20"/>
        </w:rPr>
        <w:t>espigas</w:t>
      </w:r>
      <w:r>
        <w:rPr>
          <w:color w:val="231F20"/>
          <w:spacing w:val="-10"/>
        </w:rPr>
        <w:t> </w:t>
      </w:r>
      <w:r>
        <w:rPr>
          <w:color w:val="231F20"/>
        </w:rPr>
        <w:t>por</w:t>
      </w:r>
      <w:r>
        <w:rPr>
          <w:color w:val="231F20"/>
          <w:spacing w:val="-10"/>
        </w:rPr>
        <w:t> </w:t>
      </w:r>
      <w:r>
        <w:rPr>
          <w:color w:val="231F20"/>
        </w:rPr>
        <w:t>panoja</w:t>
      </w:r>
      <w:r>
        <w:rPr>
          <w:color w:val="231F20"/>
          <w:spacing w:val="-10"/>
        </w:rPr>
        <w:t> </w:t>
      </w:r>
      <w:r>
        <w:rPr>
          <w:color w:val="231F20"/>
        </w:rPr>
        <w:t>(38.1%),</w:t>
      </w:r>
      <w:r>
        <w:rPr>
          <w:color w:val="231F20"/>
          <w:spacing w:val="-10"/>
        </w:rPr>
        <w:t> </w:t>
      </w:r>
      <w:r>
        <w:rPr>
          <w:color w:val="231F20"/>
        </w:rPr>
        <w:t>peso</w:t>
      </w:r>
      <w:r>
        <w:rPr>
          <w:color w:val="231F20"/>
          <w:spacing w:val="-10"/>
        </w:rPr>
        <w:t> </w:t>
      </w:r>
      <w:r>
        <w:rPr>
          <w:color w:val="231F20"/>
        </w:rPr>
        <w:t>de tallo (37.8%), peso de planta (37.2%), peso de hojas (34.4%) y rendimiento en forraje por hectárea (34.1%).</w:t>
      </w:r>
    </w:p>
    <w:p>
      <w:pPr>
        <w:pStyle w:val="BodyText"/>
        <w:spacing w:before="10"/>
      </w:pPr>
    </w:p>
    <w:p>
      <w:pPr>
        <w:pStyle w:val="BodyText"/>
        <w:spacing w:line="249" w:lineRule="auto"/>
        <w:ind w:left="1270" w:right="1267"/>
        <w:jc w:val="both"/>
      </w:pPr>
      <w:r>
        <w:rPr>
          <w:color w:val="231F20"/>
          <w:spacing w:val="-9"/>
        </w:rPr>
        <w:t>Van </w:t>
      </w:r>
      <w:r>
        <w:rPr>
          <w:i/>
          <w:color w:val="231F20"/>
        </w:rPr>
        <w:t>et al. </w:t>
      </w:r>
      <w:r>
        <w:rPr>
          <w:color w:val="231F20"/>
          <w:spacing w:val="-3"/>
        </w:rPr>
        <w:t>(2011) </w:t>
      </w:r>
      <w:r>
        <w:rPr>
          <w:color w:val="231F20"/>
        </w:rPr>
        <w:t>señalaron que el nitrógeno translocado en la planta de </w:t>
      </w:r>
      <w:r>
        <w:rPr>
          <w:color w:val="231F20"/>
          <w:spacing w:val="-3"/>
        </w:rPr>
        <w:t>sorgo </w:t>
      </w:r>
      <w:r>
        <w:rPr>
          <w:color w:val="231F20"/>
        </w:rPr>
        <w:t>durante la fase de lle- nado de grano, se relaciona de manera lineal y positiva con el número de granos por planta. </w:t>
      </w:r>
      <w:r>
        <w:rPr>
          <w:color w:val="231F20"/>
          <w:spacing w:val="-2"/>
        </w:rPr>
        <w:t>Assefa </w:t>
      </w:r>
      <w:r>
        <w:rPr>
          <w:color w:val="231F20"/>
        </w:rPr>
        <w:t>y </w:t>
      </w:r>
      <w:r>
        <w:rPr>
          <w:color w:val="231F20"/>
          <w:spacing w:val="-3"/>
        </w:rPr>
        <w:t>Staggenborg </w:t>
      </w:r>
      <w:r>
        <w:rPr>
          <w:color w:val="231F20"/>
        </w:rPr>
        <w:t>(2010) aseguraron que el aumento productivo de </w:t>
      </w:r>
      <w:r>
        <w:rPr>
          <w:color w:val="231F20"/>
          <w:spacing w:val="-3"/>
        </w:rPr>
        <w:t>sorgo </w:t>
      </w:r>
      <w:r>
        <w:rPr>
          <w:color w:val="231F20"/>
        </w:rPr>
        <w:t>se atribuye al uso de híbridos más</w:t>
      </w:r>
      <w:r>
        <w:rPr>
          <w:color w:val="231F20"/>
          <w:spacing w:val="-18"/>
        </w:rPr>
        <w:t> </w:t>
      </w:r>
      <w:r>
        <w:rPr>
          <w:color w:val="231F20"/>
        </w:rPr>
        <w:t>rendidores</w:t>
      </w:r>
      <w:r>
        <w:rPr>
          <w:color w:val="231F20"/>
          <w:spacing w:val="-18"/>
        </w:rPr>
        <w:t> </w:t>
      </w:r>
      <w:r>
        <w:rPr>
          <w:color w:val="231F20"/>
        </w:rPr>
        <w:t>en</w:t>
      </w:r>
      <w:r>
        <w:rPr>
          <w:color w:val="231F20"/>
          <w:spacing w:val="-18"/>
        </w:rPr>
        <w:t> </w:t>
      </w:r>
      <w:r>
        <w:rPr>
          <w:color w:val="231F20"/>
        </w:rPr>
        <w:t>sequía</w:t>
      </w:r>
      <w:r>
        <w:rPr>
          <w:color w:val="231F20"/>
          <w:spacing w:val="-18"/>
        </w:rPr>
        <w:t> </w:t>
      </w:r>
      <w:r>
        <w:rPr>
          <w:color w:val="231F20"/>
        </w:rPr>
        <w:t>porque</w:t>
      </w:r>
      <w:r>
        <w:rPr>
          <w:color w:val="231F20"/>
          <w:spacing w:val="-18"/>
        </w:rPr>
        <w:t> </w:t>
      </w:r>
      <w:r>
        <w:rPr>
          <w:color w:val="231F20"/>
        </w:rPr>
        <w:t>toleran</w:t>
      </w:r>
      <w:r>
        <w:rPr>
          <w:color w:val="231F20"/>
          <w:spacing w:val="-18"/>
        </w:rPr>
        <w:t> </w:t>
      </w:r>
      <w:r>
        <w:rPr>
          <w:color w:val="231F20"/>
        </w:rPr>
        <w:t>déficits</w:t>
      </w:r>
      <w:r>
        <w:rPr>
          <w:color w:val="231F20"/>
          <w:spacing w:val="-18"/>
        </w:rPr>
        <w:t> </w:t>
      </w:r>
      <w:r>
        <w:rPr>
          <w:color w:val="231F20"/>
        </w:rPr>
        <w:t>hídricos,</w:t>
      </w:r>
      <w:r>
        <w:rPr>
          <w:color w:val="231F20"/>
          <w:spacing w:val="-18"/>
        </w:rPr>
        <w:t> </w:t>
      </w:r>
      <w:r>
        <w:rPr>
          <w:color w:val="231F20"/>
        </w:rPr>
        <w:t>y</w:t>
      </w:r>
      <w:r>
        <w:rPr>
          <w:color w:val="231F20"/>
          <w:spacing w:val="-18"/>
        </w:rPr>
        <w:t> </w:t>
      </w:r>
      <w:r>
        <w:rPr>
          <w:color w:val="231F20"/>
        </w:rPr>
        <w:t>a</w:t>
      </w:r>
      <w:r>
        <w:rPr>
          <w:color w:val="231F20"/>
          <w:spacing w:val="-18"/>
        </w:rPr>
        <w:t> </w:t>
      </w:r>
      <w:r>
        <w:rPr>
          <w:color w:val="231F20"/>
        </w:rPr>
        <w:t>un</w:t>
      </w:r>
      <w:r>
        <w:rPr>
          <w:color w:val="231F20"/>
          <w:spacing w:val="-18"/>
        </w:rPr>
        <w:t> </w:t>
      </w:r>
      <w:r>
        <w:rPr>
          <w:color w:val="231F20"/>
        </w:rPr>
        <w:t>uso</w:t>
      </w:r>
      <w:r>
        <w:rPr>
          <w:color w:val="231F20"/>
          <w:spacing w:val="-18"/>
        </w:rPr>
        <w:t> </w:t>
      </w:r>
      <w:r>
        <w:rPr>
          <w:color w:val="231F20"/>
        </w:rPr>
        <w:t>eficiente</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fertilización.</w:t>
      </w:r>
      <w:r>
        <w:rPr>
          <w:color w:val="231F20"/>
          <w:spacing w:val="-18"/>
        </w:rPr>
        <w:t> </w:t>
      </w:r>
      <w:r>
        <w:rPr>
          <w:color w:val="231F20"/>
        </w:rPr>
        <w:t>Buah y Mwinkaara (2009) al ensayar cuatro niveles de fertilización demostraron que la aplicación de N afectó</w:t>
      </w:r>
      <w:r>
        <w:rPr>
          <w:color w:val="231F20"/>
          <w:spacing w:val="-15"/>
        </w:rPr>
        <w:t> </w:t>
      </w:r>
      <w:r>
        <w:rPr>
          <w:color w:val="231F20"/>
        </w:rPr>
        <w:t>días</w:t>
      </w:r>
      <w:r>
        <w:rPr>
          <w:color w:val="231F20"/>
          <w:spacing w:val="-15"/>
        </w:rPr>
        <w:t> </w:t>
      </w:r>
      <w:r>
        <w:rPr>
          <w:color w:val="231F20"/>
        </w:rPr>
        <w:t>a</w:t>
      </w:r>
      <w:r>
        <w:rPr>
          <w:color w:val="231F20"/>
          <w:spacing w:val="-15"/>
        </w:rPr>
        <w:t> </w:t>
      </w:r>
      <w:r>
        <w:rPr>
          <w:color w:val="231F20"/>
        </w:rPr>
        <w:t>floración</w:t>
      </w:r>
      <w:r>
        <w:rPr>
          <w:color w:val="231F20"/>
          <w:spacing w:val="-15"/>
        </w:rPr>
        <w:t> </w:t>
      </w:r>
      <w:r>
        <w:rPr>
          <w:color w:val="231F20"/>
        </w:rPr>
        <w:t>y</w:t>
      </w:r>
      <w:r>
        <w:rPr>
          <w:color w:val="231F20"/>
          <w:spacing w:val="-15"/>
        </w:rPr>
        <w:t> </w:t>
      </w:r>
      <w:r>
        <w:rPr>
          <w:color w:val="231F20"/>
        </w:rPr>
        <w:t>altura</w:t>
      </w:r>
      <w:r>
        <w:rPr>
          <w:color w:val="231F20"/>
          <w:spacing w:val="-15"/>
        </w:rPr>
        <w:t> </w:t>
      </w:r>
      <w:r>
        <w:rPr>
          <w:color w:val="231F20"/>
        </w:rPr>
        <w:t>de</w:t>
      </w:r>
      <w:r>
        <w:rPr>
          <w:color w:val="231F20"/>
          <w:spacing w:val="-15"/>
        </w:rPr>
        <w:t> </w:t>
      </w:r>
      <w:r>
        <w:rPr>
          <w:color w:val="231F20"/>
        </w:rPr>
        <w:t>planta</w:t>
      </w:r>
      <w:r>
        <w:rPr>
          <w:color w:val="231F20"/>
          <w:spacing w:val="-15"/>
        </w:rPr>
        <w:t> </w:t>
      </w:r>
      <w:r>
        <w:rPr>
          <w:color w:val="231F20"/>
        </w:rPr>
        <w:t>de</w:t>
      </w:r>
      <w:r>
        <w:rPr>
          <w:color w:val="231F20"/>
          <w:spacing w:val="-15"/>
        </w:rPr>
        <w:t> </w:t>
      </w:r>
      <w:r>
        <w:rPr>
          <w:color w:val="231F20"/>
          <w:spacing w:val="-3"/>
        </w:rPr>
        <w:t>sorgo,</w:t>
      </w:r>
      <w:r>
        <w:rPr>
          <w:color w:val="231F20"/>
          <w:spacing w:val="-15"/>
        </w:rPr>
        <w:t> </w:t>
      </w:r>
      <w:r>
        <w:rPr>
          <w:color w:val="231F20"/>
        </w:rPr>
        <w:t>teniéndose</w:t>
      </w:r>
      <w:r>
        <w:rPr>
          <w:color w:val="231F20"/>
          <w:spacing w:val="-15"/>
        </w:rPr>
        <w:t> </w:t>
      </w:r>
      <w:r>
        <w:rPr>
          <w:color w:val="231F20"/>
        </w:rPr>
        <w:t>mayores</w:t>
      </w:r>
      <w:r>
        <w:rPr>
          <w:color w:val="231F20"/>
          <w:spacing w:val="-15"/>
        </w:rPr>
        <w:t> </w:t>
      </w:r>
      <w:r>
        <w:rPr>
          <w:color w:val="231F20"/>
        </w:rPr>
        <w:t>alturas</w:t>
      </w:r>
      <w:r>
        <w:rPr>
          <w:color w:val="231F20"/>
          <w:spacing w:val="-15"/>
        </w:rPr>
        <w:t> </w:t>
      </w:r>
      <w:r>
        <w:rPr>
          <w:color w:val="231F20"/>
        </w:rPr>
        <w:t>de</w:t>
      </w:r>
      <w:r>
        <w:rPr>
          <w:color w:val="231F20"/>
          <w:spacing w:val="-15"/>
        </w:rPr>
        <w:t> </w:t>
      </w:r>
      <w:r>
        <w:rPr>
          <w:color w:val="231F20"/>
        </w:rPr>
        <w:t>planta</w:t>
      </w:r>
      <w:r>
        <w:rPr>
          <w:color w:val="231F20"/>
          <w:spacing w:val="-15"/>
        </w:rPr>
        <w:t> </w:t>
      </w:r>
      <w:r>
        <w:rPr>
          <w:color w:val="231F20"/>
        </w:rPr>
        <w:t>con</w:t>
      </w:r>
      <w:r>
        <w:rPr>
          <w:color w:val="231F20"/>
          <w:spacing w:val="-15"/>
        </w:rPr>
        <w:t> </w:t>
      </w:r>
      <w:r>
        <w:rPr>
          <w:color w:val="231F20"/>
        </w:rPr>
        <w:t>80</w:t>
      </w:r>
      <w:r>
        <w:rPr>
          <w:color w:val="231F20"/>
          <w:spacing w:val="-15"/>
        </w:rPr>
        <w:t> </w:t>
      </w:r>
      <w:r>
        <w:rPr>
          <w:color w:val="231F20"/>
        </w:rPr>
        <w:t>kg•ha</w:t>
      </w:r>
      <w:r>
        <w:rPr>
          <w:color w:val="231F20"/>
          <w:position w:val="7"/>
          <w:sz w:val="12"/>
        </w:rPr>
        <w:t>-1 </w:t>
      </w:r>
      <w:r>
        <w:rPr>
          <w:color w:val="231F20"/>
        </w:rPr>
        <w:t>de N y las alturas más bajas se registraron cuando no se fertilizó; además existió una relación lineal positiva</w:t>
      </w:r>
      <w:r>
        <w:rPr>
          <w:color w:val="231F20"/>
          <w:spacing w:val="-9"/>
        </w:rPr>
        <w:t> </w:t>
      </w:r>
      <w:r>
        <w:rPr>
          <w:color w:val="231F20"/>
        </w:rPr>
        <w:t>entre</w:t>
      </w:r>
      <w:r>
        <w:rPr>
          <w:color w:val="231F20"/>
          <w:spacing w:val="-9"/>
        </w:rPr>
        <w:t> </w:t>
      </w:r>
      <w:r>
        <w:rPr>
          <w:color w:val="231F20"/>
        </w:rPr>
        <w:t>niveles</w:t>
      </w:r>
      <w:r>
        <w:rPr>
          <w:color w:val="231F20"/>
          <w:spacing w:val="-9"/>
        </w:rPr>
        <w:t> </w:t>
      </w:r>
      <w:r>
        <w:rPr>
          <w:color w:val="231F20"/>
        </w:rPr>
        <w:t>de</w:t>
      </w:r>
      <w:r>
        <w:rPr>
          <w:color w:val="231F20"/>
          <w:spacing w:val="-9"/>
        </w:rPr>
        <w:t> </w:t>
      </w:r>
      <w:r>
        <w:rPr>
          <w:color w:val="231F20"/>
        </w:rPr>
        <w:t>N</w:t>
      </w:r>
      <w:r>
        <w:rPr>
          <w:color w:val="231F20"/>
          <w:spacing w:val="-9"/>
        </w:rPr>
        <w:t> </w:t>
      </w:r>
      <w:r>
        <w:rPr>
          <w:color w:val="231F20"/>
        </w:rPr>
        <w:t>y</w:t>
      </w:r>
      <w:r>
        <w:rPr>
          <w:color w:val="231F20"/>
          <w:spacing w:val="-9"/>
        </w:rPr>
        <w:t> </w:t>
      </w:r>
      <w:r>
        <w:rPr>
          <w:color w:val="231F20"/>
        </w:rPr>
        <w:t>rendimiento</w:t>
      </w:r>
      <w:r>
        <w:rPr>
          <w:color w:val="231F20"/>
          <w:spacing w:val="-9"/>
        </w:rPr>
        <w:t> </w:t>
      </w:r>
      <w:r>
        <w:rPr>
          <w:color w:val="231F20"/>
        </w:rPr>
        <w:t>en</w:t>
      </w:r>
      <w:r>
        <w:rPr>
          <w:color w:val="231F20"/>
          <w:spacing w:val="-9"/>
        </w:rPr>
        <w:t> </w:t>
      </w:r>
      <w:r>
        <w:rPr>
          <w:color w:val="231F20"/>
        </w:rPr>
        <w:t>biomasa,</w:t>
      </w:r>
      <w:r>
        <w:rPr>
          <w:color w:val="231F20"/>
          <w:spacing w:val="-9"/>
        </w:rPr>
        <w:t> </w:t>
      </w:r>
      <w:r>
        <w:rPr>
          <w:color w:val="231F20"/>
        </w:rPr>
        <w:t>por</w:t>
      </w:r>
      <w:r>
        <w:rPr>
          <w:color w:val="231F20"/>
          <w:spacing w:val="-9"/>
        </w:rPr>
        <w:t> </w:t>
      </w:r>
      <w:r>
        <w:rPr>
          <w:color w:val="231F20"/>
        </w:rPr>
        <w:t>lo</w:t>
      </w:r>
      <w:r>
        <w:rPr>
          <w:color w:val="231F20"/>
          <w:spacing w:val="-9"/>
        </w:rPr>
        <w:t> </w:t>
      </w:r>
      <w:r>
        <w:rPr>
          <w:color w:val="231F20"/>
        </w:rPr>
        <w:t>que</w:t>
      </w:r>
      <w:r>
        <w:rPr>
          <w:color w:val="231F20"/>
          <w:spacing w:val="-9"/>
        </w:rPr>
        <w:t> </w:t>
      </w:r>
      <w:r>
        <w:rPr>
          <w:color w:val="231F20"/>
        </w:rPr>
        <w:t>en</w:t>
      </w:r>
      <w:r>
        <w:rPr>
          <w:color w:val="231F20"/>
          <w:spacing w:val="-9"/>
        </w:rPr>
        <w:t> </w:t>
      </w:r>
      <w:r>
        <w:rPr>
          <w:color w:val="231F20"/>
        </w:rPr>
        <w:t>ese</w:t>
      </w:r>
      <w:r>
        <w:rPr>
          <w:color w:val="231F20"/>
          <w:spacing w:val="-9"/>
        </w:rPr>
        <w:t> </w:t>
      </w:r>
      <w:r>
        <w:rPr>
          <w:color w:val="231F20"/>
        </w:rPr>
        <w:t>ensayo</w:t>
      </w:r>
      <w:r>
        <w:rPr>
          <w:color w:val="231F20"/>
          <w:spacing w:val="-9"/>
        </w:rPr>
        <w:t> </w:t>
      </w:r>
      <w:r>
        <w:rPr>
          <w:color w:val="231F20"/>
        </w:rPr>
        <w:t>al</w:t>
      </w:r>
      <w:r>
        <w:rPr>
          <w:color w:val="231F20"/>
          <w:spacing w:val="-9"/>
        </w:rPr>
        <w:t> </w:t>
      </w:r>
      <w:r>
        <w:rPr>
          <w:color w:val="231F20"/>
        </w:rPr>
        <w:t>comparar</w:t>
      </w:r>
      <w:r>
        <w:rPr>
          <w:color w:val="231F20"/>
          <w:spacing w:val="-10"/>
        </w:rPr>
        <w:t> </w:t>
      </w:r>
      <w:r>
        <w:rPr>
          <w:color w:val="231F20"/>
        </w:rPr>
        <w:t>el</w:t>
      </w:r>
      <w:r>
        <w:rPr>
          <w:color w:val="231F20"/>
          <w:spacing w:val="-9"/>
        </w:rPr>
        <w:t> </w:t>
      </w:r>
      <w:r>
        <w:rPr>
          <w:color w:val="231F20"/>
        </w:rPr>
        <w:t>testigo contra los tratamientos 40, 80 y 120 kg•ha</w:t>
      </w:r>
      <w:r>
        <w:rPr>
          <w:color w:val="231F20"/>
          <w:position w:val="7"/>
          <w:sz w:val="12"/>
        </w:rPr>
        <w:t>-1 </w:t>
      </w:r>
      <w:r>
        <w:rPr>
          <w:color w:val="231F20"/>
        </w:rPr>
        <w:t>de N observaron aumentos en biomasa de 5, 16 y 23%, respectivamente.</w:t>
      </w:r>
    </w:p>
    <w:p>
      <w:pPr>
        <w:pStyle w:val="BodyText"/>
        <w:spacing w:before="7"/>
      </w:pPr>
    </w:p>
    <w:p>
      <w:pPr>
        <w:pStyle w:val="BodyText"/>
        <w:spacing w:line="247" w:lineRule="auto"/>
        <w:ind w:left="1270" w:right="1267"/>
        <w:jc w:val="both"/>
      </w:pPr>
      <w:r>
        <w:rPr>
          <w:color w:val="231F20"/>
        </w:rPr>
        <w:t>Bolaños</w:t>
      </w:r>
      <w:r>
        <w:rPr>
          <w:color w:val="231F20"/>
          <w:spacing w:val="-14"/>
        </w:rPr>
        <w:t> </w:t>
      </w:r>
      <w:r>
        <w:rPr>
          <w:color w:val="231F20"/>
        </w:rPr>
        <w:t>y</w:t>
      </w:r>
      <w:r>
        <w:rPr>
          <w:color w:val="231F20"/>
          <w:spacing w:val="-14"/>
        </w:rPr>
        <w:t> </w:t>
      </w:r>
      <w:r>
        <w:rPr>
          <w:color w:val="231F20"/>
        </w:rPr>
        <w:t>Emile</w:t>
      </w:r>
      <w:r>
        <w:rPr>
          <w:color w:val="231F20"/>
          <w:spacing w:val="-14"/>
        </w:rPr>
        <w:t> </w:t>
      </w:r>
      <w:r>
        <w:rPr>
          <w:color w:val="231F20"/>
          <w:spacing w:val="-3"/>
        </w:rPr>
        <w:t>(2011)</w:t>
      </w:r>
      <w:r>
        <w:rPr>
          <w:color w:val="231F20"/>
          <w:spacing w:val="-14"/>
        </w:rPr>
        <w:t> </w:t>
      </w:r>
      <w:r>
        <w:rPr>
          <w:color w:val="231F20"/>
        </w:rPr>
        <w:t>admiten</w:t>
      </w:r>
      <w:r>
        <w:rPr>
          <w:color w:val="231F20"/>
          <w:spacing w:val="-14"/>
        </w:rPr>
        <w:t> </w:t>
      </w:r>
      <w:r>
        <w:rPr>
          <w:color w:val="231F20"/>
        </w:rPr>
        <w:t>que</w:t>
      </w:r>
      <w:r>
        <w:rPr>
          <w:color w:val="231F20"/>
          <w:spacing w:val="-14"/>
        </w:rPr>
        <w:t> </w:t>
      </w:r>
      <w:r>
        <w:rPr>
          <w:color w:val="231F20"/>
        </w:rPr>
        <w:t>para</w:t>
      </w:r>
      <w:r>
        <w:rPr>
          <w:color w:val="231F20"/>
          <w:spacing w:val="-14"/>
        </w:rPr>
        <w:t> </w:t>
      </w:r>
      <w:r>
        <w:rPr>
          <w:color w:val="231F20"/>
        </w:rPr>
        <w:t>la</w:t>
      </w:r>
      <w:r>
        <w:rPr>
          <w:color w:val="231F20"/>
          <w:spacing w:val="-14"/>
        </w:rPr>
        <w:t> </w:t>
      </w:r>
      <w:r>
        <w:rPr>
          <w:color w:val="231F20"/>
        </w:rPr>
        <w:t>formación</w:t>
      </w:r>
      <w:r>
        <w:rPr>
          <w:color w:val="231F20"/>
          <w:spacing w:val="-14"/>
        </w:rPr>
        <w:t> </w:t>
      </w:r>
      <w:r>
        <w:rPr>
          <w:color w:val="231F20"/>
        </w:rPr>
        <w:t>de</w:t>
      </w:r>
      <w:r>
        <w:rPr>
          <w:color w:val="231F20"/>
          <w:spacing w:val="-14"/>
        </w:rPr>
        <w:t> </w:t>
      </w:r>
      <w:r>
        <w:rPr>
          <w:color w:val="231F20"/>
        </w:rPr>
        <w:t>granos</w:t>
      </w:r>
      <w:r>
        <w:rPr>
          <w:color w:val="231F20"/>
          <w:spacing w:val="-14"/>
        </w:rPr>
        <w:t> </w:t>
      </w:r>
      <w:r>
        <w:rPr>
          <w:color w:val="231F20"/>
        </w:rPr>
        <w:t>la</w:t>
      </w:r>
      <w:r>
        <w:rPr>
          <w:color w:val="231F20"/>
          <w:spacing w:val="-14"/>
        </w:rPr>
        <w:t> </w:t>
      </w:r>
      <w:r>
        <w:rPr>
          <w:color w:val="231F20"/>
        </w:rPr>
        <w:t>planta</w:t>
      </w:r>
      <w:r>
        <w:rPr>
          <w:color w:val="231F20"/>
          <w:spacing w:val="-14"/>
        </w:rPr>
        <w:t> </w:t>
      </w:r>
      <w:r>
        <w:rPr>
          <w:color w:val="231F20"/>
        </w:rPr>
        <w:t>toma</w:t>
      </w:r>
      <w:r>
        <w:rPr>
          <w:color w:val="231F20"/>
          <w:spacing w:val="-14"/>
        </w:rPr>
        <w:t> </w:t>
      </w:r>
      <w:r>
        <w:rPr>
          <w:color w:val="231F20"/>
        </w:rPr>
        <w:t>el</w:t>
      </w:r>
      <w:r>
        <w:rPr>
          <w:color w:val="231F20"/>
          <w:spacing w:val="-14"/>
        </w:rPr>
        <w:t> </w:t>
      </w:r>
      <w:r>
        <w:rPr>
          <w:color w:val="231F20"/>
        </w:rPr>
        <w:t>N</w:t>
      </w:r>
      <w:r>
        <w:rPr>
          <w:color w:val="231F20"/>
          <w:spacing w:val="-14"/>
        </w:rPr>
        <w:t> </w:t>
      </w:r>
      <w:r>
        <w:rPr>
          <w:color w:val="231F20"/>
        </w:rPr>
        <w:t>de</w:t>
      </w:r>
      <w:r>
        <w:rPr>
          <w:color w:val="231F20"/>
          <w:spacing w:val="-14"/>
        </w:rPr>
        <w:t> </w:t>
      </w:r>
      <w:r>
        <w:rPr>
          <w:color w:val="231F20"/>
        </w:rPr>
        <w:t>tallos,</w:t>
      </w:r>
      <w:r>
        <w:rPr>
          <w:color w:val="231F20"/>
          <w:spacing w:val="-14"/>
        </w:rPr>
        <w:t> </w:t>
      </w:r>
      <w:r>
        <w:rPr>
          <w:color w:val="231F20"/>
        </w:rPr>
        <w:t>hojas</w:t>
      </w:r>
      <w:r>
        <w:rPr>
          <w:color w:val="231F20"/>
          <w:spacing w:val="-14"/>
        </w:rPr>
        <w:t> </w:t>
      </w:r>
      <w:r>
        <w:rPr>
          <w:color w:val="231F20"/>
        </w:rPr>
        <w:t>y suelo,</w:t>
      </w:r>
      <w:r>
        <w:rPr>
          <w:color w:val="231F20"/>
          <w:spacing w:val="-10"/>
        </w:rPr>
        <w:t> </w:t>
      </w:r>
      <w:r>
        <w:rPr>
          <w:color w:val="231F20"/>
        </w:rPr>
        <w:t>siendo</w:t>
      </w:r>
      <w:r>
        <w:rPr>
          <w:color w:val="231F20"/>
          <w:spacing w:val="-10"/>
        </w:rPr>
        <w:t> </w:t>
      </w:r>
      <w:r>
        <w:rPr>
          <w:color w:val="231F20"/>
        </w:rPr>
        <w:t>la</w:t>
      </w:r>
      <w:r>
        <w:rPr>
          <w:color w:val="231F20"/>
          <w:spacing w:val="-11"/>
        </w:rPr>
        <w:t> </w:t>
      </w:r>
      <w:r>
        <w:rPr>
          <w:color w:val="231F20"/>
        </w:rPr>
        <w:t>solubilidad</w:t>
      </w:r>
      <w:r>
        <w:rPr>
          <w:color w:val="231F20"/>
          <w:spacing w:val="-10"/>
        </w:rPr>
        <w:t> </w:t>
      </w:r>
      <w:r>
        <w:rPr>
          <w:color w:val="231F20"/>
        </w:rPr>
        <w:t>y</w:t>
      </w:r>
      <w:r>
        <w:rPr>
          <w:color w:val="231F20"/>
          <w:spacing w:val="-11"/>
        </w:rPr>
        <w:t> </w:t>
      </w:r>
      <w:r>
        <w:rPr>
          <w:color w:val="231F20"/>
        </w:rPr>
        <w:t>disponibilidad</w:t>
      </w:r>
      <w:r>
        <w:rPr>
          <w:color w:val="231F20"/>
          <w:spacing w:val="-10"/>
        </w:rPr>
        <w:t> </w:t>
      </w:r>
      <w:r>
        <w:rPr>
          <w:color w:val="231F20"/>
        </w:rPr>
        <w:t>de</w:t>
      </w:r>
      <w:r>
        <w:rPr>
          <w:color w:val="231F20"/>
          <w:spacing w:val="-10"/>
        </w:rPr>
        <w:t> </w:t>
      </w:r>
      <w:r>
        <w:rPr>
          <w:color w:val="231F20"/>
        </w:rPr>
        <w:t>este</w:t>
      </w:r>
      <w:r>
        <w:rPr>
          <w:color w:val="231F20"/>
          <w:spacing w:val="-11"/>
        </w:rPr>
        <w:t> </w:t>
      </w:r>
      <w:r>
        <w:rPr>
          <w:color w:val="231F20"/>
        </w:rPr>
        <w:t>nutrimento</w:t>
      </w:r>
      <w:r>
        <w:rPr>
          <w:color w:val="231F20"/>
          <w:spacing w:val="-10"/>
        </w:rPr>
        <w:t> </w:t>
      </w:r>
      <w:r>
        <w:rPr>
          <w:color w:val="231F20"/>
        </w:rPr>
        <w:t>determinante</w:t>
      </w:r>
      <w:r>
        <w:rPr>
          <w:color w:val="231F20"/>
          <w:spacing w:val="-10"/>
        </w:rPr>
        <w:t> </w:t>
      </w:r>
      <w:r>
        <w:rPr>
          <w:color w:val="231F20"/>
        </w:rPr>
        <w:t>en</w:t>
      </w:r>
      <w:r>
        <w:rPr>
          <w:color w:val="231F20"/>
          <w:spacing w:val="-11"/>
        </w:rPr>
        <w:t> </w:t>
      </w:r>
      <w:r>
        <w:rPr>
          <w:color w:val="231F20"/>
        </w:rPr>
        <w:t>los</w:t>
      </w:r>
      <w:r>
        <w:rPr>
          <w:color w:val="231F20"/>
          <w:spacing w:val="-11"/>
        </w:rPr>
        <w:t> </w:t>
      </w:r>
      <w:r>
        <w:rPr>
          <w:color w:val="231F20"/>
        </w:rPr>
        <w:t>componentes</w:t>
      </w:r>
      <w:r>
        <w:rPr>
          <w:color w:val="231F20"/>
          <w:spacing w:val="-11"/>
        </w:rPr>
        <w:t> </w:t>
      </w:r>
      <w:r>
        <w:rPr>
          <w:color w:val="231F20"/>
          <w:spacing w:val="-2"/>
        </w:rPr>
        <w:t>del </w:t>
      </w:r>
      <w:r>
        <w:rPr>
          <w:color w:val="231F20"/>
        </w:rPr>
        <w:t>rendimiento. En esta experiencia los tratamientos con fertilización se expresaron de mejor forma en relación</w:t>
      </w:r>
      <w:r>
        <w:rPr>
          <w:color w:val="231F20"/>
          <w:spacing w:val="-17"/>
        </w:rPr>
        <w:t> </w:t>
      </w:r>
      <w:r>
        <w:rPr>
          <w:color w:val="231F20"/>
        </w:rPr>
        <w:t>a</w:t>
      </w:r>
      <w:r>
        <w:rPr>
          <w:color w:val="231F20"/>
          <w:spacing w:val="-17"/>
        </w:rPr>
        <w:t> </w:t>
      </w:r>
      <w:r>
        <w:rPr>
          <w:color w:val="231F20"/>
        </w:rPr>
        <w:t>cuando</w:t>
      </w:r>
      <w:r>
        <w:rPr>
          <w:color w:val="231F20"/>
          <w:spacing w:val="-17"/>
        </w:rPr>
        <w:t> </w:t>
      </w:r>
      <w:r>
        <w:rPr>
          <w:color w:val="231F20"/>
        </w:rPr>
        <w:t>no</w:t>
      </w:r>
      <w:r>
        <w:rPr>
          <w:color w:val="231F20"/>
          <w:spacing w:val="-17"/>
        </w:rPr>
        <w:t> </w:t>
      </w:r>
      <w:r>
        <w:rPr>
          <w:color w:val="231F20"/>
        </w:rPr>
        <w:t>se</w:t>
      </w:r>
      <w:r>
        <w:rPr>
          <w:color w:val="231F20"/>
          <w:spacing w:val="-17"/>
        </w:rPr>
        <w:t> </w:t>
      </w:r>
      <w:r>
        <w:rPr>
          <w:color w:val="231F20"/>
        </w:rPr>
        <w:t>aplicó</w:t>
      </w:r>
      <w:r>
        <w:rPr>
          <w:color w:val="231F20"/>
          <w:spacing w:val="-17"/>
        </w:rPr>
        <w:t> </w:t>
      </w:r>
      <w:r>
        <w:rPr>
          <w:color w:val="231F20"/>
        </w:rPr>
        <w:t>tal</w:t>
      </w:r>
      <w:r>
        <w:rPr>
          <w:color w:val="231F20"/>
          <w:spacing w:val="-17"/>
        </w:rPr>
        <w:t> </w:t>
      </w:r>
      <w:r>
        <w:rPr>
          <w:color w:val="231F20"/>
        </w:rPr>
        <w:t>nutrimento,</w:t>
      </w:r>
      <w:r>
        <w:rPr>
          <w:color w:val="231F20"/>
          <w:spacing w:val="-17"/>
        </w:rPr>
        <w:t> </w:t>
      </w:r>
      <w:r>
        <w:rPr>
          <w:color w:val="231F20"/>
        </w:rPr>
        <w:t>ya</w:t>
      </w:r>
      <w:r>
        <w:rPr>
          <w:color w:val="231F20"/>
          <w:spacing w:val="-17"/>
        </w:rPr>
        <w:t> </w:t>
      </w:r>
      <w:r>
        <w:rPr>
          <w:color w:val="231F20"/>
        </w:rPr>
        <w:t>que</w:t>
      </w:r>
      <w:r>
        <w:rPr>
          <w:color w:val="231F20"/>
          <w:spacing w:val="-17"/>
        </w:rPr>
        <w:t> </w:t>
      </w:r>
      <w:r>
        <w:rPr>
          <w:color w:val="231F20"/>
        </w:rPr>
        <w:t>las</w:t>
      </w:r>
      <w:r>
        <w:rPr>
          <w:color w:val="231F20"/>
          <w:spacing w:val="-17"/>
        </w:rPr>
        <w:t> </w:t>
      </w:r>
      <w:r>
        <w:rPr>
          <w:color w:val="231F20"/>
        </w:rPr>
        <w:t>condiciones</w:t>
      </w:r>
      <w:r>
        <w:rPr>
          <w:color w:val="231F20"/>
          <w:spacing w:val="-18"/>
        </w:rPr>
        <w:t> </w:t>
      </w:r>
      <w:r>
        <w:rPr>
          <w:color w:val="231F20"/>
        </w:rPr>
        <w:t>de</w:t>
      </w:r>
      <w:r>
        <w:rPr>
          <w:color w:val="231F20"/>
          <w:spacing w:val="-17"/>
        </w:rPr>
        <w:t> </w:t>
      </w:r>
      <w:r>
        <w:rPr>
          <w:color w:val="231F20"/>
        </w:rPr>
        <w:t>humedad</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rPr>
        <w:t>suelo</w:t>
      </w:r>
      <w:r>
        <w:rPr>
          <w:color w:val="231F20"/>
          <w:spacing w:val="-17"/>
        </w:rPr>
        <w:t> </w:t>
      </w:r>
      <w:r>
        <w:rPr>
          <w:color w:val="231F20"/>
        </w:rPr>
        <w:t>ayudaron a</w:t>
      </w:r>
      <w:r>
        <w:rPr>
          <w:color w:val="231F20"/>
          <w:spacing w:val="-12"/>
        </w:rPr>
        <w:t> </w:t>
      </w:r>
      <w:r>
        <w:rPr>
          <w:color w:val="231F20"/>
        </w:rPr>
        <w:t>solubilizar</w:t>
      </w:r>
      <w:r>
        <w:rPr>
          <w:color w:val="231F20"/>
          <w:spacing w:val="-12"/>
        </w:rPr>
        <w:t> </w:t>
      </w:r>
      <w:r>
        <w:rPr>
          <w:color w:val="231F20"/>
        </w:rPr>
        <w:t>y</w:t>
      </w:r>
      <w:r>
        <w:rPr>
          <w:color w:val="231F20"/>
          <w:spacing w:val="-12"/>
        </w:rPr>
        <w:t> </w:t>
      </w:r>
      <w:r>
        <w:rPr>
          <w:color w:val="231F20"/>
        </w:rPr>
        <w:t>hacer</w:t>
      </w:r>
      <w:r>
        <w:rPr>
          <w:color w:val="231F20"/>
          <w:spacing w:val="-12"/>
        </w:rPr>
        <w:t> </w:t>
      </w:r>
      <w:r>
        <w:rPr>
          <w:color w:val="231F20"/>
        </w:rPr>
        <w:t>aprovechable</w:t>
      </w:r>
      <w:r>
        <w:rPr>
          <w:color w:val="231F20"/>
          <w:spacing w:val="-13"/>
        </w:rPr>
        <w:t> </w:t>
      </w:r>
      <w:r>
        <w:rPr>
          <w:color w:val="231F20"/>
        </w:rPr>
        <w:t>el</w:t>
      </w:r>
      <w:r>
        <w:rPr>
          <w:color w:val="231F20"/>
          <w:spacing w:val="-12"/>
        </w:rPr>
        <w:t> </w:t>
      </w:r>
      <w:r>
        <w:rPr>
          <w:color w:val="231F20"/>
        </w:rPr>
        <w:t>elemento</w:t>
      </w:r>
      <w:r>
        <w:rPr>
          <w:color w:val="231F20"/>
          <w:spacing w:val="-13"/>
        </w:rPr>
        <w:t> </w:t>
      </w:r>
      <w:r>
        <w:rPr>
          <w:color w:val="231F20"/>
        </w:rPr>
        <w:t>nitrógeno,</w:t>
      </w:r>
      <w:r>
        <w:rPr>
          <w:color w:val="231F20"/>
          <w:spacing w:val="-12"/>
        </w:rPr>
        <w:t> </w:t>
      </w:r>
      <w:r>
        <w:rPr>
          <w:color w:val="231F20"/>
        </w:rPr>
        <w:t>aunque</w:t>
      </w:r>
      <w:r>
        <w:rPr>
          <w:color w:val="231F20"/>
          <w:spacing w:val="-13"/>
        </w:rPr>
        <w:t> </w:t>
      </w:r>
      <w:r>
        <w:rPr>
          <w:color w:val="231F20"/>
        </w:rPr>
        <w:t>pudo</w:t>
      </w:r>
      <w:r>
        <w:rPr>
          <w:color w:val="231F20"/>
          <w:spacing w:val="-12"/>
        </w:rPr>
        <w:t> </w:t>
      </w:r>
      <w:r>
        <w:rPr>
          <w:color w:val="231F20"/>
        </w:rPr>
        <w:t>ocurrir</w:t>
      </w:r>
      <w:r>
        <w:rPr>
          <w:color w:val="231F20"/>
          <w:spacing w:val="-12"/>
        </w:rPr>
        <w:t> </w:t>
      </w:r>
      <w:r>
        <w:rPr>
          <w:color w:val="231F20"/>
        </w:rPr>
        <w:t>pérdida</w:t>
      </w:r>
      <w:r>
        <w:rPr>
          <w:color w:val="231F20"/>
          <w:spacing w:val="-12"/>
        </w:rPr>
        <w:t> </w:t>
      </w:r>
      <w:r>
        <w:rPr>
          <w:color w:val="231F20"/>
        </w:rPr>
        <w:t>del</w:t>
      </w:r>
      <w:r>
        <w:rPr>
          <w:color w:val="231F20"/>
          <w:spacing w:val="-12"/>
        </w:rPr>
        <w:t> </w:t>
      </w:r>
      <w:r>
        <w:rPr>
          <w:color w:val="231F20"/>
        </w:rPr>
        <w:t>mismo</w:t>
      </w:r>
      <w:r>
        <w:rPr>
          <w:color w:val="231F20"/>
          <w:spacing w:val="-13"/>
        </w:rPr>
        <w:t> </w:t>
      </w:r>
      <w:r>
        <w:rPr>
          <w:color w:val="231F20"/>
          <w:spacing w:val="-2"/>
        </w:rPr>
        <w:t>por </w:t>
      </w:r>
      <w:r>
        <w:rPr>
          <w:color w:val="231F20"/>
        </w:rPr>
        <w:t>lixiviación.</w:t>
      </w:r>
    </w:p>
    <w:p>
      <w:pPr>
        <w:pStyle w:val="BodyText"/>
        <w:spacing w:before="10"/>
      </w:pPr>
    </w:p>
    <w:p>
      <w:pPr>
        <w:pStyle w:val="BodyText"/>
        <w:spacing w:line="249" w:lineRule="auto"/>
        <w:ind w:left="1270" w:right="1267"/>
        <w:jc w:val="both"/>
      </w:pPr>
      <w:r>
        <w:rPr>
          <w:color w:val="231F20"/>
        </w:rPr>
        <w:t>Las densidades de siembra, en promedio de fertilización, tuvieron un efecto diferencial sobre los componentes de rendimiento. La densidad de 250,000 plantas•ha</w:t>
      </w:r>
      <w:r>
        <w:rPr>
          <w:color w:val="231F20"/>
          <w:position w:val="7"/>
          <w:sz w:val="12"/>
        </w:rPr>
        <w:t>-1 </w:t>
      </w:r>
      <w:r>
        <w:rPr>
          <w:color w:val="231F20"/>
        </w:rPr>
        <w:t>destacó en 13 de 17 caracteres: </w:t>
      </w:r>
      <w:r>
        <w:rPr>
          <w:color w:val="231F20"/>
          <w:spacing w:val="-5"/>
        </w:rPr>
        <w:t>LPA, DTA, </w:t>
      </w:r>
      <w:r>
        <w:rPr>
          <w:color w:val="231F20"/>
          <w:spacing w:val="-6"/>
        </w:rPr>
        <w:t>NPP, </w:t>
      </w:r>
      <w:r>
        <w:rPr>
          <w:color w:val="231F20"/>
        </w:rPr>
        <w:t>PEH, </w:t>
      </w:r>
      <w:r>
        <w:rPr>
          <w:color w:val="231F20"/>
          <w:spacing w:val="-4"/>
        </w:rPr>
        <w:t>PET, </w:t>
      </w:r>
      <w:r>
        <w:rPr>
          <w:color w:val="231F20"/>
          <w:spacing w:val="-6"/>
        </w:rPr>
        <w:t>PEP, </w:t>
      </w:r>
      <w:r>
        <w:rPr>
          <w:color w:val="231F20"/>
          <w:spacing w:val="-4"/>
        </w:rPr>
        <w:t>ESPA, </w:t>
      </w:r>
      <w:r>
        <w:rPr>
          <w:color w:val="231F20"/>
        </w:rPr>
        <w:t>P100, </w:t>
      </w:r>
      <w:r>
        <w:rPr>
          <w:color w:val="231F20"/>
          <w:spacing w:val="-6"/>
        </w:rPr>
        <w:t>PGP, </w:t>
      </w:r>
      <w:r>
        <w:rPr>
          <w:color w:val="231F20"/>
        </w:rPr>
        <w:t>PPL, FHA, GHA e índice de cosecha  (Cuadro</w:t>
      </w:r>
    </w:p>
    <w:p>
      <w:pPr>
        <w:pStyle w:val="BodyText"/>
        <w:spacing w:line="247" w:lineRule="auto"/>
        <w:ind w:left="1270" w:right="1268"/>
        <w:jc w:val="both"/>
      </w:pPr>
      <w:r>
        <w:rPr>
          <w:color w:val="231F20"/>
        </w:rPr>
        <w:t>4).</w:t>
      </w:r>
      <w:r>
        <w:rPr>
          <w:color w:val="231F20"/>
          <w:spacing w:val="-3"/>
        </w:rPr>
        <w:t> </w:t>
      </w:r>
      <w:r>
        <w:rPr>
          <w:color w:val="231F20"/>
        </w:rPr>
        <w:t>Güler</w:t>
      </w:r>
      <w:r>
        <w:rPr>
          <w:color w:val="231F20"/>
          <w:spacing w:val="-3"/>
        </w:rPr>
        <w:t> </w:t>
      </w:r>
      <w:r>
        <w:rPr>
          <w:i/>
          <w:color w:val="231F20"/>
        </w:rPr>
        <w:t>et</w:t>
      </w:r>
      <w:r>
        <w:rPr>
          <w:i/>
          <w:color w:val="231F20"/>
          <w:spacing w:val="-3"/>
        </w:rPr>
        <w:t> </w:t>
      </w:r>
      <w:r>
        <w:rPr>
          <w:i/>
          <w:color w:val="231F20"/>
        </w:rPr>
        <w:t>al.</w:t>
      </w:r>
      <w:r>
        <w:rPr>
          <w:i/>
          <w:color w:val="231F20"/>
          <w:spacing w:val="-3"/>
        </w:rPr>
        <w:t> </w:t>
      </w:r>
      <w:r>
        <w:rPr>
          <w:color w:val="231F20"/>
        </w:rPr>
        <w:t>(2008)</w:t>
      </w:r>
      <w:r>
        <w:rPr>
          <w:color w:val="231F20"/>
          <w:spacing w:val="-3"/>
        </w:rPr>
        <w:t> </w:t>
      </w:r>
      <w:r>
        <w:rPr>
          <w:color w:val="231F20"/>
        </w:rPr>
        <w:t>indicaron</w:t>
      </w:r>
      <w:r>
        <w:rPr>
          <w:color w:val="231F20"/>
          <w:spacing w:val="-3"/>
        </w:rPr>
        <w:t> </w:t>
      </w:r>
      <w:r>
        <w:rPr>
          <w:color w:val="231F20"/>
        </w:rPr>
        <w:t>que</w:t>
      </w:r>
      <w:r>
        <w:rPr>
          <w:color w:val="231F20"/>
          <w:spacing w:val="-3"/>
        </w:rPr>
        <w:t> </w:t>
      </w:r>
      <w:r>
        <w:rPr>
          <w:color w:val="231F20"/>
        </w:rPr>
        <w:t>en</w:t>
      </w:r>
      <w:r>
        <w:rPr>
          <w:color w:val="231F20"/>
          <w:spacing w:val="-3"/>
        </w:rPr>
        <w:t> </w:t>
      </w:r>
      <w:r>
        <w:rPr>
          <w:color w:val="231F20"/>
        </w:rPr>
        <w:t>sorgo</w:t>
      </w:r>
      <w:r>
        <w:rPr>
          <w:color w:val="231F20"/>
          <w:spacing w:val="-3"/>
        </w:rPr>
        <w:t> </w:t>
      </w:r>
      <w:r>
        <w:rPr>
          <w:color w:val="231F20"/>
        </w:rPr>
        <w:t>la</w:t>
      </w:r>
      <w:r>
        <w:rPr>
          <w:color w:val="231F20"/>
          <w:spacing w:val="-3"/>
        </w:rPr>
        <w:t> </w:t>
      </w:r>
      <w:r>
        <w:rPr>
          <w:color w:val="231F20"/>
        </w:rPr>
        <w:t>fertilización</w:t>
      </w:r>
      <w:r>
        <w:rPr>
          <w:color w:val="231F20"/>
          <w:spacing w:val="-3"/>
        </w:rPr>
        <w:t> </w:t>
      </w:r>
      <w:r>
        <w:rPr>
          <w:color w:val="231F20"/>
        </w:rPr>
        <w:t>nitrogenada</w:t>
      </w:r>
      <w:r>
        <w:rPr>
          <w:color w:val="231F20"/>
          <w:spacing w:val="-3"/>
        </w:rPr>
        <w:t> </w:t>
      </w:r>
      <w:r>
        <w:rPr>
          <w:color w:val="231F20"/>
        </w:rPr>
        <w:t>y</w:t>
      </w:r>
      <w:r>
        <w:rPr>
          <w:color w:val="231F20"/>
          <w:spacing w:val="-3"/>
        </w:rPr>
        <w:t> </w:t>
      </w:r>
      <w:r>
        <w:rPr>
          <w:color w:val="231F20"/>
        </w:rPr>
        <w:t>el</w:t>
      </w:r>
      <w:r>
        <w:rPr>
          <w:color w:val="231F20"/>
          <w:spacing w:val="-3"/>
        </w:rPr>
        <w:t> </w:t>
      </w:r>
      <w:r>
        <w:rPr>
          <w:color w:val="231F20"/>
        </w:rPr>
        <w:t>manejo</w:t>
      </w:r>
      <w:r>
        <w:rPr>
          <w:color w:val="231F20"/>
          <w:spacing w:val="-4"/>
        </w:rPr>
        <w:t> </w:t>
      </w:r>
      <w:r>
        <w:rPr>
          <w:color w:val="231F20"/>
        </w:rPr>
        <w:t>de</w:t>
      </w:r>
      <w:r>
        <w:rPr>
          <w:color w:val="231F20"/>
          <w:spacing w:val="-3"/>
        </w:rPr>
        <w:t> </w:t>
      </w:r>
      <w:r>
        <w:rPr>
          <w:color w:val="231F20"/>
        </w:rPr>
        <w:t>la</w:t>
      </w:r>
      <w:r>
        <w:rPr>
          <w:color w:val="231F20"/>
          <w:spacing w:val="-3"/>
        </w:rPr>
        <w:t> </w:t>
      </w:r>
      <w:r>
        <w:rPr>
          <w:color w:val="231F20"/>
        </w:rPr>
        <w:t>densidad de siembra tienen un efecto positivo sobre el rendimiento de grano por unidad de área, sugiriendo que</w:t>
      </w:r>
      <w:r>
        <w:rPr>
          <w:color w:val="231F20"/>
          <w:spacing w:val="-5"/>
        </w:rPr>
        <w:t> </w:t>
      </w:r>
      <w:r>
        <w:rPr>
          <w:color w:val="231F20"/>
        </w:rPr>
        <w:t>si</w:t>
      </w:r>
      <w:r>
        <w:rPr>
          <w:color w:val="231F20"/>
          <w:spacing w:val="-5"/>
        </w:rPr>
        <w:t> </w:t>
      </w:r>
      <w:r>
        <w:rPr>
          <w:color w:val="231F20"/>
        </w:rPr>
        <w:t>estas</w:t>
      </w:r>
      <w:r>
        <w:rPr>
          <w:color w:val="231F20"/>
          <w:spacing w:val="-5"/>
        </w:rPr>
        <w:t> </w:t>
      </w:r>
      <w:r>
        <w:rPr>
          <w:color w:val="231F20"/>
        </w:rPr>
        <w:t>se</w:t>
      </w:r>
      <w:r>
        <w:rPr>
          <w:color w:val="231F20"/>
          <w:spacing w:val="-5"/>
        </w:rPr>
        <w:t> </w:t>
      </w:r>
      <w:r>
        <w:rPr>
          <w:color w:val="231F20"/>
        </w:rPr>
        <w:t>incrementan</w:t>
      </w:r>
      <w:r>
        <w:rPr>
          <w:color w:val="231F20"/>
          <w:spacing w:val="-6"/>
        </w:rPr>
        <w:t> </w:t>
      </w:r>
      <w:r>
        <w:rPr>
          <w:color w:val="231F20"/>
        </w:rPr>
        <w:t>habrá</w:t>
      </w:r>
      <w:r>
        <w:rPr>
          <w:color w:val="231F20"/>
          <w:spacing w:val="-5"/>
        </w:rPr>
        <w:t> </w:t>
      </w:r>
      <w:r>
        <w:rPr>
          <w:color w:val="231F20"/>
        </w:rPr>
        <w:t>una</w:t>
      </w:r>
      <w:r>
        <w:rPr>
          <w:color w:val="231F20"/>
          <w:spacing w:val="-5"/>
        </w:rPr>
        <w:t> </w:t>
      </w:r>
      <w:r>
        <w:rPr>
          <w:color w:val="231F20"/>
        </w:rPr>
        <w:t>mejor</w:t>
      </w:r>
      <w:r>
        <w:rPr>
          <w:color w:val="231F20"/>
          <w:spacing w:val="-6"/>
        </w:rPr>
        <w:t> </w:t>
      </w:r>
      <w:r>
        <w:rPr>
          <w:color w:val="231F20"/>
        </w:rPr>
        <w:t>respuesta</w:t>
      </w:r>
      <w:r>
        <w:rPr>
          <w:color w:val="231F20"/>
          <w:spacing w:val="-5"/>
        </w:rPr>
        <w:t> </w:t>
      </w:r>
      <w:r>
        <w:rPr>
          <w:color w:val="231F20"/>
        </w:rPr>
        <w:t>en</w:t>
      </w:r>
      <w:r>
        <w:rPr>
          <w:color w:val="231F20"/>
          <w:spacing w:val="-5"/>
        </w:rPr>
        <w:t> </w:t>
      </w:r>
      <w:r>
        <w:rPr>
          <w:color w:val="231F20"/>
        </w:rPr>
        <w:t>los</w:t>
      </w:r>
      <w:r>
        <w:rPr>
          <w:color w:val="231F20"/>
          <w:spacing w:val="-5"/>
        </w:rPr>
        <w:t> </w:t>
      </w:r>
      <w:r>
        <w:rPr>
          <w:color w:val="231F20"/>
        </w:rPr>
        <w:t>principales</w:t>
      </w:r>
      <w:r>
        <w:rPr>
          <w:color w:val="231F20"/>
          <w:spacing w:val="-5"/>
        </w:rPr>
        <w:t> </w:t>
      </w:r>
      <w:r>
        <w:rPr>
          <w:color w:val="231F20"/>
        </w:rPr>
        <w:t>componentes</w:t>
      </w:r>
      <w:r>
        <w:rPr>
          <w:color w:val="231F20"/>
          <w:spacing w:val="-6"/>
        </w:rPr>
        <w:t> </w:t>
      </w:r>
      <w:r>
        <w:rPr>
          <w:color w:val="231F20"/>
        </w:rPr>
        <w:t>de</w:t>
      </w:r>
      <w:r>
        <w:rPr>
          <w:color w:val="231F20"/>
          <w:spacing w:val="-5"/>
        </w:rPr>
        <w:t> </w:t>
      </w:r>
      <w:r>
        <w:rPr>
          <w:color w:val="231F20"/>
        </w:rPr>
        <w:t>rendimien-</w:t>
      </w:r>
    </w:p>
    <w:p>
      <w:pPr>
        <w:spacing w:after="0" w:line="247" w:lineRule="auto"/>
        <w:jc w:val="both"/>
        <w:sectPr>
          <w:pgSz w:w="10920" w:h="13080"/>
          <w:pgMar w:header="0" w:footer="965" w:top="420" w:bottom="1220" w:left="0" w:right="0"/>
        </w:sectPr>
      </w:pPr>
    </w:p>
    <w:p>
      <w:pPr>
        <w:pStyle w:val="BodyText"/>
        <w:rPr>
          <w:sz w:val="20"/>
        </w:rPr>
      </w:pPr>
    </w:p>
    <w:p>
      <w:pPr>
        <w:pStyle w:val="BodyText"/>
        <w:rPr>
          <w:sz w:val="20"/>
        </w:rPr>
      </w:pPr>
    </w:p>
    <w:p>
      <w:pPr>
        <w:pStyle w:val="BodyText"/>
        <w:rPr>
          <w:sz w:val="23"/>
        </w:rPr>
      </w:pPr>
    </w:p>
    <w:p>
      <w:pPr>
        <w:pStyle w:val="BodyText"/>
        <w:spacing w:line="249" w:lineRule="auto" w:before="73"/>
        <w:ind w:left="1270" w:right="1267"/>
        <w:jc w:val="both"/>
      </w:pPr>
      <w:r>
        <w:rPr>
          <w:color w:val="231F20"/>
        </w:rPr>
        <w:t>to del cultivo, entre ellos rendimiento de grano por planta. Garza </w:t>
      </w:r>
      <w:r>
        <w:rPr>
          <w:i/>
          <w:color w:val="231F20"/>
        </w:rPr>
        <w:t>et al. </w:t>
      </w:r>
      <w:r>
        <w:rPr>
          <w:color w:val="231F20"/>
        </w:rPr>
        <w:t>(2003) propuso establecer sorgo utilizando sembradora mecánica para tener una densidad de 250,000 plantas•ha</w:t>
      </w:r>
      <w:r>
        <w:rPr>
          <w:color w:val="231F20"/>
          <w:position w:val="7"/>
          <w:sz w:val="12"/>
        </w:rPr>
        <w:t>-1</w:t>
      </w:r>
      <w:r>
        <w:rPr>
          <w:color w:val="231F20"/>
        </w:rPr>
        <w:t>, sobre todo en suelos profundos y de buen temporal, sosteniendo que en riego pueden sembrarse hasta 275,000 plantas por hectárea.</w:t>
      </w:r>
    </w:p>
    <w:p>
      <w:pPr>
        <w:pStyle w:val="BodyText"/>
        <w:spacing w:before="1"/>
      </w:pPr>
    </w:p>
    <w:p>
      <w:pPr>
        <w:spacing w:line="249" w:lineRule="auto" w:before="1"/>
        <w:ind w:left="1270" w:right="1267" w:hanging="1"/>
        <w:jc w:val="center"/>
        <w:rPr>
          <w:b/>
          <w:sz w:val="18"/>
        </w:rPr>
      </w:pPr>
      <w:r>
        <w:rPr/>
        <w:drawing>
          <wp:anchor distT="0" distB="0" distL="0" distR="0" allowOverlap="1" layoutInCell="1" locked="0" behindDoc="0" simplePos="0" relativeHeight="4720">
            <wp:simplePos x="0" y="0"/>
            <wp:positionH relativeFrom="page">
              <wp:posOffset>806699</wp:posOffset>
            </wp:positionH>
            <wp:positionV relativeFrom="paragraph">
              <wp:posOffset>325617</wp:posOffset>
            </wp:positionV>
            <wp:extent cx="5306188" cy="2135505"/>
            <wp:effectExtent l="0" t="0" r="0" b="0"/>
            <wp:wrapTopAndBottom/>
            <wp:docPr id="179" name="image72.jpeg" descr=""/>
            <wp:cNvGraphicFramePr>
              <a:graphicFrameLocks noChangeAspect="1"/>
            </wp:cNvGraphicFramePr>
            <a:graphic>
              <a:graphicData uri="http://schemas.openxmlformats.org/drawingml/2006/picture">
                <pic:pic>
                  <pic:nvPicPr>
                    <pic:cNvPr id="180" name="image72.jpeg"/>
                    <pic:cNvPicPr/>
                  </pic:nvPicPr>
                  <pic:blipFill>
                    <a:blip r:embed="rId104" cstate="print"/>
                    <a:stretch>
                      <a:fillRect/>
                    </a:stretch>
                  </pic:blipFill>
                  <pic:spPr>
                    <a:xfrm>
                      <a:off x="0" y="0"/>
                      <a:ext cx="5306188" cy="2135505"/>
                    </a:xfrm>
                    <a:prstGeom prst="rect">
                      <a:avLst/>
                    </a:prstGeom>
                  </pic:spPr>
                </pic:pic>
              </a:graphicData>
            </a:graphic>
          </wp:anchor>
        </w:drawing>
      </w:r>
      <w:r>
        <w:rPr>
          <w:b/>
          <w:color w:val="010202"/>
          <w:sz w:val="18"/>
        </w:rPr>
        <w:t>Cuadro 3. Comparación de medias para 17 caracteres en sorgo </w:t>
      </w:r>
      <w:r>
        <w:rPr>
          <w:b/>
          <w:i/>
          <w:color w:val="010202"/>
          <w:sz w:val="18"/>
        </w:rPr>
        <w:t>Sorghum bicolor </w:t>
      </w:r>
      <w:r>
        <w:rPr>
          <w:b/>
          <w:color w:val="010202"/>
          <w:sz w:val="18"/>
        </w:rPr>
        <w:t>L. (Moench) en función de fertilización nitrogenada y en promedio de densidades de siembra. Loma Bonita, Oaxaca, México, 2009</w:t>
      </w:r>
    </w:p>
    <w:p>
      <w:pPr>
        <w:pStyle w:val="BodyText"/>
        <w:rPr>
          <w:b/>
          <w:sz w:val="18"/>
        </w:rPr>
      </w:pPr>
    </w:p>
    <w:p>
      <w:pPr>
        <w:spacing w:line="307" w:lineRule="auto" w:before="114"/>
        <w:ind w:left="1270" w:right="1267" w:firstLine="0"/>
        <w:jc w:val="both"/>
        <w:rPr>
          <w:b/>
          <w:i/>
          <w:sz w:val="17"/>
        </w:rPr>
      </w:pPr>
      <w:r>
        <w:rPr>
          <w:b/>
          <w:i/>
          <w:color w:val="231F20"/>
          <w:spacing w:val="-5"/>
          <w:sz w:val="17"/>
        </w:rPr>
        <w:t>CF=Con fertilización, SF=Sin fertilización, ALP=Altura </w:t>
      </w:r>
      <w:r>
        <w:rPr>
          <w:b/>
          <w:i/>
          <w:color w:val="231F20"/>
          <w:spacing w:val="-3"/>
          <w:sz w:val="17"/>
        </w:rPr>
        <w:t>de </w:t>
      </w:r>
      <w:r>
        <w:rPr>
          <w:b/>
          <w:i/>
          <w:color w:val="231F20"/>
          <w:spacing w:val="-5"/>
          <w:sz w:val="17"/>
        </w:rPr>
        <w:t>planta </w:t>
      </w:r>
      <w:r>
        <w:rPr>
          <w:b/>
          <w:i/>
          <w:color w:val="231F20"/>
          <w:spacing w:val="-4"/>
          <w:sz w:val="17"/>
        </w:rPr>
        <w:t>(cm), </w:t>
      </w:r>
      <w:r>
        <w:rPr>
          <w:b/>
          <w:i/>
          <w:color w:val="231F20"/>
          <w:spacing w:val="-6"/>
          <w:sz w:val="17"/>
        </w:rPr>
        <w:t>LPA=Longitud </w:t>
      </w:r>
      <w:r>
        <w:rPr>
          <w:b/>
          <w:i/>
          <w:color w:val="231F20"/>
          <w:spacing w:val="-3"/>
          <w:sz w:val="17"/>
        </w:rPr>
        <w:t>de </w:t>
      </w:r>
      <w:r>
        <w:rPr>
          <w:b/>
          <w:i/>
          <w:color w:val="231F20"/>
          <w:spacing w:val="-5"/>
          <w:sz w:val="17"/>
        </w:rPr>
        <w:t>panoja </w:t>
      </w:r>
      <w:r>
        <w:rPr>
          <w:b/>
          <w:i/>
          <w:color w:val="231F20"/>
          <w:spacing w:val="-4"/>
          <w:sz w:val="17"/>
        </w:rPr>
        <w:t>(cm), </w:t>
      </w:r>
      <w:r>
        <w:rPr>
          <w:b/>
          <w:i/>
          <w:color w:val="231F20"/>
          <w:spacing w:val="-5"/>
          <w:sz w:val="17"/>
        </w:rPr>
        <w:t>LPE=Longitud </w:t>
      </w:r>
      <w:r>
        <w:rPr>
          <w:b/>
          <w:i/>
          <w:color w:val="231F20"/>
          <w:spacing w:val="-3"/>
          <w:sz w:val="17"/>
        </w:rPr>
        <w:t>de </w:t>
      </w:r>
      <w:r>
        <w:rPr>
          <w:b/>
          <w:i/>
          <w:color w:val="231F20"/>
          <w:spacing w:val="-4"/>
          <w:sz w:val="17"/>
        </w:rPr>
        <w:t>pe- </w:t>
      </w:r>
      <w:r>
        <w:rPr>
          <w:b/>
          <w:i/>
          <w:color w:val="231F20"/>
          <w:spacing w:val="-5"/>
          <w:sz w:val="17"/>
        </w:rPr>
        <w:t>dúnculo</w:t>
      </w:r>
      <w:r>
        <w:rPr>
          <w:b/>
          <w:i/>
          <w:color w:val="231F20"/>
          <w:spacing w:val="-12"/>
          <w:sz w:val="17"/>
        </w:rPr>
        <w:t> </w:t>
      </w:r>
      <w:r>
        <w:rPr>
          <w:b/>
          <w:i/>
          <w:color w:val="231F20"/>
          <w:spacing w:val="-4"/>
          <w:sz w:val="17"/>
        </w:rPr>
        <w:t>(cm),</w:t>
      </w:r>
      <w:r>
        <w:rPr>
          <w:b/>
          <w:i/>
          <w:color w:val="231F20"/>
          <w:spacing w:val="-12"/>
          <w:sz w:val="17"/>
        </w:rPr>
        <w:t> </w:t>
      </w:r>
      <w:r>
        <w:rPr>
          <w:b/>
          <w:i/>
          <w:color w:val="231F20"/>
          <w:spacing w:val="-6"/>
          <w:sz w:val="17"/>
        </w:rPr>
        <w:t>DTA=Diámetro</w:t>
      </w:r>
      <w:r>
        <w:rPr>
          <w:b/>
          <w:i/>
          <w:color w:val="231F20"/>
          <w:spacing w:val="-12"/>
          <w:sz w:val="17"/>
        </w:rPr>
        <w:t> </w:t>
      </w:r>
      <w:r>
        <w:rPr>
          <w:b/>
          <w:i/>
          <w:color w:val="231F20"/>
          <w:spacing w:val="-3"/>
          <w:sz w:val="17"/>
        </w:rPr>
        <w:t>de</w:t>
      </w:r>
      <w:r>
        <w:rPr>
          <w:b/>
          <w:i/>
          <w:color w:val="231F20"/>
          <w:spacing w:val="-12"/>
          <w:sz w:val="17"/>
        </w:rPr>
        <w:t> </w:t>
      </w:r>
      <w:r>
        <w:rPr>
          <w:b/>
          <w:i/>
          <w:color w:val="231F20"/>
          <w:spacing w:val="-4"/>
          <w:sz w:val="17"/>
        </w:rPr>
        <w:t>tallo</w:t>
      </w:r>
      <w:r>
        <w:rPr>
          <w:b/>
          <w:i/>
          <w:color w:val="231F20"/>
          <w:spacing w:val="-12"/>
          <w:sz w:val="17"/>
        </w:rPr>
        <w:t> </w:t>
      </w:r>
      <w:r>
        <w:rPr>
          <w:b/>
          <w:i/>
          <w:color w:val="231F20"/>
          <w:spacing w:val="-4"/>
          <w:sz w:val="17"/>
        </w:rPr>
        <w:t>(cm),</w:t>
      </w:r>
      <w:r>
        <w:rPr>
          <w:b/>
          <w:i/>
          <w:color w:val="231F20"/>
          <w:spacing w:val="-12"/>
          <w:sz w:val="17"/>
        </w:rPr>
        <w:t> </w:t>
      </w:r>
      <w:r>
        <w:rPr>
          <w:b/>
          <w:i/>
          <w:color w:val="231F20"/>
          <w:spacing w:val="-5"/>
          <w:sz w:val="17"/>
        </w:rPr>
        <w:t>NPP=Nudos</w:t>
      </w:r>
      <w:r>
        <w:rPr>
          <w:b/>
          <w:i/>
          <w:color w:val="231F20"/>
          <w:spacing w:val="-12"/>
          <w:sz w:val="17"/>
        </w:rPr>
        <w:t> </w:t>
      </w:r>
      <w:r>
        <w:rPr>
          <w:b/>
          <w:i/>
          <w:color w:val="231F20"/>
          <w:spacing w:val="-4"/>
          <w:sz w:val="17"/>
        </w:rPr>
        <w:t>por</w:t>
      </w:r>
      <w:r>
        <w:rPr>
          <w:b/>
          <w:i/>
          <w:color w:val="231F20"/>
          <w:spacing w:val="-12"/>
          <w:sz w:val="17"/>
        </w:rPr>
        <w:t> </w:t>
      </w:r>
      <w:r>
        <w:rPr>
          <w:b/>
          <w:i/>
          <w:color w:val="231F20"/>
          <w:spacing w:val="-5"/>
          <w:sz w:val="17"/>
        </w:rPr>
        <w:t>planta,</w:t>
      </w:r>
      <w:r>
        <w:rPr>
          <w:b/>
          <w:i/>
          <w:color w:val="231F20"/>
          <w:spacing w:val="-12"/>
          <w:sz w:val="17"/>
        </w:rPr>
        <w:t> </w:t>
      </w:r>
      <w:r>
        <w:rPr>
          <w:b/>
          <w:i/>
          <w:color w:val="231F20"/>
          <w:spacing w:val="-5"/>
          <w:sz w:val="17"/>
        </w:rPr>
        <w:t>PEH=Peso</w:t>
      </w:r>
      <w:r>
        <w:rPr>
          <w:b/>
          <w:i/>
          <w:color w:val="231F20"/>
          <w:spacing w:val="-12"/>
          <w:sz w:val="17"/>
        </w:rPr>
        <w:t> </w:t>
      </w:r>
      <w:r>
        <w:rPr>
          <w:b/>
          <w:i/>
          <w:color w:val="231F20"/>
          <w:spacing w:val="-3"/>
          <w:sz w:val="17"/>
        </w:rPr>
        <w:t>de</w:t>
      </w:r>
      <w:r>
        <w:rPr>
          <w:b/>
          <w:i/>
          <w:color w:val="231F20"/>
          <w:spacing w:val="-12"/>
          <w:sz w:val="17"/>
        </w:rPr>
        <w:t> </w:t>
      </w:r>
      <w:r>
        <w:rPr>
          <w:b/>
          <w:i/>
          <w:color w:val="231F20"/>
          <w:spacing w:val="-4"/>
          <w:sz w:val="17"/>
        </w:rPr>
        <w:t>hojas</w:t>
      </w:r>
      <w:r>
        <w:rPr>
          <w:b/>
          <w:i/>
          <w:color w:val="231F20"/>
          <w:spacing w:val="-12"/>
          <w:sz w:val="17"/>
        </w:rPr>
        <w:t> </w:t>
      </w:r>
      <w:r>
        <w:rPr>
          <w:b/>
          <w:i/>
          <w:color w:val="231F20"/>
          <w:spacing w:val="-4"/>
          <w:sz w:val="17"/>
        </w:rPr>
        <w:t>(g),</w:t>
      </w:r>
      <w:r>
        <w:rPr>
          <w:b/>
          <w:i/>
          <w:color w:val="231F20"/>
          <w:spacing w:val="-12"/>
          <w:sz w:val="17"/>
        </w:rPr>
        <w:t> </w:t>
      </w:r>
      <w:r>
        <w:rPr>
          <w:b/>
          <w:i/>
          <w:color w:val="231F20"/>
          <w:spacing w:val="-5"/>
          <w:sz w:val="17"/>
        </w:rPr>
        <w:t>PET=Peso</w:t>
      </w:r>
      <w:r>
        <w:rPr>
          <w:b/>
          <w:i/>
          <w:color w:val="231F20"/>
          <w:spacing w:val="-12"/>
          <w:sz w:val="17"/>
        </w:rPr>
        <w:t> </w:t>
      </w:r>
      <w:r>
        <w:rPr>
          <w:b/>
          <w:i/>
          <w:color w:val="231F20"/>
          <w:spacing w:val="-3"/>
          <w:sz w:val="17"/>
        </w:rPr>
        <w:t>de</w:t>
      </w:r>
      <w:r>
        <w:rPr>
          <w:b/>
          <w:i/>
          <w:color w:val="231F20"/>
          <w:spacing w:val="-12"/>
          <w:sz w:val="17"/>
        </w:rPr>
        <w:t> </w:t>
      </w:r>
      <w:r>
        <w:rPr>
          <w:b/>
          <w:i/>
          <w:color w:val="231F20"/>
          <w:spacing w:val="-4"/>
          <w:sz w:val="17"/>
        </w:rPr>
        <w:t>tallo</w:t>
      </w:r>
      <w:r>
        <w:rPr>
          <w:b/>
          <w:i/>
          <w:color w:val="231F20"/>
          <w:spacing w:val="-12"/>
          <w:sz w:val="17"/>
        </w:rPr>
        <w:t> </w:t>
      </w:r>
      <w:r>
        <w:rPr>
          <w:b/>
          <w:i/>
          <w:color w:val="231F20"/>
          <w:spacing w:val="-4"/>
          <w:sz w:val="17"/>
        </w:rPr>
        <w:t>(g),</w:t>
      </w:r>
      <w:r>
        <w:rPr>
          <w:b/>
          <w:i/>
          <w:color w:val="231F20"/>
          <w:spacing w:val="-12"/>
          <w:sz w:val="17"/>
        </w:rPr>
        <w:t> </w:t>
      </w:r>
      <w:r>
        <w:rPr>
          <w:b/>
          <w:i/>
          <w:color w:val="231F20"/>
          <w:spacing w:val="-5"/>
          <w:sz w:val="17"/>
        </w:rPr>
        <w:t>PEP=Peso </w:t>
      </w:r>
      <w:r>
        <w:rPr>
          <w:b/>
          <w:i/>
          <w:color w:val="231F20"/>
          <w:spacing w:val="-3"/>
          <w:sz w:val="17"/>
        </w:rPr>
        <w:t>de </w:t>
      </w:r>
      <w:r>
        <w:rPr>
          <w:b/>
          <w:i/>
          <w:color w:val="231F20"/>
          <w:spacing w:val="-5"/>
          <w:sz w:val="17"/>
        </w:rPr>
        <w:t>panojas </w:t>
      </w:r>
      <w:r>
        <w:rPr>
          <w:b/>
          <w:i/>
          <w:color w:val="231F20"/>
          <w:spacing w:val="-4"/>
          <w:sz w:val="17"/>
        </w:rPr>
        <w:t>(g), </w:t>
      </w:r>
      <w:r>
        <w:rPr>
          <w:b/>
          <w:i/>
          <w:color w:val="231F20"/>
          <w:spacing w:val="-6"/>
          <w:sz w:val="17"/>
        </w:rPr>
        <w:t>ESPA=Espiguillas </w:t>
      </w:r>
      <w:r>
        <w:rPr>
          <w:b/>
          <w:i/>
          <w:color w:val="231F20"/>
          <w:spacing w:val="-4"/>
          <w:sz w:val="17"/>
        </w:rPr>
        <w:t>por </w:t>
      </w:r>
      <w:r>
        <w:rPr>
          <w:b/>
          <w:i/>
          <w:color w:val="231F20"/>
          <w:spacing w:val="-5"/>
          <w:sz w:val="17"/>
        </w:rPr>
        <w:t>panoja, GEP=Granos </w:t>
      </w:r>
      <w:r>
        <w:rPr>
          <w:b/>
          <w:i/>
          <w:color w:val="231F20"/>
          <w:spacing w:val="-4"/>
          <w:sz w:val="17"/>
        </w:rPr>
        <w:t>por </w:t>
      </w:r>
      <w:r>
        <w:rPr>
          <w:b/>
          <w:i/>
          <w:color w:val="231F20"/>
          <w:spacing w:val="-5"/>
          <w:sz w:val="17"/>
        </w:rPr>
        <w:t>espiguilla, </w:t>
      </w:r>
      <w:r>
        <w:rPr>
          <w:b/>
          <w:i/>
          <w:color w:val="231F20"/>
          <w:spacing w:val="-6"/>
          <w:sz w:val="17"/>
        </w:rPr>
        <w:t>GPA=Granos </w:t>
      </w:r>
      <w:r>
        <w:rPr>
          <w:b/>
          <w:i/>
          <w:color w:val="231F20"/>
          <w:spacing w:val="-4"/>
          <w:sz w:val="17"/>
        </w:rPr>
        <w:t>por </w:t>
      </w:r>
      <w:r>
        <w:rPr>
          <w:b/>
          <w:i/>
          <w:color w:val="231F20"/>
          <w:spacing w:val="-5"/>
          <w:sz w:val="17"/>
        </w:rPr>
        <w:t>panoja, P100=Peso </w:t>
      </w:r>
      <w:r>
        <w:rPr>
          <w:b/>
          <w:i/>
          <w:color w:val="231F20"/>
          <w:spacing w:val="-3"/>
          <w:sz w:val="17"/>
        </w:rPr>
        <w:t>de </w:t>
      </w:r>
      <w:r>
        <w:rPr>
          <w:b/>
          <w:i/>
          <w:color w:val="231F20"/>
          <w:spacing w:val="-4"/>
          <w:sz w:val="17"/>
        </w:rPr>
        <w:t>cien se- </w:t>
      </w:r>
      <w:r>
        <w:rPr>
          <w:b/>
          <w:i/>
          <w:color w:val="231F20"/>
          <w:spacing w:val="-5"/>
          <w:sz w:val="17"/>
        </w:rPr>
        <w:t>millas </w:t>
      </w:r>
      <w:r>
        <w:rPr>
          <w:b/>
          <w:i/>
          <w:color w:val="231F20"/>
          <w:spacing w:val="-4"/>
          <w:sz w:val="17"/>
        </w:rPr>
        <w:t>(g), </w:t>
      </w:r>
      <w:r>
        <w:rPr>
          <w:b/>
          <w:i/>
          <w:color w:val="231F20"/>
          <w:spacing w:val="-5"/>
          <w:sz w:val="17"/>
        </w:rPr>
        <w:t>PGP=Peso </w:t>
      </w:r>
      <w:r>
        <w:rPr>
          <w:b/>
          <w:i/>
          <w:color w:val="231F20"/>
          <w:spacing w:val="-3"/>
          <w:sz w:val="17"/>
        </w:rPr>
        <w:t>de </w:t>
      </w:r>
      <w:r>
        <w:rPr>
          <w:b/>
          <w:i/>
          <w:color w:val="231F20"/>
          <w:spacing w:val="-4"/>
          <w:sz w:val="17"/>
        </w:rPr>
        <w:t>grano por </w:t>
      </w:r>
      <w:r>
        <w:rPr>
          <w:b/>
          <w:i/>
          <w:color w:val="231F20"/>
          <w:spacing w:val="-5"/>
          <w:sz w:val="17"/>
        </w:rPr>
        <w:t>panoja </w:t>
      </w:r>
      <w:r>
        <w:rPr>
          <w:b/>
          <w:i/>
          <w:color w:val="231F20"/>
          <w:spacing w:val="-4"/>
          <w:sz w:val="17"/>
        </w:rPr>
        <w:t>(g), </w:t>
      </w:r>
      <w:r>
        <w:rPr>
          <w:b/>
          <w:i/>
          <w:color w:val="231F20"/>
          <w:spacing w:val="-5"/>
          <w:sz w:val="17"/>
        </w:rPr>
        <w:t>PPL=Peso </w:t>
      </w:r>
      <w:r>
        <w:rPr>
          <w:b/>
          <w:i/>
          <w:color w:val="231F20"/>
          <w:spacing w:val="-4"/>
          <w:sz w:val="17"/>
        </w:rPr>
        <w:t>por </w:t>
      </w:r>
      <w:r>
        <w:rPr>
          <w:b/>
          <w:i/>
          <w:color w:val="231F20"/>
          <w:spacing w:val="-5"/>
          <w:sz w:val="17"/>
        </w:rPr>
        <w:t>planta </w:t>
      </w:r>
      <w:r>
        <w:rPr>
          <w:b/>
          <w:i/>
          <w:color w:val="231F20"/>
          <w:spacing w:val="-4"/>
          <w:sz w:val="17"/>
        </w:rPr>
        <w:t>(g), </w:t>
      </w:r>
      <w:r>
        <w:rPr>
          <w:b/>
          <w:i/>
          <w:color w:val="231F20"/>
          <w:spacing w:val="-5"/>
          <w:sz w:val="17"/>
        </w:rPr>
        <w:t>FHA=Rendimiento </w:t>
      </w:r>
      <w:r>
        <w:rPr>
          <w:b/>
          <w:i/>
          <w:color w:val="231F20"/>
          <w:spacing w:val="-3"/>
          <w:sz w:val="17"/>
        </w:rPr>
        <w:t>de </w:t>
      </w:r>
      <w:r>
        <w:rPr>
          <w:b/>
          <w:i/>
          <w:color w:val="231F20"/>
          <w:spacing w:val="-5"/>
          <w:sz w:val="17"/>
        </w:rPr>
        <w:t>forraje </w:t>
      </w:r>
      <w:r>
        <w:rPr>
          <w:b/>
          <w:i/>
          <w:color w:val="231F20"/>
          <w:spacing w:val="-4"/>
          <w:sz w:val="17"/>
        </w:rPr>
        <w:t>por </w:t>
      </w:r>
      <w:r>
        <w:rPr>
          <w:b/>
          <w:i/>
          <w:color w:val="231F20"/>
          <w:spacing w:val="-5"/>
          <w:sz w:val="17"/>
        </w:rPr>
        <w:t>hectárea (t•ha-1), GHA=Rendimiento </w:t>
      </w:r>
      <w:r>
        <w:rPr>
          <w:b/>
          <w:i/>
          <w:color w:val="231F20"/>
          <w:spacing w:val="-3"/>
          <w:sz w:val="17"/>
        </w:rPr>
        <w:t>de </w:t>
      </w:r>
      <w:r>
        <w:rPr>
          <w:b/>
          <w:i/>
          <w:color w:val="231F20"/>
          <w:spacing w:val="-4"/>
          <w:sz w:val="17"/>
        </w:rPr>
        <w:t>grano por </w:t>
      </w:r>
      <w:r>
        <w:rPr>
          <w:b/>
          <w:i/>
          <w:color w:val="231F20"/>
          <w:spacing w:val="-5"/>
          <w:sz w:val="17"/>
        </w:rPr>
        <w:t>hectárea (kg•ha-1), INC=Índice </w:t>
      </w:r>
      <w:r>
        <w:rPr>
          <w:b/>
          <w:i/>
          <w:color w:val="231F20"/>
          <w:spacing w:val="-3"/>
          <w:sz w:val="17"/>
        </w:rPr>
        <w:t>de </w:t>
      </w:r>
      <w:r>
        <w:rPr>
          <w:b/>
          <w:i/>
          <w:color w:val="231F20"/>
          <w:spacing w:val="-5"/>
          <w:sz w:val="17"/>
        </w:rPr>
        <w:t>cosecha. DMS=Diferencia mínima significativa, ¶=Letras iguales dentro </w:t>
      </w:r>
      <w:r>
        <w:rPr>
          <w:b/>
          <w:i/>
          <w:color w:val="231F20"/>
          <w:spacing w:val="-3"/>
          <w:sz w:val="17"/>
        </w:rPr>
        <w:t>de </w:t>
      </w:r>
      <w:r>
        <w:rPr>
          <w:b/>
          <w:i/>
          <w:color w:val="231F20"/>
          <w:spacing w:val="-5"/>
          <w:sz w:val="17"/>
        </w:rPr>
        <w:t>hileras </w:t>
      </w:r>
      <w:r>
        <w:rPr>
          <w:b/>
          <w:i/>
          <w:color w:val="231F20"/>
          <w:spacing w:val="-3"/>
          <w:sz w:val="17"/>
        </w:rPr>
        <w:t>no </w:t>
      </w:r>
      <w:r>
        <w:rPr>
          <w:b/>
          <w:i/>
          <w:color w:val="231F20"/>
          <w:spacing w:val="-4"/>
          <w:sz w:val="17"/>
        </w:rPr>
        <w:t>son </w:t>
      </w:r>
      <w:r>
        <w:rPr>
          <w:b/>
          <w:i/>
          <w:color w:val="231F20"/>
          <w:spacing w:val="-5"/>
          <w:sz w:val="17"/>
        </w:rPr>
        <w:t>significativamente diferentes </w:t>
      </w:r>
      <w:r>
        <w:rPr>
          <w:b/>
          <w:i/>
          <w:color w:val="231F20"/>
          <w:spacing w:val="-6"/>
          <w:sz w:val="17"/>
        </w:rPr>
        <w:t>(Tukey,</w:t>
      </w:r>
      <w:r>
        <w:rPr>
          <w:b/>
          <w:i/>
          <w:color w:val="231F20"/>
          <w:spacing w:val="-22"/>
          <w:sz w:val="17"/>
        </w:rPr>
        <w:t> </w:t>
      </w:r>
      <w:r>
        <w:rPr>
          <w:b/>
          <w:i/>
          <w:color w:val="231F20"/>
          <w:spacing w:val="-5"/>
          <w:sz w:val="17"/>
        </w:rPr>
        <w:t>P≤0.05).</w:t>
      </w:r>
    </w:p>
    <w:p>
      <w:pPr>
        <w:pStyle w:val="BodyText"/>
        <w:spacing w:before="7"/>
        <w:rPr>
          <w:b/>
          <w:i/>
          <w:sz w:val="18"/>
        </w:rPr>
      </w:pPr>
    </w:p>
    <w:p>
      <w:pPr>
        <w:pStyle w:val="BodyText"/>
        <w:spacing w:line="249" w:lineRule="auto"/>
        <w:ind w:left="1270" w:right="1266"/>
        <w:jc w:val="both"/>
      </w:pPr>
      <w:r>
        <w:rPr>
          <w:color w:val="231F20"/>
        </w:rPr>
        <w:t>La</w:t>
      </w:r>
      <w:r>
        <w:rPr>
          <w:color w:val="231F20"/>
          <w:spacing w:val="-9"/>
        </w:rPr>
        <w:t> </w:t>
      </w:r>
      <w:r>
        <w:rPr>
          <w:color w:val="231F20"/>
          <w:spacing w:val="-3"/>
        </w:rPr>
        <w:t>densidad</w:t>
      </w:r>
      <w:r>
        <w:rPr>
          <w:color w:val="231F20"/>
          <w:spacing w:val="-9"/>
        </w:rPr>
        <w:t> </w:t>
      </w:r>
      <w:r>
        <w:rPr>
          <w:color w:val="231F20"/>
        </w:rPr>
        <w:t>de</w:t>
      </w:r>
      <w:r>
        <w:rPr>
          <w:color w:val="231F20"/>
          <w:spacing w:val="-9"/>
        </w:rPr>
        <w:t> </w:t>
      </w:r>
      <w:r>
        <w:rPr>
          <w:color w:val="231F20"/>
          <w:spacing w:val="-3"/>
        </w:rPr>
        <w:t>178,500</w:t>
      </w:r>
      <w:r>
        <w:rPr>
          <w:color w:val="231F20"/>
          <w:spacing w:val="-9"/>
        </w:rPr>
        <w:t> </w:t>
      </w:r>
      <w:r>
        <w:rPr>
          <w:color w:val="231F20"/>
          <w:spacing w:val="-3"/>
        </w:rPr>
        <w:t>plantas•ha</w:t>
      </w:r>
      <w:r>
        <w:rPr>
          <w:color w:val="231F20"/>
          <w:spacing w:val="-3"/>
          <w:position w:val="7"/>
          <w:sz w:val="12"/>
        </w:rPr>
        <w:t>-1</w:t>
      </w:r>
      <w:r>
        <w:rPr>
          <w:color w:val="231F20"/>
          <w:spacing w:val="-3"/>
        </w:rPr>
        <w:t>,</w:t>
      </w:r>
      <w:r>
        <w:rPr>
          <w:color w:val="231F20"/>
          <w:spacing w:val="-9"/>
        </w:rPr>
        <w:t> </w:t>
      </w:r>
      <w:r>
        <w:rPr>
          <w:color w:val="231F20"/>
          <w:spacing w:val="-3"/>
        </w:rPr>
        <w:t>sobresalió</w:t>
      </w:r>
      <w:r>
        <w:rPr>
          <w:color w:val="231F20"/>
          <w:spacing w:val="-9"/>
        </w:rPr>
        <w:t> </w:t>
      </w:r>
      <w:r>
        <w:rPr>
          <w:color w:val="231F20"/>
        </w:rPr>
        <w:t>en</w:t>
      </w:r>
      <w:r>
        <w:rPr>
          <w:color w:val="231F20"/>
          <w:spacing w:val="-9"/>
        </w:rPr>
        <w:t> </w:t>
      </w:r>
      <w:r>
        <w:rPr>
          <w:color w:val="231F20"/>
        </w:rPr>
        <w:t>10</w:t>
      </w:r>
      <w:r>
        <w:rPr>
          <w:color w:val="231F20"/>
          <w:spacing w:val="-9"/>
        </w:rPr>
        <w:t> </w:t>
      </w:r>
      <w:r>
        <w:rPr>
          <w:color w:val="231F20"/>
        </w:rPr>
        <w:t>de</w:t>
      </w:r>
      <w:r>
        <w:rPr>
          <w:color w:val="231F20"/>
          <w:spacing w:val="-9"/>
        </w:rPr>
        <w:t> </w:t>
      </w:r>
      <w:r>
        <w:rPr>
          <w:color w:val="231F20"/>
        </w:rPr>
        <w:t>17</w:t>
      </w:r>
      <w:r>
        <w:rPr>
          <w:color w:val="231F20"/>
          <w:spacing w:val="-9"/>
        </w:rPr>
        <w:t> </w:t>
      </w:r>
      <w:r>
        <w:rPr>
          <w:color w:val="231F20"/>
          <w:spacing w:val="-3"/>
        </w:rPr>
        <w:t>variables</w:t>
      </w:r>
      <w:r>
        <w:rPr>
          <w:color w:val="231F20"/>
          <w:spacing w:val="-9"/>
        </w:rPr>
        <w:t> </w:t>
      </w:r>
      <w:r>
        <w:rPr>
          <w:color w:val="231F20"/>
          <w:spacing w:val="-3"/>
        </w:rPr>
        <w:t>cuantificadas</w:t>
      </w:r>
      <w:r>
        <w:rPr>
          <w:color w:val="231F20"/>
          <w:spacing w:val="-9"/>
        </w:rPr>
        <w:t> </w:t>
      </w:r>
      <w:r>
        <w:rPr>
          <w:color w:val="231F20"/>
          <w:spacing w:val="-3"/>
        </w:rPr>
        <w:t>(Cuadro</w:t>
      </w:r>
      <w:r>
        <w:rPr>
          <w:color w:val="231F20"/>
          <w:spacing w:val="-9"/>
        </w:rPr>
        <w:t> </w:t>
      </w:r>
      <w:r>
        <w:rPr>
          <w:color w:val="231F20"/>
        </w:rPr>
        <w:t>4).</w:t>
      </w:r>
      <w:r>
        <w:rPr>
          <w:color w:val="231F20"/>
          <w:spacing w:val="-9"/>
        </w:rPr>
        <w:t> </w:t>
      </w:r>
      <w:r>
        <w:rPr>
          <w:color w:val="231F20"/>
          <w:spacing w:val="-3"/>
        </w:rPr>
        <w:t>Buah</w:t>
      </w:r>
      <w:r>
        <w:rPr>
          <w:color w:val="231F20"/>
          <w:spacing w:val="-9"/>
        </w:rPr>
        <w:t> </w:t>
      </w:r>
      <w:r>
        <w:rPr>
          <w:color w:val="231F20"/>
        </w:rPr>
        <w:t>y </w:t>
      </w:r>
      <w:r>
        <w:rPr>
          <w:color w:val="231F20"/>
          <w:spacing w:val="-4"/>
        </w:rPr>
        <w:t>Winkaara</w:t>
      </w:r>
      <w:r>
        <w:rPr>
          <w:color w:val="231F20"/>
          <w:spacing w:val="-12"/>
        </w:rPr>
        <w:t> </w:t>
      </w:r>
      <w:r>
        <w:rPr>
          <w:color w:val="231F20"/>
          <w:spacing w:val="-3"/>
        </w:rPr>
        <w:t>(2009)</w:t>
      </w:r>
      <w:r>
        <w:rPr>
          <w:color w:val="231F20"/>
          <w:spacing w:val="-12"/>
        </w:rPr>
        <w:t> </w:t>
      </w:r>
      <w:r>
        <w:rPr>
          <w:color w:val="231F20"/>
          <w:spacing w:val="-3"/>
        </w:rPr>
        <w:t>reportaron</w:t>
      </w:r>
      <w:r>
        <w:rPr>
          <w:color w:val="231F20"/>
          <w:spacing w:val="-12"/>
        </w:rPr>
        <w:t> </w:t>
      </w:r>
      <w:r>
        <w:rPr>
          <w:color w:val="231F20"/>
        </w:rPr>
        <w:t>que</w:t>
      </w:r>
      <w:r>
        <w:rPr>
          <w:color w:val="231F20"/>
          <w:spacing w:val="-12"/>
        </w:rPr>
        <w:t> </w:t>
      </w:r>
      <w:r>
        <w:rPr>
          <w:color w:val="231F20"/>
        </w:rPr>
        <w:t>a</w:t>
      </w:r>
      <w:r>
        <w:rPr>
          <w:color w:val="231F20"/>
          <w:spacing w:val="-12"/>
        </w:rPr>
        <w:t> </w:t>
      </w:r>
      <w:r>
        <w:rPr>
          <w:color w:val="231F20"/>
          <w:spacing w:val="-3"/>
        </w:rPr>
        <w:t>133,000</w:t>
      </w:r>
      <w:r>
        <w:rPr>
          <w:color w:val="231F20"/>
          <w:spacing w:val="-12"/>
        </w:rPr>
        <w:t> </w:t>
      </w:r>
      <w:r>
        <w:rPr>
          <w:color w:val="231F20"/>
          <w:spacing w:val="-3"/>
        </w:rPr>
        <w:t>plantas•ha</w:t>
      </w:r>
      <w:r>
        <w:rPr>
          <w:color w:val="231F20"/>
          <w:spacing w:val="-3"/>
          <w:position w:val="7"/>
          <w:sz w:val="12"/>
        </w:rPr>
        <w:t>-1</w:t>
      </w:r>
      <w:r>
        <w:rPr>
          <w:color w:val="231F20"/>
          <w:spacing w:val="11"/>
          <w:position w:val="7"/>
          <w:sz w:val="12"/>
        </w:rPr>
        <w:t> </w:t>
      </w:r>
      <w:r>
        <w:rPr>
          <w:color w:val="231F20"/>
        </w:rPr>
        <w:t>se</w:t>
      </w:r>
      <w:r>
        <w:rPr>
          <w:color w:val="231F20"/>
          <w:spacing w:val="-12"/>
        </w:rPr>
        <w:t> </w:t>
      </w:r>
      <w:r>
        <w:rPr>
          <w:color w:val="231F20"/>
          <w:spacing w:val="-3"/>
        </w:rPr>
        <w:t>tuvo</w:t>
      </w:r>
      <w:r>
        <w:rPr>
          <w:color w:val="231F20"/>
          <w:spacing w:val="-12"/>
        </w:rPr>
        <w:t> </w:t>
      </w:r>
      <w:r>
        <w:rPr>
          <w:color w:val="231F20"/>
        </w:rPr>
        <w:t>un</w:t>
      </w:r>
      <w:r>
        <w:rPr>
          <w:color w:val="231F20"/>
          <w:spacing w:val="-12"/>
        </w:rPr>
        <w:t> </w:t>
      </w:r>
      <w:r>
        <w:rPr>
          <w:color w:val="231F20"/>
        </w:rPr>
        <w:t>30%</w:t>
      </w:r>
      <w:r>
        <w:rPr>
          <w:color w:val="231F20"/>
          <w:spacing w:val="-12"/>
        </w:rPr>
        <w:t> </w:t>
      </w:r>
      <w:r>
        <w:rPr>
          <w:color w:val="231F20"/>
        </w:rPr>
        <w:t>más</w:t>
      </w:r>
      <w:r>
        <w:rPr>
          <w:color w:val="231F20"/>
          <w:spacing w:val="-12"/>
        </w:rPr>
        <w:t> </w:t>
      </w:r>
      <w:r>
        <w:rPr>
          <w:color w:val="231F20"/>
        </w:rPr>
        <w:t>de</w:t>
      </w:r>
      <w:r>
        <w:rPr>
          <w:color w:val="231F20"/>
          <w:spacing w:val="-12"/>
        </w:rPr>
        <w:t> </w:t>
      </w:r>
      <w:r>
        <w:rPr>
          <w:color w:val="231F20"/>
          <w:spacing w:val="-3"/>
        </w:rPr>
        <w:t>biomasa</w:t>
      </w:r>
      <w:r>
        <w:rPr>
          <w:color w:val="231F20"/>
          <w:spacing w:val="-12"/>
        </w:rPr>
        <w:t> </w:t>
      </w:r>
      <w:r>
        <w:rPr>
          <w:color w:val="231F20"/>
        </w:rPr>
        <w:t>en</w:t>
      </w:r>
      <w:r>
        <w:rPr>
          <w:color w:val="231F20"/>
          <w:spacing w:val="-12"/>
        </w:rPr>
        <w:t> </w:t>
      </w:r>
      <w:r>
        <w:rPr>
          <w:color w:val="231F20"/>
          <w:spacing w:val="-3"/>
        </w:rPr>
        <w:t>relación</w:t>
      </w:r>
      <w:r>
        <w:rPr>
          <w:color w:val="231F20"/>
          <w:spacing w:val="-12"/>
        </w:rPr>
        <w:t> </w:t>
      </w:r>
      <w:r>
        <w:rPr>
          <w:color w:val="231F20"/>
          <w:spacing w:val="-3"/>
        </w:rPr>
        <w:t>con </w:t>
      </w:r>
      <w:r>
        <w:rPr>
          <w:color w:val="231F20"/>
        </w:rPr>
        <w:t>una</w:t>
      </w:r>
      <w:r>
        <w:rPr>
          <w:color w:val="231F20"/>
          <w:spacing w:val="-11"/>
        </w:rPr>
        <w:t> </w:t>
      </w:r>
      <w:r>
        <w:rPr>
          <w:color w:val="231F20"/>
          <w:spacing w:val="-3"/>
        </w:rPr>
        <w:t>densidad</w:t>
      </w:r>
      <w:r>
        <w:rPr>
          <w:color w:val="231F20"/>
          <w:spacing w:val="-11"/>
        </w:rPr>
        <w:t> </w:t>
      </w:r>
      <w:r>
        <w:rPr>
          <w:color w:val="231F20"/>
        </w:rPr>
        <w:t>de</w:t>
      </w:r>
      <w:r>
        <w:rPr>
          <w:color w:val="231F20"/>
          <w:spacing w:val="-11"/>
        </w:rPr>
        <w:t> </w:t>
      </w:r>
      <w:r>
        <w:rPr>
          <w:color w:val="231F20"/>
          <w:spacing w:val="-3"/>
        </w:rPr>
        <w:t>66,600</w:t>
      </w:r>
      <w:r>
        <w:rPr>
          <w:color w:val="231F20"/>
          <w:spacing w:val="-11"/>
        </w:rPr>
        <w:t> </w:t>
      </w:r>
      <w:r>
        <w:rPr>
          <w:color w:val="231F20"/>
          <w:spacing w:val="-3"/>
        </w:rPr>
        <w:t>plantas•ha</w:t>
      </w:r>
      <w:r>
        <w:rPr>
          <w:color w:val="231F20"/>
          <w:spacing w:val="-3"/>
          <w:position w:val="7"/>
          <w:sz w:val="12"/>
        </w:rPr>
        <w:t>-1</w:t>
      </w:r>
      <w:r>
        <w:rPr>
          <w:color w:val="231F20"/>
          <w:spacing w:val="-3"/>
        </w:rPr>
        <w:t>.</w:t>
      </w:r>
      <w:r>
        <w:rPr>
          <w:color w:val="231F20"/>
          <w:spacing w:val="-11"/>
        </w:rPr>
        <w:t> </w:t>
      </w:r>
      <w:r>
        <w:rPr>
          <w:color w:val="231F20"/>
          <w:spacing w:val="-3"/>
        </w:rPr>
        <w:t>Nótese</w:t>
      </w:r>
      <w:r>
        <w:rPr>
          <w:color w:val="231F20"/>
          <w:spacing w:val="-11"/>
        </w:rPr>
        <w:t> </w:t>
      </w:r>
      <w:r>
        <w:rPr>
          <w:color w:val="231F20"/>
        </w:rPr>
        <w:t>que</w:t>
      </w:r>
      <w:r>
        <w:rPr>
          <w:color w:val="231F20"/>
          <w:spacing w:val="-11"/>
        </w:rPr>
        <w:t> </w:t>
      </w:r>
      <w:r>
        <w:rPr>
          <w:color w:val="231F20"/>
        </w:rPr>
        <w:t>las</w:t>
      </w:r>
      <w:r>
        <w:rPr>
          <w:color w:val="231F20"/>
          <w:spacing w:val="-11"/>
        </w:rPr>
        <w:t> </w:t>
      </w:r>
      <w:r>
        <w:rPr>
          <w:color w:val="231F20"/>
          <w:spacing w:val="-3"/>
        </w:rPr>
        <w:t>densidades</w:t>
      </w:r>
      <w:r>
        <w:rPr>
          <w:color w:val="231F20"/>
          <w:spacing w:val="-11"/>
        </w:rPr>
        <w:t> </w:t>
      </w:r>
      <w:r>
        <w:rPr>
          <w:color w:val="231F20"/>
        </w:rPr>
        <w:t>de</w:t>
      </w:r>
      <w:r>
        <w:rPr>
          <w:color w:val="231F20"/>
          <w:spacing w:val="-11"/>
        </w:rPr>
        <w:t> </w:t>
      </w:r>
      <w:r>
        <w:rPr>
          <w:color w:val="231F20"/>
          <w:spacing w:val="-3"/>
        </w:rPr>
        <w:t>212,500</w:t>
      </w:r>
      <w:r>
        <w:rPr>
          <w:color w:val="231F20"/>
          <w:spacing w:val="-11"/>
        </w:rPr>
        <w:t> </w:t>
      </w:r>
      <w:r>
        <w:rPr>
          <w:color w:val="231F20"/>
          <w:spacing w:val="-3"/>
        </w:rPr>
        <w:t>plantas•ha</w:t>
      </w:r>
      <w:r>
        <w:rPr>
          <w:color w:val="231F20"/>
          <w:spacing w:val="-3"/>
          <w:position w:val="7"/>
          <w:sz w:val="12"/>
        </w:rPr>
        <w:t>-1</w:t>
      </w:r>
      <w:r>
        <w:rPr>
          <w:color w:val="231F20"/>
          <w:spacing w:val="12"/>
          <w:position w:val="7"/>
          <w:sz w:val="12"/>
        </w:rPr>
        <w:t> </w:t>
      </w:r>
      <w:r>
        <w:rPr>
          <w:color w:val="231F20"/>
        </w:rPr>
        <w:t>y</w:t>
      </w:r>
      <w:r>
        <w:rPr>
          <w:color w:val="231F20"/>
          <w:spacing w:val="-11"/>
        </w:rPr>
        <w:t> </w:t>
      </w:r>
      <w:r>
        <w:rPr>
          <w:color w:val="231F20"/>
        </w:rPr>
        <w:t>al</w:t>
      </w:r>
      <w:r>
        <w:rPr>
          <w:color w:val="231F20"/>
          <w:spacing w:val="-11"/>
        </w:rPr>
        <w:t> </w:t>
      </w:r>
      <w:r>
        <w:rPr>
          <w:color w:val="231F20"/>
          <w:spacing w:val="-3"/>
        </w:rPr>
        <w:t>voleo</w:t>
      </w:r>
      <w:r>
        <w:rPr>
          <w:color w:val="231F20"/>
          <w:spacing w:val="-11"/>
        </w:rPr>
        <w:t> </w:t>
      </w:r>
      <w:r>
        <w:rPr>
          <w:color w:val="231F20"/>
          <w:spacing w:val="-3"/>
        </w:rPr>
        <w:t>favo- recieron</w:t>
      </w:r>
      <w:r>
        <w:rPr>
          <w:color w:val="231F20"/>
          <w:spacing w:val="-12"/>
        </w:rPr>
        <w:t> </w:t>
      </w:r>
      <w:r>
        <w:rPr>
          <w:color w:val="231F20"/>
        </w:rPr>
        <w:t>en</w:t>
      </w:r>
      <w:r>
        <w:rPr>
          <w:color w:val="231F20"/>
          <w:spacing w:val="-12"/>
        </w:rPr>
        <w:t> </w:t>
      </w:r>
      <w:r>
        <w:rPr>
          <w:color w:val="231F20"/>
          <w:spacing w:val="-3"/>
        </w:rPr>
        <w:t>menor</w:t>
      </w:r>
      <w:r>
        <w:rPr>
          <w:color w:val="231F20"/>
          <w:spacing w:val="-12"/>
        </w:rPr>
        <w:t> </w:t>
      </w:r>
      <w:r>
        <w:rPr>
          <w:color w:val="231F20"/>
          <w:spacing w:val="-3"/>
        </w:rPr>
        <w:t>medida</w:t>
      </w:r>
      <w:r>
        <w:rPr>
          <w:color w:val="231F20"/>
          <w:spacing w:val="-12"/>
        </w:rPr>
        <w:t> </w:t>
      </w:r>
      <w:r>
        <w:rPr>
          <w:color w:val="231F20"/>
        </w:rPr>
        <w:t>la</w:t>
      </w:r>
      <w:r>
        <w:rPr>
          <w:color w:val="231F20"/>
          <w:spacing w:val="-12"/>
        </w:rPr>
        <w:t> </w:t>
      </w:r>
      <w:r>
        <w:rPr>
          <w:color w:val="231F20"/>
          <w:spacing w:val="-3"/>
        </w:rPr>
        <w:t>expresión</w:t>
      </w:r>
      <w:r>
        <w:rPr>
          <w:color w:val="231F20"/>
          <w:spacing w:val="-13"/>
        </w:rPr>
        <w:t> </w:t>
      </w:r>
      <w:r>
        <w:rPr>
          <w:color w:val="231F20"/>
        </w:rPr>
        <w:t>de</w:t>
      </w:r>
      <w:r>
        <w:rPr>
          <w:color w:val="231F20"/>
          <w:spacing w:val="-12"/>
        </w:rPr>
        <w:t> </w:t>
      </w:r>
      <w:r>
        <w:rPr>
          <w:color w:val="231F20"/>
        </w:rPr>
        <w:t>los</w:t>
      </w:r>
      <w:r>
        <w:rPr>
          <w:color w:val="231F20"/>
          <w:spacing w:val="-12"/>
        </w:rPr>
        <w:t> </w:t>
      </w:r>
      <w:r>
        <w:rPr>
          <w:color w:val="231F20"/>
          <w:spacing w:val="-3"/>
        </w:rPr>
        <w:t>caracteres</w:t>
      </w:r>
      <w:r>
        <w:rPr>
          <w:color w:val="231F20"/>
          <w:spacing w:val="-13"/>
        </w:rPr>
        <w:t> </w:t>
      </w:r>
      <w:r>
        <w:rPr>
          <w:color w:val="231F20"/>
          <w:spacing w:val="-3"/>
        </w:rPr>
        <w:t>evaluados</w:t>
      </w:r>
      <w:r>
        <w:rPr>
          <w:color w:val="231F20"/>
          <w:spacing w:val="-13"/>
        </w:rPr>
        <w:t> </w:t>
      </w:r>
      <w:r>
        <w:rPr>
          <w:color w:val="231F20"/>
          <w:spacing w:val="-3"/>
        </w:rPr>
        <w:t>(Cuadro</w:t>
      </w:r>
      <w:r>
        <w:rPr>
          <w:color w:val="231F20"/>
          <w:spacing w:val="-12"/>
        </w:rPr>
        <w:t> </w:t>
      </w:r>
      <w:r>
        <w:rPr>
          <w:color w:val="231F20"/>
        </w:rPr>
        <w:t>4).</w:t>
      </w:r>
      <w:r>
        <w:rPr>
          <w:color w:val="231F20"/>
          <w:spacing w:val="-12"/>
        </w:rPr>
        <w:t> </w:t>
      </w:r>
      <w:r>
        <w:rPr>
          <w:color w:val="231F20"/>
          <w:spacing w:val="-3"/>
        </w:rPr>
        <w:t>García</w:t>
      </w:r>
      <w:r>
        <w:rPr>
          <w:color w:val="231F20"/>
          <w:spacing w:val="-12"/>
        </w:rPr>
        <w:t> </w:t>
      </w:r>
      <w:r>
        <w:rPr>
          <w:color w:val="231F20"/>
          <w:spacing w:val="-3"/>
        </w:rPr>
        <w:t>(1982)</w:t>
      </w:r>
      <w:r>
        <w:rPr>
          <w:color w:val="231F20"/>
          <w:spacing w:val="-12"/>
        </w:rPr>
        <w:t> </w:t>
      </w:r>
      <w:r>
        <w:rPr>
          <w:color w:val="231F20"/>
          <w:spacing w:val="-3"/>
        </w:rPr>
        <w:t>recomen- </w:t>
      </w:r>
      <w:r>
        <w:rPr>
          <w:color w:val="231F20"/>
        </w:rPr>
        <w:t>dó </w:t>
      </w:r>
      <w:r>
        <w:rPr>
          <w:color w:val="231F20"/>
          <w:spacing w:val="-3"/>
        </w:rPr>
        <w:t>establecer sorgo </w:t>
      </w:r>
      <w:r>
        <w:rPr>
          <w:color w:val="231F20"/>
        </w:rPr>
        <w:t>en </w:t>
      </w:r>
      <w:r>
        <w:rPr>
          <w:color w:val="231F20"/>
          <w:spacing w:val="-3"/>
        </w:rPr>
        <w:t>riego </w:t>
      </w:r>
      <w:r>
        <w:rPr>
          <w:color w:val="231F20"/>
        </w:rPr>
        <w:t>a </w:t>
      </w:r>
      <w:r>
        <w:rPr>
          <w:color w:val="231F20"/>
          <w:spacing w:val="-3"/>
        </w:rPr>
        <w:t>densidades mayores </w:t>
      </w:r>
      <w:r>
        <w:rPr>
          <w:color w:val="231F20"/>
        </w:rPr>
        <w:t>a </w:t>
      </w:r>
      <w:r>
        <w:rPr>
          <w:color w:val="231F20"/>
          <w:spacing w:val="-3"/>
        </w:rPr>
        <w:t>200,000 plantas•ha-1 para alcanzar producciones </w:t>
      </w:r>
      <w:r>
        <w:rPr>
          <w:color w:val="231F20"/>
        </w:rPr>
        <w:t>de 8.0 </w:t>
      </w:r>
      <w:r>
        <w:rPr>
          <w:color w:val="231F20"/>
          <w:spacing w:val="-3"/>
        </w:rPr>
        <w:t>t•ha</w:t>
      </w:r>
      <w:r>
        <w:rPr>
          <w:color w:val="231F20"/>
          <w:spacing w:val="-3"/>
          <w:position w:val="7"/>
          <w:sz w:val="12"/>
        </w:rPr>
        <w:t>-1 </w:t>
      </w:r>
      <w:r>
        <w:rPr>
          <w:color w:val="231F20"/>
        </w:rPr>
        <w:t>de </w:t>
      </w:r>
      <w:r>
        <w:rPr>
          <w:color w:val="231F20"/>
          <w:spacing w:val="-3"/>
        </w:rPr>
        <w:t>grano. </w:t>
      </w:r>
      <w:r>
        <w:rPr>
          <w:color w:val="231F20"/>
        </w:rPr>
        <w:t>La </w:t>
      </w:r>
      <w:r>
        <w:rPr>
          <w:color w:val="231F20"/>
          <w:spacing w:val="-3"/>
        </w:rPr>
        <w:t>densidad </w:t>
      </w:r>
      <w:r>
        <w:rPr>
          <w:color w:val="231F20"/>
        </w:rPr>
        <w:t>al </w:t>
      </w:r>
      <w:r>
        <w:rPr>
          <w:color w:val="231F20"/>
          <w:spacing w:val="-3"/>
        </w:rPr>
        <w:t>voleo presentó </w:t>
      </w:r>
      <w:r>
        <w:rPr>
          <w:color w:val="231F20"/>
        </w:rPr>
        <w:t>el </w:t>
      </w:r>
      <w:r>
        <w:rPr>
          <w:color w:val="231F20"/>
          <w:spacing w:val="-3"/>
        </w:rPr>
        <w:t>menor rendimiento, atribuido </w:t>
      </w:r>
      <w:r>
        <w:rPr>
          <w:color w:val="231F20"/>
        </w:rPr>
        <w:t>a que se </w:t>
      </w:r>
      <w:r>
        <w:rPr>
          <w:color w:val="231F20"/>
          <w:spacing w:val="-3"/>
        </w:rPr>
        <w:t>generó </w:t>
      </w:r>
      <w:r>
        <w:rPr>
          <w:color w:val="231F20"/>
        </w:rPr>
        <w:t>una</w:t>
      </w:r>
      <w:r>
        <w:rPr>
          <w:color w:val="231F20"/>
          <w:spacing w:val="-9"/>
        </w:rPr>
        <w:t> </w:t>
      </w:r>
      <w:r>
        <w:rPr>
          <w:color w:val="231F20"/>
          <w:spacing w:val="-3"/>
        </w:rPr>
        <w:t>mayor</w:t>
      </w:r>
      <w:r>
        <w:rPr>
          <w:color w:val="231F20"/>
          <w:spacing w:val="-10"/>
        </w:rPr>
        <w:t> </w:t>
      </w:r>
      <w:r>
        <w:rPr>
          <w:color w:val="231F20"/>
          <w:spacing w:val="-3"/>
        </w:rPr>
        <w:t>competencia</w:t>
      </w:r>
      <w:r>
        <w:rPr>
          <w:color w:val="231F20"/>
          <w:spacing w:val="-10"/>
        </w:rPr>
        <w:t> </w:t>
      </w:r>
      <w:r>
        <w:rPr>
          <w:color w:val="231F20"/>
        </w:rPr>
        <w:t>por</w:t>
      </w:r>
      <w:r>
        <w:rPr>
          <w:color w:val="231F20"/>
          <w:spacing w:val="-9"/>
        </w:rPr>
        <w:t> </w:t>
      </w:r>
      <w:r>
        <w:rPr>
          <w:color w:val="231F20"/>
          <w:spacing w:val="-3"/>
        </w:rPr>
        <w:t>luz,</w:t>
      </w:r>
      <w:r>
        <w:rPr>
          <w:color w:val="231F20"/>
          <w:spacing w:val="-10"/>
        </w:rPr>
        <w:t> </w:t>
      </w:r>
      <w:r>
        <w:rPr>
          <w:color w:val="231F20"/>
          <w:spacing w:val="-3"/>
        </w:rPr>
        <w:t>agua</w:t>
      </w:r>
      <w:r>
        <w:rPr>
          <w:color w:val="231F20"/>
          <w:spacing w:val="-10"/>
        </w:rPr>
        <w:t> </w:t>
      </w:r>
      <w:r>
        <w:rPr>
          <w:color w:val="231F20"/>
        </w:rPr>
        <w:t>y</w:t>
      </w:r>
      <w:r>
        <w:rPr>
          <w:color w:val="231F20"/>
          <w:spacing w:val="-9"/>
        </w:rPr>
        <w:t> </w:t>
      </w:r>
      <w:r>
        <w:rPr>
          <w:color w:val="231F20"/>
          <w:spacing w:val="-3"/>
        </w:rPr>
        <w:t>nutrimentos</w:t>
      </w:r>
      <w:r>
        <w:rPr>
          <w:color w:val="231F20"/>
          <w:spacing w:val="-9"/>
        </w:rPr>
        <w:t> </w:t>
      </w:r>
      <w:r>
        <w:rPr>
          <w:color w:val="231F20"/>
        </w:rPr>
        <w:t>lo</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spacing w:val="-3"/>
        </w:rPr>
        <w:t>explica</w:t>
      </w:r>
      <w:r>
        <w:rPr>
          <w:color w:val="231F20"/>
          <w:spacing w:val="-10"/>
        </w:rPr>
        <w:t> </w:t>
      </w:r>
      <w:r>
        <w:rPr>
          <w:color w:val="231F20"/>
          <w:spacing w:val="-3"/>
        </w:rPr>
        <w:t>porque</w:t>
      </w:r>
      <w:r>
        <w:rPr>
          <w:color w:val="231F20"/>
          <w:spacing w:val="-9"/>
        </w:rPr>
        <w:t> </w:t>
      </w:r>
      <w:r>
        <w:rPr>
          <w:color w:val="231F20"/>
        </w:rPr>
        <w:t>las</w:t>
      </w:r>
      <w:r>
        <w:rPr>
          <w:color w:val="231F20"/>
          <w:spacing w:val="-10"/>
        </w:rPr>
        <w:t> </w:t>
      </w:r>
      <w:r>
        <w:rPr>
          <w:color w:val="231F20"/>
          <w:spacing w:val="-3"/>
        </w:rPr>
        <w:t>plantas</w:t>
      </w:r>
      <w:r>
        <w:rPr>
          <w:color w:val="231F20"/>
          <w:spacing w:val="-9"/>
        </w:rPr>
        <w:t> </w:t>
      </w:r>
      <w:r>
        <w:rPr>
          <w:color w:val="231F20"/>
          <w:spacing w:val="-3"/>
        </w:rPr>
        <w:t>fueron</w:t>
      </w:r>
      <w:r>
        <w:rPr>
          <w:color w:val="231F20"/>
          <w:spacing w:val="-9"/>
        </w:rPr>
        <w:t> </w:t>
      </w:r>
      <w:r>
        <w:rPr>
          <w:color w:val="231F20"/>
        </w:rPr>
        <w:t>más</w:t>
      </w:r>
      <w:r>
        <w:rPr>
          <w:color w:val="231F20"/>
          <w:spacing w:val="-10"/>
        </w:rPr>
        <w:t> </w:t>
      </w:r>
      <w:r>
        <w:rPr>
          <w:color w:val="231F20"/>
        </w:rPr>
        <w:t>al- tas</w:t>
      </w:r>
      <w:r>
        <w:rPr>
          <w:color w:val="231F20"/>
          <w:spacing w:val="-11"/>
        </w:rPr>
        <w:t> </w:t>
      </w:r>
      <w:r>
        <w:rPr>
          <w:color w:val="231F20"/>
        </w:rPr>
        <w:t>con</w:t>
      </w:r>
      <w:r>
        <w:rPr>
          <w:color w:val="231F20"/>
          <w:spacing w:val="-11"/>
        </w:rPr>
        <w:t> </w:t>
      </w:r>
      <w:r>
        <w:rPr>
          <w:color w:val="231F20"/>
        </w:rPr>
        <w:t>una</w:t>
      </w:r>
      <w:r>
        <w:rPr>
          <w:color w:val="231F20"/>
          <w:spacing w:val="-23"/>
        </w:rPr>
        <w:t> </w:t>
      </w:r>
      <w:r>
        <w:rPr>
          <w:color w:val="231F20"/>
          <w:spacing w:val="-3"/>
        </w:rPr>
        <w:t>ALP=95.0</w:t>
      </w:r>
      <w:r>
        <w:rPr>
          <w:color w:val="231F20"/>
          <w:spacing w:val="-11"/>
        </w:rPr>
        <w:t> </w:t>
      </w:r>
      <w:r>
        <w:rPr>
          <w:color w:val="231F20"/>
        </w:rPr>
        <w:t>cm,</w:t>
      </w:r>
      <w:r>
        <w:rPr>
          <w:color w:val="231F20"/>
          <w:spacing w:val="-11"/>
        </w:rPr>
        <w:t> </w:t>
      </w:r>
      <w:r>
        <w:rPr>
          <w:color w:val="231F20"/>
        </w:rPr>
        <w:t>no</w:t>
      </w:r>
      <w:r>
        <w:rPr>
          <w:color w:val="231F20"/>
          <w:spacing w:val="-11"/>
        </w:rPr>
        <w:t> </w:t>
      </w:r>
      <w:r>
        <w:rPr>
          <w:color w:val="231F20"/>
          <w:spacing w:val="-3"/>
        </w:rPr>
        <w:t>obstante</w:t>
      </w:r>
      <w:r>
        <w:rPr>
          <w:color w:val="231F20"/>
          <w:spacing w:val="-11"/>
        </w:rPr>
        <w:t> </w:t>
      </w:r>
      <w:r>
        <w:rPr>
          <w:color w:val="231F20"/>
        </w:rPr>
        <w:t>sus</w:t>
      </w:r>
      <w:r>
        <w:rPr>
          <w:color w:val="231F20"/>
          <w:spacing w:val="-11"/>
        </w:rPr>
        <w:t> </w:t>
      </w:r>
      <w:r>
        <w:rPr>
          <w:color w:val="231F20"/>
          <w:spacing w:val="-3"/>
        </w:rPr>
        <w:t>tallos</w:t>
      </w:r>
      <w:r>
        <w:rPr>
          <w:color w:val="231F20"/>
          <w:spacing w:val="-11"/>
        </w:rPr>
        <w:t> </w:t>
      </w:r>
      <w:r>
        <w:rPr>
          <w:color w:val="231F20"/>
          <w:spacing w:val="-3"/>
        </w:rPr>
        <w:t>fueron</w:t>
      </w:r>
      <w:r>
        <w:rPr>
          <w:color w:val="231F20"/>
          <w:spacing w:val="-11"/>
        </w:rPr>
        <w:t> </w:t>
      </w:r>
      <w:r>
        <w:rPr>
          <w:color w:val="231F20"/>
        </w:rPr>
        <w:t>más</w:t>
      </w:r>
      <w:r>
        <w:rPr>
          <w:color w:val="231F20"/>
          <w:spacing w:val="-11"/>
        </w:rPr>
        <w:t> </w:t>
      </w:r>
      <w:r>
        <w:rPr>
          <w:color w:val="231F20"/>
          <w:spacing w:val="-3"/>
        </w:rPr>
        <w:t>delgados</w:t>
      </w:r>
      <w:r>
        <w:rPr>
          <w:color w:val="231F20"/>
          <w:spacing w:val="-11"/>
        </w:rPr>
        <w:t> </w:t>
      </w:r>
      <w:r>
        <w:rPr>
          <w:color w:val="231F20"/>
        </w:rPr>
        <w:t>con</w:t>
      </w:r>
      <w:r>
        <w:rPr>
          <w:color w:val="231F20"/>
          <w:spacing w:val="-11"/>
        </w:rPr>
        <w:t> </w:t>
      </w:r>
      <w:r>
        <w:rPr>
          <w:color w:val="231F20"/>
        </w:rPr>
        <w:t>un</w:t>
      </w:r>
      <w:r>
        <w:rPr>
          <w:color w:val="231F20"/>
          <w:spacing w:val="-11"/>
        </w:rPr>
        <w:t> </w:t>
      </w:r>
      <w:r>
        <w:rPr>
          <w:color w:val="231F20"/>
          <w:spacing w:val="-5"/>
        </w:rPr>
        <w:t>DTA=4.4</w:t>
      </w:r>
      <w:r>
        <w:rPr>
          <w:color w:val="231F20"/>
          <w:spacing w:val="-11"/>
        </w:rPr>
        <w:t> </w:t>
      </w:r>
      <w:r>
        <w:rPr>
          <w:color w:val="231F20"/>
        </w:rPr>
        <w:t>cm</w:t>
      </w:r>
      <w:r>
        <w:rPr>
          <w:color w:val="231F20"/>
          <w:spacing w:val="-11"/>
        </w:rPr>
        <w:t> </w:t>
      </w:r>
      <w:r>
        <w:rPr>
          <w:color w:val="231F20"/>
          <w:spacing w:val="-3"/>
        </w:rPr>
        <w:t>(Cuadro</w:t>
      </w:r>
      <w:r>
        <w:rPr>
          <w:color w:val="231F20"/>
          <w:spacing w:val="-11"/>
        </w:rPr>
        <w:t> </w:t>
      </w:r>
      <w:r>
        <w:rPr>
          <w:color w:val="231F20"/>
          <w:spacing w:val="-3"/>
        </w:rPr>
        <w:t>4), </w:t>
      </w:r>
      <w:r>
        <w:rPr>
          <w:color w:val="231F20"/>
        </w:rPr>
        <w:t>en</w:t>
      </w:r>
      <w:r>
        <w:rPr>
          <w:color w:val="231F20"/>
          <w:spacing w:val="-11"/>
        </w:rPr>
        <w:t> </w:t>
      </w:r>
      <w:r>
        <w:rPr>
          <w:color w:val="231F20"/>
          <w:spacing w:val="-3"/>
        </w:rPr>
        <w:t>relación</w:t>
      </w:r>
      <w:r>
        <w:rPr>
          <w:color w:val="231F20"/>
          <w:spacing w:val="-11"/>
        </w:rPr>
        <w:t> </w:t>
      </w:r>
      <w:r>
        <w:rPr>
          <w:color w:val="231F20"/>
        </w:rPr>
        <w:t>con</w:t>
      </w:r>
      <w:r>
        <w:rPr>
          <w:color w:val="231F20"/>
          <w:spacing w:val="-11"/>
        </w:rPr>
        <w:t> </w:t>
      </w:r>
      <w:r>
        <w:rPr>
          <w:color w:val="231F20"/>
          <w:spacing w:val="-3"/>
        </w:rPr>
        <w:t>otras</w:t>
      </w:r>
      <w:r>
        <w:rPr>
          <w:color w:val="231F20"/>
          <w:spacing w:val="-11"/>
        </w:rPr>
        <w:t> </w:t>
      </w:r>
      <w:r>
        <w:rPr>
          <w:color w:val="231F20"/>
          <w:spacing w:val="-3"/>
        </w:rPr>
        <w:t>densidades,</w:t>
      </w:r>
      <w:r>
        <w:rPr>
          <w:color w:val="231F20"/>
          <w:spacing w:val="-11"/>
        </w:rPr>
        <w:t> </w:t>
      </w:r>
      <w:r>
        <w:rPr>
          <w:color w:val="231F20"/>
          <w:spacing w:val="-3"/>
        </w:rPr>
        <w:t>permitiendo</w:t>
      </w:r>
      <w:r>
        <w:rPr>
          <w:color w:val="231F20"/>
          <w:spacing w:val="-11"/>
        </w:rPr>
        <w:t> </w:t>
      </w:r>
      <w:r>
        <w:rPr>
          <w:color w:val="231F20"/>
          <w:spacing w:val="-3"/>
        </w:rPr>
        <w:t>acame</w:t>
      </w:r>
      <w:r>
        <w:rPr>
          <w:color w:val="231F20"/>
          <w:spacing w:val="-11"/>
        </w:rPr>
        <w:t> </w:t>
      </w:r>
      <w:r>
        <w:rPr>
          <w:color w:val="231F20"/>
          <w:spacing w:val="-3"/>
        </w:rPr>
        <w:t>producto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spacing w:val="-3"/>
        </w:rPr>
        <w:t>etiolación</w:t>
      </w:r>
      <w:r>
        <w:rPr>
          <w:color w:val="231F20"/>
          <w:spacing w:val="-11"/>
        </w:rPr>
        <w:t> </w:t>
      </w:r>
      <w:r>
        <w:rPr>
          <w:color w:val="231F20"/>
        </w:rPr>
        <w:t>de</w:t>
      </w:r>
      <w:r>
        <w:rPr>
          <w:color w:val="231F20"/>
          <w:spacing w:val="-11"/>
        </w:rPr>
        <w:t> </w:t>
      </w:r>
      <w:r>
        <w:rPr>
          <w:color w:val="231F20"/>
          <w:spacing w:val="-3"/>
        </w:rPr>
        <w:t>algunas</w:t>
      </w:r>
      <w:r>
        <w:rPr>
          <w:color w:val="231F20"/>
          <w:spacing w:val="-11"/>
        </w:rPr>
        <w:t> </w:t>
      </w:r>
      <w:r>
        <w:rPr>
          <w:color w:val="231F20"/>
          <w:spacing w:val="-3"/>
        </w:rPr>
        <w:t>plantas</w:t>
      </w:r>
      <w:r>
        <w:rPr>
          <w:color w:val="231F20"/>
          <w:spacing w:val="-11"/>
        </w:rPr>
        <w:t> </w:t>
      </w:r>
      <w:r>
        <w:rPr>
          <w:color w:val="231F20"/>
        </w:rPr>
        <w:t>por</w:t>
      </w:r>
      <w:r>
        <w:rPr>
          <w:color w:val="231F20"/>
          <w:spacing w:val="-11"/>
        </w:rPr>
        <w:t> </w:t>
      </w:r>
      <w:r>
        <w:rPr>
          <w:color w:val="231F20"/>
          <w:spacing w:val="-3"/>
        </w:rPr>
        <w:t>la alta</w:t>
      </w:r>
      <w:r>
        <w:rPr>
          <w:color w:val="231F20"/>
          <w:spacing w:val="-9"/>
        </w:rPr>
        <w:t> </w:t>
      </w:r>
      <w:r>
        <w:rPr>
          <w:color w:val="231F20"/>
          <w:spacing w:val="-3"/>
        </w:rPr>
        <w:t>densidad</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que</w:t>
      </w:r>
      <w:r>
        <w:rPr>
          <w:color w:val="231F20"/>
          <w:spacing w:val="-9"/>
        </w:rPr>
        <w:t> </w:t>
      </w:r>
      <w:r>
        <w:rPr>
          <w:color w:val="231F20"/>
          <w:spacing w:val="-3"/>
        </w:rPr>
        <w:t>crecieron.</w:t>
      </w:r>
      <w:r>
        <w:rPr>
          <w:color w:val="231F20"/>
          <w:spacing w:val="-10"/>
        </w:rPr>
        <w:t> </w:t>
      </w:r>
      <w:r>
        <w:rPr>
          <w:color w:val="231F20"/>
          <w:spacing w:val="-3"/>
        </w:rPr>
        <w:t>Bolaños</w:t>
      </w:r>
      <w:r>
        <w:rPr>
          <w:color w:val="231F20"/>
          <w:spacing w:val="-9"/>
        </w:rPr>
        <w:t> </w:t>
      </w:r>
      <w:r>
        <w:rPr>
          <w:color w:val="231F20"/>
        </w:rPr>
        <w:t>y</w:t>
      </w:r>
      <w:r>
        <w:rPr>
          <w:color w:val="231F20"/>
          <w:spacing w:val="-9"/>
        </w:rPr>
        <w:t> </w:t>
      </w:r>
      <w:r>
        <w:rPr>
          <w:color w:val="231F20"/>
          <w:spacing w:val="-3"/>
        </w:rPr>
        <w:t>Emile</w:t>
      </w:r>
      <w:r>
        <w:rPr>
          <w:color w:val="231F20"/>
          <w:spacing w:val="-9"/>
        </w:rPr>
        <w:t> </w:t>
      </w:r>
      <w:r>
        <w:rPr>
          <w:color w:val="231F20"/>
          <w:spacing w:val="-4"/>
        </w:rPr>
        <w:t>(2011)</w:t>
      </w:r>
      <w:r>
        <w:rPr>
          <w:color w:val="231F20"/>
          <w:spacing w:val="-9"/>
        </w:rPr>
        <w:t> </w:t>
      </w:r>
      <w:r>
        <w:rPr>
          <w:color w:val="231F20"/>
          <w:spacing w:val="-3"/>
        </w:rPr>
        <w:t>encontraron</w:t>
      </w:r>
      <w:r>
        <w:rPr>
          <w:color w:val="231F20"/>
          <w:spacing w:val="-10"/>
        </w:rPr>
        <w:t> </w:t>
      </w:r>
      <w:r>
        <w:rPr>
          <w:color w:val="231F20"/>
        </w:rPr>
        <w:t>que</w:t>
      </w:r>
      <w:r>
        <w:rPr>
          <w:color w:val="231F20"/>
          <w:spacing w:val="-9"/>
        </w:rPr>
        <w:t> </w:t>
      </w:r>
      <w:r>
        <w:rPr>
          <w:color w:val="231F20"/>
        </w:rPr>
        <w:t>a</w:t>
      </w:r>
      <w:r>
        <w:rPr>
          <w:color w:val="231F20"/>
          <w:spacing w:val="-9"/>
        </w:rPr>
        <w:t> </w:t>
      </w:r>
      <w:r>
        <w:rPr>
          <w:color w:val="231F20"/>
          <w:spacing w:val="-3"/>
        </w:rPr>
        <w:t>densidades</w:t>
      </w:r>
      <w:r>
        <w:rPr>
          <w:color w:val="231F20"/>
          <w:spacing w:val="-9"/>
        </w:rPr>
        <w:t> </w:t>
      </w:r>
      <w:r>
        <w:rPr>
          <w:color w:val="231F20"/>
          <w:spacing w:val="-3"/>
        </w:rPr>
        <w:t>altas</w:t>
      </w:r>
      <w:r>
        <w:rPr>
          <w:color w:val="231F20"/>
          <w:spacing w:val="-9"/>
        </w:rPr>
        <w:t> </w:t>
      </w:r>
      <w:r>
        <w:rPr>
          <w:color w:val="231F20"/>
        </w:rPr>
        <w:t>el</w:t>
      </w:r>
      <w:r>
        <w:rPr>
          <w:color w:val="231F20"/>
          <w:spacing w:val="-9"/>
        </w:rPr>
        <w:t> </w:t>
      </w:r>
      <w:r>
        <w:rPr>
          <w:color w:val="231F20"/>
          <w:spacing w:val="-3"/>
        </w:rPr>
        <w:t>cultivo </w:t>
      </w:r>
      <w:r>
        <w:rPr>
          <w:color w:val="231F20"/>
        </w:rPr>
        <w:t>de </w:t>
      </w:r>
      <w:r>
        <w:rPr>
          <w:color w:val="231F20"/>
          <w:spacing w:val="-3"/>
        </w:rPr>
        <w:t>sorgo incrementa </w:t>
      </w:r>
      <w:r>
        <w:rPr>
          <w:color w:val="231F20"/>
        </w:rPr>
        <w:t>la </w:t>
      </w:r>
      <w:r>
        <w:rPr>
          <w:color w:val="231F20"/>
          <w:spacing w:val="-3"/>
        </w:rPr>
        <w:t>competencia entre plantas </w:t>
      </w:r>
      <w:r>
        <w:rPr>
          <w:color w:val="231F20"/>
        </w:rPr>
        <w:t>por </w:t>
      </w:r>
      <w:r>
        <w:rPr>
          <w:color w:val="231F20"/>
          <w:spacing w:val="-3"/>
        </w:rPr>
        <w:t>nutrientes; </w:t>
      </w:r>
      <w:r>
        <w:rPr>
          <w:color w:val="231F20"/>
        </w:rPr>
        <w:t>por el </w:t>
      </w:r>
      <w:r>
        <w:rPr>
          <w:color w:val="231F20"/>
          <w:spacing w:val="-3"/>
        </w:rPr>
        <w:t>contrario cuando existe una mayor</w:t>
      </w:r>
      <w:r>
        <w:rPr>
          <w:color w:val="231F20"/>
          <w:spacing w:val="-7"/>
        </w:rPr>
        <w:t> </w:t>
      </w:r>
      <w:r>
        <w:rPr>
          <w:color w:val="231F20"/>
          <w:spacing w:val="-3"/>
        </w:rPr>
        <w:t>separación</w:t>
      </w:r>
      <w:r>
        <w:rPr>
          <w:color w:val="231F20"/>
          <w:spacing w:val="-6"/>
        </w:rPr>
        <w:t> </w:t>
      </w:r>
      <w:r>
        <w:rPr>
          <w:color w:val="231F20"/>
          <w:spacing w:val="-3"/>
        </w:rPr>
        <w:t>entre</w:t>
      </w:r>
      <w:r>
        <w:rPr>
          <w:color w:val="231F20"/>
          <w:spacing w:val="-7"/>
        </w:rPr>
        <w:t> </w:t>
      </w:r>
      <w:r>
        <w:rPr>
          <w:color w:val="231F20"/>
          <w:spacing w:val="-3"/>
        </w:rPr>
        <w:t>plantas</w:t>
      </w:r>
      <w:r>
        <w:rPr>
          <w:color w:val="231F20"/>
          <w:spacing w:val="-7"/>
        </w:rPr>
        <w:t> </w:t>
      </w:r>
      <w:r>
        <w:rPr>
          <w:color w:val="231F20"/>
        </w:rPr>
        <w:t>se</w:t>
      </w:r>
      <w:r>
        <w:rPr>
          <w:color w:val="231F20"/>
          <w:spacing w:val="-7"/>
        </w:rPr>
        <w:t> </w:t>
      </w:r>
      <w:r>
        <w:rPr>
          <w:color w:val="231F20"/>
          <w:spacing w:val="-3"/>
        </w:rPr>
        <w:t>mejora</w:t>
      </w:r>
      <w:r>
        <w:rPr>
          <w:color w:val="231F20"/>
          <w:spacing w:val="-7"/>
        </w:rPr>
        <w:t> </w:t>
      </w:r>
      <w:r>
        <w:rPr>
          <w:color w:val="231F20"/>
        </w:rPr>
        <w:t>la</w:t>
      </w:r>
      <w:r>
        <w:rPr>
          <w:color w:val="231F20"/>
          <w:spacing w:val="-7"/>
        </w:rPr>
        <w:t> </w:t>
      </w:r>
      <w:r>
        <w:rPr>
          <w:color w:val="231F20"/>
          <w:spacing w:val="-3"/>
        </w:rPr>
        <w:t>penetración</w:t>
      </w:r>
      <w:r>
        <w:rPr>
          <w:color w:val="231F20"/>
          <w:spacing w:val="-7"/>
        </w:rPr>
        <w:t> </w:t>
      </w:r>
      <w:r>
        <w:rPr>
          <w:color w:val="231F20"/>
        </w:rPr>
        <w:t>de</w:t>
      </w:r>
      <w:r>
        <w:rPr>
          <w:color w:val="231F20"/>
          <w:spacing w:val="-7"/>
        </w:rPr>
        <w:t> </w:t>
      </w:r>
      <w:r>
        <w:rPr>
          <w:color w:val="231F20"/>
        </w:rPr>
        <w:t>luz</w:t>
      </w:r>
      <w:r>
        <w:rPr>
          <w:color w:val="231F20"/>
          <w:spacing w:val="-7"/>
        </w:rPr>
        <w:t> </w:t>
      </w:r>
      <w:r>
        <w:rPr>
          <w:color w:val="231F20"/>
        </w:rPr>
        <w:t>y</w:t>
      </w:r>
      <w:r>
        <w:rPr>
          <w:color w:val="231F20"/>
          <w:spacing w:val="-7"/>
        </w:rPr>
        <w:t> </w:t>
      </w:r>
      <w:r>
        <w:rPr>
          <w:color w:val="231F20"/>
          <w:spacing w:val="-3"/>
        </w:rPr>
        <w:t>disminuye</w:t>
      </w:r>
      <w:r>
        <w:rPr>
          <w:color w:val="231F20"/>
          <w:spacing w:val="-7"/>
        </w:rPr>
        <w:t> </w:t>
      </w:r>
      <w:r>
        <w:rPr>
          <w:color w:val="231F20"/>
        </w:rPr>
        <w:t>la</w:t>
      </w:r>
      <w:r>
        <w:rPr>
          <w:color w:val="231F20"/>
          <w:spacing w:val="-7"/>
        </w:rPr>
        <w:t> </w:t>
      </w:r>
      <w:r>
        <w:rPr>
          <w:color w:val="231F20"/>
          <w:spacing w:val="-3"/>
        </w:rPr>
        <w:t>competencia</w:t>
      </w:r>
      <w:r>
        <w:rPr>
          <w:color w:val="231F20"/>
          <w:spacing w:val="-8"/>
        </w:rPr>
        <w:t> </w:t>
      </w:r>
      <w:r>
        <w:rPr>
          <w:color w:val="231F20"/>
          <w:spacing w:val="-3"/>
        </w:rPr>
        <w:t>entre</w:t>
      </w:r>
      <w:r>
        <w:rPr>
          <w:color w:val="231F20"/>
          <w:spacing w:val="-7"/>
        </w:rPr>
        <w:t> </w:t>
      </w:r>
      <w:r>
        <w:rPr>
          <w:color w:val="231F20"/>
          <w:spacing w:val="-3"/>
        </w:rPr>
        <w:t>ellas.</w:t>
      </w:r>
    </w:p>
    <w:p>
      <w:pPr>
        <w:spacing w:after="0" w:line="249" w:lineRule="auto"/>
        <w:jc w:val="both"/>
        <w:sectPr>
          <w:pgSz w:w="10920" w:h="13080"/>
          <w:pgMar w:header="0" w:footer="965" w:top="420" w:bottom="1220" w:left="0" w:right="0"/>
        </w:sectPr>
      </w:pPr>
    </w:p>
    <w:p>
      <w:pPr>
        <w:pStyle w:val="BodyText"/>
        <w:rPr>
          <w:sz w:val="20"/>
        </w:rPr>
      </w:pPr>
    </w:p>
    <w:p>
      <w:pPr>
        <w:pStyle w:val="BodyText"/>
        <w:rPr>
          <w:sz w:val="20"/>
        </w:rPr>
      </w:pPr>
    </w:p>
    <w:p>
      <w:pPr>
        <w:pStyle w:val="BodyText"/>
        <w:rPr>
          <w:sz w:val="23"/>
        </w:rPr>
      </w:pPr>
    </w:p>
    <w:p>
      <w:pPr>
        <w:spacing w:line="249" w:lineRule="auto" w:before="77"/>
        <w:ind w:left="2114" w:right="1176" w:hanging="806"/>
        <w:jc w:val="left"/>
        <w:rPr>
          <w:b/>
          <w:sz w:val="18"/>
        </w:rPr>
      </w:pPr>
      <w:r>
        <w:rPr>
          <w:b/>
          <w:color w:val="010202"/>
          <w:sz w:val="18"/>
        </w:rPr>
        <w:t>Cuadro 4. Prueba de comparación de medias para 17 caracteres en sorgo </w:t>
      </w:r>
      <w:r>
        <w:rPr>
          <w:b/>
          <w:i/>
          <w:color w:val="010202"/>
          <w:sz w:val="18"/>
        </w:rPr>
        <w:t>Sorghum bicolor </w:t>
      </w:r>
      <w:r>
        <w:rPr>
          <w:b/>
          <w:color w:val="010202"/>
          <w:sz w:val="18"/>
        </w:rPr>
        <w:t>L. (Moench) para densidades en promedio de niveles de fertilización. Loma Bonita, Oaxaca, México, 2009</w:t>
      </w:r>
    </w:p>
    <w:p>
      <w:pPr>
        <w:pStyle w:val="BodyText"/>
        <w:spacing w:before="5"/>
        <w:rPr>
          <w:b/>
          <w:sz w:val="14"/>
        </w:rPr>
      </w:pPr>
      <w:r>
        <w:rPr/>
        <w:drawing>
          <wp:anchor distT="0" distB="0" distL="0" distR="0" allowOverlap="1" layoutInCell="1" locked="0" behindDoc="0" simplePos="0" relativeHeight="4744">
            <wp:simplePos x="0" y="0"/>
            <wp:positionH relativeFrom="page">
              <wp:posOffset>871499</wp:posOffset>
            </wp:positionH>
            <wp:positionV relativeFrom="paragraph">
              <wp:posOffset>130233</wp:posOffset>
            </wp:positionV>
            <wp:extent cx="5173608" cy="3559492"/>
            <wp:effectExtent l="0" t="0" r="0" b="0"/>
            <wp:wrapTopAndBottom/>
            <wp:docPr id="181" name="image73.jpeg" descr=""/>
            <wp:cNvGraphicFramePr>
              <a:graphicFrameLocks noChangeAspect="1"/>
            </wp:cNvGraphicFramePr>
            <a:graphic>
              <a:graphicData uri="http://schemas.openxmlformats.org/drawingml/2006/picture">
                <pic:pic>
                  <pic:nvPicPr>
                    <pic:cNvPr id="182" name="image73.jpeg"/>
                    <pic:cNvPicPr/>
                  </pic:nvPicPr>
                  <pic:blipFill>
                    <a:blip r:embed="rId105" cstate="print"/>
                    <a:stretch>
                      <a:fillRect/>
                    </a:stretch>
                  </pic:blipFill>
                  <pic:spPr>
                    <a:xfrm>
                      <a:off x="0" y="0"/>
                      <a:ext cx="5173608" cy="3559492"/>
                    </a:xfrm>
                    <a:prstGeom prst="rect">
                      <a:avLst/>
                    </a:prstGeom>
                  </pic:spPr>
                </pic:pic>
              </a:graphicData>
            </a:graphic>
          </wp:anchor>
        </w:drawing>
      </w:r>
    </w:p>
    <w:p>
      <w:pPr>
        <w:pStyle w:val="BodyText"/>
        <w:rPr>
          <w:b/>
          <w:sz w:val="18"/>
        </w:rPr>
      </w:pPr>
    </w:p>
    <w:p>
      <w:pPr>
        <w:spacing w:line="307" w:lineRule="auto" w:before="124"/>
        <w:ind w:left="1270" w:right="1267" w:firstLine="0"/>
        <w:jc w:val="both"/>
        <w:rPr>
          <w:b/>
          <w:i/>
          <w:sz w:val="17"/>
        </w:rPr>
      </w:pPr>
      <w:r>
        <w:rPr>
          <w:b/>
          <w:i/>
          <w:color w:val="231F20"/>
          <w:spacing w:val="-5"/>
          <w:sz w:val="17"/>
        </w:rPr>
        <w:t>ALP=Altura </w:t>
      </w:r>
      <w:r>
        <w:rPr>
          <w:b/>
          <w:i/>
          <w:color w:val="231F20"/>
          <w:spacing w:val="-3"/>
          <w:sz w:val="17"/>
        </w:rPr>
        <w:t>de </w:t>
      </w:r>
      <w:r>
        <w:rPr>
          <w:b/>
          <w:i/>
          <w:color w:val="231F20"/>
          <w:spacing w:val="-5"/>
          <w:sz w:val="17"/>
        </w:rPr>
        <w:t>planta </w:t>
      </w:r>
      <w:r>
        <w:rPr>
          <w:b/>
          <w:i/>
          <w:color w:val="231F20"/>
          <w:spacing w:val="-4"/>
          <w:sz w:val="17"/>
        </w:rPr>
        <w:t>(cm), </w:t>
      </w:r>
      <w:r>
        <w:rPr>
          <w:b/>
          <w:i/>
          <w:color w:val="231F20"/>
          <w:spacing w:val="-6"/>
          <w:sz w:val="17"/>
        </w:rPr>
        <w:t>LPA=Longitud </w:t>
      </w:r>
      <w:r>
        <w:rPr>
          <w:b/>
          <w:i/>
          <w:color w:val="231F20"/>
          <w:spacing w:val="-3"/>
          <w:sz w:val="17"/>
        </w:rPr>
        <w:t>de </w:t>
      </w:r>
      <w:r>
        <w:rPr>
          <w:b/>
          <w:i/>
          <w:color w:val="231F20"/>
          <w:spacing w:val="-5"/>
          <w:sz w:val="17"/>
        </w:rPr>
        <w:t>panoja </w:t>
      </w:r>
      <w:r>
        <w:rPr>
          <w:b/>
          <w:i/>
          <w:color w:val="231F20"/>
          <w:spacing w:val="-4"/>
          <w:sz w:val="17"/>
        </w:rPr>
        <w:t>(cm), </w:t>
      </w:r>
      <w:r>
        <w:rPr>
          <w:b/>
          <w:i/>
          <w:color w:val="231F20"/>
          <w:spacing w:val="-5"/>
          <w:sz w:val="17"/>
        </w:rPr>
        <w:t>LPE=Longitud </w:t>
      </w:r>
      <w:r>
        <w:rPr>
          <w:b/>
          <w:i/>
          <w:color w:val="231F20"/>
          <w:spacing w:val="-3"/>
          <w:sz w:val="17"/>
        </w:rPr>
        <w:t>de </w:t>
      </w:r>
      <w:r>
        <w:rPr>
          <w:b/>
          <w:i/>
          <w:color w:val="231F20"/>
          <w:spacing w:val="-5"/>
          <w:sz w:val="17"/>
        </w:rPr>
        <w:t>pedúnculo </w:t>
      </w:r>
      <w:r>
        <w:rPr>
          <w:b/>
          <w:i/>
          <w:color w:val="231F20"/>
          <w:spacing w:val="-4"/>
          <w:sz w:val="17"/>
        </w:rPr>
        <w:t>(cm), </w:t>
      </w:r>
      <w:r>
        <w:rPr>
          <w:b/>
          <w:i/>
          <w:color w:val="231F20"/>
          <w:spacing w:val="-6"/>
          <w:sz w:val="17"/>
        </w:rPr>
        <w:t>DTA=Diámetro </w:t>
      </w:r>
      <w:r>
        <w:rPr>
          <w:b/>
          <w:i/>
          <w:color w:val="231F20"/>
          <w:spacing w:val="-3"/>
          <w:sz w:val="17"/>
        </w:rPr>
        <w:t>de </w:t>
      </w:r>
      <w:r>
        <w:rPr>
          <w:b/>
          <w:i/>
          <w:color w:val="231F20"/>
          <w:spacing w:val="-4"/>
          <w:sz w:val="17"/>
        </w:rPr>
        <w:t>tallo </w:t>
      </w:r>
      <w:r>
        <w:rPr>
          <w:b/>
          <w:i/>
          <w:color w:val="231F20"/>
          <w:spacing w:val="-5"/>
          <w:sz w:val="17"/>
        </w:rPr>
        <w:t>(cm), </w:t>
      </w:r>
      <w:r>
        <w:rPr>
          <w:b/>
          <w:i/>
          <w:color w:val="231F20"/>
          <w:spacing w:val="-5"/>
          <w:sz w:val="17"/>
        </w:rPr>
        <w:t>NPP=Nudos</w:t>
      </w:r>
      <w:r>
        <w:rPr>
          <w:b/>
          <w:i/>
          <w:color w:val="231F20"/>
          <w:spacing w:val="-12"/>
          <w:sz w:val="17"/>
        </w:rPr>
        <w:t> </w:t>
      </w:r>
      <w:r>
        <w:rPr>
          <w:b/>
          <w:i/>
          <w:color w:val="231F20"/>
          <w:spacing w:val="-4"/>
          <w:sz w:val="17"/>
        </w:rPr>
        <w:t>por</w:t>
      </w:r>
      <w:r>
        <w:rPr>
          <w:b/>
          <w:i/>
          <w:color w:val="231F20"/>
          <w:spacing w:val="-12"/>
          <w:sz w:val="17"/>
        </w:rPr>
        <w:t> </w:t>
      </w:r>
      <w:r>
        <w:rPr>
          <w:b/>
          <w:i/>
          <w:color w:val="231F20"/>
          <w:spacing w:val="-5"/>
          <w:sz w:val="17"/>
        </w:rPr>
        <w:t>planta,</w:t>
      </w:r>
      <w:r>
        <w:rPr>
          <w:b/>
          <w:i/>
          <w:color w:val="231F20"/>
          <w:spacing w:val="-12"/>
          <w:sz w:val="17"/>
        </w:rPr>
        <w:t> </w:t>
      </w:r>
      <w:r>
        <w:rPr>
          <w:b/>
          <w:i/>
          <w:color w:val="231F20"/>
          <w:spacing w:val="-5"/>
          <w:sz w:val="17"/>
        </w:rPr>
        <w:t>PEH=Peso</w:t>
      </w:r>
      <w:r>
        <w:rPr>
          <w:b/>
          <w:i/>
          <w:color w:val="231F20"/>
          <w:spacing w:val="-12"/>
          <w:sz w:val="17"/>
        </w:rPr>
        <w:t> </w:t>
      </w:r>
      <w:r>
        <w:rPr>
          <w:b/>
          <w:i/>
          <w:color w:val="231F20"/>
          <w:spacing w:val="-3"/>
          <w:sz w:val="17"/>
        </w:rPr>
        <w:t>de</w:t>
      </w:r>
      <w:r>
        <w:rPr>
          <w:b/>
          <w:i/>
          <w:color w:val="231F20"/>
          <w:spacing w:val="-12"/>
          <w:sz w:val="17"/>
        </w:rPr>
        <w:t> </w:t>
      </w:r>
      <w:r>
        <w:rPr>
          <w:b/>
          <w:i/>
          <w:color w:val="231F20"/>
          <w:spacing w:val="-4"/>
          <w:sz w:val="17"/>
        </w:rPr>
        <w:t>hojas</w:t>
      </w:r>
      <w:r>
        <w:rPr>
          <w:b/>
          <w:i/>
          <w:color w:val="231F20"/>
          <w:spacing w:val="-12"/>
          <w:sz w:val="17"/>
        </w:rPr>
        <w:t> </w:t>
      </w:r>
      <w:r>
        <w:rPr>
          <w:b/>
          <w:i/>
          <w:color w:val="231F20"/>
          <w:spacing w:val="-4"/>
          <w:sz w:val="17"/>
        </w:rPr>
        <w:t>(g),</w:t>
      </w:r>
      <w:r>
        <w:rPr>
          <w:b/>
          <w:i/>
          <w:color w:val="231F20"/>
          <w:spacing w:val="-12"/>
          <w:sz w:val="17"/>
        </w:rPr>
        <w:t> </w:t>
      </w:r>
      <w:r>
        <w:rPr>
          <w:b/>
          <w:i/>
          <w:color w:val="231F20"/>
          <w:spacing w:val="-5"/>
          <w:sz w:val="17"/>
        </w:rPr>
        <w:t>PET=Peso</w:t>
      </w:r>
      <w:r>
        <w:rPr>
          <w:b/>
          <w:i/>
          <w:color w:val="231F20"/>
          <w:spacing w:val="-12"/>
          <w:sz w:val="17"/>
        </w:rPr>
        <w:t> </w:t>
      </w:r>
      <w:r>
        <w:rPr>
          <w:b/>
          <w:i/>
          <w:color w:val="231F20"/>
          <w:spacing w:val="-3"/>
          <w:sz w:val="17"/>
        </w:rPr>
        <w:t>de</w:t>
      </w:r>
      <w:r>
        <w:rPr>
          <w:b/>
          <w:i/>
          <w:color w:val="231F20"/>
          <w:spacing w:val="-12"/>
          <w:sz w:val="17"/>
        </w:rPr>
        <w:t> </w:t>
      </w:r>
      <w:r>
        <w:rPr>
          <w:b/>
          <w:i/>
          <w:color w:val="231F20"/>
          <w:spacing w:val="-4"/>
          <w:sz w:val="17"/>
        </w:rPr>
        <w:t>tallo</w:t>
      </w:r>
      <w:r>
        <w:rPr>
          <w:b/>
          <w:i/>
          <w:color w:val="231F20"/>
          <w:spacing w:val="-12"/>
          <w:sz w:val="17"/>
        </w:rPr>
        <w:t> </w:t>
      </w:r>
      <w:r>
        <w:rPr>
          <w:b/>
          <w:i/>
          <w:color w:val="231F20"/>
          <w:spacing w:val="-4"/>
          <w:sz w:val="17"/>
        </w:rPr>
        <w:t>/g),</w:t>
      </w:r>
      <w:r>
        <w:rPr>
          <w:b/>
          <w:i/>
          <w:color w:val="231F20"/>
          <w:spacing w:val="-12"/>
          <w:sz w:val="17"/>
        </w:rPr>
        <w:t> </w:t>
      </w:r>
      <w:r>
        <w:rPr>
          <w:b/>
          <w:i/>
          <w:color w:val="231F20"/>
          <w:spacing w:val="-5"/>
          <w:sz w:val="17"/>
        </w:rPr>
        <w:t>PEP=Peso</w:t>
      </w:r>
      <w:r>
        <w:rPr>
          <w:b/>
          <w:i/>
          <w:color w:val="231F20"/>
          <w:spacing w:val="-12"/>
          <w:sz w:val="17"/>
        </w:rPr>
        <w:t> </w:t>
      </w:r>
      <w:r>
        <w:rPr>
          <w:b/>
          <w:i/>
          <w:color w:val="231F20"/>
          <w:spacing w:val="-3"/>
          <w:sz w:val="17"/>
        </w:rPr>
        <w:t>de</w:t>
      </w:r>
      <w:r>
        <w:rPr>
          <w:b/>
          <w:i/>
          <w:color w:val="231F20"/>
          <w:spacing w:val="-12"/>
          <w:sz w:val="17"/>
        </w:rPr>
        <w:t> </w:t>
      </w:r>
      <w:r>
        <w:rPr>
          <w:b/>
          <w:i/>
          <w:color w:val="231F20"/>
          <w:spacing w:val="-5"/>
          <w:sz w:val="17"/>
        </w:rPr>
        <w:t>panojas</w:t>
      </w:r>
      <w:r>
        <w:rPr>
          <w:b/>
          <w:i/>
          <w:color w:val="231F20"/>
          <w:spacing w:val="-12"/>
          <w:sz w:val="17"/>
        </w:rPr>
        <w:t> </w:t>
      </w:r>
      <w:r>
        <w:rPr>
          <w:b/>
          <w:i/>
          <w:color w:val="231F20"/>
          <w:spacing w:val="-4"/>
          <w:sz w:val="17"/>
        </w:rPr>
        <w:t>(g),</w:t>
      </w:r>
      <w:r>
        <w:rPr>
          <w:b/>
          <w:i/>
          <w:color w:val="231F20"/>
          <w:spacing w:val="-12"/>
          <w:sz w:val="17"/>
        </w:rPr>
        <w:t> </w:t>
      </w:r>
      <w:r>
        <w:rPr>
          <w:b/>
          <w:i/>
          <w:color w:val="231F20"/>
          <w:spacing w:val="-6"/>
          <w:sz w:val="17"/>
        </w:rPr>
        <w:t>ESPA=Espiguillas</w:t>
      </w:r>
      <w:r>
        <w:rPr>
          <w:b/>
          <w:i/>
          <w:color w:val="231F20"/>
          <w:spacing w:val="-12"/>
          <w:sz w:val="17"/>
        </w:rPr>
        <w:t> </w:t>
      </w:r>
      <w:r>
        <w:rPr>
          <w:b/>
          <w:i/>
          <w:color w:val="231F20"/>
          <w:spacing w:val="-4"/>
          <w:sz w:val="17"/>
        </w:rPr>
        <w:t>por</w:t>
      </w:r>
      <w:r>
        <w:rPr>
          <w:b/>
          <w:i/>
          <w:color w:val="231F20"/>
          <w:spacing w:val="-12"/>
          <w:sz w:val="17"/>
        </w:rPr>
        <w:t> </w:t>
      </w:r>
      <w:r>
        <w:rPr>
          <w:b/>
          <w:i/>
          <w:color w:val="231F20"/>
          <w:spacing w:val="-4"/>
          <w:sz w:val="17"/>
        </w:rPr>
        <w:t>pano- ja,</w:t>
      </w:r>
      <w:r>
        <w:rPr>
          <w:b/>
          <w:i/>
          <w:color w:val="231F20"/>
          <w:spacing w:val="-11"/>
          <w:sz w:val="17"/>
        </w:rPr>
        <w:t> </w:t>
      </w:r>
      <w:r>
        <w:rPr>
          <w:b/>
          <w:i/>
          <w:color w:val="231F20"/>
          <w:spacing w:val="-5"/>
          <w:sz w:val="17"/>
        </w:rPr>
        <w:t>GEP=Granos</w:t>
      </w:r>
      <w:r>
        <w:rPr>
          <w:b/>
          <w:i/>
          <w:color w:val="231F20"/>
          <w:spacing w:val="-11"/>
          <w:sz w:val="17"/>
        </w:rPr>
        <w:t> </w:t>
      </w:r>
      <w:r>
        <w:rPr>
          <w:b/>
          <w:i/>
          <w:color w:val="231F20"/>
          <w:spacing w:val="-4"/>
          <w:sz w:val="17"/>
        </w:rPr>
        <w:t>por</w:t>
      </w:r>
      <w:r>
        <w:rPr>
          <w:b/>
          <w:i/>
          <w:color w:val="231F20"/>
          <w:spacing w:val="-11"/>
          <w:sz w:val="17"/>
        </w:rPr>
        <w:t> </w:t>
      </w:r>
      <w:r>
        <w:rPr>
          <w:b/>
          <w:i/>
          <w:color w:val="231F20"/>
          <w:spacing w:val="-5"/>
          <w:sz w:val="17"/>
        </w:rPr>
        <w:t>espiguilla,</w:t>
      </w:r>
      <w:r>
        <w:rPr>
          <w:b/>
          <w:i/>
          <w:color w:val="231F20"/>
          <w:spacing w:val="-11"/>
          <w:sz w:val="17"/>
        </w:rPr>
        <w:t> </w:t>
      </w:r>
      <w:r>
        <w:rPr>
          <w:b/>
          <w:i/>
          <w:color w:val="231F20"/>
          <w:spacing w:val="-6"/>
          <w:sz w:val="17"/>
        </w:rPr>
        <w:t>GPA=Granos</w:t>
      </w:r>
      <w:r>
        <w:rPr>
          <w:b/>
          <w:i/>
          <w:color w:val="231F20"/>
          <w:spacing w:val="-11"/>
          <w:sz w:val="17"/>
        </w:rPr>
        <w:t> </w:t>
      </w:r>
      <w:r>
        <w:rPr>
          <w:b/>
          <w:i/>
          <w:color w:val="231F20"/>
          <w:spacing w:val="-4"/>
          <w:sz w:val="17"/>
        </w:rPr>
        <w:t>por</w:t>
      </w:r>
      <w:r>
        <w:rPr>
          <w:b/>
          <w:i/>
          <w:color w:val="231F20"/>
          <w:spacing w:val="-11"/>
          <w:sz w:val="17"/>
        </w:rPr>
        <w:t> </w:t>
      </w:r>
      <w:r>
        <w:rPr>
          <w:b/>
          <w:i/>
          <w:color w:val="231F20"/>
          <w:spacing w:val="-5"/>
          <w:sz w:val="17"/>
        </w:rPr>
        <w:t>panoja,</w:t>
      </w:r>
      <w:r>
        <w:rPr>
          <w:b/>
          <w:i/>
          <w:color w:val="231F20"/>
          <w:spacing w:val="-11"/>
          <w:sz w:val="17"/>
        </w:rPr>
        <w:t> </w:t>
      </w:r>
      <w:r>
        <w:rPr>
          <w:b/>
          <w:i/>
          <w:color w:val="231F20"/>
          <w:spacing w:val="-5"/>
          <w:sz w:val="17"/>
        </w:rPr>
        <w:t>P100S=Peso</w:t>
      </w:r>
      <w:r>
        <w:rPr>
          <w:b/>
          <w:i/>
          <w:color w:val="231F20"/>
          <w:spacing w:val="-11"/>
          <w:sz w:val="17"/>
        </w:rPr>
        <w:t> </w:t>
      </w:r>
      <w:r>
        <w:rPr>
          <w:b/>
          <w:i/>
          <w:color w:val="231F20"/>
          <w:spacing w:val="-3"/>
          <w:sz w:val="17"/>
        </w:rPr>
        <w:t>de</w:t>
      </w:r>
      <w:r>
        <w:rPr>
          <w:b/>
          <w:i/>
          <w:color w:val="231F20"/>
          <w:spacing w:val="-11"/>
          <w:sz w:val="17"/>
        </w:rPr>
        <w:t> </w:t>
      </w:r>
      <w:r>
        <w:rPr>
          <w:b/>
          <w:i/>
          <w:color w:val="231F20"/>
          <w:spacing w:val="-4"/>
          <w:sz w:val="17"/>
        </w:rPr>
        <w:t>cien</w:t>
      </w:r>
      <w:r>
        <w:rPr>
          <w:b/>
          <w:i/>
          <w:color w:val="231F20"/>
          <w:spacing w:val="-11"/>
          <w:sz w:val="17"/>
        </w:rPr>
        <w:t> </w:t>
      </w:r>
      <w:r>
        <w:rPr>
          <w:b/>
          <w:i/>
          <w:color w:val="231F20"/>
          <w:spacing w:val="-5"/>
          <w:sz w:val="17"/>
        </w:rPr>
        <w:t>semillas</w:t>
      </w:r>
      <w:r>
        <w:rPr>
          <w:b/>
          <w:i/>
          <w:color w:val="231F20"/>
          <w:spacing w:val="-11"/>
          <w:sz w:val="17"/>
        </w:rPr>
        <w:t> </w:t>
      </w:r>
      <w:r>
        <w:rPr>
          <w:b/>
          <w:i/>
          <w:color w:val="231F20"/>
          <w:spacing w:val="-4"/>
          <w:sz w:val="17"/>
        </w:rPr>
        <w:t>(g),</w:t>
      </w:r>
      <w:r>
        <w:rPr>
          <w:b/>
          <w:i/>
          <w:color w:val="231F20"/>
          <w:spacing w:val="-11"/>
          <w:sz w:val="17"/>
        </w:rPr>
        <w:t> </w:t>
      </w:r>
      <w:r>
        <w:rPr>
          <w:b/>
          <w:i/>
          <w:color w:val="231F20"/>
          <w:spacing w:val="-5"/>
          <w:sz w:val="17"/>
        </w:rPr>
        <w:t>PGP=Peso</w:t>
      </w:r>
      <w:r>
        <w:rPr>
          <w:b/>
          <w:i/>
          <w:color w:val="231F20"/>
          <w:spacing w:val="-11"/>
          <w:sz w:val="17"/>
        </w:rPr>
        <w:t> </w:t>
      </w:r>
      <w:r>
        <w:rPr>
          <w:b/>
          <w:i/>
          <w:color w:val="231F20"/>
          <w:spacing w:val="-3"/>
          <w:sz w:val="17"/>
        </w:rPr>
        <w:t>de</w:t>
      </w:r>
      <w:r>
        <w:rPr>
          <w:b/>
          <w:i/>
          <w:color w:val="231F20"/>
          <w:spacing w:val="-11"/>
          <w:sz w:val="17"/>
        </w:rPr>
        <w:t> </w:t>
      </w:r>
      <w:r>
        <w:rPr>
          <w:b/>
          <w:i/>
          <w:color w:val="231F20"/>
          <w:spacing w:val="-4"/>
          <w:sz w:val="17"/>
        </w:rPr>
        <w:t>grano</w:t>
      </w:r>
      <w:r>
        <w:rPr>
          <w:b/>
          <w:i/>
          <w:color w:val="231F20"/>
          <w:spacing w:val="-11"/>
          <w:sz w:val="17"/>
        </w:rPr>
        <w:t> </w:t>
      </w:r>
      <w:r>
        <w:rPr>
          <w:b/>
          <w:i/>
          <w:color w:val="231F20"/>
          <w:spacing w:val="-4"/>
          <w:sz w:val="17"/>
        </w:rPr>
        <w:t>por</w:t>
      </w:r>
      <w:r>
        <w:rPr>
          <w:b/>
          <w:i/>
          <w:color w:val="231F20"/>
          <w:spacing w:val="-11"/>
          <w:sz w:val="17"/>
        </w:rPr>
        <w:t> </w:t>
      </w:r>
      <w:r>
        <w:rPr>
          <w:b/>
          <w:i/>
          <w:color w:val="231F20"/>
          <w:spacing w:val="-5"/>
          <w:sz w:val="17"/>
        </w:rPr>
        <w:t>panoja</w:t>
      </w:r>
      <w:r>
        <w:rPr>
          <w:b/>
          <w:i/>
          <w:color w:val="231F20"/>
          <w:spacing w:val="-11"/>
          <w:sz w:val="17"/>
        </w:rPr>
        <w:t> </w:t>
      </w:r>
      <w:r>
        <w:rPr>
          <w:b/>
          <w:i/>
          <w:color w:val="231F20"/>
          <w:spacing w:val="-5"/>
          <w:sz w:val="17"/>
        </w:rPr>
        <w:t>(g), PPL=Peso </w:t>
      </w:r>
      <w:r>
        <w:rPr>
          <w:b/>
          <w:i/>
          <w:color w:val="231F20"/>
          <w:spacing w:val="-4"/>
          <w:sz w:val="17"/>
        </w:rPr>
        <w:t>por </w:t>
      </w:r>
      <w:r>
        <w:rPr>
          <w:b/>
          <w:i/>
          <w:color w:val="231F20"/>
          <w:spacing w:val="-5"/>
          <w:sz w:val="17"/>
        </w:rPr>
        <w:t>planta </w:t>
      </w:r>
      <w:r>
        <w:rPr>
          <w:b/>
          <w:i/>
          <w:color w:val="231F20"/>
          <w:spacing w:val="-4"/>
          <w:sz w:val="17"/>
        </w:rPr>
        <w:t>(g), </w:t>
      </w:r>
      <w:r>
        <w:rPr>
          <w:b/>
          <w:i/>
          <w:color w:val="231F20"/>
          <w:spacing w:val="-5"/>
          <w:sz w:val="17"/>
        </w:rPr>
        <w:t>FHA=Rendimiento </w:t>
      </w:r>
      <w:r>
        <w:rPr>
          <w:b/>
          <w:i/>
          <w:color w:val="231F20"/>
          <w:spacing w:val="-3"/>
          <w:sz w:val="17"/>
        </w:rPr>
        <w:t>de </w:t>
      </w:r>
      <w:r>
        <w:rPr>
          <w:b/>
          <w:i/>
          <w:color w:val="231F20"/>
          <w:spacing w:val="-5"/>
          <w:sz w:val="17"/>
        </w:rPr>
        <w:t>forraje </w:t>
      </w:r>
      <w:r>
        <w:rPr>
          <w:b/>
          <w:i/>
          <w:color w:val="231F20"/>
          <w:spacing w:val="-4"/>
          <w:sz w:val="17"/>
        </w:rPr>
        <w:t>por </w:t>
      </w:r>
      <w:r>
        <w:rPr>
          <w:b/>
          <w:i/>
          <w:color w:val="231F20"/>
          <w:spacing w:val="-5"/>
          <w:sz w:val="17"/>
        </w:rPr>
        <w:t>hectárea </w:t>
      </w:r>
      <w:r>
        <w:rPr>
          <w:b/>
          <w:i/>
          <w:color w:val="231F20"/>
          <w:spacing w:val="-3"/>
          <w:sz w:val="17"/>
        </w:rPr>
        <w:t>(t </w:t>
      </w:r>
      <w:r>
        <w:rPr>
          <w:b/>
          <w:i/>
          <w:color w:val="231F20"/>
          <w:spacing w:val="-4"/>
          <w:sz w:val="17"/>
        </w:rPr>
        <w:t>ha</w:t>
      </w:r>
      <w:r>
        <w:rPr>
          <w:b/>
          <w:i/>
          <w:color w:val="231F20"/>
          <w:spacing w:val="-4"/>
          <w:position w:val="6"/>
          <w:sz w:val="10"/>
        </w:rPr>
        <w:t>-1</w:t>
      </w:r>
      <w:r>
        <w:rPr>
          <w:b/>
          <w:i/>
          <w:color w:val="231F20"/>
          <w:spacing w:val="-4"/>
          <w:sz w:val="17"/>
        </w:rPr>
        <w:t>), </w:t>
      </w:r>
      <w:r>
        <w:rPr>
          <w:b/>
          <w:i/>
          <w:color w:val="231F20"/>
          <w:spacing w:val="-5"/>
          <w:sz w:val="17"/>
        </w:rPr>
        <w:t>GHA=Rendimiento </w:t>
      </w:r>
      <w:r>
        <w:rPr>
          <w:b/>
          <w:i/>
          <w:color w:val="231F20"/>
          <w:spacing w:val="-3"/>
          <w:sz w:val="17"/>
        </w:rPr>
        <w:t>de </w:t>
      </w:r>
      <w:r>
        <w:rPr>
          <w:b/>
          <w:i/>
          <w:color w:val="231F20"/>
          <w:spacing w:val="-4"/>
          <w:sz w:val="17"/>
        </w:rPr>
        <w:t>grano por </w:t>
      </w:r>
      <w:r>
        <w:rPr>
          <w:b/>
          <w:i/>
          <w:color w:val="231F20"/>
          <w:spacing w:val="-5"/>
          <w:sz w:val="17"/>
        </w:rPr>
        <w:t>hectárea </w:t>
      </w:r>
      <w:r>
        <w:rPr>
          <w:b/>
          <w:i/>
          <w:color w:val="231F20"/>
          <w:spacing w:val="-4"/>
          <w:sz w:val="17"/>
        </w:rPr>
        <w:t>(kg ha</w:t>
      </w:r>
      <w:r>
        <w:rPr>
          <w:b/>
          <w:i/>
          <w:color w:val="231F20"/>
          <w:spacing w:val="-4"/>
          <w:position w:val="6"/>
          <w:sz w:val="10"/>
        </w:rPr>
        <w:t>- </w:t>
      </w:r>
      <w:r>
        <w:rPr>
          <w:b/>
          <w:i/>
          <w:color w:val="231F20"/>
          <w:spacing w:val="-3"/>
          <w:position w:val="6"/>
          <w:sz w:val="10"/>
        </w:rPr>
        <w:t>1</w:t>
      </w:r>
      <w:r>
        <w:rPr>
          <w:b/>
          <w:i/>
          <w:color w:val="231F20"/>
          <w:spacing w:val="-3"/>
          <w:sz w:val="17"/>
        </w:rPr>
        <w:t>), </w:t>
      </w:r>
      <w:r>
        <w:rPr>
          <w:b/>
          <w:i/>
          <w:color w:val="231F20"/>
          <w:spacing w:val="-5"/>
          <w:sz w:val="17"/>
        </w:rPr>
        <w:t>INC=Índice </w:t>
      </w:r>
      <w:r>
        <w:rPr>
          <w:b/>
          <w:i/>
          <w:color w:val="231F20"/>
          <w:spacing w:val="-3"/>
          <w:sz w:val="17"/>
        </w:rPr>
        <w:t>de </w:t>
      </w:r>
      <w:r>
        <w:rPr>
          <w:b/>
          <w:i/>
          <w:color w:val="231F20"/>
          <w:spacing w:val="-5"/>
          <w:sz w:val="17"/>
        </w:rPr>
        <w:t>cosecha. DMS=Diferencia mínima significativa, ¶=Letras iguales dentro </w:t>
      </w:r>
      <w:r>
        <w:rPr>
          <w:b/>
          <w:i/>
          <w:color w:val="231F20"/>
          <w:spacing w:val="-3"/>
          <w:sz w:val="17"/>
        </w:rPr>
        <w:t>de </w:t>
      </w:r>
      <w:r>
        <w:rPr>
          <w:b/>
          <w:i/>
          <w:color w:val="231F20"/>
          <w:spacing w:val="-5"/>
          <w:sz w:val="17"/>
        </w:rPr>
        <w:t>hileras </w:t>
      </w:r>
      <w:r>
        <w:rPr>
          <w:b/>
          <w:i/>
          <w:color w:val="231F20"/>
          <w:spacing w:val="-3"/>
          <w:sz w:val="17"/>
        </w:rPr>
        <w:t>no </w:t>
      </w:r>
      <w:r>
        <w:rPr>
          <w:b/>
          <w:i/>
          <w:color w:val="231F20"/>
          <w:spacing w:val="-4"/>
          <w:sz w:val="17"/>
        </w:rPr>
        <w:t>son </w:t>
      </w:r>
      <w:r>
        <w:rPr>
          <w:b/>
          <w:i/>
          <w:color w:val="231F20"/>
          <w:spacing w:val="-5"/>
          <w:sz w:val="17"/>
        </w:rPr>
        <w:t>significativamente diferentes </w:t>
      </w:r>
      <w:r>
        <w:rPr>
          <w:b/>
          <w:i/>
          <w:color w:val="231F20"/>
          <w:spacing w:val="-6"/>
          <w:sz w:val="17"/>
        </w:rPr>
        <w:t>(Tukey,</w:t>
      </w:r>
      <w:r>
        <w:rPr>
          <w:b/>
          <w:i/>
          <w:color w:val="231F20"/>
          <w:spacing w:val="-8"/>
          <w:sz w:val="17"/>
        </w:rPr>
        <w:t> </w:t>
      </w:r>
      <w:r>
        <w:rPr>
          <w:b/>
          <w:i/>
          <w:color w:val="231F20"/>
          <w:spacing w:val="-5"/>
          <w:sz w:val="17"/>
        </w:rPr>
        <w:t>P≤0.05).</w:t>
      </w:r>
    </w:p>
    <w:p>
      <w:pPr>
        <w:pStyle w:val="BodyText"/>
        <w:spacing w:before="5"/>
        <w:rPr>
          <w:b/>
          <w:i/>
          <w:sz w:val="19"/>
        </w:rPr>
      </w:pPr>
    </w:p>
    <w:p>
      <w:pPr>
        <w:pStyle w:val="Heading3"/>
        <w:spacing w:before="1"/>
      </w:pPr>
      <w:r>
        <w:rPr>
          <w:color w:val="010202"/>
        </w:rPr>
        <w:t>Conclusiones</w:t>
      </w:r>
    </w:p>
    <w:p>
      <w:pPr>
        <w:pStyle w:val="BodyText"/>
        <w:spacing w:before="10"/>
        <w:rPr>
          <w:b/>
        </w:rPr>
      </w:pPr>
    </w:p>
    <w:p>
      <w:pPr>
        <w:pStyle w:val="BodyText"/>
        <w:spacing w:line="249" w:lineRule="auto"/>
        <w:ind w:left="1270" w:right="1266"/>
        <w:jc w:val="both"/>
      </w:pPr>
      <w:r>
        <w:rPr>
          <w:color w:val="231F20"/>
        </w:rPr>
        <w:t>La</w:t>
      </w:r>
      <w:r>
        <w:rPr>
          <w:color w:val="231F20"/>
          <w:spacing w:val="-18"/>
        </w:rPr>
        <w:t> </w:t>
      </w:r>
      <w:r>
        <w:rPr>
          <w:color w:val="231F20"/>
        </w:rPr>
        <w:t>fertilización</w:t>
      </w:r>
      <w:r>
        <w:rPr>
          <w:color w:val="231F20"/>
          <w:spacing w:val="-18"/>
        </w:rPr>
        <w:t> </w:t>
      </w:r>
      <w:r>
        <w:rPr>
          <w:color w:val="231F20"/>
        </w:rPr>
        <w:t>nitrogenada</w:t>
      </w:r>
      <w:r>
        <w:rPr>
          <w:color w:val="231F20"/>
          <w:spacing w:val="-18"/>
        </w:rPr>
        <w:t> </w:t>
      </w:r>
      <w:r>
        <w:rPr>
          <w:color w:val="231F20"/>
        </w:rPr>
        <w:t>y</w:t>
      </w:r>
      <w:r>
        <w:rPr>
          <w:color w:val="231F20"/>
          <w:spacing w:val="-18"/>
        </w:rPr>
        <w:t> </w:t>
      </w:r>
      <w:r>
        <w:rPr>
          <w:color w:val="231F20"/>
        </w:rPr>
        <w:t>las</w:t>
      </w:r>
      <w:r>
        <w:rPr>
          <w:color w:val="231F20"/>
          <w:spacing w:val="-18"/>
        </w:rPr>
        <w:t> </w:t>
      </w:r>
      <w:r>
        <w:rPr>
          <w:color w:val="231F20"/>
        </w:rPr>
        <w:t>densidades</w:t>
      </w:r>
      <w:r>
        <w:rPr>
          <w:color w:val="231F20"/>
          <w:spacing w:val="-18"/>
        </w:rPr>
        <w:t> </w:t>
      </w:r>
      <w:r>
        <w:rPr>
          <w:color w:val="231F20"/>
        </w:rPr>
        <w:t>de</w:t>
      </w:r>
      <w:r>
        <w:rPr>
          <w:color w:val="231F20"/>
          <w:spacing w:val="-18"/>
        </w:rPr>
        <w:t> </w:t>
      </w:r>
      <w:r>
        <w:rPr>
          <w:color w:val="231F20"/>
        </w:rPr>
        <w:t>siembra</w:t>
      </w:r>
      <w:r>
        <w:rPr>
          <w:color w:val="231F20"/>
          <w:spacing w:val="-18"/>
        </w:rPr>
        <w:t> </w:t>
      </w:r>
      <w:r>
        <w:rPr>
          <w:color w:val="231F20"/>
        </w:rPr>
        <w:t>probadas</w:t>
      </w:r>
      <w:r>
        <w:rPr>
          <w:color w:val="231F20"/>
          <w:spacing w:val="-18"/>
        </w:rPr>
        <w:t> </w:t>
      </w:r>
      <w:r>
        <w:rPr>
          <w:color w:val="231F20"/>
        </w:rPr>
        <w:t>en</w:t>
      </w:r>
      <w:r>
        <w:rPr>
          <w:color w:val="231F20"/>
          <w:spacing w:val="-18"/>
        </w:rPr>
        <w:t> </w:t>
      </w:r>
      <w:r>
        <w:rPr>
          <w:color w:val="231F20"/>
          <w:spacing w:val="-3"/>
        </w:rPr>
        <w:t>sorgo</w:t>
      </w:r>
      <w:r>
        <w:rPr>
          <w:color w:val="231F20"/>
          <w:spacing w:val="-18"/>
        </w:rPr>
        <w:t> </w:t>
      </w:r>
      <w:r>
        <w:rPr>
          <w:color w:val="231F20"/>
        </w:rPr>
        <w:t>incidieron</w:t>
      </w:r>
      <w:r>
        <w:rPr>
          <w:color w:val="231F20"/>
          <w:spacing w:val="-19"/>
        </w:rPr>
        <w:t> </w:t>
      </w:r>
      <w:r>
        <w:rPr>
          <w:color w:val="231F20"/>
        </w:rPr>
        <w:t>de</w:t>
      </w:r>
      <w:r>
        <w:rPr>
          <w:color w:val="231F20"/>
          <w:spacing w:val="-18"/>
        </w:rPr>
        <w:t> </w:t>
      </w:r>
      <w:r>
        <w:rPr>
          <w:color w:val="231F20"/>
        </w:rPr>
        <w:t>manera</w:t>
      </w:r>
      <w:r>
        <w:rPr>
          <w:color w:val="231F20"/>
          <w:spacing w:val="-18"/>
        </w:rPr>
        <w:t> </w:t>
      </w:r>
      <w:r>
        <w:rPr>
          <w:color w:val="231F20"/>
        </w:rPr>
        <w:t>posi- tiva</w:t>
      </w:r>
      <w:r>
        <w:rPr>
          <w:color w:val="231F20"/>
          <w:spacing w:val="-18"/>
        </w:rPr>
        <w:t> </w:t>
      </w:r>
      <w:r>
        <w:rPr>
          <w:color w:val="231F20"/>
        </w:rPr>
        <w:t>sobre</w:t>
      </w:r>
      <w:r>
        <w:rPr>
          <w:color w:val="231F20"/>
          <w:spacing w:val="-18"/>
        </w:rPr>
        <w:t> </w:t>
      </w:r>
      <w:r>
        <w:rPr>
          <w:color w:val="231F20"/>
        </w:rPr>
        <w:t>los</w:t>
      </w:r>
      <w:r>
        <w:rPr>
          <w:color w:val="231F20"/>
          <w:spacing w:val="-18"/>
        </w:rPr>
        <w:t> </w:t>
      </w:r>
      <w:r>
        <w:rPr>
          <w:color w:val="231F20"/>
        </w:rPr>
        <w:t>principales</w:t>
      </w:r>
      <w:r>
        <w:rPr>
          <w:color w:val="231F20"/>
          <w:spacing w:val="-18"/>
        </w:rPr>
        <w:t> </w:t>
      </w:r>
      <w:r>
        <w:rPr>
          <w:color w:val="231F20"/>
        </w:rPr>
        <w:t>componentes</w:t>
      </w:r>
      <w:r>
        <w:rPr>
          <w:color w:val="231F20"/>
          <w:spacing w:val="-18"/>
        </w:rPr>
        <w:t> </w:t>
      </w:r>
      <w:r>
        <w:rPr>
          <w:color w:val="231F20"/>
        </w:rPr>
        <w:t>de</w:t>
      </w:r>
      <w:r>
        <w:rPr>
          <w:color w:val="231F20"/>
          <w:spacing w:val="-18"/>
        </w:rPr>
        <w:t> </w:t>
      </w:r>
      <w:r>
        <w:rPr>
          <w:color w:val="231F20"/>
        </w:rPr>
        <w:t>rendimiento</w:t>
      </w:r>
      <w:r>
        <w:rPr>
          <w:color w:val="231F20"/>
          <w:spacing w:val="-18"/>
        </w:rPr>
        <w:t> </w:t>
      </w:r>
      <w:r>
        <w:rPr>
          <w:color w:val="231F20"/>
        </w:rPr>
        <w:t>evaluados.</w:t>
      </w:r>
      <w:r>
        <w:rPr>
          <w:color w:val="231F20"/>
          <w:spacing w:val="-18"/>
        </w:rPr>
        <w:t> </w:t>
      </w:r>
      <w:r>
        <w:rPr>
          <w:color w:val="231F20"/>
        </w:rPr>
        <w:t>Dieciséis</w:t>
      </w:r>
      <w:r>
        <w:rPr>
          <w:color w:val="231F20"/>
          <w:spacing w:val="-18"/>
        </w:rPr>
        <w:t> </w:t>
      </w:r>
      <w:r>
        <w:rPr>
          <w:color w:val="231F20"/>
        </w:rPr>
        <w:t>de</w:t>
      </w:r>
      <w:r>
        <w:rPr>
          <w:color w:val="231F20"/>
          <w:spacing w:val="-18"/>
        </w:rPr>
        <w:t> </w:t>
      </w:r>
      <w:r>
        <w:rPr>
          <w:color w:val="231F20"/>
        </w:rPr>
        <w:t>17</w:t>
      </w:r>
      <w:r>
        <w:rPr>
          <w:color w:val="231F20"/>
          <w:spacing w:val="-18"/>
        </w:rPr>
        <w:t> </w:t>
      </w:r>
      <w:r>
        <w:rPr>
          <w:color w:val="231F20"/>
        </w:rPr>
        <w:t>caracteres</w:t>
      </w:r>
      <w:r>
        <w:rPr>
          <w:color w:val="231F20"/>
          <w:spacing w:val="-18"/>
        </w:rPr>
        <w:t> </w:t>
      </w:r>
      <w:r>
        <w:rPr>
          <w:color w:val="231F20"/>
        </w:rPr>
        <w:t>se</w:t>
      </w:r>
      <w:r>
        <w:rPr>
          <w:color w:val="231F20"/>
          <w:spacing w:val="-18"/>
        </w:rPr>
        <w:t> </w:t>
      </w:r>
      <w:r>
        <w:rPr>
          <w:color w:val="231F20"/>
          <w:spacing w:val="-2"/>
        </w:rPr>
        <w:t>vieron </w:t>
      </w:r>
      <w:r>
        <w:rPr>
          <w:color w:val="231F20"/>
        </w:rPr>
        <w:t>favorecidos con la aplicación de N (120 kg•ha</w:t>
      </w:r>
      <w:r>
        <w:rPr>
          <w:color w:val="231F20"/>
          <w:position w:val="7"/>
          <w:sz w:val="12"/>
        </w:rPr>
        <w:t>-1</w:t>
      </w:r>
      <w:r>
        <w:rPr>
          <w:color w:val="231F20"/>
        </w:rPr>
        <w:t>). Los caracteres peso de cien semillas (P100=3.0 g), peso de granos por panoja (PGP=47.0 g), rendimiento de grano (GHA=9.4 t•ha</w:t>
      </w:r>
      <w:r>
        <w:rPr>
          <w:color w:val="231F20"/>
          <w:position w:val="7"/>
          <w:sz w:val="12"/>
        </w:rPr>
        <w:t>-1</w:t>
      </w:r>
      <w:r>
        <w:rPr>
          <w:color w:val="231F20"/>
        </w:rPr>
        <w:t>) y forraje </w:t>
      </w:r>
      <w:r>
        <w:rPr>
          <w:color w:val="231F20"/>
          <w:spacing w:val="-2"/>
        </w:rPr>
        <w:t>por </w:t>
      </w:r>
      <w:r>
        <w:rPr>
          <w:color w:val="231F20"/>
        </w:rPr>
        <w:t>hectárea (FHA=23.7 t•ha</w:t>
      </w:r>
      <w:r>
        <w:rPr>
          <w:color w:val="231F20"/>
          <w:position w:val="7"/>
          <w:sz w:val="12"/>
        </w:rPr>
        <w:t>-1</w:t>
      </w:r>
      <w:r>
        <w:rPr>
          <w:color w:val="231F20"/>
        </w:rPr>
        <w:t>) se expresaron de mejor forma a una densidad de 250,000 plantas•ha</w:t>
      </w:r>
      <w:r>
        <w:rPr>
          <w:color w:val="231F20"/>
          <w:position w:val="7"/>
          <w:sz w:val="12"/>
        </w:rPr>
        <w:t>-1 </w:t>
      </w:r>
      <w:r>
        <w:rPr>
          <w:color w:val="231F20"/>
        </w:rPr>
        <w:t>y fertilización</w:t>
      </w:r>
      <w:r>
        <w:rPr>
          <w:color w:val="231F20"/>
          <w:spacing w:val="-13"/>
        </w:rPr>
        <w:t> </w:t>
      </w:r>
      <w:r>
        <w:rPr>
          <w:color w:val="231F20"/>
        </w:rPr>
        <w:t>con</w:t>
      </w:r>
      <w:r>
        <w:rPr>
          <w:color w:val="231F20"/>
          <w:spacing w:val="-13"/>
        </w:rPr>
        <w:t> </w:t>
      </w:r>
      <w:r>
        <w:rPr>
          <w:color w:val="231F20"/>
        </w:rPr>
        <w:t>120</w:t>
      </w:r>
      <w:r>
        <w:rPr>
          <w:color w:val="231F20"/>
          <w:spacing w:val="-13"/>
        </w:rPr>
        <w:t> </w:t>
      </w:r>
      <w:r>
        <w:rPr>
          <w:color w:val="231F20"/>
        </w:rPr>
        <w:t>kg•ha</w:t>
      </w:r>
      <w:r>
        <w:rPr>
          <w:color w:val="231F20"/>
          <w:position w:val="7"/>
          <w:sz w:val="12"/>
        </w:rPr>
        <w:t>-1</w:t>
      </w:r>
      <w:r>
        <w:rPr>
          <w:color w:val="231F20"/>
          <w:spacing w:val="10"/>
          <w:position w:val="7"/>
          <w:sz w:val="12"/>
        </w:rPr>
        <w:t> </w:t>
      </w:r>
      <w:r>
        <w:rPr>
          <w:color w:val="231F20"/>
        </w:rPr>
        <w:t>N.</w:t>
      </w:r>
      <w:r>
        <w:rPr>
          <w:color w:val="231F20"/>
          <w:spacing w:val="-13"/>
        </w:rPr>
        <w:t> </w:t>
      </w:r>
      <w:r>
        <w:rPr>
          <w:color w:val="231F20"/>
        </w:rPr>
        <w:t>La</w:t>
      </w:r>
      <w:r>
        <w:rPr>
          <w:color w:val="231F20"/>
          <w:spacing w:val="-13"/>
        </w:rPr>
        <w:t> </w:t>
      </w:r>
      <w:r>
        <w:rPr>
          <w:color w:val="231F20"/>
        </w:rPr>
        <w:t>densidad</w:t>
      </w:r>
      <w:r>
        <w:rPr>
          <w:color w:val="231F20"/>
          <w:spacing w:val="-13"/>
        </w:rPr>
        <w:t> </w:t>
      </w:r>
      <w:r>
        <w:rPr>
          <w:color w:val="231F20"/>
        </w:rPr>
        <w:t>de</w:t>
      </w:r>
      <w:r>
        <w:rPr>
          <w:color w:val="231F20"/>
          <w:spacing w:val="-13"/>
        </w:rPr>
        <w:t> </w:t>
      </w:r>
      <w:r>
        <w:rPr>
          <w:color w:val="231F20"/>
        </w:rPr>
        <w:t>178,500</w:t>
      </w:r>
      <w:r>
        <w:rPr>
          <w:color w:val="231F20"/>
          <w:spacing w:val="-13"/>
        </w:rPr>
        <w:t> </w:t>
      </w:r>
      <w:r>
        <w:rPr>
          <w:color w:val="231F20"/>
        </w:rPr>
        <w:t>plantas•ha</w:t>
      </w:r>
      <w:r>
        <w:rPr>
          <w:color w:val="231F20"/>
          <w:position w:val="7"/>
          <w:sz w:val="12"/>
        </w:rPr>
        <w:t>-1</w:t>
      </w:r>
      <w:r>
        <w:rPr>
          <w:color w:val="231F20"/>
          <w:spacing w:val="10"/>
          <w:position w:val="7"/>
          <w:sz w:val="12"/>
        </w:rPr>
        <w:t> </w:t>
      </w:r>
      <w:r>
        <w:rPr>
          <w:color w:val="231F20"/>
        </w:rPr>
        <w:t>y</w:t>
      </w:r>
      <w:r>
        <w:rPr>
          <w:color w:val="231F20"/>
          <w:spacing w:val="-13"/>
        </w:rPr>
        <w:t> </w:t>
      </w:r>
      <w:r>
        <w:rPr>
          <w:color w:val="231F20"/>
        </w:rPr>
        <w:t>fertilización</w:t>
      </w:r>
      <w:r>
        <w:rPr>
          <w:color w:val="231F20"/>
          <w:spacing w:val="-13"/>
        </w:rPr>
        <w:t> </w:t>
      </w:r>
      <w:r>
        <w:rPr>
          <w:color w:val="231F20"/>
        </w:rPr>
        <w:t>con</w:t>
      </w:r>
      <w:r>
        <w:rPr>
          <w:color w:val="231F20"/>
          <w:spacing w:val="-13"/>
        </w:rPr>
        <w:t> </w:t>
      </w:r>
      <w:r>
        <w:rPr>
          <w:color w:val="231F20"/>
        </w:rPr>
        <w:t>120</w:t>
      </w:r>
      <w:r>
        <w:rPr>
          <w:color w:val="231F20"/>
          <w:spacing w:val="-13"/>
        </w:rPr>
        <w:t> </w:t>
      </w:r>
      <w:r>
        <w:rPr>
          <w:color w:val="231F20"/>
        </w:rPr>
        <w:t>kg•ha</w:t>
      </w:r>
      <w:r>
        <w:rPr>
          <w:color w:val="231F20"/>
          <w:position w:val="7"/>
          <w:sz w:val="12"/>
        </w:rPr>
        <w:t>-1</w:t>
      </w:r>
      <w:r>
        <w:rPr>
          <w:color w:val="231F20"/>
          <w:spacing w:val="10"/>
          <w:position w:val="7"/>
          <w:sz w:val="12"/>
        </w:rPr>
        <w:t> </w:t>
      </w:r>
      <w:r>
        <w:rPr>
          <w:color w:val="231F20"/>
        </w:rPr>
        <w:t>N</w:t>
      </w:r>
    </w:p>
    <w:p>
      <w:pPr>
        <w:spacing w:after="0" w:line="249" w:lineRule="auto"/>
        <w:jc w:val="both"/>
        <w:sectPr>
          <w:pgSz w:w="10920" w:h="13080"/>
          <w:pgMar w:header="0" w:footer="965" w:top="420" w:bottom="1220" w:left="0" w:right="0"/>
        </w:sectPr>
      </w:pPr>
    </w:p>
    <w:p>
      <w:pPr>
        <w:pStyle w:val="BodyText"/>
        <w:rPr>
          <w:sz w:val="20"/>
        </w:rPr>
      </w:pPr>
    </w:p>
    <w:p>
      <w:pPr>
        <w:pStyle w:val="BodyText"/>
        <w:rPr>
          <w:sz w:val="20"/>
        </w:rPr>
      </w:pPr>
    </w:p>
    <w:p>
      <w:pPr>
        <w:pStyle w:val="BodyText"/>
        <w:rPr>
          <w:sz w:val="23"/>
        </w:rPr>
      </w:pPr>
    </w:p>
    <w:p>
      <w:pPr>
        <w:pStyle w:val="BodyText"/>
        <w:spacing w:line="249" w:lineRule="auto" w:before="73"/>
        <w:ind w:left="1270" w:right="1267"/>
        <w:jc w:val="both"/>
      </w:pPr>
      <w:r>
        <w:rPr>
          <w:color w:val="231F20"/>
        </w:rPr>
        <w:t>favorecieron</w:t>
      </w:r>
      <w:r>
        <w:rPr>
          <w:color w:val="231F20"/>
          <w:spacing w:val="-5"/>
        </w:rPr>
        <w:t> </w:t>
      </w:r>
      <w:r>
        <w:rPr>
          <w:color w:val="231F20"/>
        </w:rPr>
        <w:t>en</w:t>
      </w:r>
      <w:r>
        <w:rPr>
          <w:color w:val="231F20"/>
          <w:spacing w:val="-5"/>
        </w:rPr>
        <w:t> </w:t>
      </w:r>
      <w:r>
        <w:rPr>
          <w:color w:val="231F20"/>
        </w:rPr>
        <w:t>mayor</w:t>
      </w:r>
      <w:r>
        <w:rPr>
          <w:color w:val="231F20"/>
          <w:spacing w:val="-5"/>
        </w:rPr>
        <w:t> </w:t>
      </w:r>
      <w:r>
        <w:rPr>
          <w:color w:val="231F20"/>
        </w:rPr>
        <w:t>medida</w:t>
      </w:r>
      <w:r>
        <w:rPr>
          <w:color w:val="231F20"/>
          <w:spacing w:val="-5"/>
        </w:rPr>
        <w:t> </w:t>
      </w:r>
      <w:r>
        <w:rPr>
          <w:color w:val="231F20"/>
        </w:rPr>
        <w:t>el</w:t>
      </w:r>
      <w:r>
        <w:rPr>
          <w:color w:val="231F20"/>
          <w:spacing w:val="-5"/>
        </w:rPr>
        <w:t> </w:t>
      </w:r>
      <w:r>
        <w:rPr>
          <w:color w:val="231F20"/>
        </w:rPr>
        <w:t>peso</w:t>
      </w:r>
      <w:r>
        <w:rPr>
          <w:color w:val="231F20"/>
          <w:spacing w:val="-5"/>
        </w:rPr>
        <w:t> </w:t>
      </w:r>
      <w:r>
        <w:rPr>
          <w:color w:val="231F20"/>
        </w:rPr>
        <w:t>de</w:t>
      </w:r>
      <w:r>
        <w:rPr>
          <w:color w:val="231F20"/>
          <w:spacing w:val="-5"/>
        </w:rPr>
        <w:t> </w:t>
      </w:r>
      <w:r>
        <w:rPr>
          <w:color w:val="231F20"/>
        </w:rPr>
        <w:t>hojas</w:t>
      </w:r>
      <w:r>
        <w:rPr>
          <w:color w:val="231F20"/>
          <w:spacing w:val="-5"/>
        </w:rPr>
        <w:t> </w:t>
      </w:r>
      <w:r>
        <w:rPr>
          <w:color w:val="231F20"/>
        </w:rPr>
        <w:t>(PEH=36.5</w:t>
      </w:r>
      <w:r>
        <w:rPr>
          <w:color w:val="231F20"/>
          <w:spacing w:val="-5"/>
        </w:rPr>
        <w:t> </w:t>
      </w:r>
      <w:r>
        <w:rPr>
          <w:color w:val="231F20"/>
        </w:rPr>
        <w:t>g),</w:t>
      </w:r>
      <w:r>
        <w:rPr>
          <w:color w:val="231F20"/>
          <w:spacing w:val="-5"/>
        </w:rPr>
        <w:t> </w:t>
      </w:r>
      <w:r>
        <w:rPr>
          <w:color w:val="231F20"/>
        </w:rPr>
        <w:t>tallos</w:t>
      </w:r>
      <w:r>
        <w:rPr>
          <w:color w:val="231F20"/>
          <w:spacing w:val="-5"/>
        </w:rPr>
        <w:t> </w:t>
      </w:r>
      <w:r>
        <w:rPr>
          <w:color w:val="231F20"/>
        </w:rPr>
        <w:t>(PET=49.3</w:t>
      </w:r>
      <w:r>
        <w:rPr>
          <w:color w:val="231F20"/>
          <w:spacing w:val="-5"/>
        </w:rPr>
        <w:t> </w:t>
      </w:r>
      <w:r>
        <w:rPr>
          <w:color w:val="231F20"/>
        </w:rPr>
        <w:t>g),</w:t>
      </w:r>
      <w:r>
        <w:rPr>
          <w:color w:val="231F20"/>
          <w:spacing w:val="-5"/>
        </w:rPr>
        <w:t> </w:t>
      </w:r>
      <w:r>
        <w:rPr>
          <w:color w:val="231F20"/>
        </w:rPr>
        <w:t>peso</w:t>
      </w:r>
      <w:r>
        <w:rPr>
          <w:color w:val="231F20"/>
          <w:spacing w:val="-5"/>
        </w:rPr>
        <w:t> </w:t>
      </w:r>
      <w:r>
        <w:rPr>
          <w:color w:val="231F20"/>
        </w:rPr>
        <w:t>de</w:t>
      </w:r>
      <w:r>
        <w:rPr>
          <w:color w:val="231F20"/>
          <w:spacing w:val="-5"/>
        </w:rPr>
        <w:t> </w:t>
      </w:r>
      <w:r>
        <w:rPr>
          <w:color w:val="231F20"/>
        </w:rPr>
        <w:t>panojas (PEP=55.8</w:t>
      </w:r>
      <w:r>
        <w:rPr>
          <w:color w:val="231F20"/>
          <w:spacing w:val="-7"/>
        </w:rPr>
        <w:t> </w:t>
      </w:r>
      <w:r>
        <w:rPr>
          <w:color w:val="231F20"/>
        </w:rPr>
        <w:t>g),</w:t>
      </w:r>
      <w:r>
        <w:rPr>
          <w:color w:val="231F20"/>
          <w:spacing w:val="-7"/>
        </w:rPr>
        <w:t> </w:t>
      </w:r>
      <w:r>
        <w:rPr>
          <w:color w:val="231F20"/>
        </w:rPr>
        <w:t>espiguillas</w:t>
      </w:r>
      <w:r>
        <w:rPr>
          <w:color w:val="231F20"/>
          <w:spacing w:val="-7"/>
        </w:rPr>
        <w:t> </w:t>
      </w:r>
      <w:r>
        <w:rPr>
          <w:color w:val="231F20"/>
        </w:rPr>
        <w:t>por</w:t>
      </w:r>
      <w:r>
        <w:rPr>
          <w:color w:val="231F20"/>
          <w:spacing w:val="-7"/>
        </w:rPr>
        <w:t> </w:t>
      </w:r>
      <w:r>
        <w:rPr>
          <w:color w:val="231F20"/>
        </w:rPr>
        <w:t>panoja</w:t>
      </w:r>
      <w:r>
        <w:rPr>
          <w:color w:val="231F20"/>
          <w:spacing w:val="-7"/>
        </w:rPr>
        <w:t> </w:t>
      </w:r>
      <w:r>
        <w:rPr>
          <w:color w:val="231F20"/>
          <w:spacing w:val="-4"/>
        </w:rPr>
        <w:t>(ESPA=50.2),</w:t>
      </w:r>
      <w:r>
        <w:rPr>
          <w:color w:val="231F20"/>
          <w:spacing w:val="-6"/>
        </w:rPr>
        <w:t> </w:t>
      </w:r>
      <w:r>
        <w:rPr>
          <w:color w:val="231F20"/>
        </w:rPr>
        <w:t>granos</w:t>
      </w:r>
      <w:r>
        <w:rPr>
          <w:color w:val="231F20"/>
          <w:spacing w:val="-7"/>
        </w:rPr>
        <w:t> </w:t>
      </w:r>
      <w:r>
        <w:rPr>
          <w:color w:val="231F20"/>
        </w:rPr>
        <w:t>por</w:t>
      </w:r>
      <w:r>
        <w:rPr>
          <w:color w:val="231F20"/>
          <w:spacing w:val="-7"/>
        </w:rPr>
        <w:t> </w:t>
      </w:r>
      <w:r>
        <w:rPr>
          <w:color w:val="231F20"/>
        </w:rPr>
        <w:t>planta</w:t>
      </w:r>
      <w:r>
        <w:rPr>
          <w:color w:val="231F20"/>
          <w:spacing w:val="-7"/>
        </w:rPr>
        <w:t> </w:t>
      </w:r>
      <w:r>
        <w:rPr>
          <w:color w:val="231F20"/>
          <w:spacing w:val="-4"/>
        </w:rPr>
        <w:t>(GPA=2355.2),</w:t>
      </w:r>
      <w:r>
        <w:rPr>
          <w:color w:val="231F20"/>
          <w:spacing w:val="-6"/>
        </w:rPr>
        <w:t> </w:t>
      </w:r>
      <w:r>
        <w:rPr>
          <w:color w:val="231F20"/>
        </w:rPr>
        <w:t>peso</w:t>
      </w:r>
      <w:r>
        <w:rPr>
          <w:color w:val="231F20"/>
          <w:spacing w:val="-7"/>
        </w:rPr>
        <w:t> </w:t>
      </w:r>
      <w:r>
        <w:rPr>
          <w:color w:val="231F20"/>
        </w:rPr>
        <w:t>de</w:t>
      </w:r>
      <w:r>
        <w:rPr>
          <w:color w:val="231F20"/>
          <w:spacing w:val="-7"/>
        </w:rPr>
        <w:t> </w:t>
      </w:r>
      <w:r>
        <w:rPr>
          <w:color w:val="231F20"/>
          <w:spacing w:val="-2"/>
        </w:rPr>
        <w:t>granos </w:t>
      </w:r>
      <w:r>
        <w:rPr>
          <w:color w:val="231F20"/>
        </w:rPr>
        <w:t>por planta (PGP=53.9 g) y peso de planta (PPL=141.5 g). Las densidades de 212,500 plantas•ha</w:t>
      </w:r>
      <w:r>
        <w:rPr>
          <w:color w:val="231F20"/>
          <w:position w:val="7"/>
          <w:sz w:val="12"/>
        </w:rPr>
        <w:t>-1 </w:t>
      </w:r>
      <w:r>
        <w:rPr>
          <w:color w:val="231F20"/>
        </w:rPr>
        <w:t>y al voleo son las que favorecieron en menor medida la expresión de los caracteres de crecimiento y rendimiento</w:t>
      </w:r>
      <w:r>
        <w:rPr>
          <w:color w:val="231F20"/>
          <w:spacing w:val="-33"/>
        </w:rPr>
        <w:t> </w:t>
      </w:r>
      <w:r>
        <w:rPr>
          <w:color w:val="231F20"/>
        </w:rPr>
        <w:t>estudiados.</w:t>
      </w:r>
    </w:p>
    <w:p>
      <w:pPr>
        <w:pStyle w:val="BodyText"/>
        <w:spacing w:before="6"/>
        <w:rPr>
          <w:sz w:val="22"/>
        </w:rPr>
      </w:pPr>
    </w:p>
    <w:p>
      <w:pPr>
        <w:pStyle w:val="Heading3"/>
      </w:pPr>
      <w:r>
        <w:rPr>
          <w:color w:val="010202"/>
        </w:rPr>
        <w:t>Literatura citada</w:t>
      </w:r>
    </w:p>
    <w:p>
      <w:pPr>
        <w:pStyle w:val="BodyText"/>
        <w:spacing w:before="7"/>
        <w:rPr>
          <w:b/>
        </w:rPr>
      </w:pPr>
    </w:p>
    <w:p>
      <w:pPr>
        <w:spacing w:before="0"/>
        <w:ind w:left="1270" w:right="0" w:firstLine="0"/>
        <w:jc w:val="both"/>
        <w:rPr>
          <w:sz w:val="19"/>
        </w:rPr>
      </w:pPr>
      <w:r>
        <w:rPr>
          <w:color w:val="231F20"/>
          <w:sz w:val="19"/>
        </w:rPr>
        <w:t>Abunyewa A., A.; Ferguson B., R.; Wortmann S., C.; Lyon J., D.; Mason C., S.; Klein N., R. 2010.  Skip-row</w:t>
      </w:r>
    </w:p>
    <w:p>
      <w:pPr>
        <w:spacing w:before="9"/>
        <w:ind w:left="1270" w:right="0" w:firstLine="0"/>
        <w:jc w:val="both"/>
        <w:rPr>
          <w:sz w:val="19"/>
        </w:rPr>
      </w:pPr>
      <w:r>
        <w:rPr>
          <w:color w:val="231F20"/>
          <w:sz w:val="19"/>
        </w:rPr>
        <w:t>and plant population effects on sorghum grain yield. Agronomy Journal 102:296-302.</w:t>
      </w:r>
    </w:p>
    <w:p>
      <w:pPr>
        <w:pStyle w:val="BodyText"/>
        <w:spacing w:before="7"/>
        <w:rPr>
          <w:sz w:val="20"/>
        </w:rPr>
      </w:pPr>
    </w:p>
    <w:p>
      <w:pPr>
        <w:spacing w:before="0"/>
        <w:ind w:left="1270" w:right="0" w:firstLine="0"/>
        <w:jc w:val="both"/>
        <w:rPr>
          <w:sz w:val="19"/>
        </w:rPr>
      </w:pPr>
      <w:r>
        <w:rPr>
          <w:color w:val="231F20"/>
          <w:sz w:val="19"/>
        </w:rPr>
        <w:t>Anónimo. 2005. Cuaderno Estadístico Municipal de Loma Bonita, Estado de Oaxaca. Aguascalientes, México.</w:t>
      </w:r>
    </w:p>
    <w:p>
      <w:pPr>
        <w:pStyle w:val="BodyText"/>
        <w:spacing w:before="7"/>
        <w:rPr>
          <w:sz w:val="20"/>
        </w:rPr>
      </w:pPr>
    </w:p>
    <w:p>
      <w:pPr>
        <w:spacing w:line="249" w:lineRule="auto" w:before="0"/>
        <w:ind w:left="1270" w:right="1267" w:firstLine="0"/>
        <w:jc w:val="both"/>
        <w:rPr>
          <w:sz w:val="19"/>
        </w:rPr>
      </w:pPr>
      <w:r>
        <w:rPr>
          <w:color w:val="231F20"/>
          <w:sz w:val="19"/>
        </w:rPr>
        <w:t>Assefa </w:t>
      </w:r>
      <w:r>
        <w:rPr>
          <w:color w:val="231F20"/>
          <w:spacing w:val="-9"/>
          <w:sz w:val="19"/>
        </w:rPr>
        <w:t>Y.; </w:t>
      </w:r>
      <w:r>
        <w:rPr>
          <w:color w:val="231F20"/>
          <w:sz w:val="19"/>
        </w:rPr>
        <w:t>Staggenborg A., S. 2010. Grain sorghum yield with hybrid advancement and changes in agronomic practices from 1957 through 2008. Agronomy Journal 102(2):703-706.</w:t>
      </w:r>
    </w:p>
    <w:p>
      <w:pPr>
        <w:pStyle w:val="BodyText"/>
        <w:spacing w:before="10"/>
        <w:rPr>
          <w:sz w:val="19"/>
        </w:rPr>
      </w:pPr>
    </w:p>
    <w:p>
      <w:pPr>
        <w:spacing w:line="249" w:lineRule="auto" w:before="0"/>
        <w:ind w:left="1270" w:right="1267" w:firstLine="0"/>
        <w:jc w:val="both"/>
        <w:rPr>
          <w:sz w:val="19"/>
        </w:rPr>
      </w:pPr>
      <w:r>
        <w:rPr>
          <w:color w:val="231F20"/>
          <w:sz w:val="19"/>
        </w:rPr>
        <w:t>Ávila</w:t>
      </w:r>
      <w:r>
        <w:rPr>
          <w:color w:val="231F20"/>
          <w:spacing w:val="-4"/>
          <w:sz w:val="19"/>
        </w:rPr>
        <w:t> </w:t>
      </w:r>
      <w:r>
        <w:rPr>
          <w:color w:val="231F20"/>
          <w:sz w:val="19"/>
        </w:rPr>
        <w:t>M.,</w:t>
      </w:r>
      <w:r>
        <w:rPr>
          <w:color w:val="231F20"/>
          <w:spacing w:val="-4"/>
          <w:sz w:val="19"/>
        </w:rPr>
        <w:t> </w:t>
      </w:r>
      <w:r>
        <w:rPr>
          <w:color w:val="231F20"/>
          <w:sz w:val="19"/>
        </w:rPr>
        <w:t>J.</w:t>
      </w:r>
      <w:r>
        <w:rPr>
          <w:color w:val="231F20"/>
          <w:spacing w:val="-14"/>
          <w:sz w:val="19"/>
        </w:rPr>
        <w:t> </w:t>
      </w:r>
      <w:r>
        <w:rPr>
          <w:color w:val="231F20"/>
          <w:sz w:val="19"/>
        </w:rPr>
        <w:t>A.</w:t>
      </w:r>
      <w:r>
        <w:rPr>
          <w:color w:val="231F20"/>
          <w:spacing w:val="-4"/>
          <w:sz w:val="19"/>
        </w:rPr>
        <w:t> </w:t>
      </w:r>
      <w:r>
        <w:rPr>
          <w:color w:val="231F20"/>
          <w:sz w:val="19"/>
        </w:rPr>
        <w:t>1977.</w:t>
      </w:r>
      <w:r>
        <w:rPr>
          <w:color w:val="231F20"/>
          <w:spacing w:val="-4"/>
          <w:sz w:val="19"/>
        </w:rPr>
        <w:t> </w:t>
      </w:r>
      <w:r>
        <w:rPr>
          <w:color w:val="231F20"/>
          <w:sz w:val="19"/>
        </w:rPr>
        <w:t>El</w:t>
      </w:r>
      <w:r>
        <w:rPr>
          <w:color w:val="231F20"/>
          <w:spacing w:val="-4"/>
          <w:sz w:val="19"/>
        </w:rPr>
        <w:t> </w:t>
      </w:r>
      <w:r>
        <w:rPr>
          <w:color w:val="231F20"/>
          <w:sz w:val="19"/>
        </w:rPr>
        <w:t>cultivo</w:t>
      </w:r>
      <w:r>
        <w:rPr>
          <w:color w:val="231F20"/>
          <w:spacing w:val="-5"/>
          <w:sz w:val="19"/>
        </w:rPr>
        <w:t> </w:t>
      </w:r>
      <w:r>
        <w:rPr>
          <w:color w:val="231F20"/>
          <w:sz w:val="19"/>
        </w:rPr>
        <w:t>del</w:t>
      </w:r>
      <w:r>
        <w:rPr>
          <w:color w:val="231F20"/>
          <w:spacing w:val="-4"/>
          <w:sz w:val="19"/>
        </w:rPr>
        <w:t> </w:t>
      </w:r>
      <w:r>
        <w:rPr>
          <w:color w:val="231F20"/>
          <w:sz w:val="19"/>
        </w:rPr>
        <w:t>sorgo</w:t>
      </w:r>
      <w:r>
        <w:rPr>
          <w:color w:val="231F20"/>
          <w:spacing w:val="-4"/>
          <w:sz w:val="19"/>
        </w:rPr>
        <w:t> </w:t>
      </w:r>
      <w:r>
        <w:rPr>
          <w:color w:val="231F20"/>
          <w:sz w:val="19"/>
        </w:rPr>
        <w:t>en</w:t>
      </w:r>
      <w:r>
        <w:rPr>
          <w:color w:val="231F20"/>
          <w:spacing w:val="-4"/>
          <w:sz w:val="19"/>
        </w:rPr>
        <w:t> </w:t>
      </w:r>
      <w:r>
        <w:rPr>
          <w:color w:val="231F20"/>
          <w:sz w:val="19"/>
        </w:rPr>
        <w:t>Morelos.</w:t>
      </w:r>
      <w:r>
        <w:rPr>
          <w:color w:val="231F20"/>
          <w:spacing w:val="-4"/>
          <w:sz w:val="19"/>
        </w:rPr>
        <w:t> </w:t>
      </w:r>
      <w:r>
        <w:rPr>
          <w:color w:val="231F20"/>
          <w:sz w:val="19"/>
        </w:rPr>
        <w:t>SARH-INIA.</w:t>
      </w:r>
      <w:r>
        <w:rPr>
          <w:color w:val="231F20"/>
          <w:spacing w:val="-4"/>
          <w:sz w:val="19"/>
        </w:rPr>
        <w:t> </w:t>
      </w:r>
      <w:r>
        <w:rPr>
          <w:color w:val="231F20"/>
          <w:sz w:val="19"/>
        </w:rPr>
        <w:t>Campo</w:t>
      </w:r>
      <w:r>
        <w:rPr>
          <w:color w:val="231F20"/>
          <w:spacing w:val="-14"/>
          <w:sz w:val="19"/>
        </w:rPr>
        <w:t> </w:t>
      </w:r>
      <w:r>
        <w:rPr>
          <w:color w:val="231F20"/>
          <w:sz w:val="19"/>
        </w:rPr>
        <w:t>Agrícola</w:t>
      </w:r>
      <w:r>
        <w:rPr>
          <w:color w:val="231F20"/>
          <w:spacing w:val="-4"/>
          <w:sz w:val="19"/>
        </w:rPr>
        <w:t> </w:t>
      </w:r>
      <w:r>
        <w:rPr>
          <w:color w:val="231F20"/>
          <w:sz w:val="19"/>
        </w:rPr>
        <w:t>Experimental</w:t>
      </w:r>
      <w:r>
        <w:rPr>
          <w:color w:val="231F20"/>
          <w:spacing w:val="-5"/>
          <w:sz w:val="19"/>
        </w:rPr>
        <w:t> </w:t>
      </w:r>
      <w:r>
        <w:rPr>
          <w:color w:val="231F20"/>
          <w:sz w:val="19"/>
        </w:rPr>
        <w:t>Zacatepec. 5 p.</w:t>
      </w:r>
    </w:p>
    <w:p>
      <w:pPr>
        <w:pStyle w:val="BodyText"/>
        <w:spacing w:before="10"/>
        <w:rPr>
          <w:sz w:val="19"/>
        </w:rPr>
      </w:pPr>
    </w:p>
    <w:p>
      <w:pPr>
        <w:spacing w:before="0"/>
        <w:ind w:left="1270" w:right="0" w:firstLine="0"/>
        <w:jc w:val="both"/>
        <w:rPr>
          <w:sz w:val="19"/>
        </w:rPr>
      </w:pPr>
      <w:r>
        <w:rPr>
          <w:color w:val="231F20"/>
          <w:sz w:val="19"/>
        </w:rPr>
        <w:t>Bolaños A., E. D.; Emile J. C. 2011. Distancia entre surcos en el rendimiento y calidad de la materia seca   de</w:t>
      </w:r>
    </w:p>
    <w:p>
      <w:pPr>
        <w:spacing w:before="9"/>
        <w:ind w:left="1270" w:right="0" w:firstLine="0"/>
        <w:jc w:val="both"/>
        <w:rPr>
          <w:sz w:val="19"/>
        </w:rPr>
      </w:pPr>
      <w:r>
        <w:rPr>
          <w:color w:val="231F20"/>
          <w:sz w:val="19"/>
        </w:rPr>
        <w:t>maíz y de sorgo. Revista Mexicana de Ciencias Pecuarias 2(3):299-312.</w:t>
      </w:r>
    </w:p>
    <w:p>
      <w:pPr>
        <w:pStyle w:val="BodyText"/>
        <w:spacing w:before="7"/>
        <w:rPr>
          <w:sz w:val="20"/>
        </w:rPr>
      </w:pPr>
    </w:p>
    <w:p>
      <w:pPr>
        <w:spacing w:line="249" w:lineRule="auto" w:before="0"/>
        <w:ind w:left="1270" w:right="1268" w:firstLine="0"/>
        <w:jc w:val="both"/>
        <w:rPr>
          <w:sz w:val="19"/>
        </w:rPr>
      </w:pPr>
      <w:r>
        <w:rPr>
          <w:color w:val="231F20"/>
          <w:sz w:val="19"/>
        </w:rPr>
        <w:t>Buah S. S. J.; Mwinkaara S. 2009. Response of sorghum to nitrogen fertilizer and plant density in the Guinea Savanna Zone. Journal of Agronomy 8(4):124-130.</w:t>
      </w:r>
    </w:p>
    <w:p>
      <w:pPr>
        <w:pStyle w:val="BodyText"/>
        <w:spacing w:before="10"/>
        <w:rPr>
          <w:sz w:val="19"/>
        </w:rPr>
      </w:pPr>
    </w:p>
    <w:p>
      <w:pPr>
        <w:spacing w:before="0"/>
        <w:ind w:left="1270" w:right="0" w:firstLine="0"/>
        <w:jc w:val="both"/>
        <w:rPr>
          <w:sz w:val="19"/>
        </w:rPr>
      </w:pPr>
      <w:r>
        <w:rPr>
          <w:color w:val="231F20"/>
          <w:sz w:val="19"/>
        </w:rPr>
        <w:t>Burke J. J.; Franks C. D.; Burow G.; Xin Z. 2010. Selection systems for the stay-green drought tolerance  trait</w:t>
      </w:r>
    </w:p>
    <w:p>
      <w:pPr>
        <w:spacing w:before="9"/>
        <w:ind w:left="1270" w:right="0" w:firstLine="0"/>
        <w:jc w:val="both"/>
        <w:rPr>
          <w:sz w:val="19"/>
        </w:rPr>
      </w:pPr>
      <w:r>
        <w:rPr>
          <w:color w:val="231F20"/>
          <w:sz w:val="19"/>
        </w:rPr>
        <w:t>in sorghum germplasm. Agronomy Journal 102(4):1118-1122.</w:t>
      </w:r>
    </w:p>
    <w:p>
      <w:pPr>
        <w:pStyle w:val="BodyText"/>
        <w:spacing w:before="7"/>
        <w:rPr>
          <w:sz w:val="20"/>
        </w:rPr>
      </w:pPr>
    </w:p>
    <w:p>
      <w:pPr>
        <w:spacing w:line="249" w:lineRule="auto" w:before="0"/>
        <w:ind w:left="1270" w:right="1267" w:firstLine="0"/>
        <w:jc w:val="both"/>
        <w:rPr>
          <w:sz w:val="19"/>
        </w:rPr>
      </w:pPr>
      <w:r>
        <w:rPr>
          <w:color w:val="231F20"/>
          <w:sz w:val="19"/>
        </w:rPr>
        <w:t>Cisneros L., M. E.; Mendoza O., L. E.; Mora A., G.; Córdova T., L.; Livera M., M. 2007. Híbridos y progeni- tores de sorgo tolerantes al frío. II. Efecto de Fusarium verticillioides (Sacc.) Nirenberg en el rendimiento de semilla y sus componentes en condiciones de campo. Agrociencia 41:283-294.</w:t>
      </w:r>
    </w:p>
    <w:p>
      <w:pPr>
        <w:pStyle w:val="BodyText"/>
        <w:spacing w:before="10"/>
        <w:rPr>
          <w:sz w:val="19"/>
        </w:rPr>
      </w:pPr>
    </w:p>
    <w:p>
      <w:pPr>
        <w:spacing w:before="0"/>
        <w:ind w:left="1270" w:right="0" w:firstLine="0"/>
        <w:jc w:val="both"/>
        <w:rPr>
          <w:sz w:val="19"/>
        </w:rPr>
      </w:pPr>
      <w:r>
        <w:rPr>
          <w:color w:val="231F20"/>
          <w:sz w:val="19"/>
        </w:rPr>
        <w:t>Cisneros L., M. E.; Mendoza O., L. E. 2010. Influencia del genotipo y fecha de siembra en la calidad de semilla</w:t>
      </w:r>
    </w:p>
    <w:p>
      <w:pPr>
        <w:spacing w:before="9"/>
        <w:ind w:left="1270" w:right="0" w:firstLine="0"/>
        <w:jc w:val="both"/>
        <w:rPr>
          <w:sz w:val="19"/>
        </w:rPr>
      </w:pPr>
      <w:r>
        <w:rPr>
          <w:color w:val="231F20"/>
          <w:sz w:val="19"/>
        </w:rPr>
        <w:t>de sorgo infectada por ergot. Revista Fitotecnia Mexicana 33:69-77.</w:t>
      </w:r>
    </w:p>
    <w:p>
      <w:pPr>
        <w:pStyle w:val="BodyText"/>
        <w:spacing w:before="7"/>
        <w:rPr>
          <w:sz w:val="20"/>
        </w:rPr>
      </w:pPr>
    </w:p>
    <w:p>
      <w:pPr>
        <w:spacing w:before="0"/>
        <w:ind w:left="1270" w:right="0" w:firstLine="0"/>
        <w:jc w:val="both"/>
        <w:rPr>
          <w:sz w:val="19"/>
        </w:rPr>
      </w:pPr>
      <w:r>
        <w:rPr>
          <w:color w:val="231F20"/>
          <w:sz w:val="19"/>
        </w:rPr>
        <w:t>Di Marco O., N.; Ilarregui I., A.; Arias M., S.; Gutiérrez L., M. 2007. Calidad nutritiva de silajes de sorgo silero</w:t>
      </w:r>
    </w:p>
    <w:p>
      <w:pPr>
        <w:spacing w:before="9"/>
        <w:ind w:left="1270" w:right="0" w:firstLine="0"/>
        <w:jc w:val="both"/>
        <w:rPr>
          <w:sz w:val="19"/>
        </w:rPr>
      </w:pPr>
      <w:r>
        <w:rPr>
          <w:color w:val="231F20"/>
          <w:sz w:val="19"/>
        </w:rPr>
        <w:t>normal y nervadura marrón. Revista Argentina de Producción Animal. 27:1-10.</w:t>
      </w:r>
    </w:p>
    <w:p>
      <w:pPr>
        <w:pStyle w:val="BodyText"/>
        <w:spacing w:before="7"/>
        <w:rPr>
          <w:sz w:val="20"/>
        </w:rPr>
      </w:pPr>
    </w:p>
    <w:p>
      <w:pPr>
        <w:spacing w:line="249" w:lineRule="auto" w:before="0"/>
        <w:ind w:left="1270" w:right="1267" w:firstLine="0"/>
        <w:jc w:val="both"/>
        <w:rPr>
          <w:sz w:val="19"/>
        </w:rPr>
      </w:pPr>
      <w:r>
        <w:rPr>
          <w:color w:val="231F20"/>
          <w:sz w:val="19"/>
        </w:rPr>
        <w:t>Durán A., J.; Castro N., S.; Mendoza M., G. D.; Cobos P., M. A.; Ricalde V., R.; Plata P., F. X. 2004. Degra- dabilidad ruminal in vitro de almidón de 21 variedades de sorgo (Sorghum bicolor L. Moench) con diferente genotipo de resistencia a sequía. Interciencia 29(6):329-333.</w:t>
      </w:r>
    </w:p>
    <w:p>
      <w:pPr>
        <w:pStyle w:val="BodyText"/>
        <w:spacing w:before="10"/>
        <w:rPr>
          <w:sz w:val="19"/>
        </w:rPr>
      </w:pPr>
    </w:p>
    <w:p>
      <w:pPr>
        <w:spacing w:before="0"/>
        <w:ind w:left="1270" w:right="0" w:firstLine="0"/>
        <w:jc w:val="both"/>
        <w:rPr>
          <w:sz w:val="19"/>
        </w:rPr>
      </w:pPr>
      <w:r>
        <w:rPr>
          <w:color w:val="231F20"/>
          <w:sz w:val="19"/>
        </w:rPr>
        <w:t>Elangovan M.; Prabhakar; Reddy S., D. C. 2007. Characterization and evaluation of sorghum (Sorghum bicolor</w:t>
      </w:r>
    </w:p>
    <w:p>
      <w:pPr>
        <w:spacing w:before="9"/>
        <w:ind w:left="1270" w:right="0" w:firstLine="0"/>
        <w:jc w:val="both"/>
        <w:rPr>
          <w:sz w:val="19"/>
        </w:rPr>
      </w:pPr>
      <w:r>
        <w:rPr>
          <w:color w:val="231F20"/>
          <w:sz w:val="19"/>
        </w:rPr>
        <w:t>L.) Moench germplasm from Karnataka, India. Karnataka J. Agric. Sci. 20(4):840-842.</w:t>
      </w:r>
    </w:p>
    <w:p>
      <w:pPr>
        <w:spacing w:after="0"/>
        <w:jc w:val="both"/>
        <w:rPr>
          <w:sz w:val="19"/>
        </w:rPr>
        <w:sectPr>
          <w:pgSz w:w="10920" w:h="13080"/>
          <w:pgMar w:header="0" w:footer="965" w:top="420" w:bottom="1220" w:left="0" w:right="0"/>
        </w:sectPr>
      </w:pPr>
    </w:p>
    <w:p>
      <w:pPr>
        <w:pStyle w:val="BodyText"/>
        <w:rPr>
          <w:sz w:val="20"/>
        </w:rPr>
      </w:pPr>
    </w:p>
    <w:p>
      <w:pPr>
        <w:pStyle w:val="BodyText"/>
        <w:rPr>
          <w:sz w:val="20"/>
        </w:rPr>
      </w:pPr>
    </w:p>
    <w:p>
      <w:pPr>
        <w:pStyle w:val="BodyText"/>
        <w:spacing w:before="2"/>
        <w:rPr>
          <w:sz w:val="23"/>
        </w:rPr>
      </w:pPr>
    </w:p>
    <w:p>
      <w:pPr>
        <w:spacing w:line="249" w:lineRule="auto" w:before="76"/>
        <w:ind w:left="1270" w:right="1268" w:firstLine="0"/>
        <w:jc w:val="both"/>
        <w:rPr>
          <w:sz w:val="19"/>
        </w:rPr>
      </w:pPr>
      <w:r>
        <w:rPr>
          <w:color w:val="231F20"/>
          <w:sz w:val="19"/>
        </w:rPr>
        <w:t>FAO. 2011. Producción de cultivos. Disponible en: </w:t>
      </w:r>
      <w:hyperlink r:id="rId106">
        <w:r>
          <w:rPr>
            <w:color w:val="231F20"/>
            <w:sz w:val="19"/>
          </w:rPr>
          <w:t>http://faostat.fao.org/site/567/</w:t>
        </w:r>
      </w:hyperlink>
      <w:r>
        <w:rPr>
          <w:color w:val="231F20"/>
          <w:sz w:val="19"/>
        </w:rPr>
        <w:t> DesktopDefault. aspx?PageID=567#ancor.</w:t>
      </w:r>
    </w:p>
    <w:p>
      <w:pPr>
        <w:pStyle w:val="BodyText"/>
        <w:spacing w:before="10"/>
        <w:rPr>
          <w:sz w:val="19"/>
        </w:rPr>
      </w:pPr>
    </w:p>
    <w:p>
      <w:pPr>
        <w:spacing w:before="0"/>
        <w:ind w:left="1270" w:right="0" w:firstLine="0"/>
        <w:jc w:val="both"/>
        <w:rPr>
          <w:sz w:val="19"/>
        </w:rPr>
      </w:pPr>
      <w:r>
        <w:rPr>
          <w:color w:val="231F20"/>
          <w:sz w:val="19"/>
        </w:rPr>
        <w:t>García A., G. 1982. El sorgo para grano. Ministerio de Agricultura Pesca y Alimentación. Madrid, España. 20 p.</w:t>
      </w:r>
    </w:p>
    <w:p>
      <w:pPr>
        <w:pStyle w:val="BodyText"/>
        <w:spacing w:before="7"/>
        <w:rPr>
          <w:sz w:val="20"/>
        </w:rPr>
      </w:pPr>
    </w:p>
    <w:p>
      <w:pPr>
        <w:spacing w:line="249" w:lineRule="auto" w:before="0"/>
        <w:ind w:left="1270" w:right="1268" w:firstLine="0"/>
        <w:jc w:val="both"/>
        <w:rPr>
          <w:sz w:val="19"/>
        </w:rPr>
      </w:pPr>
      <w:r>
        <w:rPr>
          <w:color w:val="231F20"/>
          <w:sz w:val="19"/>
        </w:rPr>
        <w:t>García</w:t>
      </w:r>
      <w:r>
        <w:rPr>
          <w:color w:val="231F20"/>
          <w:spacing w:val="-5"/>
          <w:sz w:val="19"/>
        </w:rPr>
        <w:t> </w:t>
      </w:r>
      <w:r>
        <w:rPr>
          <w:color w:val="231F20"/>
          <w:sz w:val="19"/>
        </w:rPr>
        <w:t>E.</w:t>
      </w:r>
      <w:r>
        <w:rPr>
          <w:color w:val="231F20"/>
          <w:spacing w:val="-5"/>
          <w:sz w:val="19"/>
        </w:rPr>
        <w:t> </w:t>
      </w:r>
      <w:r>
        <w:rPr>
          <w:color w:val="231F20"/>
          <w:sz w:val="19"/>
        </w:rPr>
        <w:t>2004.</w:t>
      </w:r>
      <w:r>
        <w:rPr>
          <w:color w:val="231F20"/>
          <w:spacing w:val="-5"/>
          <w:sz w:val="19"/>
        </w:rPr>
        <w:t> </w:t>
      </w:r>
      <w:r>
        <w:rPr>
          <w:color w:val="231F20"/>
          <w:sz w:val="19"/>
        </w:rPr>
        <w:t>Modificaciones</w:t>
      </w:r>
      <w:r>
        <w:rPr>
          <w:color w:val="231F20"/>
          <w:spacing w:val="-5"/>
          <w:sz w:val="19"/>
        </w:rPr>
        <w:t> </w:t>
      </w:r>
      <w:r>
        <w:rPr>
          <w:color w:val="231F20"/>
          <w:sz w:val="19"/>
        </w:rPr>
        <w:t>al</w:t>
      </w:r>
      <w:r>
        <w:rPr>
          <w:color w:val="231F20"/>
          <w:spacing w:val="-5"/>
          <w:sz w:val="19"/>
        </w:rPr>
        <w:t> </w:t>
      </w:r>
      <w:r>
        <w:rPr>
          <w:color w:val="231F20"/>
          <w:sz w:val="19"/>
        </w:rPr>
        <w:t>sistema</w:t>
      </w:r>
      <w:r>
        <w:rPr>
          <w:color w:val="231F20"/>
          <w:spacing w:val="-5"/>
          <w:sz w:val="19"/>
        </w:rPr>
        <w:t> </w:t>
      </w:r>
      <w:r>
        <w:rPr>
          <w:color w:val="231F20"/>
          <w:sz w:val="19"/>
        </w:rPr>
        <w:t>de</w:t>
      </w:r>
      <w:r>
        <w:rPr>
          <w:color w:val="231F20"/>
          <w:spacing w:val="-5"/>
          <w:sz w:val="19"/>
        </w:rPr>
        <w:t> </w:t>
      </w:r>
      <w:r>
        <w:rPr>
          <w:color w:val="231F20"/>
          <w:sz w:val="19"/>
        </w:rPr>
        <w:t>clasificación</w:t>
      </w:r>
      <w:r>
        <w:rPr>
          <w:color w:val="231F20"/>
          <w:spacing w:val="-5"/>
          <w:sz w:val="19"/>
        </w:rPr>
        <w:t> </w:t>
      </w:r>
      <w:r>
        <w:rPr>
          <w:color w:val="231F20"/>
          <w:sz w:val="19"/>
        </w:rPr>
        <w:t>climática</w:t>
      </w:r>
      <w:r>
        <w:rPr>
          <w:color w:val="231F20"/>
          <w:spacing w:val="-5"/>
          <w:sz w:val="19"/>
        </w:rPr>
        <w:t> </w:t>
      </w:r>
      <w:r>
        <w:rPr>
          <w:color w:val="231F20"/>
          <w:sz w:val="19"/>
        </w:rPr>
        <w:t>de</w:t>
      </w:r>
      <w:r>
        <w:rPr>
          <w:color w:val="231F20"/>
          <w:spacing w:val="-5"/>
          <w:sz w:val="19"/>
        </w:rPr>
        <w:t> </w:t>
      </w:r>
      <w:r>
        <w:rPr>
          <w:color w:val="231F20"/>
          <w:sz w:val="19"/>
        </w:rPr>
        <w:t>Köppen.</w:t>
      </w:r>
      <w:r>
        <w:rPr>
          <w:color w:val="231F20"/>
          <w:spacing w:val="-5"/>
          <w:sz w:val="19"/>
        </w:rPr>
        <w:t> </w:t>
      </w:r>
      <w:r>
        <w:rPr>
          <w:color w:val="231F20"/>
          <w:sz w:val="19"/>
        </w:rPr>
        <w:t>Instituto</w:t>
      </w:r>
      <w:r>
        <w:rPr>
          <w:color w:val="231F20"/>
          <w:spacing w:val="-5"/>
          <w:sz w:val="19"/>
        </w:rPr>
        <w:t> </w:t>
      </w:r>
      <w:r>
        <w:rPr>
          <w:color w:val="231F20"/>
          <w:sz w:val="19"/>
        </w:rPr>
        <w:t>Nacional</w:t>
      </w:r>
      <w:r>
        <w:rPr>
          <w:color w:val="231F20"/>
          <w:spacing w:val="-5"/>
          <w:sz w:val="19"/>
        </w:rPr>
        <w:t> </w:t>
      </w:r>
      <w:r>
        <w:rPr>
          <w:color w:val="231F20"/>
          <w:sz w:val="19"/>
        </w:rPr>
        <w:t>de</w:t>
      </w:r>
      <w:r>
        <w:rPr>
          <w:color w:val="231F20"/>
          <w:spacing w:val="-5"/>
          <w:sz w:val="19"/>
        </w:rPr>
        <w:t> </w:t>
      </w:r>
      <w:r>
        <w:rPr>
          <w:color w:val="231F20"/>
          <w:sz w:val="19"/>
        </w:rPr>
        <w:t>Geogra- fía. UNAM. 246</w:t>
      </w:r>
      <w:r>
        <w:rPr>
          <w:color w:val="231F20"/>
          <w:spacing w:val="-4"/>
          <w:sz w:val="19"/>
        </w:rPr>
        <w:t> </w:t>
      </w:r>
      <w:r>
        <w:rPr>
          <w:color w:val="231F20"/>
          <w:sz w:val="19"/>
        </w:rPr>
        <w:t>p.</w:t>
      </w:r>
    </w:p>
    <w:p>
      <w:pPr>
        <w:pStyle w:val="BodyText"/>
        <w:spacing w:before="10"/>
        <w:rPr>
          <w:sz w:val="19"/>
        </w:rPr>
      </w:pPr>
    </w:p>
    <w:p>
      <w:pPr>
        <w:spacing w:line="249" w:lineRule="auto" w:before="0"/>
        <w:ind w:left="1270" w:right="1268" w:firstLine="0"/>
        <w:jc w:val="both"/>
        <w:rPr>
          <w:sz w:val="19"/>
        </w:rPr>
      </w:pPr>
      <w:r>
        <w:rPr>
          <w:color w:val="231F20"/>
          <w:sz w:val="19"/>
        </w:rPr>
        <w:t>Garza U., E.; Aguirre A., E.; Céspedes T., E.; Del Angel S., R. 2003. Guía para cultivar sorgo en la Planicie Huasteca Potosina. INIFAP. Campo Experimental Ébano. Folleto para productores No. 4. San Luis Potosí, México. 32 p.</w:t>
      </w:r>
    </w:p>
    <w:p>
      <w:pPr>
        <w:pStyle w:val="BodyText"/>
        <w:spacing w:before="10"/>
        <w:rPr>
          <w:sz w:val="19"/>
        </w:rPr>
      </w:pPr>
    </w:p>
    <w:p>
      <w:pPr>
        <w:spacing w:line="249" w:lineRule="auto" w:before="0"/>
        <w:ind w:left="1270" w:right="1268" w:firstLine="0"/>
        <w:jc w:val="both"/>
        <w:rPr>
          <w:sz w:val="19"/>
        </w:rPr>
      </w:pPr>
      <w:r>
        <w:rPr>
          <w:color w:val="231F20"/>
          <w:sz w:val="19"/>
        </w:rPr>
        <w:t>González R.; Graterol Y.; Ávila J.; Sequera W.; Velásquez L.; Pieruzzini N. 2008. Comportamiento de 12 hí- bridos de sorgo granífero sembrados bajo condiciones de norte-verano en los llanos occidentales. Rev. Unell. Cienc. Tec. 26:71-79.</w:t>
      </w:r>
    </w:p>
    <w:p>
      <w:pPr>
        <w:spacing w:before="1"/>
        <w:ind w:left="1270" w:right="0" w:firstLine="0"/>
        <w:jc w:val="both"/>
        <w:rPr>
          <w:sz w:val="19"/>
        </w:rPr>
      </w:pPr>
      <w:r>
        <w:rPr>
          <w:color w:val="231F20"/>
          <w:sz w:val="19"/>
        </w:rPr>
        <w:t>Gul I.; Saruhan V. 2005. Determination of yield components of grain sorghum cultivars grown as second crop.</w:t>
      </w:r>
    </w:p>
    <w:p>
      <w:pPr>
        <w:spacing w:before="9"/>
        <w:ind w:left="1270" w:right="0" w:firstLine="0"/>
        <w:jc w:val="both"/>
        <w:rPr>
          <w:sz w:val="19"/>
        </w:rPr>
      </w:pPr>
      <w:r>
        <w:rPr>
          <w:color w:val="231F20"/>
          <w:sz w:val="19"/>
        </w:rPr>
        <w:t>Journal of Agronomy 4:61-66.</w:t>
      </w:r>
    </w:p>
    <w:p>
      <w:pPr>
        <w:pStyle w:val="BodyText"/>
        <w:spacing w:before="7"/>
        <w:rPr>
          <w:sz w:val="20"/>
        </w:rPr>
      </w:pPr>
    </w:p>
    <w:p>
      <w:pPr>
        <w:spacing w:line="249" w:lineRule="auto" w:before="0"/>
        <w:ind w:left="1270" w:right="1268" w:firstLine="0"/>
        <w:jc w:val="both"/>
        <w:rPr>
          <w:sz w:val="19"/>
        </w:rPr>
      </w:pPr>
      <w:r>
        <w:rPr>
          <w:color w:val="231F20"/>
          <w:sz w:val="19"/>
        </w:rPr>
        <w:t>Güler</w:t>
      </w:r>
      <w:r>
        <w:rPr>
          <w:color w:val="231F20"/>
          <w:spacing w:val="-9"/>
          <w:sz w:val="19"/>
        </w:rPr>
        <w:t> </w:t>
      </w:r>
      <w:r>
        <w:rPr>
          <w:color w:val="231F20"/>
          <w:sz w:val="19"/>
        </w:rPr>
        <w:t>M.;</w:t>
      </w:r>
      <w:r>
        <w:rPr>
          <w:color w:val="231F20"/>
          <w:spacing w:val="-9"/>
          <w:sz w:val="19"/>
        </w:rPr>
        <w:t> </w:t>
      </w:r>
      <w:r>
        <w:rPr>
          <w:color w:val="231F20"/>
          <w:sz w:val="19"/>
        </w:rPr>
        <w:t>Gul</w:t>
      </w:r>
      <w:r>
        <w:rPr>
          <w:color w:val="231F20"/>
          <w:spacing w:val="-9"/>
          <w:sz w:val="19"/>
        </w:rPr>
        <w:t> </w:t>
      </w:r>
      <w:r>
        <w:rPr>
          <w:color w:val="231F20"/>
          <w:sz w:val="19"/>
        </w:rPr>
        <w:t>I.;</w:t>
      </w:r>
      <w:r>
        <w:rPr>
          <w:color w:val="231F20"/>
          <w:spacing w:val="-15"/>
          <w:sz w:val="19"/>
        </w:rPr>
        <w:t> </w:t>
      </w:r>
      <w:r>
        <w:rPr>
          <w:color w:val="231F20"/>
          <w:sz w:val="19"/>
        </w:rPr>
        <w:t>Yilmaz</w:t>
      </w:r>
      <w:r>
        <w:rPr>
          <w:color w:val="231F20"/>
          <w:spacing w:val="-9"/>
          <w:sz w:val="19"/>
        </w:rPr>
        <w:t> </w:t>
      </w:r>
      <w:r>
        <w:rPr>
          <w:color w:val="231F20"/>
          <w:sz w:val="19"/>
        </w:rPr>
        <w:t>S.;</w:t>
      </w:r>
      <w:r>
        <w:rPr>
          <w:color w:val="231F20"/>
          <w:spacing w:val="-9"/>
          <w:sz w:val="19"/>
        </w:rPr>
        <w:t> </w:t>
      </w:r>
      <w:r>
        <w:rPr>
          <w:color w:val="231F20"/>
          <w:sz w:val="19"/>
        </w:rPr>
        <w:t>Emerklier</w:t>
      </w:r>
      <w:r>
        <w:rPr>
          <w:color w:val="231F20"/>
          <w:spacing w:val="-10"/>
          <w:sz w:val="19"/>
        </w:rPr>
        <w:t> </w:t>
      </w:r>
      <w:r>
        <w:rPr>
          <w:color w:val="231F20"/>
          <w:sz w:val="19"/>
        </w:rPr>
        <w:t>H.</w:t>
      </w:r>
      <w:r>
        <w:rPr>
          <w:color w:val="231F20"/>
          <w:spacing w:val="-15"/>
          <w:sz w:val="19"/>
        </w:rPr>
        <w:t> </w:t>
      </w:r>
      <w:r>
        <w:rPr>
          <w:color w:val="231F20"/>
          <w:spacing w:val="-9"/>
          <w:sz w:val="19"/>
        </w:rPr>
        <w:t>Y.;</w:t>
      </w:r>
      <w:r>
        <w:rPr>
          <w:color w:val="231F20"/>
          <w:spacing w:val="-19"/>
          <w:sz w:val="19"/>
        </w:rPr>
        <w:t> </w:t>
      </w:r>
      <w:r>
        <w:rPr>
          <w:color w:val="231F20"/>
          <w:sz w:val="19"/>
        </w:rPr>
        <w:t>Akdogan</w:t>
      </w:r>
      <w:r>
        <w:rPr>
          <w:color w:val="231F20"/>
          <w:spacing w:val="-9"/>
          <w:sz w:val="19"/>
        </w:rPr>
        <w:t> </w:t>
      </w:r>
      <w:r>
        <w:rPr>
          <w:color w:val="231F20"/>
          <w:sz w:val="19"/>
        </w:rPr>
        <w:t>G.</w:t>
      </w:r>
      <w:r>
        <w:rPr>
          <w:color w:val="231F20"/>
          <w:spacing w:val="-9"/>
          <w:sz w:val="19"/>
        </w:rPr>
        <w:t> </w:t>
      </w:r>
      <w:r>
        <w:rPr>
          <w:color w:val="231F20"/>
          <w:sz w:val="19"/>
        </w:rPr>
        <w:t>2008.</w:t>
      </w:r>
      <w:r>
        <w:rPr>
          <w:color w:val="231F20"/>
          <w:spacing w:val="-9"/>
          <w:sz w:val="19"/>
        </w:rPr>
        <w:t> </w:t>
      </w:r>
      <w:r>
        <w:rPr>
          <w:color w:val="231F20"/>
          <w:sz w:val="19"/>
        </w:rPr>
        <w:t>Nitrogen</w:t>
      </w:r>
      <w:r>
        <w:rPr>
          <w:color w:val="231F20"/>
          <w:spacing w:val="-9"/>
          <w:sz w:val="19"/>
        </w:rPr>
        <w:t> </w:t>
      </w:r>
      <w:r>
        <w:rPr>
          <w:color w:val="231F20"/>
          <w:sz w:val="19"/>
        </w:rPr>
        <w:t>and</w:t>
      </w:r>
      <w:r>
        <w:rPr>
          <w:color w:val="231F20"/>
          <w:spacing w:val="-9"/>
          <w:sz w:val="19"/>
        </w:rPr>
        <w:t> </w:t>
      </w:r>
      <w:r>
        <w:rPr>
          <w:color w:val="231F20"/>
          <w:sz w:val="19"/>
        </w:rPr>
        <w:t>plant</w:t>
      </w:r>
      <w:r>
        <w:rPr>
          <w:color w:val="231F20"/>
          <w:spacing w:val="-9"/>
          <w:sz w:val="19"/>
        </w:rPr>
        <w:t> </w:t>
      </w:r>
      <w:r>
        <w:rPr>
          <w:color w:val="231F20"/>
          <w:sz w:val="19"/>
        </w:rPr>
        <w:t>density</w:t>
      </w:r>
      <w:r>
        <w:rPr>
          <w:color w:val="231F20"/>
          <w:spacing w:val="-9"/>
          <w:sz w:val="19"/>
        </w:rPr>
        <w:t> </w:t>
      </w:r>
      <w:r>
        <w:rPr>
          <w:color w:val="231F20"/>
          <w:sz w:val="19"/>
        </w:rPr>
        <w:t>effects</w:t>
      </w:r>
      <w:r>
        <w:rPr>
          <w:color w:val="231F20"/>
          <w:spacing w:val="-9"/>
          <w:sz w:val="19"/>
        </w:rPr>
        <w:t> </w:t>
      </w:r>
      <w:r>
        <w:rPr>
          <w:color w:val="231F20"/>
          <w:sz w:val="19"/>
        </w:rPr>
        <w:t>on</w:t>
      </w:r>
      <w:r>
        <w:rPr>
          <w:color w:val="231F20"/>
          <w:spacing w:val="-9"/>
          <w:sz w:val="19"/>
        </w:rPr>
        <w:t> </w:t>
      </w:r>
      <w:r>
        <w:rPr>
          <w:color w:val="231F20"/>
          <w:sz w:val="19"/>
        </w:rPr>
        <w:t>sorghum. Journal of Agronomy</w:t>
      </w:r>
      <w:r>
        <w:rPr>
          <w:color w:val="231F20"/>
          <w:spacing w:val="-24"/>
          <w:sz w:val="19"/>
        </w:rPr>
        <w:t> </w:t>
      </w:r>
      <w:r>
        <w:rPr>
          <w:color w:val="231F20"/>
          <w:sz w:val="19"/>
        </w:rPr>
        <w:t>7(3):220-228.</w:t>
      </w:r>
    </w:p>
    <w:p>
      <w:pPr>
        <w:pStyle w:val="BodyText"/>
        <w:spacing w:before="10"/>
        <w:rPr>
          <w:sz w:val="19"/>
        </w:rPr>
      </w:pPr>
    </w:p>
    <w:p>
      <w:pPr>
        <w:spacing w:before="0"/>
        <w:ind w:left="1270" w:right="0" w:firstLine="0"/>
        <w:jc w:val="both"/>
        <w:rPr>
          <w:sz w:val="19"/>
        </w:rPr>
      </w:pPr>
      <w:r>
        <w:rPr>
          <w:color w:val="231F20"/>
          <w:sz w:val="19"/>
        </w:rPr>
        <w:t>Jirali D. I.; Biradar B. D.; Rao S. S. 2007. Performance of rabi sorghum genotypes under receding soil moisture</w:t>
      </w:r>
    </w:p>
    <w:p>
      <w:pPr>
        <w:spacing w:before="9"/>
        <w:ind w:left="1270" w:right="0" w:firstLine="0"/>
        <w:jc w:val="both"/>
        <w:rPr>
          <w:sz w:val="19"/>
        </w:rPr>
      </w:pPr>
      <w:r>
        <w:rPr>
          <w:color w:val="231F20"/>
          <w:sz w:val="19"/>
        </w:rPr>
        <w:t>conditions in different soil types. Karnataka J. Agric. Sci. 20(3):603-604.</w:t>
      </w:r>
    </w:p>
    <w:p>
      <w:pPr>
        <w:pStyle w:val="BodyText"/>
        <w:spacing w:before="7"/>
        <w:rPr>
          <w:sz w:val="20"/>
        </w:rPr>
      </w:pPr>
    </w:p>
    <w:p>
      <w:pPr>
        <w:spacing w:before="0"/>
        <w:ind w:left="1270" w:right="0" w:firstLine="0"/>
        <w:jc w:val="both"/>
        <w:rPr>
          <w:sz w:val="19"/>
        </w:rPr>
      </w:pPr>
      <w:r>
        <w:rPr>
          <w:color w:val="231F20"/>
          <w:sz w:val="19"/>
        </w:rPr>
        <w:t>Jordan D. R.; Mace E. S.; Cruickshank A. W.; Hunt C. H.; Henzell R. G. 2011. Exploring and exploiting genetic</w:t>
      </w:r>
    </w:p>
    <w:p>
      <w:pPr>
        <w:spacing w:before="9"/>
        <w:ind w:left="1270" w:right="0" w:firstLine="0"/>
        <w:jc w:val="both"/>
        <w:rPr>
          <w:sz w:val="19"/>
        </w:rPr>
      </w:pPr>
      <w:r>
        <w:rPr>
          <w:color w:val="231F20"/>
          <w:sz w:val="19"/>
        </w:rPr>
        <w:t>variation from unadapted sorghum germplasm in a breeding program. Crop Science 51:1444-1457.</w:t>
      </w:r>
    </w:p>
    <w:p>
      <w:pPr>
        <w:pStyle w:val="BodyText"/>
        <w:spacing w:before="7"/>
        <w:rPr>
          <w:sz w:val="20"/>
        </w:rPr>
      </w:pPr>
    </w:p>
    <w:p>
      <w:pPr>
        <w:spacing w:line="249" w:lineRule="auto" w:before="0"/>
        <w:ind w:left="1270" w:right="1267" w:firstLine="0"/>
        <w:jc w:val="both"/>
        <w:rPr>
          <w:sz w:val="19"/>
        </w:rPr>
      </w:pPr>
      <w:r>
        <w:rPr>
          <w:color w:val="231F20"/>
          <w:sz w:val="19"/>
        </w:rPr>
        <w:t>León V., H.; Mendoza O., L. E.; Castillo G., F.; Cervantes S., T.; Martínez G., A. 2009a. Evaluación de dos generaciones de híbridos y progenitores de sorgo tolerantes al frío. I: Variabilidad genética y adaptabilidad. Agrociencia 43:483-496.</w:t>
      </w:r>
    </w:p>
    <w:p>
      <w:pPr>
        <w:pStyle w:val="BodyText"/>
        <w:spacing w:before="10"/>
        <w:rPr>
          <w:sz w:val="19"/>
        </w:rPr>
      </w:pPr>
    </w:p>
    <w:p>
      <w:pPr>
        <w:spacing w:line="249" w:lineRule="auto" w:before="0"/>
        <w:ind w:left="1270" w:right="1268" w:firstLine="0"/>
        <w:jc w:val="both"/>
        <w:rPr>
          <w:sz w:val="19"/>
        </w:rPr>
      </w:pPr>
      <w:r>
        <w:rPr>
          <w:color w:val="231F20"/>
          <w:sz w:val="19"/>
        </w:rPr>
        <w:t>León V., H.; Mendoza O., L. E.; Castillo G., F.; Cervantes S., T.; Martínez G., A. 2009b. Evaluación de dos generaciones de híbridos y progenitores de sorgo tolerantes al frío. II: Aptitud combinatoria, heterosis y hete- robeltiosis. Agrociencia 43:609-623.</w:t>
      </w:r>
    </w:p>
    <w:p>
      <w:pPr>
        <w:pStyle w:val="BodyText"/>
        <w:spacing w:before="10"/>
        <w:rPr>
          <w:sz w:val="19"/>
        </w:rPr>
      </w:pPr>
    </w:p>
    <w:p>
      <w:pPr>
        <w:spacing w:line="249" w:lineRule="auto" w:before="0"/>
        <w:ind w:left="1270" w:right="1267" w:firstLine="0"/>
        <w:jc w:val="both"/>
        <w:rPr>
          <w:sz w:val="19"/>
        </w:rPr>
      </w:pPr>
      <w:r>
        <w:rPr>
          <w:color w:val="231F20"/>
          <w:sz w:val="19"/>
        </w:rPr>
        <w:t>López O., N. C.; Tique M., M.; Pérez L., L. S. 2011. Contribución al estudio del sorgo (Sorghum bicolor (L.) Moench) para nutrición humana. Perspectivas en nutrición humana 13:33-44.</w:t>
      </w:r>
    </w:p>
    <w:p>
      <w:pPr>
        <w:pStyle w:val="BodyText"/>
        <w:spacing w:before="10"/>
        <w:rPr>
          <w:sz w:val="19"/>
        </w:rPr>
      </w:pPr>
    </w:p>
    <w:p>
      <w:pPr>
        <w:spacing w:before="0"/>
        <w:ind w:left="1270" w:right="0" w:firstLine="0"/>
        <w:jc w:val="both"/>
        <w:rPr>
          <w:sz w:val="19"/>
        </w:rPr>
      </w:pPr>
      <w:r>
        <w:rPr>
          <w:color w:val="231F20"/>
          <w:sz w:val="19"/>
        </w:rPr>
        <w:t>Mason C., S.; Kathol D.; Eskridge M., K.; Galusha D., T. 2008. Yield increase has been more rapid for  maize</w:t>
      </w:r>
    </w:p>
    <w:p>
      <w:pPr>
        <w:spacing w:before="9"/>
        <w:ind w:left="1270" w:right="0" w:firstLine="0"/>
        <w:jc w:val="both"/>
        <w:rPr>
          <w:sz w:val="19"/>
        </w:rPr>
      </w:pPr>
      <w:r>
        <w:rPr>
          <w:color w:val="231F20"/>
          <w:sz w:val="19"/>
        </w:rPr>
        <w:t>than for grain sorghum. Crop Science 48:1560-1568.</w:t>
      </w:r>
    </w:p>
    <w:p>
      <w:pPr>
        <w:pStyle w:val="BodyText"/>
        <w:spacing w:before="7"/>
        <w:rPr>
          <w:sz w:val="20"/>
        </w:rPr>
      </w:pPr>
    </w:p>
    <w:p>
      <w:pPr>
        <w:spacing w:line="249" w:lineRule="auto" w:before="0"/>
        <w:ind w:left="1270" w:right="1267" w:firstLine="0"/>
        <w:jc w:val="both"/>
        <w:rPr>
          <w:sz w:val="19"/>
        </w:rPr>
      </w:pPr>
      <w:r>
        <w:rPr>
          <w:color w:val="231F20"/>
          <w:sz w:val="19"/>
        </w:rPr>
        <w:t>Machado A., A. M.; Novella L., R.; Leyva S., O.; Expósito E., I. 2001. Comportamiento de ocho variedades de sorgo (Sorghum bicolor L.) ante condiciones de escasos riegos. Revista Ciencias Técnicas Agropecuarias 10(4):71-74.</w:t>
      </w:r>
    </w:p>
    <w:p>
      <w:pPr>
        <w:spacing w:after="0" w:line="249" w:lineRule="auto"/>
        <w:jc w:val="both"/>
        <w:rPr>
          <w:sz w:val="19"/>
        </w:rPr>
        <w:sectPr>
          <w:pgSz w:w="10920" w:h="13080"/>
          <w:pgMar w:header="0" w:footer="965" w:top="420" w:bottom="1220" w:left="0" w:right="0"/>
        </w:sectPr>
      </w:pPr>
    </w:p>
    <w:p>
      <w:pPr>
        <w:pStyle w:val="BodyText"/>
        <w:rPr>
          <w:sz w:val="20"/>
        </w:rPr>
      </w:pPr>
    </w:p>
    <w:p>
      <w:pPr>
        <w:pStyle w:val="BodyText"/>
        <w:rPr>
          <w:sz w:val="20"/>
        </w:rPr>
      </w:pPr>
    </w:p>
    <w:p>
      <w:pPr>
        <w:pStyle w:val="BodyText"/>
        <w:spacing w:before="2"/>
        <w:rPr>
          <w:sz w:val="23"/>
        </w:rPr>
      </w:pPr>
    </w:p>
    <w:p>
      <w:pPr>
        <w:spacing w:before="76"/>
        <w:ind w:left="1270" w:right="0" w:firstLine="0"/>
        <w:jc w:val="both"/>
        <w:rPr>
          <w:sz w:val="19"/>
        </w:rPr>
      </w:pPr>
      <w:r>
        <w:rPr>
          <w:color w:val="231F20"/>
          <w:sz w:val="19"/>
        </w:rPr>
        <w:t>Mesfin T.; Tesfahunegn G. B.; Wortmann C. S.; Mamo M.; Nikus O. 2010. Skip-row planting and  tie-ridging</w:t>
      </w:r>
    </w:p>
    <w:p>
      <w:pPr>
        <w:spacing w:before="9"/>
        <w:ind w:left="1270" w:right="0" w:firstLine="0"/>
        <w:jc w:val="both"/>
        <w:rPr>
          <w:sz w:val="19"/>
        </w:rPr>
      </w:pPr>
      <w:r>
        <w:rPr>
          <w:color w:val="231F20"/>
          <w:sz w:val="19"/>
        </w:rPr>
        <w:t>for sorghum production in semiarid areas of Ethiopia. Agronomy Journal 102(2):745-750.</w:t>
      </w:r>
    </w:p>
    <w:p>
      <w:pPr>
        <w:pStyle w:val="BodyText"/>
        <w:spacing w:before="7"/>
        <w:rPr>
          <w:sz w:val="20"/>
        </w:rPr>
      </w:pPr>
    </w:p>
    <w:p>
      <w:pPr>
        <w:spacing w:line="249" w:lineRule="auto" w:before="0"/>
        <w:ind w:left="1270" w:right="1267" w:firstLine="0"/>
        <w:jc w:val="both"/>
        <w:rPr>
          <w:sz w:val="19"/>
        </w:rPr>
      </w:pPr>
      <w:r>
        <w:rPr>
          <w:color w:val="231F20"/>
          <w:sz w:val="19"/>
        </w:rPr>
        <w:t>Pfeiffer T. W.; Bitzer M. J.; Toy J. J.; Pedersen J. F. 2010. Heterosis in sweet sorghum and selection of a new sweet sorghum hybrid for use in syrup production in Appalachia. Crop Science 50:1778-1794.</w:t>
      </w:r>
    </w:p>
    <w:p>
      <w:pPr>
        <w:pStyle w:val="BodyText"/>
        <w:spacing w:before="10"/>
        <w:rPr>
          <w:sz w:val="19"/>
        </w:rPr>
      </w:pPr>
    </w:p>
    <w:p>
      <w:pPr>
        <w:spacing w:before="0"/>
        <w:ind w:left="1270" w:right="0" w:firstLine="0"/>
        <w:jc w:val="both"/>
        <w:rPr>
          <w:sz w:val="19"/>
        </w:rPr>
      </w:pPr>
      <w:r>
        <w:rPr>
          <w:color w:val="231F20"/>
          <w:sz w:val="19"/>
        </w:rPr>
        <w:t>Rosales R., E.; Sánchez De La C., R.; Cerda G., P. 2011. Control químico de maleza de hoja ancha en sorgo para</w:t>
      </w:r>
    </w:p>
    <w:p>
      <w:pPr>
        <w:spacing w:before="9"/>
        <w:ind w:left="1270" w:right="0" w:firstLine="0"/>
        <w:jc w:val="both"/>
        <w:rPr>
          <w:sz w:val="19"/>
        </w:rPr>
      </w:pPr>
      <w:r>
        <w:rPr>
          <w:color w:val="231F20"/>
          <w:sz w:val="19"/>
        </w:rPr>
        <w:t>grano. Revista Fitotecnia Mexicana 34(4):269-275.</w:t>
      </w:r>
    </w:p>
    <w:p>
      <w:pPr>
        <w:pStyle w:val="BodyText"/>
        <w:spacing w:before="7"/>
        <w:rPr>
          <w:sz w:val="20"/>
        </w:rPr>
      </w:pPr>
    </w:p>
    <w:p>
      <w:pPr>
        <w:spacing w:line="249" w:lineRule="auto" w:before="0"/>
        <w:ind w:left="1270" w:right="1268" w:firstLine="0"/>
        <w:jc w:val="both"/>
        <w:rPr>
          <w:sz w:val="19"/>
        </w:rPr>
      </w:pPr>
      <w:r>
        <w:rPr>
          <w:color w:val="231F20"/>
          <w:sz w:val="19"/>
        </w:rPr>
        <w:t>Ruíz</w:t>
      </w:r>
      <w:r>
        <w:rPr>
          <w:color w:val="231F20"/>
          <w:spacing w:val="-11"/>
          <w:sz w:val="19"/>
        </w:rPr>
        <w:t> </w:t>
      </w:r>
      <w:r>
        <w:rPr>
          <w:color w:val="231F20"/>
          <w:spacing w:val="-9"/>
          <w:sz w:val="19"/>
        </w:rPr>
        <w:t>V.,</w:t>
      </w:r>
      <w:r>
        <w:rPr>
          <w:color w:val="231F20"/>
          <w:spacing w:val="-8"/>
          <w:sz w:val="19"/>
        </w:rPr>
        <w:t> </w:t>
      </w:r>
      <w:r>
        <w:rPr>
          <w:color w:val="231F20"/>
          <w:sz w:val="19"/>
        </w:rPr>
        <w:t>J.;</w:t>
      </w:r>
      <w:r>
        <w:rPr>
          <w:color w:val="231F20"/>
          <w:spacing w:val="-8"/>
          <w:sz w:val="19"/>
        </w:rPr>
        <w:t> </w:t>
      </w:r>
      <w:r>
        <w:rPr>
          <w:color w:val="231F20"/>
          <w:sz w:val="19"/>
        </w:rPr>
        <w:t>Carrillo</w:t>
      </w:r>
      <w:r>
        <w:rPr>
          <w:color w:val="231F20"/>
          <w:spacing w:val="-8"/>
          <w:sz w:val="19"/>
        </w:rPr>
        <w:t> </w:t>
      </w:r>
      <w:r>
        <w:rPr>
          <w:color w:val="231F20"/>
          <w:sz w:val="19"/>
        </w:rPr>
        <w:t>R.,</w:t>
      </w:r>
      <w:r>
        <w:rPr>
          <w:color w:val="231F20"/>
          <w:spacing w:val="-8"/>
          <w:sz w:val="19"/>
        </w:rPr>
        <w:t> </w:t>
      </w:r>
      <w:r>
        <w:rPr>
          <w:color w:val="231F20"/>
          <w:sz w:val="19"/>
        </w:rPr>
        <w:t>J.</w:t>
      </w:r>
      <w:r>
        <w:rPr>
          <w:color w:val="231F20"/>
          <w:spacing w:val="-8"/>
          <w:sz w:val="19"/>
        </w:rPr>
        <w:t> </w:t>
      </w:r>
      <w:r>
        <w:rPr>
          <w:color w:val="231F20"/>
          <w:sz w:val="19"/>
        </w:rPr>
        <w:t>C.</w:t>
      </w:r>
      <w:r>
        <w:rPr>
          <w:color w:val="231F20"/>
          <w:spacing w:val="-8"/>
          <w:sz w:val="19"/>
        </w:rPr>
        <w:t> </w:t>
      </w:r>
      <w:r>
        <w:rPr>
          <w:color w:val="231F20"/>
          <w:sz w:val="19"/>
        </w:rPr>
        <w:t>2005.</w:t>
      </w:r>
      <w:r>
        <w:rPr>
          <w:color w:val="231F20"/>
          <w:spacing w:val="-8"/>
          <w:sz w:val="19"/>
        </w:rPr>
        <w:t> </w:t>
      </w:r>
      <w:r>
        <w:rPr>
          <w:color w:val="231F20"/>
          <w:sz w:val="19"/>
        </w:rPr>
        <w:t>Selección</w:t>
      </w:r>
      <w:r>
        <w:rPr>
          <w:color w:val="231F20"/>
          <w:spacing w:val="-8"/>
          <w:sz w:val="19"/>
        </w:rPr>
        <w:t> </w:t>
      </w:r>
      <w:r>
        <w:rPr>
          <w:color w:val="231F20"/>
          <w:sz w:val="19"/>
        </w:rPr>
        <w:t>de</w:t>
      </w:r>
      <w:r>
        <w:rPr>
          <w:color w:val="231F20"/>
          <w:spacing w:val="-8"/>
          <w:sz w:val="19"/>
        </w:rPr>
        <w:t> </w:t>
      </w:r>
      <w:r>
        <w:rPr>
          <w:color w:val="231F20"/>
          <w:sz w:val="19"/>
        </w:rPr>
        <w:t>cultivares</w:t>
      </w:r>
      <w:r>
        <w:rPr>
          <w:color w:val="231F20"/>
          <w:spacing w:val="-8"/>
          <w:sz w:val="19"/>
        </w:rPr>
        <w:t> </w:t>
      </w:r>
      <w:r>
        <w:rPr>
          <w:color w:val="231F20"/>
          <w:sz w:val="19"/>
        </w:rPr>
        <w:t>forrajeros</w:t>
      </w:r>
      <w:r>
        <w:rPr>
          <w:color w:val="231F20"/>
          <w:spacing w:val="-8"/>
          <w:sz w:val="19"/>
        </w:rPr>
        <w:t> </w:t>
      </w:r>
      <w:r>
        <w:rPr>
          <w:color w:val="231F20"/>
          <w:sz w:val="19"/>
        </w:rPr>
        <w:t>de</w:t>
      </w:r>
      <w:r>
        <w:rPr>
          <w:color w:val="231F20"/>
          <w:spacing w:val="-8"/>
          <w:sz w:val="19"/>
        </w:rPr>
        <w:t> </w:t>
      </w:r>
      <w:r>
        <w:rPr>
          <w:color w:val="231F20"/>
          <w:sz w:val="19"/>
        </w:rPr>
        <w:t>sorgo</w:t>
      </w:r>
      <w:r>
        <w:rPr>
          <w:color w:val="231F20"/>
          <w:spacing w:val="-8"/>
          <w:sz w:val="19"/>
        </w:rPr>
        <w:t> </w:t>
      </w:r>
      <w:r>
        <w:rPr>
          <w:color w:val="231F20"/>
          <w:sz w:val="19"/>
        </w:rPr>
        <w:t>(Sorghum</w:t>
      </w:r>
      <w:r>
        <w:rPr>
          <w:color w:val="231F20"/>
          <w:spacing w:val="-8"/>
          <w:sz w:val="19"/>
        </w:rPr>
        <w:t> </w:t>
      </w:r>
      <w:r>
        <w:rPr>
          <w:color w:val="231F20"/>
          <w:sz w:val="19"/>
        </w:rPr>
        <w:t>bicolor)</w:t>
      </w:r>
      <w:r>
        <w:rPr>
          <w:color w:val="231F20"/>
          <w:spacing w:val="-8"/>
          <w:sz w:val="19"/>
        </w:rPr>
        <w:t> </w:t>
      </w:r>
      <w:r>
        <w:rPr>
          <w:color w:val="231F20"/>
          <w:sz w:val="19"/>
        </w:rPr>
        <w:t>y</w:t>
      </w:r>
      <w:r>
        <w:rPr>
          <w:color w:val="231F20"/>
          <w:spacing w:val="-8"/>
          <w:sz w:val="19"/>
        </w:rPr>
        <w:t> </w:t>
      </w:r>
      <w:r>
        <w:rPr>
          <w:color w:val="231F20"/>
          <w:sz w:val="19"/>
        </w:rPr>
        <w:t>mijo</w:t>
      </w:r>
      <w:r>
        <w:rPr>
          <w:color w:val="231F20"/>
          <w:spacing w:val="-8"/>
          <w:sz w:val="19"/>
        </w:rPr>
        <w:t> </w:t>
      </w:r>
      <w:r>
        <w:rPr>
          <w:color w:val="231F20"/>
          <w:sz w:val="19"/>
        </w:rPr>
        <w:t>(Penni- setum americanum) por índices de eficiencia de producción y calidad. Agronomía Mesoamericana 16(2):153- 160.</w:t>
      </w:r>
    </w:p>
    <w:p>
      <w:pPr>
        <w:pStyle w:val="BodyText"/>
        <w:spacing w:before="10"/>
        <w:rPr>
          <w:sz w:val="19"/>
        </w:rPr>
      </w:pPr>
    </w:p>
    <w:p>
      <w:pPr>
        <w:spacing w:line="249" w:lineRule="auto" w:before="0"/>
        <w:ind w:left="1270" w:right="1268" w:firstLine="0"/>
        <w:jc w:val="both"/>
        <w:rPr>
          <w:sz w:val="19"/>
        </w:rPr>
      </w:pPr>
      <w:r>
        <w:rPr>
          <w:color w:val="231F20"/>
          <w:sz w:val="19"/>
        </w:rPr>
        <w:t>SAS INSTITUTE INC. 2010. </w:t>
      </w:r>
      <w:r>
        <w:rPr>
          <w:color w:val="231F20"/>
          <w:spacing w:val="-5"/>
          <w:sz w:val="19"/>
        </w:rPr>
        <w:t>SAS/STAT® </w:t>
      </w:r>
      <w:r>
        <w:rPr>
          <w:color w:val="231F20"/>
          <w:sz w:val="19"/>
        </w:rPr>
        <w:t>9.22. User´s Guide. </w:t>
      </w:r>
      <w:r>
        <w:rPr>
          <w:color w:val="231F20"/>
          <w:spacing w:val="-3"/>
          <w:sz w:val="19"/>
        </w:rPr>
        <w:t>Cary, </w:t>
      </w:r>
      <w:r>
        <w:rPr>
          <w:color w:val="231F20"/>
          <w:sz w:val="19"/>
        </w:rPr>
        <w:t>NC: SAS Institute Inc., Cary NC, USA. 8444 p. Disponible </w:t>
      </w:r>
      <w:hyperlink r:id="rId107">
        <w:r>
          <w:rPr>
            <w:color w:val="231F20"/>
            <w:sz w:val="19"/>
          </w:rPr>
          <w:t>en:http://support.sas.com/documentation/</w:t>
        </w:r>
      </w:hyperlink>
      <w:r>
        <w:rPr>
          <w:color w:val="231F20"/>
          <w:sz w:val="19"/>
        </w:rPr>
        <w:t> cdl/en/ statug/63347/PDF/default/statug.pdf. Consultado en Octubre de 2011.</w:t>
      </w:r>
    </w:p>
    <w:p>
      <w:pPr>
        <w:pStyle w:val="BodyText"/>
        <w:spacing w:before="10"/>
        <w:rPr>
          <w:sz w:val="19"/>
        </w:rPr>
      </w:pPr>
    </w:p>
    <w:p>
      <w:pPr>
        <w:spacing w:line="249" w:lineRule="auto" w:before="0"/>
        <w:ind w:left="1270" w:right="1268" w:firstLine="0"/>
        <w:jc w:val="both"/>
        <w:rPr>
          <w:sz w:val="19"/>
        </w:rPr>
      </w:pPr>
      <w:r>
        <w:rPr>
          <w:color w:val="231F20"/>
          <w:spacing w:val="-5"/>
          <w:sz w:val="19"/>
        </w:rPr>
        <w:t>SIAP.  </w:t>
      </w:r>
      <w:r>
        <w:rPr>
          <w:color w:val="231F20"/>
          <w:sz w:val="19"/>
        </w:rPr>
        <w:t>2010. Servicio de Información y Estadística Agroalimentaria  y Pesquera. Subsistema de Informa-   ción Agrícola. México, </w:t>
      </w:r>
      <w:r>
        <w:rPr>
          <w:color w:val="231F20"/>
          <w:spacing w:val="-4"/>
          <w:sz w:val="19"/>
        </w:rPr>
        <w:t>D.F. </w:t>
      </w:r>
      <w:r>
        <w:rPr>
          <w:color w:val="231F20"/>
          <w:sz w:val="19"/>
        </w:rPr>
        <w:t>Cierre de la producción agrícola por cultivo. </w:t>
      </w:r>
      <w:hyperlink r:id="rId59">
        <w:r>
          <w:rPr>
            <w:color w:val="231F20"/>
            <w:sz w:val="19"/>
          </w:rPr>
          <w:t>http://www.siap.gob.mx/index.</w:t>
        </w:r>
      </w:hyperlink>
      <w:r>
        <w:rPr>
          <w:color w:val="231F20"/>
          <w:sz w:val="19"/>
        </w:rPr>
        <w:t> php?option=com_wrapper&amp; view=wrapper&amp;Itemid=350 (Consultado 20 de Enero de</w:t>
      </w:r>
      <w:r>
        <w:rPr>
          <w:color w:val="231F20"/>
          <w:spacing w:val="-1"/>
          <w:sz w:val="19"/>
        </w:rPr>
        <w:t> </w:t>
      </w:r>
      <w:r>
        <w:rPr>
          <w:color w:val="231F20"/>
          <w:sz w:val="19"/>
        </w:rPr>
        <w:t>2012).</w:t>
      </w:r>
    </w:p>
    <w:p>
      <w:pPr>
        <w:pStyle w:val="BodyText"/>
        <w:spacing w:before="10"/>
        <w:rPr>
          <w:sz w:val="19"/>
        </w:rPr>
      </w:pPr>
    </w:p>
    <w:p>
      <w:pPr>
        <w:spacing w:line="249" w:lineRule="auto" w:before="0"/>
        <w:ind w:left="1270" w:right="1268" w:firstLine="0"/>
        <w:jc w:val="both"/>
        <w:rPr>
          <w:sz w:val="19"/>
        </w:rPr>
      </w:pPr>
      <w:r>
        <w:rPr>
          <w:color w:val="231F20"/>
          <w:sz w:val="19"/>
        </w:rPr>
        <w:t>Valadez G., J. 1996. La fertilización del sorgo en el Sur de Tamaulipas. INIFAP. Campo Experimental Sur de Tamaulipas. 6 p.</w:t>
      </w:r>
    </w:p>
    <w:p>
      <w:pPr>
        <w:pStyle w:val="BodyText"/>
        <w:spacing w:before="10"/>
        <w:rPr>
          <w:sz w:val="19"/>
        </w:rPr>
      </w:pPr>
    </w:p>
    <w:p>
      <w:pPr>
        <w:spacing w:before="0"/>
        <w:ind w:left="1270" w:right="0" w:firstLine="0"/>
        <w:jc w:val="both"/>
        <w:rPr>
          <w:sz w:val="19"/>
        </w:rPr>
      </w:pPr>
      <w:r>
        <w:rPr>
          <w:color w:val="231F20"/>
          <w:sz w:val="19"/>
        </w:rPr>
        <w:t>Van O., E. J.; Borrel A. K.; Deifel K., S.; Hammer G., L. 2011. Does increased leaf appearance rate enhance</w:t>
      </w:r>
    </w:p>
    <w:p>
      <w:pPr>
        <w:spacing w:before="9"/>
        <w:ind w:left="1270" w:right="0" w:firstLine="0"/>
        <w:jc w:val="both"/>
        <w:rPr>
          <w:sz w:val="19"/>
        </w:rPr>
      </w:pPr>
      <w:r>
        <w:rPr>
          <w:color w:val="231F20"/>
          <w:sz w:val="19"/>
        </w:rPr>
        <w:t>adaptation to postanthesis drought stress in sorghum?. Crop Science 51:2728-2740.</w:t>
      </w:r>
    </w:p>
    <w:p>
      <w:pPr>
        <w:pStyle w:val="BodyText"/>
        <w:spacing w:before="7"/>
        <w:rPr>
          <w:sz w:val="20"/>
        </w:rPr>
      </w:pPr>
    </w:p>
    <w:p>
      <w:pPr>
        <w:spacing w:line="249" w:lineRule="auto" w:before="0"/>
        <w:ind w:left="1270" w:right="1267" w:firstLine="0"/>
        <w:jc w:val="both"/>
        <w:rPr>
          <w:sz w:val="19"/>
        </w:rPr>
      </w:pPr>
      <w:r>
        <w:rPr>
          <w:color w:val="231F20"/>
          <w:spacing w:val="-5"/>
          <w:sz w:val="19"/>
        </w:rPr>
        <w:t>Vargas</w:t>
      </w:r>
      <w:r>
        <w:rPr>
          <w:color w:val="231F20"/>
          <w:spacing w:val="-14"/>
          <w:sz w:val="19"/>
        </w:rPr>
        <w:t> </w:t>
      </w:r>
      <w:r>
        <w:rPr>
          <w:color w:val="231F20"/>
          <w:sz w:val="19"/>
        </w:rPr>
        <w:t>R.,</w:t>
      </w:r>
      <w:r>
        <w:rPr>
          <w:color w:val="231F20"/>
          <w:spacing w:val="-14"/>
          <w:sz w:val="19"/>
        </w:rPr>
        <w:t> </w:t>
      </w:r>
      <w:r>
        <w:rPr>
          <w:color w:val="231F20"/>
          <w:sz w:val="19"/>
        </w:rPr>
        <w:t>C.</w:t>
      </w:r>
      <w:r>
        <w:rPr>
          <w:color w:val="231F20"/>
          <w:spacing w:val="-14"/>
          <w:sz w:val="19"/>
        </w:rPr>
        <w:t> </w:t>
      </w:r>
      <w:r>
        <w:rPr>
          <w:color w:val="231F20"/>
          <w:spacing w:val="-8"/>
          <w:sz w:val="19"/>
        </w:rPr>
        <w:t>F.</w:t>
      </w:r>
      <w:r>
        <w:rPr>
          <w:color w:val="231F20"/>
          <w:spacing w:val="-14"/>
          <w:sz w:val="19"/>
        </w:rPr>
        <w:t> </w:t>
      </w:r>
      <w:r>
        <w:rPr>
          <w:color w:val="231F20"/>
          <w:sz w:val="19"/>
        </w:rPr>
        <w:t>2005.</w:t>
      </w:r>
      <w:r>
        <w:rPr>
          <w:color w:val="231F20"/>
          <w:spacing w:val="-17"/>
          <w:sz w:val="19"/>
        </w:rPr>
        <w:t> </w:t>
      </w:r>
      <w:r>
        <w:rPr>
          <w:color w:val="231F20"/>
          <w:spacing w:val="-3"/>
          <w:sz w:val="19"/>
        </w:rPr>
        <w:t>Valoración</w:t>
      </w:r>
      <w:r>
        <w:rPr>
          <w:color w:val="231F20"/>
          <w:spacing w:val="-15"/>
          <w:sz w:val="19"/>
        </w:rPr>
        <w:t> </w:t>
      </w:r>
      <w:r>
        <w:rPr>
          <w:color w:val="231F20"/>
          <w:sz w:val="19"/>
        </w:rPr>
        <w:t>nutricional</w:t>
      </w:r>
      <w:r>
        <w:rPr>
          <w:color w:val="231F20"/>
          <w:spacing w:val="-14"/>
          <w:sz w:val="19"/>
        </w:rPr>
        <w:t> </w:t>
      </w:r>
      <w:r>
        <w:rPr>
          <w:color w:val="231F20"/>
          <w:sz w:val="19"/>
        </w:rPr>
        <w:t>y</w:t>
      </w:r>
      <w:r>
        <w:rPr>
          <w:color w:val="231F20"/>
          <w:spacing w:val="-14"/>
          <w:sz w:val="19"/>
        </w:rPr>
        <w:t> </w:t>
      </w:r>
      <w:r>
        <w:rPr>
          <w:color w:val="231F20"/>
          <w:sz w:val="19"/>
        </w:rPr>
        <w:t>degradabilidad</w:t>
      </w:r>
      <w:r>
        <w:rPr>
          <w:color w:val="231F20"/>
          <w:spacing w:val="-14"/>
          <w:sz w:val="19"/>
        </w:rPr>
        <w:t> </w:t>
      </w:r>
      <w:r>
        <w:rPr>
          <w:color w:val="231F20"/>
          <w:sz w:val="19"/>
        </w:rPr>
        <w:t>ruminal</w:t>
      </w:r>
      <w:r>
        <w:rPr>
          <w:color w:val="231F20"/>
          <w:spacing w:val="-14"/>
          <w:sz w:val="19"/>
        </w:rPr>
        <w:t> </w:t>
      </w:r>
      <w:r>
        <w:rPr>
          <w:color w:val="231F20"/>
          <w:sz w:val="19"/>
        </w:rPr>
        <w:t>de</w:t>
      </w:r>
      <w:r>
        <w:rPr>
          <w:color w:val="231F20"/>
          <w:spacing w:val="-14"/>
          <w:sz w:val="19"/>
        </w:rPr>
        <w:t> </w:t>
      </w:r>
      <w:r>
        <w:rPr>
          <w:color w:val="231F20"/>
          <w:sz w:val="19"/>
        </w:rPr>
        <w:t>genotipos</w:t>
      </w:r>
      <w:r>
        <w:rPr>
          <w:color w:val="231F20"/>
          <w:spacing w:val="-14"/>
          <w:sz w:val="19"/>
        </w:rPr>
        <w:t> </w:t>
      </w:r>
      <w:r>
        <w:rPr>
          <w:color w:val="231F20"/>
          <w:sz w:val="19"/>
        </w:rPr>
        <w:t>de</w:t>
      </w:r>
      <w:r>
        <w:rPr>
          <w:color w:val="231F20"/>
          <w:spacing w:val="-14"/>
          <w:sz w:val="19"/>
        </w:rPr>
        <w:t> </w:t>
      </w:r>
      <w:r>
        <w:rPr>
          <w:color w:val="231F20"/>
          <w:sz w:val="19"/>
        </w:rPr>
        <w:t>sorgo</w:t>
      </w:r>
      <w:r>
        <w:rPr>
          <w:color w:val="231F20"/>
          <w:spacing w:val="-14"/>
          <w:sz w:val="19"/>
        </w:rPr>
        <w:t> </w:t>
      </w:r>
      <w:r>
        <w:rPr>
          <w:color w:val="231F20"/>
          <w:sz w:val="19"/>
        </w:rPr>
        <w:t>forrajero</w:t>
      </w:r>
      <w:r>
        <w:rPr>
          <w:color w:val="231F20"/>
          <w:spacing w:val="-14"/>
          <w:sz w:val="19"/>
        </w:rPr>
        <w:t> </w:t>
      </w:r>
      <w:r>
        <w:rPr>
          <w:color w:val="231F20"/>
          <w:sz w:val="19"/>
        </w:rPr>
        <w:t>(Sorghum sp). Agronomía Mesoamericana</w:t>
      </w:r>
      <w:r>
        <w:rPr>
          <w:color w:val="231F20"/>
          <w:spacing w:val="-34"/>
          <w:sz w:val="19"/>
        </w:rPr>
        <w:t> </w:t>
      </w:r>
      <w:r>
        <w:rPr>
          <w:color w:val="231F20"/>
          <w:sz w:val="19"/>
        </w:rPr>
        <w:t>16(2):215-223.</w:t>
      </w:r>
    </w:p>
    <w:p>
      <w:pPr>
        <w:pStyle w:val="BodyText"/>
        <w:spacing w:before="10"/>
        <w:rPr>
          <w:sz w:val="19"/>
        </w:rPr>
      </w:pPr>
    </w:p>
    <w:p>
      <w:pPr>
        <w:spacing w:line="249" w:lineRule="auto" w:before="0"/>
        <w:ind w:left="1270" w:right="1268" w:firstLine="0"/>
        <w:jc w:val="both"/>
        <w:rPr>
          <w:sz w:val="19"/>
        </w:rPr>
      </w:pPr>
      <w:r>
        <w:rPr>
          <w:color w:val="231F20"/>
          <w:sz w:val="19"/>
        </w:rPr>
        <w:t>Velarde P., O.; Gallegos M., T.; Meza L., A.; Jiménez R., J. E. 2009. Gavatero-203 nueva variedad de sorgo forrajero para Sinaloa. INIFAP. 22 p.</w:t>
      </w:r>
    </w:p>
    <w:p>
      <w:pPr>
        <w:pStyle w:val="BodyText"/>
        <w:spacing w:before="10"/>
        <w:rPr>
          <w:sz w:val="19"/>
        </w:rPr>
      </w:pPr>
    </w:p>
    <w:p>
      <w:pPr>
        <w:spacing w:before="0"/>
        <w:ind w:left="1270" w:right="0" w:firstLine="0"/>
        <w:jc w:val="both"/>
        <w:rPr>
          <w:sz w:val="19"/>
        </w:rPr>
      </w:pPr>
      <w:r>
        <w:rPr>
          <w:color w:val="231F20"/>
          <w:sz w:val="19"/>
        </w:rPr>
        <w:t>Wade L., J.; Douglas A., C. L. 1990. Effect of plant density on grain yield and yield stability of sorghum hybrids</w:t>
      </w:r>
    </w:p>
    <w:p>
      <w:pPr>
        <w:spacing w:before="9"/>
        <w:ind w:left="1270" w:right="0" w:firstLine="0"/>
        <w:jc w:val="both"/>
        <w:rPr>
          <w:sz w:val="19"/>
        </w:rPr>
      </w:pPr>
      <w:r>
        <w:rPr>
          <w:color w:val="231F20"/>
          <w:sz w:val="19"/>
        </w:rPr>
        <w:t>differing in maturity. Australian J. Experimental Agriculture 30:257-264.</w:t>
      </w:r>
    </w:p>
    <w:p>
      <w:pPr>
        <w:pStyle w:val="BodyText"/>
        <w:spacing w:before="7"/>
        <w:rPr>
          <w:sz w:val="20"/>
        </w:rPr>
      </w:pPr>
    </w:p>
    <w:p>
      <w:pPr>
        <w:spacing w:line="249" w:lineRule="auto" w:before="0"/>
        <w:ind w:left="1270" w:right="1268" w:firstLine="0"/>
        <w:jc w:val="both"/>
        <w:rPr>
          <w:sz w:val="19"/>
        </w:rPr>
      </w:pPr>
      <w:r>
        <w:rPr>
          <w:color w:val="231F20"/>
          <w:sz w:val="19"/>
        </w:rPr>
        <w:t>Williams A., H. 2003. RB4040 Híbrido de sorgo para regiones cálido-secas. INIFAP. Folleto Técnico No. 25. 14 p.</w:t>
      </w:r>
    </w:p>
    <w:p>
      <w:pPr>
        <w:pStyle w:val="BodyText"/>
        <w:spacing w:before="10"/>
        <w:rPr>
          <w:sz w:val="19"/>
        </w:rPr>
      </w:pPr>
    </w:p>
    <w:p>
      <w:pPr>
        <w:spacing w:line="249" w:lineRule="auto" w:before="0"/>
        <w:ind w:left="1270" w:right="1267" w:firstLine="0"/>
        <w:jc w:val="both"/>
        <w:rPr>
          <w:sz w:val="19"/>
        </w:rPr>
      </w:pPr>
      <w:r>
        <w:rPr>
          <w:color w:val="231F20"/>
          <w:sz w:val="19"/>
        </w:rPr>
        <w:t>Zegada</w:t>
      </w:r>
      <w:r>
        <w:rPr>
          <w:color w:val="231F20"/>
          <w:spacing w:val="-11"/>
          <w:sz w:val="19"/>
        </w:rPr>
        <w:t> </w:t>
      </w:r>
      <w:r>
        <w:rPr>
          <w:color w:val="231F20"/>
          <w:sz w:val="19"/>
        </w:rPr>
        <w:t>L.,</w:t>
      </w:r>
      <w:r>
        <w:rPr>
          <w:color w:val="231F20"/>
          <w:spacing w:val="-14"/>
          <w:sz w:val="19"/>
        </w:rPr>
        <w:t> </w:t>
      </w:r>
      <w:r>
        <w:rPr>
          <w:color w:val="231F20"/>
          <w:spacing w:val="-6"/>
          <w:sz w:val="19"/>
        </w:rPr>
        <w:t>W.;</w:t>
      </w:r>
      <w:r>
        <w:rPr>
          <w:color w:val="231F20"/>
          <w:spacing w:val="-10"/>
          <w:sz w:val="19"/>
        </w:rPr>
        <w:t> </w:t>
      </w:r>
      <w:r>
        <w:rPr>
          <w:color w:val="231F20"/>
          <w:sz w:val="19"/>
        </w:rPr>
        <w:t>Zatta</w:t>
      </w:r>
      <w:r>
        <w:rPr>
          <w:color w:val="231F20"/>
          <w:spacing w:val="-21"/>
          <w:sz w:val="19"/>
        </w:rPr>
        <w:t> </w:t>
      </w:r>
      <w:r>
        <w:rPr>
          <w:color w:val="231F20"/>
          <w:sz w:val="19"/>
        </w:rPr>
        <w:t>A.;</w:t>
      </w:r>
      <w:r>
        <w:rPr>
          <w:color w:val="231F20"/>
          <w:spacing w:val="-10"/>
          <w:sz w:val="19"/>
        </w:rPr>
        <w:t> </w:t>
      </w:r>
      <w:r>
        <w:rPr>
          <w:color w:val="231F20"/>
          <w:sz w:val="19"/>
        </w:rPr>
        <w:t>Monti</w:t>
      </w:r>
      <w:r>
        <w:rPr>
          <w:color w:val="231F20"/>
          <w:spacing w:val="-21"/>
          <w:sz w:val="19"/>
        </w:rPr>
        <w:t> </w:t>
      </w:r>
      <w:r>
        <w:rPr>
          <w:color w:val="231F20"/>
          <w:sz w:val="19"/>
        </w:rPr>
        <w:t>A.</w:t>
      </w:r>
      <w:r>
        <w:rPr>
          <w:color w:val="231F20"/>
          <w:spacing w:val="-10"/>
          <w:sz w:val="19"/>
        </w:rPr>
        <w:t> </w:t>
      </w:r>
      <w:r>
        <w:rPr>
          <w:color w:val="231F20"/>
          <w:sz w:val="19"/>
        </w:rPr>
        <w:t>2011.</w:t>
      </w:r>
      <w:r>
        <w:rPr>
          <w:color w:val="231F20"/>
          <w:spacing w:val="-14"/>
          <w:sz w:val="19"/>
        </w:rPr>
        <w:t> </w:t>
      </w:r>
      <w:r>
        <w:rPr>
          <w:color w:val="231F20"/>
          <w:spacing w:val="-4"/>
          <w:sz w:val="19"/>
        </w:rPr>
        <w:t>Water</w:t>
      </w:r>
      <w:r>
        <w:rPr>
          <w:color w:val="231F20"/>
          <w:spacing w:val="-11"/>
          <w:sz w:val="19"/>
        </w:rPr>
        <w:t> </w:t>
      </w:r>
      <w:r>
        <w:rPr>
          <w:color w:val="231F20"/>
          <w:sz w:val="19"/>
        </w:rPr>
        <w:t>uptake</w:t>
      </w:r>
      <w:r>
        <w:rPr>
          <w:color w:val="231F20"/>
          <w:spacing w:val="-10"/>
          <w:sz w:val="19"/>
        </w:rPr>
        <w:t> </w:t>
      </w:r>
      <w:r>
        <w:rPr>
          <w:color w:val="231F20"/>
          <w:sz w:val="19"/>
        </w:rPr>
        <w:t>efficiency</w:t>
      </w:r>
      <w:r>
        <w:rPr>
          <w:color w:val="231F20"/>
          <w:spacing w:val="-11"/>
          <w:sz w:val="19"/>
        </w:rPr>
        <w:t> </w:t>
      </w:r>
      <w:r>
        <w:rPr>
          <w:color w:val="231F20"/>
          <w:sz w:val="19"/>
        </w:rPr>
        <w:t>and</w:t>
      </w:r>
      <w:r>
        <w:rPr>
          <w:color w:val="231F20"/>
          <w:spacing w:val="-10"/>
          <w:sz w:val="19"/>
        </w:rPr>
        <w:t> </w:t>
      </w:r>
      <w:r>
        <w:rPr>
          <w:color w:val="231F20"/>
          <w:sz w:val="19"/>
        </w:rPr>
        <w:t>above-</w:t>
      </w:r>
      <w:r>
        <w:rPr>
          <w:color w:val="231F20"/>
          <w:spacing w:val="-10"/>
          <w:sz w:val="19"/>
        </w:rPr>
        <w:t> </w:t>
      </w:r>
      <w:r>
        <w:rPr>
          <w:color w:val="231F20"/>
          <w:sz w:val="19"/>
        </w:rPr>
        <w:t>and</w:t>
      </w:r>
      <w:r>
        <w:rPr>
          <w:color w:val="231F20"/>
          <w:spacing w:val="-10"/>
          <w:sz w:val="19"/>
        </w:rPr>
        <w:t> </w:t>
      </w:r>
      <w:r>
        <w:rPr>
          <w:color w:val="231F20"/>
          <w:sz w:val="19"/>
        </w:rPr>
        <w:t>belowground</w:t>
      </w:r>
      <w:r>
        <w:rPr>
          <w:color w:val="231F20"/>
          <w:spacing w:val="-10"/>
          <w:sz w:val="19"/>
        </w:rPr>
        <w:t> </w:t>
      </w:r>
      <w:r>
        <w:rPr>
          <w:color w:val="231F20"/>
          <w:sz w:val="19"/>
        </w:rPr>
        <w:t>biomass</w:t>
      </w:r>
      <w:r>
        <w:rPr>
          <w:color w:val="231F20"/>
          <w:spacing w:val="-10"/>
          <w:sz w:val="19"/>
        </w:rPr>
        <w:t> </w:t>
      </w:r>
      <w:r>
        <w:rPr>
          <w:color w:val="231F20"/>
          <w:sz w:val="19"/>
        </w:rPr>
        <w:t>develop- ment</w:t>
      </w:r>
      <w:r>
        <w:rPr>
          <w:color w:val="231F20"/>
          <w:spacing w:val="-6"/>
          <w:sz w:val="19"/>
        </w:rPr>
        <w:t> </w:t>
      </w:r>
      <w:r>
        <w:rPr>
          <w:color w:val="231F20"/>
          <w:sz w:val="19"/>
        </w:rPr>
        <w:t>of</w:t>
      </w:r>
      <w:r>
        <w:rPr>
          <w:color w:val="231F20"/>
          <w:spacing w:val="-6"/>
          <w:sz w:val="19"/>
        </w:rPr>
        <w:t> </w:t>
      </w:r>
      <w:r>
        <w:rPr>
          <w:color w:val="231F20"/>
          <w:sz w:val="19"/>
        </w:rPr>
        <w:t>sweet</w:t>
      </w:r>
      <w:r>
        <w:rPr>
          <w:color w:val="231F20"/>
          <w:spacing w:val="-6"/>
          <w:sz w:val="19"/>
        </w:rPr>
        <w:t> </w:t>
      </w:r>
      <w:r>
        <w:rPr>
          <w:color w:val="231F20"/>
          <w:sz w:val="19"/>
        </w:rPr>
        <w:t>sorghum</w:t>
      </w:r>
      <w:r>
        <w:rPr>
          <w:color w:val="231F20"/>
          <w:spacing w:val="-6"/>
          <w:sz w:val="19"/>
        </w:rPr>
        <w:t> </w:t>
      </w:r>
      <w:r>
        <w:rPr>
          <w:color w:val="231F20"/>
          <w:sz w:val="19"/>
        </w:rPr>
        <w:t>and</w:t>
      </w:r>
      <w:r>
        <w:rPr>
          <w:color w:val="231F20"/>
          <w:spacing w:val="-6"/>
          <w:sz w:val="19"/>
        </w:rPr>
        <w:t> </w:t>
      </w:r>
      <w:r>
        <w:rPr>
          <w:color w:val="231F20"/>
          <w:sz w:val="19"/>
        </w:rPr>
        <w:t>maize</w:t>
      </w:r>
      <w:r>
        <w:rPr>
          <w:color w:val="231F20"/>
          <w:spacing w:val="-6"/>
          <w:sz w:val="19"/>
        </w:rPr>
        <w:t> </w:t>
      </w:r>
      <w:r>
        <w:rPr>
          <w:color w:val="231F20"/>
          <w:sz w:val="19"/>
        </w:rPr>
        <w:t>under</w:t>
      </w:r>
      <w:r>
        <w:rPr>
          <w:color w:val="231F20"/>
          <w:spacing w:val="-6"/>
          <w:sz w:val="19"/>
        </w:rPr>
        <w:t> </w:t>
      </w:r>
      <w:r>
        <w:rPr>
          <w:color w:val="231F20"/>
          <w:sz w:val="19"/>
        </w:rPr>
        <w:t>different</w:t>
      </w:r>
      <w:r>
        <w:rPr>
          <w:color w:val="231F20"/>
          <w:spacing w:val="-6"/>
          <w:sz w:val="19"/>
        </w:rPr>
        <w:t> </w:t>
      </w:r>
      <w:r>
        <w:rPr>
          <w:color w:val="231F20"/>
          <w:sz w:val="19"/>
        </w:rPr>
        <w:t>water</w:t>
      </w:r>
      <w:r>
        <w:rPr>
          <w:color w:val="231F20"/>
          <w:spacing w:val="-6"/>
          <w:sz w:val="19"/>
        </w:rPr>
        <w:t> </w:t>
      </w:r>
      <w:r>
        <w:rPr>
          <w:color w:val="231F20"/>
          <w:sz w:val="19"/>
        </w:rPr>
        <w:t>regimes.</w:t>
      </w:r>
      <w:r>
        <w:rPr>
          <w:color w:val="231F20"/>
          <w:spacing w:val="-6"/>
          <w:sz w:val="19"/>
        </w:rPr>
        <w:t> </w:t>
      </w:r>
      <w:r>
        <w:rPr>
          <w:color w:val="231F20"/>
          <w:sz w:val="19"/>
        </w:rPr>
        <w:t>Plant</w:t>
      </w:r>
      <w:r>
        <w:rPr>
          <w:color w:val="231F20"/>
          <w:spacing w:val="-6"/>
          <w:sz w:val="19"/>
        </w:rPr>
        <w:t> </w:t>
      </w:r>
      <w:r>
        <w:rPr>
          <w:color w:val="231F20"/>
          <w:sz w:val="19"/>
        </w:rPr>
        <w:t>Soil.</w:t>
      </w:r>
      <w:r>
        <w:rPr>
          <w:color w:val="231F20"/>
          <w:spacing w:val="-6"/>
          <w:sz w:val="19"/>
        </w:rPr>
        <w:t> </w:t>
      </w:r>
      <w:r>
        <w:rPr>
          <w:color w:val="231F20"/>
          <w:sz w:val="19"/>
        </w:rPr>
        <w:t>DOI</w:t>
      </w:r>
      <w:r>
        <w:rPr>
          <w:color w:val="231F20"/>
          <w:spacing w:val="-6"/>
          <w:sz w:val="19"/>
        </w:rPr>
        <w:t> </w:t>
      </w:r>
      <w:r>
        <w:rPr>
          <w:color w:val="231F20"/>
          <w:sz w:val="19"/>
        </w:rPr>
        <w:t>10.1007/s11104-011-0928-2.</w:t>
      </w:r>
    </w:p>
    <w:p>
      <w:pPr>
        <w:pStyle w:val="BodyText"/>
        <w:spacing w:before="10"/>
        <w:rPr>
          <w:sz w:val="19"/>
        </w:rPr>
      </w:pPr>
    </w:p>
    <w:p>
      <w:pPr>
        <w:spacing w:line="249" w:lineRule="auto" w:before="0"/>
        <w:ind w:left="1270" w:right="1267" w:firstLine="0"/>
        <w:jc w:val="both"/>
        <w:rPr>
          <w:sz w:val="19"/>
        </w:rPr>
      </w:pPr>
      <w:r>
        <w:rPr>
          <w:color w:val="231F20"/>
          <w:sz w:val="19"/>
        </w:rPr>
        <w:t>Zetina</w:t>
      </w:r>
      <w:r>
        <w:rPr>
          <w:color w:val="231F20"/>
          <w:spacing w:val="-7"/>
          <w:sz w:val="19"/>
        </w:rPr>
        <w:t> </w:t>
      </w:r>
      <w:r>
        <w:rPr>
          <w:color w:val="231F20"/>
          <w:sz w:val="19"/>
        </w:rPr>
        <w:t>L.,</w:t>
      </w:r>
      <w:r>
        <w:rPr>
          <w:color w:val="231F20"/>
          <w:spacing w:val="-7"/>
          <w:sz w:val="19"/>
        </w:rPr>
        <w:t> </w:t>
      </w:r>
      <w:r>
        <w:rPr>
          <w:color w:val="231F20"/>
          <w:sz w:val="19"/>
        </w:rPr>
        <w:t>R.;</w:t>
      </w:r>
      <w:r>
        <w:rPr>
          <w:color w:val="231F20"/>
          <w:spacing w:val="-7"/>
          <w:sz w:val="19"/>
        </w:rPr>
        <w:t> </w:t>
      </w:r>
      <w:r>
        <w:rPr>
          <w:color w:val="231F20"/>
          <w:sz w:val="19"/>
        </w:rPr>
        <w:t>Pastrana</w:t>
      </w:r>
      <w:r>
        <w:rPr>
          <w:color w:val="231F20"/>
          <w:spacing w:val="-6"/>
          <w:sz w:val="19"/>
        </w:rPr>
        <w:t> </w:t>
      </w:r>
      <w:r>
        <w:rPr>
          <w:color w:val="231F20"/>
          <w:sz w:val="19"/>
        </w:rPr>
        <w:t>L.,</w:t>
      </w:r>
      <w:r>
        <w:rPr>
          <w:color w:val="231F20"/>
          <w:spacing w:val="-17"/>
          <w:sz w:val="19"/>
        </w:rPr>
        <w:t> </w:t>
      </w:r>
      <w:r>
        <w:rPr>
          <w:color w:val="231F20"/>
          <w:sz w:val="19"/>
        </w:rPr>
        <w:t>A.;</w:t>
      </w:r>
      <w:r>
        <w:rPr>
          <w:color w:val="231F20"/>
          <w:spacing w:val="-6"/>
          <w:sz w:val="19"/>
        </w:rPr>
        <w:t> </w:t>
      </w:r>
      <w:r>
        <w:rPr>
          <w:color w:val="231F20"/>
          <w:sz w:val="19"/>
        </w:rPr>
        <w:t>Romero</w:t>
      </w:r>
      <w:r>
        <w:rPr>
          <w:color w:val="231F20"/>
          <w:spacing w:val="-6"/>
          <w:sz w:val="19"/>
        </w:rPr>
        <w:t> </w:t>
      </w:r>
      <w:r>
        <w:rPr>
          <w:color w:val="231F20"/>
          <w:sz w:val="19"/>
        </w:rPr>
        <w:t>M.,</w:t>
      </w:r>
      <w:r>
        <w:rPr>
          <w:color w:val="231F20"/>
          <w:spacing w:val="-6"/>
          <w:sz w:val="19"/>
        </w:rPr>
        <w:t> </w:t>
      </w:r>
      <w:r>
        <w:rPr>
          <w:color w:val="231F20"/>
          <w:sz w:val="19"/>
        </w:rPr>
        <w:t>J.</w:t>
      </w:r>
      <w:r>
        <w:rPr>
          <w:color w:val="231F20"/>
          <w:spacing w:val="-17"/>
          <w:sz w:val="19"/>
        </w:rPr>
        <w:t> </w:t>
      </w:r>
      <w:r>
        <w:rPr>
          <w:color w:val="231F20"/>
          <w:sz w:val="19"/>
        </w:rPr>
        <w:t>A.;</w:t>
      </w:r>
      <w:r>
        <w:rPr>
          <w:color w:val="231F20"/>
          <w:spacing w:val="-6"/>
          <w:sz w:val="19"/>
        </w:rPr>
        <w:t> </w:t>
      </w:r>
      <w:r>
        <w:rPr>
          <w:color w:val="231F20"/>
          <w:sz w:val="19"/>
        </w:rPr>
        <w:t>Jiménez</w:t>
      </w:r>
      <w:r>
        <w:rPr>
          <w:color w:val="231F20"/>
          <w:spacing w:val="-6"/>
          <w:sz w:val="19"/>
        </w:rPr>
        <w:t> </w:t>
      </w:r>
      <w:r>
        <w:rPr>
          <w:color w:val="231F20"/>
          <w:sz w:val="19"/>
        </w:rPr>
        <w:t>C.,</w:t>
      </w:r>
      <w:r>
        <w:rPr>
          <w:color w:val="231F20"/>
          <w:spacing w:val="-6"/>
          <w:sz w:val="19"/>
        </w:rPr>
        <w:t> </w:t>
      </w:r>
      <w:r>
        <w:rPr>
          <w:color w:val="231F20"/>
          <w:sz w:val="19"/>
        </w:rPr>
        <w:t>J.</w:t>
      </w:r>
      <w:r>
        <w:rPr>
          <w:color w:val="231F20"/>
          <w:spacing w:val="-17"/>
          <w:sz w:val="19"/>
        </w:rPr>
        <w:t> </w:t>
      </w:r>
      <w:r>
        <w:rPr>
          <w:color w:val="231F20"/>
          <w:sz w:val="19"/>
        </w:rPr>
        <w:t>A.</w:t>
      </w:r>
      <w:r>
        <w:rPr>
          <w:color w:val="231F20"/>
          <w:spacing w:val="-6"/>
          <w:sz w:val="19"/>
        </w:rPr>
        <w:t> </w:t>
      </w:r>
      <w:r>
        <w:rPr>
          <w:color w:val="231F20"/>
          <w:sz w:val="19"/>
        </w:rPr>
        <w:t>2002.</w:t>
      </w:r>
      <w:r>
        <w:rPr>
          <w:color w:val="231F20"/>
          <w:spacing w:val="-6"/>
          <w:sz w:val="19"/>
        </w:rPr>
        <w:t> </w:t>
      </w:r>
      <w:r>
        <w:rPr>
          <w:color w:val="231F20"/>
          <w:sz w:val="19"/>
        </w:rPr>
        <w:t>Manejo</w:t>
      </w:r>
      <w:r>
        <w:rPr>
          <w:color w:val="231F20"/>
          <w:spacing w:val="-6"/>
          <w:sz w:val="19"/>
        </w:rPr>
        <w:t> </w:t>
      </w:r>
      <w:r>
        <w:rPr>
          <w:color w:val="231F20"/>
          <w:sz w:val="19"/>
        </w:rPr>
        <w:t>de</w:t>
      </w:r>
      <w:r>
        <w:rPr>
          <w:color w:val="231F20"/>
          <w:spacing w:val="-6"/>
          <w:sz w:val="19"/>
        </w:rPr>
        <w:t> </w:t>
      </w:r>
      <w:r>
        <w:rPr>
          <w:color w:val="231F20"/>
          <w:sz w:val="19"/>
        </w:rPr>
        <w:t>suelos</w:t>
      </w:r>
      <w:r>
        <w:rPr>
          <w:color w:val="231F20"/>
          <w:spacing w:val="-6"/>
          <w:sz w:val="19"/>
        </w:rPr>
        <w:t> </w:t>
      </w:r>
      <w:r>
        <w:rPr>
          <w:color w:val="231F20"/>
          <w:sz w:val="19"/>
        </w:rPr>
        <w:t>ácidos</w:t>
      </w:r>
      <w:r>
        <w:rPr>
          <w:color w:val="231F20"/>
          <w:spacing w:val="-7"/>
          <w:sz w:val="19"/>
        </w:rPr>
        <w:t> </w:t>
      </w:r>
      <w:r>
        <w:rPr>
          <w:color w:val="231F20"/>
          <w:sz w:val="19"/>
        </w:rPr>
        <w:t>para</w:t>
      </w:r>
      <w:r>
        <w:rPr>
          <w:color w:val="231F20"/>
          <w:spacing w:val="-7"/>
          <w:sz w:val="19"/>
        </w:rPr>
        <w:t> </w:t>
      </w:r>
      <w:r>
        <w:rPr>
          <w:color w:val="231F20"/>
          <w:sz w:val="19"/>
        </w:rPr>
        <w:t>la</w:t>
      </w:r>
      <w:r>
        <w:rPr>
          <w:color w:val="231F20"/>
          <w:spacing w:val="-7"/>
          <w:sz w:val="19"/>
        </w:rPr>
        <w:t> </w:t>
      </w:r>
      <w:r>
        <w:rPr>
          <w:color w:val="231F20"/>
          <w:sz w:val="19"/>
        </w:rPr>
        <w:t>región tropical húmeda de México. </w:t>
      </w:r>
      <w:r>
        <w:rPr>
          <w:color w:val="231F20"/>
          <w:spacing w:val="-6"/>
          <w:sz w:val="19"/>
        </w:rPr>
        <w:t>INIFAP. </w:t>
      </w:r>
      <w:r>
        <w:rPr>
          <w:color w:val="231F20"/>
          <w:sz w:val="19"/>
        </w:rPr>
        <w:t>Campos experimentales Papaloapan y Huimanguillo. Libro técnico </w:t>
      </w:r>
      <w:r>
        <w:rPr>
          <w:color w:val="231F20"/>
          <w:spacing w:val="27"/>
          <w:sz w:val="19"/>
        </w:rPr>
        <w:t> </w:t>
      </w:r>
      <w:r>
        <w:rPr>
          <w:color w:val="231F20"/>
          <w:sz w:val="19"/>
        </w:rPr>
        <w:t>No.</w:t>
      </w:r>
    </w:p>
    <w:p>
      <w:pPr>
        <w:pStyle w:val="ListParagraph"/>
        <w:numPr>
          <w:ilvl w:val="0"/>
          <w:numId w:val="9"/>
        </w:numPr>
        <w:tabs>
          <w:tab w:pos="1556" w:val="left" w:leader="none"/>
        </w:tabs>
        <w:spacing w:line="240" w:lineRule="auto" w:before="23" w:after="0"/>
        <w:ind w:left="1555" w:right="0" w:hanging="285"/>
        <w:jc w:val="both"/>
        <w:rPr>
          <w:sz w:val="19"/>
        </w:rPr>
      </w:pPr>
      <w:r>
        <w:rPr>
          <w:color w:val="231F20"/>
          <w:sz w:val="19"/>
        </w:rPr>
        <w:t>México. 170</w:t>
      </w:r>
      <w:r>
        <w:rPr>
          <w:color w:val="231F20"/>
          <w:spacing w:val="-6"/>
          <w:sz w:val="19"/>
        </w:rPr>
        <w:t> </w:t>
      </w:r>
      <w:r>
        <w:rPr>
          <w:color w:val="231F20"/>
          <w:sz w:val="19"/>
        </w:rPr>
        <w:t>p.</w:t>
      </w:r>
    </w:p>
    <w:p>
      <w:pPr>
        <w:spacing w:after="0" w:line="240" w:lineRule="auto"/>
        <w:jc w:val="both"/>
        <w:rPr>
          <w:sz w:val="19"/>
        </w:rPr>
        <w:sectPr>
          <w:pgSz w:w="10920" w:h="13080"/>
          <w:pgMar w:header="0" w:footer="965" w:top="420" w:bottom="1220" w:left="0" w:right="0"/>
        </w:sectPr>
      </w:pPr>
    </w:p>
    <w:p>
      <w:pPr>
        <w:pStyle w:val="BodyText"/>
        <w:rPr>
          <w:sz w:val="20"/>
        </w:rPr>
      </w:pPr>
    </w:p>
    <w:p>
      <w:pPr>
        <w:pStyle w:val="BodyText"/>
        <w:rPr>
          <w:sz w:val="20"/>
        </w:rPr>
      </w:pPr>
    </w:p>
    <w:p>
      <w:pPr>
        <w:pStyle w:val="BodyText"/>
        <w:spacing w:before="6"/>
        <w:rPr>
          <w:sz w:val="23"/>
        </w:rPr>
      </w:pPr>
    </w:p>
    <w:p>
      <w:pPr>
        <w:spacing w:before="69"/>
        <w:ind w:left="1489" w:right="1489" w:firstLine="0"/>
        <w:jc w:val="center"/>
        <w:rPr>
          <w:rFonts w:ascii="Trebuchet MS" w:hAnsi="Trebuchet MS"/>
          <w:i/>
          <w:sz w:val="24"/>
        </w:rPr>
      </w:pPr>
      <w:r>
        <w:rPr>
          <w:rFonts w:ascii="Trebuchet MS" w:hAnsi="Trebuchet MS"/>
          <w:i/>
          <w:color w:val="010202"/>
          <w:sz w:val="24"/>
        </w:rPr>
        <w:t>César Sánchez Hernández</w:t>
      </w:r>
      <w:r>
        <w:rPr>
          <w:rFonts w:ascii="Trebuchet MS" w:hAnsi="Trebuchet MS"/>
          <w:i/>
          <w:color w:val="010202"/>
          <w:position w:val="8"/>
          <w:sz w:val="14"/>
        </w:rPr>
        <w:t>1¶</w:t>
      </w:r>
      <w:r>
        <w:rPr>
          <w:rFonts w:ascii="Trebuchet MS" w:hAnsi="Trebuchet MS"/>
          <w:i/>
          <w:color w:val="010202"/>
          <w:sz w:val="24"/>
        </w:rPr>
        <w:t>; Miguel Ángel Sánchez Hernández</w:t>
      </w:r>
      <w:r>
        <w:rPr>
          <w:rFonts w:ascii="Trebuchet MS" w:hAnsi="Trebuchet MS"/>
          <w:i/>
          <w:color w:val="010202"/>
          <w:position w:val="8"/>
          <w:sz w:val="14"/>
        </w:rPr>
        <w:t>2</w:t>
      </w:r>
      <w:r>
        <w:rPr>
          <w:rFonts w:ascii="Trebuchet MS" w:hAnsi="Trebuchet MS"/>
          <w:i/>
          <w:color w:val="010202"/>
          <w:sz w:val="24"/>
        </w:rPr>
        <w:t>;</w:t>
      </w:r>
    </w:p>
    <w:p>
      <w:pPr>
        <w:spacing w:line="247" w:lineRule="auto" w:before="9"/>
        <w:ind w:left="2186" w:right="2184" w:firstLine="0"/>
        <w:jc w:val="center"/>
        <w:rPr>
          <w:rFonts w:ascii="Trebuchet MS" w:hAnsi="Trebuchet MS"/>
          <w:i/>
          <w:sz w:val="14"/>
        </w:rPr>
      </w:pPr>
      <w:r>
        <w:rPr>
          <w:rFonts w:ascii="Trebuchet MS" w:hAnsi="Trebuchet MS"/>
          <w:i/>
          <w:color w:val="010202"/>
          <w:sz w:val="24"/>
        </w:rPr>
        <w:t>Clemente Villanueva Verduzco</w:t>
      </w:r>
      <w:r>
        <w:rPr>
          <w:rFonts w:ascii="Trebuchet MS" w:hAnsi="Trebuchet MS"/>
          <w:i/>
          <w:color w:val="010202"/>
          <w:position w:val="8"/>
          <w:sz w:val="14"/>
        </w:rPr>
        <w:t>3</w:t>
      </w:r>
      <w:r>
        <w:rPr>
          <w:rFonts w:ascii="Trebuchet MS" w:hAnsi="Trebuchet MS"/>
          <w:i/>
          <w:color w:val="010202"/>
          <w:sz w:val="24"/>
        </w:rPr>
        <w:t>; Jaime Sahagún Castellanos</w:t>
      </w:r>
      <w:r>
        <w:rPr>
          <w:rFonts w:ascii="Trebuchet MS" w:hAnsi="Trebuchet MS"/>
          <w:i/>
          <w:color w:val="010202"/>
          <w:position w:val="8"/>
          <w:sz w:val="14"/>
        </w:rPr>
        <w:t>3 </w:t>
      </w:r>
      <w:r>
        <w:rPr>
          <w:rFonts w:ascii="Trebuchet MS" w:hAnsi="Trebuchet MS"/>
          <w:i/>
          <w:color w:val="010202"/>
          <w:sz w:val="24"/>
        </w:rPr>
        <w:t>y Juan Martínez Solís</w:t>
      </w:r>
      <w:r>
        <w:rPr>
          <w:rFonts w:ascii="Trebuchet MS" w:hAnsi="Trebuchet MS"/>
          <w:i/>
          <w:color w:val="010202"/>
          <w:position w:val="8"/>
          <w:sz w:val="14"/>
        </w:rPr>
        <w:t>3</w:t>
      </w: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spacing w:before="7"/>
        <w:rPr>
          <w:rFonts w:ascii="Trebuchet MS"/>
          <w:i/>
          <w:sz w:val="31"/>
        </w:rPr>
      </w:pPr>
    </w:p>
    <w:p>
      <w:pPr>
        <w:pStyle w:val="Heading1"/>
        <w:spacing w:line="247" w:lineRule="auto"/>
        <w:ind w:left="2665" w:right="2663" w:firstLine="7"/>
      </w:pPr>
      <w:bookmarkStart w:name="_TOC_250001" w:id="10"/>
      <w:r>
        <w:rPr>
          <w:color w:val="010202"/>
        </w:rPr>
        <w:t>ANÁLISIS DE </w:t>
      </w:r>
      <w:r>
        <w:rPr>
          <w:color w:val="010202"/>
          <w:spacing w:val="-3"/>
        </w:rPr>
        <w:t>CRECIMIENTO </w:t>
      </w:r>
      <w:r>
        <w:rPr>
          <w:color w:val="010202"/>
        </w:rPr>
        <w:t>Y </w:t>
      </w:r>
      <w:r>
        <w:rPr>
          <w:color w:val="010202"/>
          <w:spacing w:val="-3"/>
        </w:rPr>
        <w:t>RENDIMIENTO </w:t>
      </w:r>
      <w:r>
        <w:rPr>
          <w:color w:val="010202"/>
        </w:rPr>
        <w:t>DE HÍBRIDOS DE </w:t>
      </w:r>
      <w:r>
        <w:rPr>
          <w:color w:val="010202"/>
          <w:spacing w:val="-4"/>
        </w:rPr>
        <w:t>CALABACITA </w:t>
      </w:r>
      <w:r>
        <w:rPr>
          <w:color w:val="010202"/>
        </w:rPr>
        <w:t>TIPO GREY</w:t>
      </w:r>
      <w:r>
        <w:rPr>
          <w:color w:val="010202"/>
          <w:spacing w:val="-38"/>
        </w:rPr>
        <w:t> </w:t>
      </w:r>
      <w:bookmarkEnd w:id="10"/>
      <w:r>
        <w:rPr>
          <w:color w:val="010202"/>
        </w:rPr>
        <w:t>ZUCCHINI</w:t>
      </w:r>
    </w:p>
    <w:p>
      <w:pPr>
        <w:pStyle w:val="BodyText"/>
        <w:rPr>
          <w:rFonts w:ascii="Trebuchet MS"/>
          <w:b/>
          <w:sz w:val="36"/>
        </w:rPr>
      </w:pPr>
    </w:p>
    <w:p>
      <w:pPr>
        <w:pStyle w:val="BodyText"/>
        <w:rPr>
          <w:rFonts w:ascii="Trebuchet MS"/>
          <w:b/>
          <w:sz w:val="36"/>
        </w:rPr>
      </w:pPr>
    </w:p>
    <w:p>
      <w:pPr>
        <w:pStyle w:val="BodyText"/>
        <w:rPr>
          <w:rFonts w:ascii="Trebuchet MS"/>
          <w:b/>
          <w:sz w:val="36"/>
        </w:rPr>
      </w:pPr>
    </w:p>
    <w:p>
      <w:pPr>
        <w:pStyle w:val="BodyText"/>
        <w:spacing w:before="9"/>
        <w:rPr>
          <w:rFonts w:ascii="Trebuchet MS"/>
          <w:b/>
          <w:sz w:val="41"/>
        </w:rPr>
      </w:pPr>
    </w:p>
    <w:p>
      <w:pPr>
        <w:spacing w:before="0"/>
        <w:ind w:left="1270" w:right="0" w:firstLine="0"/>
        <w:jc w:val="both"/>
        <w:rPr>
          <w:b/>
          <w:sz w:val="24"/>
        </w:rPr>
      </w:pPr>
      <w:r>
        <w:rPr>
          <w:b/>
          <w:color w:val="010202"/>
          <w:sz w:val="24"/>
        </w:rPr>
        <w:t>Introducción</w:t>
      </w:r>
    </w:p>
    <w:p>
      <w:pPr>
        <w:pStyle w:val="BodyText"/>
        <w:spacing w:before="10"/>
        <w:rPr>
          <w:b/>
        </w:rPr>
      </w:pPr>
    </w:p>
    <w:p>
      <w:pPr>
        <w:pStyle w:val="BodyText"/>
        <w:spacing w:line="247" w:lineRule="auto"/>
        <w:ind w:left="1270" w:right="1267"/>
        <w:jc w:val="both"/>
      </w:pPr>
      <w:r>
        <w:rPr>
          <w:color w:val="231F20"/>
        </w:rPr>
        <w:t>Las empresas semilleras liberan constantemente nuevos genotipos mejorados y los distribuyen en las regiones productoras del país. Sin embargo, es importante realizar pruebas de adaptación de las nuevas</w:t>
      </w:r>
      <w:r>
        <w:rPr>
          <w:color w:val="231F20"/>
          <w:spacing w:val="-8"/>
        </w:rPr>
        <w:t> </w:t>
      </w:r>
      <w:r>
        <w:rPr>
          <w:color w:val="231F20"/>
        </w:rPr>
        <w:t>variedades</w:t>
      </w:r>
      <w:r>
        <w:rPr>
          <w:color w:val="231F20"/>
          <w:spacing w:val="-8"/>
        </w:rPr>
        <w:t> </w:t>
      </w:r>
      <w:r>
        <w:rPr>
          <w:color w:val="231F20"/>
        </w:rPr>
        <w:t>e</w:t>
      </w:r>
      <w:r>
        <w:rPr>
          <w:color w:val="231F20"/>
          <w:spacing w:val="-8"/>
        </w:rPr>
        <w:t> </w:t>
      </w:r>
      <w:r>
        <w:rPr>
          <w:color w:val="231F20"/>
        </w:rPr>
        <w:t>híbridos</w:t>
      </w:r>
      <w:r>
        <w:rPr>
          <w:color w:val="231F20"/>
          <w:spacing w:val="-8"/>
        </w:rPr>
        <w:t> </w:t>
      </w:r>
      <w:r>
        <w:rPr>
          <w:color w:val="231F20"/>
        </w:rPr>
        <w:t>para</w:t>
      </w:r>
      <w:r>
        <w:rPr>
          <w:color w:val="231F20"/>
          <w:spacing w:val="-8"/>
        </w:rPr>
        <w:t> </w:t>
      </w:r>
      <w:r>
        <w:rPr>
          <w:color w:val="231F20"/>
        </w:rPr>
        <w:t>observar</w:t>
      </w:r>
      <w:r>
        <w:rPr>
          <w:color w:val="231F20"/>
          <w:spacing w:val="-8"/>
        </w:rPr>
        <w:t> </w:t>
      </w:r>
      <w:r>
        <w:rPr>
          <w:color w:val="231F20"/>
        </w:rPr>
        <w:t>como</w:t>
      </w:r>
      <w:r>
        <w:rPr>
          <w:color w:val="231F20"/>
          <w:spacing w:val="-8"/>
        </w:rPr>
        <w:t> </w:t>
      </w:r>
      <w:r>
        <w:rPr>
          <w:color w:val="231F20"/>
        </w:rPr>
        <w:t>se</w:t>
      </w:r>
      <w:r>
        <w:rPr>
          <w:color w:val="231F20"/>
          <w:spacing w:val="-8"/>
        </w:rPr>
        <w:t> </w:t>
      </w:r>
      <w:r>
        <w:rPr>
          <w:color w:val="231F20"/>
        </w:rPr>
        <w:t>comportan</w:t>
      </w:r>
      <w:r>
        <w:rPr>
          <w:color w:val="231F20"/>
          <w:spacing w:val="-8"/>
        </w:rPr>
        <w:t> </w:t>
      </w:r>
      <w:r>
        <w:rPr>
          <w:color w:val="231F20"/>
        </w:rPr>
        <w:t>agronómicamente</w:t>
      </w:r>
      <w:r>
        <w:rPr>
          <w:color w:val="231F20"/>
          <w:spacing w:val="-9"/>
        </w:rPr>
        <w:t> </w:t>
      </w:r>
      <w:r>
        <w:rPr>
          <w:color w:val="231F20"/>
        </w:rPr>
        <w:t>en</w:t>
      </w:r>
      <w:r>
        <w:rPr>
          <w:color w:val="231F20"/>
          <w:spacing w:val="-8"/>
        </w:rPr>
        <w:t> </w:t>
      </w:r>
      <w:r>
        <w:rPr>
          <w:color w:val="231F20"/>
        </w:rPr>
        <w:t>las</w:t>
      </w:r>
      <w:r>
        <w:rPr>
          <w:color w:val="231F20"/>
          <w:spacing w:val="-8"/>
        </w:rPr>
        <w:t> </w:t>
      </w:r>
      <w:r>
        <w:rPr>
          <w:color w:val="231F20"/>
        </w:rPr>
        <w:t>condiciones ambientales de la región en donde se pretende introducirlos. Los agricultores seleccionan los híbri- dos</w:t>
      </w:r>
      <w:r>
        <w:rPr>
          <w:color w:val="231F20"/>
          <w:spacing w:val="-9"/>
        </w:rPr>
        <w:t> </w:t>
      </w:r>
      <w:r>
        <w:rPr>
          <w:color w:val="231F20"/>
        </w:rPr>
        <w:t>de</w:t>
      </w:r>
      <w:r>
        <w:rPr>
          <w:color w:val="231F20"/>
          <w:spacing w:val="-9"/>
        </w:rPr>
        <w:t> </w:t>
      </w:r>
      <w:r>
        <w:rPr>
          <w:color w:val="231F20"/>
        </w:rPr>
        <w:t>calabacita</w:t>
      </w:r>
      <w:r>
        <w:rPr>
          <w:color w:val="231F20"/>
          <w:spacing w:val="-9"/>
        </w:rPr>
        <w:t> </w:t>
      </w:r>
      <w:r>
        <w:rPr>
          <w:color w:val="231F20"/>
        </w:rPr>
        <w:t>tomando</w:t>
      </w:r>
      <w:r>
        <w:rPr>
          <w:color w:val="231F20"/>
          <w:spacing w:val="-9"/>
        </w:rPr>
        <w:t> </w:t>
      </w:r>
      <w:r>
        <w:rPr>
          <w:color w:val="231F20"/>
        </w:rPr>
        <w:t>en</w:t>
      </w:r>
      <w:r>
        <w:rPr>
          <w:color w:val="231F20"/>
          <w:spacing w:val="-9"/>
        </w:rPr>
        <w:t> </w:t>
      </w:r>
      <w:r>
        <w:rPr>
          <w:color w:val="231F20"/>
        </w:rPr>
        <w:t>cuenta</w:t>
      </w:r>
      <w:r>
        <w:rPr>
          <w:color w:val="231F20"/>
          <w:spacing w:val="-9"/>
        </w:rPr>
        <w:t> </w:t>
      </w:r>
      <w:r>
        <w:rPr>
          <w:color w:val="231F20"/>
        </w:rPr>
        <w:t>sus</w:t>
      </w:r>
      <w:r>
        <w:rPr>
          <w:color w:val="231F20"/>
          <w:spacing w:val="-9"/>
        </w:rPr>
        <w:t> </w:t>
      </w:r>
      <w:r>
        <w:rPr>
          <w:color w:val="231F20"/>
        </w:rPr>
        <w:t>características</w:t>
      </w:r>
      <w:r>
        <w:rPr>
          <w:color w:val="231F20"/>
          <w:spacing w:val="-10"/>
        </w:rPr>
        <w:t> </w:t>
      </w:r>
      <w:r>
        <w:rPr>
          <w:color w:val="231F20"/>
        </w:rPr>
        <w:t>de</w:t>
      </w:r>
      <w:r>
        <w:rPr>
          <w:color w:val="231F20"/>
          <w:spacing w:val="-9"/>
        </w:rPr>
        <w:t> </w:t>
      </w:r>
      <w:r>
        <w:rPr>
          <w:color w:val="231F20"/>
        </w:rPr>
        <w:t>calidad,</w:t>
      </w:r>
      <w:r>
        <w:rPr>
          <w:color w:val="231F20"/>
          <w:spacing w:val="-9"/>
        </w:rPr>
        <w:t> </w:t>
      </w:r>
      <w:r>
        <w:rPr>
          <w:color w:val="231F20"/>
        </w:rPr>
        <w:t>color,</w:t>
      </w:r>
      <w:r>
        <w:rPr>
          <w:color w:val="231F20"/>
          <w:spacing w:val="-9"/>
        </w:rPr>
        <w:t> </w:t>
      </w:r>
      <w:r>
        <w:rPr>
          <w:color w:val="231F20"/>
        </w:rPr>
        <w:t>tamaño,</w:t>
      </w:r>
      <w:r>
        <w:rPr>
          <w:color w:val="231F20"/>
          <w:spacing w:val="-9"/>
        </w:rPr>
        <w:t> </w:t>
      </w:r>
      <w:r>
        <w:rPr>
          <w:color w:val="231F20"/>
        </w:rPr>
        <w:t>textura,</w:t>
      </w:r>
      <w:r>
        <w:rPr>
          <w:color w:val="231F20"/>
          <w:spacing w:val="-9"/>
        </w:rPr>
        <w:t> </w:t>
      </w:r>
      <w:r>
        <w:rPr>
          <w:color w:val="231F20"/>
        </w:rPr>
        <w:t>resistencia a plagas y enfermedades. Uno de los principales problemas en el cultivo de calabacita es el control deficiente de plagas y enfermedades, lo que frecuentemente provoca bajos rendimientos y grandes pérdidas económicas. Por ello es importante evaluar comparativamente el crecimiento y el rendi- miento de las variedades e híbridos comerciales en diferentes ambientes para conocerlos con</w:t>
      </w:r>
      <w:r>
        <w:rPr>
          <w:color w:val="231F20"/>
          <w:spacing w:val="-2"/>
        </w:rPr>
        <w:t> </w:t>
      </w:r>
      <w:r>
        <w:rPr>
          <w:color w:val="231F20"/>
          <w:spacing w:val="-3"/>
        </w:rPr>
        <w:t>rigor.</w:t>
      </w:r>
    </w:p>
    <w:p>
      <w:pPr>
        <w:pStyle w:val="BodyText"/>
        <w:rPr>
          <w:sz w:val="20"/>
        </w:rPr>
      </w:pPr>
    </w:p>
    <w:p>
      <w:pPr>
        <w:pStyle w:val="BodyText"/>
        <w:rPr>
          <w:sz w:val="20"/>
        </w:rPr>
      </w:pPr>
    </w:p>
    <w:p>
      <w:pPr>
        <w:pStyle w:val="BodyText"/>
        <w:rPr>
          <w:sz w:val="20"/>
        </w:rPr>
      </w:pPr>
    </w:p>
    <w:p>
      <w:pPr>
        <w:pStyle w:val="BodyText"/>
        <w:rPr>
          <w:sz w:val="20"/>
        </w:rPr>
      </w:pPr>
    </w:p>
    <w:p>
      <w:pPr>
        <w:spacing w:line="247" w:lineRule="auto" w:before="146"/>
        <w:ind w:left="1270" w:right="1268" w:firstLine="0"/>
        <w:jc w:val="both"/>
        <w:rPr>
          <w:rFonts w:ascii="Trebuchet MS" w:hAnsi="Trebuchet MS"/>
          <w:sz w:val="16"/>
        </w:rPr>
      </w:pPr>
      <w:r>
        <w:rPr>
          <w:rFonts w:ascii="Trebuchet MS" w:hAnsi="Trebuchet MS"/>
          <w:color w:val="231F20"/>
          <w:position w:val="5"/>
          <w:sz w:val="9"/>
        </w:rPr>
        <w:t>1</w:t>
      </w:r>
      <w:r>
        <w:rPr>
          <w:rFonts w:ascii="Trebuchet MS" w:hAnsi="Trebuchet MS"/>
          <w:color w:val="231F20"/>
          <w:sz w:val="16"/>
        </w:rPr>
        <w:t>Universidad de la Cañada. </w:t>
      </w:r>
      <w:r>
        <w:rPr>
          <w:rFonts w:ascii="Trebuchet MS" w:hAnsi="Trebuchet MS"/>
          <w:color w:val="231F20"/>
          <w:spacing w:val="-5"/>
          <w:sz w:val="16"/>
        </w:rPr>
        <w:t>Carr. </w:t>
      </w:r>
      <w:r>
        <w:rPr>
          <w:rFonts w:ascii="Trebuchet MS" w:hAnsi="Trebuchet MS"/>
          <w:color w:val="231F20"/>
          <w:spacing w:val="-3"/>
          <w:sz w:val="16"/>
        </w:rPr>
        <w:t>Teotitlán-San </w:t>
      </w:r>
      <w:r>
        <w:rPr>
          <w:rFonts w:ascii="Trebuchet MS" w:hAnsi="Trebuchet MS"/>
          <w:color w:val="231F20"/>
          <w:sz w:val="16"/>
        </w:rPr>
        <w:t>Antonio Nanahuatipan. Km. 1.7. </w:t>
      </w:r>
      <w:r>
        <w:rPr>
          <w:rFonts w:ascii="Trebuchet MS" w:hAnsi="Trebuchet MS"/>
          <w:color w:val="231F20"/>
          <w:spacing w:val="-2"/>
          <w:sz w:val="16"/>
        </w:rPr>
        <w:t>Paraje </w:t>
      </w:r>
      <w:r>
        <w:rPr>
          <w:rFonts w:ascii="Trebuchet MS" w:hAnsi="Trebuchet MS"/>
          <w:color w:val="231F20"/>
          <w:sz w:val="16"/>
        </w:rPr>
        <w:t>Titlacuatitla. </w:t>
      </w:r>
      <w:r>
        <w:rPr>
          <w:rFonts w:ascii="Trebuchet MS" w:hAnsi="Trebuchet MS"/>
          <w:color w:val="231F20"/>
          <w:spacing w:val="-3"/>
          <w:sz w:val="16"/>
        </w:rPr>
        <w:t>Teotitlán </w:t>
      </w:r>
      <w:r>
        <w:rPr>
          <w:rFonts w:ascii="Trebuchet MS" w:hAnsi="Trebuchet MS"/>
          <w:color w:val="231F20"/>
          <w:sz w:val="16"/>
        </w:rPr>
        <w:t>de Flo- res Magón, Oaxaca. México. Correo-e: cesarsh79@hotmail.com; Universidad del Papaloapan. </w:t>
      </w:r>
      <w:r>
        <w:rPr>
          <w:rFonts w:ascii="Trebuchet MS" w:hAnsi="Trebuchet MS"/>
          <w:color w:val="231F20"/>
          <w:spacing w:val="-11"/>
          <w:sz w:val="16"/>
        </w:rPr>
        <w:t>Av. </w:t>
      </w:r>
      <w:r>
        <w:rPr>
          <w:rFonts w:ascii="Trebuchet MS" w:hAnsi="Trebuchet MS"/>
          <w:color w:val="231F20"/>
          <w:sz w:val="16"/>
        </w:rPr>
        <w:t>Ferrocarril Hidalgo s/n. Ciudad Universitaria Loma Bonita, Oaxaca, México. C. </w:t>
      </w:r>
      <w:r>
        <w:rPr>
          <w:rFonts w:ascii="Trebuchet MS" w:hAnsi="Trebuchet MS"/>
          <w:color w:val="231F20"/>
          <w:spacing w:val="-16"/>
          <w:sz w:val="16"/>
        </w:rPr>
        <w:t>P. </w:t>
      </w:r>
      <w:r>
        <w:rPr>
          <w:rFonts w:ascii="Trebuchet MS" w:hAnsi="Trebuchet MS"/>
          <w:color w:val="231F20"/>
          <w:sz w:val="16"/>
        </w:rPr>
        <w:t>68400 </w:t>
      </w:r>
      <w:r>
        <w:rPr>
          <w:rFonts w:ascii="Trebuchet MS" w:hAnsi="Trebuchet MS"/>
          <w:color w:val="231F20"/>
          <w:spacing w:val="-6"/>
          <w:sz w:val="16"/>
        </w:rPr>
        <w:t>Tel. </w:t>
      </w:r>
      <w:r>
        <w:rPr>
          <w:rFonts w:ascii="Trebuchet MS" w:hAnsi="Trebuchet MS"/>
          <w:color w:val="231F20"/>
          <w:sz w:val="16"/>
        </w:rPr>
        <w:t>y Fax: 01(281) 872-2239. </w:t>
      </w:r>
      <w:r>
        <w:rPr>
          <w:rFonts w:ascii="Trebuchet MS" w:hAnsi="Trebuchet MS"/>
          <w:color w:val="231F20"/>
          <w:position w:val="5"/>
          <w:sz w:val="9"/>
        </w:rPr>
        <w:t>3</w:t>
      </w:r>
      <w:r>
        <w:rPr>
          <w:rFonts w:ascii="Trebuchet MS" w:hAnsi="Trebuchet MS"/>
          <w:color w:val="231F20"/>
          <w:sz w:val="16"/>
        </w:rPr>
        <w:t>Departamento de Fitotecnia. Universidad Autónoma Chapingo. Chapingo, Estado de México.</w:t>
      </w:r>
    </w:p>
    <w:p>
      <w:pPr>
        <w:spacing w:after="0" w:line="247" w:lineRule="auto"/>
        <w:jc w:val="both"/>
        <w:rPr>
          <w:rFonts w:ascii="Trebuchet MS" w:hAnsi="Trebuchet MS"/>
          <w:sz w:val="16"/>
        </w:rPr>
        <w:sectPr>
          <w:pgSz w:w="10920" w:h="13080"/>
          <w:pgMar w:header="0" w:footer="965" w:top="420" w:bottom="1220" w:left="0" w:right="0"/>
        </w:sectPr>
      </w:pPr>
    </w:p>
    <w:p>
      <w:pPr>
        <w:pStyle w:val="BodyText"/>
        <w:rPr>
          <w:rFonts w:ascii="Trebuchet MS"/>
          <w:sz w:val="20"/>
        </w:rPr>
      </w:pPr>
    </w:p>
    <w:p>
      <w:pPr>
        <w:pStyle w:val="BodyText"/>
        <w:rPr>
          <w:rFonts w:ascii="Trebuchet MS"/>
          <w:sz w:val="20"/>
        </w:rPr>
      </w:pPr>
    </w:p>
    <w:p>
      <w:pPr>
        <w:pStyle w:val="BodyText"/>
        <w:spacing w:before="4"/>
        <w:rPr>
          <w:rFonts w:ascii="Trebuchet MS"/>
          <w:sz w:val="22"/>
        </w:rPr>
      </w:pPr>
    </w:p>
    <w:p>
      <w:pPr>
        <w:pStyle w:val="BodyText"/>
        <w:spacing w:line="249" w:lineRule="auto" w:before="73"/>
        <w:ind w:left="1270" w:right="1266"/>
        <w:jc w:val="both"/>
      </w:pPr>
      <w:r>
        <w:rPr>
          <w:color w:val="231F20"/>
        </w:rPr>
        <w:t>Para estudiar los procesos de acumulación y distribución de biomasa, se dispone del análisis de cre- cimiento vegetal mediante índices de eficiencia fisiológica, como: tasa de asimilación neta </w:t>
      </w:r>
      <w:r>
        <w:rPr>
          <w:color w:val="231F20"/>
          <w:spacing w:val="-3"/>
        </w:rPr>
        <w:t>(TAN), </w:t>
      </w:r>
      <w:r>
        <w:rPr>
          <w:color w:val="231F20"/>
        </w:rPr>
        <w:t>tasa</w:t>
      </w:r>
      <w:r>
        <w:rPr>
          <w:color w:val="231F20"/>
          <w:spacing w:val="-4"/>
        </w:rPr>
        <w:t> </w:t>
      </w:r>
      <w:r>
        <w:rPr>
          <w:color w:val="231F20"/>
        </w:rPr>
        <w:t>absoluta</w:t>
      </w:r>
      <w:r>
        <w:rPr>
          <w:color w:val="231F20"/>
          <w:spacing w:val="-4"/>
        </w:rPr>
        <w:t> </w:t>
      </w:r>
      <w:r>
        <w:rPr>
          <w:color w:val="231F20"/>
        </w:rPr>
        <w:t>de</w:t>
      </w:r>
      <w:r>
        <w:rPr>
          <w:color w:val="231F20"/>
          <w:spacing w:val="-4"/>
        </w:rPr>
        <w:t> </w:t>
      </w:r>
      <w:r>
        <w:rPr>
          <w:color w:val="231F20"/>
        </w:rPr>
        <w:t>crecimiento</w:t>
      </w:r>
      <w:r>
        <w:rPr>
          <w:color w:val="231F20"/>
          <w:spacing w:val="-5"/>
        </w:rPr>
        <w:t> </w:t>
      </w:r>
      <w:r>
        <w:rPr>
          <w:color w:val="231F20"/>
          <w:spacing w:val="-4"/>
        </w:rPr>
        <w:t>(TAC), </w:t>
      </w:r>
      <w:r>
        <w:rPr>
          <w:color w:val="231F20"/>
        </w:rPr>
        <w:t>tasa</w:t>
      </w:r>
      <w:r>
        <w:rPr>
          <w:color w:val="231F20"/>
          <w:spacing w:val="-4"/>
        </w:rPr>
        <w:t> </w:t>
      </w:r>
      <w:r>
        <w:rPr>
          <w:color w:val="231F20"/>
        </w:rPr>
        <w:t>relativa</w:t>
      </w:r>
      <w:r>
        <w:rPr>
          <w:color w:val="231F20"/>
          <w:spacing w:val="-4"/>
        </w:rPr>
        <w:t> </w:t>
      </w:r>
      <w:r>
        <w:rPr>
          <w:color w:val="231F20"/>
        </w:rPr>
        <w:t>de</w:t>
      </w:r>
      <w:r>
        <w:rPr>
          <w:color w:val="231F20"/>
          <w:spacing w:val="-4"/>
        </w:rPr>
        <w:t> </w:t>
      </w:r>
      <w:r>
        <w:rPr>
          <w:color w:val="231F20"/>
        </w:rPr>
        <w:t>crecimiento</w:t>
      </w:r>
      <w:r>
        <w:rPr>
          <w:color w:val="231F20"/>
          <w:spacing w:val="-4"/>
        </w:rPr>
        <w:t> </w:t>
      </w:r>
      <w:r>
        <w:rPr>
          <w:color w:val="231F20"/>
        </w:rPr>
        <w:t>(TRC)</w:t>
      </w:r>
      <w:r>
        <w:rPr>
          <w:color w:val="231F20"/>
          <w:spacing w:val="-4"/>
        </w:rPr>
        <w:t> </w:t>
      </w:r>
      <w:r>
        <w:rPr>
          <w:color w:val="231F20"/>
        </w:rPr>
        <w:t>e</w:t>
      </w:r>
      <w:r>
        <w:rPr>
          <w:color w:val="231F20"/>
          <w:spacing w:val="-4"/>
        </w:rPr>
        <w:t> </w:t>
      </w:r>
      <w:r>
        <w:rPr>
          <w:color w:val="231F20"/>
        </w:rPr>
        <w:t>índice</w:t>
      </w:r>
      <w:r>
        <w:rPr>
          <w:color w:val="231F20"/>
          <w:spacing w:val="-4"/>
        </w:rPr>
        <w:t> </w:t>
      </w:r>
      <w:r>
        <w:rPr>
          <w:color w:val="231F20"/>
        </w:rPr>
        <w:t>de</w:t>
      </w:r>
      <w:r>
        <w:rPr>
          <w:color w:val="231F20"/>
          <w:spacing w:val="-4"/>
        </w:rPr>
        <w:t> </w:t>
      </w:r>
      <w:r>
        <w:rPr>
          <w:color w:val="231F20"/>
        </w:rPr>
        <w:t>área</w:t>
      </w:r>
      <w:r>
        <w:rPr>
          <w:color w:val="231F20"/>
          <w:spacing w:val="-4"/>
        </w:rPr>
        <w:t> </w:t>
      </w:r>
      <w:r>
        <w:rPr>
          <w:color w:val="231F20"/>
        </w:rPr>
        <w:t>foliar</w:t>
      </w:r>
      <w:r>
        <w:rPr>
          <w:color w:val="231F20"/>
          <w:spacing w:val="-4"/>
        </w:rPr>
        <w:t> </w:t>
      </w:r>
      <w:r>
        <w:rPr>
          <w:color w:val="231F20"/>
        </w:rPr>
        <w:t>(IAF), entre otros. Este análisis permite entender el efecto de diferentes niveles de riego, de densidad de plantas,</w:t>
      </w:r>
      <w:r>
        <w:rPr>
          <w:color w:val="231F20"/>
          <w:spacing w:val="-6"/>
        </w:rPr>
        <w:t> </w:t>
      </w:r>
      <w:r>
        <w:rPr>
          <w:color w:val="231F20"/>
        </w:rPr>
        <w:t>fertilización,</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fisiología</w:t>
      </w:r>
      <w:r>
        <w:rPr>
          <w:color w:val="231F20"/>
          <w:spacing w:val="-6"/>
        </w:rPr>
        <w:t> </w:t>
      </w:r>
      <w:r>
        <w:rPr>
          <w:color w:val="231F20"/>
        </w:rPr>
        <w:t>y</w:t>
      </w:r>
      <w:r>
        <w:rPr>
          <w:color w:val="231F20"/>
          <w:spacing w:val="-6"/>
        </w:rPr>
        <w:t> </w:t>
      </w:r>
      <w:r>
        <w:rPr>
          <w:color w:val="231F20"/>
        </w:rPr>
        <w:t>rendimiento</w:t>
      </w:r>
      <w:r>
        <w:rPr>
          <w:color w:val="231F20"/>
          <w:spacing w:val="-6"/>
        </w:rPr>
        <w:t> </w:t>
      </w:r>
      <w:r>
        <w:rPr>
          <w:color w:val="231F20"/>
        </w:rPr>
        <w:t>de</w:t>
      </w:r>
      <w:r>
        <w:rPr>
          <w:color w:val="231F20"/>
          <w:spacing w:val="-6"/>
        </w:rPr>
        <w:t> </w:t>
      </w:r>
      <w:r>
        <w:rPr>
          <w:color w:val="231F20"/>
        </w:rPr>
        <w:t>genotipos;</w:t>
      </w:r>
      <w:r>
        <w:rPr>
          <w:color w:val="231F20"/>
          <w:spacing w:val="-6"/>
        </w:rPr>
        <w:t> </w:t>
      </w:r>
      <w:r>
        <w:rPr>
          <w:color w:val="231F20"/>
        </w:rPr>
        <w:t>permite</w:t>
      </w:r>
      <w:r>
        <w:rPr>
          <w:color w:val="231F20"/>
          <w:spacing w:val="-6"/>
        </w:rPr>
        <w:t> </w:t>
      </w:r>
      <w:r>
        <w:rPr>
          <w:color w:val="231F20"/>
        </w:rPr>
        <w:t>explicar</w:t>
      </w:r>
      <w:r>
        <w:rPr>
          <w:color w:val="231F20"/>
          <w:spacing w:val="-6"/>
        </w:rPr>
        <w:t> </w:t>
      </w:r>
      <w:r>
        <w:rPr>
          <w:color w:val="231F20"/>
        </w:rPr>
        <w:t>el</w:t>
      </w:r>
      <w:r>
        <w:rPr>
          <w:color w:val="231F20"/>
          <w:spacing w:val="-6"/>
        </w:rPr>
        <w:t> </w:t>
      </w:r>
      <w:r>
        <w:rPr>
          <w:color w:val="231F20"/>
        </w:rPr>
        <w:t>comportamien- to</w:t>
      </w:r>
      <w:r>
        <w:rPr>
          <w:color w:val="231F20"/>
          <w:spacing w:val="-10"/>
        </w:rPr>
        <w:t> </w:t>
      </w:r>
      <w:r>
        <w:rPr>
          <w:color w:val="231F20"/>
        </w:rPr>
        <w:t>diferencial</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producción</w:t>
      </w:r>
      <w:r>
        <w:rPr>
          <w:color w:val="231F20"/>
          <w:spacing w:val="-10"/>
        </w:rPr>
        <w:t> </w:t>
      </w:r>
      <w:r>
        <w:rPr>
          <w:color w:val="231F20"/>
        </w:rPr>
        <w:t>y</w:t>
      </w:r>
      <w:r>
        <w:rPr>
          <w:color w:val="231F20"/>
          <w:spacing w:val="-10"/>
        </w:rPr>
        <w:t> </w:t>
      </w:r>
      <w:r>
        <w:rPr>
          <w:color w:val="231F20"/>
        </w:rPr>
        <w:t>rendimiento</w:t>
      </w:r>
      <w:r>
        <w:rPr>
          <w:color w:val="231F20"/>
          <w:spacing w:val="-10"/>
        </w:rPr>
        <w:t> </w:t>
      </w:r>
      <w:r>
        <w:rPr>
          <w:color w:val="231F20"/>
        </w:rPr>
        <w:t>entre</w:t>
      </w:r>
      <w:r>
        <w:rPr>
          <w:color w:val="231F20"/>
          <w:spacing w:val="-10"/>
        </w:rPr>
        <w:t> </w:t>
      </w:r>
      <w:r>
        <w:rPr>
          <w:color w:val="231F20"/>
        </w:rPr>
        <w:t>variedades</w:t>
      </w:r>
      <w:r>
        <w:rPr>
          <w:color w:val="231F20"/>
          <w:spacing w:val="-10"/>
        </w:rPr>
        <w:t> </w:t>
      </w:r>
      <w:r>
        <w:rPr>
          <w:color w:val="231F20"/>
        </w:rPr>
        <w:t>que</w:t>
      </w:r>
      <w:r>
        <w:rPr>
          <w:color w:val="231F20"/>
          <w:spacing w:val="-10"/>
        </w:rPr>
        <w:t> </w:t>
      </w:r>
      <w:r>
        <w:rPr>
          <w:color w:val="231F20"/>
        </w:rPr>
        <w:t>crecen</w:t>
      </w:r>
      <w:r>
        <w:rPr>
          <w:color w:val="231F20"/>
          <w:spacing w:val="-10"/>
        </w:rPr>
        <w:t> </w:t>
      </w:r>
      <w:r>
        <w:rPr>
          <w:color w:val="231F20"/>
        </w:rPr>
        <w:t>en</w:t>
      </w:r>
      <w:r>
        <w:rPr>
          <w:color w:val="231F20"/>
          <w:spacing w:val="-10"/>
        </w:rPr>
        <w:t> </w:t>
      </w:r>
      <w:r>
        <w:rPr>
          <w:color w:val="231F20"/>
        </w:rPr>
        <w:t>las</w:t>
      </w:r>
      <w:r>
        <w:rPr>
          <w:color w:val="231F20"/>
          <w:spacing w:val="-10"/>
        </w:rPr>
        <w:t> </w:t>
      </w:r>
      <w:r>
        <w:rPr>
          <w:color w:val="231F20"/>
        </w:rPr>
        <w:t>mismas</w:t>
      </w:r>
      <w:r>
        <w:rPr>
          <w:color w:val="231F20"/>
          <w:spacing w:val="-10"/>
        </w:rPr>
        <w:t> </w:t>
      </w:r>
      <w:r>
        <w:rPr>
          <w:color w:val="231F20"/>
        </w:rPr>
        <w:t>condiciones. La</w:t>
      </w:r>
      <w:r>
        <w:rPr>
          <w:color w:val="231F20"/>
          <w:spacing w:val="-6"/>
        </w:rPr>
        <w:t> </w:t>
      </w:r>
      <w:r>
        <w:rPr>
          <w:color w:val="231F20"/>
        </w:rPr>
        <w:t>bioproductividad</w:t>
      </w:r>
      <w:r>
        <w:rPr>
          <w:color w:val="231F20"/>
          <w:spacing w:val="-6"/>
        </w:rPr>
        <w:t> </w:t>
      </w:r>
      <w:r>
        <w:rPr>
          <w:color w:val="231F20"/>
        </w:rPr>
        <w:t>de</w:t>
      </w:r>
      <w:r>
        <w:rPr>
          <w:color w:val="231F20"/>
          <w:spacing w:val="-6"/>
        </w:rPr>
        <w:t> </w:t>
      </w:r>
      <w:r>
        <w:rPr>
          <w:color w:val="231F20"/>
        </w:rPr>
        <w:t>un</w:t>
      </w:r>
      <w:r>
        <w:rPr>
          <w:color w:val="231F20"/>
          <w:spacing w:val="-6"/>
        </w:rPr>
        <w:t> </w:t>
      </w:r>
      <w:r>
        <w:rPr>
          <w:color w:val="231F20"/>
        </w:rPr>
        <w:t>cultivo</w:t>
      </w:r>
      <w:r>
        <w:rPr>
          <w:color w:val="231F20"/>
          <w:spacing w:val="-6"/>
        </w:rPr>
        <w:t> </w:t>
      </w:r>
      <w:r>
        <w:rPr>
          <w:color w:val="231F20"/>
        </w:rPr>
        <w:t>puede</w:t>
      </w:r>
      <w:r>
        <w:rPr>
          <w:color w:val="231F20"/>
          <w:spacing w:val="-6"/>
        </w:rPr>
        <w:t> </w:t>
      </w:r>
      <w:r>
        <w:rPr>
          <w:color w:val="231F20"/>
        </w:rPr>
        <w:t>conocerse</w:t>
      </w:r>
      <w:r>
        <w:rPr>
          <w:color w:val="231F20"/>
          <w:spacing w:val="-6"/>
        </w:rPr>
        <w:t> </w:t>
      </w:r>
      <w:r>
        <w:rPr>
          <w:color w:val="231F20"/>
        </w:rPr>
        <w:t>con</w:t>
      </w:r>
      <w:r>
        <w:rPr>
          <w:color w:val="231F20"/>
          <w:spacing w:val="-6"/>
        </w:rPr>
        <w:t> </w:t>
      </w:r>
      <w:r>
        <w:rPr>
          <w:color w:val="231F20"/>
        </w:rPr>
        <w:t>la</w:t>
      </w:r>
      <w:r>
        <w:rPr>
          <w:color w:val="231F20"/>
          <w:spacing w:val="-6"/>
        </w:rPr>
        <w:t> </w:t>
      </w:r>
      <w:r>
        <w:rPr>
          <w:color w:val="231F20"/>
        </w:rPr>
        <w:t>producción</w:t>
      </w:r>
      <w:r>
        <w:rPr>
          <w:color w:val="231F20"/>
          <w:spacing w:val="-6"/>
        </w:rPr>
        <w:t> </w:t>
      </w:r>
      <w:r>
        <w:rPr>
          <w:color w:val="231F20"/>
        </w:rPr>
        <w:t>primaria</w:t>
      </w:r>
      <w:r>
        <w:rPr>
          <w:color w:val="231F20"/>
          <w:spacing w:val="-6"/>
        </w:rPr>
        <w:t> </w:t>
      </w:r>
      <w:r>
        <w:rPr>
          <w:color w:val="231F20"/>
        </w:rPr>
        <w:t>neta</w:t>
      </w:r>
      <w:r>
        <w:rPr>
          <w:color w:val="231F20"/>
          <w:spacing w:val="-6"/>
        </w:rPr>
        <w:t> </w:t>
      </w:r>
      <w:r>
        <w:rPr>
          <w:color w:val="231F20"/>
        </w:rPr>
        <w:t>o</w:t>
      </w:r>
      <w:r>
        <w:rPr>
          <w:color w:val="231F20"/>
          <w:spacing w:val="-6"/>
        </w:rPr>
        <w:t> </w:t>
      </w:r>
      <w:r>
        <w:rPr>
          <w:color w:val="231F20"/>
        </w:rPr>
        <w:t>el</w:t>
      </w:r>
      <w:r>
        <w:rPr>
          <w:color w:val="231F20"/>
          <w:spacing w:val="-6"/>
        </w:rPr>
        <w:t> </w:t>
      </w:r>
      <w:r>
        <w:rPr>
          <w:color w:val="231F20"/>
        </w:rPr>
        <w:t>rendimiento total; en los cultivos es de importancia el rendimiento económico, es común expresarlo como</w:t>
      </w:r>
      <w:r>
        <w:rPr>
          <w:color w:val="231F20"/>
          <w:spacing w:val="-21"/>
        </w:rPr>
        <w:t> </w:t>
      </w:r>
      <w:r>
        <w:rPr>
          <w:color w:val="231F20"/>
        </w:rPr>
        <w:t>índice de cosecha, que es la proporción de la producción total de biomasa que se destina a las partes co- sechadas de la planta (IC) y se expresa con la ecuación: IC = (rendimiento económico/rendimiento biológico) x 100 (Beadle, 1988). Otros índices de eficiencia son: la tasa absoluta de crecimiento </w:t>
      </w:r>
      <w:r>
        <w:rPr>
          <w:color w:val="231F20"/>
          <w:spacing w:val="-4"/>
        </w:rPr>
        <w:t>(TAC) </w:t>
      </w:r>
      <w:r>
        <w:rPr>
          <w:color w:val="231F20"/>
        </w:rPr>
        <w:t>que se define como el incremento del material vegetal por unidad de tiempo, y se expresa en g•día</w:t>
      </w:r>
      <w:r>
        <w:rPr>
          <w:color w:val="231F20"/>
          <w:position w:val="7"/>
          <w:sz w:val="12"/>
        </w:rPr>
        <w:t>-1</w:t>
      </w:r>
      <w:r>
        <w:rPr>
          <w:color w:val="231F20"/>
        </w:rPr>
        <w:t>; tasa relativa de crecimiento (TRC), que se define como el incremento del material vegetal por unidad de biomasa y por unidad de tiempo, se expresa en g•g•</w:t>
      </w:r>
      <w:r>
        <w:rPr>
          <w:color w:val="231F20"/>
          <w:position w:val="7"/>
          <w:sz w:val="12"/>
        </w:rPr>
        <w:t>-1</w:t>
      </w:r>
      <w:r>
        <w:rPr>
          <w:color w:val="231F20"/>
        </w:rPr>
        <w:t>•día-1 y representa la eficiencia de la planta como productora de nuevo material; y la tasa de asimilación neta </w:t>
      </w:r>
      <w:r>
        <w:rPr>
          <w:color w:val="231F20"/>
          <w:spacing w:val="-3"/>
        </w:rPr>
        <w:t>(TAN), </w:t>
      </w:r>
      <w:r>
        <w:rPr>
          <w:color w:val="231F20"/>
        </w:rPr>
        <w:t>que se define como el incremento del material vegetal por unidad del sistema asimilativo y por unidad de tiempo, se expresa en g•m-2•día</w:t>
      </w:r>
      <w:r>
        <w:rPr>
          <w:color w:val="231F20"/>
          <w:position w:val="7"/>
          <w:sz w:val="12"/>
        </w:rPr>
        <w:t>-1 </w:t>
      </w:r>
      <w:r>
        <w:rPr>
          <w:color w:val="231F20"/>
        </w:rPr>
        <w:t>(Hunt, 1990). El objetivo del presente trabajo fue evaluar el crecimiento y rendimiento de ocho híbridos comerciales de calabacita tipo ‘Grey Zucchini’ en el Campo Agrícola Experimental de la Universidad Autónoma</w:t>
      </w:r>
      <w:r>
        <w:rPr>
          <w:color w:val="231F20"/>
          <w:spacing w:val="-30"/>
        </w:rPr>
        <w:t> </w:t>
      </w:r>
      <w:r>
        <w:rPr>
          <w:color w:val="231F20"/>
        </w:rPr>
        <w:t>Chapingo.</w:t>
      </w:r>
    </w:p>
    <w:p>
      <w:pPr>
        <w:pStyle w:val="BodyText"/>
        <w:spacing w:before="6"/>
        <w:rPr>
          <w:sz w:val="22"/>
        </w:rPr>
      </w:pPr>
    </w:p>
    <w:p>
      <w:pPr>
        <w:pStyle w:val="Heading3"/>
      </w:pPr>
      <w:r>
        <w:rPr>
          <w:color w:val="010202"/>
        </w:rPr>
        <w:t>Materiales y métodos</w:t>
      </w:r>
    </w:p>
    <w:p>
      <w:pPr>
        <w:pStyle w:val="BodyText"/>
        <w:spacing w:before="10"/>
        <w:rPr>
          <w:b/>
        </w:rPr>
      </w:pPr>
    </w:p>
    <w:p>
      <w:pPr>
        <w:pStyle w:val="Heading5"/>
      </w:pPr>
      <w:r>
        <w:rPr>
          <w:color w:val="231F20"/>
        </w:rPr>
        <w:t>Progenitores</w:t>
      </w:r>
    </w:p>
    <w:p>
      <w:pPr>
        <w:pStyle w:val="BodyText"/>
        <w:spacing w:line="247" w:lineRule="auto" w:before="8"/>
        <w:ind w:left="1270" w:right="1267"/>
        <w:jc w:val="both"/>
      </w:pPr>
      <w:r>
        <w:rPr>
          <w:color w:val="231F20"/>
        </w:rPr>
        <w:t>Se emplearon los ocho híbridos de calabacita tipo ‘Grey Zucchini’ de diferentes casas comerciales indicados en el Cuadro 1.</w:t>
      </w:r>
    </w:p>
    <w:p>
      <w:pPr>
        <w:pStyle w:val="BodyText"/>
        <w:spacing w:before="4"/>
      </w:pPr>
    </w:p>
    <w:p>
      <w:pPr>
        <w:spacing w:line="290" w:lineRule="auto" w:before="0"/>
        <w:ind w:left="1857" w:right="1799" w:firstLine="454"/>
        <w:jc w:val="left"/>
        <w:rPr>
          <w:b/>
          <w:sz w:val="18"/>
        </w:rPr>
      </w:pPr>
      <w:r>
        <w:rPr>
          <w:b/>
          <w:color w:val="010202"/>
          <w:sz w:val="18"/>
        </w:rPr>
        <w:t>Cuadro 1. Híbridos comerciales de calabacita tipo ‘Grey Zucchini’ evaluados en el campo agrícola experimental de la Universidad Autónoma Chapingo. Chapingo, México, 2007</w:t>
      </w:r>
    </w:p>
    <w:p>
      <w:pPr>
        <w:pStyle w:val="BodyText"/>
        <w:spacing w:before="10"/>
        <w:rPr>
          <w:b/>
          <w:sz w:val="9"/>
        </w:rPr>
      </w:pPr>
      <w:r>
        <w:rPr/>
        <w:pict>
          <v:line style="position:absolute;mso-position-horizontal-relative:page;mso-position-vertical-relative:paragraph;z-index:4768;mso-wrap-distance-left:0;mso-wrap-distance-right:0" from="63.519699pt,8.006195pt" to="482.480699pt,8.006195pt" stroked="true" strokeweight=".75pt" strokecolor="#231f20">
            <w10:wrap type="topAndBottom"/>
          </v:line>
        </w:pict>
      </w:r>
    </w:p>
    <w:p>
      <w:pPr>
        <w:tabs>
          <w:tab w:pos="3430" w:val="left" w:leader="none"/>
          <w:tab w:pos="5590" w:val="left" w:leader="none"/>
          <w:tab w:pos="7750" w:val="left" w:leader="none"/>
        </w:tabs>
        <w:spacing w:before="54"/>
        <w:ind w:left="1270" w:right="0" w:firstLine="0"/>
        <w:jc w:val="both"/>
        <w:rPr>
          <w:b/>
          <w:sz w:val="18"/>
        </w:rPr>
      </w:pPr>
      <w:r>
        <w:rPr>
          <w:b/>
          <w:color w:val="231F20"/>
          <w:sz w:val="18"/>
        </w:rPr>
        <w:t>Progenitor</w:t>
        <w:tab/>
        <w:t>Híbrido</w:t>
        <w:tab/>
        <w:t>Casa</w:t>
      </w:r>
      <w:r>
        <w:rPr>
          <w:b/>
          <w:color w:val="231F20"/>
          <w:spacing w:val="-3"/>
          <w:sz w:val="18"/>
        </w:rPr>
        <w:t> </w:t>
      </w:r>
      <w:r>
        <w:rPr>
          <w:b/>
          <w:color w:val="231F20"/>
          <w:sz w:val="18"/>
        </w:rPr>
        <w:t>comercial</w:t>
        <w:tab/>
        <w:t>Origen</w:t>
      </w:r>
    </w:p>
    <w:p>
      <w:pPr>
        <w:pStyle w:val="BodyText"/>
        <w:spacing w:before="1"/>
        <w:rPr>
          <w:b/>
          <w:sz w:val="9"/>
        </w:rPr>
      </w:pPr>
      <w:r>
        <w:rPr/>
        <w:pict>
          <v:line style="position:absolute;mso-position-horizontal-relative:page;mso-position-vertical-relative:paragraph;z-index:4792;mso-wrap-distance-left:0;mso-wrap-distance-right:0" from="63.519699pt,7.581624pt" to="482.480699pt,7.581624pt" stroked="true" strokeweight=".75pt" strokecolor="#231f20">
            <w10:wrap type="topAndBottom"/>
          </v:line>
        </w:pict>
      </w:r>
    </w:p>
    <w:p>
      <w:pPr>
        <w:pStyle w:val="BodyText"/>
        <w:spacing w:before="5"/>
        <w:rPr>
          <w:b/>
          <w:sz w:val="2"/>
        </w:rPr>
      </w:pPr>
    </w:p>
    <w:tbl>
      <w:tblPr>
        <w:tblW w:w="0" w:type="auto"/>
        <w:jc w:val="left"/>
        <w:tblInd w:w="15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25"/>
        <w:gridCol w:w="2736"/>
        <w:gridCol w:w="1894"/>
        <w:gridCol w:w="1965"/>
      </w:tblGrid>
      <w:tr>
        <w:trPr>
          <w:trHeight w:val="315" w:hRule="exact"/>
        </w:trPr>
        <w:tc>
          <w:tcPr>
            <w:tcW w:w="1025" w:type="dxa"/>
          </w:tcPr>
          <w:p>
            <w:pPr>
              <w:pStyle w:val="TableParagraph"/>
              <w:spacing w:before="76"/>
              <w:ind w:left="35"/>
              <w:rPr>
                <w:sz w:val="18"/>
              </w:rPr>
            </w:pPr>
            <w:r>
              <w:rPr>
                <w:color w:val="231F20"/>
                <w:sz w:val="18"/>
              </w:rPr>
              <w:t>1</w:t>
            </w:r>
          </w:p>
        </w:tc>
        <w:tc>
          <w:tcPr>
            <w:tcW w:w="2736" w:type="dxa"/>
          </w:tcPr>
          <w:p>
            <w:pPr>
              <w:pStyle w:val="TableParagraph"/>
              <w:spacing w:before="76"/>
              <w:ind w:left="899"/>
              <w:rPr>
                <w:sz w:val="18"/>
              </w:rPr>
            </w:pPr>
            <w:r>
              <w:rPr>
                <w:color w:val="231F20"/>
                <w:sz w:val="18"/>
              </w:rPr>
              <w:t>Tala</w:t>
            </w:r>
          </w:p>
        </w:tc>
        <w:tc>
          <w:tcPr>
            <w:tcW w:w="1894" w:type="dxa"/>
          </w:tcPr>
          <w:p>
            <w:pPr>
              <w:pStyle w:val="TableParagraph"/>
              <w:spacing w:before="76"/>
              <w:ind w:left="324"/>
              <w:rPr>
                <w:sz w:val="18"/>
              </w:rPr>
            </w:pPr>
            <w:r>
              <w:rPr>
                <w:color w:val="231F20"/>
                <w:sz w:val="18"/>
              </w:rPr>
              <w:t>Seminis</w:t>
            </w:r>
          </w:p>
        </w:tc>
        <w:tc>
          <w:tcPr>
            <w:tcW w:w="1965" w:type="dxa"/>
          </w:tcPr>
          <w:p>
            <w:pPr>
              <w:pStyle w:val="TableParagraph"/>
              <w:spacing w:before="76"/>
              <w:ind w:left="589"/>
              <w:rPr>
                <w:sz w:val="18"/>
              </w:rPr>
            </w:pPr>
            <w:r>
              <w:rPr>
                <w:color w:val="231F20"/>
                <w:sz w:val="18"/>
              </w:rPr>
              <w:t>CHILE, 2003</w:t>
            </w:r>
          </w:p>
        </w:tc>
      </w:tr>
      <w:tr>
        <w:trPr>
          <w:trHeight w:val="250" w:hRule="exact"/>
        </w:trPr>
        <w:tc>
          <w:tcPr>
            <w:tcW w:w="1025" w:type="dxa"/>
          </w:tcPr>
          <w:p>
            <w:pPr>
              <w:pStyle w:val="TableParagraph"/>
              <w:spacing w:before="12"/>
              <w:ind w:left="35"/>
              <w:rPr>
                <w:sz w:val="18"/>
              </w:rPr>
            </w:pPr>
            <w:r>
              <w:rPr>
                <w:color w:val="231F20"/>
                <w:sz w:val="18"/>
              </w:rPr>
              <w:t>2</w:t>
            </w:r>
          </w:p>
        </w:tc>
        <w:tc>
          <w:tcPr>
            <w:tcW w:w="2736" w:type="dxa"/>
          </w:tcPr>
          <w:p>
            <w:pPr>
              <w:pStyle w:val="TableParagraph"/>
              <w:spacing w:before="12"/>
              <w:ind w:left="899"/>
              <w:rPr>
                <w:sz w:val="18"/>
              </w:rPr>
            </w:pPr>
            <w:r>
              <w:rPr>
                <w:color w:val="231F20"/>
                <w:sz w:val="18"/>
              </w:rPr>
              <w:t>Grey Zucchini</w:t>
            </w:r>
          </w:p>
        </w:tc>
        <w:tc>
          <w:tcPr>
            <w:tcW w:w="1894" w:type="dxa"/>
          </w:tcPr>
          <w:p>
            <w:pPr>
              <w:pStyle w:val="TableParagraph"/>
              <w:spacing w:before="12"/>
              <w:ind w:left="324"/>
              <w:rPr>
                <w:sz w:val="18"/>
              </w:rPr>
            </w:pPr>
            <w:r>
              <w:rPr>
                <w:color w:val="231F20"/>
                <w:sz w:val="18"/>
              </w:rPr>
              <w:t>Seminis</w:t>
            </w:r>
          </w:p>
        </w:tc>
        <w:tc>
          <w:tcPr>
            <w:tcW w:w="1965" w:type="dxa"/>
          </w:tcPr>
          <w:p>
            <w:pPr>
              <w:pStyle w:val="TableParagraph"/>
              <w:spacing w:before="12"/>
              <w:ind w:left="589"/>
              <w:rPr>
                <w:sz w:val="18"/>
              </w:rPr>
            </w:pPr>
            <w:r>
              <w:rPr>
                <w:color w:val="231F20"/>
                <w:sz w:val="18"/>
              </w:rPr>
              <w:t>USA, 2005</w:t>
            </w:r>
          </w:p>
        </w:tc>
      </w:tr>
      <w:tr>
        <w:trPr>
          <w:trHeight w:val="250" w:hRule="exact"/>
        </w:trPr>
        <w:tc>
          <w:tcPr>
            <w:tcW w:w="1025" w:type="dxa"/>
          </w:tcPr>
          <w:p>
            <w:pPr>
              <w:pStyle w:val="TableParagraph"/>
              <w:spacing w:before="12"/>
              <w:ind w:left="35"/>
              <w:rPr>
                <w:sz w:val="18"/>
              </w:rPr>
            </w:pPr>
            <w:r>
              <w:rPr>
                <w:color w:val="231F20"/>
                <w:sz w:val="18"/>
              </w:rPr>
              <w:t>3</w:t>
            </w:r>
          </w:p>
        </w:tc>
        <w:tc>
          <w:tcPr>
            <w:tcW w:w="2736" w:type="dxa"/>
          </w:tcPr>
          <w:p>
            <w:pPr>
              <w:pStyle w:val="TableParagraph"/>
              <w:spacing w:before="12"/>
              <w:ind w:left="899"/>
              <w:rPr>
                <w:sz w:val="18"/>
              </w:rPr>
            </w:pPr>
            <w:r>
              <w:rPr>
                <w:color w:val="231F20"/>
                <w:sz w:val="18"/>
              </w:rPr>
              <w:t>Grey Zucchini M+M</w:t>
            </w:r>
          </w:p>
        </w:tc>
        <w:tc>
          <w:tcPr>
            <w:tcW w:w="1894" w:type="dxa"/>
          </w:tcPr>
          <w:p>
            <w:pPr>
              <w:pStyle w:val="TableParagraph"/>
              <w:spacing w:before="12"/>
              <w:ind w:left="324"/>
              <w:rPr>
                <w:sz w:val="18"/>
              </w:rPr>
            </w:pPr>
            <w:r>
              <w:rPr>
                <w:color w:val="231F20"/>
                <w:sz w:val="18"/>
              </w:rPr>
              <w:t>Molina Seed</w:t>
            </w:r>
          </w:p>
        </w:tc>
        <w:tc>
          <w:tcPr>
            <w:tcW w:w="1965" w:type="dxa"/>
          </w:tcPr>
          <w:p>
            <w:pPr>
              <w:pStyle w:val="TableParagraph"/>
              <w:spacing w:before="12"/>
              <w:ind w:left="589"/>
              <w:rPr>
                <w:sz w:val="18"/>
              </w:rPr>
            </w:pPr>
            <w:r>
              <w:rPr>
                <w:color w:val="231F20"/>
                <w:sz w:val="18"/>
              </w:rPr>
              <w:t>USA, 2003</w:t>
            </w:r>
          </w:p>
        </w:tc>
      </w:tr>
      <w:tr>
        <w:trPr>
          <w:trHeight w:val="250" w:hRule="exact"/>
        </w:trPr>
        <w:tc>
          <w:tcPr>
            <w:tcW w:w="1025" w:type="dxa"/>
          </w:tcPr>
          <w:p>
            <w:pPr>
              <w:pStyle w:val="TableParagraph"/>
              <w:spacing w:before="12"/>
              <w:ind w:left="35"/>
              <w:rPr>
                <w:sz w:val="18"/>
              </w:rPr>
            </w:pPr>
            <w:r>
              <w:rPr>
                <w:color w:val="231F20"/>
                <w:sz w:val="18"/>
              </w:rPr>
              <w:t>4</w:t>
            </w:r>
          </w:p>
        </w:tc>
        <w:tc>
          <w:tcPr>
            <w:tcW w:w="2736" w:type="dxa"/>
          </w:tcPr>
          <w:p>
            <w:pPr>
              <w:pStyle w:val="TableParagraph"/>
              <w:spacing w:before="12"/>
              <w:ind w:left="899"/>
              <w:rPr>
                <w:sz w:val="18"/>
              </w:rPr>
            </w:pPr>
            <w:r>
              <w:rPr>
                <w:color w:val="231F20"/>
                <w:sz w:val="18"/>
              </w:rPr>
              <w:t>Lolita</w:t>
            </w:r>
          </w:p>
        </w:tc>
        <w:tc>
          <w:tcPr>
            <w:tcW w:w="1894" w:type="dxa"/>
          </w:tcPr>
          <w:p>
            <w:pPr>
              <w:pStyle w:val="TableParagraph"/>
              <w:spacing w:before="12"/>
              <w:ind w:left="324"/>
              <w:rPr>
                <w:sz w:val="18"/>
              </w:rPr>
            </w:pPr>
            <w:r>
              <w:rPr>
                <w:color w:val="231F20"/>
                <w:sz w:val="18"/>
              </w:rPr>
              <w:t>Seminis</w:t>
            </w:r>
          </w:p>
        </w:tc>
        <w:tc>
          <w:tcPr>
            <w:tcW w:w="1965" w:type="dxa"/>
          </w:tcPr>
          <w:p>
            <w:pPr>
              <w:pStyle w:val="TableParagraph"/>
              <w:spacing w:before="12"/>
              <w:ind w:left="589"/>
              <w:rPr>
                <w:sz w:val="18"/>
              </w:rPr>
            </w:pPr>
            <w:r>
              <w:rPr>
                <w:color w:val="231F20"/>
                <w:sz w:val="18"/>
              </w:rPr>
              <w:t>USA, 2005</w:t>
            </w:r>
          </w:p>
        </w:tc>
      </w:tr>
      <w:tr>
        <w:trPr>
          <w:trHeight w:val="250" w:hRule="exact"/>
        </w:trPr>
        <w:tc>
          <w:tcPr>
            <w:tcW w:w="1025" w:type="dxa"/>
          </w:tcPr>
          <w:p>
            <w:pPr>
              <w:pStyle w:val="TableParagraph"/>
              <w:spacing w:before="12"/>
              <w:ind w:left="35"/>
              <w:rPr>
                <w:sz w:val="18"/>
              </w:rPr>
            </w:pPr>
            <w:r>
              <w:rPr>
                <w:color w:val="231F20"/>
                <w:sz w:val="18"/>
              </w:rPr>
              <w:t>5</w:t>
            </w:r>
          </w:p>
        </w:tc>
        <w:tc>
          <w:tcPr>
            <w:tcW w:w="2736" w:type="dxa"/>
          </w:tcPr>
          <w:p>
            <w:pPr>
              <w:pStyle w:val="TableParagraph"/>
              <w:spacing w:before="12"/>
              <w:ind w:left="899"/>
              <w:rPr>
                <w:sz w:val="18"/>
              </w:rPr>
            </w:pPr>
            <w:r>
              <w:rPr>
                <w:color w:val="231F20"/>
                <w:sz w:val="18"/>
              </w:rPr>
              <w:t>Hurakán</w:t>
            </w:r>
          </w:p>
        </w:tc>
        <w:tc>
          <w:tcPr>
            <w:tcW w:w="1894" w:type="dxa"/>
          </w:tcPr>
          <w:p>
            <w:pPr>
              <w:pStyle w:val="TableParagraph"/>
              <w:spacing w:before="12"/>
              <w:ind w:left="324"/>
              <w:rPr>
                <w:sz w:val="18"/>
              </w:rPr>
            </w:pPr>
            <w:r>
              <w:rPr>
                <w:color w:val="231F20"/>
                <w:sz w:val="18"/>
              </w:rPr>
              <w:t>Harris Moran</w:t>
            </w:r>
          </w:p>
        </w:tc>
        <w:tc>
          <w:tcPr>
            <w:tcW w:w="1965" w:type="dxa"/>
          </w:tcPr>
          <w:p>
            <w:pPr>
              <w:pStyle w:val="TableParagraph"/>
              <w:spacing w:before="12"/>
              <w:ind w:left="589"/>
              <w:rPr>
                <w:sz w:val="18"/>
              </w:rPr>
            </w:pPr>
            <w:r>
              <w:rPr>
                <w:color w:val="231F20"/>
                <w:sz w:val="18"/>
              </w:rPr>
              <w:t>USA, 2005</w:t>
            </w:r>
          </w:p>
        </w:tc>
      </w:tr>
      <w:tr>
        <w:trPr>
          <w:trHeight w:val="250" w:hRule="exact"/>
        </w:trPr>
        <w:tc>
          <w:tcPr>
            <w:tcW w:w="1025" w:type="dxa"/>
          </w:tcPr>
          <w:p>
            <w:pPr>
              <w:pStyle w:val="TableParagraph"/>
              <w:spacing w:before="12"/>
              <w:ind w:left="35"/>
              <w:rPr>
                <w:sz w:val="18"/>
              </w:rPr>
            </w:pPr>
            <w:r>
              <w:rPr>
                <w:color w:val="231F20"/>
                <w:sz w:val="18"/>
              </w:rPr>
              <w:t>6</w:t>
            </w:r>
          </w:p>
        </w:tc>
        <w:tc>
          <w:tcPr>
            <w:tcW w:w="2736" w:type="dxa"/>
          </w:tcPr>
          <w:p>
            <w:pPr>
              <w:pStyle w:val="TableParagraph"/>
              <w:spacing w:before="12"/>
              <w:ind w:left="899"/>
              <w:rPr>
                <w:sz w:val="18"/>
              </w:rPr>
            </w:pPr>
            <w:r>
              <w:rPr>
                <w:color w:val="231F20"/>
                <w:sz w:val="18"/>
              </w:rPr>
              <w:t>WA9041</w:t>
            </w:r>
          </w:p>
        </w:tc>
        <w:tc>
          <w:tcPr>
            <w:tcW w:w="1894" w:type="dxa"/>
          </w:tcPr>
          <w:p>
            <w:pPr>
              <w:pStyle w:val="TableParagraph"/>
              <w:spacing w:before="12"/>
              <w:ind w:left="324"/>
              <w:rPr>
                <w:sz w:val="18"/>
              </w:rPr>
            </w:pPr>
            <w:r>
              <w:rPr>
                <w:color w:val="231F20"/>
                <w:sz w:val="18"/>
              </w:rPr>
              <w:t>Western Seed</w:t>
            </w:r>
          </w:p>
        </w:tc>
        <w:tc>
          <w:tcPr>
            <w:tcW w:w="1965" w:type="dxa"/>
          </w:tcPr>
          <w:p>
            <w:pPr>
              <w:pStyle w:val="TableParagraph"/>
              <w:spacing w:before="12"/>
              <w:ind w:left="589"/>
              <w:rPr>
                <w:sz w:val="18"/>
              </w:rPr>
            </w:pPr>
            <w:r>
              <w:rPr>
                <w:color w:val="231F20"/>
                <w:sz w:val="18"/>
              </w:rPr>
              <w:t>HOLANDA, 2005</w:t>
            </w:r>
          </w:p>
        </w:tc>
      </w:tr>
      <w:tr>
        <w:trPr>
          <w:trHeight w:val="250" w:hRule="exact"/>
        </w:trPr>
        <w:tc>
          <w:tcPr>
            <w:tcW w:w="1025" w:type="dxa"/>
          </w:tcPr>
          <w:p>
            <w:pPr>
              <w:pStyle w:val="TableParagraph"/>
              <w:spacing w:before="12"/>
              <w:ind w:left="35"/>
              <w:rPr>
                <w:sz w:val="18"/>
              </w:rPr>
            </w:pPr>
            <w:r>
              <w:rPr>
                <w:color w:val="231F20"/>
                <w:sz w:val="18"/>
              </w:rPr>
              <w:t>7</w:t>
            </w:r>
          </w:p>
        </w:tc>
        <w:tc>
          <w:tcPr>
            <w:tcW w:w="2736" w:type="dxa"/>
          </w:tcPr>
          <w:p>
            <w:pPr>
              <w:pStyle w:val="TableParagraph"/>
              <w:spacing w:before="12"/>
              <w:ind w:left="899"/>
              <w:rPr>
                <w:sz w:val="18"/>
              </w:rPr>
            </w:pPr>
            <w:r>
              <w:rPr>
                <w:color w:val="231F20"/>
                <w:sz w:val="18"/>
              </w:rPr>
              <w:t>Terminator</w:t>
            </w:r>
          </w:p>
        </w:tc>
        <w:tc>
          <w:tcPr>
            <w:tcW w:w="1894" w:type="dxa"/>
          </w:tcPr>
          <w:p>
            <w:pPr>
              <w:pStyle w:val="TableParagraph"/>
              <w:spacing w:before="12"/>
              <w:ind w:left="324"/>
              <w:rPr>
                <w:sz w:val="18"/>
              </w:rPr>
            </w:pPr>
            <w:r>
              <w:rPr>
                <w:color w:val="231F20"/>
                <w:sz w:val="18"/>
              </w:rPr>
              <w:t>Seminis</w:t>
            </w:r>
          </w:p>
        </w:tc>
        <w:tc>
          <w:tcPr>
            <w:tcW w:w="1965" w:type="dxa"/>
          </w:tcPr>
          <w:p>
            <w:pPr>
              <w:pStyle w:val="TableParagraph"/>
              <w:spacing w:before="12"/>
              <w:ind w:left="589"/>
              <w:rPr>
                <w:sz w:val="18"/>
              </w:rPr>
            </w:pPr>
            <w:r>
              <w:rPr>
                <w:color w:val="231F20"/>
                <w:sz w:val="18"/>
              </w:rPr>
              <w:t>USA, 2004</w:t>
            </w:r>
          </w:p>
        </w:tc>
      </w:tr>
      <w:tr>
        <w:trPr>
          <w:trHeight w:val="315" w:hRule="exact"/>
        </w:trPr>
        <w:tc>
          <w:tcPr>
            <w:tcW w:w="1025" w:type="dxa"/>
          </w:tcPr>
          <w:p>
            <w:pPr>
              <w:pStyle w:val="TableParagraph"/>
              <w:spacing w:before="12"/>
              <w:ind w:left="35"/>
              <w:rPr>
                <w:sz w:val="18"/>
              </w:rPr>
            </w:pPr>
            <w:r>
              <w:rPr>
                <w:color w:val="231F20"/>
                <w:sz w:val="18"/>
              </w:rPr>
              <w:t>8</w:t>
            </w:r>
          </w:p>
        </w:tc>
        <w:tc>
          <w:tcPr>
            <w:tcW w:w="2736" w:type="dxa"/>
          </w:tcPr>
          <w:p>
            <w:pPr>
              <w:pStyle w:val="TableParagraph"/>
              <w:spacing w:before="12"/>
              <w:ind w:left="899"/>
              <w:rPr>
                <w:sz w:val="18"/>
              </w:rPr>
            </w:pPr>
            <w:r>
              <w:rPr>
                <w:color w:val="231F20"/>
                <w:sz w:val="18"/>
              </w:rPr>
              <w:t>Dolarzini</w:t>
            </w:r>
          </w:p>
        </w:tc>
        <w:tc>
          <w:tcPr>
            <w:tcW w:w="1894" w:type="dxa"/>
          </w:tcPr>
          <w:p>
            <w:pPr>
              <w:pStyle w:val="TableParagraph"/>
              <w:spacing w:before="12"/>
              <w:ind w:left="324"/>
              <w:rPr>
                <w:sz w:val="18"/>
              </w:rPr>
            </w:pPr>
            <w:r>
              <w:rPr>
                <w:color w:val="231F20"/>
                <w:sz w:val="18"/>
              </w:rPr>
              <w:t>Caloro</w:t>
            </w:r>
          </w:p>
        </w:tc>
        <w:tc>
          <w:tcPr>
            <w:tcW w:w="1965" w:type="dxa"/>
          </w:tcPr>
          <w:p>
            <w:pPr>
              <w:pStyle w:val="TableParagraph"/>
              <w:spacing w:before="12"/>
              <w:ind w:left="589"/>
              <w:rPr>
                <w:sz w:val="18"/>
              </w:rPr>
            </w:pPr>
            <w:r>
              <w:rPr>
                <w:color w:val="231F20"/>
                <w:sz w:val="18"/>
              </w:rPr>
              <w:t>USA, 2005</w:t>
            </w:r>
          </w:p>
        </w:tc>
      </w:tr>
    </w:tbl>
    <w:p>
      <w:pPr>
        <w:pStyle w:val="BodyText"/>
        <w:spacing w:line="20" w:lineRule="exact"/>
        <w:ind w:left="1262"/>
        <w:rPr>
          <w:sz w:val="2"/>
        </w:rPr>
      </w:pPr>
      <w:r>
        <w:rPr>
          <w:sz w:val="2"/>
        </w:rPr>
        <w:pict>
          <v:group style="width:419.75pt;height:.75pt;mso-position-horizontal-relative:char;mso-position-vertical-relative:line" coordorigin="0,0" coordsize="8395,15">
            <v:line style="position:absolute" from="8,7" to="8387,7" stroked="true" strokeweight=".75pt" strokecolor="#231f20"/>
          </v:group>
        </w:pict>
      </w:r>
      <w:r>
        <w:rPr>
          <w:sz w:val="2"/>
        </w:rPr>
      </w:r>
    </w:p>
    <w:p>
      <w:pPr>
        <w:spacing w:after="0" w:line="20" w:lineRule="exact"/>
        <w:rPr>
          <w:sz w:val="2"/>
        </w:rPr>
        <w:sectPr>
          <w:pgSz w:w="10920" w:h="13080"/>
          <w:pgMar w:header="0" w:footer="965" w:top="420" w:bottom="1220" w:left="0" w:right="0"/>
        </w:sectPr>
      </w:pPr>
    </w:p>
    <w:p>
      <w:pPr>
        <w:pStyle w:val="BodyText"/>
        <w:rPr>
          <w:b/>
          <w:sz w:val="20"/>
        </w:rPr>
      </w:pPr>
    </w:p>
    <w:p>
      <w:pPr>
        <w:pStyle w:val="BodyText"/>
        <w:rPr>
          <w:b/>
          <w:sz w:val="20"/>
        </w:rPr>
      </w:pPr>
    </w:p>
    <w:p>
      <w:pPr>
        <w:pStyle w:val="BodyText"/>
        <w:spacing w:before="8"/>
        <w:rPr>
          <w:b/>
          <w:sz w:val="22"/>
        </w:rPr>
      </w:pPr>
    </w:p>
    <w:p>
      <w:pPr>
        <w:pStyle w:val="Heading5"/>
        <w:spacing w:before="73"/>
      </w:pPr>
      <w:r>
        <w:rPr>
          <w:color w:val="231F20"/>
        </w:rPr>
        <w:t>Localización y manejo agronómico</w:t>
      </w:r>
    </w:p>
    <w:p>
      <w:pPr>
        <w:pStyle w:val="BodyText"/>
        <w:spacing w:line="249" w:lineRule="auto" w:before="8"/>
        <w:ind w:left="1270" w:right="1267"/>
        <w:jc w:val="both"/>
      </w:pPr>
      <w:r>
        <w:rPr>
          <w:color w:val="231F20"/>
        </w:rPr>
        <w:t>Los híbridos se evaluaron durante los años 2006, 2007 y 2008 en el Campo Agrícola Experimental de</w:t>
      </w:r>
      <w:r>
        <w:rPr>
          <w:color w:val="231F20"/>
          <w:spacing w:val="-3"/>
        </w:rPr>
        <w:t> </w:t>
      </w:r>
      <w:r>
        <w:rPr>
          <w:color w:val="231F20"/>
        </w:rPr>
        <w:t>la</w:t>
      </w:r>
      <w:r>
        <w:rPr>
          <w:color w:val="231F20"/>
          <w:spacing w:val="-3"/>
        </w:rPr>
        <w:t> </w:t>
      </w:r>
      <w:r>
        <w:rPr>
          <w:color w:val="231F20"/>
        </w:rPr>
        <w:t>Universidad</w:t>
      </w:r>
      <w:r>
        <w:rPr>
          <w:color w:val="231F20"/>
          <w:spacing w:val="-13"/>
        </w:rPr>
        <w:t> </w:t>
      </w:r>
      <w:r>
        <w:rPr>
          <w:color w:val="231F20"/>
        </w:rPr>
        <w:t>Autónoma</w:t>
      </w:r>
      <w:r>
        <w:rPr>
          <w:color w:val="231F20"/>
          <w:spacing w:val="-3"/>
        </w:rPr>
        <w:t> </w:t>
      </w:r>
      <w:r>
        <w:rPr>
          <w:color w:val="231F20"/>
        </w:rPr>
        <w:t>Chapingo.</w:t>
      </w:r>
      <w:r>
        <w:rPr>
          <w:color w:val="231F20"/>
          <w:spacing w:val="-3"/>
        </w:rPr>
        <w:t> </w:t>
      </w:r>
      <w:r>
        <w:rPr>
          <w:color w:val="231F20"/>
        </w:rPr>
        <w:t>En</w:t>
      </w:r>
      <w:r>
        <w:rPr>
          <w:color w:val="231F20"/>
          <w:spacing w:val="-3"/>
        </w:rPr>
        <w:t> </w:t>
      </w:r>
      <w:r>
        <w:rPr>
          <w:color w:val="231F20"/>
        </w:rPr>
        <w:t>el</w:t>
      </w:r>
      <w:r>
        <w:rPr>
          <w:color w:val="231F20"/>
          <w:spacing w:val="-3"/>
        </w:rPr>
        <w:t> </w:t>
      </w:r>
      <w:r>
        <w:rPr>
          <w:color w:val="231F20"/>
        </w:rPr>
        <w:t>año</w:t>
      </w:r>
      <w:r>
        <w:rPr>
          <w:color w:val="231F20"/>
          <w:spacing w:val="-3"/>
        </w:rPr>
        <w:t> </w:t>
      </w:r>
      <w:r>
        <w:rPr>
          <w:color w:val="231F20"/>
        </w:rPr>
        <w:t>2006</w:t>
      </w:r>
      <w:r>
        <w:rPr>
          <w:color w:val="231F20"/>
          <w:spacing w:val="-3"/>
        </w:rPr>
        <w:t> </w:t>
      </w:r>
      <w:r>
        <w:rPr>
          <w:color w:val="231F20"/>
        </w:rPr>
        <w:t>la</w:t>
      </w:r>
      <w:r>
        <w:rPr>
          <w:color w:val="231F20"/>
          <w:spacing w:val="-3"/>
        </w:rPr>
        <w:t> </w:t>
      </w:r>
      <w:r>
        <w:rPr>
          <w:color w:val="231F20"/>
        </w:rPr>
        <w:t>siembra</w:t>
      </w:r>
      <w:r>
        <w:rPr>
          <w:color w:val="231F20"/>
          <w:spacing w:val="-3"/>
        </w:rPr>
        <w:t> </w:t>
      </w:r>
      <w:r>
        <w:rPr>
          <w:color w:val="231F20"/>
        </w:rPr>
        <w:t>se</w:t>
      </w:r>
      <w:r>
        <w:rPr>
          <w:color w:val="231F20"/>
          <w:spacing w:val="-3"/>
        </w:rPr>
        <w:t> </w:t>
      </w:r>
      <w:r>
        <w:rPr>
          <w:color w:val="231F20"/>
        </w:rPr>
        <w:t>realizó</w:t>
      </w:r>
      <w:r>
        <w:rPr>
          <w:color w:val="231F20"/>
          <w:spacing w:val="-3"/>
        </w:rPr>
        <w:t> </w:t>
      </w:r>
      <w:r>
        <w:rPr>
          <w:color w:val="231F20"/>
        </w:rPr>
        <w:t>el</w:t>
      </w:r>
      <w:r>
        <w:rPr>
          <w:color w:val="231F20"/>
          <w:spacing w:val="-3"/>
        </w:rPr>
        <w:t> </w:t>
      </w:r>
      <w:r>
        <w:rPr>
          <w:color w:val="231F20"/>
        </w:rPr>
        <w:t>día</w:t>
      </w:r>
      <w:r>
        <w:rPr>
          <w:color w:val="231F20"/>
          <w:spacing w:val="-3"/>
        </w:rPr>
        <w:t> </w:t>
      </w:r>
      <w:r>
        <w:rPr>
          <w:color w:val="231F20"/>
        </w:rPr>
        <w:t>15</w:t>
      </w:r>
      <w:r>
        <w:rPr>
          <w:color w:val="231F20"/>
          <w:spacing w:val="-3"/>
        </w:rPr>
        <w:t> </w:t>
      </w:r>
      <w:r>
        <w:rPr>
          <w:color w:val="231F20"/>
        </w:rPr>
        <w:t>de</w:t>
      </w:r>
      <w:r>
        <w:rPr>
          <w:color w:val="231F20"/>
          <w:spacing w:val="-3"/>
        </w:rPr>
        <w:t> </w:t>
      </w:r>
      <w:r>
        <w:rPr>
          <w:color w:val="231F20"/>
        </w:rPr>
        <w:t>abril</w:t>
      </w:r>
      <w:r>
        <w:rPr>
          <w:color w:val="231F20"/>
          <w:spacing w:val="-3"/>
        </w:rPr>
        <w:t> </w:t>
      </w:r>
      <w:r>
        <w:rPr>
          <w:color w:val="231F20"/>
        </w:rPr>
        <w:t>(Lote San</w:t>
      </w:r>
      <w:r>
        <w:rPr>
          <w:color w:val="231F20"/>
          <w:spacing w:val="-8"/>
        </w:rPr>
        <w:t> </w:t>
      </w:r>
      <w:r>
        <w:rPr>
          <w:color w:val="231F20"/>
        </w:rPr>
        <w:t>Martín),</w:t>
      </w:r>
      <w:r>
        <w:rPr>
          <w:color w:val="231F20"/>
          <w:spacing w:val="36"/>
        </w:rPr>
        <w:t> </w:t>
      </w:r>
      <w:r>
        <w:rPr>
          <w:color w:val="231F20"/>
        </w:rPr>
        <w:t>en</w:t>
      </w:r>
      <w:r>
        <w:rPr>
          <w:color w:val="231F20"/>
          <w:spacing w:val="-8"/>
        </w:rPr>
        <w:t> </w:t>
      </w:r>
      <w:r>
        <w:rPr>
          <w:color w:val="231F20"/>
        </w:rPr>
        <w:t>2007</w:t>
      </w:r>
      <w:r>
        <w:rPr>
          <w:color w:val="231F20"/>
          <w:spacing w:val="-8"/>
        </w:rPr>
        <w:t> </w:t>
      </w:r>
      <w:r>
        <w:rPr>
          <w:color w:val="231F20"/>
        </w:rPr>
        <w:t>el</w:t>
      </w:r>
      <w:r>
        <w:rPr>
          <w:color w:val="231F20"/>
          <w:spacing w:val="-8"/>
        </w:rPr>
        <w:t> </w:t>
      </w:r>
      <w:r>
        <w:rPr>
          <w:color w:val="231F20"/>
        </w:rPr>
        <w:t>día</w:t>
      </w:r>
      <w:r>
        <w:rPr>
          <w:color w:val="231F20"/>
          <w:spacing w:val="-8"/>
        </w:rPr>
        <w:t> </w:t>
      </w:r>
      <w:r>
        <w:rPr>
          <w:color w:val="231F20"/>
        </w:rPr>
        <w:t>20</w:t>
      </w:r>
      <w:r>
        <w:rPr>
          <w:color w:val="231F20"/>
          <w:spacing w:val="-8"/>
        </w:rPr>
        <w:t> </w:t>
      </w:r>
      <w:r>
        <w:rPr>
          <w:color w:val="231F20"/>
        </w:rPr>
        <w:t>de</w:t>
      </w:r>
      <w:r>
        <w:rPr>
          <w:color w:val="231F20"/>
          <w:spacing w:val="-8"/>
        </w:rPr>
        <w:t> </w:t>
      </w:r>
      <w:r>
        <w:rPr>
          <w:color w:val="231F20"/>
        </w:rPr>
        <w:t>abril</w:t>
      </w:r>
      <w:r>
        <w:rPr>
          <w:color w:val="231F20"/>
          <w:spacing w:val="-9"/>
        </w:rPr>
        <w:t> </w:t>
      </w:r>
      <w:r>
        <w:rPr>
          <w:color w:val="231F20"/>
        </w:rPr>
        <w:t>(Lote</w:t>
      </w:r>
      <w:r>
        <w:rPr>
          <w:color w:val="231F20"/>
          <w:spacing w:val="-8"/>
        </w:rPr>
        <w:t> </w:t>
      </w:r>
      <w:r>
        <w:rPr>
          <w:color w:val="231F20"/>
        </w:rPr>
        <w:t>San</w:t>
      </w:r>
      <w:r>
        <w:rPr>
          <w:color w:val="231F20"/>
          <w:spacing w:val="-8"/>
        </w:rPr>
        <w:t> </w:t>
      </w:r>
      <w:r>
        <w:rPr>
          <w:color w:val="231F20"/>
        </w:rPr>
        <w:t>Bartolo)</w:t>
      </w:r>
      <w:r>
        <w:rPr>
          <w:color w:val="231F20"/>
          <w:spacing w:val="-8"/>
        </w:rPr>
        <w:t> </w:t>
      </w:r>
      <w:r>
        <w:rPr>
          <w:color w:val="231F20"/>
        </w:rPr>
        <w:t>y</w:t>
      </w:r>
      <w:r>
        <w:rPr>
          <w:color w:val="231F20"/>
          <w:spacing w:val="-8"/>
        </w:rPr>
        <w:t> </w:t>
      </w:r>
      <w:r>
        <w:rPr>
          <w:color w:val="231F20"/>
        </w:rPr>
        <w:t>en</w:t>
      </w:r>
      <w:r>
        <w:rPr>
          <w:color w:val="231F20"/>
          <w:spacing w:val="-8"/>
        </w:rPr>
        <w:t> </w:t>
      </w:r>
      <w:r>
        <w:rPr>
          <w:color w:val="231F20"/>
        </w:rPr>
        <w:t>2008</w:t>
      </w:r>
      <w:r>
        <w:rPr>
          <w:color w:val="231F20"/>
          <w:spacing w:val="-8"/>
        </w:rPr>
        <w:t> </w:t>
      </w:r>
      <w:r>
        <w:rPr>
          <w:color w:val="231F20"/>
        </w:rPr>
        <w:t>el</w:t>
      </w:r>
      <w:r>
        <w:rPr>
          <w:color w:val="231F20"/>
          <w:spacing w:val="-8"/>
        </w:rPr>
        <w:t> </w:t>
      </w:r>
      <w:r>
        <w:rPr>
          <w:color w:val="231F20"/>
        </w:rPr>
        <w:t>22</w:t>
      </w:r>
      <w:r>
        <w:rPr>
          <w:color w:val="231F20"/>
          <w:spacing w:val="-8"/>
        </w:rPr>
        <w:t> </w:t>
      </w:r>
      <w:r>
        <w:rPr>
          <w:color w:val="231F20"/>
        </w:rPr>
        <w:t>de</w:t>
      </w:r>
      <w:r>
        <w:rPr>
          <w:color w:val="231F20"/>
          <w:spacing w:val="-8"/>
        </w:rPr>
        <w:t> </w:t>
      </w:r>
      <w:r>
        <w:rPr>
          <w:color w:val="231F20"/>
        </w:rPr>
        <w:t>abril</w:t>
      </w:r>
      <w:r>
        <w:rPr>
          <w:color w:val="231F20"/>
          <w:spacing w:val="-9"/>
        </w:rPr>
        <w:t> </w:t>
      </w:r>
      <w:r>
        <w:rPr>
          <w:color w:val="231F20"/>
        </w:rPr>
        <w:t>(Lote</w:t>
      </w:r>
      <w:r>
        <w:rPr>
          <w:color w:val="231F20"/>
          <w:spacing w:val="-8"/>
        </w:rPr>
        <w:t> </w:t>
      </w:r>
      <w:r>
        <w:rPr>
          <w:color w:val="231F20"/>
        </w:rPr>
        <w:t>San</w:t>
      </w:r>
      <w:r>
        <w:rPr>
          <w:color w:val="231F20"/>
          <w:spacing w:val="-8"/>
        </w:rPr>
        <w:t> </w:t>
      </w:r>
      <w:r>
        <w:rPr>
          <w:color w:val="231F20"/>
        </w:rPr>
        <w:t>Martín) de forma directa depositando dos semillas por golpe para posteriormente ralear a una planta, bajo condiciones de riego. Se usó un diseño experimental bloques al azar con tres repeticiones, la unidad experimental estuvo constituida por parcelas de dos surcos de 5 m de largo separados a 0.8 m con una separación entre plantas de 0.2 m (62,500 plantas•ha</w:t>
      </w:r>
      <w:r>
        <w:rPr>
          <w:color w:val="231F20"/>
          <w:position w:val="7"/>
          <w:sz w:val="12"/>
        </w:rPr>
        <w:t>-1</w:t>
      </w:r>
      <w:r>
        <w:rPr>
          <w:color w:val="231F20"/>
        </w:rPr>
        <w:t>). La fertilización total fue de 120-80-00 aplicando 60-80-00 al momento de la siembra, el resto de la fertilización nitrogenada se aplicó en</w:t>
      </w:r>
      <w:r>
        <w:rPr>
          <w:color w:val="231F20"/>
          <w:spacing w:val="-27"/>
        </w:rPr>
        <w:t> </w:t>
      </w:r>
      <w:r>
        <w:rPr>
          <w:color w:val="231F20"/>
        </w:rPr>
        <w:t>el aporque. Las malezas se controlaron manualmente, y se realizó una aplicación de cal a la base del cuello de la planta para prevenir enfermedades de la</w:t>
      </w:r>
      <w:r>
        <w:rPr>
          <w:color w:val="231F20"/>
          <w:spacing w:val="-2"/>
        </w:rPr>
        <w:t> </w:t>
      </w:r>
      <w:r>
        <w:rPr>
          <w:color w:val="231F20"/>
        </w:rPr>
        <w:t>raíz.</w:t>
      </w:r>
    </w:p>
    <w:p>
      <w:pPr>
        <w:pStyle w:val="BodyText"/>
        <w:spacing w:before="7"/>
      </w:pPr>
    </w:p>
    <w:p>
      <w:pPr>
        <w:pStyle w:val="Heading5"/>
      </w:pPr>
      <w:r>
        <w:rPr>
          <w:color w:val="231F20"/>
        </w:rPr>
        <w:t>Análisis de crecimiento</w:t>
      </w:r>
    </w:p>
    <w:p>
      <w:pPr>
        <w:pStyle w:val="BodyText"/>
        <w:spacing w:line="249" w:lineRule="auto" w:before="8"/>
        <w:ind w:left="1270" w:right="1267"/>
        <w:jc w:val="both"/>
      </w:pPr>
      <w:r>
        <w:rPr>
          <w:color w:val="231F20"/>
        </w:rPr>
        <w:t>El análisis de crecimiento se hizo con el método de Hunt (1990), con base en cinco muestreos alea- torios de tres plantas cada uno, de plantas cortadas a ras de piso cada 15 días (esta actividad sólo se realizó en el año 2006). En las plantas muestreadas se midió altura de planta (cm) del cuello de la raíz hasta el punto de crecimiento, área foliar (m</w:t>
      </w:r>
      <w:r>
        <w:rPr>
          <w:color w:val="231F20"/>
          <w:position w:val="7"/>
          <w:sz w:val="12"/>
        </w:rPr>
        <w:t>2</w:t>
      </w:r>
      <w:r>
        <w:rPr>
          <w:color w:val="231F20"/>
        </w:rPr>
        <w:t>•planta) con un integrador y peso seco (g•planta</w:t>
      </w:r>
      <w:r>
        <w:rPr>
          <w:color w:val="231F20"/>
          <w:position w:val="7"/>
          <w:sz w:val="12"/>
        </w:rPr>
        <w:t>-1</w:t>
      </w:r>
      <w:r>
        <w:rPr>
          <w:color w:val="231F20"/>
        </w:rPr>
        <w:t>) de</w:t>
      </w:r>
      <w:r>
        <w:rPr>
          <w:color w:val="231F20"/>
          <w:spacing w:val="-4"/>
        </w:rPr>
        <w:t> </w:t>
      </w:r>
      <w:r>
        <w:rPr>
          <w:color w:val="231F20"/>
        </w:rPr>
        <w:t>toda</w:t>
      </w:r>
      <w:r>
        <w:rPr>
          <w:color w:val="231F20"/>
          <w:spacing w:val="-4"/>
        </w:rPr>
        <w:t> </w:t>
      </w:r>
      <w:r>
        <w:rPr>
          <w:color w:val="231F20"/>
        </w:rPr>
        <w:t>la</w:t>
      </w:r>
      <w:r>
        <w:rPr>
          <w:color w:val="231F20"/>
          <w:spacing w:val="-4"/>
        </w:rPr>
        <w:t> </w:t>
      </w:r>
      <w:r>
        <w:rPr>
          <w:color w:val="231F20"/>
        </w:rPr>
        <w:t>planta</w:t>
      </w:r>
      <w:r>
        <w:rPr>
          <w:color w:val="231F20"/>
          <w:spacing w:val="-4"/>
        </w:rPr>
        <w:t> </w:t>
      </w:r>
      <w:r>
        <w:rPr>
          <w:color w:val="231F20"/>
        </w:rPr>
        <w:t>(previo</w:t>
      </w:r>
      <w:r>
        <w:rPr>
          <w:color w:val="231F20"/>
          <w:spacing w:val="-4"/>
        </w:rPr>
        <w:t> </w:t>
      </w:r>
      <w:r>
        <w:rPr>
          <w:color w:val="231F20"/>
        </w:rPr>
        <w:t>secado</w:t>
      </w:r>
      <w:r>
        <w:rPr>
          <w:color w:val="231F20"/>
          <w:spacing w:val="-3"/>
        </w:rPr>
        <w:t> </w:t>
      </w:r>
      <w:r>
        <w:rPr>
          <w:color w:val="231F20"/>
        </w:rPr>
        <w:t>a</w:t>
      </w:r>
      <w:r>
        <w:rPr>
          <w:color w:val="231F20"/>
          <w:spacing w:val="-4"/>
        </w:rPr>
        <w:t> </w:t>
      </w:r>
      <w:r>
        <w:rPr>
          <w:color w:val="231F20"/>
        </w:rPr>
        <w:t>70</w:t>
      </w:r>
      <w:r>
        <w:rPr>
          <w:color w:val="231F20"/>
          <w:spacing w:val="-4"/>
        </w:rPr>
        <w:t> </w:t>
      </w:r>
      <w:r>
        <w:rPr>
          <w:color w:val="231F20"/>
        </w:rPr>
        <w:t>ºC</w:t>
      </w:r>
      <w:r>
        <w:rPr>
          <w:color w:val="231F20"/>
          <w:spacing w:val="-4"/>
        </w:rPr>
        <w:t> </w:t>
      </w:r>
      <w:r>
        <w:rPr>
          <w:color w:val="231F20"/>
        </w:rPr>
        <w:t>por</w:t>
      </w:r>
      <w:r>
        <w:rPr>
          <w:color w:val="231F20"/>
          <w:spacing w:val="-4"/>
        </w:rPr>
        <w:t> </w:t>
      </w:r>
      <w:r>
        <w:rPr>
          <w:color w:val="231F20"/>
        </w:rPr>
        <w:t>72</w:t>
      </w:r>
      <w:r>
        <w:rPr>
          <w:color w:val="231F20"/>
          <w:spacing w:val="-4"/>
        </w:rPr>
        <w:t> </w:t>
      </w:r>
      <w:r>
        <w:rPr>
          <w:color w:val="231F20"/>
        </w:rPr>
        <w:t>h,</w:t>
      </w:r>
      <w:r>
        <w:rPr>
          <w:color w:val="231F20"/>
          <w:spacing w:val="-4"/>
        </w:rPr>
        <w:t> </w:t>
      </w:r>
      <w:r>
        <w:rPr>
          <w:color w:val="231F20"/>
        </w:rPr>
        <w:t>hasta</w:t>
      </w:r>
      <w:r>
        <w:rPr>
          <w:color w:val="231F20"/>
          <w:spacing w:val="-4"/>
        </w:rPr>
        <w:t> </w:t>
      </w:r>
      <w:r>
        <w:rPr>
          <w:color w:val="231F20"/>
        </w:rPr>
        <w:t>peso</w:t>
      </w:r>
      <w:r>
        <w:rPr>
          <w:color w:val="231F20"/>
          <w:spacing w:val="-4"/>
        </w:rPr>
        <w:t> </w:t>
      </w:r>
      <w:r>
        <w:rPr>
          <w:color w:val="231F20"/>
        </w:rPr>
        <w:t>constante).</w:t>
      </w:r>
      <w:r>
        <w:rPr>
          <w:color w:val="231F20"/>
          <w:spacing w:val="-4"/>
        </w:rPr>
        <w:t> </w:t>
      </w:r>
      <w:r>
        <w:rPr>
          <w:color w:val="231F20"/>
        </w:rPr>
        <w:t>Con</w:t>
      </w:r>
      <w:r>
        <w:rPr>
          <w:color w:val="231F20"/>
          <w:spacing w:val="-4"/>
        </w:rPr>
        <w:t> </w:t>
      </w:r>
      <w:r>
        <w:rPr>
          <w:color w:val="231F20"/>
        </w:rPr>
        <w:t>los</w:t>
      </w:r>
      <w:r>
        <w:rPr>
          <w:color w:val="231F20"/>
          <w:spacing w:val="-4"/>
        </w:rPr>
        <w:t> </w:t>
      </w:r>
      <w:r>
        <w:rPr>
          <w:color w:val="231F20"/>
        </w:rPr>
        <w:t>datos</w:t>
      </w:r>
      <w:r>
        <w:rPr>
          <w:color w:val="231F20"/>
          <w:spacing w:val="-4"/>
        </w:rPr>
        <w:t> </w:t>
      </w:r>
      <w:r>
        <w:rPr>
          <w:color w:val="231F20"/>
        </w:rPr>
        <w:t>registrados</w:t>
      </w:r>
      <w:r>
        <w:rPr>
          <w:color w:val="231F20"/>
          <w:spacing w:val="-4"/>
        </w:rPr>
        <w:t> </w:t>
      </w:r>
      <w:r>
        <w:rPr>
          <w:color w:val="231F20"/>
        </w:rPr>
        <w:t>se estimaron</w:t>
      </w:r>
      <w:r>
        <w:rPr>
          <w:color w:val="231F20"/>
          <w:spacing w:val="-9"/>
        </w:rPr>
        <w:t> </w:t>
      </w:r>
      <w:r>
        <w:rPr>
          <w:color w:val="231F20"/>
        </w:rPr>
        <w:t>la</w:t>
      </w:r>
      <w:r>
        <w:rPr>
          <w:color w:val="231F20"/>
          <w:spacing w:val="-9"/>
        </w:rPr>
        <w:t> </w:t>
      </w:r>
      <w:r>
        <w:rPr>
          <w:color w:val="231F20"/>
        </w:rPr>
        <w:t>tasa</w:t>
      </w:r>
      <w:r>
        <w:rPr>
          <w:color w:val="231F20"/>
          <w:spacing w:val="-9"/>
        </w:rPr>
        <w:t> </w:t>
      </w:r>
      <w:r>
        <w:rPr>
          <w:color w:val="231F20"/>
        </w:rPr>
        <w:t>absoluta</w:t>
      </w:r>
      <w:r>
        <w:rPr>
          <w:color w:val="231F20"/>
          <w:spacing w:val="-9"/>
        </w:rPr>
        <w:t> </w:t>
      </w:r>
      <w:r>
        <w:rPr>
          <w:color w:val="231F20"/>
        </w:rPr>
        <w:t>de</w:t>
      </w:r>
      <w:r>
        <w:rPr>
          <w:color w:val="231F20"/>
          <w:spacing w:val="-9"/>
        </w:rPr>
        <w:t> </w:t>
      </w:r>
      <w:r>
        <w:rPr>
          <w:color w:val="231F20"/>
        </w:rPr>
        <w:t>crecimiento</w:t>
      </w:r>
      <w:r>
        <w:rPr>
          <w:color w:val="231F20"/>
          <w:spacing w:val="-9"/>
        </w:rPr>
        <w:t> </w:t>
      </w:r>
      <w:r>
        <w:rPr>
          <w:color w:val="231F20"/>
          <w:spacing w:val="-4"/>
        </w:rPr>
        <w:t>(TAC),</w:t>
      </w:r>
      <w:r>
        <w:rPr>
          <w:color w:val="231F20"/>
          <w:spacing w:val="-8"/>
        </w:rPr>
        <w:t> </w:t>
      </w:r>
      <w:r>
        <w:rPr>
          <w:color w:val="231F20"/>
        </w:rPr>
        <w:t>la</w:t>
      </w:r>
      <w:r>
        <w:rPr>
          <w:color w:val="231F20"/>
          <w:spacing w:val="-9"/>
        </w:rPr>
        <w:t> </w:t>
      </w:r>
      <w:r>
        <w:rPr>
          <w:color w:val="231F20"/>
        </w:rPr>
        <w:t>tasa</w:t>
      </w:r>
      <w:r>
        <w:rPr>
          <w:color w:val="231F20"/>
          <w:spacing w:val="-9"/>
        </w:rPr>
        <w:t> </w:t>
      </w:r>
      <w:r>
        <w:rPr>
          <w:color w:val="231F20"/>
        </w:rPr>
        <w:t>relativa</w:t>
      </w:r>
      <w:r>
        <w:rPr>
          <w:color w:val="231F20"/>
          <w:spacing w:val="-9"/>
        </w:rPr>
        <w:t> </w:t>
      </w:r>
      <w:r>
        <w:rPr>
          <w:color w:val="231F20"/>
        </w:rPr>
        <w:t>de</w:t>
      </w:r>
      <w:r>
        <w:rPr>
          <w:color w:val="231F20"/>
          <w:spacing w:val="-9"/>
        </w:rPr>
        <w:t> </w:t>
      </w:r>
      <w:r>
        <w:rPr>
          <w:color w:val="231F20"/>
        </w:rPr>
        <w:t>crecimiento</w:t>
      </w:r>
      <w:r>
        <w:rPr>
          <w:color w:val="231F20"/>
          <w:spacing w:val="-9"/>
        </w:rPr>
        <w:t> </w:t>
      </w:r>
      <w:r>
        <w:rPr>
          <w:color w:val="231F20"/>
        </w:rPr>
        <w:t>(TRC),</w:t>
      </w:r>
      <w:r>
        <w:rPr>
          <w:color w:val="231F20"/>
          <w:spacing w:val="-9"/>
        </w:rPr>
        <w:t> </w:t>
      </w:r>
      <w:r>
        <w:rPr>
          <w:color w:val="231F20"/>
        </w:rPr>
        <w:t>la</w:t>
      </w:r>
      <w:r>
        <w:rPr>
          <w:color w:val="231F20"/>
          <w:spacing w:val="-9"/>
        </w:rPr>
        <w:t> </w:t>
      </w:r>
      <w:r>
        <w:rPr>
          <w:color w:val="231F20"/>
        </w:rPr>
        <w:t>tasa</w:t>
      </w:r>
      <w:r>
        <w:rPr>
          <w:color w:val="231F20"/>
          <w:spacing w:val="-9"/>
        </w:rPr>
        <w:t> </w:t>
      </w:r>
      <w:r>
        <w:rPr>
          <w:color w:val="231F20"/>
        </w:rPr>
        <w:t>de</w:t>
      </w:r>
      <w:r>
        <w:rPr>
          <w:color w:val="231F20"/>
          <w:spacing w:val="-9"/>
        </w:rPr>
        <w:t> </w:t>
      </w:r>
      <w:r>
        <w:rPr>
          <w:color w:val="231F20"/>
        </w:rPr>
        <w:t>asi- milación</w:t>
      </w:r>
      <w:r>
        <w:rPr>
          <w:color w:val="231F20"/>
          <w:spacing w:val="-8"/>
        </w:rPr>
        <w:t> </w:t>
      </w:r>
      <w:r>
        <w:rPr>
          <w:color w:val="231F20"/>
        </w:rPr>
        <w:t>neta</w:t>
      </w:r>
      <w:r>
        <w:rPr>
          <w:color w:val="231F20"/>
          <w:spacing w:val="-8"/>
        </w:rPr>
        <w:t> </w:t>
      </w:r>
      <w:r>
        <w:rPr>
          <w:color w:val="231F20"/>
          <w:spacing w:val="-4"/>
        </w:rPr>
        <w:t>(TAN)</w:t>
      </w:r>
      <w:r>
        <w:rPr>
          <w:color w:val="231F20"/>
          <w:spacing w:val="-7"/>
        </w:rPr>
        <w:t> </w:t>
      </w:r>
      <w:r>
        <w:rPr>
          <w:color w:val="231F20"/>
        </w:rPr>
        <w:t>y</w:t>
      </w:r>
      <w:r>
        <w:rPr>
          <w:color w:val="231F20"/>
          <w:spacing w:val="-7"/>
        </w:rPr>
        <w:t> </w:t>
      </w:r>
      <w:r>
        <w:rPr>
          <w:color w:val="231F20"/>
        </w:rPr>
        <w:t>el</w:t>
      </w:r>
      <w:r>
        <w:rPr>
          <w:color w:val="231F20"/>
          <w:spacing w:val="-8"/>
        </w:rPr>
        <w:t> </w:t>
      </w:r>
      <w:r>
        <w:rPr>
          <w:color w:val="231F20"/>
        </w:rPr>
        <w:t>índice</w:t>
      </w:r>
      <w:r>
        <w:rPr>
          <w:color w:val="231F20"/>
          <w:spacing w:val="-8"/>
        </w:rPr>
        <w:t> </w:t>
      </w:r>
      <w:r>
        <w:rPr>
          <w:color w:val="231F20"/>
        </w:rPr>
        <w:t>de</w:t>
      </w:r>
      <w:r>
        <w:rPr>
          <w:color w:val="231F20"/>
          <w:spacing w:val="-7"/>
        </w:rPr>
        <w:t> </w:t>
      </w:r>
      <w:r>
        <w:rPr>
          <w:color w:val="231F20"/>
        </w:rPr>
        <w:t>cosecha</w:t>
      </w:r>
      <w:r>
        <w:rPr>
          <w:color w:val="231F20"/>
          <w:spacing w:val="-8"/>
        </w:rPr>
        <w:t> </w:t>
      </w:r>
      <w:r>
        <w:rPr>
          <w:color w:val="231F20"/>
        </w:rPr>
        <w:t>(IC).</w:t>
      </w:r>
      <w:r>
        <w:rPr>
          <w:color w:val="231F20"/>
          <w:spacing w:val="-7"/>
        </w:rPr>
        <w:t> </w:t>
      </w:r>
      <w:r>
        <w:rPr>
          <w:color w:val="231F20"/>
        </w:rPr>
        <w:t>La</w:t>
      </w:r>
      <w:r>
        <w:rPr>
          <w:color w:val="231F20"/>
          <w:spacing w:val="-11"/>
        </w:rPr>
        <w:t> </w:t>
      </w:r>
      <w:r>
        <w:rPr>
          <w:color w:val="231F20"/>
          <w:spacing w:val="-6"/>
        </w:rPr>
        <w:t>TAC</w:t>
      </w:r>
      <w:r>
        <w:rPr>
          <w:color w:val="231F20"/>
          <w:spacing w:val="-7"/>
        </w:rPr>
        <w:t> </w:t>
      </w:r>
      <w:r>
        <w:rPr>
          <w:color w:val="231F20"/>
        </w:rPr>
        <w:t>se</w:t>
      </w:r>
      <w:r>
        <w:rPr>
          <w:color w:val="231F20"/>
          <w:spacing w:val="-7"/>
        </w:rPr>
        <w:t> </w:t>
      </w:r>
      <w:r>
        <w:rPr>
          <w:color w:val="231F20"/>
        </w:rPr>
        <w:t>expresó</w:t>
      </w:r>
      <w:r>
        <w:rPr>
          <w:color w:val="231F20"/>
          <w:spacing w:val="-7"/>
        </w:rPr>
        <w:t> </w:t>
      </w:r>
      <w:r>
        <w:rPr>
          <w:color w:val="231F20"/>
        </w:rPr>
        <w:t>en</w:t>
      </w:r>
      <w:r>
        <w:rPr>
          <w:color w:val="231F20"/>
          <w:spacing w:val="-7"/>
        </w:rPr>
        <w:t> </w:t>
      </w:r>
      <w:r>
        <w:rPr>
          <w:color w:val="231F20"/>
        </w:rPr>
        <w:t>g•d</w:t>
      </w:r>
      <w:r>
        <w:rPr>
          <w:color w:val="231F20"/>
          <w:position w:val="7"/>
          <w:sz w:val="12"/>
        </w:rPr>
        <w:t>-1</w:t>
      </w:r>
      <w:r>
        <w:rPr>
          <w:color w:val="231F20"/>
          <w:spacing w:val="15"/>
          <w:position w:val="7"/>
          <w:sz w:val="12"/>
        </w:rPr>
        <w:t> </w:t>
      </w:r>
      <w:r>
        <w:rPr>
          <w:color w:val="231F20"/>
        </w:rPr>
        <w:t>y</w:t>
      </w:r>
      <w:r>
        <w:rPr>
          <w:color w:val="231F20"/>
          <w:spacing w:val="-7"/>
        </w:rPr>
        <w:t> </w:t>
      </w:r>
      <w:r>
        <w:rPr>
          <w:color w:val="231F20"/>
        </w:rPr>
        <w:t>se</w:t>
      </w:r>
      <w:r>
        <w:rPr>
          <w:color w:val="231F20"/>
          <w:spacing w:val="-7"/>
        </w:rPr>
        <w:t> </w:t>
      </w:r>
      <w:r>
        <w:rPr>
          <w:color w:val="231F20"/>
        </w:rPr>
        <w:t>calculó</w:t>
      </w:r>
      <w:r>
        <w:rPr>
          <w:color w:val="231F20"/>
          <w:spacing w:val="-8"/>
        </w:rPr>
        <w:t> </w:t>
      </w:r>
      <w:r>
        <w:rPr>
          <w:color w:val="231F20"/>
        </w:rPr>
        <w:t>mediante</w:t>
      </w:r>
      <w:r>
        <w:rPr>
          <w:color w:val="231F20"/>
          <w:spacing w:val="-8"/>
        </w:rPr>
        <w:t> </w:t>
      </w:r>
      <w:r>
        <w:rPr>
          <w:color w:val="231F20"/>
        </w:rPr>
        <w:t>la</w:t>
      </w:r>
    </w:p>
    <w:p>
      <w:pPr>
        <w:spacing w:after="0" w:line="249" w:lineRule="auto"/>
        <w:jc w:val="both"/>
        <w:sectPr>
          <w:pgSz w:w="10920" w:h="13080"/>
          <w:pgMar w:header="0" w:footer="965" w:top="420" w:bottom="1220" w:left="0" w:right="0"/>
        </w:sectPr>
      </w:pPr>
    </w:p>
    <w:p>
      <w:pPr>
        <w:pStyle w:val="BodyText"/>
        <w:spacing w:line="241" w:lineRule="exact"/>
        <w:ind w:left="1270"/>
      </w:pPr>
      <w:r>
        <w:rPr/>
        <w:pict>
          <v:shape style="position:absolute;margin-left:141.894897pt;margin-top:8.334326pt;width:3.1pt;height:6.15pt;mso-position-horizontal-relative:page;mso-position-vertical-relative:paragraph;z-index:-207808" type="#_x0000_t202" filled="false" stroked="false">
            <v:textbox inset="0,0,0,0">
              <w:txbxContent>
                <w:p>
                  <w:pPr>
                    <w:spacing w:line="122" w:lineRule="exact" w:before="0"/>
                    <w:ind w:left="0" w:right="0" w:firstLine="0"/>
                    <w:jc w:val="left"/>
                    <w:rPr>
                      <w:sz w:val="12"/>
                    </w:rPr>
                  </w:pPr>
                  <w:r>
                    <w:rPr>
                      <w:color w:val="231F20"/>
                      <w:w w:val="102"/>
                      <w:sz w:val="12"/>
                    </w:rPr>
                    <w:t>2</w:t>
                  </w:r>
                </w:p>
              </w:txbxContent>
            </v:textbox>
            <w10:wrap type="none"/>
          </v:shape>
        </w:pict>
      </w:r>
      <w:r>
        <w:rPr>
          <w:color w:val="231F20"/>
        </w:rPr>
        <w:t>fórmula: TAC = (P</w:t>
      </w:r>
    </w:p>
    <w:p>
      <w:pPr>
        <w:pStyle w:val="BodyText"/>
        <w:spacing w:line="241" w:lineRule="exact"/>
        <w:ind w:left="6"/>
      </w:pPr>
      <w:r>
        <w:rPr/>
        <w:br w:type="column"/>
      </w:r>
      <w:r>
        <w:rPr>
          <w:color w:val="231F20"/>
        </w:rPr>
        <w:t>– P )/(t</w:t>
      </w:r>
    </w:p>
    <w:p>
      <w:pPr>
        <w:pStyle w:val="ListParagraph"/>
        <w:numPr>
          <w:ilvl w:val="0"/>
          <w:numId w:val="10"/>
        </w:numPr>
        <w:tabs>
          <w:tab w:pos="159" w:val="left" w:leader="none"/>
        </w:tabs>
        <w:spacing w:line="241" w:lineRule="exact" w:before="0" w:after="0"/>
        <w:ind w:left="158" w:right="0" w:hanging="152"/>
        <w:jc w:val="left"/>
        <w:rPr>
          <w:sz w:val="21"/>
        </w:rPr>
      </w:pPr>
      <w:r>
        <w:rPr>
          <w:color w:val="231F20"/>
          <w:sz w:val="21"/>
        </w:rPr>
        <w:br w:type="column"/>
        <w:t>t</w:t>
      </w:r>
      <w:r>
        <w:rPr>
          <w:color w:val="231F20"/>
          <w:spacing w:val="7"/>
          <w:sz w:val="21"/>
        </w:rPr>
        <w:t> </w:t>
      </w:r>
      <w:r>
        <w:rPr>
          <w:color w:val="231F20"/>
          <w:sz w:val="21"/>
        </w:rPr>
        <w:t>),</w:t>
      </w:r>
      <w:r>
        <w:rPr>
          <w:color w:val="231F20"/>
          <w:spacing w:val="-7"/>
          <w:sz w:val="21"/>
        </w:rPr>
        <w:t> </w:t>
      </w:r>
      <w:r>
        <w:rPr>
          <w:color w:val="231F20"/>
          <w:sz w:val="21"/>
        </w:rPr>
        <w:t>donde</w:t>
      </w:r>
      <w:r>
        <w:rPr>
          <w:color w:val="231F20"/>
          <w:spacing w:val="-7"/>
          <w:sz w:val="21"/>
        </w:rPr>
        <w:t> </w:t>
      </w:r>
      <w:r>
        <w:rPr>
          <w:color w:val="231F20"/>
          <w:sz w:val="21"/>
        </w:rPr>
        <w:t>P1</w:t>
      </w:r>
      <w:r>
        <w:rPr>
          <w:color w:val="231F20"/>
          <w:spacing w:val="-7"/>
          <w:sz w:val="21"/>
        </w:rPr>
        <w:t> </w:t>
      </w:r>
      <w:r>
        <w:rPr>
          <w:color w:val="231F20"/>
          <w:sz w:val="21"/>
        </w:rPr>
        <w:t>y</w:t>
      </w:r>
      <w:r>
        <w:rPr>
          <w:color w:val="231F20"/>
          <w:spacing w:val="-7"/>
          <w:sz w:val="21"/>
        </w:rPr>
        <w:t> </w:t>
      </w:r>
      <w:r>
        <w:rPr>
          <w:color w:val="231F20"/>
          <w:sz w:val="21"/>
        </w:rPr>
        <w:t>P2</w:t>
      </w:r>
      <w:r>
        <w:rPr>
          <w:color w:val="231F20"/>
          <w:spacing w:val="-7"/>
          <w:sz w:val="21"/>
        </w:rPr>
        <w:t> </w:t>
      </w:r>
      <w:r>
        <w:rPr>
          <w:color w:val="231F20"/>
          <w:sz w:val="21"/>
        </w:rPr>
        <w:t>son</w:t>
      </w:r>
      <w:r>
        <w:rPr>
          <w:color w:val="231F20"/>
          <w:spacing w:val="-7"/>
          <w:sz w:val="21"/>
        </w:rPr>
        <w:t> </w:t>
      </w:r>
      <w:r>
        <w:rPr>
          <w:color w:val="231F20"/>
          <w:sz w:val="21"/>
        </w:rPr>
        <w:t>los</w:t>
      </w:r>
      <w:r>
        <w:rPr>
          <w:color w:val="231F20"/>
          <w:spacing w:val="-7"/>
          <w:sz w:val="21"/>
        </w:rPr>
        <w:t> </w:t>
      </w:r>
      <w:r>
        <w:rPr>
          <w:color w:val="231F20"/>
          <w:sz w:val="21"/>
        </w:rPr>
        <w:t>pesos</w:t>
      </w:r>
      <w:r>
        <w:rPr>
          <w:color w:val="231F20"/>
          <w:spacing w:val="-7"/>
          <w:sz w:val="21"/>
        </w:rPr>
        <w:t> </w:t>
      </w:r>
      <w:r>
        <w:rPr>
          <w:color w:val="231F20"/>
          <w:sz w:val="21"/>
        </w:rPr>
        <w:t>en</w:t>
      </w:r>
      <w:r>
        <w:rPr>
          <w:color w:val="231F20"/>
          <w:spacing w:val="-7"/>
          <w:sz w:val="21"/>
        </w:rPr>
        <w:t> </w:t>
      </w:r>
      <w:r>
        <w:rPr>
          <w:color w:val="231F20"/>
          <w:sz w:val="21"/>
        </w:rPr>
        <w:t>los</w:t>
      </w:r>
      <w:r>
        <w:rPr>
          <w:color w:val="231F20"/>
          <w:spacing w:val="-7"/>
          <w:sz w:val="21"/>
        </w:rPr>
        <w:t> </w:t>
      </w:r>
      <w:r>
        <w:rPr>
          <w:color w:val="231F20"/>
          <w:sz w:val="21"/>
        </w:rPr>
        <w:t>tiempos</w:t>
      </w:r>
      <w:r>
        <w:rPr>
          <w:color w:val="231F20"/>
          <w:spacing w:val="-8"/>
          <w:sz w:val="21"/>
        </w:rPr>
        <w:t> </w:t>
      </w:r>
      <w:r>
        <w:rPr>
          <w:color w:val="231F20"/>
          <w:sz w:val="21"/>
        </w:rPr>
        <w:t>1</w:t>
      </w:r>
      <w:r>
        <w:rPr>
          <w:color w:val="231F20"/>
          <w:spacing w:val="-7"/>
          <w:sz w:val="21"/>
        </w:rPr>
        <w:t> </w:t>
      </w:r>
      <w:r>
        <w:rPr>
          <w:color w:val="231F20"/>
          <w:sz w:val="21"/>
        </w:rPr>
        <w:t>y</w:t>
      </w:r>
      <w:r>
        <w:rPr>
          <w:color w:val="231F20"/>
          <w:spacing w:val="-7"/>
          <w:sz w:val="21"/>
        </w:rPr>
        <w:t> </w:t>
      </w:r>
      <w:r>
        <w:rPr>
          <w:color w:val="231F20"/>
          <w:sz w:val="21"/>
        </w:rPr>
        <w:t>2,</w:t>
      </w:r>
      <w:r>
        <w:rPr>
          <w:color w:val="231F20"/>
          <w:spacing w:val="-7"/>
          <w:sz w:val="21"/>
        </w:rPr>
        <w:t> </w:t>
      </w:r>
      <w:r>
        <w:rPr>
          <w:color w:val="231F20"/>
          <w:sz w:val="21"/>
        </w:rPr>
        <w:t>respectivamente;</w:t>
      </w:r>
    </w:p>
    <w:p>
      <w:pPr>
        <w:spacing w:after="0" w:line="241" w:lineRule="exact"/>
        <w:jc w:val="left"/>
        <w:rPr>
          <w:sz w:val="21"/>
        </w:rPr>
        <w:sectPr>
          <w:type w:val="continuous"/>
          <w:pgSz w:w="10920" w:h="13080"/>
          <w:pgMar w:top="0" w:bottom="0" w:left="0" w:right="0"/>
          <w:cols w:num="3" w:equalWidth="0">
            <w:col w:w="2900" w:space="40"/>
            <w:col w:w="655" w:space="40"/>
            <w:col w:w="7285"/>
          </w:cols>
        </w:sectPr>
      </w:pPr>
    </w:p>
    <w:p>
      <w:pPr>
        <w:pStyle w:val="BodyText"/>
        <w:spacing w:before="8"/>
        <w:ind w:left="1270"/>
      </w:pPr>
      <w:r>
        <w:rPr/>
        <w:pict>
          <v:shape style="position:absolute;margin-left:160.707108pt;margin-top:-3.721578pt;width:3.1pt;height:6.15pt;mso-position-horizontal-relative:page;mso-position-vertical-relative:paragraph;z-index:-207976" type="#_x0000_t202" filled="false" stroked="false">
            <v:textbox inset="0,0,0,0">
              <w:txbxContent>
                <w:p>
                  <w:pPr>
                    <w:spacing w:line="122" w:lineRule="exact" w:before="0"/>
                    <w:ind w:left="0" w:right="0" w:firstLine="0"/>
                    <w:jc w:val="left"/>
                    <w:rPr>
                      <w:sz w:val="12"/>
                    </w:rPr>
                  </w:pPr>
                  <w:r>
                    <w:rPr>
                      <w:color w:val="231F20"/>
                      <w:w w:val="102"/>
                      <w:sz w:val="12"/>
                    </w:rPr>
                    <w:t>1</w:t>
                  </w:r>
                </w:p>
              </w:txbxContent>
            </v:textbox>
            <w10:wrap type="none"/>
          </v:shape>
        </w:pict>
      </w:r>
      <w:r>
        <w:rPr/>
        <w:pict>
          <v:shape style="position:absolute;margin-left:192.485199pt;margin-top:-3.721578pt;width:3.1pt;height:6.15pt;mso-position-horizontal-relative:page;mso-position-vertical-relative:paragraph;z-index:-207952" type="#_x0000_t202" filled="false" stroked="false">
            <v:textbox inset="0,0,0,0">
              <w:txbxContent>
                <w:p>
                  <w:pPr>
                    <w:spacing w:line="122" w:lineRule="exact" w:before="0"/>
                    <w:ind w:left="0" w:right="0" w:firstLine="0"/>
                    <w:jc w:val="left"/>
                    <w:rPr>
                      <w:sz w:val="12"/>
                    </w:rPr>
                  </w:pPr>
                  <w:r>
                    <w:rPr>
                      <w:color w:val="231F20"/>
                      <w:w w:val="102"/>
                      <w:sz w:val="12"/>
                    </w:rPr>
                    <w:t>1</w:t>
                  </w:r>
                </w:p>
              </w:txbxContent>
            </v:textbox>
            <w10:wrap type="none"/>
          </v:shape>
        </w:pict>
      </w:r>
      <w:r>
        <w:rPr/>
        <w:pict>
          <v:shape style="position:absolute;margin-left:366.248596pt;margin-top:8.778422pt;width:3.1pt;height:6.15pt;mso-position-horizontal-relative:page;mso-position-vertical-relative:paragraph;z-index:-207928" type="#_x0000_t202" filled="false" stroked="false">
            <v:textbox inset="0,0,0,0">
              <w:txbxContent>
                <w:p>
                  <w:pPr>
                    <w:spacing w:line="122" w:lineRule="exact" w:before="0"/>
                    <w:ind w:left="0" w:right="0" w:firstLine="0"/>
                    <w:jc w:val="left"/>
                    <w:rPr>
                      <w:sz w:val="12"/>
                    </w:rPr>
                  </w:pPr>
                  <w:r>
                    <w:rPr>
                      <w:color w:val="231F20"/>
                      <w:w w:val="102"/>
                      <w:sz w:val="12"/>
                    </w:rPr>
                    <w:t>2</w:t>
                  </w:r>
                </w:p>
              </w:txbxContent>
            </v:textbox>
            <w10:wrap type="none"/>
          </v:shape>
        </w:pict>
      </w:r>
      <w:r>
        <w:rPr/>
        <w:pict>
          <v:shape style="position:absolute;margin-left:396.234985pt;margin-top:8.778422pt;width:3.1pt;height:6.15pt;mso-position-horizontal-relative:page;mso-position-vertical-relative:paragraph;z-index:-207904" type="#_x0000_t202" filled="false" stroked="false">
            <v:textbox inset="0,0,0,0">
              <w:txbxContent>
                <w:p>
                  <w:pPr>
                    <w:spacing w:line="122" w:lineRule="exact" w:before="0"/>
                    <w:ind w:left="0" w:right="0" w:firstLine="0"/>
                    <w:jc w:val="left"/>
                    <w:rPr>
                      <w:sz w:val="12"/>
                    </w:rPr>
                  </w:pPr>
                  <w:r>
                    <w:rPr>
                      <w:color w:val="231F20"/>
                      <w:w w:val="102"/>
                      <w:sz w:val="12"/>
                    </w:rPr>
                    <w:t>1</w:t>
                  </w:r>
                </w:p>
              </w:txbxContent>
            </v:textbox>
            <w10:wrap type="none"/>
          </v:shape>
        </w:pict>
      </w:r>
      <w:r>
        <w:rPr/>
        <w:pict>
          <v:shape style="position:absolute;margin-left:428.463898pt;margin-top:8.778422pt;width:3.1pt;height:6.15pt;mso-position-horizontal-relative:page;mso-position-vertical-relative:paragraph;z-index:-207880" type="#_x0000_t202" filled="false" stroked="false">
            <v:textbox inset="0,0,0,0">
              <w:txbxContent>
                <w:p>
                  <w:pPr>
                    <w:spacing w:line="122" w:lineRule="exact" w:before="0"/>
                    <w:ind w:left="0" w:right="0" w:firstLine="0"/>
                    <w:jc w:val="left"/>
                    <w:rPr>
                      <w:sz w:val="12"/>
                    </w:rPr>
                  </w:pPr>
                  <w:r>
                    <w:rPr>
                      <w:color w:val="231F20"/>
                      <w:w w:val="102"/>
                      <w:sz w:val="12"/>
                    </w:rPr>
                    <w:t>1</w:t>
                  </w:r>
                </w:p>
              </w:txbxContent>
            </v:textbox>
            <w10:wrap type="none"/>
          </v:shape>
        </w:pict>
      </w:r>
      <w:r>
        <w:rPr/>
        <w:pict>
          <v:shape style="position:absolute;margin-left:176.595398pt;margin-top:-3.721578pt;width:3.1pt;height:6.15pt;mso-position-horizontal-relative:page;mso-position-vertical-relative:paragraph;z-index:-207784" type="#_x0000_t202" filled="false" stroked="false">
            <v:textbox inset="0,0,0,0">
              <w:txbxContent>
                <w:p>
                  <w:pPr>
                    <w:spacing w:line="122" w:lineRule="exact" w:before="0"/>
                    <w:ind w:left="0" w:right="0" w:firstLine="0"/>
                    <w:jc w:val="left"/>
                    <w:rPr>
                      <w:sz w:val="12"/>
                    </w:rPr>
                  </w:pPr>
                  <w:r>
                    <w:rPr>
                      <w:color w:val="231F20"/>
                      <w:w w:val="102"/>
                      <w:sz w:val="12"/>
                    </w:rPr>
                    <w:t>2</w:t>
                  </w:r>
                </w:p>
              </w:txbxContent>
            </v:textbox>
            <w10:wrap type="none"/>
          </v:shape>
        </w:pict>
      </w:r>
      <w:r>
        <w:rPr/>
        <w:pict>
          <v:shape style="position:absolute;margin-left:412.123413pt;margin-top:8.778422pt;width:3.1pt;height:6.15pt;mso-position-horizontal-relative:page;mso-position-vertical-relative:paragraph;z-index:-207760" type="#_x0000_t202" filled="false" stroked="false">
            <v:textbox inset="0,0,0,0">
              <w:txbxContent>
                <w:p>
                  <w:pPr>
                    <w:spacing w:line="122" w:lineRule="exact" w:before="0"/>
                    <w:ind w:left="0" w:right="0" w:firstLine="0"/>
                    <w:jc w:val="left"/>
                    <w:rPr>
                      <w:sz w:val="12"/>
                    </w:rPr>
                  </w:pPr>
                  <w:r>
                    <w:rPr>
                      <w:color w:val="231F20"/>
                      <w:w w:val="102"/>
                      <w:sz w:val="12"/>
                    </w:rPr>
                    <w:t>2</w:t>
                  </w:r>
                </w:p>
              </w:txbxContent>
            </v:textbox>
            <w10:wrap type="none"/>
          </v:shape>
        </w:pict>
      </w:r>
      <w:r>
        <w:rPr>
          <w:color w:val="231F20"/>
        </w:rPr>
        <w:t>la TRC se expresó en g•g•día</w:t>
      </w:r>
      <w:r>
        <w:rPr>
          <w:color w:val="231F20"/>
          <w:position w:val="7"/>
          <w:sz w:val="12"/>
        </w:rPr>
        <w:t>-1</w:t>
      </w:r>
      <w:r>
        <w:rPr>
          <w:color w:val="231F20"/>
        </w:rPr>
        <w:t>, y se calculó con la fórmula: TRC = (ln P</w:t>
      </w:r>
    </w:p>
    <w:p>
      <w:pPr>
        <w:pStyle w:val="ListParagraph"/>
        <w:numPr>
          <w:ilvl w:val="0"/>
          <w:numId w:val="10"/>
        </w:numPr>
        <w:tabs>
          <w:tab w:pos="168" w:val="left" w:leader="none"/>
        </w:tabs>
        <w:spacing w:line="240" w:lineRule="auto" w:before="8" w:after="0"/>
        <w:ind w:left="167" w:right="0" w:hanging="156"/>
        <w:jc w:val="left"/>
        <w:rPr>
          <w:sz w:val="21"/>
        </w:rPr>
      </w:pPr>
      <w:r>
        <w:rPr>
          <w:color w:val="231F20"/>
          <w:sz w:val="21"/>
        </w:rPr>
        <w:br w:type="column"/>
        <w:t>ln P</w:t>
      </w:r>
      <w:r>
        <w:rPr>
          <w:color w:val="231F20"/>
          <w:spacing w:val="6"/>
          <w:sz w:val="21"/>
        </w:rPr>
        <w:t> </w:t>
      </w:r>
      <w:r>
        <w:rPr>
          <w:color w:val="231F20"/>
          <w:sz w:val="21"/>
        </w:rPr>
        <w:t>)/(t</w:t>
      </w:r>
    </w:p>
    <w:p>
      <w:pPr>
        <w:pStyle w:val="ListParagraph"/>
        <w:numPr>
          <w:ilvl w:val="0"/>
          <w:numId w:val="10"/>
        </w:numPr>
        <w:tabs>
          <w:tab w:pos="168" w:val="left" w:leader="none"/>
        </w:tabs>
        <w:spacing w:line="240" w:lineRule="auto" w:before="8" w:after="0"/>
        <w:ind w:left="167" w:right="0" w:hanging="156"/>
        <w:jc w:val="left"/>
        <w:rPr>
          <w:sz w:val="21"/>
        </w:rPr>
      </w:pPr>
      <w:r>
        <w:rPr>
          <w:color w:val="231F20"/>
          <w:sz w:val="21"/>
        </w:rPr>
        <w:br w:type="column"/>
        <w:t>t ); la </w:t>
      </w:r>
      <w:r>
        <w:rPr>
          <w:color w:val="231F20"/>
          <w:spacing w:val="-6"/>
          <w:sz w:val="21"/>
        </w:rPr>
        <w:t>TAN</w:t>
      </w:r>
      <w:r>
        <w:rPr>
          <w:color w:val="231F20"/>
          <w:spacing w:val="-4"/>
          <w:sz w:val="21"/>
        </w:rPr>
        <w:t> </w:t>
      </w:r>
      <w:r>
        <w:rPr>
          <w:color w:val="231F20"/>
          <w:sz w:val="21"/>
        </w:rPr>
        <w:t>se</w:t>
      </w:r>
    </w:p>
    <w:p>
      <w:pPr>
        <w:spacing w:after="0" w:line="240" w:lineRule="auto"/>
        <w:jc w:val="left"/>
        <w:rPr>
          <w:sz w:val="21"/>
        </w:rPr>
        <w:sectPr>
          <w:type w:val="continuous"/>
          <w:pgSz w:w="10920" w:h="13080"/>
          <w:pgMar w:top="0" w:bottom="0" w:left="0" w:right="0"/>
          <w:cols w:num="3" w:equalWidth="0">
            <w:col w:w="7387" w:space="40"/>
            <w:col w:w="878" w:space="40"/>
            <w:col w:w="2575"/>
          </w:cols>
        </w:sectPr>
      </w:pPr>
    </w:p>
    <w:p>
      <w:pPr>
        <w:pStyle w:val="BodyText"/>
        <w:spacing w:line="168" w:lineRule="exact" w:before="8"/>
        <w:ind w:left="1270"/>
      </w:pPr>
      <w:r>
        <w:rPr>
          <w:color w:val="231F20"/>
        </w:rPr>
        <w:t>expresó en g•m</w:t>
      </w:r>
      <w:r>
        <w:rPr>
          <w:color w:val="231F20"/>
          <w:position w:val="7"/>
          <w:sz w:val="12"/>
        </w:rPr>
        <w:t>2</w:t>
      </w:r>
      <w:r>
        <w:rPr>
          <w:color w:val="231F20"/>
        </w:rPr>
        <w:t>•día</w:t>
      </w:r>
      <w:r>
        <w:rPr>
          <w:color w:val="231F20"/>
          <w:position w:val="7"/>
          <w:sz w:val="12"/>
        </w:rPr>
        <w:t>-1</w:t>
      </w:r>
      <w:r>
        <w:rPr>
          <w:color w:val="231F20"/>
        </w:rPr>
        <w:t>, y se calculó mediante la fórmula: </w:t>
      </w:r>
      <w:r>
        <w:rPr>
          <w:color w:val="231F20"/>
          <w:spacing w:val="-6"/>
        </w:rPr>
        <w:t>TAN </w:t>
      </w:r>
      <w:r>
        <w:rPr>
          <w:color w:val="231F20"/>
        </w:rPr>
        <w:t>=  (P</w:t>
      </w:r>
    </w:p>
    <w:p>
      <w:pPr>
        <w:pStyle w:val="ListParagraph"/>
        <w:numPr>
          <w:ilvl w:val="1"/>
          <w:numId w:val="10"/>
        </w:numPr>
        <w:tabs>
          <w:tab w:pos="244" w:val="left" w:leader="none"/>
        </w:tabs>
        <w:spacing w:line="167" w:lineRule="exact" w:before="8" w:after="0"/>
        <w:ind w:left="243" w:right="0" w:hanging="164"/>
        <w:jc w:val="left"/>
        <w:rPr>
          <w:sz w:val="21"/>
        </w:rPr>
      </w:pPr>
      <w:r>
        <w:rPr>
          <w:color w:val="231F20"/>
          <w:sz w:val="21"/>
        </w:rPr>
        <w:br w:type="column"/>
        <w:t>P ) (ln</w:t>
      </w:r>
      <w:r>
        <w:rPr>
          <w:color w:val="231F20"/>
          <w:spacing w:val="8"/>
          <w:sz w:val="21"/>
        </w:rPr>
        <w:t> </w:t>
      </w:r>
      <w:r>
        <w:rPr>
          <w:color w:val="231F20"/>
          <w:sz w:val="21"/>
        </w:rPr>
        <w:t>A</w:t>
      </w:r>
    </w:p>
    <w:p>
      <w:pPr>
        <w:pStyle w:val="ListParagraph"/>
        <w:numPr>
          <w:ilvl w:val="1"/>
          <w:numId w:val="10"/>
        </w:numPr>
        <w:tabs>
          <w:tab w:pos="244" w:val="left" w:leader="none"/>
        </w:tabs>
        <w:spacing w:line="167" w:lineRule="exact" w:before="8" w:after="0"/>
        <w:ind w:left="243" w:right="0" w:hanging="164"/>
        <w:jc w:val="left"/>
        <w:rPr>
          <w:sz w:val="21"/>
        </w:rPr>
      </w:pPr>
      <w:r>
        <w:rPr>
          <w:color w:val="231F20"/>
          <w:sz w:val="21"/>
        </w:rPr>
        <w:br w:type="column"/>
        <w:t>ln A ) /</w:t>
      </w:r>
      <w:r>
        <w:rPr>
          <w:color w:val="231F20"/>
          <w:spacing w:val="14"/>
          <w:sz w:val="21"/>
        </w:rPr>
        <w:t> </w:t>
      </w:r>
      <w:r>
        <w:rPr>
          <w:color w:val="231F20"/>
          <w:sz w:val="21"/>
        </w:rPr>
        <w:t>(A</w:t>
      </w:r>
    </w:p>
    <w:p>
      <w:pPr>
        <w:pStyle w:val="ListParagraph"/>
        <w:numPr>
          <w:ilvl w:val="1"/>
          <w:numId w:val="10"/>
        </w:numPr>
        <w:tabs>
          <w:tab w:pos="232" w:val="left" w:leader="none"/>
        </w:tabs>
        <w:spacing w:line="167" w:lineRule="exact" w:before="8" w:after="0"/>
        <w:ind w:left="231" w:right="0" w:hanging="152"/>
        <w:jc w:val="left"/>
        <w:rPr>
          <w:sz w:val="21"/>
        </w:rPr>
      </w:pPr>
      <w:r>
        <w:rPr>
          <w:color w:val="231F20"/>
          <w:sz w:val="21"/>
        </w:rPr>
        <w:br w:type="column"/>
        <w:t>A</w:t>
      </w:r>
      <w:r>
        <w:rPr>
          <w:color w:val="231F20"/>
          <w:spacing w:val="8"/>
          <w:sz w:val="21"/>
        </w:rPr>
        <w:t> </w:t>
      </w:r>
      <w:r>
        <w:rPr>
          <w:color w:val="231F20"/>
          <w:sz w:val="21"/>
        </w:rPr>
        <w:t>)</w:t>
      </w:r>
    </w:p>
    <w:p>
      <w:pPr>
        <w:spacing w:after="0" w:line="167" w:lineRule="exact"/>
        <w:jc w:val="left"/>
        <w:rPr>
          <w:sz w:val="21"/>
        </w:rPr>
        <w:sectPr>
          <w:type w:val="continuous"/>
          <w:pgSz w:w="10920" w:h="13080"/>
          <w:pgMar w:top="0" w:bottom="0" w:left="0" w:right="0"/>
          <w:cols w:num="4" w:equalWidth="0">
            <w:col w:w="6901" w:space="40"/>
            <w:col w:w="982" w:space="40"/>
            <w:col w:w="1134" w:space="40"/>
            <w:col w:w="1783"/>
          </w:cols>
        </w:sectPr>
      </w:pPr>
    </w:p>
    <w:p>
      <w:pPr>
        <w:pStyle w:val="BodyText"/>
        <w:spacing w:before="82"/>
        <w:ind w:left="1270"/>
      </w:pPr>
      <w:r>
        <w:rPr/>
        <w:pict>
          <v:shape style="position:absolute;margin-left:86.411499pt;margin-top:12.478422pt;width:3.1pt;height:6.15pt;mso-position-horizontal-relative:page;mso-position-vertical-relative:paragraph;z-index:-207856" type="#_x0000_t202" filled="false" stroked="false">
            <v:textbox inset="0,0,0,0">
              <w:txbxContent>
                <w:p>
                  <w:pPr>
                    <w:spacing w:line="122" w:lineRule="exact" w:before="0"/>
                    <w:ind w:left="0" w:right="0" w:firstLine="0"/>
                    <w:jc w:val="left"/>
                    <w:rPr>
                      <w:sz w:val="12"/>
                    </w:rPr>
                  </w:pPr>
                  <w:r>
                    <w:rPr>
                      <w:color w:val="231F20"/>
                      <w:w w:val="102"/>
                      <w:sz w:val="12"/>
                    </w:rPr>
                    <w:t>1</w:t>
                  </w:r>
                </w:p>
              </w:txbxContent>
            </v:textbox>
            <w10:wrap type="none"/>
          </v:shape>
        </w:pict>
      </w:r>
      <w:r>
        <w:rPr/>
        <w:pict>
          <v:shape style="position:absolute;margin-left:69.933502pt;margin-top:12.478422pt;width:3.1pt;height:6.15pt;mso-position-horizontal-relative:page;mso-position-vertical-relative:paragraph;z-index:-207736" type="#_x0000_t202" filled="false" stroked="false">
            <v:textbox inset="0,0,0,0">
              <w:txbxContent>
                <w:p>
                  <w:pPr>
                    <w:spacing w:line="122" w:lineRule="exact" w:before="0"/>
                    <w:ind w:left="0" w:right="0" w:firstLine="0"/>
                    <w:jc w:val="left"/>
                    <w:rPr>
                      <w:sz w:val="12"/>
                    </w:rPr>
                  </w:pPr>
                  <w:r>
                    <w:rPr>
                      <w:color w:val="231F20"/>
                      <w:w w:val="102"/>
                      <w:sz w:val="12"/>
                    </w:rPr>
                    <w:t>2</w:t>
                  </w:r>
                </w:p>
              </w:txbxContent>
            </v:textbox>
            <w10:wrap type="none"/>
          </v:shape>
        </w:pict>
      </w:r>
      <w:r>
        <w:rPr/>
        <w:pict>
          <v:shape style="position:absolute;margin-left:136.424896pt;margin-top:12.478422pt;width:3.1pt;height:6.15pt;mso-position-horizontal-relative:page;mso-position-vertical-relative:paragraph;z-index:5104" type="#_x0000_t202" filled="false" stroked="false">
            <v:textbox inset="0,0,0,0">
              <w:txbxContent>
                <w:p>
                  <w:pPr>
                    <w:spacing w:line="122" w:lineRule="exact" w:before="0"/>
                    <w:ind w:left="0" w:right="0" w:firstLine="0"/>
                    <w:jc w:val="left"/>
                    <w:rPr>
                      <w:sz w:val="12"/>
                    </w:rPr>
                  </w:pPr>
                  <w:r>
                    <w:rPr>
                      <w:color w:val="231F20"/>
                      <w:w w:val="102"/>
                      <w:sz w:val="12"/>
                    </w:rPr>
                    <w:t>1</w:t>
                  </w:r>
                </w:p>
              </w:txbxContent>
            </v:textbox>
            <w10:wrap type="none"/>
          </v:shape>
        </w:pict>
      </w:r>
      <w:r>
        <w:rPr>
          <w:color w:val="231F20"/>
        </w:rPr>
        <w:t>(t  – t ), donde; A</w:t>
      </w:r>
    </w:p>
    <w:p>
      <w:pPr>
        <w:pStyle w:val="BodyText"/>
        <w:spacing w:before="82"/>
        <w:ind w:left="12" w:right="-11"/>
      </w:pPr>
      <w:r>
        <w:rPr/>
        <w:br w:type="column"/>
      </w:r>
      <w:r>
        <w:rPr>
          <w:color w:val="231F20"/>
        </w:rPr>
        <w:t>y A  son las áreas en los tiempos 1 y</w:t>
      </w:r>
      <w:r>
        <w:rPr>
          <w:color w:val="231F20"/>
          <w:spacing w:val="-11"/>
        </w:rPr>
        <w:t> </w:t>
      </w:r>
      <w:r>
        <w:rPr>
          <w:color w:val="231F20"/>
        </w:rPr>
        <w:t>2.</w:t>
      </w:r>
    </w:p>
    <w:p>
      <w:pPr>
        <w:tabs>
          <w:tab w:pos="1154" w:val="left" w:leader="none"/>
          <w:tab w:pos="1775" w:val="left" w:leader="none"/>
        </w:tabs>
        <w:spacing w:line="124" w:lineRule="exact" w:before="0"/>
        <w:ind w:left="754" w:right="0" w:firstLine="0"/>
        <w:jc w:val="left"/>
        <w:rPr>
          <w:sz w:val="12"/>
        </w:rPr>
      </w:pPr>
      <w:r>
        <w:rPr/>
        <w:br w:type="column"/>
      </w:r>
      <w:r>
        <w:rPr>
          <w:color w:val="231F20"/>
          <w:sz w:val="12"/>
        </w:rPr>
        <w:t>2</w:t>
        <w:tab/>
        <w:t>1</w:t>
        <w:tab/>
        <w:t>2</w:t>
      </w:r>
    </w:p>
    <w:p>
      <w:pPr>
        <w:tabs>
          <w:tab w:pos="1072" w:val="left" w:leader="none"/>
          <w:tab w:pos="1495" w:val="left" w:leader="none"/>
        </w:tabs>
        <w:spacing w:line="124" w:lineRule="exact" w:before="0"/>
        <w:ind w:left="544" w:right="0" w:firstLine="0"/>
        <w:jc w:val="left"/>
        <w:rPr>
          <w:sz w:val="12"/>
        </w:rPr>
      </w:pPr>
      <w:r>
        <w:rPr/>
        <w:br w:type="column"/>
      </w:r>
      <w:r>
        <w:rPr>
          <w:color w:val="231F20"/>
          <w:sz w:val="12"/>
        </w:rPr>
        <w:t>1</w:t>
        <w:tab/>
        <w:t>2</w:t>
        <w:tab/>
        <w:t>1</w:t>
      </w:r>
    </w:p>
    <w:p>
      <w:pPr>
        <w:spacing w:after="0" w:line="124" w:lineRule="exact"/>
        <w:jc w:val="left"/>
        <w:rPr>
          <w:sz w:val="12"/>
        </w:rPr>
        <w:sectPr>
          <w:type w:val="continuous"/>
          <w:pgSz w:w="10920" w:h="13080"/>
          <w:pgMar w:top="0" w:bottom="0" w:left="0" w:right="0"/>
          <w:cols w:num="4" w:equalWidth="0">
            <w:col w:w="2790" w:space="40"/>
            <w:col w:w="3277" w:space="40"/>
            <w:col w:w="1838" w:space="40"/>
            <w:col w:w="2895"/>
          </w:cols>
        </w:sectPr>
      </w:pPr>
    </w:p>
    <w:p>
      <w:pPr>
        <w:pStyle w:val="BodyText"/>
        <w:spacing w:before="1"/>
        <w:rPr>
          <w:sz w:val="16"/>
        </w:rPr>
      </w:pPr>
    </w:p>
    <w:p>
      <w:pPr>
        <w:pStyle w:val="BodyText"/>
        <w:spacing w:line="249" w:lineRule="auto" w:before="73"/>
        <w:ind w:left="1270" w:right="1267"/>
        <w:jc w:val="both"/>
      </w:pPr>
      <w:r>
        <w:rPr/>
        <w:pict>
          <v:shape style="position:absolute;margin-left:156.989105pt;margin-top:-12.977071pt;width:3.1pt;height:6.15pt;mso-position-horizontal-relative:page;mso-position-vertical-relative:paragraph;z-index:-207832" type="#_x0000_t202" filled="false" stroked="false">
            <v:textbox inset="0,0,0,0">
              <w:txbxContent>
                <w:p>
                  <w:pPr>
                    <w:spacing w:line="122" w:lineRule="exact" w:before="0"/>
                    <w:ind w:left="0" w:right="0" w:firstLine="0"/>
                    <w:jc w:val="left"/>
                    <w:rPr>
                      <w:sz w:val="12"/>
                    </w:rPr>
                  </w:pPr>
                  <w:r>
                    <w:rPr>
                      <w:color w:val="231F20"/>
                      <w:w w:val="102"/>
                      <w:sz w:val="12"/>
                    </w:rPr>
                    <w:t>2</w:t>
                  </w:r>
                </w:p>
              </w:txbxContent>
            </v:textbox>
            <w10:wrap type="none"/>
          </v:shape>
        </w:pict>
      </w:r>
      <w:r>
        <w:rPr>
          <w:color w:val="231F20"/>
        </w:rPr>
        <w:t>En la cosecha se determinó peso de fruto por corte (PFR, g) con base en todos los frutos por corte de cada unidad experimental pesados con una balanza granataria; número de frutos por corte (NFR) de un total de 17; largo y ancho de fruto (LFR, AFR, cm) de una muestra aleatoria de cinco frutos medidos con un vernier; días a floración masculina y femenina (DFM y DFF), registrados cuando existía</w:t>
      </w:r>
      <w:r>
        <w:rPr>
          <w:color w:val="231F20"/>
          <w:spacing w:val="-6"/>
        </w:rPr>
        <w:t> </w:t>
      </w:r>
      <w:r>
        <w:rPr>
          <w:color w:val="231F20"/>
        </w:rPr>
        <w:t>un</w:t>
      </w:r>
      <w:r>
        <w:rPr>
          <w:color w:val="231F20"/>
          <w:spacing w:val="-6"/>
        </w:rPr>
        <w:t> </w:t>
      </w:r>
      <w:r>
        <w:rPr>
          <w:color w:val="231F20"/>
        </w:rPr>
        <w:t>50</w:t>
      </w:r>
      <w:r>
        <w:rPr>
          <w:color w:val="231F20"/>
          <w:spacing w:val="-6"/>
        </w:rPr>
        <w:t> </w:t>
      </w:r>
      <w:r>
        <w:rPr>
          <w:color w:val="231F20"/>
        </w:rPr>
        <w:t>%</w:t>
      </w:r>
      <w:r>
        <w:rPr>
          <w:color w:val="231F20"/>
          <w:spacing w:val="-6"/>
        </w:rPr>
        <w:t> </w:t>
      </w:r>
      <w:r>
        <w:rPr>
          <w:color w:val="231F20"/>
        </w:rPr>
        <w:t>de</w:t>
      </w:r>
      <w:r>
        <w:rPr>
          <w:color w:val="231F20"/>
          <w:spacing w:val="-6"/>
        </w:rPr>
        <w:t> </w:t>
      </w:r>
      <w:r>
        <w:rPr>
          <w:color w:val="231F20"/>
        </w:rPr>
        <w:t>plantas</w:t>
      </w:r>
      <w:r>
        <w:rPr>
          <w:color w:val="231F20"/>
          <w:spacing w:val="-6"/>
        </w:rPr>
        <w:t> </w:t>
      </w:r>
      <w:r>
        <w:rPr>
          <w:color w:val="231F20"/>
        </w:rPr>
        <w:t>con</w:t>
      </w:r>
      <w:r>
        <w:rPr>
          <w:color w:val="231F20"/>
          <w:spacing w:val="-6"/>
        </w:rPr>
        <w:t> </w:t>
      </w:r>
      <w:r>
        <w:rPr>
          <w:color w:val="231F20"/>
        </w:rPr>
        <w:t>flores</w:t>
      </w:r>
      <w:r>
        <w:rPr>
          <w:color w:val="231F20"/>
          <w:spacing w:val="-6"/>
        </w:rPr>
        <w:t> </w:t>
      </w:r>
      <w:r>
        <w:rPr>
          <w:color w:val="231F20"/>
        </w:rPr>
        <w:t>abiertas;</w:t>
      </w:r>
      <w:r>
        <w:rPr>
          <w:color w:val="231F20"/>
          <w:spacing w:val="-6"/>
        </w:rPr>
        <w:t> </w:t>
      </w:r>
      <w:r>
        <w:rPr>
          <w:color w:val="231F20"/>
        </w:rPr>
        <w:t>rendimiento</w:t>
      </w:r>
      <w:r>
        <w:rPr>
          <w:color w:val="231F20"/>
          <w:spacing w:val="-6"/>
        </w:rPr>
        <w:t> </w:t>
      </w:r>
      <w:r>
        <w:rPr>
          <w:color w:val="231F20"/>
        </w:rPr>
        <w:t>por</w:t>
      </w:r>
      <w:r>
        <w:rPr>
          <w:color w:val="231F20"/>
          <w:spacing w:val="-6"/>
        </w:rPr>
        <w:t> </w:t>
      </w:r>
      <w:r>
        <w:rPr>
          <w:color w:val="231F20"/>
        </w:rPr>
        <w:t>planta</w:t>
      </w:r>
      <w:r>
        <w:rPr>
          <w:color w:val="231F20"/>
          <w:spacing w:val="-6"/>
        </w:rPr>
        <w:t> </w:t>
      </w:r>
      <w:r>
        <w:rPr>
          <w:color w:val="231F20"/>
        </w:rPr>
        <w:t>por</w:t>
      </w:r>
      <w:r>
        <w:rPr>
          <w:color w:val="231F20"/>
          <w:spacing w:val="-6"/>
        </w:rPr>
        <w:t> </w:t>
      </w:r>
      <w:r>
        <w:rPr>
          <w:color w:val="231F20"/>
        </w:rPr>
        <w:t>corte</w:t>
      </w:r>
      <w:r>
        <w:rPr>
          <w:color w:val="231F20"/>
          <w:spacing w:val="-6"/>
        </w:rPr>
        <w:t> </w:t>
      </w:r>
      <w:r>
        <w:rPr>
          <w:color w:val="231F20"/>
        </w:rPr>
        <w:t>(g•planta</w:t>
      </w:r>
      <w:r>
        <w:rPr>
          <w:color w:val="231F20"/>
          <w:position w:val="7"/>
          <w:sz w:val="12"/>
        </w:rPr>
        <w:t>-1</w:t>
      </w:r>
      <w:r>
        <w:rPr>
          <w:color w:val="231F20"/>
        </w:rPr>
        <w:t>)</w:t>
      </w:r>
      <w:r>
        <w:rPr>
          <w:color w:val="231F20"/>
          <w:spacing w:val="-6"/>
        </w:rPr>
        <w:t> </w:t>
      </w:r>
      <w:r>
        <w:rPr>
          <w:color w:val="231F20"/>
        </w:rPr>
        <w:t>se</w:t>
      </w:r>
      <w:r>
        <w:rPr>
          <w:color w:val="231F20"/>
          <w:spacing w:val="-6"/>
        </w:rPr>
        <w:t> </w:t>
      </w:r>
      <w:r>
        <w:rPr>
          <w:color w:val="231F20"/>
        </w:rPr>
        <w:t>obtuvo como</w:t>
      </w:r>
      <w:r>
        <w:rPr>
          <w:color w:val="231F20"/>
          <w:spacing w:val="-5"/>
        </w:rPr>
        <w:t> </w:t>
      </w:r>
      <w:r>
        <w:rPr>
          <w:color w:val="231F20"/>
        </w:rPr>
        <w:t>el</w:t>
      </w:r>
      <w:r>
        <w:rPr>
          <w:color w:val="231F20"/>
          <w:spacing w:val="-5"/>
        </w:rPr>
        <w:t> </w:t>
      </w:r>
      <w:r>
        <w:rPr>
          <w:color w:val="231F20"/>
        </w:rPr>
        <w:t>cociente</w:t>
      </w:r>
      <w:r>
        <w:rPr>
          <w:color w:val="231F20"/>
          <w:spacing w:val="-5"/>
        </w:rPr>
        <w:t> </w:t>
      </w:r>
      <w:r>
        <w:rPr>
          <w:color w:val="231F20"/>
        </w:rPr>
        <w:t>del</w:t>
      </w:r>
      <w:r>
        <w:rPr>
          <w:color w:val="231F20"/>
          <w:spacing w:val="-5"/>
        </w:rPr>
        <w:t> </w:t>
      </w:r>
      <w:r>
        <w:rPr>
          <w:color w:val="231F20"/>
        </w:rPr>
        <w:t>peso</w:t>
      </w:r>
      <w:r>
        <w:rPr>
          <w:color w:val="231F20"/>
          <w:spacing w:val="-5"/>
        </w:rPr>
        <w:t> </w:t>
      </w:r>
      <w:r>
        <w:rPr>
          <w:color w:val="231F20"/>
        </w:rPr>
        <w:t>de</w:t>
      </w:r>
      <w:r>
        <w:rPr>
          <w:color w:val="231F20"/>
          <w:spacing w:val="-5"/>
        </w:rPr>
        <w:t> </w:t>
      </w:r>
      <w:r>
        <w:rPr>
          <w:color w:val="231F20"/>
        </w:rPr>
        <w:t>frutos</w:t>
      </w:r>
      <w:r>
        <w:rPr>
          <w:color w:val="231F20"/>
          <w:spacing w:val="-5"/>
        </w:rPr>
        <w:t> </w:t>
      </w:r>
      <w:r>
        <w:rPr>
          <w:color w:val="231F20"/>
        </w:rPr>
        <w:t>por</w:t>
      </w:r>
      <w:r>
        <w:rPr>
          <w:color w:val="231F20"/>
          <w:spacing w:val="-5"/>
        </w:rPr>
        <w:t> </w:t>
      </w:r>
      <w:r>
        <w:rPr>
          <w:color w:val="231F20"/>
        </w:rPr>
        <w:t>corte</w:t>
      </w:r>
      <w:r>
        <w:rPr>
          <w:color w:val="231F20"/>
          <w:spacing w:val="-5"/>
        </w:rPr>
        <w:t> </w:t>
      </w:r>
      <w:r>
        <w:rPr>
          <w:color w:val="231F20"/>
        </w:rPr>
        <w:t>de</w:t>
      </w:r>
      <w:r>
        <w:rPr>
          <w:color w:val="231F20"/>
          <w:spacing w:val="-5"/>
        </w:rPr>
        <w:t> </w:t>
      </w:r>
      <w:r>
        <w:rPr>
          <w:color w:val="231F20"/>
        </w:rPr>
        <w:t>un</w:t>
      </w:r>
      <w:r>
        <w:rPr>
          <w:color w:val="231F20"/>
          <w:spacing w:val="-5"/>
        </w:rPr>
        <w:t> </w:t>
      </w:r>
      <w:r>
        <w:rPr>
          <w:color w:val="231F20"/>
        </w:rPr>
        <w:t>total</w:t>
      </w:r>
      <w:r>
        <w:rPr>
          <w:color w:val="231F20"/>
          <w:spacing w:val="-5"/>
        </w:rPr>
        <w:t> </w:t>
      </w:r>
      <w:r>
        <w:rPr>
          <w:color w:val="231F20"/>
        </w:rPr>
        <w:t>de</w:t>
      </w:r>
      <w:r>
        <w:rPr>
          <w:color w:val="231F20"/>
          <w:spacing w:val="-5"/>
        </w:rPr>
        <w:t> </w:t>
      </w:r>
      <w:r>
        <w:rPr>
          <w:color w:val="231F20"/>
        </w:rPr>
        <w:t>17</w:t>
      </w:r>
      <w:r>
        <w:rPr>
          <w:color w:val="231F20"/>
          <w:spacing w:val="-5"/>
        </w:rPr>
        <w:t> </w:t>
      </w:r>
      <w:r>
        <w:rPr>
          <w:color w:val="231F20"/>
        </w:rPr>
        <w:t>entre</w:t>
      </w:r>
      <w:r>
        <w:rPr>
          <w:color w:val="231F20"/>
          <w:spacing w:val="-5"/>
        </w:rPr>
        <w:t> </w:t>
      </w:r>
      <w:r>
        <w:rPr>
          <w:color w:val="231F20"/>
        </w:rPr>
        <w:t>el</w:t>
      </w:r>
      <w:r>
        <w:rPr>
          <w:color w:val="231F20"/>
          <w:spacing w:val="-5"/>
        </w:rPr>
        <w:t> </w:t>
      </w:r>
      <w:r>
        <w:rPr>
          <w:color w:val="231F20"/>
        </w:rPr>
        <w:t>número</w:t>
      </w:r>
      <w:r>
        <w:rPr>
          <w:color w:val="231F20"/>
          <w:spacing w:val="-5"/>
        </w:rPr>
        <w:t> </w:t>
      </w:r>
      <w:r>
        <w:rPr>
          <w:color w:val="231F20"/>
        </w:rPr>
        <w:t>de</w:t>
      </w:r>
      <w:r>
        <w:rPr>
          <w:color w:val="231F20"/>
          <w:spacing w:val="-5"/>
        </w:rPr>
        <w:t> </w:t>
      </w:r>
      <w:r>
        <w:rPr>
          <w:color w:val="231F20"/>
        </w:rPr>
        <w:t>plantas</w:t>
      </w:r>
      <w:r>
        <w:rPr>
          <w:color w:val="231F20"/>
          <w:spacing w:val="-5"/>
        </w:rPr>
        <w:t> </w:t>
      </w:r>
      <w:r>
        <w:rPr>
          <w:color w:val="231F20"/>
        </w:rPr>
        <w:t>por</w:t>
      </w:r>
      <w:r>
        <w:rPr>
          <w:color w:val="231F20"/>
          <w:spacing w:val="-5"/>
        </w:rPr>
        <w:t> </w:t>
      </w:r>
      <w:r>
        <w:rPr>
          <w:color w:val="231F20"/>
        </w:rPr>
        <w:t>unidad experimental y rendimiento por hectárea (t•ha</w:t>
      </w:r>
      <w:r>
        <w:rPr>
          <w:color w:val="231F20"/>
          <w:position w:val="7"/>
          <w:sz w:val="12"/>
        </w:rPr>
        <w:t>-1</w:t>
      </w:r>
      <w:r>
        <w:rPr>
          <w:color w:val="231F20"/>
        </w:rPr>
        <w:t>). </w:t>
      </w:r>
      <w:r>
        <w:rPr>
          <w:color w:val="231F20"/>
          <w:spacing w:val="-3"/>
        </w:rPr>
        <w:t>También </w:t>
      </w:r>
      <w:r>
        <w:rPr>
          <w:color w:val="231F20"/>
        </w:rPr>
        <w:t>se contabilizó el número de plantas con incidencia de virus por unidad</w:t>
      </w:r>
      <w:r>
        <w:rPr>
          <w:color w:val="231F20"/>
          <w:spacing w:val="-1"/>
        </w:rPr>
        <w:t> </w:t>
      </w:r>
      <w:r>
        <w:rPr>
          <w:color w:val="231F20"/>
        </w:rPr>
        <w:t>experimental.</w:t>
      </w:r>
    </w:p>
    <w:p>
      <w:pPr>
        <w:pStyle w:val="BodyText"/>
        <w:spacing w:before="7"/>
      </w:pPr>
    </w:p>
    <w:p>
      <w:pPr>
        <w:pStyle w:val="Heading5"/>
      </w:pPr>
      <w:r>
        <w:rPr>
          <w:color w:val="231F20"/>
        </w:rPr>
        <w:t>Análisis estadístico</w:t>
      </w:r>
    </w:p>
    <w:p>
      <w:pPr>
        <w:pStyle w:val="BodyText"/>
        <w:spacing w:line="247" w:lineRule="auto" w:before="8"/>
        <w:ind w:left="1270" w:right="1268"/>
        <w:jc w:val="both"/>
      </w:pPr>
      <w:r>
        <w:rPr>
          <w:color w:val="231F20"/>
        </w:rPr>
        <w:t>El</w:t>
      </w:r>
      <w:r>
        <w:rPr>
          <w:color w:val="231F20"/>
          <w:spacing w:val="-9"/>
        </w:rPr>
        <w:t> </w:t>
      </w:r>
      <w:r>
        <w:rPr>
          <w:color w:val="231F20"/>
        </w:rPr>
        <w:t>análisis</w:t>
      </w:r>
      <w:r>
        <w:rPr>
          <w:color w:val="231F20"/>
          <w:spacing w:val="-10"/>
        </w:rPr>
        <w:t> </w:t>
      </w:r>
      <w:r>
        <w:rPr>
          <w:color w:val="231F20"/>
        </w:rPr>
        <w:t>estadístico</w:t>
      </w:r>
      <w:r>
        <w:rPr>
          <w:color w:val="231F20"/>
          <w:spacing w:val="-10"/>
        </w:rPr>
        <w:t> </w:t>
      </w:r>
      <w:r>
        <w:rPr>
          <w:color w:val="231F20"/>
        </w:rPr>
        <w:t>se</w:t>
      </w:r>
      <w:r>
        <w:rPr>
          <w:color w:val="231F20"/>
          <w:spacing w:val="-9"/>
        </w:rPr>
        <w:t> </w:t>
      </w:r>
      <w:r>
        <w:rPr>
          <w:color w:val="231F20"/>
        </w:rPr>
        <w:t>realizó</w:t>
      </w:r>
      <w:r>
        <w:rPr>
          <w:color w:val="231F20"/>
          <w:spacing w:val="-9"/>
        </w:rPr>
        <w:t> </w:t>
      </w:r>
      <w:r>
        <w:rPr>
          <w:color w:val="231F20"/>
        </w:rPr>
        <w:t>con</w:t>
      </w:r>
      <w:r>
        <w:rPr>
          <w:color w:val="231F20"/>
          <w:spacing w:val="-10"/>
        </w:rPr>
        <w:t> </w:t>
      </w:r>
      <w:r>
        <w:rPr>
          <w:color w:val="231F20"/>
        </w:rPr>
        <w:t>el</w:t>
      </w:r>
      <w:r>
        <w:rPr>
          <w:color w:val="231F20"/>
          <w:spacing w:val="-9"/>
        </w:rPr>
        <w:t> </w:t>
      </w:r>
      <w:r>
        <w:rPr>
          <w:color w:val="231F20"/>
        </w:rPr>
        <w:t>programa</w:t>
      </w:r>
      <w:r>
        <w:rPr>
          <w:color w:val="231F20"/>
          <w:spacing w:val="-9"/>
        </w:rPr>
        <w:t> </w:t>
      </w:r>
      <w:r>
        <w:rPr>
          <w:color w:val="231F20"/>
        </w:rPr>
        <w:t>SAS</w:t>
      </w:r>
      <w:r>
        <w:rPr>
          <w:color w:val="231F20"/>
          <w:spacing w:val="-9"/>
        </w:rPr>
        <w:t> </w:t>
      </w:r>
      <w:r>
        <w:rPr>
          <w:color w:val="231F20"/>
        </w:rPr>
        <w:t>versión</w:t>
      </w:r>
      <w:r>
        <w:rPr>
          <w:color w:val="231F20"/>
          <w:spacing w:val="-9"/>
        </w:rPr>
        <w:t> </w:t>
      </w:r>
      <w:r>
        <w:rPr>
          <w:color w:val="231F20"/>
        </w:rPr>
        <w:t>9.0</w:t>
      </w:r>
      <w:r>
        <w:rPr>
          <w:color w:val="231F20"/>
          <w:spacing w:val="-9"/>
        </w:rPr>
        <w:t> </w:t>
      </w:r>
      <w:r>
        <w:rPr>
          <w:color w:val="231F20"/>
        </w:rPr>
        <w:t>para</w:t>
      </w:r>
      <w:r>
        <w:rPr>
          <w:color w:val="231F20"/>
          <w:spacing w:val="-9"/>
        </w:rPr>
        <w:t> </w:t>
      </w:r>
      <w:r>
        <w:rPr>
          <w:color w:val="231F20"/>
        </w:rPr>
        <w:t>microcomputadora.</w:t>
      </w:r>
      <w:r>
        <w:rPr>
          <w:color w:val="231F20"/>
          <w:spacing w:val="-11"/>
        </w:rPr>
        <w:t> </w:t>
      </w:r>
      <w:r>
        <w:rPr>
          <w:color w:val="231F20"/>
        </w:rPr>
        <w:t>Se</w:t>
      </w:r>
      <w:r>
        <w:rPr>
          <w:color w:val="231F20"/>
          <w:spacing w:val="-9"/>
        </w:rPr>
        <w:t> </w:t>
      </w:r>
      <w:r>
        <w:rPr>
          <w:color w:val="231F20"/>
        </w:rPr>
        <w:t>realizó un análisis de varianza combinado a través de ambientes de evaluación, y pruebas de comparación de medias por Tukey (P ≤ 0.05). Las curvas de crecimiento y acumulación de materia seca de los híbridos se realizaron con el programa</w:t>
      </w:r>
      <w:r>
        <w:rPr>
          <w:color w:val="231F20"/>
          <w:spacing w:val="-2"/>
        </w:rPr>
        <w:t> </w:t>
      </w:r>
      <w:r>
        <w:rPr>
          <w:color w:val="231F20"/>
        </w:rPr>
        <w:t>Excel.</w:t>
      </w:r>
    </w:p>
    <w:p>
      <w:pPr>
        <w:spacing w:after="0" w:line="247" w:lineRule="auto"/>
        <w:jc w:val="both"/>
        <w:sectPr>
          <w:type w:val="continuous"/>
          <w:pgSz w:w="10920" w:h="13080"/>
          <w:pgMar w:top="0" w:bottom="0" w:left="0" w:right="0"/>
        </w:sectPr>
      </w:pPr>
    </w:p>
    <w:p>
      <w:pPr>
        <w:pStyle w:val="BodyText"/>
        <w:rPr>
          <w:sz w:val="20"/>
        </w:rPr>
      </w:pPr>
    </w:p>
    <w:p>
      <w:pPr>
        <w:pStyle w:val="BodyText"/>
        <w:rPr>
          <w:sz w:val="20"/>
        </w:rPr>
      </w:pPr>
    </w:p>
    <w:p>
      <w:pPr>
        <w:pStyle w:val="BodyText"/>
        <w:spacing w:before="4"/>
        <w:rPr>
          <w:sz w:val="22"/>
        </w:rPr>
      </w:pPr>
    </w:p>
    <w:p>
      <w:pPr>
        <w:pStyle w:val="Heading3"/>
        <w:spacing w:before="69"/>
      </w:pPr>
      <w:r>
        <w:rPr>
          <w:color w:val="010202"/>
        </w:rPr>
        <w:t>Análisis y discusión de resultados</w:t>
      </w:r>
    </w:p>
    <w:p>
      <w:pPr>
        <w:pStyle w:val="BodyText"/>
        <w:spacing w:before="10"/>
        <w:rPr>
          <w:b/>
        </w:rPr>
      </w:pPr>
    </w:p>
    <w:p>
      <w:pPr>
        <w:pStyle w:val="Heading5"/>
      </w:pPr>
      <w:r>
        <w:rPr>
          <w:color w:val="231F20"/>
        </w:rPr>
        <w:t>Dinámica del crecimiento y acumulación de materia seca</w:t>
      </w:r>
    </w:p>
    <w:p>
      <w:pPr>
        <w:pStyle w:val="BodyText"/>
        <w:spacing w:line="249" w:lineRule="auto" w:before="8"/>
        <w:ind w:left="1270" w:right="1252"/>
        <w:jc w:val="both"/>
      </w:pPr>
      <w:r>
        <w:rPr>
          <w:color w:val="231F20"/>
        </w:rPr>
        <w:t>Los híbridos de calabacita tuvieron una dinámica de acumulación de biomasa de la planta total tipo sigmoidal (Figura 1). Esta dinámica de crecimiento coincide con la reportada por Sedano </w:t>
      </w:r>
      <w:r>
        <w:rPr>
          <w:i/>
          <w:color w:val="231F20"/>
        </w:rPr>
        <w:t>et al. </w:t>
      </w:r>
      <w:r>
        <w:rPr>
          <w:color w:val="231F20"/>
        </w:rPr>
        <w:t>(2005) al analizar el crecimiento y la eficiencia fisiológica de la planta de calabacita híbrido </w:t>
      </w:r>
      <w:r>
        <w:rPr>
          <w:color w:val="231F20"/>
          <w:spacing w:val="-3"/>
        </w:rPr>
        <w:t>‘Tala’ </w:t>
      </w:r>
      <w:r>
        <w:rPr>
          <w:color w:val="231F20"/>
        </w:rPr>
        <w:t>en</w:t>
      </w:r>
      <w:r>
        <w:rPr>
          <w:color w:val="231F20"/>
          <w:spacing w:val="-9"/>
        </w:rPr>
        <w:t> </w:t>
      </w:r>
      <w:r>
        <w:rPr>
          <w:color w:val="231F20"/>
        </w:rPr>
        <w:t>Montecillos,</w:t>
      </w:r>
      <w:r>
        <w:rPr>
          <w:color w:val="231F20"/>
          <w:spacing w:val="-8"/>
        </w:rPr>
        <w:t> </w:t>
      </w:r>
      <w:r>
        <w:rPr>
          <w:color w:val="231F20"/>
        </w:rPr>
        <w:t>Estado</w:t>
      </w:r>
      <w:r>
        <w:rPr>
          <w:color w:val="231F20"/>
          <w:spacing w:val="-9"/>
        </w:rPr>
        <w:t> </w:t>
      </w:r>
      <w:r>
        <w:rPr>
          <w:color w:val="231F20"/>
        </w:rPr>
        <w:t>de</w:t>
      </w:r>
      <w:r>
        <w:rPr>
          <w:color w:val="231F20"/>
          <w:spacing w:val="-9"/>
        </w:rPr>
        <w:t> </w:t>
      </w:r>
      <w:r>
        <w:rPr>
          <w:color w:val="231F20"/>
        </w:rPr>
        <w:t>México,</w:t>
      </w:r>
      <w:r>
        <w:rPr>
          <w:color w:val="231F20"/>
          <w:spacing w:val="-8"/>
        </w:rPr>
        <w:t> </w:t>
      </w:r>
      <w:r>
        <w:rPr>
          <w:color w:val="231F20"/>
        </w:rPr>
        <w:t>y</w:t>
      </w:r>
      <w:r>
        <w:rPr>
          <w:color w:val="231F20"/>
          <w:spacing w:val="-9"/>
        </w:rPr>
        <w:t> </w:t>
      </w:r>
      <w:r>
        <w:rPr>
          <w:color w:val="231F20"/>
        </w:rPr>
        <w:t>es</w:t>
      </w:r>
      <w:r>
        <w:rPr>
          <w:color w:val="231F20"/>
          <w:spacing w:val="-9"/>
        </w:rPr>
        <w:t> </w:t>
      </w:r>
      <w:r>
        <w:rPr>
          <w:color w:val="231F20"/>
        </w:rPr>
        <w:t>similar</w:t>
      </w:r>
      <w:r>
        <w:rPr>
          <w:color w:val="231F20"/>
          <w:spacing w:val="-8"/>
        </w:rPr>
        <w:t> </w:t>
      </w:r>
      <w:r>
        <w:rPr>
          <w:color w:val="231F20"/>
        </w:rPr>
        <w:t>a</w:t>
      </w:r>
      <w:r>
        <w:rPr>
          <w:color w:val="231F20"/>
          <w:spacing w:val="-9"/>
        </w:rPr>
        <w:t> </w:t>
      </w:r>
      <w:r>
        <w:rPr>
          <w:color w:val="231F20"/>
        </w:rPr>
        <w:t>la</w:t>
      </w:r>
      <w:r>
        <w:rPr>
          <w:color w:val="231F20"/>
          <w:spacing w:val="-9"/>
        </w:rPr>
        <w:t> </w:t>
      </w:r>
      <w:r>
        <w:rPr>
          <w:color w:val="231F20"/>
        </w:rPr>
        <w:t>de</w:t>
      </w:r>
      <w:r>
        <w:rPr>
          <w:color w:val="231F20"/>
          <w:spacing w:val="-9"/>
        </w:rPr>
        <w:t> </w:t>
      </w:r>
      <w:r>
        <w:rPr>
          <w:color w:val="231F20"/>
        </w:rPr>
        <w:t>cilantro</w:t>
      </w:r>
      <w:r>
        <w:rPr>
          <w:color w:val="231F20"/>
          <w:spacing w:val="-9"/>
        </w:rPr>
        <w:t> </w:t>
      </w:r>
      <w:r>
        <w:rPr>
          <w:color w:val="231F20"/>
        </w:rPr>
        <w:t>(</w:t>
      </w:r>
      <w:r>
        <w:rPr>
          <w:i/>
          <w:color w:val="231F20"/>
        </w:rPr>
        <w:t>Coriandrum</w:t>
      </w:r>
      <w:r>
        <w:rPr>
          <w:i/>
          <w:color w:val="231F20"/>
          <w:spacing w:val="-9"/>
        </w:rPr>
        <w:t> </w:t>
      </w:r>
      <w:r>
        <w:rPr>
          <w:i/>
          <w:color w:val="231F20"/>
        </w:rPr>
        <w:t>sativum</w:t>
      </w:r>
      <w:r>
        <w:rPr>
          <w:color w:val="231F20"/>
        </w:rPr>
        <w:t>)</w:t>
      </w:r>
      <w:r>
        <w:rPr>
          <w:color w:val="231F20"/>
          <w:spacing w:val="-9"/>
        </w:rPr>
        <w:t> </w:t>
      </w:r>
      <w:r>
        <w:rPr>
          <w:color w:val="231F20"/>
        </w:rPr>
        <w:t>como</w:t>
      </w:r>
      <w:r>
        <w:rPr>
          <w:color w:val="231F20"/>
          <w:spacing w:val="-9"/>
        </w:rPr>
        <w:t> </w:t>
      </w:r>
      <w:r>
        <w:rPr>
          <w:color w:val="231F20"/>
        </w:rPr>
        <w:t>lo</w:t>
      </w:r>
      <w:r>
        <w:rPr>
          <w:color w:val="231F20"/>
          <w:spacing w:val="-9"/>
        </w:rPr>
        <w:t> </w:t>
      </w:r>
      <w:r>
        <w:rPr>
          <w:color w:val="231F20"/>
        </w:rPr>
        <w:t>repor- taron Hernández </w:t>
      </w:r>
      <w:r>
        <w:rPr>
          <w:i/>
          <w:color w:val="231F20"/>
        </w:rPr>
        <w:t>et al. </w:t>
      </w:r>
      <w:r>
        <w:rPr>
          <w:color w:val="231F20"/>
        </w:rPr>
        <w:t>(1999), y a la de Cucurbita moschata según </w:t>
      </w:r>
      <w:r>
        <w:rPr>
          <w:color w:val="231F20"/>
          <w:spacing w:val="-3"/>
        </w:rPr>
        <w:t>Chen-Yuan </w:t>
      </w:r>
      <w:r>
        <w:rPr>
          <w:i/>
          <w:color w:val="231F20"/>
        </w:rPr>
        <w:t>et al. </w:t>
      </w:r>
      <w:r>
        <w:rPr>
          <w:color w:val="231F20"/>
        </w:rPr>
        <w:t>(1997). Los hí- bridos</w:t>
      </w:r>
      <w:r>
        <w:rPr>
          <w:color w:val="231F20"/>
          <w:spacing w:val="-4"/>
        </w:rPr>
        <w:t> </w:t>
      </w:r>
      <w:r>
        <w:rPr>
          <w:color w:val="231F20"/>
        </w:rPr>
        <w:t>que</w:t>
      </w:r>
      <w:r>
        <w:rPr>
          <w:color w:val="231F20"/>
          <w:spacing w:val="-4"/>
        </w:rPr>
        <w:t> </w:t>
      </w:r>
      <w:r>
        <w:rPr>
          <w:color w:val="231F20"/>
        </w:rPr>
        <w:t>tuvieron</w:t>
      </w:r>
      <w:r>
        <w:rPr>
          <w:color w:val="231F20"/>
          <w:spacing w:val="-4"/>
        </w:rPr>
        <w:t> </w:t>
      </w:r>
      <w:r>
        <w:rPr>
          <w:color w:val="231F20"/>
        </w:rPr>
        <w:t>una</w:t>
      </w:r>
      <w:r>
        <w:rPr>
          <w:color w:val="231F20"/>
          <w:spacing w:val="-4"/>
        </w:rPr>
        <w:t> </w:t>
      </w:r>
      <w:r>
        <w:rPr>
          <w:color w:val="231F20"/>
        </w:rPr>
        <w:t>mayor</w:t>
      </w:r>
      <w:r>
        <w:rPr>
          <w:color w:val="231F20"/>
          <w:spacing w:val="-4"/>
        </w:rPr>
        <w:t> </w:t>
      </w:r>
      <w:r>
        <w:rPr>
          <w:color w:val="231F20"/>
        </w:rPr>
        <w:t>acumulación</w:t>
      </w:r>
      <w:r>
        <w:rPr>
          <w:color w:val="231F20"/>
          <w:spacing w:val="-5"/>
        </w:rPr>
        <w:t> </w:t>
      </w:r>
      <w:r>
        <w:rPr>
          <w:color w:val="231F20"/>
        </w:rPr>
        <w:t>de</w:t>
      </w:r>
      <w:r>
        <w:rPr>
          <w:color w:val="231F20"/>
          <w:spacing w:val="-4"/>
        </w:rPr>
        <w:t> </w:t>
      </w:r>
      <w:r>
        <w:rPr>
          <w:color w:val="231F20"/>
        </w:rPr>
        <w:t>peso</w:t>
      </w:r>
      <w:r>
        <w:rPr>
          <w:color w:val="231F20"/>
          <w:spacing w:val="-4"/>
        </w:rPr>
        <w:t> </w:t>
      </w:r>
      <w:r>
        <w:rPr>
          <w:color w:val="231F20"/>
        </w:rPr>
        <w:t>seco</w:t>
      </w:r>
      <w:r>
        <w:rPr>
          <w:color w:val="231F20"/>
          <w:spacing w:val="-4"/>
        </w:rPr>
        <w:t> </w:t>
      </w:r>
      <w:r>
        <w:rPr>
          <w:color w:val="231F20"/>
        </w:rPr>
        <w:t>total</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planta</w:t>
      </w:r>
      <w:r>
        <w:rPr>
          <w:color w:val="231F20"/>
          <w:spacing w:val="-4"/>
        </w:rPr>
        <w:t> </w:t>
      </w:r>
      <w:r>
        <w:rPr>
          <w:color w:val="231F20"/>
        </w:rPr>
        <w:t>a</w:t>
      </w:r>
      <w:r>
        <w:rPr>
          <w:color w:val="231F20"/>
          <w:spacing w:val="-4"/>
        </w:rPr>
        <w:t> </w:t>
      </w:r>
      <w:r>
        <w:rPr>
          <w:color w:val="231F20"/>
        </w:rPr>
        <w:t>los</w:t>
      </w:r>
      <w:r>
        <w:rPr>
          <w:color w:val="231F20"/>
          <w:spacing w:val="-4"/>
        </w:rPr>
        <w:t> </w:t>
      </w:r>
      <w:r>
        <w:rPr>
          <w:color w:val="231F20"/>
        </w:rPr>
        <w:t>70</w:t>
      </w:r>
      <w:r>
        <w:rPr>
          <w:color w:val="231F20"/>
          <w:spacing w:val="-4"/>
        </w:rPr>
        <w:t> </w:t>
      </w:r>
      <w:r>
        <w:rPr>
          <w:color w:val="231F20"/>
        </w:rPr>
        <w:t>dds</w:t>
      </w:r>
      <w:r>
        <w:rPr>
          <w:color w:val="231F20"/>
          <w:spacing w:val="-4"/>
        </w:rPr>
        <w:t> </w:t>
      </w:r>
      <w:r>
        <w:rPr>
          <w:color w:val="231F20"/>
        </w:rPr>
        <w:t>y</w:t>
      </w:r>
      <w:r>
        <w:rPr>
          <w:color w:val="231F20"/>
          <w:spacing w:val="-4"/>
        </w:rPr>
        <w:t> </w:t>
      </w:r>
      <w:r>
        <w:rPr>
          <w:color w:val="231F20"/>
        </w:rPr>
        <w:t>que</w:t>
      </w:r>
      <w:r>
        <w:rPr>
          <w:color w:val="231F20"/>
          <w:spacing w:val="-4"/>
        </w:rPr>
        <w:t> </w:t>
      </w:r>
      <w:r>
        <w:rPr>
          <w:color w:val="231F20"/>
        </w:rPr>
        <w:t>fueron estadísticamente</w:t>
      </w:r>
      <w:r>
        <w:rPr>
          <w:color w:val="231F20"/>
          <w:spacing w:val="-12"/>
        </w:rPr>
        <w:t> </w:t>
      </w:r>
      <w:r>
        <w:rPr>
          <w:color w:val="231F20"/>
        </w:rPr>
        <w:t>superiores</w:t>
      </w:r>
      <w:r>
        <w:rPr>
          <w:color w:val="231F20"/>
          <w:spacing w:val="-12"/>
        </w:rPr>
        <w:t> </w:t>
      </w:r>
      <w:r>
        <w:rPr>
          <w:color w:val="231F20"/>
        </w:rPr>
        <w:t>a</w:t>
      </w:r>
      <w:r>
        <w:rPr>
          <w:color w:val="231F20"/>
          <w:spacing w:val="-12"/>
        </w:rPr>
        <w:t> </w:t>
      </w:r>
      <w:r>
        <w:rPr>
          <w:color w:val="231F20"/>
        </w:rPr>
        <w:t>los</w:t>
      </w:r>
      <w:r>
        <w:rPr>
          <w:color w:val="231F20"/>
          <w:spacing w:val="-12"/>
        </w:rPr>
        <w:t> </w:t>
      </w:r>
      <w:r>
        <w:rPr>
          <w:color w:val="231F20"/>
        </w:rPr>
        <w:t>demás</w:t>
      </w:r>
      <w:r>
        <w:rPr>
          <w:color w:val="231F20"/>
          <w:spacing w:val="-12"/>
        </w:rPr>
        <w:t> </w:t>
      </w:r>
      <w:r>
        <w:rPr>
          <w:color w:val="231F20"/>
        </w:rPr>
        <w:t>fueron</w:t>
      </w:r>
      <w:r>
        <w:rPr>
          <w:color w:val="231F20"/>
          <w:spacing w:val="-16"/>
        </w:rPr>
        <w:t> </w:t>
      </w:r>
      <w:r>
        <w:rPr>
          <w:color w:val="231F20"/>
        </w:rPr>
        <w:t>Terminator</w:t>
      </w:r>
      <w:r>
        <w:rPr>
          <w:color w:val="231F20"/>
          <w:spacing w:val="-12"/>
        </w:rPr>
        <w:t> </w:t>
      </w:r>
      <w:r>
        <w:rPr>
          <w:color w:val="231F20"/>
        </w:rPr>
        <w:t>(200</w:t>
      </w:r>
      <w:r>
        <w:rPr>
          <w:color w:val="231F20"/>
          <w:spacing w:val="-12"/>
        </w:rPr>
        <w:t> </w:t>
      </w:r>
      <w:r>
        <w:rPr>
          <w:color w:val="231F20"/>
        </w:rPr>
        <w:t>g•planta</w:t>
      </w:r>
      <w:r>
        <w:rPr>
          <w:color w:val="231F20"/>
          <w:position w:val="7"/>
          <w:sz w:val="12"/>
        </w:rPr>
        <w:t>-1</w:t>
      </w:r>
      <w:r>
        <w:rPr>
          <w:color w:val="231F20"/>
        </w:rPr>
        <w:t>),</w:t>
      </w:r>
      <w:r>
        <w:rPr>
          <w:color w:val="231F20"/>
          <w:spacing w:val="-12"/>
        </w:rPr>
        <w:t> </w:t>
      </w:r>
      <w:r>
        <w:rPr>
          <w:color w:val="231F20"/>
        </w:rPr>
        <w:t>seguido</w:t>
      </w:r>
      <w:r>
        <w:rPr>
          <w:color w:val="231F20"/>
          <w:spacing w:val="-11"/>
        </w:rPr>
        <w:t> </w:t>
      </w:r>
      <w:r>
        <w:rPr>
          <w:color w:val="231F20"/>
        </w:rPr>
        <w:t>de</w:t>
      </w:r>
      <w:r>
        <w:rPr>
          <w:color w:val="231F20"/>
          <w:spacing w:val="-12"/>
        </w:rPr>
        <w:t> </w:t>
      </w:r>
      <w:r>
        <w:rPr>
          <w:color w:val="231F20"/>
        </w:rPr>
        <w:t>Hurakán</w:t>
      </w:r>
      <w:r>
        <w:rPr>
          <w:color w:val="231F20"/>
          <w:spacing w:val="-11"/>
        </w:rPr>
        <w:t> </w:t>
      </w:r>
      <w:r>
        <w:rPr>
          <w:color w:val="231F20"/>
        </w:rPr>
        <w:t>(180 g•planta</w:t>
      </w:r>
      <w:r>
        <w:rPr>
          <w:color w:val="231F20"/>
          <w:position w:val="7"/>
          <w:sz w:val="12"/>
        </w:rPr>
        <w:t>-1</w:t>
      </w:r>
      <w:r>
        <w:rPr>
          <w:color w:val="231F20"/>
        </w:rPr>
        <w:t>) y Lolita (170 g•planta</w:t>
      </w:r>
      <w:r>
        <w:rPr>
          <w:color w:val="231F20"/>
          <w:position w:val="7"/>
          <w:sz w:val="12"/>
        </w:rPr>
        <w:t>-1</w:t>
      </w:r>
      <w:r>
        <w:rPr>
          <w:color w:val="231F20"/>
        </w:rPr>
        <w:t>), los que tuvieron la menor acumulación de materia seca fueron </w:t>
      </w:r>
      <w:r>
        <w:rPr>
          <w:color w:val="231F20"/>
          <w:spacing w:val="-4"/>
        </w:rPr>
        <w:t>Tala </w:t>
      </w:r>
      <w:r>
        <w:rPr>
          <w:color w:val="231F20"/>
        </w:rPr>
        <w:t>(140 g•planta</w:t>
      </w:r>
      <w:r>
        <w:rPr>
          <w:color w:val="231F20"/>
          <w:position w:val="7"/>
          <w:sz w:val="12"/>
        </w:rPr>
        <w:t>-1</w:t>
      </w:r>
      <w:r>
        <w:rPr>
          <w:color w:val="231F20"/>
        </w:rPr>
        <w:t>), Grey Zucchini de seminis y Dolarnini con 155</w:t>
      </w:r>
      <w:r>
        <w:rPr>
          <w:color w:val="231F20"/>
          <w:spacing w:val="7"/>
        </w:rPr>
        <w:t> </w:t>
      </w:r>
      <w:r>
        <w:rPr>
          <w:color w:val="231F20"/>
        </w:rPr>
        <w:t>g•planta</w:t>
      </w:r>
      <w:r>
        <w:rPr>
          <w:color w:val="231F20"/>
          <w:position w:val="7"/>
          <w:sz w:val="12"/>
        </w:rPr>
        <w:t>-1</w:t>
      </w:r>
      <w:r>
        <w:rPr>
          <w:color w:val="231F20"/>
        </w:rPr>
        <w:t>.</w:t>
      </w:r>
    </w:p>
    <w:p>
      <w:pPr>
        <w:pStyle w:val="BodyText"/>
        <w:spacing w:before="7"/>
      </w:pPr>
    </w:p>
    <w:p>
      <w:pPr>
        <w:pStyle w:val="BodyText"/>
        <w:spacing w:line="247" w:lineRule="auto" w:before="1"/>
        <w:ind w:left="1270" w:right="1268"/>
        <w:jc w:val="both"/>
      </w:pPr>
      <w:r>
        <w:rPr>
          <w:color w:val="231F20"/>
        </w:rPr>
        <w:t>La mayor acumulación de materia seca del híbrido Terminator se reflejó en una mayor cantidad de frutos</w:t>
      </w:r>
      <w:r>
        <w:rPr>
          <w:color w:val="231F20"/>
          <w:spacing w:val="-9"/>
        </w:rPr>
        <w:t> </w:t>
      </w:r>
      <w:r>
        <w:rPr>
          <w:color w:val="231F20"/>
        </w:rPr>
        <w:t>por</w:t>
      </w:r>
      <w:r>
        <w:rPr>
          <w:color w:val="231F20"/>
          <w:spacing w:val="-9"/>
        </w:rPr>
        <w:t> </w:t>
      </w:r>
      <w:r>
        <w:rPr>
          <w:color w:val="231F20"/>
        </w:rPr>
        <w:t>planta</w:t>
      </w:r>
      <w:r>
        <w:rPr>
          <w:color w:val="231F20"/>
          <w:spacing w:val="-9"/>
        </w:rPr>
        <w:t> </w:t>
      </w:r>
      <w:r>
        <w:rPr>
          <w:color w:val="231F20"/>
        </w:rPr>
        <w:t>y</w:t>
      </w:r>
      <w:r>
        <w:rPr>
          <w:color w:val="231F20"/>
          <w:spacing w:val="-9"/>
        </w:rPr>
        <w:t> </w:t>
      </w:r>
      <w:r>
        <w:rPr>
          <w:color w:val="231F20"/>
        </w:rPr>
        <w:t>de</w:t>
      </w:r>
      <w:r>
        <w:rPr>
          <w:color w:val="231F20"/>
          <w:spacing w:val="-9"/>
        </w:rPr>
        <w:t> </w:t>
      </w:r>
      <w:r>
        <w:rPr>
          <w:color w:val="231F20"/>
        </w:rPr>
        <w:t>mayor</w:t>
      </w:r>
      <w:r>
        <w:rPr>
          <w:color w:val="231F20"/>
          <w:spacing w:val="-9"/>
        </w:rPr>
        <w:t> </w:t>
      </w:r>
      <w:r>
        <w:rPr>
          <w:color w:val="231F20"/>
        </w:rPr>
        <w:t>tamaño,</w:t>
      </w:r>
      <w:r>
        <w:rPr>
          <w:color w:val="231F20"/>
          <w:spacing w:val="-9"/>
        </w:rPr>
        <w:t> </w:t>
      </w:r>
      <w:r>
        <w:rPr>
          <w:color w:val="231F20"/>
        </w:rPr>
        <w:t>siendo</w:t>
      </w:r>
      <w:r>
        <w:rPr>
          <w:color w:val="231F20"/>
          <w:spacing w:val="-8"/>
        </w:rPr>
        <w:t> </w:t>
      </w:r>
      <w:r>
        <w:rPr>
          <w:color w:val="231F20"/>
        </w:rPr>
        <w:t>el</w:t>
      </w:r>
      <w:r>
        <w:rPr>
          <w:color w:val="231F20"/>
          <w:spacing w:val="-9"/>
        </w:rPr>
        <w:t> </w:t>
      </w:r>
      <w:r>
        <w:rPr>
          <w:color w:val="231F20"/>
        </w:rPr>
        <w:t>que</w:t>
      </w:r>
      <w:r>
        <w:rPr>
          <w:color w:val="231F20"/>
          <w:spacing w:val="-9"/>
        </w:rPr>
        <w:t> </w:t>
      </w:r>
      <w:r>
        <w:rPr>
          <w:color w:val="231F20"/>
        </w:rPr>
        <w:t>tuvo</w:t>
      </w:r>
      <w:r>
        <w:rPr>
          <w:color w:val="231F20"/>
          <w:spacing w:val="-9"/>
        </w:rPr>
        <w:t> </w:t>
      </w:r>
      <w:r>
        <w:rPr>
          <w:color w:val="231F20"/>
        </w:rPr>
        <w:t>el</w:t>
      </w:r>
      <w:r>
        <w:rPr>
          <w:color w:val="231F20"/>
          <w:spacing w:val="-9"/>
        </w:rPr>
        <w:t> </w:t>
      </w:r>
      <w:r>
        <w:rPr>
          <w:color w:val="231F20"/>
        </w:rPr>
        <w:t>mayor</w:t>
      </w:r>
      <w:r>
        <w:rPr>
          <w:color w:val="231F20"/>
          <w:spacing w:val="-9"/>
        </w:rPr>
        <w:t> </w:t>
      </w:r>
      <w:r>
        <w:rPr>
          <w:color w:val="231F20"/>
        </w:rPr>
        <w:t>rendimiento</w:t>
      </w:r>
      <w:r>
        <w:rPr>
          <w:color w:val="231F20"/>
          <w:spacing w:val="-9"/>
        </w:rPr>
        <w:t> </w:t>
      </w:r>
      <w:r>
        <w:rPr>
          <w:color w:val="231F20"/>
        </w:rPr>
        <w:t>por</w:t>
      </w:r>
      <w:r>
        <w:rPr>
          <w:color w:val="231F20"/>
          <w:spacing w:val="-9"/>
        </w:rPr>
        <w:t> </w:t>
      </w:r>
      <w:r>
        <w:rPr>
          <w:color w:val="231F20"/>
        </w:rPr>
        <w:t>planta</w:t>
      </w:r>
      <w:r>
        <w:rPr>
          <w:color w:val="231F20"/>
          <w:spacing w:val="-9"/>
        </w:rPr>
        <w:t> </w:t>
      </w:r>
      <w:r>
        <w:rPr>
          <w:color w:val="231F20"/>
        </w:rPr>
        <w:t>y</w:t>
      </w:r>
      <w:r>
        <w:rPr>
          <w:color w:val="231F20"/>
          <w:spacing w:val="-9"/>
        </w:rPr>
        <w:t> </w:t>
      </w:r>
      <w:r>
        <w:rPr>
          <w:color w:val="231F20"/>
        </w:rPr>
        <w:t>por</w:t>
      </w:r>
      <w:r>
        <w:rPr>
          <w:color w:val="231F20"/>
          <w:spacing w:val="-9"/>
        </w:rPr>
        <w:t> </w:t>
      </w:r>
      <w:r>
        <w:rPr>
          <w:color w:val="231F20"/>
        </w:rPr>
        <w:t>hectá- rea. La superioridad de Terminator y Hurakán en acumulación de biomasa sobre los demás híbridos se atribuye a su mayor área foliar, ya que la magnitud del área foliar es el principal factor que</w:t>
      </w:r>
      <w:r>
        <w:rPr>
          <w:color w:val="231F20"/>
          <w:spacing w:val="-36"/>
        </w:rPr>
        <w:t> </w:t>
      </w:r>
      <w:r>
        <w:rPr>
          <w:color w:val="231F20"/>
        </w:rPr>
        <w:t>deter- mina</w:t>
      </w:r>
      <w:r>
        <w:rPr>
          <w:color w:val="231F20"/>
          <w:spacing w:val="-5"/>
        </w:rPr>
        <w:t> </w:t>
      </w:r>
      <w:r>
        <w:rPr>
          <w:color w:val="231F20"/>
        </w:rPr>
        <w:t>la</w:t>
      </w:r>
      <w:r>
        <w:rPr>
          <w:color w:val="231F20"/>
          <w:spacing w:val="-4"/>
        </w:rPr>
        <w:t> </w:t>
      </w:r>
      <w:r>
        <w:rPr>
          <w:color w:val="231F20"/>
        </w:rPr>
        <w:t>producción</w:t>
      </w:r>
      <w:r>
        <w:rPr>
          <w:color w:val="231F20"/>
          <w:spacing w:val="-4"/>
        </w:rPr>
        <w:t> </w:t>
      </w:r>
      <w:r>
        <w:rPr>
          <w:color w:val="231F20"/>
        </w:rPr>
        <w:t>de</w:t>
      </w:r>
      <w:r>
        <w:rPr>
          <w:color w:val="231F20"/>
          <w:spacing w:val="-4"/>
        </w:rPr>
        <w:t> </w:t>
      </w:r>
      <w:r>
        <w:rPr>
          <w:color w:val="231F20"/>
        </w:rPr>
        <w:t>biomasa</w:t>
      </w:r>
      <w:r>
        <w:rPr>
          <w:color w:val="231F20"/>
          <w:spacing w:val="-4"/>
        </w:rPr>
        <w:t> </w:t>
      </w:r>
      <w:r>
        <w:rPr>
          <w:color w:val="231F20"/>
        </w:rPr>
        <w:t>en</w:t>
      </w:r>
      <w:r>
        <w:rPr>
          <w:color w:val="231F20"/>
          <w:spacing w:val="-4"/>
        </w:rPr>
        <w:t> </w:t>
      </w:r>
      <w:r>
        <w:rPr>
          <w:color w:val="231F20"/>
        </w:rPr>
        <w:t>los</w:t>
      </w:r>
      <w:r>
        <w:rPr>
          <w:color w:val="231F20"/>
          <w:spacing w:val="-5"/>
        </w:rPr>
        <w:t> </w:t>
      </w:r>
      <w:r>
        <w:rPr>
          <w:color w:val="231F20"/>
        </w:rPr>
        <w:t>cultivos</w:t>
      </w:r>
      <w:r>
        <w:rPr>
          <w:color w:val="231F20"/>
          <w:spacing w:val="-5"/>
        </w:rPr>
        <w:t> </w:t>
      </w:r>
      <w:r>
        <w:rPr>
          <w:color w:val="231F20"/>
        </w:rPr>
        <w:t>agrícolas</w:t>
      </w:r>
      <w:r>
        <w:rPr>
          <w:color w:val="231F20"/>
          <w:spacing w:val="-5"/>
        </w:rPr>
        <w:t> </w:t>
      </w:r>
      <w:r>
        <w:rPr>
          <w:color w:val="231F20"/>
        </w:rPr>
        <w:t>al</w:t>
      </w:r>
      <w:r>
        <w:rPr>
          <w:color w:val="231F20"/>
          <w:spacing w:val="-4"/>
        </w:rPr>
        <w:t> </w:t>
      </w:r>
      <w:r>
        <w:rPr>
          <w:color w:val="231F20"/>
        </w:rPr>
        <w:t>asociarse</w:t>
      </w:r>
      <w:r>
        <w:rPr>
          <w:color w:val="231F20"/>
          <w:spacing w:val="-5"/>
        </w:rPr>
        <w:t> </w:t>
      </w:r>
      <w:r>
        <w:rPr>
          <w:color w:val="231F20"/>
        </w:rPr>
        <w:t>directamente</w:t>
      </w:r>
      <w:r>
        <w:rPr>
          <w:color w:val="231F20"/>
          <w:spacing w:val="-4"/>
        </w:rPr>
        <w:t> </w:t>
      </w:r>
      <w:r>
        <w:rPr>
          <w:color w:val="231F20"/>
        </w:rPr>
        <w:t>con</w:t>
      </w:r>
      <w:r>
        <w:rPr>
          <w:color w:val="231F20"/>
          <w:spacing w:val="-5"/>
        </w:rPr>
        <w:t> </w:t>
      </w:r>
      <w:r>
        <w:rPr>
          <w:color w:val="231F20"/>
        </w:rPr>
        <w:t>la</w:t>
      </w:r>
      <w:r>
        <w:rPr>
          <w:color w:val="231F20"/>
          <w:spacing w:val="-4"/>
        </w:rPr>
        <w:t> </w:t>
      </w:r>
      <w:r>
        <w:rPr>
          <w:color w:val="231F20"/>
        </w:rPr>
        <w:t>cantidad</w:t>
      </w:r>
      <w:r>
        <w:rPr>
          <w:color w:val="231F20"/>
          <w:spacing w:val="-5"/>
        </w:rPr>
        <w:t> </w:t>
      </w:r>
      <w:r>
        <w:rPr>
          <w:color w:val="231F20"/>
        </w:rPr>
        <w:t>de radiación interceptada y la producción de fotoasimilados (Jefferies y Mackerron,</w:t>
      </w:r>
      <w:r>
        <w:rPr>
          <w:color w:val="231F20"/>
          <w:spacing w:val="-15"/>
        </w:rPr>
        <w:t> </w:t>
      </w:r>
      <w:r>
        <w:rPr>
          <w:color w:val="231F20"/>
        </w:rPr>
        <w:t>1989).</w:t>
      </w:r>
    </w:p>
    <w:p>
      <w:pPr>
        <w:pStyle w:val="BodyText"/>
        <w:spacing w:before="10"/>
      </w:pPr>
    </w:p>
    <w:p>
      <w:pPr>
        <w:pStyle w:val="BodyText"/>
        <w:spacing w:line="247" w:lineRule="auto"/>
        <w:ind w:left="1270" w:right="1267"/>
        <w:jc w:val="both"/>
      </w:pPr>
      <w:r>
        <w:rPr>
          <w:color w:val="231F20"/>
        </w:rPr>
        <w:t>El área foliar presentó el mismo comportamiento que la acumulación de materia seca. Se observó una fase de crecimiento lenta hasta los 30 días después de la siembra (dds), atribuible a que durante este</w:t>
      </w:r>
      <w:r>
        <w:rPr>
          <w:color w:val="231F20"/>
          <w:spacing w:val="-3"/>
        </w:rPr>
        <w:t> </w:t>
      </w:r>
      <w:r>
        <w:rPr>
          <w:color w:val="231F20"/>
        </w:rPr>
        <w:t>lapso</w:t>
      </w:r>
      <w:r>
        <w:rPr>
          <w:color w:val="231F20"/>
          <w:spacing w:val="-4"/>
        </w:rPr>
        <w:t> </w:t>
      </w:r>
      <w:r>
        <w:rPr>
          <w:color w:val="231F20"/>
        </w:rPr>
        <w:t>la</w:t>
      </w:r>
      <w:r>
        <w:rPr>
          <w:color w:val="231F20"/>
          <w:spacing w:val="-3"/>
        </w:rPr>
        <w:t> </w:t>
      </w:r>
      <w:r>
        <w:rPr>
          <w:color w:val="231F20"/>
        </w:rPr>
        <w:t>planta</w:t>
      </w:r>
      <w:r>
        <w:rPr>
          <w:color w:val="231F20"/>
          <w:spacing w:val="-3"/>
        </w:rPr>
        <w:t> </w:t>
      </w:r>
      <w:r>
        <w:rPr>
          <w:color w:val="231F20"/>
        </w:rPr>
        <w:t>desarrolla</w:t>
      </w:r>
      <w:r>
        <w:rPr>
          <w:color w:val="231F20"/>
          <w:spacing w:val="-3"/>
        </w:rPr>
        <w:t> </w:t>
      </w:r>
      <w:r>
        <w:rPr>
          <w:color w:val="231F20"/>
        </w:rPr>
        <w:t>el</w:t>
      </w:r>
      <w:r>
        <w:rPr>
          <w:color w:val="231F20"/>
          <w:spacing w:val="-3"/>
        </w:rPr>
        <w:t> </w:t>
      </w:r>
      <w:r>
        <w:rPr>
          <w:color w:val="231F20"/>
        </w:rPr>
        <w:t>sistema</w:t>
      </w:r>
      <w:r>
        <w:rPr>
          <w:color w:val="231F20"/>
          <w:spacing w:val="-3"/>
        </w:rPr>
        <w:t> </w:t>
      </w:r>
      <w:r>
        <w:rPr>
          <w:color w:val="231F20"/>
        </w:rPr>
        <w:t>radical</w:t>
      </w:r>
      <w:r>
        <w:rPr>
          <w:color w:val="231F20"/>
          <w:spacing w:val="-3"/>
        </w:rPr>
        <w:t> </w:t>
      </w:r>
      <w:r>
        <w:rPr>
          <w:color w:val="231F20"/>
        </w:rPr>
        <w:t>para</w:t>
      </w:r>
      <w:r>
        <w:rPr>
          <w:color w:val="231F20"/>
          <w:spacing w:val="-3"/>
        </w:rPr>
        <w:t> </w:t>
      </w:r>
      <w:r>
        <w:rPr>
          <w:color w:val="231F20"/>
        </w:rPr>
        <w:t>procurar</w:t>
      </w:r>
      <w:r>
        <w:rPr>
          <w:color w:val="231F20"/>
          <w:spacing w:val="-3"/>
        </w:rPr>
        <w:t> </w:t>
      </w:r>
      <w:r>
        <w:rPr>
          <w:color w:val="231F20"/>
        </w:rPr>
        <w:t>un</w:t>
      </w:r>
      <w:r>
        <w:rPr>
          <w:color w:val="231F20"/>
          <w:spacing w:val="-3"/>
        </w:rPr>
        <w:t> </w:t>
      </w:r>
      <w:r>
        <w:rPr>
          <w:color w:val="231F20"/>
        </w:rPr>
        <w:t>mejor</w:t>
      </w:r>
      <w:r>
        <w:rPr>
          <w:color w:val="231F20"/>
          <w:spacing w:val="-4"/>
        </w:rPr>
        <w:t> </w:t>
      </w:r>
      <w:r>
        <w:rPr>
          <w:color w:val="231F20"/>
        </w:rPr>
        <w:t>anclaje</w:t>
      </w:r>
      <w:r>
        <w:rPr>
          <w:color w:val="231F20"/>
          <w:spacing w:val="-4"/>
        </w:rPr>
        <w:t> </w:t>
      </w:r>
      <w:r>
        <w:rPr>
          <w:color w:val="231F20"/>
        </w:rPr>
        <w:t>y</w:t>
      </w:r>
      <w:r>
        <w:rPr>
          <w:color w:val="231F20"/>
          <w:spacing w:val="-3"/>
        </w:rPr>
        <w:t> </w:t>
      </w:r>
      <w:r>
        <w:rPr>
          <w:color w:val="231F20"/>
        </w:rPr>
        <w:t>suministro</w:t>
      </w:r>
      <w:r>
        <w:rPr>
          <w:color w:val="231F20"/>
          <w:spacing w:val="-3"/>
        </w:rPr>
        <w:t> </w:t>
      </w:r>
      <w:r>
        <w:rPr>
          <w:color w:val="231F20"/>
        </w:rPr>
        <w:t>de</w:t>
      </w:r>
      <w:r>
        <w:rPr>
          <w:color w:val="231F20"/>
          <w:spacing w:val="-3"/>
        </w:rPr>
        <w:t> </w:t>
      </w:r>
      <w:r>
        <w:rPr>
          <w:color w:val="231F20"/>
        </w:rPr>
        <w:t>agua y</w:t>
      </w:r>
      <w:r>
        <w:rPr>
          <w:color w:val="231F20"/>
          <w:spacing w:val="-6"/>
        </w:rPr>
        <w:t> </w:t>
      </w:r>
      <w:r>
        <w:rPr>
          <w:color w:val="231F20"/>
        </w:rPr>
        <w:t>nutrimentos,</w:t>
      </w:r>
      <w:r>
        <w:rPr>
          <w:color w:val="231F20"/>
          <w:spacing w:val="-7"/>
        </w:rPr>
        <w:t> </w:t>
      </w:r>
      <w:r>
        <w:rPr>
          <w:color w:val="231F20"/>
        </w:rPr>
        <w:t>y</w:t>
      </w:r>
      <w:r>
        <w:rPr>
          <w:color w:val="231F20"/>
          <w:spacing w:val="-6"/>
        </w:rPr>
        <w:t> </w:t>
      </w:r>
      <w:r>
        <w:rPr>
          <w:color w:val="231F20"/>
        </w:rPr>
        <w:t>posteriormente</w:t>
      </w:r>
      <w:r>
        <w:rPr>
          <w:color w:val="231F20"/>
          <w:spacing w:val="-6"/>
        </w:rPr>
        <w:t> </w:t>
      </w:r>
      <w:r>
        <w:rPr>
          <w:color w:val="231F20"/>
        </w:rPr>
        <w:t>ocurre</w:t>
      </w:r>
      <w:r>
        <w:rPr>
          <w:color w:val="231F20"/>
          <w:spacing w:val="-6"/>
        </w:rPr>
        <w:t> </w:t>
      </w:r>
      <w:r>
        <w:rPr>
          <w:color w:val="231F20"/>
        </w:rPr>
        <w:t>un</w:t>
      </w:r>
      <w:r>
        <w:rPr>
          <w:color w:val="231F20"/>
          <w:spacing w:val="-6"/>
        </w:rPr>
        <w:t> </w:t>
      </w:r>
      <w:r>
        <w:rPr>
          <w:color w:val="231F20"/>
        </w:rPr>
        <w:t>crecimiento</w:t>
      </w:r>
      <w:r>
        <w:rPr>
          <w:color w:val="231F20"/>
          <w:spacing w:val="-7"/>
        </w:rPr>
        <w:t> </w:t>
      </w:r>
      <w:r>
        <w:rPr>
          <w:color w:val="231F20"/>
        </w:rPr>
        <w:t>acelerado</w:t>
      </w:r>
      <w:r>
        <w:rPr>
          <w:color w:val="231F20"/>
          <w:spacing w:val="-7"/>
        </w:rPr>
        <w:t> </w:t>
      </w:r>
      <w:r>
        <w:rPr>
          <w:color w:val="231F20"/>
        </w:rPr>
        <w:t>hasta</w:t>
      </w:r>
      <w:r>
        <w:rPr>
          <w:color w:val="231F20"/>
          <w:spacing w:val="-6"/>
        </w:rPr>
        <w:t> </w:t>
      </w:r>
      <w:r>
        <w:rPr>
          <w:color w:val="231F20"/>
        </w:rPr>
        <w:t>alcanzar</w:t>
      </w:r>
      <w:r>
        <w:rPr>
          <w:color w:val="231F20"/>
          <w:spacing w:val="-7"/>
        </w:rPr>
        <w:t> </w:t>
      </w:r>
      <w:r>
        <w:rPr>
          <w:color w:val="231F20"/>
        </w:rPr>
        <w:t>la</w:t>
      </w:r>
      <w:r>
        <w:rPr>
          <w:color w:val="231F20"/>
          <w:spacing w:val="-6"/>
        </w:rPr>
        <w:t> </w:t>
      </w:r>
      <w:r>
        <w:rPr>
          <w:color w:val="231F20"/>
        </w:rPr>
        <w:t>máxima</w:t>
      </w:r>
      <w:r>
        <w:rPr>
          <w:color w:val="231F20"/>
          <w:spacing w:val="-7"/>
        </w:rPr>
        <w:t> </w:t>
      </w:r>
      <w:r>
        <w:rPr>
          <w:color w:val="231F20"/>
        </w:rPr>
        <w:t>acumula- ción</w:t>
      </w:r>
      <w:r>
        <w:rPr>
          <w:color w:val="231F20"/>
          <w:spacing w:val="-9"/>
        </w:rPr>
        <w:t> </w:t>
      </w:r>
      <w:r>
        <w:rPr>
          <w:color w:val="231F20"/>
        </w:rPr>
        <w:t>de</w:t>
      </w:r>
      <w:r>
        <w:rPr>
          <w:color w:val="231F20"/>
          <w:spacing w:val="-9"/>
        </w:rPr>
        <w:t> </w:t>
      </w:r>
      <w:r>
        <w:rPr>
          <w:color w:val="231F20"/>
        </w:rPr>
        <w:t>área</w:t>
      </w:r>
      <w:r>
        <w:rPr>
          <w:color w:val="231F20"/>
          <w:spacing w:val="-9"/>
        </w:rPr>
        <w:t> </w:t>
      </w:r>
      <w:r>
        <w:rPr>
          <w:color w:val="231F20"/>
        </w:rPr>
        <w:t>foliar</w:t>
      </w:r>
      <w:r>
        <w:rPr>
          <w:color w:val="231F20"/>
          <w:spacing w:val="-9"/>
        </w:rPr>
        <w:t> </w:t>
      </w:r>
      <w:r>
        <w:rPr>
          <w:color w:val="231F20"/>
        </w:rPr>
        <w:t>a</w:t>
      </w:r>
      <w:r>
        <w:rPr>
          <w:color w:val="231F20"/>
          <w:spacing w:val="-9"/>
        </w:rPr>
        <w:t> </w:t>
      </w:r>
      <w:r>
        <w:rPr>
          <w:color w:val="231F20"/>
        </w:rPr>
        <w:t>los</w:t>
      </w:r>
      <w:r>
        <w:rPr>
          <w:color w:val="231F20"/>
          <w:spacing w:val="-9"/>
        </w:rPr>
        <w:t> </w:t>
      </w:r>
      <w:r>
        <w:rPr>
          <w:color w:val="231F20"/>
        </w:rPr>
        <w:t>70</w:t>
      </w:r>
      <w:r>
        <w:rPr>
          <w:color w:val="231F20"/>
          <w:spacing w:val="-9"/>
        </w:rPr>
        <w:t> </w:t>
      </w:r>
      <w:r>
        <w:rPr>
          <w:color w:val="231F20"/>
        </w:rPr>
        <w:t>dds</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mayoría</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genotipos</w:t>
      </w:r>
      <w:r>
        <w:rPr>
          <w:color w:val="231F20"/>
          <w:spacing w:val="-9"/>
        </w:rPr>
        <w:t> </w:t>
      </w:r>
      <w:r>
        <w:rPr>
          <w:color w:val="231F20"/>
        </w:rPr>
        <w:t>evaluados;</w:t>
      </w:r>
      <w:r>
        <w:rPr>
          <w:color w:val="231F20"/>
          <w:spacing w:val="-10"/>
        </w:rPr>
        <w:t> </w:t>
      </w:r>
      <w:r>
        <w:rPr>
          <w:color w:val="231F20"/>
        </w:rPr>
        <w:t>sin</w:t>
      </w:r>
      <w:r>
        <w:rPr>
          <w:color w:val="231F20"/>
          <w:spacing w:val="-9"/>
        </w:rPr>
        <w:t> </w:t>
      </w:r>
      <w:r>
        <w:rPr>
          <w:color w:val="231F20"/>
        </w:rPr>
        <w:t>embargo,</w:t>
      </w:r>
      <w:r>
        <w:rPr>
          <w:color w:val="231F20"/>
          <w:spacing w:val="-9"/>
        </w:rPr>
        <w:t> </w:t>
      </w:r>
      <w:r>
        <w:rPr>
          <w:color w:val="231F20"/>
        </w:rPr>
        <w:t>en</w:t>
      </w:r>
      <w:r>
        <w:rPr>
          <w:color w:val="231F20"/>
          <w:spacing w:val="-13"/>
        </w:rPr>
        <w:t> </w:t>
      </w:r>
      <w:r>
        <w:rPr>
          <w:color w:val="231F20"/>
        </w:rPr>
        <w:t>Terminator y Hurakán es alrededor de los 85 dds (Figura</w:t>
      </w:r>
      <w:r>
        <w:rPr>
          <w:color w:val="231F20"/>
          <w:spacing w:val="-10"/>
        </w:rPr>
        <w:t> </w:t>
      </w:r>
      <w:r>
        <w:rPr>
          <w:color w:val="231F20"/>
        </w:rPr>
        <w:t>2).</w:t>
      </w:r>
    </w:p>
    <w:p>
      <w:pPr>
        <w:pStyle w:val="BodyText"/>
        <w:spacing w:before="10"/>
      </w:pPr>
    </w:p>
    <w:p>
      <w:pPr>
        <w:pStyle w:val="BodyText"/>
        <w:spacing w:line="249" w:lineRule="auto"/>
        <w:ind w:left="1270" w:right="1267"/>
        <w:jc w:val="both"/>
      </w:pPr>
      <w:r>
        <w:rPr>
          <w:color w:val="231F20"/>
        </w:rPr>
        <w:t>Sin embargo, los híbridos Terminator y Hurakán mantuvieron por más tiempo el área foliar, ya que hasta</w:t>
      </w:r>
      <w:r>
        <w:rPr>
          <w:color w:val="231F20"/>
          <w:spacing w:val="-3"/>
        </w:rPr>
        <w:t> </w:t>
      </w:r>
      <w:r>
        <w:rPr>
          <w:color w:val="231F20"/>
        </w:rPr>
        <w:t>el</w:t>
      </w:r>
      <w:r>
        <w:rPr>
          <w:color w:val="231F20"/>
          <w:spacing w:val="-3"/>
        </w:rPr>
        <w:t> </w:t>
      </w:r>
      <w:r>
        <w:rPr>
          <w:color w:val="231F20"/>
        </w:rPr>
        <w:t>último</w:t>
      </w:r>
      <w:r>
        <w:rPr>
          <w:color w:val="231F20"/>
          <w:spacing w:val="-3"/>
        </w:rPr>
        <w:t> </w:t>
      </w:r>
      <w:r>
        <w:rPr>
          <w:color w:val="231F20"/>
        </w:rPr>
        <w:t>muestreo</w:t>
      </w:r>
      <w:r>
        <w:rPr>
          <w:color w:val="231F20"/>
          <w:spacing w:val="-3"/>
        </w:rPr>
        <w:t> </w:t>
      </w:r>
      <w:r>
        <w:rPr>
          <w:color w:val="231F20"/>
        </w:rPr>
        <w:t>a</w:t>
      </w:r>
      <w:r>
        <w:rPr>
          <w:color w:val="231F20"/>
          <w:spacing w:val="-3"/>
        </w:rPr>
        <w:t> </w:t>
      </w:r>
      <w:r>
        <w:rPr>
          <w:color w:val="231F20"/>
        </w:rPr>
        <w:t>los</w:t>
      </w:r>
      <w:r>
        <w:rPr>
          <w:color w:val="231F20"/>
          <w:spacing w:val="-3"/>
        </w:rPr>
        <w:t> </w:t>
      </w:r>
      <w:r>
        <w:rPr>
          <w:color w:val="231F20"/>
        </w:rPr>
        <w:t>85</w:t>
      </w:r>
      <w:r>
        <w:rPr>
          <w:color w:val="231F20"/>
          <w:spacing w:val="-3"/>
        </w:rPr>
        <w:t> </w:t>
      </w:r>
      <w:r>
        <w:rPr>
          <w:color w:val="231F20"/>
        </w:rPr>
        <w:t>dds</w:t>
      </w:r>
      <w:r>
        <w:rPr>
          <w:color w:val="231F20"/>
          <w:spacing w:val="-3"/>
        </w:rPr>
        <w:t> </w:t>
      </w:r>
      <w:r>
        <w:rPr>
          <w:color w:val="231F20"/>
        </w:rPr>
        <w:t>el</w:t>
      </w:r>
      <w:r>
        <w:rPr>
          <w:color w:val="231F20"/>
          <w:spacing w:val="-3"/>
        </w:rPr>
        <w:t> </w:t>
      </w:r>
      <w:r>
        <w:rPr>
          <w:color w:val="231F20"/>
        </w:rPr>
        <w:t>área</w:t>
      </w:r>
      <w:r>
        <w:rPr>
          <w:color w:val="231F20"/>
          <w:spacing w:val="-3"/>
        </w:rPr>
        <w:t> </w:t>
      </w:r>
      <w:r>
        <w:rPr>
          <w:color w:val="231F20"/>
        </w:rPr>
        <w:t>foliar</w:t>
      </w:r>
      <w:r>
        <w:rPr>
          <w:color w:val="231F20"/>
          <w:spacing w:val="-3"/>
        </w:rPr>
        <w:t> </w:t>
      </w:r>
      <w:r>
        <w:rPr>
          <w:color w:val="231F20"/>
        </w:rPr>
        <w:t>siguió</w:t>
      </w:r>
      <w:r>
        <w:rPr>
          <w:color w:val="231F20"/>
          <w:spacing w:val="-2"/>
        </w:rPr>
        <w:t> </w:t>
      </w:r>
      <w:r>
        <w:rPr>
          <w:color w:val="231F20"/>
        </w:rPr>
        <w:t>aumentando</w:t>
      </w:r>
      <w:r>
        <w:rPr>
          <w:color w:val="231F20"/>
          <w:spacing w:val="-3"/>
        </w:rPr>
        <w:t> </w:t>
      </w:r>
      <w:r>
        <w:rPr>
          <w:color w:val="231F20"/>
        </w:rPr>
        <w:t>(1.7</w:t>
      </w:r>
      <w:r>
        <w:rPr>
          <w:color w:val="231F20"/>
          <w:spacing w:val="-3"/>
        </w:rPr>
        <w:t> </w:t>
      </w:r>
      <w:r>
        <w:rPr>
          <w:color w:val="231F20"/>
        </w:rPr>
        <w:t>y</w:t>
      </w:r>
      <w:r>
        <w:rPr>
          <w:color w:val="231F20"/>
          <w:spacing w:val="-3"/>
        </w:rPr>
        <w:t> </w:t>
      </w:r>
      <w:r>
        <w:rPr>
          <w:color w:val="231F20"/>
        </w:rPr>
        <w:t>1.5</w:t>
      </w:r>
      <w:r>
        <w:rPr>
          <w:color w:val="231F20"/>
          <w:spacing w:val="-3"/>
        </w:rPr>
        <w:t> </w:t>
      </w:r>
      <w:r>
        <w:rPr>
          <w:color w:val="231F20"/>
        </w:rPr>
        <w:t>m</w:t>
      </w:r>
      <w:r>
        <w:rPr>
          <w:color w:val="231F20"/>
          <w:position w:val="7"/>
          <w:sz w:val="12"/>
        </w:rPr>
        <w:t>2</w:t>
      </w:r>
      <w:r>
        <w:rPr>
          <w:color w:val="231F20"/>
        </w:rPr>
        <w:t>•planta</w:t>
      </w:r>
      <w:r>
        <w:rPr>
          <w:color w:val="231F20"/>
          <w:position w:val="7"/>
          <w:sz w:val="12"/>
        </w:rPr>
        <w:t>-1</w:t>
      </w:r>
      <w:r>
        <w:rPr>
          <w:color w:val="231F20"/>
        </w:rPr>
        <w:t>,</w:t>
      </w:r>
      <w:r>
        <w:rPr>
          <w:color w:val="231F20"/>
          <w:spacing w:val="-3"/>
        </w:rPr>
        <w:t> </w:t>
      </w:r>
      <w:r>
        <w:rPr>
          <w:color w:val="231F20"/>
        </w:rPr>
        <w:t>respec- tivamente),</w:t>
      </w:r>
      <w:r>
        <w:rPr>
          <w:color w:val="231F20"/>
          <w:spacing w:val="-12"/>
        </w:rPr>
        <w:t> </w:t>
      </w:r>
      <w:r>
        <w:rPr>
          <w:color w:val="231F20"/>
        </w:rPr>
        <w:t>mientras</w:t>
      </w:r>
      <w:r>
        <w:rPr>
          <w:color w:val="231F20"/>
          <w:spacing w:val="-12"/>
        </w:rPr>
        <w:t> </w:t>
      </w:r>
      <w:r>
        <w:rPr>
          <w:color w:val="231F20"/>
        </w:rPr>
        <w:t>que</w:t>
      </w:r>
      <w:r>
        <w:rPr>
          <w:color w:val="231F20"/>
          <w:spacing w:val="-11"/>
        </w:rPr>
        <w:t> </w:t>
      </w:r>
      <w:r>
        <w:rPr>
          <w:color w:val="231F20"/>
        </w:rPr>
        <w:t>en</w:t>
      </w:r>
      <w:r>
        <w:rPr>
          <w:color w:val="231F20"/>
          <w:spacing w:val="-11"/>
        </w:rPr>
        <w:t> </w:t>
      </w:r>
      <w:r>
        <w:rPr>
          <w:color w:val="231F20"/>
        </w:rPr>
        <w:t>los</w:t>
      </w:r>
      <w:r>
        <w:rPr>
          <w:color w:val="231F20"/>
          <w:spacing w:val="-11"/>
        </w:rPr>
        <w:t> </w:t>
      </w:r>
      <w:r>
        <w:rPr>
          <w:color w:val="231F20"/>
        </w:rPr>
        <w:t>demás</w:t>
      </w:r>
      <w:r>
        <w:rPr>
          <w:color w:val="231F20"/>
          <w:spacing w:val="-11"/>
        </w:rPr>
        <w:t> </w:t>
      </w:r>
      <w:r>
        <w:rPr>
          <w:color w:val="231F20"/>
        </w:rPr>
        <w:t>híbridos</w:t>
      </w:r>
      <w:r>
        <w:rPr>
          <w:color w:val="231F20"/>
          <w:spacing w:val="-11"/>
        </w:rPr>
        <w:t> </w:t>
      </w:r>
      <w:r>
        <w:rPr>
          <w:color w:val="231F20"/>
        </w:rPr>
        <w:t>se</w:t>
      </w:r>
      <w:r>
        <w:rPr>
          <w:color w:val="231F20"/>
          <w:spacing w:val="-11"/>
        </w:rPr>
        <w:t> </w:t>
      </w:r>
      <w:r>
        <w:rPr>
          <w:color w:val="231F20"/>
        </w:rPr>
        <w:t>observó</w:t>
      </w:r>
      <w:r>
        <w:rPr>
          <w:color w:val="231F20"/>
          <w:spacing w:val="-11"/>
        </w:rPr>
        <w:t> </w:t>
      </w:r>
      <w:r>
        <w:rPr>
          <w:color w:val="231F20"/>
        </w:rPr>
        <w:t>una</w:t>
      </w:r>
      <w:r>
        <w:rPr>
          <w:color w:val="231F20"/>
          <w:spacing w:val="-11"/>
        </w:rPr>
        <w:t> </w:t>
      </w:r>
      <w:r>
        <w:rPr>
          <w:color w:val="231F20"/>
        </w:rPr>
        <w:t>marcada</w:t>
      </w:r>
      <w:r>
        <w:rPr>
          <w:color w:val="231F20"/>
          <w:spacing w:val="-12"/>
        </w:rPr>
        <w:t> </w:t>
      </w:r>
      <w:r>
        <w:rPr>
          <w:color w:val="231F20"/>
        </w:rPr>
        <w:t>senescencia</w:t>
      </w:r>
      <w:r>
        <w:rPr>
          <w:color w:val="231F20"/>
          <w:spacing w:val="-11"/>
        </w:rPr>
        <w:t> </w:t>
      </w:r>
      <w:r>
        <w:rPr>
          <w:color w:val="231F20"/>
        </w:rPr>
        <w:t>de</w:t>
      </w:r>
      <w:r>
        <w:rPr>
          <w:color w:val="231F20"/>
          <w:spacing w:val="-11"/>
        </w:rPr>
        <w:t> </w:t>
      </w:r>
      <w:r>
        <w:rPr>
          <w:color w:val="231F20"/>
        </w:rPr>
        <w:t>su</w:t>
      </w:r>
      <w:r>
        <w:rPr>
          <w:color w:val="231F20"/>
          <w:spacing w:val="-11"/>
        </w:rPr>
        <w:t> </w:t>
      </w:r>
      <w:r>
        <w:rPr>
          <w:color w:val="231F20"/>
        </w:rPr>
        <w:t>área</w:t>
      </w:r>
      <w:r>
        <w:rPr>
          <w:color w:val="231F20"/>
          <w:spacing w:val="-11"/>
        </w:rPr>
        <w:t> </w:t>
      </w:r>
      <w:r>
        <w:rPr>
          <w:color w:val="231F20"/>
        </w:rPr>
        <w:t>foliar, por lo que en dichos híbridos pudieran darse más cortes de calabacita (adicionales a los 17 cortes realizados en todos los materiales</w:t>
      </w:r>
      <w:r>
        <w:rPr>
          <w:color w:val="231F20"/>
          <w:spacing w:val="-4"/>
        </w:rPr>
        <w:t> </w:t>
      </w:r>
      <w:r>
        <w:rPr>
          <w:color w:val="231F20"/>
        </w:rPr>
        <w:t>evaluados).</w:t>
      </w:r>
    </w:p>
    <w:p>
      <w:pPr>
        <w:spacing w:after="0" w:line="249" w:lineRule="auto"/>
        <w:jc w:val="both"/>
        <w:sectPr>
          <w:pgSz w:w="10920" w:h="13080"/>
          <w:pgMar w:header="0" w:footer="965" w:top="420" w:bottom="1220" w:left="0" w:right="0"/>
        </w:sectPr>
      </w:pPr>
    </w:p>
    <w:p>
      <w:pPr>
        <w:pStyle w:val="BodyText"/>
        <w:rPr>
          <w:sz w:val="20"/>
        </w:rPr>
      </w:pPr>
    </w:p>
    <w:p>
      <w:pPr>
        <w:pStyle w:val="BodyText"/>
        <w:rPr>
          <w:sz w:val="20"/>
        </w:rPr>
      </w:pPr>
    </w:p>
    <w:p>
      <w:pPr>
        <w:pStyle w:val="BodyText"/>
        <w:rPr>
          <w:sz w:val="23"/>
        </w:rPr>
      </w:pPr>
    </w:p>
    <w:p>
      <w:pPr>
        <w:spacing w:line="249" w:lineRule="auto" w:before="77"/>
        <w:ind w:left="3551" w:right="2887" w:hanging="650"/>
        <w:jc w:val="left"/>
        <w:rPr>
          <w:b/>
          <w:sz w:val="18"/>
        </w:rPr>
      </w:pPr>
      <w:r>
        <w:rPr>
          <w:b/>
          <w:color w:val="010202"/>
          <w:sz w:val="18"/>
        </w:rPr>
        <w:t>Figura 1. Peso seco total (g•planta</w:t>
      </w:r>
      <w:r>
        <w:rPr>
          <w:b/>
          <w:color w:val="010202"/>
          <w:position w:val="6"/>
          <w:sz w:val="10"/>
        </w:rPr>
        <w:t>-1</w:t>
      </w:r>
      <w:r>
        <w:rPr>
          <w:b/>
          <w:color w:val="010202"/>
          <w:sz w:val="18"/>
        </w:rPr>
        <w:t>) de ocho híbridos de calabacita tipo Grey Zucchini, Chapingo, México. 2006-2008</w:t>
      </w:r>
    </w:p>
    <w:p>
      <w:pPr>
        <w:pStyle w:val="BodyText"/>
        <w:spacing w:before="1"/>
        <w:rPr>
          <w:b/>
          <w:sz w:val="18"/>
        </w:rPr>
      </w:pPr>
      <w:r>
        <w:rPr/>
        <w:pict>
          <v:group style="position:absolute;margin-left:64.209pt;margin-top:12.354633pt;width:417.6pt;height:179.85pt;mso-position-horizontal-relative:page;mso-position-vertical-relative:paragraph;z-index:5128;mso-wrap-distance-left:0;mso-wrap-distance-right:0" coordorigin="1284,247" coordsize="8352,3597">
            <v:shape style="position:absolute;left:1292;top:255;width:8337;height:3581" type="#_x0000_t75" stroked="false">
              <v:imagedata r:id="rId108" o:title=""/>
            </v:shape>
            <v:rect style="position:absolute;left:1292;top:255;width:8337;height:3581" filled="false" stroked="true" strokeweight=".75pt" strokecolor="#231f20"/>
            <w10:wrap type="topAndBottom"/>
          </v:group>
        </w:pict>
      </w:r>
    </w:p>
    <w:p>
      <w:pPr>
        <w:pStyle w:val="BodyText"/>
        <w:spacing w:before="8"/>
        <w:rPr>
          <w:b/>
          <w:sz w:val="16"/>
        </w:rPr>
      </w:pPr>
    </w:p>
    <w:p>
      <w:pPr>
        <w:spacing w:line="249" w:lineRule="auto" w:before="77"/>
        <w:ind w:left="3551" w:right="2962" w:hanging="570"/>
        <w:jc w:val="left"/>
        <w:rPr>
          <w:b/>
          <w:sz w:val="18"/>
        </w:rPr>
      </w:pPr>
      <w:r>
        <w:rPr>
          <w:b/>
          <w:color w:val="010202"/>
          <w:sz w:val="18"/>
        </w:rPr>
        <w:t>Figura 2. Área foliar (m</w:t>
      </w:r>
      <w:r>
        <w:rPr>
          <w:b/>
          <w:color w:val="010202"/>
          <w:position w:val="6"/>
          <w:sz w:val="10"/>
        </w:rPr>
        <w:t>2</w:t>
      </w:r>
      <w:r>
        <w:rPr>
          <w:b/>
          <w:color w:val="010202"/>
          <w:sz w:val="18"/>
        </w:rPr>
        <w:t>•planta</w:t>
      </w:r>
      <w:r>
        <w:rPr>
          <w:b/>
          <w:color w:val="010202"/>
          <w:position w:val="6"/>
          <w:sz w:val="10"/>
        </w:rPr>
        <w:t>-1</w:t>
      </w:r>
      <w:r>
        <w:rPr>
          <w:b/>
          <w:color w:val="010202"/>
          <w:sz w:val="18"/>
        </w:rPr>
        <w:t>) de ocho híbridos de calabacita tipo Grey Zucchini. Chapingo, México. 2006-2008</w:t>
      </w:r>
    </w:p>
    <w:p>
      <w:pPr>
        <w:pStyle w:val="BodyText"/>
        <w:spacing w:before="1"/>
        <w:rPr>
          <w:b/>
          <w:sz w:val="18"/>
        </w:rPr>
      </w:pPr>
      <w:r>
        <w:rPr/>
        <w:drawing>
          <wp:anchor distT="0" distB="0" distL="0" distR="0" allowOverlap="1" layoutInCell="1" locked="0" behindDoc="0" simplePos="0" relativeHeight="5152">
            <wp:simplePos x="0" y="0"/>
            <wp:positionH relativeFrom="page">
              <wp:posOffset>816483</wp:posOffset>
            </wp:positionH>
            <wp:positionV relativeFrom="paragraph">
              <wp:posOffset>156902</wp:posOffset>
            </wp:positionV>
            <wp:extent cx="5230575" cy="2573655"/>
            <wp:effectExtent l="0" t="0" r="0" b="0"/>
            <wp:wrapTopAndBottom/>
            <wp:docPr id="183" name="image75.png" descr=""/>
            <wp:cNvGraphicFramePr>
              <a:graphicFrameLocks noChangeAspect="1"/>
            </wp:cNvGraphicFramePr>
            <a:graphic>
              <a:graphicData uri="http://schemas.openxmlformats.org/drawingml/2006/picture">
                <pic:pic>
                  <pic:nvPicPr>
                    <pic:cNvPr id="184" name="image75.png"/>
                    <pic:cNvPicPr/>
                  </pic:nvPicPr>
                  <pic:blipFill>
                    <a:blip r:embed="rId109" cstate="print"/>
                    <a:stretch>
                      <a:fillRect/>
                    </a:stretch>
                  </pic:blipFill>
                  <pic:spPr>
                    <a:xfrm>
                      <a:off x="0" y="0"/>
                      <a:ext cx="5230575" cy="2573655"/>
                    </a:xfrm>
                    <a:prstGeom prst="rect">
                      <a:avLst/>
                    </a:prstGeom>
                  </pic:spPr>
                </pic:pic>
              </a:graphicData>
            </a:graphic>
          </wp:anchor>
        </w:drawing>
      </w:r>
    </w:p>
    <w:p>
      <w:pPr>
        <w:spacing w:after="0"/>
        <w:rPr>
          <w:sz w:val="18"/>
        </w:rPr>
        <w:sectPr>
          <w:pgSz w:w="10920" w:h="13080"/>
          <w:pgMar w:header="0" w:footer="965" w:top="420" w:bottom="1220" w:left="0" w:right="0"/>
        </w:sectPr>
      </w:pPr>
    </w:p>
    <w:p>
      <w:pPr>
        <w:pStyle w:val="BodyText"/>
        <w:rPr>
          <w:b/>
          <w:sz w:val="20"/>
        </w:rPr>
      </w:pPr>
    </w:p>
    <w:p>
      <w:pPr>
        <w:pStyle w:val="BodyText"/>
        <w:rPr>
          <w:b/>
          <w:sz w:val="20"/>
        </w:rPr>
      </w:pPr>
    </w:p>
    <w:p>
      <w:pPr>
        <w:pStyle w:val="BodyText"/>
        <w:rPr>
          <w:b/>
          <w:sz w:val="23"/>
        </w:rPr>
      </w:pPr>
    </w:p>
    <w:p>
      <w:pPr>
        <w:pStyle w:val="Heading5"/>
        <w:spacing w:before="73"/>
      </w:pPr>
      <w:r>
        <w:rPr>
          <w:color w:val="231F20"/>
        </w:rPr>
        <w:t>Eficiencia de crecimiento de la planta completa</w:t>
      </w:r>
    </w:p>
    <w:p>
      <w:pPr>
        <w:pStyle w:val="BodyText"/>
        <w:spacing w:line="249" w:lineRule="auto" w:before="8"/>
        <w:ind w:left="1270" w:right="1267"/>
        <w:jc w:val="both"/>
      </w:pPr>
      <w:r>
        <w:rPr>
          <w:color w:val="231F20"/>
        </w:rPr>
        <w:t>La</w:t>
      </w:r>
      <w:r>
        <w:rPr>
          <w:color w:val="231F20"/>
          <w:spacing w:val="-8"/>
        </w:rPr>
        <w:t> </w:t>
      </w:r>
      <w:r>
        <w:rPr>
          <w:color w:val="231F20"/>
        </w:rPr>
        <w:t>tasa</w:t>
      </w:r>
      <w:r>
        <w:rPr>
          <w:color w:val="231F20"/>
          <w:spacing w:val="-8"/>
        </w:rPr>
        <w:t> </w:t>
      </w:r>
      <w:r>
        <w:rPr>
          <w:color w:val="231F20"/>
        </w:rPr>
        <w:t>absoluta</w:t>
      </w:r>
      <w:r>
        <w:rPr>
          <w:color w:val="231F20"/>
          <w:spacing w:val="-8"/>
        </w:rPr>
        <w:t> </w:t>
      </w:r>
      <w:r>
        <w:rPr>
          <w:color w:val="231F20"/>
        </w:rPr>
        <w:t>de</w:t>
      </w:r>
      <w:r>
        <w:rPr>
          <w:color w:val="231F20"/>
          <w:spacing w:val="-8"/>
        </w:rPr>
        <w:t> </w:t>
      </w:r>
      <w:r>
        <w:rPr>
          <w:color w:val="231F20"/>
        </w:rPr>
        <w:t>crecimiento</w:t>
      </w:r>
      <w:r>
        <w:rPr>
          <w:color w:val="231F20"/>
          <w:spacing w:val="-9"/>
        </w:rPr>
        <w:t> </w:t>
      </w:r>
      <w:r>
        <w:rPr>
          <w:color w:val="231F20"/>
          <w:spacing w:val="-4"/>
        </w:rPr>
        <w:t>(TAC)</w:t>
      </w:r>
      <w:r>
        <w:rPr>
          <w:color w:val="231F20"/>
          <w:spacing w:val="-8"/>
        </w:rPr>
        <w:t> </w:t>
      </w:r>
      <w:r>
        <w:rPr>
          <w:color w:val="231F20"/>
        </w:rPr>
        <w:t>mostró</w:t>
      </w:r>
      <w:r>
        <w:rPr>
          <w:color w:val="231F20"/>
          <w:spacing w:val="-8"/>
        </w:rPr>
        <w:t> </w:t>
      </w:r>
      <w:r>
        <w:rPr>
          <w:color w:val="231F20"/>
        </w:rPr>
        <w:t>una</w:t>
      </w:r>
      <w:r>
        <w:rPr>
          <w:color w:val="231F20"/>
          <w:spacing w:val="-8"/>
        </w:rPr>
        <w:t> </w:t>
      </w:r>
      <w:r>
        <w:rPr>
          <w:color w:val="231F20"/>
        </w:rPr>
        <w:t>cinética</w:t>
      </w:r>
      <w:r>
        <w:rPr>
          <w:color w:val="231F20"/>
          <w:spacing w:val="-8"/>
        </w:rPr>
        <w:t> </w:t>
      </w:r>
      <w:r>
        <w:rPr>
          <w:color w:val="231F20"/>
        </w:rPr>
        <w:t>de</w:t>
      </w:r>
      <w:r>
        <w:rPr>
          <w:color w:val="231F20"/>
          <w:spacing w:val="-8"/>
        </w:rPr>
        <w:t> </w:t>
      </w:r>
      <w:r>
        <w:rPr>
          <w:color w:val="231F20"/>
        </w:rPr>
        <w:t>crecimiento</w:t>
      </w:r>
      <w:r>
        <w:rPr>
          <w:color w:val="231F20"/>
          <w:spacing w:val="-9"/>
        </w:rPr>
        <w:t> </w:t>
      </w:r>
      <w:r>
        <w:rPr>
          <w:color w:val="231F20"/>
        </w:rPr>
        <w:t>similar</w:t>
      </w:r>
      <w:r>
        <w:rPr>
          <w:color w:val="231F20"/>
          <w:spacing w:val="-7"/>
        </w:rPr>
        <w:t> </w:t>
      </w:r>
      <w:r>
        <w:rPr>
          <w:color w:val="231F20"/>
        </w:rPr>
        <w:t>a</w:t>
      </w:r>
      <w:r>
        <w:rPr>
          <w:color w:val="231F20"/>
          <w:spacing w:val="-8"/>
        </w:rPr>
        <w:t> </w:t>
      </w:r>
      <w:r>
        <w:rPr>
          <w:color w:val="231F20"/>
        </w:rPr>
        <w:t>la</w:t>
      </w:r>
      <w:r>
        <w:rPr>
          <w:color w:val="231F20"/>
          <w:spacing w:val="-8"/>
        </w:rPr>
        <w:t> </w:t>
      </w:r>
      <w:r>
        <w:rPr>
          <w:color w:val="231F20"/>
        </w:rPr>
        <w:t>del</w:t>
      </w:r>
      <w:r>
        <w:rPr>
          <w:color w:val="231F20"/>
          <w:spacing w:val="-8"/>
        </w:rPr>
        <w:t> </w:t>
      </w:r>
      <w:r>
        <w:rPr>
          <w:color w:val="231F20"/>
        </w:rPr>
        <w:t>área</w:t>
      </w:r>
      <w:r>
        <w:rPr>
          <w:color w:val="231F20"/>
          <w:spacing w:val="-8"/>
        </w:rPr>
        <w:t> </w:t>
      </w:r>
      <w:r>
        <w:rPr>
          <w:color w:val="231F20"/>
        </w:rPr>
        <w:t>foliar, con</w:t>
      </w:r>
      <w:r>
        <w:rPr>
          <w:color w:val="231F20"/>
          <w:spacing w:val="-5"/>
        </w:rPr>
        <w:t> </w:t>
      </w:r>
      <w:r>
        <w:rPr>
          <w:color w:val="231F20"/>
        </w:rPr>
        <w:t>un</w:t>
      </w:r>
      <w:r>
        <w:rPr>
          <w:color w:val="231F20"/>
          <w:spacing w:val="-5"/>
        </w:rPr>
        <w:t> </w:t>
      </w:r>
      <w:r>
        <w:rPr>
          <w:color w:val="231F20"/>
        </w:rPr>
        <w:t>máximo</w:t>
      </w:r>
      <w:r>
        <w:rPr>
          <w:color w:val="231F20"/>
          <w:spacing w:val="-5"/>
        </w:rPr>
        <w:t> </w:t>
      </w:r>
      <w:r>
        <w:rPr>
          <w:color w:val="231F20"/>
        </w:rPr>
        <w:t>a</w:t>
      </w:r>
      <w:r>
        <w:rPr>
          <w:color w:val="231F20"/>
          <w:spacing w:val="-5"/>
        </w:rPr>
        <w:t> </w:t>
      </w:r>
      <w:r>
        <w:rPr>
          <w:color w:val="231F20"/>
        </w:rPr>
        <w:t>los</w:t>
      </w:r>
      <w:r>
        <w:rPr>
          <w:color w:val="231F20"/>
          <w:spacing w:val="-5"/>
        </w:rPr>
        <w:t> </w:t>
      </w:r>
      <w:r>
        <w:rPr>
          <w:color w:val="231F20"/>
        </w:rPr>
        <w:t>70</w:t>
      </w:r>
      <w:r>
        <w:rPr>
          <w:color w:val="231F20"/>
          <w:spacing w:val="-5"/>
        </w:rPr>
        <w:t> </w:t>
      </w:r>
      <w:r>
        <w:rPr>
          <w:color w:val="231F20"/>
        </w:rPr>
        <w:t>dds</w:t>
      </w:r>
      <w:r>
        <w:rPr>
          <w:color w:val="231F20"/>
          <w:spacing w:val="-5"/>
        </w:rPr>
        <w:t> </w:t>
      </w:r>
      <w:r>
        <w:rPr>
          <w:color w:val="231F20"/>
        </w:rPr>
        <w:t>(8.2</w:t>
      </w:r>
      <w:r>
        <w:rPr>
          <w:color w:val="231F20"/>
          <w:spacing w:val="-5"/>
        </w:rPr>
        <w:t> </w:t>
      </w:r>
      <w:r>
        <w:rPr>
          <w:color w:val="231F20"/>
        </w:rPr>
        <w:t>g•día</w:t>
      </w:r>
      <w:r>
        <w:rPr>
          <w:color w:val="231F20"/>
          <w:position w:val="7"/>
          <w:sz w:val="12"/>
        </w:rPr>
        <w:t>-1</w:t>
      </w:r>
      <w:r>
        <w:rPr>
          <w:color w:val="231F20"/>
        </w:rPr>
        <w:t>)</w:t>
      </w:r>
      <w:r>
        <w:rPr>
          <w:color w:val="231F20"/>
          <w:spacing w:val="-5"/>
        </w:rPr>
        <w:t> </w:t>
      </w:r>
      <w:r>
        <w:rPr>
          <w:color w:val="231F20"/>
        </w:rPr>
        <w:t>en</w:t>
      </w:r>
      <w:r>
        <w:rPr>
          <w:color w:val="231F20"/>
          <w:spacing w:val="-5"/>
        </w:rPr>
        <w:t> </w:t>
      </w:r>
      <w:r>
        <w:rPr>
          <w:color w:val="231F20"/>
        </w:rPr>
        <w:t>‘Lolita’,</w:t>
      </w:r>
      <w:r>
        <w:rPr>
          <w:color w:val="231F20"/>
          <w:spacing w:val="-5"/>
        </w:rPr>
        <w:t> </w:t>
      </w:r>
      <w:r>
        <w:rPr>
          <w:color w:val="231F20"/>
        </w:rPr>
        <w:t>seguido</w:t>
      </w:r>
      <w:r>
        <w:rPr>
          <w:color w:val="231F20"/>
          <w:spacing w:val="-5"/>
        </w:rPr>
        <w:t> </w:t>
      </w:r>
      <w:r>
        <w:rPr>
          <w:color w:val="231F20"/>
        </w:rPr>
        <w:t>de</w:t>
      </w:r>
      <w:r>
        <w:rPr>
          <w:color w:val="231F20"/>
          <w:spacing w:val="-5"/>
        </w:rPr>
        <w:t> </w:t>
      </w:r>
      <w:r>
        <w:rPr>
          <w:color w:val="231F20"/>
          <w:spacing w:val="-3"/>
        </w:rPr>
        <w:t>‘WA9041’</w:t>
      </w:r>
      <w:r>
        <w:rPr>
          <w:color w:val="231F20"/>
          <w:spacing w:val="-20"/>
        </w:rPr>
        <w:t> </w:t>
      </w:r>
      <w:r>
        <w:rPr>
          <w:color w:val="231F20"/>
        </w:rPr>
        <w:t>(7.5</w:t>
      </w:r>
      <w:r>
        <w:rPr>
          <w:color w:val="231F20"/>
          <w:spacing w:val="-5"/>
        </w:rPr>
        <w:t> </w:t>
      </w:r>
      <w:r>
        <w:rPr>
          <w:color w:val="231F20"/>
        </w:rPr>
        <w:t>g•día</w:t>
      </w:r>
      <w:r>
        <w:rPr>
          <w:color w:val="231F20"/>
          <w:position w:val="7"/>
          <w:sz w:val="12"/>
        </w:rPr>
        <w:t>-1</w:t>
      </w:r>
      <w:r>
        <w:rPr>
          <w:color w:val="231F20"/>
        </w:rPr>
        <w:t>)</w:t>
      </w:r>
      <w:r>
        <w:rPr>
          <w:color w:val="231F20"/>
          <w:spacing w:val="-5"/>
        </w:rPr>
        <w:t> </w:t>
      </w:r>
      <w:r>
        <w:rPr>
          <w:color w:val="231F20"/>
        </w:rPr>
        <w:t>dentro</w:t>
      </w:r>
      <w:r>
        <w:rPr>
          <w:color w:val="231F20"/>
          <w:spacing w:val="-5"/>
        </w:rPr>
        <w:t> </w:t>
      </w:r>
      <w:r>
        <w:rPr>
          <w:color w:val="231F20"/>
        </w:rPr>
        <w:t>de</w:t>
      </w:r>
      <w:r>
        <w:rPr>
          <w:color w:val="231F20"/>
          <w:spacing w:val="-5"/>
        </w:rPr>
        <w:t> </w:t>
      </w:r>
      <w:r>
        <w:rPr>
          <w:color w:val="231F20"/>
        </w:rPr>
        <w:t>los materiales precoces, mientras que en ‘Terminator’ y ‘Hurakán’ fue alrededor de los 85 dds (Figura 3a) con valores de 11.1 y 10.0 g•día</w:t>
      </w:r>
      <w:r>
        <w:rPr>
          <w:color w:val="231F20"/>
          <w:position w:val="7"/>
          <w:sz w:val="12"/>
        </w:rPr>
        <w:t>-1</w:t>
      </w:r>
      <w:r>
        <w:rPr>
          <w:color w:val="231F20"/>
        </w:rPr>
        <w:t>, respectivamente. A los 85 dds la </w:t>
      </w:r>
      <w:r>
        <w:rPr>
          <w:color w:val="231F20"/>
          <w:spacing w:val="-6"/>
        </w:rPr>
        <w:t>TAC </w:t>
      </w:r>
      <w:r>
        <w:rPr>
          <w:color w:val="231F20"/>
        </w:rPr>
        <w:t>tiende a disminuir en la mayoría de los genotipos, siendo más marcado en </w:t>
      </w:r>
      <w:r>
        <w:rPr>
          <w:color w:val="231F20"/>
          <w:spacing w:val="-3"/>
        </w:rPr>
        <w:t>‘Tala’ </w:t>
      </w:r>
      <w:r>
        <w:rPr>
          <w:color w:val="231F20"/>
        </w:rPr>
        <w:t>(2.4 g•día</w:t>
      </w:r>
      <w:r>
        <w:rPr>
          <w:color w:val="231F20"/>
          <w:position w:val="7"/>
          <w:sz w:val="12"/>
        </w:rPr>
        <w:t>-1</w:t>
      </w:r>
      <w:r>
        <w:rPr>
          <w:color w:val="231F20"/>
        </w:rPr>
        <w:t>), ‘Dolarzini’ (4.8 g•día</w:t>
      </w:r>
      <w:r>
        <w:rPr>
          <w:color w:val="231F20"/>
          <w:position w:val="7"/>
          <w:sz w:val="12"/>
        </w:rPr>
        <w:t>-1</w:t>
      </w:r>
      <w:r>
        <w:rPr>
          <w:color w:val="231F20"/>
        </w:rPr>
        <w:t>), </w:t>
      </w:r>
      <w:r>
        <w:rPr>
          <w:color w:val="231F20"/>
          <w:spacing w:val="-3"/>
        </w:rPr>
        <w:t>‘WA9041’ </w:t>
      </w:r>
      <w:r>
        <w:rPr>
          <w:color w:val="231F20"/>
        </w:rPr>
        <w:t>(5 g•día</w:t>
      </w:r>
      <w:r>
        <w:rPr>
          <w:color w:val="231F20"/>
          <w:position w:val="7"/>
          <w:sz w:val="12"/>
        </w:rPr>
        <w:t>-1</w:t>
      </w:r>
      <w:r>
        <w:rPr>
          <w:color w:val="231F20"/>
        </w:rPr>
        <w:t>), ‘Grey Zucchini’ de seminis (5.2 g•día</w:t>
      </w:r>
      <w:r>
        <w:rPr>
          <w:color w:val="231F20"/>
          <w:position w:val="7"/>
          <w:sz w:val="12"/>
        </w:rPr>
        <w:t>-1</w:t>
      </w:r>
      <w:r>
        <w:rPr>
          <w:color w:val="231F20"/>
        </w:rPr>
        <w:t>) y ‘Grey Zucchini’ M+M (5.5 g•día</w:t>
      </w:r>
      <w:r>
        <w:rPr>
          <w:color w:val="231F20"/>
          <w:position w:val="7"/>
          <w:sz w:val="12"/>
        </w:rPr>
        <w:t>-1</w:t>
      </w:r>
      <w:r>
        <w:rPr>
          <w:color w:val="231F20"/>
        </w:rPr>
        <w:t>) (Figura 3a), debido al área foliar senescente; por su parte en ‘Terminator’ y ‘Hurakán’ permaneció constante. Al respecto, </w:t>
      </w:r>
      <w:r>
        <w:rPr>
          <w:color w:val="231F20"/>
          <w:spacing w:val="-3"/>
        </w:rPr>
        <w:t>Torres </w:t>
      </w:r>
      <w:r>
        <w:rPr>
          <w:color w:val="231F20"/>
        </w:rPr>
        <w:t>(1984) señaló que la </w:t>
      </w:r>
      <w:r>
        <w:rPr>
          <w:color w:val="231F20"/>
          <w:spacing w:val="-6"/>
        </w:rPr>
        <w:t>TAC </w:t>
      </w:r>
      <w:r>
        <w:rPr>
          <w:color w:val="231F20"/>
        </w:rPr>
        <w:t>puede alcanzar un máximo en un tiempo corto o mantenerse por un tiempo</w:t>
      </w:r>
      <w:r>
        <w:rPr>
          <w:color w:val="231F20"/>
          <w:spacing w:val="2"/>
        </w:rPr>
        <w:t> </w:t>
      </w:r>
      <w:r>
        <w:rPr>
          <w:color w:val="231F20"/>
          <w:spacing w:val="-3"/>
        </w:rPr>
        <w:t>mayor.</w:t>
      </w:r>
    </w:p>
    <w:p>
      <w:pPr>
        <w:pStyle w:val="BodyText"/>
        <w:spacing w:before="7"/>
      </w:pPr>
    </w:p>
    <w:p>
      <w:pPr>
        <w:pStyle w:val="BodyText"/>
        <w:spacing w:line="249" w:lineRule="auto"/>
        <w:ind w:left="1270" w:right="1267"/>
        <w:jc w:val="both"/>
      </w:pPr>
      <w:r>
        <w:rPr>
          <w:color w:val="231F20"/>
        </w:rPr>
        <w:t>La tasa relativa de crecimiento (TRC), equivale a la actividad de la demanda del dosel, alcanzó el valor</w:t>
      </w:r>
      <w:r>
        <w:rPr>
          <w:color w:val="231F20"/>
          <w:spacing w:val="-9"/>
        </w:rPr>
        <w:t> </w:t>
      </w:r>
      <w:r>
        <w:rPr>
          <w:color w:val="231F20"/>
        </w:rPr>
        <w:t>máximo</w:t>
      </w:r>
      <w:r>
        <w:rPr>
          <w:color w:val="231F20"/>
          <w:spacing w:val="-9"/>
        </w:rPr>
        <w:t> </w:t>
      </w:r>
      <w:r>
        <w:rPr>
          <w:color w:val="231F20"/>
        </w:rPr>
        <w:t>a</w:t>
      </w:r>
      <w:r>
        <w:rPr>
          <w:color w:val="231F20"/>
          <w:spacing w:val="-9"/>
        </w:rPr>
        <w:t> </w:t>
      </w:r>
      <w:r>
        <w:rPr>
          <w:color w:val="231F20"/>
        </w:rPr>
        <w:t>los</w:t>
      </w:r>
      <w:r>
        <w:rPr>
          <w:color w:val="231F20"/>
          <w:spacing w:val="-9"/>
        </w:rPr>
        <w:t> </w:t>
      </w:r>
      <w:r>
        <w:rPr>
          <w:color w:val="231F20"/>
        </w:rPr>
        <w:t>40</w:t>
      </w:r>
      <w:r>
        <w:rPr>
          <w:color w:val="231F20"/>
          <w:spacing w:val="-9"/>
        </w:rPr>
        <w:t> </w:t>
      </w:r>
      <w:r>
        <w:rPr>
          <w:color w:val="231F20"/>
        </w:rPr>
        <w:t>dds</w:t>
      </w:r>
      <w:r>
        <w:rPr>
          <w:color w:val="231F20"/>
          <w:spacing w:val="-9"/>
        </w:rPr>
        <w:t> </w:t>
      </w:r>
      <w:r>
        <w:rPr>
          <w:color w:val="231F20"/>
        </w:rPr>
        <w:t>en</w:t>
      </w:r>
      <w:r>
        <w:rPr>
          <w:color w:val="231F20"/>
          <w:spacing w:val="-9"/>
        </w:rPr>
        <w:t> </w:t>
      </w:r>
      <w:r>
        <w:rPr>
          <w:color w:val="231F20"/>
        </w:rPr>
        <w:t>‘Terminator’</w:t>
      </w:r>
      <w:r>
        <w:rPr>
          <w:color w:val="231F20"/>
          <w:spacing w:val="-24"/>
        </w:rPr>
        <w:t> </w:t>
      </w:r>
      <w:r>
        <w:rPr>
          <w:color w:val="231F20"/>
        </w:rPr>
        <w:t>(0.45</w:t>
      </w:r>
      <w:r>
        <w:rPr>
          <w:color w:val="231F20"/>
          <w:spacing w:val="-9"/>
        </w:rPr>
        <w:t> </w:t>
      </w:r>
      <w:r>
        <w:rPr>
          <w:color w:val="231F20"/>
        </w:rPr>
        <w:t>g•g-1•día</w:t>
      </w:r>
      <w:r>
        <w:rPr>
          <w:color w:val="231F20"/>
          <w:position w:val="7"/>
          <w:sz w:val="12"/>
        </w:rPr>
        <w:t>-1</w:t>
      </w:r>
      <w:r>
        <w:rPr>
          <w:color w:val="231F20"/>
        </w:rPr>
        <w:t>),</w:t>
      </w:r>
      <w:r>
        <w:rPr>
          <w:color w:val="231F20"/>
          <w:spacing w:val="-9"/>
        </w:rPr>
        <w:t> </w:t>
      </w:r>
      <w:r>
        <w:rPr>
          <w:color w:val="231F20"/>
        </w:rPr>
        <w:t>seguido</w:t>
      </w:r>
      <w:r>
        <w:rPr>
          <w:color w:val="231F20"/>
          <w:spacing w:val="-9"/>
        </w:rPr>
        <w:t> </w:t>
      </w:r>
      <w:r>
        <w:rPr>
          <w:color w:val="231F20"/>
        </w:rPr>
        <w:t>de</w:t>
      </w:r>
      <w:r>
        <w:rPr>
          <w:color w:val="231F20"/>
          <w:spacing w:val="-9"/>
        </w:rPr>
        <w:t> </w:t>
      </w:r>
      <w:r>
        <w:rPr>
          <w:color w:val="231F20"/>
        </w:rPr>
        <w:t>‘Hurakán’</w:t>
      </w:r>
      <w:r>
        <w:rPr>
          <w:color w:val="231F20"/>
          <w:spacing w:val="-24"/>
        </w:rPr>
        <w:t> </w:t>
      </w:r>
      <w:r>
        <w:rPr>
          <w:color w:val="231F20"/>
        </w:rPr>
        <w:t>(0.40</w:t>
      </w:r>
      <w:r>
        <w:rPr>
          <w:color w:val="231F20"/>
          <w:spacing w:val="-9"/>
        </w:rPr>
        <w:t> </w:t>
      </w:r>
      <w:r>
        <w:rPr>
          <w:color w:val="231F20"/>
        </w:rPr>
        <w:t>g•g</w:t>
      </w:r>
      <w:r>
        <w:rPr>
          <w:color w:val="231F20"/>
          <w:position w:val="7"/>
          <w:sz w:val="12"/>
        </w:rPr>
        <w:t>-1</w:t>
      </w:r>
      <w:r>
        <w:rPr>
          <w:color w:val="231F20"/>
        </w:rPr>
        <w:t>•día</w:t>
      </w:r>
      <w:r>
        <w:rPr>
          <w:color w:val="231F20"/>
          <w:position w:val="7"/>
          <w:sz w:val="12"/>
        </w:rPr>
        <w:t>-1</w:t>
      </w:r>
      <w:r>
        <w:rPr>
          <w:color w:val="231F20"/>
        </w:rPr>
        <w:t>), mientras que en los materiales precoces el valor máximo se obtuvo en ‘Lolita’ (0.36 g•g</w:t>
      </w:r>
      <w:r>
        <w:rPr>
          <w:color w:val="231F20"/>
          <w:position w:val="7"/>
          <w:sz w:val="12"/>
        </w:rPr>
        <w:t>-1</w:t>
      </w:r>
      <w:r>
        <w:rPr>
          <w:color w:val="231F20"/>
        </w:rPr>
        <w:t>•día</w:t>
      </w:r>
      <w:r>
        <w:rPr>
          <w:color w:val="231F20"/>
          <w:position w:val="7"/>
          <w:sz w:val="12"/>
        </w:rPr>
        <w:t>-1</w:t>
      </w:r>
      <w:r>
        <w:rPr>
          <w:color w:val="231F20"/>
        </w:rPr>
        <w:t>), seguido de </w:t>
      </w:r>
      <w:r>
        <w:rPr>
          <w:color w:val="231F20"/>
          <w:spacing w:val="-3"/>
        </w:rPr>
        <w:t>‘WA9041’ </w:t>
      </w:r>
      <w:r>
        <w:rPr>
          <w:color w:val="231F20"/>
        </w:rPr>
        <w:t>(0.28 g•g•día</w:t>
      </w:r>
      <w:r>
        <w:rPr>
          <w:color w:val="231F20"/>
          <w:position w:val="7"/>
          <w:sz w:val="12"/>
        </w:rPr>
        <w:t>-1</w:t>
      </w:r>
      <w:r>
        <w:rPr>
          <w:color w:val="231F20"/>
        </w:rPr>
        <w:t>) (Figura 3b), el menor valor se obtuvo con </w:t>
      </w:r>
      <w:r>
        <w:rPr>
          <w:color w:val="231F20"/>
          <w:spacing w:val="-3"/>
        </w:rPr>
        <w:t>‘Tala’ </w:t>
      </w:r>
      <w:r>
        <w:rPr>
          <w:color w:val="231F20"/>
        </w:rPr>
        <w:t>(0.15 g• g</w:t>
      </w:r>
      <w:r>
        <w:rPr>
          <w:color w:val="231F20"/>
          <w:position w:val="7"/>
          <w:sz w:val="12"/>
        </w:rPr>
        <w:t>-1</w:t>
      </w:r>
      <w:r>
        <w:rPr>
          <w:color w:val="231F20"/>
        </w:rPr>
        <w:t>•día</w:t>
      </w:r>
      <w:r>
        <w:rPr>
          <w:color w:val="231F20"/>
          <w:position w:val="7"/>
          <w:sz w:val="12"/>
        </w:rPr>
        <w:t>-1</w:t>
      </w:r>
      <w:r>
        <w:rPr>
          <w:color w:val="231F20"/>
        </w:rPr>
        <w:t>). La TRC decreció con la edad, atribuible a la reducción proporcional del tejido meriste- mático en la planta. La tasa de asimilación neta </w:t>
      </w:r>
      <w:r>
        <w:rPr>
          <w:color w:val="231F20"/>
          <w:spacing w:val="-4"/>
        </w:rPr>
        <w:t>(TAN), </w:t>
      </w:r>
      <w:r>
        <w:rPr>
          <w:color w:val="231F20"/>
        </w:rPr>
        <w:t>que se puede considerar un estimador de    la actividad fotosintética, fue creciente hasta los 40 dds en los genotipos más precoces ‘Lolita’, </w:t>
      </w:r>
      <w:r>
        <w:rPr>
          <w:color w:val="231F20"/>
          <w:spacing w:val="-3"/>
        </w:rPr>
        <w:t>‘WA9041’, </w:t>
      </w:r>
      <w:r>
        <w:rPr>
          <w:color w:val="231F20"/>
        </w:rPr>
        <w:t>‘Dolarzini’ y ‘Lolita’ con valores máximos de 24.1, 23.5, 22.7 y 16.78 g•m2•día</w:t>
      </w:r>
      <w:r>
        <w:rPr>
          <w:color w:val="231F20"/>
          <w:position w:val="7"/>
          <w:sz w:val="12"/>
        </w:rPr>
        <w:t>-1</w:t>
      </w:r>
      <w:r>
        <w:rPr>
          <w:color w:val="231F20"/>
        </w:rPr>
        <w:t>, res- pectivamente; y hasta los 48 dds en los más tardíos ‘Terminator’ y ‘Hurakán’ con valores de 27.2   y 25.13 g•m2•día</w:t>
      </w:r>
      <w:r>
        <w:rPr>
          <w:color w:val="231F20"/>
          <w:position w:val="7"/>
          <w:sz w:val="12"/>
        </w:rPr>
        <w:t>-1</w:t>
      </w:r>
      <w:r>
        <w:rPr>
          <w:color w:val="231F20"/>
        </w:rPr>
        <w:t>, respectivamente (Figura 3c). En los genotipos mas precoces la </w:t>
      </w:r>
      <w:r>
        <w:rPr>
          <w:color w:val="231F20"/>
          <w:spacing w:val="-6"/>
        </w:rPr>
        <w:t>TAN </w:t>
      </w:r>
      <w:r>
        <w:rPr>
          <w:color w:val="231F20"/>
        </w:rPr>
        <w:t>se redujo drásticamente después de los 70 dds atribuible a la senescencia</w:t>
      </w:r>
      <w:r>
        <w:rPr>
          <w:color w:val="231F20"/>
          <w:spacing w:val="-26"/>
        </w:rPr>
        <w:t> </w:t>
      </w:r>
      <w:r>
        <w:rPr>
          <w:color w:val="231F20"/>
        </w:rPr>
        <w:t>foliar.</w:t>
      </w:r>
    </w:p>
    <w:p>
      <w:pPr>
        <w:pStyle w:val="BodyText"/>
        <w:spacing w:before="7"/>
      </w:pPr>
    </w:p>
    <w:p>
      <w:pPr>
        <w:pStyle w:val="BodyText"/>
        <w:spacing w:line="247" w:lineRule="auto"/>
        <w:ind w:left="1270" w:right="1252"/>
        <w:jc w:val="both"/>
      </w:pPr>
      <w:r>
        <w:rPr>
          <w:color w:val="231F20"/>
        </w:rPr>
        <w:t>El</w:t>
      </w:r>
      <w:r>
        <w:rPr>
          <w:color w:val="231F20"/>
          <w:spacing w:val="-3"/>
        </w:rPr>
        <w:t> </w:t>
      </w:r>
      <w:r>
        <w:rPr>
          <w:color w:val="231F20"/>
        </w:rPr>
        <w:t>índice</w:t>
      </w:r>
      <w:r>
        <w:rPr>
          <w:color w:val="231F20"/>
          <w:spacing w:val="-3"/>
        </w:rPr>
        <w:t> </w:t>
      </w:r>
      <w:r>
        <w:rPr>
          <w:color w:val="231F20"/>
        </w:rPr>
        <w:t>de</w:t>
      </w:r>
      <w:r>
        <w:rPr>
          <w:color w:val="231F20"/>
          <w:spacing w:val="-3"/>
        </w:rPr>
        <w:t> </w:t>
      </w:r>
      <w:r>
        <w:rPr>
          <w:color w:val="231F20"/>
        </w:rPr>
        <w:t>cosecha</w:t>
      </w:r>
      <w:r>
        <w:rPr>
          <w:color w:val="231F20"/>
          <w:spacing w:val="-3"/>
        </w:rPr>
        <w:t> </w:t>
      </w:r>
      <w:r>
        <w:rPr>
          <w:color w:val="231F20"/>
        </w:rPr>
        <w:t>(IC)</w:t>
      </w:r>
      <w:r>
        <w:rPr>
          <w:color w:val="231F20"/>
          <w:spacing w:val="-3"/>
        </w:rPr>
        <w:t> </w:t>
      </w:r>
      <w:r>
        <w:rPr>
          <w:color w:val="231F20"/>
        </w:rPr>
        <w:t>de</w:t>
      </w:r>
      <w:r>
        <w:rPr>
          <w:color w:val="231F20"/>
          <w:spacing w:val="-3"/>
        </w:rPr>
        <w:t> </w:t>
      </w:r>
      <w:r>
        <w:rPr>
          <w:color w:val="231F20"/>
        </w:rPr>
        <w:t>la</w:t>
      </w:r>
      <w:r>
        <w:rPr>
          <w:color w:val="231F20"/>
          <w:spacing w:val="-3"/>
        </w:rPr>
        <w:t> </w:t>
      </w:r>
      <w:r>
        <w:rPr>
          <w:color w:val="231F20"/>
        </w:rPr>
        <w:t>calabacita</w:t>
      </w:r>
      <w:r>
        <w:rPr>
          <w:color w:val="231F20"/>
          <w:spacing w:val="-4"/>
        </w:rPr>
        <w:t> </w:t>
      </w:r>
      <w:r>
        <w:rPr>
          <w:color w:val="231F20"/>
        </w:rPr>
        <w:t>para</w:t>
      </w:r>
      <w:r>
        <w:rPr>
          <w:color w:val="231F20"/>
          <w:spacing w:val="-3"/>
        </w:rPr>
        <w:t> </w:t>
      </w:r>
      <w:r>
        <w:rPr>
          <w:color w:val="231F20"/>
        </w:rPr>
        <w:t>verdura</w:t>
      </w:r>
      <w:r>
        <w:rPr>
          <w:color w:val="231F20"/>
          <w:spacing w:val="-3"/>
        </w:rPr>
        <w:t> </w:t>
      </w:r>
      <w:r>
        <w:rPr>
          <w:color w:val="231F20"/>
        </w:rPr>
        <w:t>fue</w:t>
      </w:r>
      <w:r>
        <w:rPr>
          <w:color w:val="231F20"/>
          <w:spacing w:val="-3"/>
        </w:rPr>
        <w:t> </w:t>
      </w:r>
      <w:r>
        <w:rPr>
          <w:color w:val="231F20"/>
        </w:rPr>
        <w:t>de</w:t>
      </w:r>
      <w:r>
        <w:rPr>
          <w:color w:val="231F20"/>
          <w:spacing w:val="-3"/>
        </w:rPr>
        <w:t> </w:t>
      </w:r>
      <w:r>
        <w:rPr>
          <w:color w:val="231F20"/>
        </w:rPr>
        <w:t>0.29,</w:t>
      </w:r>
      <w:r>
        <w:rPr>
          <w:color w:val="231F20"/>
          <w:spacing w:val="-3"/>
        </w:rPr>
        <w:t> </w:t>
      </w:r>
      <w:r>
        <w:rPr>
          <w:color w:val="231F20"/>
        </w:rPr>
        <w:t>0.32</w:t>
      </w:r>
      <w:r>
        <w:rPr>
          <w:color w:val="231F20"/>
          <w:spacing w:val="-3"/>
        </w:rPr>
        <w:t> </w:t>
      </w:r>
      <w:r>
        <w:rPr>
          <w:color w:val="231F20"/>
        </w:rPr>
        <w:t>y</w:t>
      </w:r>
      <w:r>
        <w:rPr>
          <w:color w:val="231F20"/>
          <w:spacing w:val="-3"/>
        </w:rPr>
        <w:t> </w:t>
      </w:r>
      <w:r>
        <w:rPr>
          <w:color w:val="231F20"/>
        </w:rPr>
        <w:t>0.35</w:t>
      </w:r>
      <w:r>
        <w:rPr>
          <w:color w:val="231F20"/>
          <w:spacing w:val="-3"/>
        </w:rPr>
        <w:t> </w:t>
      </w:r>
      <w:r>
        <w:rPr>
          <w:color w:val="231F20"/>
        </w:rPr>
        <w:t>en</w:t>
      </w:r>
      <w:r>
        <w:rPr>
          <w:color w:val="231F20"/>
          <w:spacing w:val="-3"/>
        </w:rPr>
        <w:t> </w:t>
      </w:r>
      <w:r>
        <w:rPr>
          <w:color w:val="231F20"/>
        </w:rPr>
        <w:t>los</w:t>
      </w:r>
      <w:r>
        <w:rPr>
          <w:color w:val="231F20"/>
          <w:spacing w:val="-3"/>
        </w:rPr>
        <w:t> </w:t>
      </w:r>
      <w:r>
        <w:rPr>
          <w:color w:val="231F20"/>
        </w:rPr>
        <w:t>genotipos</w:t>
      </w:r>
      <w:r>
        <w:rPr>
          <w:color w:val="231F20"/>
          <w:spacing w:val="-3"/>
        </w:rPr>
        <w:t> </w:t>
      </w:r>
      <w:r>
        <w:rPr>
          <w:color w:val="231F20"/>
        </w:rPr>
        <w:t>pre- coces </w:t>
      </w:r>
      <w:r>
        <w:rPr>
          <w:color w:val="231F20"/>
          <w:spacing w:val="-3"/>
        </w:rPr>
        <w:t>‘Tala’, </w:t>
      </w:r>
      <w:r>
        <w:rPr>
          <w:color w:val="231F20"/>
        </w:rPr>
        <w:t>‘Dolarzini’ y </w:t>
      </w:r>
      <w:r>
        <w:rPr>
          <w:color w:val="231F20"/>
          <w:spacing w:val="-3"/>
        </w:rPr>
        <w:t>‘WA9041’, </w:t>
      </w:r>
      <w:r>
        <w:rPr>
          <w:color w:val="231F20"/>
        </w:rPr>
        <w:t>respectivamente; mientras que en ‘Hurakán’ y ‘Terminator’ fue de 0.36 y 0.39, respectivamente. En el caso de Lolita el IC fue el más alto (0.40). En general, el IC es considerado bajo comparado con el del trigo que es de 0.60. En términos de eficiencia medida con</w:t>
      </w:r>
      <w:r>
        <w:rPr>
          <w:color w:val="231F20"/>
          <w:spacing w:val="-7"/>
        </w:rPr>
        <w:t> </w:t>
      </w:r>
      <w:r>
        <w:rPr>
          <w:color w:val="231F20"/>
        </w:rPr>
        <w:t>respecto</w:t>
      </w:r>
      <w:r>
        <w:rPr>
          <w:color w:val="231F20"/>
          <w:spacing w:val="-7"/>
        </w:rPr>
        <w:t> </w:t>
      </w:r>
      <w:r>
        <w:rPr>
          <w:color w:val="231F20"/>
        </w:rPr>
        <w:t>al</w:t>
      </w:r>
      <w:r>
        <w:rPr>
          <w:color w:val="231F20"/>
          <w:spacing w:val="-7"/>
        </w:rPr>
        <w:t> </w:t>
      </w:r>
      <w:r>
        <w:rPr>
          <w:color w:val="231F20"/>
        </w:rPr>
        <w:t>tiempo,</w:t>
      </w:r>
      <w:r>
        <w:rPr>
          <w:color w:val="231F20"/>
          <w:spacing w:val="-7"/>
        </w:rPr>
        <w:t> </w:t>
      </w:r>
      <w:r>
        <w:rPr>
          <w:color w:val="231F20"/>
        </w:rPr>
        <w:t>el</w:t>
      </w:r>
      <w:r>
        <w:rPr>
          <w:color w:val="231F20"/>
          <w:spacing w:val="-7"/>
        </w:rPr>
        <w:t> </w:t>
      </w:r>
      <w:r>
        <w:rPr>
          <w:color w:val="231F20"/>
        </w:rPr>
        <w:t>híbrido</w:t>
      </w:r>
      <w:r>
        <w:rPr>
          <w:color w:val="231F20"/>
          <w:spacing w:val="-7"/>
        </w:rPr>
        <w:t> </w:t>
      </w:r>
      <w:r>
        <w:rPr>
          <w:color w:val="231F20"/>
        </w:rPr>
        <w:t>‘Lolita’</w:t>
      </w:r>
      <w:r>
        <w:rPr>
          <w:color w:val="231F20"/>
          <w:spacing w:val="-23"/>
        </w:rPr>
        <w:t> </w:t>
      </w:r>
      <w:r>
        <w:rPr>
          <w:color w:val="231F20"/>
        </w:rPr>
        <w:t>es</w:t>
      </w:r>
      <w:r>
        <w:rPr>
          <w:color w:val="231F20"/>
          <w:spacing w:val="-7"/>
        </w:rPr>
        <w:t> </w:t>
      </w:r>
      <w:r>
        <w:rPr>
          <w:color w:val="231F20"/>
        </w:rPr>
        <w:t>más</w:t>
      </w:r>
      <w:r>
        <w:rPr>
          <w:color w:val="231F20"/>
          <w:spacing w:val="-7"/>
        </w:rPr>
        <w:t> </w:t>
      </w:r>
      <w:r>
        <w:rPr>
          <w:color w:val="231F20"/>
        </w:rPr>
        <w:t>eficiente</w:t>
      </w:r>
      <w:r>
        <w:rPr>
          <w:color w:val="231F20"/>
          <w:spacing w:val="-7"/>
        </w:rPr>
        <w:t> </w:t>
      </w:r>
      <w:r>
        <w:rPr>
          <w:color w:val="231F20"/>
        </w:rPr>
        <w:t>porque</w:t>
      </w:r>
      <w:r>
        <w:rPr>
          <w:color w:val="231F20"/>
          <w:spacing w:val="-7"/>
        </w:rPr>
        <w:t> </w:t>
      </w:r>
      <w:r>
        <w:rPr>
          <w:color w:val="231F20"/>
        </w:rPr>
        <w:t>entra</w:t>
      </w:r>
      <w:r>
        <w:rPr>
          <w:color w:val="231F20"/>
          <w:spacing w:val="-7"/>
        </w:rPr>
        <w:t> </w:t>
      </w:r>
      <w:r>
        <w:rPr>
          <w:color w:val="231F20"/>
        </w:rPr>
        <w:t>más</w:t>
      </w:r>
      <w:r>
        <w:rPr>
          <w:color w:val="231F20"/>
          <w:spacing w:val="-7"/>
        </w:rPr>
        <w:t> </w:t>
      </w:r>
      <w:r>
        <w:rPr>
          <w:color w:val="231F20"/>
        </w:rPr>
        <w:t>pronto</w:t>
      </w:r>
      <w:r>
        <w:rPr>
          <w:color w:val="231F20"/>
          <w:spacing w:val="-7"/>
        </w:rPr>
        <w:t> </w:t>
      </w:r>
      <w:r>
        <w:rPr>
          <w:color w:val="231F20"/>
        </w:rPr>
        <w:t>a</w:t>
      </w:r>
      <w:r>
        <w:rPr>
          <w:color w:val="231F20"/>
          <w:spacing w:val="-7"/>
        </w:rPr>
        <w:t> </w:t>
      </w:r>
      <w:r>
        <w:rPr>
          <w:color w:val="231F20"/>
        </w:rPr>
        <w:t>producción</w:t>
      </w:r>
      <w:r>
        <w:rPr>
          <w:color w:val="231F20"/>
          <w:spacing w:val="-7"/>
        </w:rPr>
        <w:t> </w:t>
      </w:r>
      <w:r>
        <w:rPr>
          <w:color w:val="231F20"/>
        </w:rPr>
        <w:t>que ‘Terminator’ y ‘Hurakán’, y con rendimiento por planta y por hectárea de verdura estadísticamente similar a</w:t>
      </w:r>
      <w:r>
        <w:rPr>
          <w:color w:val="231F20"/>
          <w:spacing w:val="-14"/>
        </w:rPr>
        <w:t> </w:t>
      </w:r>
      <w:r>
        <w:rPr>
          <w:color w:val="231F20"/>
        </w:rPr>
        <w:t>‘Terminator’.</w:t>
      </w:r>
    </w:p>
    <w:p>
      <w:pPr>
        <w:spacing w:after="0" w:line="247" w:lineRule="auto"/>
        <w:jc w:val="both"/>
        <w:sectPr>
          <w:pgSz w:w="10920" w:h="13080"/>
          <w:pgMar w:header="0" w:footer="965" w:top="420" w:bottom="1220" w:left="0" w:right="0"/>
        </w:sectPr>
      </w:pPr>
    </w:p>
    <w:p>
      <w:pPr>
        <w:pStyle w:val="BodyText"/>
        <w:rPr>
          <w:sz w:val="20"/>
        </w:rPr>
      </w:pPr>
    </w:p>
    <w:p>
      <w:pPr>
        <w:pStyle w:val="BodyText"/>
        <w:rPr>
          <w:sz w:val="20"/>
        </w:rPr>
      </w:pPr>
    </w:p>
    <w:p>
      <w:pPr>
        <w:pStyle w:val="BodyText"/>
        <w:rPr>
          <w:sz w:val="23"/>
        </w:rPr>
      </w:pPr>
    </w:p>
    <w:p>
      <w:pPr>
        <w:spacing w:line="249" w:lineRule="auto" w:before="77"/>
        <w:ind w:left="2466" w:right="1569" w:hanging="659"/>
        <w:jc w:val="left"/>
        <w:rPr>
          <w:b/>
          <w:sz w:val="18"/>
        </w:rPr>
      </w:pPr>
      <w:r>
        <w:rPr/>
        <w:pict>
          <v:group style="position:absolute;margin-left:69.530777pt;margin-top:38.203041pt;width:212.35pt;height:142.550pt;mso-position-horizontal-relative:page;mso-position-vertical-relative:paragraph;z-index:5392" coordorigin="1391,764" coordsize="4247,2851">
            <v:line style="position:absolute" from="2029,2937" to="2029,1302" stroked="true" strokeweight=".63193pt" strokecolor="#010202"/>
            <v:shape style="position:absolute;left:0;top:11933;width:100;height:2580" coordorigin="0,11933" coordsize="100,2580" path="m1966,2937l2029,2937m1966,2797l2029,2797m1966,2658l2029,2658m1966,2519l2029,2519m1966,2392l2029,2392m1966,2253l2029,2253m1966,2113l2029,2113m1966,1987l2029,1987m1966,1847l2029,1847m1966,1708l2029,1708m1966,1581l2029,1581m1966,1442l2029,1442m1966,1302l2029,1302e" filled="false" stroked="true" strokeweight=".632670pt" strokecolor="#010202">
              <v:path arrowok="t"/>
            </v:shape>
            <v:shape style="position:absolute;left:0;top:11853;width:4040;height:80" coordorigin="0,11853" coordsize="4040,80" path="m2029,2937l4582,2937m2029,2937l2029,2987m2534,2937l2534,2987m3040,2937l3040,2987m3558,2937l3558,2987m4064,2937l4064,2987m4582,2937l4582,2987e" filled="false" stroked="true" strokeweight=".632670pt" strokecolor="#010202">
              <v:path arrowok="t"/>
            </v:shape>
            <v:shape style="position:absolute;left:2535;top:2227;width:2045;height:610" coordorigin="2535,2227" coordsize="2045,610" path="m2535,2836l2562,2827,2597,2817,2637,2805,2683,2792,2785,2762,2893,2725,2998,2683,3085,2638,3164,2585,3243,2524,3282,2492,3321,2460,3400,2400,3479,2347,3557,2308,3650,2274,3743,2247,3836,2230,3883,2227,3929,2227,4022,2240,4108,2270,4187,2316,4265,2376,4344,2446,4423,2520,4462,2557,4501,2593,4541,2627,4580,2660e" filled="false" stroked="true" strokeweight=".63329pt" strokecolor="#010202">
              <v:path arrowok="t"/>
            </v:shape>
            <v:shape style="position:absolute;left:2522;top:2823;width:38;height:38" coordorigin="2522,2823" coordsize="38,38" path="m2551,2861l2530,2861,2522,2852,2522,2831,2530,2823,2551,2823,2560,2831,2560,2852,2551,2861xe" filled="true" fillcolor="#010202" stroked="false">
              <v:path arrowok="t"/>
              <v:fill type="solid"/>
            </v:shape>
            <v:shape style="position:absolute;left:2522;top:2823;width:38;height:38" coordorigin="2522,2823" coordsize="38,38" path="m2560,2842l2560,2852,2551,2861,2541,2861,2530,2861,2522,2852,2522,2842,2522,2831,2530,2823,2541,2823,2551,2823,2560,2831,2560,2842xe" filled="false" stroked="true" strokeweight=".633329pt" strokecolor="#010202">
              <v:path arrowok="t"/>
            </v:shape>
            <v:shape style="position:absolute;left:3027;top:2645;width:38;height:38" coordorigin="3027,2645" coordsize="38,38" path="m3057,2683l3036,2683,3027,2675,3027,2654,3036,2645,3057,2645,3065,2654,3065,2675,3057,2683xe" filled="true" fillcolor="#010202" stroked="false">
              <v:path arrowok="t"/>
              <v:fill type="solid"/>
            </v:shape>
            <v:shape style="position:absolute;left:3027;top:2645;width:38;height:38" coordorigin="3027,2645" coordsize="38,38" path="m3065,2664l3065,2675,3057,2683,3046,2683,3036,2683,3027,2675,3027,2664,3027,2654,3036,2645,3046,2645,3057,2645,3065,2654,3065,2664xe" filled="false" stroked="true" strokeweight=".633329pt" strokecolor="#010202">
              <v:path arrowok="t"/>
            </v:shape>
            <v:shape style="position:absolute;left:3546;top:2291;width:38;height:38" coordorigin="3546,2291" coordsize="38,38" path="m3575,2329l3554,2329,3546,2320,3546,2299,3554,2291,3575,2291,3583,2299,3583,2320,3575,2329xe" filled="true" fillcolor="#010202" stroked="false">
              <v:path arrowok="t"/>
              <v:fill type="solid"/>
            </v:shape>
            <v:shape style="position:absolute;left:3546;top:2291;width:38;height:38" coordorigin="3546,2291" coordsize="38,38" path="m3583,2310l3583,2320,3575,2329,3564,2329,3554,2329,3546,2320,3546,2310,3546,2299,3554,2291,3564,2291,3575,2291,3583,2299,3583,2310xe" filled="false" stroked="true" strokeweight=".633329pt" strokecolor="#010202">
              <v:path arrowok="t"/>
            </v:shape>
            <v:shape style="position:absolute;left:4051;top:2240;width:38;height:38" coordorigin="4051,2240" coordsize="38,38" path="m4081,2278l4060,2278,4051,2269,4051,2248,4060,2240,4081,2240,4089,2248,4089,2269,4081,2278xe" filled="true" fillcolor="#010202" stroked="false">
              <v:path arrowok="t"/>
              <v:fill type="solid"/>
            </v:shape>
            <v:shape style="position:absolute;left:4051;top:2240;width:38;height:38" coordorigin="4051,2240" coordsize="38,38" path="m4089,2259l4089,2269,4081,2278,4070,2278,4060,2278,4051,2269,4051,2259,4051,2248,4060,2240,4070,2240,4081,2240,4089,2248,4089,2259xe" filled="false" stroked="true" strokeweight=".633329pt" strokecolor="#010202">
              <v:path arrowok="t"/>
            </v:shape>
            <v:shape style="position:absolute;left:4569;top:2645;width:38;height:38" coordorigin="4569,2645" coordsize="38,38" path="m4599,2683l4578,2683,4569,2675,4569,2654,4578,2645,4599,2645,4607,2654,4607,2675,4599,2683xe" filled="true" fillcolor="#010202" stroked="false">
              <v:path arrowok="t"/>
              <v:fill type="solid"/>
            </v:shape>
            <v:shape style="position:absolute;left:4569;top:2645;width:38;height:38" coordorigin="4569,2645" coordsize="38,38" path="m4607,2664l4607,2675,4599,2683,4588,2683,4578,2683,4569,2675,4569,2664,4569,2654,4578,2645,4588,2645,4599,2645,4607,2654,4607,2664xe" filled="false" stroked="true" strokeweight=".633329pt" strokecolor="#010202">
              <v:path arrowok="t"/>
            </v:shape>
            <v:shape style="position:absolute;left:2535;top:1942;width:2045;height:840" coordorigin="2535,1942" coordsize="2045,840" path="m2535,2782l2562,2769,2597,2752,2637,2733,2683,2712,2785,2663,2893,2609,2946,2581,3046,2524,3125,2473,3203,2415,3282,2354,3321,2324,3361,2293,3439,2235,3518,2182,3600,2134,3643,2108,3728,2057,3813,2010,3898,1972,3983,1947,4069,1942,4111,1948,4196,1978,4282,2025,4367,2083,4452,2144,4495,2173,4537,2201,4580,2226e" filled="false" stroked="true" strokeweight=".633197pt" strokecolor="#f6ec13">
              <v:path arrowok="t"/>
            </v:shape>
            <v:shape style="position:absolute;left:2509;top:2759;width:51;height:51" coordorigin="2509,2759" coordsize="51,51" path="m2534,2759l2560,2810,2509,2810,2534,2759xe" filled="false" stroked="true" strokeweight=".633329pt" strokecolor="#f6ec13">
              <v:path arrowok="t"/>
            </v:shape>
            <v:shape style="position:absolute;left:3015;top:2493;width:51;height:51" coordorigin="3015,2493" coordsize="51,51" path="m3040,2493l3065,2544,3015,2544,3040,2493xe" filled="false" stroked="true" strokeweight=".633329pt" strokecolor="#f6ec13">
              <v:path arrowok="t"/>
            </v:shape>
            <v:shape style="position:absolute;left:3533;top:2139;width:51;height:51" coordorigin="3533,2139" coordsize="51,51" path="m3558,2139l3583,2189,3533,2189,3558,2139xe" filled="false" stroked="true" strokeweight=".633329pt" strokecolor="#f6ec13">
              <v:path arrowok="t"/>
            </v:shape>
            <v:shape style="position:absolute;left:4038;top:1911;width:51;height:51" coordorigin="4038,1911" coordsize="51,51" path="m4064,1911l4089,1961,4038,1961,4064,1911xe" filled="false" stroked="true" strokeweight=".633329pt" strokecolor="#f6ec13">
              <v:path arrowok="t"/>
            </v:shape>
            <v:shape style="position:absolute;left:4557;top:2202;width:51;height:51" coordorigin="4557,2202" coordsize="51,51" path="m4582,2202l4607,2253,4557,2253,4582,2202xe" filled="false" stroked="true" strokeweight=".633329pt" strokecolor="#f6ec13">
              <v:path arrowok="t"/>
            </v:shape>
            <v:shape style="position:absolute;left:2535;top:2034;width:2045;height:762" coordorigin="2535,2034" coordsize="2045,762" path="m2535,2795l2562,2785,2597,2772,2637,2756,2683,2739,2785,2700,2893,2657,2998,2613,3093,2571,3186,2527,3279,2481,3371,2434,3464,2385,3557,2335,3643,2282,3728,2222,3770,2191,3813,2160,3898,2105,3983,2061,4069,2037,4115,2034,4162,2037,4255,2058,4347,2093,4440,2133,4487,2153,4533,2171,4580,2186e" filled="false" stroked="true" strokeweight=".633230pt" strokecolor="#b9529f">
              <v:path arrowok="t"/>
            </v:shape>
            <v:line style="position:absolute" from="2509,2797" to="2560,2797" stroked="true" strokeweight="2.533650pt" strokecolor="#b9529f"/>
            <v:rect style="position:absolute;left:2509;top:2772;width:51;height:51" filled="false" stroked="true" strokeweight=".633329pt" strokecolor="#b9529f"/>
            <v:line style="position:absolute" from="3015,2595" to="3065,2595" stroked="true" strokeweight="2.533650pt" strokecolor="#b9529f"/>
            <v:rect style="position:absolute;left:3015;top:2569;width:51;height:51" filled="false" stroked="true" strokeweight=".633329pt" strokecolor="#b9529f"/>
            <v:line style="position:absolute" from="3533,2329" to="3583,2329" stroked="true" strokeweight="2.533650pt" strokecolor="#b9529f"/>
            <v:rect style="position:absolute;left:3533;top:2303;width:51;height:51" filled="false" stroked="true" strokeweight=".633329pt" strokecolor="#b9529f"/>
            <v:line style="position:absolute" from="4038,2037" to="4089,2037" stroked="true" strokeweight="2.533650pt" strokecolor="#b9529f"/>
            <v:rect style="position:absolute;left:4038;top:2012;width:51;height:51" filled="false" stroked="true" strokeweight=".633329pt" strokecolor="#b9529f"/>
            <v:line style="position:absolute" from="4557,2189" to="4607,2189" stroked="true" strokeweight="2.533650pt" strokecolor="#b9529f"/>
            <v:rect style="position:absolute;left:4557;top:2164;width:51;height:51" filled="false" stroked="true" strokeweight=".633329pt" strokecolor="#b9529f"/>
            <v:shape style="position:absolute;left:2535;top:1817;width:2045;height:884" coordorigin="2535,1817" coordsize="2045,884" path="m2535,2701l2562,2690,2597,2678,2637,2665,2683,2649,2785,2613,2893,2571,2998,2523,3085,2474,3164,2420,3243,2361,3321,2298,3361,2266,3400,2235,3439,2204,3479,2174,3518,2145,3557,2118,3597,2090,3636,2060,3675,2028,3715,1995,3754,1962,3833,1901,3911,1852,3990,1823,4029,1817,4069,1820,4137,1845,4205,1891,4273,1954,4341,2028,4409,2108,4444,2148,4478,2187,4512,2225,4546,2261,4580,2294e" filled="false" stroked="true" strokeweight=".633178pt" strokecolor="#6fccdd">
              <v:path arrowok="t"/>
            </v:shape>
            <v:shape style="position:absolute;left:-381000;top:11933;width:381000;height:381000" coordorigin="-381000,11933" coordsize="381000,381000" path="m2560,2721l2509,2671m2509,2721l2560,2671e" filled="false" stroked="true" strokeweight=".633331pt" strokecolor="#6fccdd">
              <v:path arrowok="t"/>
            </v:shape>
            <v:shape style="position:absolute;left:-381000;top:11933;width:381000;height:381000" coordorigin="-381000,11933" coordsize="381000,381000" path="m3065,2519l3015,2468m3015,2519l3065,2468e" filled="false" stroked="true" strokeweight=".633331pt" strokecolor="#6fccdd">
              <v:path arrowok="t"/>
            </v:shape>
            <v:shape style="position:absolute;left:-381000;top:11933;width:381000;height:381000" coordorigin="-381000,11933" coordsize="381000,381000" path="m3583,2139l3533,2088m3533,2139l3583,2088e" filled="false" stroked="true" strokeweight=".633331pt" strokecolor="#6fccdd">
              <v:path arrowok="t"/>
            </v:shape>
            <v:shape style="position:absolute;left:-381000;top:11933;width:381000;height:381000" coordorigin="-381000,11933" coordsize="381000,381000" path="m4089,1847l4038,1797m4038,1847l4089,1797e" filled="false" stroked="true" strokeweight=".633331pt" strokecolor="#6fccdd">
              <v:path arrowok="t"/>
            </v:shape>
            <v:shape style="position:absolute;left:-381000;top:11933;width:381000;height:381000" coordorigin="-381000,11933" coordsize="381000,381000" path="m4607,2316l4557,2265m4557,2316l4607,2265e" filled="false" stroked="true" strokeweight=".633331pt" strokecolor="#6fccdd">
              <v:path arrowok="t"/>
            </v:shape>
            <v:shape style="position:absolute;left:2535;top:1576;width:2045;height:1030" coordorigin="2535,1576" coordsize="2045,1030" path="m2535,2606l2562,2595,2597,2582,2637,2568,2683,2551,2785,2513,2893,2469,2998,2417,3085,2363,3164,2304,3243,2238,3321,2168,3361,2133,3400,2098,3479,2030,3557,1969,3600,1938,3643,1906,3728,1844,3813,1784,3898,1730,3983,1682,4069,1644,4171,1614,4273,1598,4375,1591,4426,1588,4478,1586,4529,1582,4580,1576e" filled="false" stroked="true" strokeweight=".633111pt" strokecolor="#7c277d">
              <v:path arrowok="t"/>
            </v:shape>
            <v:shape style="position:absolute;left:-381000;top:11933;width:381000;height:381000" coordorigin="-381000,11933" coordsize="381000,381000" path="m2560,2633l2509,2582m2534,2582l2534,2633m2509,2633l2560,2582e" filled="false" stroked="true" strokeweight=".633331pt" strokecolor="#7c277d">
              <v:path arrowok="t"/>
            </v:shape>
            <v:shape style="position:absolute;left:-381000;top:11933;width:381000;height:381000" coordorigin="-381000,11933" coordsize="381000,381000" path="m3065,2417l3015,2367m3040,2367l3040,2417m3015,2417l3065,2367e" filled="false" stroked="true" strokeweight=".633331pt" strokecolor="#7c277d">
              <v:path arrowok="t"/>
            </v:shape>
            <v:shape style="position:absolute;left:-381000;top:11933;width:381000;height:381000" coordorigin="-381000,11933" coordsize="381000,381000" path="m3583,1999l3533,1949m3558,1949l3558,1999m3533,1999l3583,1949e" filled="false" stroked="true" strokeweight=".633331pt" strokecolor="#7c277d">
              <v:path arrowok="t"/>
            </v:shape>
            <v:shape style="position:absolute;left:-381000;top:11933;width:381000;height:381000" coordorigin="-381000,11933" coordsize="381000,381000" path="m4089,1670l4038,1619m4064,1619l4064,1670m4038,1670l4089,1619e" filled="false" stroked="true" strokeweight=".633331pt" strokecolor="#7c277d">
              <v:path arrowok="t"/>
            </v:shape>
            <v:shape style="position:absolute;left:-381000;top:11933;width:381000;height:381000" coordorigin="-381000,11933" coordsize="381000,381000" path="m4607,1607l4557,1556m4582,1556l4582,1607m4557,1607l4607,1556e" filled="false" stroked="true" strokeweight=".633331pt" strokecolor="#7c277d">
              <v:path arrowok="t"/>
            </v:shape>
            <v:shape style="position:absolute;left:2534;top:1911;width:2048;height:748" coordorigin="2534,1911" coordsize="2048,748" path="m2534,2658l3040,2468,3558,2088,4064,1911,4582,2253e" filled="false" stroked="true" strokeweight=".633236pt" strokecolor="#7f1416">
              <v:path arrowok="t"/>
            </v:shape>
            <v:shape style="position:absolute;left:2509;top:2633;width:51;height:51" coordorigin="2509,2633" coordsize="51,51" path="m2548,2683l2520,2683,2509,2672,2509,2644,2520,2633,2548,2633,2560,2644,2560,2672,2548,2683xe" filled="true" fillcolor="#7f1416" stroked="false">
              <v:path arrowok="t"/>
              <v:fill type="solid"/>
            </v:shape>
            <v:shape style="position:absolute;left:2509;top:2633;width:51;height:51" coordorigin="2509,2633" coordsize="51,51" path="m2560,2658l2560,2672,2548,2683,2534,2683,2520,2683,2509,2672,2509,2658,2509,2644,2520,2633,2534,2633,2548,2633,2560,2644,2560,2658xe" filled="false" stroked="true" strokeweight=".633329pt" strokecolor="#7f1416">
              <v:path arrowok="t"/>
            </v:shape>
            <v:shape style="position:absolute;left:3015;top:2443;width:51;height:51" coordorigin="3015,2443" coordsize="51,51" path="m3054,2493l3026,2493,3015,2482,3015,2454,3026,2443,3054,2443,3065,2454,3065,2482,3054,2493xe" filled="true" fillcolor="#7f1416" stroked="false">
              <v:path arrowok="t"/>
              <v:fill type="solid"/>
            </v:shape>
            <v:shape style="position:absolute;left:3015;top:2443;width:51;height:51" coordorigin="3015,2443" coordsize="51,51" path="m3065,2468l3065,2482,3054,2493,3040,2493,3026,2493,3015,2482,3015,2468,3015,2454,3026,2443,3040,2443,3054,2443,3065,2454,3065,2468xe" filled="false" stroked="true" strokeweight=".633329pt" strokecolor="#7f1416">
              <v:path arrowok="t"/>
            </v:shape>
            <v:shape style="position:absolute;left:3533;top:2063;width:51;height:51" coordorigin="3533,2063" coordsize="51,51" path="m3572,2113l3544,2113,3533,2102,3533,2074,3544,2063,3572,2063,3583,2074,3583,2102,3572,2113xe" filled="true" fillcolor="#7f1416" stroked="false">
              <v:path arrowok="t"/>
              <v:fill type="solid"/>
            </v:shape>
            <v:shape style="position:absolute;left:3533;top:2063;width:51;height:51" coordorigin="3533,2063" coordsize="51,51" path="m3583,2088l3583,2102,3572,2113,3558,2113,3544,2113,3533,2102,3533,2088,3533,2074,3544,2063,3558,2063,3572,2063,3583,2074,3583,2088xe" filled="false" stroked="true" strokeweight=".633329pt" strokecolor="#7f1416">
              <v:path arrowok="t"/>
            </v:shape>
            <v:shape style="position:absolute;left:4038;top:1885;width:51;height:51" coordorigin="4038,1885" coordsize="51,51" path="m4078,1936l4050,1936,4038,1925,4038,1897,4050,1885,4078,1885,4089,1897,4089,1925,4078,1936xe" filled="true" fillcolor="#7f1416" stroked="false">
              <v:path arrowok="t"/>
              <v:fill type="solid"/>
            </v:shape>
            <v:shape style="position:absolute;left:4038;top:1885;width:51;height:51" coordorigin="4038,1885" coordsize="51,51" path="m4089,1911l4089,1925,4078,1936,4064,1936,4050,1936,4038,1925,4038,1911,4038,1897,4050,1885,4064,1885,4078,1885,4089,1897,4089,1911xe" filled="false" stroked="true" strokeweight=".633329pt" strokecolor="#7f1416">
              <v:path arrowok="t"/>
            </v:shape>
            <v:shape style="position:absolute;left:4557;top:2227;width:51;height:51" coordorigin="4557,2227" coordsize="51,51" path="m4596,2278l4568,2278,4557,2267,4557,2239,4568,2227,4596,2227,4607,2239,4607,2267,4596,2278xe" filled="true" fillcolor="#7f1416" stroked="false">
              <v:path arrowok="t"/>
              <v:fill type="solid"/>
            </v:shape>
            <v:shape style="position:absolute;left:4557;top:2227;width:51;height:51" coordorigin="4557,2227" coordsize="51,51" path="m4607,2253l4607,2267,4596,2278,4582,2278,4568,2278,4557,2267,4557,2253,4557,2239,4568,2227,4582,2227,4596,2227,4607,2239,4607,2253xe" filled="false" stroked="true" strokeweight=".633329pt" strokecolor="#7f1416">
              <v:path arrowok="t"/>
            </v:shape>
            <v:shape style="position:absolute;left:2535;top:1427;width:2045;height:1152" coordorigin="2535,1427" coordsize="2045,1152" path="m2535,2579l2560,2565,2591,2549,2627,2530,2667,2509,2712,2486,2807,2436,2906,2381,3002,2323,3085,2267,3164,2208,3243,2146,3321,2081,3361,2048,3400,2015,3439,1982,3479,1950,3518,1918,3557,1888,3597,1857,3636,1825,3675,1792,3715,1759,3754,1726,3833,1662,3911,1602,3990,1550,4069,1508,4162,1476,4255,1457,4347,1447,4440,1441,4487,1438,4533,1433,4580,1427e" filled="false" stroked="true" strokeweight=".633054pt" strokecolor="#008080">
              <v:path arrowok="t"/>
            </v:shape>
            <v:shape style="position:absolute;left:-190500;top:-369067;width:381000;height:381000" coordorigin="-190500,-369067" coordsize="381000,381000" path="m2534,2557l2534,2607m2509,2582l2560,2582e" filled="false" stroked="true" strokeweight=".633331pt" strokecolor="#008080">
              <v:path arrowok="t"/>
            </v:shape>
            <v:shape style="position:absolute;left:-190500;top:-369067;width:381000;height:381000" coordorigin="-190500,-369067" coordsize="381000,381000" path="m3040,2265l3040,2316m3015,2291l3065,2291e" filled="false" stroked="true" strokeweight=".633331pt" strokecolor="#008080">
              <v:path arrowok="t"/>
            </v:shape>
            <v:shape style="position:absolute;left:-190500;top:-369067;width:381000;height:381000" coordorigin="-190500,-369067" coordsize="381000,381000" path="m3558,1860l3558,1911m3533,1885l3583,1885e" filled="false" stroked="true" strokeweight=".633331pt" strokecolor="#008080">
              <v:path arrowok="t"/>
            </v:shape>
            <v:shape style="position:absolute;left:-190500;top:-369067;width:381000;height:381000" coordorigin="-190500,-369067" coordsize="381000,381000" path="m4064,1480l4064,1530m4038,1505l4089,1505e" filled="false" stroked="true" strokeweight=".633331pt" strokecolor="#008080">
              <v:path arrowok="t"/>
            </v:shape>
            <v:shape style="position:absolute;left:-190500;top:-369067;width:381000;height:381000" coordorigin="-190500,-369067" coordsize="381000,381000" path="m4582,1404l4582,1454m4557,1429l4607,1429e" filled="false" stroked="true" strokeweight=".633331pt" strokecolor="#008080">
              <v:path arrowok="t"/>
            </v:shape>
            <v:shape style="position:absolute;left:2534;top:1974;width:2048;height:723" coordorigin="2534,1974" coordsize="2048,723" path="m2534,2696l3040,2544,3558,2177,4064,1974,4582,2278e" filled="false" stroked="true" strokeweight=".633246pt" strokecolor="#3953a4">
              <v:path arrowok="t"/>
            </v:shape>
            <v:shape style="position:absolute;left:2528;top:1980;width:2086;height:723" coordorigin="2528,1980" coordsize="2086,723" path="m2528,2702l2566,2702m3034,2550l3072,2550m3552,2183l3590,2183m4057,1980l4095,1980m4576,2284l4614,2284e" filled="false" stroked="true" strokeweight="1.267458pt" strokecolor="#3953a4">
              <v:path arrowok="t"/>
            </v:shape>
            <v:line style="position:absolute" from="4696,1759" to="5024,1759" stroked="true" strokeweight=".63341pt" strokecolor="#010202"/>
            <v:shape style="position:absolute;left:4847;top:1733;width:26;height:38" coordorigin="4847,1733" coordsize="26,38" path="m4867,1771l4853,1771,4847,1763,4847,1742,4853,1733,4867,1733,4873,1742,4873,1763,4867,1771xe" filled="true" fillcolor="#010202" stroked="false">
              <v:path arrowok="t"/>
              <v:fill type="solid"/>
            </v:shape>
            <v:shape style="position:absolute;left:4847;top:1733;width:26;height:38" coordorigin="4847,1733" coordsize="26,38" path="m4847,1752l4847,1742,4853,1733,4860,1733,4867,1733,4873,1742,4873,1752,4873,1763,4867,1771,4860,1771,4853,1771,4847,1763,4847,1752xe" filled="false" stroked="true" strokeweight=".632384pt" strokecolor="#010202">
              <v:path arrowok="t"/>
            </v:shape>
            <v:line style="position:absolute" from="4696,2278" to="5024,2278" stroked="true" strokeweight=".63341pt" strokecolor="#f6ec13"/>
            <v:shape style="position:absolute;left:4833;top:2252;width:51;height:51" coordorigin="4833,2252" coordsize="51,51" path="m4884,2303l4833,2303,4859,2252,4884,2303xe" filled="true" fillcolor="#f6ec13" stroked="false">
              <v:path arrowok="t"/>
              <v:fill type="solid"/>
            </v:shape>
            <v:line style="position:absolute" from="4859,2252" to="4884,2303" stroked="true" strokeweight=".632225pt" strokecolor="#f6ec13"/>
            <v:line style="position:absolute" from="4884,2303" to="4833,2303" stroked="true" strokeweight=".63341pt" strokecolor="#f6ec13"/>
            <v:rect style="position:absolute;left:1410;top:783;width:4209;height:2812" filled="false" stroked="true" strokeweight="1.898867pt" strokecolor="#010202"/>
            <v:shape style="position:absolute;left:5099;top:942;width:210;height:180" type="#_x0000_t202" filled="false" stroked="false">
              <v:textbox inset="0,0,0,0">
                <w:txbxContent>
                  <w:p>
                    <w:pPr>
                      <w:spacing w:line="180" w:lineRule="exact" w:before="0"/>
                      <w:ind w:left="0" w:right="-20" w:firstLine="0"/>
                      <w:jc w:val="left"/>
                      <w:rPr>
                        <w:b/>
                        <w:sz w:val="18"/>
                      </w:rPr>
                    </w:pPr>
                    <w:r>
                      <w:rPr>
                        <w:b/>
                        <w:color w:val="010202"/>
                        <w:sz w:val="18"/>
                      </w:rPr>
                      <w:t>(a)</w:t>
                    </w:r>
                  </w:p>
                </w:txbxContent>
              </v:textbox>
              <w10:wrap type="none"/>
            </v:shape>
            <v:shape style="position:absolute;left:1698;top:1236;width:173;height:1798" type="#_x0000_t202" filled="false" stroked="false">
              <v:textbox inset="0,0,0,0">
                <w:txbxContent>
                  <w:p>
                    <w:pPr>
                      <w:spacing w:line="137" w:lineRule="exact" w:before="0"/>
                      <w:ind w:left="0" w:right="-10" w:firstLine="0"/>
                      <w:jc w:val="left"/>
                      <w:rPr>
                        <w:rFonts w:ascii="Calibri"/>
                        <w:sz w:val="16"/>
                      </w:rPr>
                    </w:pPr>
                    <w:r>
                      <w:rPr>
                        <w:rFonts w:ascii="Calibri"/>
                        <w:color w:val="010202"/>
                        <w:sz w:val="16"/>
                      </w:rPr>
                      <w:t>12</w:t>
                    </w:r>
                  </w:p>
                  <w:p>
                    <w:pPr>
                      <w:spacing w:line="136" w:lineRule="exact" w:before="0"/>
                      <w:ind w:left="0" w:right="-10" w:firstLine="0"/>
                      <w:jc w:val="left"/>
                      <w:rPr>
                        <w:rFonts w:ascii="Calibri"/>
                        <w:sz w:val="16"/>
                      </w:rPr>
                    </w:pPr>
                    <w:r>
                      <w:rPr>
                        <w:rFonts w:ascii="Calibri"/>
                        <w:color w:val="010202"/>
                        <w:sz w:val="16"/>
                      </w:rPr>
                      <w:t>11</w:t>
                    </w:r>
                  </w:p>
                  <w:p>
                    <w:pPr>
                      <w:spacing w:line="136" w:lineRule="exact" w:before="0"/>
                      <w:ind w:left="0" w:right="-10" w:firstLine="0"/>
                      <w:jc w:val="left"/>
                      <w:rPr>
                        <w:rFonts w:ascii="Calibri"/>
                        <w:sz w:val="16"/>
                      </w:rPr>
                    </w:pPr>
                    <w:r>
                      <w:rPr>
                        <w:rFonts w:ascii="Calibri"/>
                        <w:color w:val="010202"/>
                        <w:sz w:val="16"/>
                      </w:rPr>
                      <w:t>10</w:t>
                    </w:r>
                  </w:p>
                  <w:p>
                    <w:pPr>
                      <w:spacing w:line="136" w:lineRule="exact" w:before="0"/>
                      <w:ind w:left="85" w:right="0" w:firstLine="0"/>
                      <w:jc w:val="left"/>
                      <w:rPr>
                        <w:rFonts w:ascii="Calibri"/>
                        <w:sz w:val="16"/>
                      </w:rPr>
                    </w:pPr>
                    <w:r>
                      <w:rPr>
                        <w:rFonts w:ascii="Calibri"/>
                        <w:color w:val="010202"/>
                        <w:w w:val="102"/>
                        <w:sz w:val="16"/>
                      </w:rPr>
                      <w:t>9</w:t>
                    </w:r>
                  </w:p>
                  <w:p>
                    <w:pPr>
                      <w:spacing w:line="136" w:lineRule="exact" w:before="0"/>
                      <w:ind w:left="85" w:right="0" w:firstLine="0"/>
                      <w:jc w:val="left"/>
                      <w:rPr>
                        <w:rFonts w:ascii="Calibri"/>
                        <w:sz w:val="16"/>
                      </w:rPr>
                    </w:pPr>
                    <w:r>
                      <w:rPr>
                        <w:rFonts w:ascii="Calibri"/>
                        <w:color w:val="010202"/>
                        <w:w w:val="102"/>
                        <w:sz w:val="16"/>
                      </w:rPr>
                      <w:t>8</w:t>
                    </w:r>
                  </w:p>
                  <w:p>
                    <w:pPr>
                      <w:spacing w:line="136" w:lineRule="exact" w:before="0"/>
                      <w:ind w:left="85" w:right="0" w:firstLine="0"/>
                      <w:jc w:val="left"/>
                      <w:rPr>
                        <w:rFonts w:ascii="Calibri"/>
                        <w:sz w:val="16"/>
                      </w:rPr>
                    </w:pPr>
                    <w:r>
                      <w:rPr>
                        <w:rFonts w:ascii="Calibri"/>
                        <w:color w:val="010202"/>
                        <w:w w:val="102"/>
                        <w:sz w:val="16"/>
                      </w:rPr>
                      <w:t>7</w:t>
                    </w:r>
                  </w:p>
                  <w:p>
                    <w:pPr>
                      <w:spacing w:line="136" w:lineRule="exact" w:before="0"/>
                      <w:ind w:left="85" w:right="0" w:firstLine="0"/>
                      <w:jc w:val="left"/>
                      <w:rPr>
                        <w:rFonts w:ascii="Calibri"/>
                        <w:sz w:val="16"/>
                      </w:rPr>
                    </w:pPr>
                    <w:r>
                      <w:rPr>
                        <w:rFonts w:ascii="Calibri"/>
                        <w:color w:val="010202"/>
                        <w:w w:val="102"/>
                        <w:sz w:val="16"/>
                      </w:rPr>
                      <w:t>6</w:t>
                    </w:r>
                  </w:p>
                  <w:p>
                    <w:pPr>
                      <w:spacing w:line="136" w:lineRule="exact" w:before="0"/>
                      <w:ind w:left="85" w:right="0" w:firstLine="0"/>
                      <w:jc w:val="left"/>
                      <w:rPr>
                        <w:rFonts w:ascii="Calibri"/>
                        <w:sz w:val="16"/>
                      </w:rPr>
                    </w:pPr>
                    <w:r>
                      <w:rPr>
                        <w:rFonts w:ascii="Calibri"/>
                        <w:color w:val="010202"/>
                        <w:w w:val="102"/>
                        <w:sz w:val="16"/>
                      </w:rPr>
                      <w:t>5</w:t>
                    </w:r>
                  </w:p>
                  <w:p>
                    <w:pPr>
                      <w:spacing w:line="136" w:lineRule="exact" w:before="0"/>
                      <w:ind w:left="85" w:right="0" w:firstLine="0"/>
                      <w:jc w:val="left"/>
                      <w:rPr>
                        <w:rFonts w:ascii="Calibri"/>
                        <w:sz w:val="16"/>
                      </w:rPr>
                    </w:pPr>
                    <w:r>
                      <w:rPr>
                        <w:rFonts w:ascii="Calibri"/>
                        <w:color w:val="010202"/>
                        <w:w w:val="102"/>
                        <w:sz w:val="16"/>
                      </w:rPr>
                      <w:t>4</w:t>
                    </w:r>
                  </w:p>
                  <w:p>
                    <w:pPr>
                      <w:spacing w:line="136" w:lineRule="exact" w:before="0"/>
                      <w:ind w:left="85" w:right="0" w:firstLine="0"/>
                      <w:jc w:val="left"/>
                      <w:rPr>
                        <w:rFonts w:ascii="Calibri"/>
                        <w:sz w:val="16"/>
                      </w:rPr>
                    </w:pPr>
                    <w:r>
                      <w:rPr>
                        <w:rFonts w:ascii="Calibri"/>
                        <w:color w:val="010202"/>
                        <w:w w:val="102"/>
                        <w:sz w:val="16"/>
                      </w:rPr>
                      <w:t>3</w:t>
                    </w:r>
                  </w:p>
                  <w:p>
                    <w:pPr>
                      <w:spacing w:line="136" w:lineRule="exact" w:before="0"/>
                      <w:ind w:left="85" w:right="0" w:firstLine="0"/>
                      <w:jc w:val="left"/>
                      <w:rPr>
                        <w:rFonts w:ascii="Calibri"/>
                        <w:sz w:val="16"/>
                      </w:rPr>
                    </w:pPr>
                    <w:r>
                      <w:rPr>
                        <w:rFonts w:ascii="Calibri"/>
                        <w:color w:val="010202"/>
                        <w:w w:val="102"/>
                        <w:sz w:val="16"/>
                      </w:rPr>
                      <w:t>2</w:t>
                    </w:r>
                  </w:p>
                  <w:p>
                    <w:pPr>
                      <w:spacing w:line="136" w:lineRule="exact" w:before="0"/>
                      <w:ind w:left="85" w:right="0" w:firstLine="0"/>
                      <w:jc w:val="left"/>
                      <w:rPr>
                        <w:rFonts w:ascii="Calibri"/>
                        <w:sz w:val="16"/>
                      </w:rPr>
                    </w:pPr>
                    <w:r>
                      <w:rPr>
                        <w:rFonts w:ascii="Calibri"/>
                        <w:color w:val="010202"/>
                        <w:w w:val="102"/>
                        <w:sz w:val="16"/>
                      </w:rPr>
                      <w:t>1</w:t>
                    </w:r>
                  </w:p>
                  <w:p>
                    <w:pPr>
                      <w:spacing w:line="164" w:lineRule="exact" w:before="0"/>
                      <w:ind w:left="85" w:right="0" w:firstLine="0"/>
                      <w:jc w:val="left"/>
                      <w:rPr>
                        <w:rFonts w:ascii="Calibri"/>
                        <w:sz w:val="16"/>
                      </w:rPr>
                    </w:pPr>
                    <w:r>
                      <w:rPr>
                        <w:rFonts w:ascii="Calibri"/>
                        <w:color w:val="010202"/>
                        <w:w w:val="102"/>
                        <w:sz w:val="16"/>
                      </w:rPr>
                      <w:t>0</w:t>
                    </w:r>
                  </w:p>
                </w:txbxContent>
              </v:textbox>
              <w10:wrap type="none"/>
            </v:shape>
            <v:shape style="position:absolute;left:5065;top:1687;width:282;height:166" type="#_x0000_t202" filled="false" stroked="false">
              <v:textbox inset="0,0,0,0">
                <w:txbxContent>
                  <w:p>
                    <w:pPr>
                      <w:spacing w:line="165" w:lineRule="exact" w:before="0"/>
                      <w:ind w:left="0" w:right="-20" w:firstLine="0"/>
                      <w:jc w:val="left"/>
                      <w:rPr>
                        <w:rFonts w:ascii="Calibri"/>
                        <w:sz w:val="16"/>
                      </w:rPr>
                    </w:pPr>
                    <w:r>
                      <w:rPr>
                        <w:rFonts w:ascii="Calibri"/>
                        <w:color w:val="010202"/>
                        <w:w w:val="105"/>
                        <w:sz w:val="16"/>
                      </w:rPr>
                      <w:t>Tala</w:t>
                    </w:r>
                  </w:p>
                </w:txbxContent>
              </v:textbox>
              <w10:wrap type="none"/>
            </v:shape>
            <v:shape style="position:absolute;left:2453;top:2213;width:3146;height:1042" type="#_x0000_t202" filled="false" stroked="false">
              <v:textbox inset="0,0,0,0">
                <w:txbxContent>
                  <w:p>
                    <w:pPr>
                      <w:spacing w:line="167" w:lineRule="exact" w:before="0"/>
                      <w:ind w:left="0" w:right="261" w:firstLine="0"/>
                      <w:jc w:val="right"/>
                      <w:rPr>
                        <w:rFonts w:ascii="Calibri"/>
                        <w:sz w:val="16"/>
                      </w:rPr>
                    </w:pPr>
                    <w:r>
                      <w:rPr>
                        <w:rFonts w:ascii="Calibri"/>
                        <w:color w:val="010202"/>
                        <w:sz w:val="16"/>
                      </w:rPr>
                      <w:t>G.Z.</w:t>
                    </w:r>
                  </w:p>
                  <w:p>
                    <w:pPr>
                      <w:spacing w:before="8"/>
                      <w:ind w:left="2612" w:right="0" w:firstLine="0"/>
                      <w:jc w:val="left"/>
                      <w:rPr>
                        <w:rFonts w:ascii="Calibri"/>
                        <w:sz w:val="16"/>
                      </w:rPr>
                    </w:pPr>
                    <w:r>
                      <w:rPr>
                        <w:rFonts w:ascii="Calibri"/>
                        <w:color w:val="010202"/>
                        <w:sz w:val="16"/>
                      </w:rPr>
                      <w:t>Seminis</w:t>
                    </w:r>
                  </w:p>
                  <w:p>
                    <w:pPr>
                      <w:spacing w:line="240" w:lineRule="auto" w:before="0"/>
                      <w:rPr>
                        <w:sz w:val="16"/>
                      </w:rPr>
                    </w:pPr>
                  </w:p>
                  <w:p>
                    <w:pPr>
                      <w:spacing w:line="240" w:lineRule="auto" w:before="0"/>
                      <w:rPr>
                        <w:sz w:val="16"/>
                      </w:rPr>
                    </w:pPr>
                  </w:p>
                  <w:p>
                    <w:pPr>
                      <w:spacing w:line="194" w:lineRule="exact" w:before="109"/>
                      <w:ind w:left="0" w:right="0" w:firstLine="0"/>
                      <w:jc w:val="left"/>
                      <w:rPr>
                        <w:rFonts w:ascii="Calibri"/>
                        <w:sz w:val="16"/>
                      </w:rPr>
                    </w:pPr>
                    <w:r>
                      <w:rPr>
                        <w:rFonts w:ascii="Calibri"/>
                        <w:color w:val="010202"/>
                        <w:w w:val="105"/>
                        <w:sz w:val="16"/>
                      </w:rPr>
                      <w:t>25</w:t>
                    </w:r>
                  </w:p>
                </w:txbxContent>
              </v:textbox>
              <w10:wrap type="none"/>
            </v:shape>
            <v:shape style="position:absolute;left:2965;top:3089;width:173;height:166" type="#_x0000_t202" filled="false" stroked="false">
              <v:textbox inset="0,0,0,0">
                <w:txbxContent>
                  <w:p>
                    <w:pPr>
                      <w:spacing w:line="165" w:lineRule="exact" w:before="0"/>
                      <w:ind w:left="0" w:right="-10" w:firstLine="0"/>
                      <w:jc w:val="left"/>
                      <w:rPr>
                        <w:rFonts w:ascii="Calibri"/>
                        <w:sz w:val="16"/>
                      </w:rPr>
                    </w:pPr>
                    <w:r>
                      <w:rPr>
                        <w:rFonts w:ascii="Calibri"/>
                        <w:color w:val="010202"/>
                        <w:sz w:val="16"/>
                      </w:rPr>
                      <w:t>40</w:t>
                    </w:r>
                  </w:p>
                </w:txbxContent>
              </v:textbox>
              <w10:wrap type="none"/>
            </v:shape>
            <v:shape style="position:absolute;left:3478;top:3089;width:173;height:166" type="#_x0000_t202" filled="false" stroked="false">
              <v:textbox inset="0,0,0,0">
                <w:txbxContent>
                  <w:p>
                    <w:pPr>
                      <w:spacing w:line="165" w:lineRule="exact" w:before="0"/>
                      <w:ind w:left="0" w:right="-10" w:firstLine="0"/>
                      <w:jc w:val="left"/>
                      <w:rPr>
                        <w:rFonts w:ascii="Calibri"/>
                        <w:sz w:val="16"/>
                      </w:rPr>
                    </w:pPr>
                    <w:r>
                      <w:rPr>
                        <w:rFonts w:ascii="Calibri"/>
                        <w:color w:val="010202"/>
                        <w:sz w:val="16"/>
                      </w:rPr>
                      <w:t>55</w:t>
                    </w:r>
                  </w:p>
                </w:txbxContent>
              </v:textbox>
              <w10:wrap type="none"/>
            </v:shape>
            <v:shape style="position:absolute;left:3991;top:3089;width:173;height:166" type="#_x0000_t202" filled="false" stroked="false">
              <v:textbox inset="0,0,0,0">
                <w:txbxContent>
                  <w:p>
                    <w:pPr>
                      <w:spacing w:line="165" w:lineRule="exact" w:before="0"/>
                      <w:ind w:left="0" w:right="-10" w:firstLine="0"/>
                      <w:jc w:val="left"/>
                      <w:rPr>
                        <w:rFonts w:ascii="Calibri"/>
                        <w:sz w:val="16"/>
                      </w:rPr>
                    </w:pPr>
                    <w:r>
                      <w:rPr>
                        <w:rFonts w:ascii="Calibri"/>
                        <w:color w:val="010202"/>
                        <w:sz w:val="16"/>
                      </w:rPr>
                      <w:t>70</w:t>
                    </w:r>
                  </w:p>
                </w:txbxContent>
              </v:textbox>
              <w10:wrap type="none"/>
            </v:shape>
            <v:shape style="position:absolute;left:4504;top:3089;width:173;height:166" type="#_x0000_t202" filled="false" stroked="false">
              <v:textbox inset="0,0,0,0">
                <w:txbxContent>
                  <w:p>
                    <w:pPr>
                      <w:spacing w:line="165" w:lineRule="exact" w:before="0"/>
                      <w:ind w:left="0" w:right="-10" w:firstLine="0"/>
                      <w:jc w:val="left"/>
                      <w:rPr>
                        <w:rFonts w:ascii="Calibri"/>
                        <w:sz w:val="16"/>
                      </w:rPr>
                    </w:pPr>
                    <w:r>
                      <w:rPr>
                        <w:rFonts w:ascii="Calibri"/>
                        <w:color w:val="010202"/>
                        <w:sz w:val="16"/>
                      </w:rPr>
                      <w:t>85</w:t>
                    </w:r>
                  </w:p>
                </w:txbxContent>
              </v:textbox>
              <w10:wrap type="none"/>
            </v:shape>
            <v:shape style="position:absolute;left:2523;top:3278;width:1894;height:166" type="#_x0000_t202" filled="false" stroked="false">
              <v:textbox inset="0,0,0,0">
                <w:txbxContent>
                  <w:p>
                    <w:pPr>
                      <w:spacing w:line="165" w:lineRule="exact" w:before="0"/>
                      <w:ind w:left="0" w:right="-8" w:firstLine="0"/>
                      <w:jc w:val="left"/>
                      <w:rPr>
                        <w:rFonts w:ascii="Calibri" w:hAnsi="Calibri"/>
                        <w:b/>
                        <w:sz w:val="16"/>
                      </w:rPr>
                    </w:pPr>
                    <w:r>
                      <w:rPr>
                        <w:rFonts w:ascii="Calibri" w:hAnsi="Calibri"/>
                        <w:b/>
                        <w:color w:val="010202"/>
                        <w:spacing w:val="-3"/>
                        <w:w w:val="105"/>
                        <w:sz w:val="16"/>
                      </w:rPr>
                      <w:t>Días  </w:t>
                    </w:r>
                    <w:r>
                      <w:rPr>
                        <w:rFonts w:ascii="Calibri" w:hAnsi="Calibri"/>
                        <w:b/>
                        <w:color w:val="010202"/>
                        <w:w w:val="105"/>
                        <w:sz w:val="16"/>
                      </w:rPr>
                      <w:t>después de la</w:t>
                    </w:r>
                    <w:r>
                      <w:rPr>
                        <w:rFonts w:ascii="Calibri" w:hAnsi="Calibri"/>
                        <w:b/>
                        <w:color w:val="010202"/>
                        <w:spacing w:val="-22"/>
                        <w:w w:val="105"/>
                        <w:sz w:val="16"/>
                      </w:rPr>
                      <w:t> </w:t>
                    </w:r>
                    <w:r>
                      <w:rPr>
                        <w:rFonts w:ascii="Calibri" w:hAnsi="Calibri"/>
                        <w:b/>
                        <w:color w:val="010202"/>
                        <w:w w:val="105"/>
                        <w:sz w:val="16"/>
                      </w:rPr>
                      <w:t>siembra</w:t>
                    </w:r>
                  </w:p>
                </w:txbxContent>
              </v:textbox>
              <w10:wrap type="none"/>
            </v:shape>
            <w10:wrap type="none"/>
          </v:group>
        </w:pict>
      </w:r>
      <w:r>
        <w:rPr/>
        <w:pict>
          <v:group style="position:absolute;margin-left:299.741821pt;margin-top:38.207924pt;width:176.9pt;height:142.1pt;mso-position-horizontal-relative:page;mso-position-vertical-relative:paragraph;z-index:5680" coordorigin="5995,764" coordsize="3538,2842">
            <v:line style="position:absolute" from="6810,2711" to="6810,1024" stroked="true" strokeweight=".631742pt" strokecolor="#010202"/>
            <v:shape style="position:absolute;left:0;top:11933;width:80;height:2660" coordorigin="0,11933" coordsize="80,2660" path="m6759,2711l6810,2711m6759,2369l6810,2369m6759,2039l6810,2039m6759,1697l6810,1697m6759,1367l6810,1367m6759,1024l6810,1024e" filled="false" stroked="true" strokeweight=".633026pt" strokecolor="#010202">
              <v:path arrowok="t"/>
            </v:shape>
            <v:shape style="position:absolute;left:0;top:11853;width:3480;height:80" coordorigin="0,11853" coordsize="3480,80" path="m6810,2711l9008,2711m6810,2711l6810,2762m7252,2711l7252,2762m7694,2711l7694,2762m8136,2711l8136,2762m8566,2711l8566,2762m9008,2711l9008,2762e" filled="false" stroked="true" strokeweight=".633026pt" strokecolor="#010202">
              <v:path arrowok="t"/>
            </v:shape>
            <v:shape style="position:absolute;left:7251;top:2139;width:1760;height:538" coordorigin="7251,2139" coordsize="1760,538" path="m7251,2139l7280,2143,7319,2147,7365,2153,7416,2159,7528,2174,7639,2194,7740,2221,7837,2258,7935,2301,7984,2322,8082,2359,8179,2385,8277,2398,8375,2406,8424,2410,8522,2427,8614,2458,8702,2500,8790,2549,8878,2601,8922,2627,8966,2652,9010,2677e" filled="false" stroked="true" strokeweight=".634091pt" strokecolor="#010202">
              <v:path arrowok="t"/>
            </v:shape>
            <v:shape style="position:absolute;left:7239;top:2128;width:38;height:39" coordorigin="7239,2128" coordsize="38,39" path="m7269,2166l7248,2166,7239,2157,7239,2136,7248,2128,7269,2128,7277,2136,7277,2157,7269,2166xe" filled="true" fillcolor="#010202" stroked="false">
              <v:path arrowok="t"/>
              <v:fill type="solid"/>
            </v:shape>
            <v:shape style="position:absolute;left:7239;top:2128;width:38;height:39" coordorigin="7239,2128" coordsize="38,39" path="m7277,2147l7277,2157,7269,2166,7258,2166,7248,2166,7239,2157,7239,2147,7239,2136,7248,2128,7258,2128,7269,2128,7277,2136,7277,2147xe" filled="false" stroked="true" strokeweight=".633563pt" strokecolor="#010202">
              <v:path arrowok="t"/>
            </v:shape>
            <v:shape style="position:absolute;left:7682;top:2191;width:38;height:39" coordorigin="7682,2191" coordsize="38,39" path="m7711,2229l7690,2229,7682,2221,7682,2200,7690,2191,7711,2191,7720,2200,7720,2221,7711,2229xe" filled="true" fillcolor="#010202" stroked="false">
              <v:path arrowok="t"/>
              <v:fill type="solid"/>
            </v:shape>
            <v:shape style="position:absolute;left:7682;top:2191;width:38;height:39" coordorigin="7682,2191" coordsize="38,39" path="m7720,2210l7720,2221,7711,2229,7701,2229,7690,2229,7682,2221,7682,2210,7682,2200,7690,2191,7701,2191,7711,2191,7720,2200,7720,2210xe" filled="false" stroked="true" strokeweight=".633563pt" strokecolor="#010202">
              <v:path arrowok="t"/>
            </v:shape>
            <v:shape style="position:absolute;left:8124;top:2356;width:38;height:39" coordorigin="8124,2356" coordsize="38,39" path="m8153,2394l8132,2394,8124,2386,8124,2365,8132,2356,8153,2356,8162,2365,8162,2386,8153,2394xe" filled="true" fillcolor="#010202" stroked="false">
              <v:path arrowok="t"/>
              <v:fill type="solid"/>
            </v:shape>
            <v:shape style="position:absolute;left:8124;top:2356;width:38;height:39" coordorigin="8124,2356" coordsize="38,39" path="m8162,2375l8162,2386,8153,2394,8143,2394,8132,2394,8124,2386,8124,2375,8124,2365,8132,2356,8143,2356,8153,2356,8162,2365,8162,2375xe" filled="false" stroked="true" strokeweight=".633563pt" strokecolor="#010202">
              <v:path arrowok="t"/>
            </v:shape>
            <v:shape style="position:absolute;left:8553;top:2432;width:38;height:39" coordorigin="8553,2432" coordsize="38,39" path="m8583,2470l8562,2470,8553,2462,8553,2441,8562,2432,8583,2432,8591,2441,8591,2462,8583,2470xe" filled="true" fillcolor="#010202" stroked="false">
              <v:path arrowok="t"/>
              <v:fill type="solid"/>
            </v:shape>
            <v:shape style="position:absolute;left:8553;top:2432;width:38;height:39" coordorigin="8553,2432" coordsize="38,39" path="m8591,2451l8591,2462,8583,2470,8572,2470,8562,2470,8553,2462,8553,2451,8553,2441,8562,2432,8572,2432,8583,2432,8591,2441,8591,2451xe" filled="false" stroked="true" strokeweight=".633563pt" strokecolor="#010202">
              <v:path arrowok="t"/>
            </v:shape>
            <v:shape style="position:absolute;left:8996;top:2661;width:38;height:39" coordorigin="8996,2661" coordsize="38,39" path="m9025,2699l9004,2699,8996,2690,8996,2669,9004,2661,9025,2661,9034,2669,9034,2690,9025,2699xe" filled="true" fillcolor="#010202" stroked="false">
              <v:path arrowok="t"/>
              <v:fill type="solid"/>
            </v:shape>
            <v:shape style="position:absolute;left:8996;top:2661;width:38;height:39" coordorigin="8996,2661" coordsize="38,39" path="m9034,2680l9034,2690,9025,2699,9015,2699,9004,2699,8996,2690,8996,2680,8996,2669,9004,2661,9015,2661,9025,2661,9034,2669,9034,2680xe" filled="false" stroked="true" strokeweight=".633563pt" strokecolor="#010202">
              <v:path arrowok="t"/>
            </v:shape>
            <v:shape style="position:absolute;left:7251;top:1792;width:1760;height:818" coordorigin="7251,1792" coordsize="1760,818" path="m7251,2005l7274,1991,7304,1969,7339,1942,7378,1912,7466,1851,7559,1805,7649,1792,7691,1803,7746,1844,7801,1911,7856,1996,7911,2091,7938,2139,7966,2187,8021,2278,8076,2354,8131,2408,8219,2449,8307,2456,8351,2452,8395,2446,8439,2439,8482,2435,8570,2441,8668,2470,8766,2507,8864,2549,8913,2570,8961,2590,9010,2609e" filled="false" stroked="true" strokeweight=".633854pt" strokecolor="#f6ec13">
              <v:path arrowok="t"/>
            </v:shape>
            <v:shape style="position:absolute;left:7227;top:1976;width:51;height:51" coordorigin="7227,1976" coordsize="51,51" path="m7252,1976l7277,2026,7227,2026,7252,1976xe" filled="false" stroked="true" strokeweight=".633563pt" strokecolor="#f6ec13">
              <v:path arrowok="t"/>
            </v:shape>
            <v:shape style="position:absolute;left:7669;top:1773;width:51;height:51" coordorigin="7669,1773" coordsize="51,51" path="m7694,1773l7720,1823,7669,1823,7694,1773xe" filled="false" stroked="true" strokeweight=".633563pt" strokecolor="#f6ec13">
              <v:path arrowok="t"/>
            </v:shape>
            <v:shape style="position:absolute;left:8111;top:2382;width:51;height:51" coordorigin="8111,2382" coordsize="51,51" path="m8136,2382l8162,2432,8111,2432,8136,2382xe" filled="false" stroked="true" strokeweight=".633563pt" strokecolor="#f6ec13">
              <v:path arrowok="t"/>
            </v:shape>
            <v:shape style="position:absolute;left:8541;top:2420;width:51;height:51" coordorigin="8541,2420" coordsize="51,51" path="m8566,2420l8591,2470,8541,2470,8566,2420xe" filled="false" stroked="true" strokeweight=".633563pt" strokecolor="#f6ec13">
              <v:path arrowok="t"/>
            </v:shape>
            <v:shape style="position:absolute;left:8983;top:2585;width:51;height:51" coordorigin="8983,2585" coordsize="51,51" path="m9008,2585l9034,2635,8983,2635,9008,2585xe" filled="false" stroked="true" strokeweight=".633563pt" strokecolor="#f6ec13">
              <v:path arrowok="t"/>
            </v:shape>
            <v:shape style="position:absolute;left:7251;top:1702;width:1760;height:841" coordorigin="7251,1702" coordsize="1760,841" path="m7251,2105l7270,2085,7294,2056,7322,2020,7354,1979,7388,1935,7462,1846,7541,1768,7619,1715,7691,1702,7718,1712,7773,1756,7828,1824,7883,1910,7938,2004,7966,2051,8021,2141,8076,2218,8131,2273,8219,2323,8307,2344,8395,2352,8439,2354,8482,2357,8570,2374,8668,2407,8766,2444,8864,2484,8913,2504,8961,2523,9010,2542e" filled="false" stroked="true" strokeweight=".633834pt" strokecolor="#b9529f">
              <v:path arrowok="t"/>
            </v:shape>
            <v:line style="position:absolute" from="7227,2103" to="7277,2103" stroked="true" strokeweight="2.537460pt" strokecolor="#b9529f"/>
            <v:rect style="position:absolute;left:7227;top:2077;width:51;height:51" filled="false" stroked="true" strokeweight=".633563pt" strokecolor="#b9529f"/>
            <v:line style="position:absolute" from="7669,1697" to="7720,1697" stroked="true" strokeweight="2.537460pt" strokecolor="#b9529f"/>
            <v:rect style="position:absolute;left:7669;top:1671;width:51;height:51" filled="false" stroked="true" strokeweight=".633563pt" strokecolor="#b9529f"/>
            <v:line style="position:absolute" from="8111,2267" to="8162,2267" stroked="true" strokeweight="2.537460pt" strokecolor="#b9529f"/>
            <v:rect style="position:absolute;left:8111;top:2242;width:51;height:51" filled="false" stroked="true" strokeweight=".633563pt" strokecolor="#b9529f"/>
            <v:line style="position:absolute" from="8541,2369" to="8591,2369" stroked="true" strokeweight="2.537460pt" strokecolor="#b9529f"/>
            <v:rect style="position:absolute;left:8541;top:2344;width:51;height:51" filled="false" stroked="true" strokeweight=".633563pt" strokecolor="#b9529f"/>
            <v:rect style="position:absolute;left:8983;top:2521;width:51;height:51" filled="false" stroked="true" strokeweight=".633563pt" strokecolor="#b9529f"/>
            <v:shape style="position:absolute;left:7251;top:1495;width:1760;height:1149" coordorigin="7251,1495" coordsize="1760,1149" path="m7251,1870l7270,1851,7294,1823,7322,1788,7354,1748,7388,1706,7462,1620,7541,1547,7619,1502,7656,1495,7691,1500,7742,1537,7794,1602,7846,1688,7898,1787,7949,1893,7975,1946,8027,2047,8079,2137,8131,2206,8211,2283,8291,2340,8371,2384,8451,2421,8490,2438,8530,2456,8619,2498,8717,2539,8815,2574,8913,2608,8961,2625,9010,2643e" filled="false" stroked="true" strokeweight=".633543pt" strokecolor="#6fccdd">
              <v:path arrowok="t"/>
            </v:shape>
            <v:shape style="position:absolute;left:-381000;top:11933;width:381000;height:381000" coordorigin="-381000,11933" coordsize="381000,381000" path="m7277,1900l7227,1849m7227,1900l7277,1849e" filled="false" stroked="true" strokeweight=".633569pt" strokecolor="#6fccdd">
              <v:path arrowok="t"/>
            </v:shape>
            <v:shape style="position:absolute;left:-381000;top:11933;width:381000;height:381000" coordorigin="-381000,11933" coordsize="381000,381000" path="m7720,1532l7669,1481m7669,1532l7720,1481e" filled="false" stroked="true" strokeweight=".633569pt" strokecolor="#6fccdd">
              <v:path arrowok="t"/>
            </v:shape>
            <v:shape style="position:absolute;left:-381000;top:11933;width:381000;height:381000" coordorigin="-381000,11933" coordsize="381000,381000" path="m8162,2229l8111,2179m8111,2229l8162,2179e" filled="false" stroked="true" strokeweight=".633569pt" strokecolor="#6fccdd">
              <v:path arrowok="t"/>
            </v:shape>
            <v:shape style="position:absolute;left:-381000;top:11933;width:381000;height:381000" coordorigin="-381000,11933" coordsize="381000,381000" path="m8591,2496l8541,2445m8541,2496l8591,2445e" filled="false" stroked="true" strokeweight=".633569pt" strokecolor="#6fccdd">
              <v:path arrowok="t"/>
            </v:shape>
            <v:shape style="position:absolute;left:-381000;top:11933;width:381000;height:381000" coordorigin="-381000,11933" coordsize="381000,381000" path="m9034,2673l8983,2623m8983,2673l9034,2623e" filled="false" stroked="true" strokeweight=".633569pt" strokecolor="#6fccdd">
              <v:path arrowok="t"/>
            </v:shape>
            <v:shape style="position:absolute;left:7251;top:1360;width:1760;height:1015" coordorigin="7251,1360" coordsize="1760,1015" path="m7251,1702l7270,1685,7294,1659,7322,1627,7354,1590,7388,1551,7462,1473,7541,1406,7619,1366,7656,1360,7691,1366,7742,1402,7794,1466,7846,1549,7898,1645,7949,1747,7975,1798,8027,1893,8079,1976,8131,2038,8219,2104,8307,2142,8395,2163,8439,2172,8482,2181,8526,2192,8570,2206,8619,2225,8668,2244,8766,2281,8864,2318,8961,2356,9010,2374e" filled="false" stroked="true" strokeweight=".633670pt" strokecolor="#7c277d">
              <v:path arrowok="t"/>
            </v:shape>
            <v:shape style="position:absolute;left:-381000;top:11933;width:381000;height:381000" coordorigin="-381000,11933" coordsize="381000,381000" path="m7277,1722l7227,1671m7252,1671l7252,1722m7227,1722l7277,1671e" filled="false" stroked="true" strokeweight=".633569pt" strokecolor="#7c277d">
              <v:path arrowok="t"/>
            </v:shape>
            <v:shape style="position:absolute;left:-381000;top:11933;width:381000;height:381000" coordorigin="-381000,11933" coordsize="381000,381000" path="m7720,1392l7669,1341m7694,1341l7694,1392m7669,1392l7720,1341e" filled="false" stroked="true" strokeweight=".633569pt" strokecolor="#7c277d">
              <v:path arrowok="t"/>
            </v:shape>
            <v:shape style="position:absolute;left:-381000;top:11933;width:381000;height:381000" coordorigin="-381000,11933" coordsize="381000,381000" path="m8162,2064l8111,2014m8136,2014l8136,2064m8111,2064l8162,2014e" filled="false" stroked="true" strokeweight=".633569pt" strokecolor="#7c277d">
              <v:path arrowok="t"/>
            </v:shape>
            <v:shape style="position:absolute;left:-381000;top:11933;width:381000;height:381000" coordorigin="-381000,11933" coordsize="381000,381000" path="m8591,2229l8541,2179m8566,2179l8566,2229m8541,2229l8591,2179e" filled="false" stroked="true" strokeweight=".633569pt" strokecolor="#7c277d">
              <v:path arrowok="t"/>
            </v:shape>
            <v:shape style="position:absolute;left:-381000;top:11933;width:381000;height:381000" coordorigin="-381000,11933" coordsize="381000,381000" path="m9034,2394l8983,2344m8983,2394l9034,2344e" filled="false" stroked="true" strokeweight=".633569pt" strokecolor="#7c277d">
              <v:path arrowok="t"/>
            </v:shape>
            <v:shape style="position:absolute;left:7252;top:1773;width:1757;height:736" coordorigin="7252,1773" coordsize="1757,736" path="m7252,1900l7694,1773,8136,2141,8566,2242,9008,2508e" filled="false" stroked="true" strokeweight=".633927pt" strokecolor="#7f1416">
              <v:path arrowok="t"/>
            </v:shape>
            <v:shape style="position:absolute;left:7227;top:1874;width:51;height:51" coordorigin="7227,1874" coordsize="51,51" path="m7266,1925l7238,1925,7227,1914,7227,1886,7238,1874,7266,1874,7277,1886,7277,1914,7266,1925xe" filled="true" fillcolor="#7f1416" stroked="false">
              <v:path arrowok="t"/>
              <v:fill type="solid"/>
            </v:shape>
            <v:shape style="position:absolute;left:7227;top:1874;width:51;height:51" coordorigin="7227,1874" coordsize="51,51" path="m7277,1900l7277,1914,7266,1925,7252,1925,7238,1925,7227,1914,7227,1900,7227,1886,7238,1874,7252,1874,7266,1874,7277,1886,7277,1900xe" filled="false" stroked="true" strokeweight=".633563pt" strokecolor="#7f1416">
              <v:path arrowok="t"/>
            </v:shape>
            <v:shape style="position:absolute;left:7669;top:1747;width:51;height:51" coordorigin="7669,1747" coordsize="51,51" path="m7708,1798l7680,1798,7669,1787,7669,1759,7680,1747,7708,1747,7720,1759,7720,1787,7708,1798xe" filled="true" fillcolor="#7f1416" stroked="false">
              <v:path arrowok="t"/>
              <v:fill type="solid"/>
            </v:shape>
            <v:shape style="position:absolute;left:7669;top:1747;width:51;height:51" coordorigin="7669,1747" coordsize="51,51" path="m7720,1773l7720,1787,7708,1798,7694,1798,7680,1798,7669,1787,7669,1773,7669,1759,7680,1747,7694,1747,7708,1747,7720,1759,7720,1773xe" filled="false" stroked="true" strokeweight=".633563pt" strokecolor="#7f1416">
              <v:path arrowok="t"/>
            </v:shape>
            <v:shape style="position:absolute;left:8111;top:2115;width:51;height:51" coordorigin="8111,2115" coordsize="51,51" path="m8150,2166l8123,2166,8111,2155,8111,2127,8123,2115,8150,2115,8162,2127,8162,2155,8150,2166xe" filled="true" fillcolor="#7f1416" stroked="false">
              <v:path arrowok="t"/>
              <v:fill type="solid"/>
            </v:shape>
            <v:shape style="position:absolute;left:8111;top:2115;width:51;height:51" coordorigin="8111,2115" coordsize="51,51" path="m8162,2141l8162,2155,8150,2166,8136,2166,8123,2166,8111,2155,8111,2141,8111,2127,8123,2115,8136,2115,8150,2115,8162,2127,8162,2141xe" filled="false" stroked="true" strokeweight=".633563pt" strokecolor="#7f1416">
              <v:path arrowok="t"/>
            </v:shape>
            <v:shape style="position:absolute;left:8541;top:2217;width:51;height:51" coordorigin="8541,2217" coordsize="51,51" path="m8580,2267l8552,2267,8541,2256,8541,2228,8552,2217,8580,2217,8591,2228,8591,2256,8580,2267xe" filled="true" fillcolor="#7f1416" stroked="false">
              <v:path arrowok="t"/>
              <v:fill type="solid"/>
            </v:shape>
            <v:shape style="position:absolute;left:8541;top:2217;width:51;height:51" coordorigin="8541,2217" coordsize="51,51" path="m8591,2242l8591,2256,8580,2267,8566,2267,8552,2267,8541,2256,8541,2242,8541,2228,8552,2217,8566,2217,8580,2217,8591,2228,8591,2242xe" filled="false" stroked="true" strokeweight=".633563pt" strokecolor="#7f1416">
              <v:path arrowok="t"/>
            </v:shape>
            <v:shape style="position:absolute;left:8983;top:2483;width:51;height:51" coordorigin="8983,2483" coordsize="51,51" path="m9022,2534l8994,2534,8983,2523,8983,2494,8994,2483,9022,2483,9034,2494,9034,2523,9022,2534xe" filled="true" fillcolor="#7f1416" stroked="false">
              <v:path arrowok="t"/>
              <v:fill type="solid"/>
            </v:shape>
            <v:shape style="position:absolute;left:8983;top:2483;width:51;height:51" coordorigin="8983,2483" coordsize="51,51" path="m9034,2509l9034,2523,9022,2534,9008,2534,8994,2534,8983,2523,8983,2509,8983,2494,8994,2483,9008,2483,9022,2483,9034,2494,9034,2509xe" filled="false" stroked="true" strokeweight=".633563pt" strokecolor="#7f1416">
              <v:path arrowok="t"/>
            </v:shape>
            <v:shape style="position:absolute;left:7251;top:1192;width:1760;height:1116" coordorigin="7251,1192" coordsize="1760,1116" path="m7251,1534l7270,1516,7294,1491,7322,1459,7354,1422,7388,1383,7462,1305,7541,1238,7619,1198,7656,1192,7691,1198,7742,1234,7794,1297,7846,1381,7898,1477,7949,1579,7975,1630,8027,1725,8079,1808,8131,1870,8219,1934,8307,1969,8395,1988,8439,1996,8482,2006,8570,2038,8658,2085,8746,2138,8834,2195,8878,2223,8922,2252,8966,2280,9010,2307e" filled="false" stroked="true" strokeweight=".633574pt" strokecolor="#008080">
              <v:path arrowok="t"/>
            </v:shape>
            <v:shape style="position:absolute;left:-190500;top:-369067;width:381000;height:381000" coordorigin="-190500,-369067" coordsize="381000,381000" path="m7252,1506l7252,1557m7227,1532l7277,1532e" filled="false" stroked="true" strokeweight=".633569pt" strokecolor="#008080">
              <v:path arrowok="t"/>
            </v:shape>
            <v:shape style="position:absolute;left:-190500;top:-369067;width:381000;height:381000" coordorigin="-190500,-369067" coordsize="381000,381000" path="m7694,1176l7694,1227m7669,1202l7720,1202e" filled="false" stroked="true" strokeweight=".633569pt" strokecolor="#008080">
              <v:path arrowok="t"/>
            </v:shape>
            <v:shape style="position:absolute;left:-190500;top:-369067;width:381000;height:381000" coordorigin="-190500,-369067" coordsize="381000,381000" path="m8136,1849l8136,1900m8111,1874l8162,1874e" filled="false" stroked="true" strokeweight=".633569pt" strokecolor="#008080">
              <v:path arrowok="t"/>
            </v:shape>
            <v:shape style="position:absolute;left:-190500;top:-369067;width:381000;height:381000" coordorigin="-190500,-369067" coordsize="381000,381000" path="m8566,2014l8566,2064m8541,2039l8591,2039e" filled="false" stroked="true" strokeweight=".633569pt" strokecolor="#008080">
              <v:path arrowok="t"/>
            </v:shape>
            <v:shape style="position:absolute;left:7252;top:1976;width:1757;height:635" coordorigin="7252,1976" coordsize="1757,635" path="m7252,2077l7694,1976,8136,2344,8566,2407,9008,2610e" filled="false" stroked="true" strokeweight=".634014pt" strokecolor="#3953a4">
              <v:path arrowok="t"/>
            </v:shape>
            <v:shape style="position:absolute;left:7246;top:1982;width:1352;height:432" coordorigin="7246,1982" coordsize="1352,432" path="m7246,2083l7284,2083m7688,1982l7726,1982m8130,2350l8168,2350m8560,2413l8598,2413e" filled="false" stroked="true" strokeweight="1.269364pt" strokecolor="#3953a4">
              <v:path arrowok="t"/>
            </v:shape>
            <v:rect style="position:absolute;left:8787;top:1639;width:720;height:977" filled="true" fillcolor="#ffffff" stroked="false">
              <v:fill type="solid"/>
            </v:rect>
            <v:shape style="position:absolute;left:9008;top:1798;width:26;height:39" coordorigin="9008,1798" coordsize="26,39" path="m9028,1836l9014,1836,9008,1828,9008,1807,9014,1798,9028,1798,9034,1807,9034,1828,9028,1836xe" filled="true" fillcolor="#010202" stroked="false">
              <v:path arrowok="t"/>
              <v:fill type="solid"/>
            </v:shape>
            <v:shape style="position:absolute;left:9008;top:1798;width:26;height:39" coordorigin="9008,1798" coordsize="26,39" path="m9008,1817l9008,1807,9014,1798,9021,1798,9028,1798,9034,1807,9034,1817,9034,1828,9028,1836,9021,1836,9014,1836,9008,1828,9008,1817xe" filled="false" stroked="true" strokeweight=".632528pt" strokecolor="#010202">
              <v:path arrowok="t"/>
            </v:shape>
            <v:rect style="position:absolute;left:6014;top:783;width:3500;height:2804" filled="false" stroked="true" strokeweight="1.899926pt" strokecolor="#010202"/>
            <v:shape style="position:absolute;left:6443;top:960;width:211;height:1516" type="#_x0000_t202" filled="false" stroked="false">
              <v:textbox inset="0,0,0,0">
                <w:txbxContent>
                  <w:p>
                    <w:pPr>
                      <w:spacing w:line="167" w:lineRule="exact" w:before="0"/>
                      <w:ind w:left="0" w:right="-12" w:firstLine="0"/>
                      <w:jc w:val="left"/>
                      <w:rPr>
                        <w:rFonts w:ascii="Calibri"/>
                        <w:sz w:val="16"/>
                      </w:rPr>
                    </w:pPr>
                    <w:r>
                      <w:rPr>
                        <w:rFonts w:ascii="Calibri"/>
                        <w:color w:val="010202"/>
                        <w:sz w:val="16"/>
                      </w:rPr>
                      <w:t>0.5</w:t>
                    </w:r>
                  </w:p>
                  <w:p>
                    <w:pPr>
                      <w:spacing w:before="142"/>
                      <w:ind w:left="0" w:right="-12" w:firstLine="0"/>
                      <w:jc w:val="left"/>
                      <w:rPr>
                        <w:rFonts w:ascii="Calibri"/>
                        <w:sz w:val="16"/>
                      </w:rPr>
                    </w:pPr>
                    <w:r>
                      <w:rPr>
                        <w:rFonts w:ascii="Calibri"/>
                        <w:color w:val="010202"/>
                        <w:sz w:val="16"/>
                      </w:rPr>
                      <w:t>0.4</w:t>
                    </w:r>
                  </w:p>
                  <w:p>
                    <w:pPr>
                      <w:spacing w:before="142"/>
                      <w:ind w:left="0" w:right="-12" w:firstLine="0"/>
                      <w:jc w:val="left"/>
                      <w:rPr>
                        <w:rFonts w:ascii="Calibri"/>
                        <w:sz w:val="16"/>
                      </w:rPr>
                    </w:pPr>
                    <w:r>
                      <w:rPr>
                        <w:rFonts w:ascii="Calibri"/>
                        <w:color w:val="010202"/>
                        <w:sz w:val="16"/>
                      </w:rPr>
                      <w:t>0.3</w:t>
                    </w:r>
                  </w:p>
                  <w:p>
                    <w:pPr>
                      <w:spacing w:before="142"/>
                      <w:ind w:left="0" w:right="-12" w:firstLine="0"/>
                      <w:jc w:val="left"/>
                      <w:rPr>
                        <w:rFonts w:ascii="Calibri"/>
                        <w:sz w:val="16"/>
                      </w:rPr>
                    </w:pPr>
                    <w:r>
                      <w:rPr>
                        <w:rFonts w:ascii="Calibri"/>
                        <w:color w:val="010202"/>
                        <w:sz w:val="16"/>
                      </w:rPr>
                      <w:t>0.2</w:t>
                    </w:r>
                  </w:p>
                  <w:p>
                    <w:pPr>
                      <w:spacing w:line="194" w:lineRule="exact" w:before="142"/>
                      <w:ind w:left="0" w:right="-12" w:firstLine="0"/>
                      <w:jc w:val="left"/>
                      <w:rPr>
                        <w:rFonts w:ascii="Calibri"/>
                        <w:sz w:val="16"/>
                      </w:rPr>
                    </w:pPr>
                    <w:r>
                      <w:rPr>
                        <w:rFonts w:ascii="Calibri"/>
                        <w:color w:val="010202"/>
                        <w:sz w:val="16"/>
                      </w:rPr>
                      <w:t>0.1</w:t>
                    </w:r>
                  </w:p>
                </w:txbxContent>
              </v:textbox>
              <w10:wrap type="none"/>
            </v:shape>
            <v:shape style="position:absolute;left:9034;top:942;width:220;height:180" type="#_x0000_t202" filled="false" stroked="false">
              <v:textbox inset="0,0,0,0">
                <w:txbxContent>
                  <w:p>
                    <w:pPr>
                      <w:spacing w:line="180" w:lineRule="exact" w:before="0"/>
                      <w:ind w:left="0" w:right="-20" w:firstLine="0"/>
                      <w:jc w:val="left"/>
                      <w:rPr>
                        <w:b/>
                        <w:sz w:val="18"/>
                      </w:rPr>
                    </w:pPr>
                    <w:r>
                      <w:rPr>
                        <w:b/>
                        <w:color w:val="010202"/>
                        <w:sz w:val="18"/>
                      </w:rPr>
                      <w:t>(b)</w:t>
                    </w:r>
                  </w:p>
                </w:txbxContent>
              </v:textbox>
              <w10:wrap type="none"/>
            </v:shape>
            <v:shape style="position:absolute;left:8857;top:1635;width:329;height:166" type="#_x0000_t202" filled="false" stroked="false">
              <v:textbox inset="0,0,0,0">
                <w:txbxContent>
                  <w:p>
                    <w:pPr>
                      <w:tabs>
                        <w:tab w:pos="328" w:val="left" w:leader="none"/>
                      </w:tabs>
                      <w:spacing w:line="166" w:lineRule="exact" w:before="0"/>
                      <w:ind w:left="0" w:right="0" w:firstLine="0"/>
                      <w:jc w:val="left"/>
                      <w:rPr>
                        <w:rFonts w:ascii="Calibri"/>
                        <w:sz w:val="16"/>
                      </w:rPr>
                    </w:pPr>
                    <w:r>
                      <w:rPr>
                        <w:rFonts w:ascii="Calibri"/>
                        <w:color w:val="010202"/>
                        <w:w w:val="103"/>
                        <w:sz w:val="16"/>
                        <w:u w:val="single" w:color="010202"/>
                      </w:rPr>
                      <w:t> </w:t>
                    </w:r>
                    <w:r>
                      <w:rPr>
                        <w:rFonts w:ascii="Calibri"/>
                        <w:color w:val="010202"/>
                        <w:sz w:val="16"/>
                        <w:u w:val="single" w:color="010202"/>
                      </w:rPr>
                      <w:tab/>
                    </w:r>
                  </w:p>
                </w:txbxContent>
              </v:textbox>
              <w10:wrap type="none"/>
            </v:shape>
            <v:shape style="position:absolute;left:9228;top:1754;width:282;height:166" type="#_x0000_t202" filled="false" stroked="false">
              <v:textbox inset="0,0,0,0">
                <w:txbxContent>
                  <w:p>
                    <w:pPr>
                      <w:spacing w:line="166" w:lineRule="exact" w:before="0"/>
                      <w:ind w:left="0" w:right="-20" w:firstLine="0"/>
                      <w:jc w:val="left"/>
                      <w:rPr>
                        <w:rFonts w:ascii="Calibri"/>
                        <w:sz w:val="16"/>
                      </w:rPr>
                    </w:pPr>
                    <w:r>
                      <w:rPr>
                        <w:rFonts w:ascii="Calibri"/>
                        <w:color w:val="010202"/>
                        <w:w w:val="105"/>
                        <w:sz w:val="16"/>
                      </w:rPr>
                      <w:t>Tala</w:t>
                    </w:r>
                  </w:p>
                </w:txbxContent>
              </v:textbox>
              <w10:wrap type="none"/>
            </v:shape>
            <v:shape style="position:absolute;left:6572;top:2647;width:84;height:166" type="#_x0000_t202" filled="false" stroked="false">
              <v:textbox inset="0,0,0,0">
                <w:txbxContent>
                  <w:p>
                    <w:pPr>
                      <w:spacing w:line="166" w:lineRule="exact" w:before="0"/>
                      <w:ind w:left="0" w:right="0" w:firstLine="0"/>
                      <w:jc w:val="left"/>
                      <w:rPr>
                        <w:rFonts w:ascii="Calibri"/>
                        <w:sz w:val="16"/>
                      </w:rPr>
                    </w:pPr>
                    <w:r>
                      <w:rPr>
                        <w:rFonts w:ascii="Calibri"/>
                        <w:color w:val="010202"/>
                        <w:w w:val="103"/>
                        <w:sz w:val="16"/>
                      </w:rPr>
                      <w:t>0</w:t>
                    </w:r>
                  </w:p>
                </w:txbxContent>
              </v:textbox>
              <w10:wrap type="none"/>
            </v:shape>
            <v:shape style="position:absolute;left:7170;top:2868;width:173;height:166" type="#_x0000_t202" filled="false" stroked="false">
              <v:textbox inset="0,0,0,0">
                <w:txbxContent>
                  <w:p>
                    <w:pPr>
                      <w:spacing w:line="166" w:lineRule="exact" w:before="0"/>
                      <w:ind w:left="0" w:right="-10" w:firstLine="0"/>
                      <w:jc w:val="left"/>
                      <w:rPr>
                        <w:rFonts w:ascii="Calibri"/>
                        <w:sz w:val="16"/>
                      </w:rPr>
                    </w:pPr>
                    <w:r>
                      <w:rPr>
                        <w:rFonts w:ascii="Calibri"/>
                        <w:color w:val="010202"/>
                        <w:sz w:val="16"/>
                      </w:rPr>
                      <w:t>25</w:t>
                    </w:r>
                  </w:p>
                </w:txbxContent>
              </v:textbox>
              <w10:wrap type="none"/>
            </v:shape>
            <v:shape style="position:absolute;left:7611;top:2868;width:173;height:166" type="#_x0000_t202" filled="false" stroked="false">
              <v:textbox inset="0,0,0,0">
                <w:txbxContent>
                  <w:p>
                    <w:pPr>
                      <w:spacing w:line="166" w:lineRule="exact" w:before="0"/>
                      <w:ind w:left="0" w:right="-10" w:firstLine="0"/>
                      <w:jc w:val="left"/>
                      <w:rPr>
                        <w:rFonts w:ascii="Calibri"/>
                        <w:sz w:val="16"/>
                      </w:rPr>
                    </w:pPr>
                    <w:r>
                      <w:rPr>
                        <w:rFonts w:ascii="Calibri"/>
                        <w:color w:val="010202"/>
                        <w:sz w:val="16"/>
                      </w:rPr>
                      <w:t>40</w:t>
                    </w:r>
                  </w:p>
                </w:txbxContent>
              </v:textbox>
              <w10:wrap type="none"/>
            </v:shape>
            <v:shape style="position:absolute;left:8053;top:2868;width:173;height:166" type="#_x0000_t202" filled="false" stroked="false">
              <v:textbox inset="0,0,0,0">
                <w:txbxContent>
                  <w:p>
                    <w:pPr>
                      <w:spacing w:line="166" w:lineRule="exact" w:before="0"/>
                      <w:ind w:left="0" w:right="-10" w:firstLine="0"/>
                      <w:jc w:val="left"/>
                      <w:rPr>
                        <w:rFonts w:ascii="Calibri"/>
                        <w:sz w:val="16"/>
                      </w:rPr>
                    </w:pPr>
                    <w:r>
                      <w:rPr>
                        <w:rFonts w:ascii="Calibri"/>
                        <w:color w:val="010202"/>
                        <w:sz w:val="16"/>
                      </w:rPr>
                      <w:t>55</w:t>
                    </w:r>
                  </w:p>
                </w:txbxContent>
              </v:textbox>
              <w10:wrap type="none"/>
            </v:shape>
            <v:shape style="position:absolute;left:8494;top:2868;width:173;height:166" type="#_x0000_t202" filled="false" stroked="false">
              <v:textbox inset="0,0,0,0">
                <w:txbxContent>
                  <w:p>
                    <w:pPr>
                      <w:spacing w:line="166" w:lineRule="exact" w:before="0"/>
                      <w:ind w:left="0" w:right="-10" w:firstLine="0"/>
                      <w:jc w:val="left"/>
                      <w:rPr>
                        <w:rFonts w:ascii="Calibri"/>
                        <w:sz w:val="16"/>
                      </w:rPr>
                    </w:pPr>
                    <w:r>
                      <w:rPr>
                        <w:rFonts w:ascii="Calibri"/>
                        <w:color w:val="010202"/>
                        <w:sz w:val="16"/>
                      </w:rPr>
                      <w:t>70</w:t>
                    </w:r>
                  </w:p>
                </w:txbxContent>
              </v:textbox>
              <w10:wrap type="none"/>
            </v:shape>
            <v:shape style="position:absolute;left:8935;top:2868;width:173;height:166" type="#_x0000_t202" filled="false" stroked="false">
              <v:textbox inset="0,0,0,0">
                <w:txbxContent>
                  <w:p>
                    <w:pPr>
                      <w:spacing w:line="166" w:lineRule="exact" w:before="0"/>
                      <w:ind w:left="0" w:right="-10" w:firstLine="0"/>
                      <w:jc w:val="left"/>
                      <w:rPr>
                        <w:rFonts w:ascii="Calibri"/>
                        <w:sz w:val="16"/>
                      </w:rPr>
                    </w:pPr>
                    <w:r>
                      <w:rPr>
                        <w:rFonts w:ascii="Calibri"/>
                        <w:color w:val="010202"/>
                        <w:sz w:val="16"/>
                      </w:rPr>
                      <w:t>85</w:t>
                    </w:r>
                  </w:p>
                </w:txbxContent>
              </v:textbox>
              <w10:wrap type="none"/>
            </v:shape>
            <v:shape style="position:absolute;left:7046;top:3296;width:1895;height:166" type="#_x0000_t202" filled="false" stroked="false">
              <v:textbox inset="0,0,0,0">
                <w:txbxContent>
                  <w:p>
                    <w:pPr>
                      <w:spacing w:line="166" w:lineRule="exact" w:before="0"/>
                      <w:ind w:left="0" w:right="-8" w:firstLine="0"/>
                      <w:jc w:val="left"/>
                      <w:rPr>
                        <w:rFonts w:ascii="Calibri" w:hAnsi="Calibri"/>
                        <w:b/>
                        <w:sz w:val="16"/>
                      </w:rPr>
                    </w:pPr>
                    <w:r>
                      <w:rPr>
                        <w:rFonts w:ascii="Calibri" w:hAnsi="Calibri"/>
                        <w:b/>
                        <w:color w:val="010202"/>
                        <w:spacing w:val="-3"/>
                        <w:w w:val="105"/>
                        <w:sz w:val="16"/>
                      </w:rPr>
                      <w:t>Días  </w:t>
                    </w:r>
                    <w:r>
                      <w:rPr>
                        <w:rFonts w:ascii="Calibri" w:hAnsi="Calibri"/>
                        <w:b/>
                        <w:color w:val="010202"/>
                        <w:w w:val="105"/>
                        <w:sz w:val="16"/>
                      </w:rPr>
                      <w:t>después de la</w:t>
                    </w:r>
                    <w:r>
                      <w:rPr>
                        <w:rFonts w:ascii="Calibri" w:hAnsi="Calibri"/>
                        <w:b/>
                        <w:color w:val="010202"/>
                        <w:spacing w:val="-21"/>
                        <w:w w:val="105"/>
                        <w:sz w:val="16"/>
                      </w:rPr>
                      <w:t> </w:t>
                    </w:r>
                    <w:r>
                      <w:rPr>
                        <w:rFonts w:ascii="Calibri" w:hAnsi="Calibri"/>
                        <w:b/>
                        <w:color w:val="010202"/>
                        <w:w w:val="105"/>
                        <w:sz w:val="16"/>
                      </w:rPr>
                      <w:t>siembra</w:t>
                    </w:r>
                  </w:p>
                </w:txbxContent>
              </v:textbox>
              <w10:wrap type="none"/>
            </v:shape>
            <w10:wrap type="none"/>
          </v:group>
        </w:pict>
      </w:r>
      <w:r>
        <w:rPr/>
        <w:pict>
          <v:shape style="position:absolute;margin-left:83.506752pt;margin-top:89.209473pt;width:10.25pt;height:45.95pt;mso-position-horizontal-relative:page;mso-position-vertical-relative:paragraph;z-index:5824" type="#_x0000_t202" filled="false" stroked="false">
            <v:textbox inset="0,0,0,0" style="layout-flow:vertical;mso-layout-flow-alt:bottom-to-top">
              <w:txbxContent>
                <w:p>
                  <w:pPr>
                    <w:spacing w:line="187" w:lineRule="exact" w:before="0"/>
                    <w:ind w:left="20" w:right="0" w:firstLine="0"/>
                    <w:jc w:val="left"/>
                    <w:rPr>
                      <w:rFonts w:ascii="Calibri" w:hAnsi="Calibri"/>
                      <w:b/>
                      <w:sz w:val="16"/>
                    </w:rPr>
                  </w:pPr>
                  <w:r>
                    <w:rPr>
                      <w:rFonts w:ascii="Calibri" w:hAnsi="Calibri"/>
                      <w:b/>
                      <w:color w:val="010202"/>
                      <w:spacing w:val="-6"/>
                      <w:w w:val="103"/>
                      <w:sz w:val="16"/>
                    </w:rPr>
                    <w:t>T</w:t>
                  </w:r>
                  <w:r>
                    <w:rPr>
                      <w:rFonts w:ascii="Calibri" w:hAnsi="Calibri"/>
                      <w:b/>
                      <w:color w:val="010202"/>
                      <w:spacing w:val="1"/>
                      <w:w w:val="103"/>
                      <w:sz w:val="16"/>
                    </w:rPr>
                    <w:t>A</w:t>
                  </w:r>
                  <w:r>
                    <w:rPr>
                      <w:rFonts w:ascii="Calibri" w:hAnsi="Calibri"/>
                      <w:b/>
                      <w:color w:val="010202"/>
                      <w:w w:val="103"/>
                      <w:sz w:val="16"/>
                    </w:rPr>
                    <w:t>C</w:t>
                  </w:r>
                  <w:r>
                    <w:rPr>
                      <w:rFonts w:ascii="Calibri" w:hAnsi="Calibri"/>
                      <w:b/>
                      <w:color w:val="010202"/>
                      <w:spacing w:val="16"/>
                      <w:sz w:val="16"/>
                    </w:rPr>
                    <w:t> </w:t>
                  </w:r>
                  <w:r>
                    <w:rPr>
                      <w:rFonts w:ascii="Calibri" w:hAnsi="Calibri"/>
                      <w:b/>
                      <w:color w:val="010202"/>
                      <w:spacing w:val="-1"/>
                      <w:w w:val="103"/>
                      <w:sz w:val="16"/>
                    </w:rPr>
                    <w:t>(</w:t>
                  </w:r>
                  <w:r>
                    <w:rPr>
                      <w:rFonts w:ascii="Calibri" w:hAnsi="Calibri"/>
                      <w:b/>
                      <w:color w:val="010202"/>
                      <w:spacing w:val="-3"/>
                      <w:w w:val="103"/>
                      <w:sz w:val="16"/>
                    </w:rPr>
                    <w:t>g</w:t>
                  </w:r>
                  <w:r>
                    <w:rPr>
                      <w:rFonts w:ascii="Calibri" w:hAnsi="Calibri"/>
                      <w:b/>
                      <w:color w:val="010202"/>
                      <w:spacing w:val="-7"/>
                      <w:w w:val="103"/>
                      <w:sz w:val="16"/>
                    </w:rPr>
                    <w:t>·</w:t>
                  </w:r>
                  <w:r>
                    <w:rPr>
                      <w:rFonts w:ascii="Calibri" w:hAnsi="Calibri"/>
                      <w:b/>
                      <w:color w:val="010202"/>
                      <w:spacing w:val="-3"/>
                      <w:w w:val="103"/>
                      <w:sz w:val="16"/>
                    </w:rPr>
                    <w:t>g</w:t>
                  </w:r>
                  <w:r>
                    <w:rPr>
                      <w:rFonts w:ascii="Calibri" w:hAnsi="Calibri"/>
                      <w:b/>
                      <w:color w:val="010202"/>
                      <w:spacing w:val="-7"/>
                      <w:w w:val="103"/>
                      <w:sz w:val="16"/>
                    </w:rPr>
                    <w:t>·</w:t>
                  </w:r>
                  <w:r>
                    <w:rPr>
                      <w:rFonts w:ascii="Calibri" w:hAnsi="Calibri"/>
                      <w:b/>
                      <w:color w:val="010202"/>
                      <w:w w:val="103"/>
                      <w:sz w:val="16"/>
                    </w:rPr>
                    <w:t>d-</w:t>
                  </w:r>
                  <w:r>
                    <w:rPr>
                      <w:rFonts w:ascii="Calibri" w:hAnsi="Calibri"/>
                      <w:b/>
                      <w:color w:val="010202"/>
                      <w:spacing w:val="5"/>
                      <w:w w:val="103"/>
                      <w:sz w:val="16"/>
                    </w:rPr>
                    <w:t>1</w:t>
                  </w:r>
                  <w:r>
                    <w:rPr>
                      <w:rFonts w:ascii="Calibri" w:hAnsi="Calibri"/>
                      <w:b/>
                      <w:color w:val="010202"/>
                      <w:w w:val="103"/>
                      <w:sz w:val="16"/>
                    </w:rPr>
                    <w:t>)</w:t>
                  </w:r>
                </w:p>
              </w:txbxContent>
            </v:textbox>
            <w10:wrap type="none"/>
          </v:shape>
        </w:pict>
      </w:r>
      <w:r>
        <w:rPr/>
        <w:pict>
          <v:shape style="position:absolute;margin-left:311.35202pt;margin-top:91.689529pt;width:10.25pt;height:45.35pt;mso-position-horizontal-relative:page;mso-position-vertical-relative:paragraph;z-index:5872" type="#_x0000_t202" filled="false" stroked="false">
            <v:textbox inset="0,0,0,0" style="layout-flow:vertical;mso-layout-flow-alt:bottom-to-top">
              <w:txbxContent>
                <w:p>
                  <w:pPr>
                    <w:spacing w:line="187" w:lineRule="exact" w:before="0"/>
                    <w:ind w:left="20" w:right="0" w:firstLine="0"/>
                    <w:jc w:val="left"/>
                    <w:rPr>
                      <w:rFonts w:ascii="Calibri" w:hAnsi="Calibri"/>
                      <w:b/>
                      <w:sz w:val="16"/>
                    </w:rPr>
                  </w:pPr>
                  <w:r>
                    <w:rPr>
                      <w:rFonts w:ascii="Calibri" w:hAnsi="Calibri"/>
                      <w:b/>
                      <w:color w:val="010202"/>
                      <w:spacing w:val="-6"/>
                      <w:w w:val="103"/>
                      <w:sz w:val="16"/>
                    </w:rPr>
                    <w:t>T</w:t>
                  </w:r>
                  <w:r>
                    <w:rPr>
                      <w:rFonts w:ascii="Calibri" w:hAnsi="Calibri"/>
                      <w:b/>
                      <w:color w:val="010202"/>
                      <w:spacing w:val="-5"/>
                      <w:w w:val="103"/>
                      <w:sz w:val="16"/>
                    </w:rPr>
                    <w:t>R</w:t>
                  </w:r>
                  <w:r>
                    <w:rPr>
                      <w:rFonts w:ascii="Calibri" w:hAnsi="Calibri"/>
                      <w:b/>
                      <w:color w:val="010202"/>
                      <w:w w:val="103"/>
                      <w:sz w:val="16"/>
                    </w:rPr>
                    <w:t>C</w:t>
                  </w:r>
                  <w:r>
                    <w:rPr>
                      <w:rFonts w:ascii="Calibri" w:hAnsi="Calibri"/>
                      <w:b/>
                      <w:color w:val="010202"/>
                      <w:spacing w:val="16"/>
                      <w:sz w:val="16"/>
                    </w:rPr>
                    <w:t> </w:t>
                  </w:r>
                  <w:r>
                    <w:rPr>
                      <w:rFonts w:ascii="Calibri" w:hAnsi="Calibri"/>
                      <w:b/>
                      <w:color w:val="010202"/>
                      <w:spacing w:val="-1"/>
                      <w:w w:val="103"/>
                      <w:sz w:val="16"/>
                    </w:rPr>
                    <w:t>(</w:t>
                  </w:r>
                  <w:r>
                    <w:rPr>
                      <w:rFonts w:ascii="Calibri" w:hAnsi="Calibri"/>
                      <w:b/>
                      <w:color w:val="010202"/>
                      <w:spacing w:val="-3"/>
                      <w:w w:val="103"/>
                      <w:sz w:val="16"/>
                    </w:rPr>
                    <w:t>g</w:t>
                  </w:r>
                  <w:r>
                    <w:rPr>
                      <w:rFonts w:ascii="Calibri" w:hAnsi="Calibri"/>
                      <w:b/>
                      <w:color w:val="010202"/>
                      <w:spacing w:val="-7"/>
                      <w:w w:val="103"/>
                      <w:sz w:val="16"/>
                    </w:rPr>
                    <w:t>·</w:t>
                  </w:r>
                  <w:r>
                    <w:rPr>
                      <w:rFonts w:ascii="Calibri" w:hAnsi="Calibri"/>
                      <w:b/>
                      <w:color w:val="010202"/>
                      <w:spacing w:val="-3"/>
                      <w:w w:val="103"/>
                      <w:sz w:val="16"/>
                    </w:rPr>
                    <w:t>g</w:t>
                  </w:r>
                  <w:r>
                    <w:rPr>
                      <w:rFonts w:ascii="Calibri" w:hAnsi="Calibri"/>
                      <w:b/>
                      <w:color w:val="010202"/>
                      <w:spacing w:val="-7"/>
                      <w:w w:val="103"/>
                      <w:sz w:val="16"/>
                    </w:rPr>
                    <w:t>·</w:t>
                  </w:r>
                  <w:r>
                    <w:rPr>
                      <w:rFonts w:ascii="Calibri" w:hAnsi="Calibri"/>
                      <w:b/>
                      <w:color w:val="010202"/>
                      <w:w w:val="103"/>
                      <w:sz w:val="16"/>
                    </w:rPr>
                    <w:t>d-</w:t>
                  </w:r>
                  <w:r>
                    <w:rPr>
                      <w:rFonts w:ascii="Calibri" w:hAnsi="Calibri"/>
                      <w:b/>
                      <w:color w:val="010202"/>
                      <w:spacing w:val="5"/>
                      <w:w w:val="103"/>
                      <w:sz w:val="16"/>
                    </w:rPr>
                    <w:t>1</w:t>
                  </w:r>
                  <w:r>
                    <w:rPr>
                      <w:rFonts w:ascii="Calibri" w:hAnsi="Calibri"/>
                      <w:b/>
                      <w:color w:val="010202"/>
                      <w:w w:val="103"/>
                      <w:sz w:val="16"/>
                    </w:rPr>
                    <w:t>)</w:t>
                  </w:r>
                </w:p>
              </w:txbxContent>
            </v:textbox>
            <w10:wrap type="none"/>
          </v:shape>
        </w:pict>
      </w:r>
      <w:r>
        <w:rPr>
          <w:b/>
          <w:color w:val="010202"/>
          <w:sz w:val="18"/>
        </w:rPr>
        <w:t>Figura 3. Tasa absoluta de crecimiento (a), tasa relativa de crecimiento (b) y tasa de asimilación neta (c) de la parte aérea de ocho híbridos de calabacita. Chapingo, Méx. 2006</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3"/>
        <w:rPr>
          <w:b/>
          <w:sz w:val="18"/>
        </w:rPr>
      </w:pPr>
    </w:p>
    <w:p>
      <w:pPr>
        <w:pStyle w:val="Heading5"/>
        <w:spacing w:before="73"/>
      </w:pPr>
      <w:r>
        <w:rPr/>
        <w:pict>
          <v:group style="position:absolute;margin-left:91.554771pt;margin-top:-176.05246pt;width:362.8pt;height:162.050pt;mso-position-horizontal-relative:page;mso-position-vertical-relative:paragraph;z-index:5800" coordorigin="1831,-3521" coordsize="7256,3241">
            <v:line style="position:absolute" from="2819,-967" to="2819,-2928" stroked="true" strokeweight=".66322pt" strokecolor="#010202"/>
            <v:shape style="position:absolute;left:0;top:4545;width:80;height:2940" coordorigin="0,4545" coordsize="80,2940" path="m2766,-967l2819,-967m2766,-1301l2819,-1301m2766,-1621l2819,-1621m2766,-1954l2819,-1954m2766,-2274l2819,-2274m2766,-2608l2819,-2608m2766,-2928l2819,-2928e" filled="false" stroked="true" strokeweight=".665022pt" strokecolor="#010202">
              <v:path arrowok="t"/>
            </v:shape>
            <v:shape style="position:absolute;left:0;top:4465;width:6900;height:80" coordorigin="0,4465" coordsize="6900,80" path="m2819,-967l7396,-967m2819,-967l2819,-914m3735,-967l3735,-914m4650,-967l4650,-914m5565,-967l5565,-914m6480,-967l6480,-914m7396,-967l7396,-914e" filled="false" stroked="true" strokeweight=".665022pt" strokecolor="#010202">
              <v:path arrowok="t"/>
            </v:shape>
            <v:shape style="position:absolute;left:3739;top:-2076;width:3655;height:1106" coordorigin="3739,-2076" coordsize="3655,1106" path="m3739,-1233l3783,-1277,3838,-1338,3903,-1413,3938,-1454,3976,-1497,4055,-1586,4096,-1632,4138,-1678,4182,-1724,4225,-1768,4270,-1812,4314,-1854,4403,-1930,4489,-1993,4573,-2041,4652,-2068,4739,-2076,4783,-2072,4870,-2051,4957,-2016,5044,-1969,5131,-1913,5218,-1852,5305,-1790,5349,-1759,5436,-1700,5523,-1648,5614,-1601,5662,-1576,5758,-1525,5855,-1472,5903,-1446,5951,-1420,6047,-1368,6143,-1317,6239,-1269,6336,-1225,6432,-1185,6531,-1150,6632,-1119,6734,-1094,6835,-1072,6937,-1053,7038,-1035,7140,-1018,7191,-1009,7241,-1001,7292,-991,7343,-981,7394,-971e" filled="false" stroked="true" strokeweight=".666521pt" strokecolor="#010202">
              <v:path arrowok="t"/>
            </v:shape>
            <v:shape style="position:absolute;left:3721;top:-1247;width:40;height:40" coordorigin="3721,-1247" coordsize="40,40" path="m3752,-1207l3730,-1207,3721,-1216,3721,-1238,3730,-1247,3752,-1247,3761,-1238,3761,-1216,3752,-1207xe" filled="true" fillcolor="#010202" stroked="false">
              <v:path arrowok="t"/>
              <v:fill type="solid"/>
            </v:shape>
            <v:shape style="position:absolute;left:3721;top:-1247;width:40;height:40" coordorigin="3721,-1247" coordsize="40,40" path="m3761,-1227l3761,-1216,3752,-1207,3741,-1207,3730,-1207,3721,-1216,3721,-1227,3721,-1238,3730,-1247,3741,-1247,3752,-1247,3761,-1238,3761,-1227xe" filled="false" stroked="true" strokeweight=".66574pt" strokecolor="#010202">
              <v:path arrowok="t"/>
            </v:shape>
            <v:shape style="position:absolute;left:4637;top:-2087;width:40;height:40" coordorigin="4637,-2087" coordsize="40,40" path="m4668,-2047l4646,-2047,4637,-2056,4637,-2078,4646,-2087,4668,-2087,4676,-2078,4676,-2056,4668,-2047xe" filled="true" fillcolor="#010202" stroked="false">
              <v:path arrowok="t"/>
              <v:fill type="solid"/>
            </v:shape>
            <v:shape style="position:absolute;left:4637;top:-2087;width:40;height:40" coordorigin="4637,-2087" coordsize="40,40" path="m4676,-2067l4676,-2056,4668,-2047,4657,-2047,4646,-2047,4637,-2056,4637,-2067,4637,-2078,4646,-2087,4657,-2087,4668,-2087,4676,-2078,4676,-2067xe" filled="false" stroked="true" strokeweight=".66574pt" strokecolor="#010202">
              <v:path arrowok="t"/>
            </v:shape>
            <v:shape style="position:absolute;left:5552;top:-1634;width:40;height:40" coordorigin="5552,-1634" coordsize="40,40" path="m5583,-1594l5561,-1594,5552,-1603,5552,-1625,5561,-1634,5583,-1634,5592,-1625,5592,-1603,5583,-1594xe" filled="true" fillcolor="#010202" stroked="false">
              <v:path arrowok="t"/>
              <v:fill type="solid"/>
            </v:shape>
            <v:shape style="position:absolute;left:5552;top:-1634;width:40;height:40" coordorigin="5552,-1634" coordsize="40,40" path="m5592,-1614l5592,-1603,5583,-1594,5572,-1594,5561,-1594,5552,-1603,5552,-1614,5552,-1625,5561,-1634,5572,-1634,5583,-1634,5592,-1625,5592,-1614xe" filled="false" stroked="true" strokeweight=".66574pt" strokecolor="#010202">
              <v:path arrowok="t"/>
            </v:shape>
            <v:shape style="position:absolute;left:6467;top:-1181;width:40;height:40" coordorigin="6467,-1181" coordsize="40,40" path="m6498,-1140l6476,-1140,6467,-1149,6467,-1172,6476,-1181,6498,-1181,6507,-1172,6507,-1149,6498,-1140xe" filled="true" fillcolor="#010202" stroked="false">
              <v:path arrowok="t"/>
              <v:fill type="solid"/>
            </v:shape>
            <v:shape style="position:absolute;left:6467;top:-1181;width:40;height:40" coordorigin="6467,-1181" coordsize="40,40" path="m6507,-1160l6507,-1149,6498,-1140,6487,-1140,6476,-1140,6467,-1149,6467,-1160,6467,-1172,6476,-1181,6487,-1181,6498,-1181,6507,-1172,6507,-1160xe" filled="false" stroked="true" strokeweight=".66574pt" strokecolor="#010202">
              <v:path arrowok="t"/>
            </v:shape>
            <v:shape style="position:absolute;left:7382;top:-980;width:40;height:40" coordorigin="7382,-980" coordsize="40,40" path="m7413,-940l7391,-940,7382,-949,7382,-971,7391,-980,7413,-980,7422,-971,7422,-949,7413,-940xe" filled="true" fillcolor="#010202" stroked="false">
              <v:path arrowok="t"/>
              <v:fill type="solid"/>
            </v:shape>
            <v:shape style="position:absolute;left:7382;top:-980;width:40;height:40" coordorigin="7382,-980" coordsize="40,40" path="m7422,-960l7422,-949,7413,-940,7402,-940,7391,-940,7382,-949,7382,-960,7382,-971,7391,-980,7402,-980,7413,-980,7422,-971,7422,-960xe" filled="false" stroked="true" strokeweight=".66574pt" strokecolor="#010202">
              <v:path arrowok="t"/>
            </v:shape>
            <v:shape style="position:absolute;left:3739;top:-2084;width:3655;height:917" coordorigin="3739,-2084" coordsize="3655,917" path="m3739,-1560l3790,-1593,3856,-1640,3933,-1698,3976,-1729,4066,-1795,4163,-1862,4263,-1927,4365,-1985,4465,-2033,4562,-2066,4652,-2083,4698,-2084,4744,-2080,4835,-2062,4926,-2030,5018,-1989,5109,-1940,5201,-1887,5246,-1859,5292,-1832,5383,-1779,5475,-1731,5566,-1690,5668,-1650,5769,-1611,5871,-1572,5972,-1533,6074,-1496,6175,-1460,6277,-1426,6378,-1394,6480,-1363,6581,-1336,6683,-1311,6784,-1288,6886,-1267,6987,-1247,7089,-1228,7140,-1218,7191,-1208,7241,-1198,7292,-1188,7343,-1178,7394,-1167e" filled="false" stroked="true" strokeweight=".66661pt" strokecolor="#f6ec13">
              <v:path arrowok="t"/>
            </v:shape>
            <v:shape style="position:absolute;left:3708;top:-1581;width:54;height:54" coordorigin="3708,-1581" coordsize="54,54" path="m3735,-1581l3761,-1527,3708,-1527,3735,-1581xe" filled="false" stroked="true" strokeweight=".66574pt" strokecolor="#f6ec13">
              <v:path arrowok="t"/>
            </v:shape>
            <v:shape style="position:absolute;left:4623;top:-2114;width:54;height:54" coordorigin="4623,-2114" coordsize="54,54" path="m4650,-2114l4676,-2061,4623,-2061,4650,-2114xe" filled="false" stroked="true" strokeweight=".66574pt" strokecolor="#f6ec13">
              <v:path arrowok="t"/>
            </v:shape>
            <v:shape style="position:absolute;left:5539;top:-1714;width:54;height:54" coordorigin="5539,-1714" coordsize="54,54" path="m5565,-1714l5592,-1661,5539,-1661,5565,-1714xe" filled="false" stroked="true" strokeweight=".66574pt" strokecolor="#f6ec13">
              <v:path arrowok="t"/>
            </v:shape>
            <v:shape style="position:absolute;left:6454;top:-1394;width:54;height:54" coordorigin="6454,-1394" coordsize="54,54" path="m6480,-1394l6507,-1341,6454,-1341,6480,-1394xe" filled="false" stroked="true" strokeweight=".66574pt" strokecolor="#f6ec13">
              <v:path arrowok="t"/>
            </v:shape>
            <v:shape style="position:absolute;left:7369;top:-1194;width:54;height:54" coordorigin="7369,-1194" coordsize="54,54" path="m7396,-1194l7422,-1140,7369,-1140,7396,-1194xe" filled="false" stroked="true" strokeweight=".66574pt" strokecolor="#f6ec13">
              <v:path arrowok="t"/>
            </v:shape>
            <v:shape style="position:absolute;left:3739;top:-2151;width:3655;height:854" coordorigin="3739,-2151" coordsize="3655,854" path="m3739,-1625l3790,-1658,3856,-1704,3933,-1761,3976,-1792,4066,-1857,4163,-1923,4263,-1987,4365,-2045,4465,-2094,4562,-2129,4652,-2148,4700,-2151,4749,-2150,4845,-2135,4941,-2108,5037,-2070,5133,-2026,5229,-1978,5278,-1953,5326,-1929,5422,-1882,5518,-1839,5617,-1803,5668,-1784,5769,-1746,5871,-1707,5921,-1688,5972,-1669,6074,-1630,6175,-1593,6277,-1558,6378,-1525,6480,-1494,6581,-1467,6683,-1442,6784,-1419,6886,-1398,6987,-1378,7089,-1358,7140,-1349,7191,-1339,7241,-1329,7292,-1319,7343,-1309,7394,-1298e" filled="false" stroked="true" strokeweight=".666637pt" strokecolor="#b9529f">
              <v:path arrowok="t"/>
            </v:shape>
            <v:line style="position:absolute" from="3708,-1621" to="3761,-1621" stroked="true" strokeweight="2.667pt" strokecolor="#b9529f"/>
            <v:rect style="position:absolute;left:3708;top:-1647;width:53;height:53" filled="false" stroked="true" strokeweight=".66574pt" strokecolor="#b9529f"/>
            <v:line style="position:absolute" from="4623,-2154" to="4676,-2154" stroked="true" strokeweight="2.667pt" strokecolor="#b9529f"/>
            <v:rect style="position:absolute;left:4623;top:-2181;width:53;height:53" filled="false" stroked="true" strokeweight=".66574pt" strokecolor="#b9529f"/>
            <v:line style="position:absolute" from="5539,-1821" to="5592,-1821" stroked="true" strokeweight="2.667pt" strokecolor="#b9529f"/>
            <v:rect style="position:absolute;left:5539;top:-1847;width:53;height:53" filled="false" stroked="true" strokeweight=".66574pt" strokecolor="#b9529f"/>
            <v:line style="position:absolute" from="6454,-1501" to="6507,-1501" stroked="true" strokeweight="2.667pt" strokecolor="#b9529f"/>
            <v:rect style="position:absolute;left:6454;top:-1527;width:53;height:53" filled="false" stroked="true" strokeweight=".66574pt" strokecolor="#b9529f"/>
            <v:line style="position:absolute" from="7369,-1301" to="7422,-1301" stroked="true" strokeweight="2.667pt" strokecolor="#b9529f"/>
            <v:rect style="position:absolute;left:7369;top:-1327;width:53;height:53" filled="false" stroked="true" strokeweight=".66574pt" strokecolor="#b9529f"/>
            <v:shape style="position:absolute;left:3739;top:-2560;width:3655;height:1459" coordorigin="3739,-2560" coordsize="3655,1459" path="m3739,-1756l3783,-1798,3838,-1855,3903,-1924,3938,-1963,3976,-2003,4055,-2086,4138,-2172,4182,-2215,4225,-2257,4270,-2298,4358,-2375,4446,-2442,4532,-2497,4614,-2535,4698,-2556,4744,-2560,4789,-2559,4881,-2546,4972,-2518,5064,-2480,5155,-2435,5246,-2384,5338,-2332,5383,-2306,5475,-2257,5566,-2214,5614,-2193,5662,-2172,5758,-2129,5855,-2085,5951,-2040,6047,-1993,6143,-1944,6239,-1893,6336,-1840,6432,-1785,6523,-1729,6610,-1673,6697,-1614,6784,-1552,6871,-1489,6958,-1425,7045,-1360,7089,-1327,7133,-1294,7220,-1229,7307,-1165,7350,-1133,7394,-1102e" filled="false" stroked="true" strokeweight=".666329pt" strokecolor="#6fccdd">
              <v:path arrowok="t"/>
            </v:shape>
            <v:shape style="position:absolute;left:-381000;top:4545;width:381000;height:381000" coordorigin="-381000,4545" coordsize="381000,381000" path="m3761,-1727l3708,-1781m3708,-1727l3761,-1781e" filled="false" stroked="true" strokeweight=".665748pt" strokecolor="#6fccdd">
              <v:path arrowok="t"/>
            </v:shape>
            <v:shape style="position:absolute;left:-381000;top:4545;width:381000;height:381000" coordorigin="-381000,4545" coordsize="381000,381000" path="m4676,-2514l4623,-2567m4623,-2514l4676,-2567e" filled="false" stroked="true" strokeweight=".665748pt" strokecolor="#6fccdd">
              <v:path arrowok="t"/>
            </v:shape>
            <v:shape style="position:absolute;left:-381000;top:4545;width:381000;height:381000" coordorigin="-381000,4545" coordsize="381000,381000" path="m5592,-2181l5539,-2234m5539,-2181l5592,-2234e" filled="false" stroked="true" strokeweight=".665748pt" strokecolor="#6fccdd">
              <v:path arrowok="t"/>
            </v:shape>
            <v:shape style="position:absolute;left:-381000;top:4545;width:381000;height:381000" coordorigin="-381000,4545" coordsize="381000,381000" path="m6507,-1727l6454,-1781m6454,-1727l6507,-1781e" filled="false" stroked="true" strokeweight=".665748pt" strokecolor="#6fccdd">
              <v:path arrowok="t"/>
            </v:shape>
            <v:shape style="position:absolute;left:-381000;top:4545;width:381000;height:381000" coordorigin="-381000,4545" coordsize="381000,381000" path="m7422,-1074l7369,-1127m7369,-1074l7422,-1127e" filled="false" stroked="true" strokeweight=".665748pt" strokecolor="#6fccdd">
              <v:path arrowok="t"/>
            </v:shape>
            <v:shape style="position:absolute;left:3739;top:-2643;width:3655;height:888" coordorigin="3739,-2643" coordsize="3655,888" path="m3739,-1756l3783,-1801,3838,-1861,3903,-1935,3938,-1975,3976,-2018,4055,-2107,4096,-2152,4138,-2198,4182,-2244,4225,-2289,4270,-2333,4314,-2375,4358,-2416,4446,-2490,4532,-2552,4614,-2598,4700,-2629,4797,-2643,4845,-2643,4893,-2640,4989,-2622,5085,-2594,5181,-2559,5278,-2520,5326,-2499,5374,-2479,5470,-2442,5566,-2410,5617,-2394,5668,-2378,5769,-2342,5871,-2303,5972,-2262,6023,-2242,6074,-2221,6175,-2182,6277,-2145,6378,-2111,6480,-2083,6587,-2058,6695,-2038,6802,-2022,6910,-2008,7017,-1996,7125,-1984,7179,-1979,7232,-1973,7286,-1966,7340,-1959,7394,-1952e" filled="false" stroked="true" strokeweight=".666623pt" strokecolor="#7c277d">
              <v:path arrowok="t"/>
            </v:shape>
            <v:shape style="position:absolute;left:-381000;top:4545;width:381000;height:381000" coordorigin="-381000,4545" coordsize="381000,381000" path="m3761,-1727l3708,-1781m3735,-1781l3735,-1727m3708,-1727l3761,-1781e" filled="false" stroked="true" strokeweight=".665748pt" strokecolor="#7c277d">
              <v:path arrowok="t"/>
            </v:shape>
            <v:shape style="position:absolute;left:-381000;top:4545;width:381000;height:381000" coordorigin="-381000,4545" coordsize="381000,381000" path="m4676,-2594l4623,-2648m4650,-2648l4650,-2594m4623,-2594l4676,-2648e" filled="false" stroked="true" strokeweight=".665748pt" strokecolor="#7c277d">
              <v:path arrowok="t"/>
            </v:shape>
            <v:shape style="position:absolute;left:-381000;top:4545;width:381000;height:381000" coordorigin="-381000,4545" coordsize="381000,381000" path="m5592,-2381l5539,-2434m5565,-2434l5565,-2381m5539,-2381l5592,-2434e" filled="false" stroked="true" strokeweight=".665748pt" strokecolor="#7c277d">
              <v:path arrowok="t"/>
            </v:shape>
            <v:shape style="position:absolute;left:-381000;top:4545;width:381000;height:381000" coordorigin="-381000,4545" coordsize="381000,381000" path="m6507,-2061l6454,-2114m6480,-2114l6480,-2061m6454,-2061l6507,-2114e" filled="false" stroked="true" strokeweight=".665748pt" strokecolor="#7c277d">
              <v:path arrowok="t"/>
            </v:shape>
            <v:shape style="position:absolute;left:-381000;top:4545;width:381000;height:381000" coordorigin="-381000,4545" coordsize="381000,381000" path="m7422,-1927l7369,-1981m7396,-1981l7396,-1927m7369,-1927l7422,-1981e" filled="false" stroked="true" strokeweight=".665748pt" strokecolor="#7c277d">
              <v:path arrowok="t"/>
            </v:shape>
            <v:shape style="position:absolute;left:3735;top:-2514;width:3661;height:1347" coordorigin="3735,-2514" coordsize="3661,1347" path="m3735,-1821l4650,-2514,5565,-2274,6480,-1887,7396,-1167e" filled="false" stroked="true" strokeweight=".666394pt" strokecolor="#7f1416">
              <v:path arrowok="t"/>
            </v:shape>
            <v:shape style="position:absolute;left:3708;top:-1847;width:54;height:54" coordorigin="3708,-1847" coordsize="54,54" path="m3749,-1794l3720,-1794,3708,-1806,3708,-1835,3720,-1847,3749,-1847,3761,-1835,3761,-1806,3749,-1794xe" filled="true" fillcolor="#7f1416" stroked="false">
              <v:path arrowok="t"/>
              <v:fill type="solid"/>
            </v:shape>
            <v:shape style="position:absolute;left:3708;top:-1847;width:54;height:54" coordorigin="3708,-1847" coordsize="54,54" path="m3761,-1821l3761,-1806,3749,-1794,3735,-1794,3720,-1794,3708,-1806,3708,-1821,3708,-1835,3720,-1847,3735,-1847,3749,-1847,3761,-1835,3761,-1821xe" filled="false" stroked="true" strokeweight=".66574pt" strokecolor="#7f1416">
              <v:path arrowok="t"/>
            </v:shape>
            <v:shape style="position:absolute;left:4623;top:-2541;width:54;height:54" coordorigin="4623,-2541" coordsize="54,54" path="m4665,-2487l4635,-2487,4623,-2499,4623,-2529,4635,-2541,4665,-2541,4676,-2529,4676,-2499,4665,-2487xe" filled="true" fillcolor="#7f1416" stroked="false">
              <v:path arrowok="t"/>
              <v:fill type="solid"/>
            </v:shape>
            <v:shape style="position:absolute;left:4623;top:-2541;width:54;height:54" coordorigin="4623,-2541" coordsize="54,54" path="m4676,-2514l4676,-2499,4665,-2487,4650,-2487,4635,-2487,4623,-2499,4623,-2514,4623,-2529,4635,-2541,4650,-2541,4665,-2541,4676,-2529,4676,-2514xe" filled="false" stroked="true" strokeweight=".66574pt" strokecolor="#7f1416">
              <v:path arrowok="t"/>
            </v:shape>
            <v:shape style="position:absolute;left:5539;top:-2301;width:54;height:54" coordorigin="5539,-2301" coordsize="54,54" path="m5580,-2247l5550,-2247,5539,-2259,5539,-2289,5550,-2301,5580,-2301,5592,-2289,5592,-2259,5580,-2247xe" filled="true" fillcolor="#7f1416" stroked="false">
              <v:path arrowok="t"/>
              <v:fill type="solid"/>
            </v:shape>
            <v:shape style="position:absolute;left:5539;top:-2301;width:54;height:54" coordorigin="5539,-2301" coordsize="54,54" path="m5592,-2274l5592,-2259,5580,-2247,5565,-2247,5550,-2247,5539,-2259,5539,-2274,5539,-2289,5550,-2301,5565,-2301,5580,-2301,5592,-2289,5592,-2274xe" filled="false" stroked="true" strokeweight=".66574pt" strokecolor="#7f1416">
              <v:path arrowok="t"/>
            </v:shape>
            <v:shape style="position:absolute;left:6454;top:-1914;width:54;height:54" coordorigin="6454,-1914" coordsize="54,54" path="m6495,-1861l6466,-1861,6454,-1873,6454,-1902,6466,-1914,6495,-1914,6507,-1902,6507,-1873,6495,-1861xe" filled="true" fillcolor="#7f1416" stroked="false">
              <v:path arrowok="t"/>
              <v:fill type="solid"/>
            </v:shape>
            <v:shape style="position:absolute;left:6454;top:-1914;width:54;height:54" coordorigin="6454,-1914" coordsize="54,54" path="m6507,-1887l6507,-1873,6495,-1861,6480,-1861,6466,-1861,6454,-1873,6454,-1887,6454,-1902,6466,-1914,6480,-1914,6495,-1914,6507,-1902,6507,-1887xe" filled="false" stroked="true" strokeweight=".66574pt" strokecolor="#7f1416">
              <v:path arrowok="t"/>
            </v:shape>
            <v:shape style="position:absolute;left:7369;top:-1194;width:54;height:54" coordorigin="7369,-1194" coordsize="54,54" path="m7410,-1140l7381,-1140,7369,-1152,7369,-1182,7381,-1194,7410,-1194,7422,-1182,7422,-1152,7410,-1140xe" filled="true" fillcolor="#7f1416" stroked="false">
              <v:path arrowok="t"/>
              <v:fill type="solid"/>
            </v:shape>
            <v:shape style="position:absolute;left:7369;top:-1194;width:54;height:54" coordorigin="7369,-1194" coordsize="54,54" path="m7422,-1167l7422,-1152,7410,-1140,7396,-1140,7381,-1140,7369,-1152,7369,-1167,7369,-1182,7381,-1194,7396,-1194,7410,-1194,7422,-1182,7422,-1167xe" filled="false" stroked="true" strokeweight=".66574pt" strokecolor="#7f1416">
              <v:path arrowok="t"/>
            </v:shape>
            <v:shape style="position:absolute;left:3739;top:-2785;width:3655;height:833" coordorigin="3739,-2785" coordsize="3655,833" path="m3739,-1952l3785,-1996,3843,-2055,3912,-2127,3949,-2166,3989,-2208,4072,-2294,4116,-2338,4161,-2382,4206,-2426,4252,-2469,4298,-2511,4345,-2551,4437,-2624,4526,-2686,4612,-2733,4700,-2765,4797,-2782,4845,-2785,4893,-2784,4989,-2774,5085,-2754,5181,-2728,5278,-2697,5374,-2665,5422,-2649,5470,-2633,5518,-2619,5566,-2606,5617,-2592,5668,-2577,5769,-2543,5871,-2506,5972,-2466,6074,-2425,6125,-2405,6226,-2365,6328,-2328,6429,-2294,6531,-2265,6632,-2239,6734,-2215,6835,-2193,6937,-2173,7038,-2153,7140,-2134,7191,-2124,7241,-2114,7292,-2104,7343,-2093,7394,-2083e" filled="false" stroked="true" strokeweight=".666646pt" strokecolor="#008080">
              <v:path arrowok="t"/>
            </v:shape>
            <v:shape style="position:absolute;left:-190500;top:-376455;width:381000;height:381000" coordorigin="-190500,-376455" coordsize="381000,381000" path="m3735,-1981l3735,-1927m3708,-1954l3761,-1954e" filled="false" stroked="true" strokeweight=".665748pt" strokecolor="#008080">
              <v:path arrowok="t"/>
            </v:shape>
            <v:shape style="position:absolute;left:-190500;top:-376455;width:381000;height:381000" coordorigin="-190500,-376455" coordsize="381000,381000" path="m4650,-2781l4650,-2728m4623,-2754l4676,-2754e" filled="false" stroked="true" strokeweight=".665748pt" strokecolor="#008080">
              <v:path arrowok="t"/>
            </v:shape>
            <v:shape style="position:absolute;left:-190500;top:-376455;width:381000;height:381000" coordorigin="-190500,-376455" coordsize="381000,381000" path="m5565,-2634l5565,-2581m5539,-2608l5592,-2608e" filled="false" stroked="true" strokeweight=".665748pt" strokecolor="#008080">
              <v:path arrowok="t"/>
            </v:shape>
            <v:shape style="position:absolute;left:-190500;top:-376455;width:381000;height:381000" coordorigin="-190500,-376455" coordsize="381000,381000" path="m6480,-2301l6480,-2247m6454,-2274l6507,-2274e" filled="false" stroked="true" strokeweight=".665748pt" strokecolor="#008080">
              <v:path arrowok="t"/>
            </v:shape>
            <v:shape style="position:absolute;left:-190500;top:-376455;width:381000;height:381000" coordorigin="-190500,-376455" coordsize="381000,381000" path="m7396,-2114l7396,-2061m7369,-2087l7422,-2087e" filled="false" stroked="true" strokeweight=".665748pt" strokecolor="#008080">
              <v:path arrowok="t"/>
            </v:shape>
            <v:shape style="position:absolute;left:3735;top:-2461;width:3661;height:1161" coordorigin="3735,-2461" coordsize="3661,1161" path="m3735,-1434l4650,-2461,5565,-1954,6480,-1554,7396,-1301e" filled="false" stroked="true" strokeweight=".666494pt" strokecolor="#3953a4">
              <v:path arrowok="t"/>
            </v:shape>
            <v:shape style="position:absolute;left:3728;top:-2454;width:3701;height:1161" coordorigin="3728,-2454" coordsize="3701,1161" path="m3728,-1427l3768,-1427m4643,-2454l4683,-2454m5558,-1947l5598,-1947m6474,-1547l6514,-1547m7389,-1294l7429,-1294e" filled="false" stroked="true" strokeweight="1.334167pt" strokecolor="#3953a4">
              <v:path arrowok="t"/>
            </v:shape>
            <v:line style="position:absolute" from="7780,-2581" to="8125,-2581" stroked="true" strokeweight=".666823pt" strokecolor="#010202"/>
            <v:shape style="position:absolute;left:7939;top:-2594;width:27;height:27" coordorigin="7939,-2594" coordsize="27,27" path="m7960,-2567l7945,-2567,7939,-2573,7939,-2588,7945,-2594,7960,-2594,7966,-2588,7966,-2573,7960,-2567xe" filled="true" fillcolor="#010202" stroked="false">
              <v:path arrowok="t"/>
              <v:fill type="solid"/>
            </v:shape>
            <v:shape style="position:absolute;left:7939;top:-2594;width:27;height:27" coordorigin="7939,-2594" coordsize="27,27" path="m7939,-2581l7939,-2588,7945,-2594,7953,-2594,7960,-2594,7966,-2588,7966,-2581,7966,-2573,7960,-2567,7953,-2567,7945,-2567,7939,-2573,7939,-2581xe" filled="false" stroked="true" strokeweight=".665012pt" strokecolor="#010202">
              <v:path arrowok="t"/>
            </v:shape>
            <v:line style="position:absolute" from="7780,-2381" to="8125,-2381" stroked="true" strokeweight=".666823pt" strokecolor="#f6ec13"/>
            <v:shape style="position:absolute;left:7926;top:-2412;width:54;height:54" coordorigin="7926,-2412" coordsize="54,54" path="m7979,-2359l7926,-2359,7952,-2412,7979,-2359xe" filled="true" fillcolor="#f6ec13" stroked="false">
              <v:path arrowok="t"/>
              <v:fill type="solid"/>
            </v:shape>
            <v:line style="position:absolute" from="7952,-2412" to="7979,-2359" stroked="true" strokeweight=".663934pt" strokecolor="#f6ec13"/>
            <v:line style="position:absolute" from="7979,-2359" to="7926,-2359" stroked="true" strokeweight=".666823pt" strokecolor="#f6ec13"/>
            <v:line style="position:absolute" from="7780,-1994" to="8125,-1994" stroked="true" strokeweight=".666823pt" strokecolor="#6fccdd"/>
            <v:shape style="position:absolute;left:-80;top:4545;width:80;height:80" coordorigin="-80,4545" coordsize="80,80" path="m7979,-1967l7926,-2021m7926,-1967l7979,-2021e" filled="false" stroked="true" strokeweight=".665022pt" strokecolor="#6fccdd">
              <v:path arrowok="t"/>
            </v:shape>
            <v:line style="position:absolute" from="7780,-1807" to="8125,-1807" stroked="true" strokeweight=".666823pt" strokecolor="#7c277d"/>
            <v:shape style="position:absolute;left:-80;top:4545;width:80;height:80" coordorigin="-80,4545" coordsize="80,80" path="m7979,-1781l7926,-1834m7953,-1834l7953,-1781m7926,-1781l7979,-1834e" filled="false" stroked="true" strokeweight=".665022pt" strokecolor="#7c277d">
              <v:path arrowok="t"/>
            </v:shape>
            <v:line style="position:absolute" from="7780,-1607" to="8125,-1607" stroked="true" strokeweight=".666823pt" strokecolor="#7f1416"/>
            <v:shape style="position:absolute;left:7926;top:-1634;width:54;height:54" coordorigin="7926,-1634" coordsize="54,54" path="m7967,-1581l7938,-1581,7926,-1592,7926,-1622,7938,-1634,7967,-1634,7979,-1622,7979,-1592,7967,-1581xe" filled="true" fillcolor="#7f1416" stroked="false">
              <v:path arrowok="t"/>
              <v:fill type="solid"/>
            </v:shape>
            <v:shape style="position:absolute;left:7926;top:-1634;width:54;height:54" coordorigin="7926,-1634" coordsize="54,54" path="m7926,-1607l7926,-1622,7938,-1634,7953,-1634,7967,-1634,7979,-1622,7979,-1607,7979,-1592,7967,-1581,7953,-1581,7938,-1581,7926,-1592,7926,-1607xe" filled="false" stroked="true" strokeweight=".665012pt" strokecolor="#7f1416">
              <v:path arrowok="t"/>
            </v:shape>
            <v:line style="position:absolute" from="7780,-1421" to="8125,-1421" stroked="true" strokeweight=".666823pt" strokecolor="#008080"/>
            <v:shape style="position:absolute;left:-40;top:4465;width:80;height:80" coordorigin="-40,4465" coordsize="80,80" path="m7953,-1447l7953,-1394m7926,-1421l7979,-1421e" filled="false" stroked="true" strokeweight=".665022pt" strokecolor="#008080">
              <v:path arrowok="t"/>
            </v:shape>
            <v:line style="position:absolute" from="7780,-1221" to="8125,-1221" stroked="true" strokeweight=".666823pt" strokecolor="#3953a4"/>
            <v:line style="position:absolute" from="7946,-1227" to="7986,-1227" stroked="true" strokeweight="1.333647pt" strokecolor="#3953a4"/>
            <v:rect style="position:absolute;left:1851;top:-3501;width:7216;height:3201" filled="false" stroked="true" strokeweight="1.998684pt" strokecolor="#010202"/>
            <v:shape style="position:absolute;left:2483;top:-3006;width:181;height:2145" type="#_x0000_t202" filled="false" stroked="false">
              <v:textbox inset="0,0,0,0">
                <w:txbxContent>
                  <w:p>
                    <w:pPr>
                      <w:spacing w:line="176" w:lineRule="exact" w:before="0"/>
                      <w:ind w:left="0" w:right="-12" w:firstLine="0"/>
                      <w:jc w:val="left"/>
                      <w:rPr>
                        <w:rFonts w:ascii="Calibri"/>
                        <w:sz w:val="17"/>
                      </w:rPr>
                    </w:pPr>
                    <w:r>
                      <w:rPr>
                        <w:rFonts w:ascii="Calibri"/>
                        <w:color w:val="010202"/>
                        <w:sz w:val="17"/>
                      </w:rPr>
                      <w:t>30</w:t>
                    </w:r>
                  </w:p>
                  <w:p>
                    <w:pPr>
                      <w:spacing w:before="121"/>
                      <w:ind w:left="0" w:right="-12" w:firstLine="0"/>
                      <w:jc w:val="left"/>
                      <w:rPr>
                        <w:rFonts w:ascii="Calibri"/>
                        <w:sz w:val="17"/>
                      </w:rPr>
                    </w:pPr>
                    <w:r>
                      <w:rPr>
                        <w:rFonts w:ascii="Calibri"/>
                        <w:color w:val="010202"/>
                        <w:sz w:val="17"/>
                      </w:rPr>
                      <w:t>25</w:t>
                    </w:r>
                  </w:p>
                  <w:p>
                    <w:pPr>
                      <w:spacing w:before="121"/>
                      <w:ind w:left="0" w:right="-12" w:firstLine="0"/>
                      <w:jc w:val="left"/>
                      <w:rPr>
                        <w:rFonts w:ascii="Calibri"/>
                        <w:sz w:val="17"/>
                      </w:rPr>
                    </w:pPr>
                    <w:r>
                      <w:rPr>
                        <w:rFonts w:ascii="Calibri"/>
                        <w:color w:val="010202"/>
                        <w:sz w:val="17"/>
                      </w:rPr>
                      <w:t>20</w:t>
                    </w:r>
                  </w:p>
                  <w:p>
                    <w:pPr>
                      <w:spacing w:before="121"/>
                      <w:ind w:left="0" w:right="-12" w:firstLine="0"/>
                      <w:jc w:val="left"/>
                      <w:rPr>
                        <w:rFonts w:ascii="Calibri"/>
                        <w:sz w:val="17"/>
                      </w:rPr>
                    </w:pPr>
                    <w:r>
                      <w:rPr>
                        <w:rFonts w:ascii="Calibri"/>
                        <w:color w:val="010202"/>
                        <w:sz w:val="17"/>
                      </w:rPr>
                      <w:t>15</w:t>
                    </w:r>
                  </w:p>
                  <w:p>
                    <w:pPr>
                      <w:spacing w:before="121"/>
                      <w:ind w:left="0" w:right="-12" w:firstLine="0"/>
                      <w:jc w:val="left"/>
                      <w:rPr>
                        <w:rFonts w:ascii="Calibri"/>
                        <w:sz w:val="17"/>
                      </w:rPr>
                    </w:pPr>
                    <w:r>
                      <w:rPr>
                        <w:rFonts w:ascii="Calibri"/>
                        <w:color w:val="010202"/>
                        <w:sz w:val="17"/>
                      </w:rPr>
                      <w:t>10</w:t>
                    </w:r>
                  </w:p>
                  <w:p>
                    <w:pPr>
                      <w:spacing w:before="121"/>
                      <w:ind w:left="89" w:right="0" w:firstLine="0"/>
                      <w:jc w:val="left"/>
                      <w:rPr>
                        <w:rFonts w:ascii="Calibri"/>
                        <w:sz w:val="17"/>
                      </w:rPr>
                    </w:pPr>
                    <w:r>
                      <w:rPr>
                        <w:rFonts w:ascii="Calibri"/>
                        <w:color w:val="010202"/>
                        <w:w w:val="101"/>
                        <w:sz w:val="17"/>
                      </w:rPr>
                      <w:t>5</w:t>
                    </w:r>
                  </w:p>
                  <w:p>
                    <w:pPr>
                      <w:spacing w:line="205" w:lineRule="exact" w:before="121"/>
                      <w:ind w:left="89" w:right="0" w:firstLine="0"/>
                      <w:jc w:val="left"/>
                      <w:rPr>
                        <w:rFonts w:ascii="Calibri"/>
                        <w:sz w:val="17"/>
                      </w:rPr>
                    </w:pPr>
                    <w:r>
                      <w:rPr>
                        <w:rFonts w:ascii="Calibri"/>
                        <w:color w:val="010202"/>
                        <w:w w:val="101"/>
                        <w:sz w:val="17"/>
                      </w:rPr>
                      <w:t>0</w:t>
                    </w:r>
                  </w:p>
                </w:txbxContent>
              </v:textbox>
              <w10:wrap type="none"/>
            </v:shape>
            <v:shape style="position:absolute;left:6578;top:-3003;width:200;height:180" type="#_x0000_t202" filled="false" stroked="false">
              <v:textbox inset="0,0,0,0">
                <w:txbxContent>
                  <w:p>
                    <w:pPr>
                      <w:spacing w:line="180" w:lineRule="exact" w:before="0"/>
                      <w:ind w:left="0" w:right="-20" w:firstLine="0"/>
                      <w:jc w:val="left"/>
                      <w:rPr>
                        <w:b/>
                        <w:sz w:val="18"/>
                      </w:rPr>
                    </w:pPr>
                    <w:r>
                      <w:rPr>
                        <w:b/>
                        <w:color w:val="010202"/>
                        <w:sz w:val="18"/>
                      </w:rPr>
                      <w:t>(c)</w:t>
                    </w:r>
                  </w:p>
                </w:txbxContent>
              </v:textbox>
              <w10:wrap type="none"/>
            </v:shape>
            <v:shape style="position:absolute;left:7780;top:-2650;width:1268;height:1533" type="#_x0000_t202" filled="false" stroked="false">
              <v:textbox inset="0,0,0,0">
                <w:txbxContent>
                  <w:p>
                    <w:pPr>
                      <w:spacing w:line="169" w:lineRule="exact" w:before="0"/>
                      <w:ind w:left="389" w:right="0" w:firstLine="0"/>
                      <w:jc w:val="left"/>
                      <w:rPr>
                        <w:rFonts w:ascii="Calibri"/>
                        <w:sz w:val="17"/>
                      </w:rPr>
                    </w:pPr>
                    <w:r>
                      <w:rPr>
                        <w:rFonts w:ascii="Calibri"/>
                        <w:color w:val="010202"/>
                        <w:sz w:val="17"/>
                      </w:rPr>
                      <w:t>Tala</w:t>
                    </w:r>
                  </w:p>
                  <w:p>
                    <w:pPr>
                      <w:tabs>
                        <w:tab w:pos="344" w:val="left" w:leader="none"/>
                      </w:tabs>
                      <w:spacing w:line="194" w:lineRule="exact" w:before="0"/>
                      <w:ind w:left="-1" w:right="0" w:firstLine="0"/>
                      <w:jc w:val="center"/>
                      <w:rPr>
                        <w:rFonts w:ascii="Calibri"/>
                        <w:sz w:val="17"/>
                      </w:rPr>
                    </w:pPr>
                    <w:r>
                      <w:rPr>
                        <w:rFonts w:ascii="Calibri"/>
                        <w:color w:val="010202"/>
                        <w:w w:val="101"/>
                        <w:sz w:val="17"/>
                        <w:u w:val="single" w:color="B9529F"/>
                      </w:rPr>
                      <w:t> </w:t>
                    </w:r>
                    <w:r>
                      <w:rPr>
                        <w:rFonts w:ascii="Calibri"/>
                        <w:color w:val="010202"/>
                        <w:sz w:val="17"/>
                        <w:u w:val="single" w:color="B9529F"/>
                      </w:rPr>
                      <w:tab/>
                    </w:r>
                    <w:r>
                      <w:rPr>
                        <w:rFonts w:ascii="Calibri"/>
                        <w:color w:val="010202"/>
                        <w:spacing w:val="5"/>
                        <w:sz w:val="17"/>
                      </w:rPr>
                      <w:t> </w:t>
                    </w:r>
                    <w:r>
                      <w:rPr>
                        <w:rFonts w:ascii="Calibri"/>
                        <w:color w:val="010202"/>
                        <w:sz w:val="17"/>
                      </w:rPr>
                      <w:t>G.Z.</w:t>
                    </w:r>
                    <w:r>
                      <w:rPr>
                        <w:rFonts w:ascii="Calibri"/>
                        <w:color w:val="010202"/>
                        <w:spacing w:val="16"/>
                        <w:sz w:val="17"/>
                      </w:rPr>
                      <w:t> </w:t>
                    </w:r>
                    <w:r>
                      <w:rPr>
                        <w:rFonts w:ascii="Calibri"/>
                        <w:color w:val="010202"/>
                        <w:spacing w:val="2"/>
                        <w:sz w:val="17"/>
                      </w:rPr>
                      <w:t>Seminis</w:t>
                    </w:r>
                  </w:p>
                  <w:p>
                    <w:pPr>
                      <w:spacing w:line="194" w:lineRule="exact" w:before="0"/>
                      <w:ind w:left="389" w:right="0" w:firstLine="0"/>
                      <w:jc w:val="left"/>
                      <w:rPr>
                        <w:rFonts w:ascii="Calibri" w:hAnsi="Calibri"/>
                        <w:sz w:val="17"/>
                      </w:rPr>
                    </w:pPr>
                    <w:r>
                      <w:rPr>
                        <w:rFonts w:ascii="Calibri" w:hAnsi="Calibri"/>
                        <w:color w:val="010202"/>
                        <w:sz w:val="17"/>
                      </w:rPr>
                      <w:t>G.Z. M+M Lolita Hurakán WA9041 Terminator Dolarzini</w:t>
                    </w:r>
                  </w:p>
                </w:txbxContent>
              </v:textbox>
              <w10:wrap type="none"/>
            </v:shape>
            <v:shape style="position:absolute;left:3628;top:-804;width:3867;height:357" type="#_x0000_t202" filled="false" stroked="false">
              <v:textbox inset="0,0,0,0">
                <w:txbxContent>
                  <w:p>
                    <w:pPr>
                      <w:tabs>
                        <w:tab w:pos="939" w:val="left" w:leader="none"/>
                        <w:tab w:pos="1854" w:val="left" w:leader="none"/>
                        <w:tab w:pos="2769" w:val="left" w:leader="none"/>
                        <w:tab w:pos="3685" w:val="left" w:leader="none"/>
                      </w:tabs>
                      <w:spacing w:line="164" w:lineRule="exact" w:before="0"/>
                      <w:ind w:left="23" w:right="0" w:firstLine="0"/>
                      <w:jc w:val="left"/>
                      <w:rPr>
                        <w:rFonts w:ascii="Calibri"/>
                        <w:sz w:val="17"/>
                      </w:rPr>
                    </w:pPr>
                    <w:r>
                      <w:rPr>
                        <w:rFonts w:ascii="Calibri"/>
                        <w:color w:val="010202"/>
                        <w:spacing w:val="2"/>
                        <w:sz w:val="17"/>
                      </w:rPr>
                      <w:t>25</w:t>
                      <w:tab/>
                      <w:t>40</w:t>
                      <w:tab/>
                      <w:t>55</w:t>
                      <w:tab/>
                      <w:t>70</w:t>
                      <w:tab/>
                      <w:t>85</w:t>
                    </w:r>
                  </w:p>
                  <w:p>
                    <w:pPr>
                      <w:spacing w:line="193" w:lineRule="exact" w:before="0"/>
                      <w:ind w:left="0" w:right="0" w:firstLine="0"/>
                      <w:jc w:val="left"/>
                      <w:rPr>
                        <w:rFonts w:ascii="Calibri" w:hAnsi="Calibri"/>
                        <w:b/>
                        <w:sz w:val="17"/>
                      </w:rPr>
                    </w:pPr>
                    <w:r>
                      <w:rPr>
                        <w:rFonts w:ascii="Calibri" w:hAnsi="Calibri"/>
                        <w:b/>
                        <w:color w:val="010202"/>
                        <w:sz w:val="17"/>
                      </w:rPr>
                      <w:t>Días  después de la  siembra</w:t>
                    </w:r>
                  </w:p>
                </w:txbxContent>
              </v:textbox>
              <w10:wrap type="none"/>
            </v:shape>
            <w10:wrap type="none"/>
          </v:group>
        </w:pict>
      </w:r>
      <w:r>
        <w:rPr/>
        <w:pict>
          <v:shape style="position:absolute;margin-left:99.628052pt;margin-top:-116.404099pt;width:10.65pt;height:56.95pt;mso-position-horizontal-relative:page;mso-position-vertical-relative:paragraph;z-index:5848" type="#_x0000_t202" filled="false" stroked="false">
            <v:textbox inset="0,0,0,0" style="layout-flow:vertical;mso-layout-flow-alt:bottom-to-top">
              <w:txbxContent>
                <w:p>
                  <w:pPr>
                    <w:spacing w:line="195" w:lineRule="exact" w:before="0"/>
                    <w:ind w:left="20" w:right="0" w:firstLine="0"/>
                    <w:jc w:val="left"/>
                    <w:rPr>
                      <w:rFonts w:ascii="Calibri" w:hAnsi="Calibri"/>
                      <w:b/>
                      <w:sz w:val="17"/>
                    </w:rPr>
                  </w:pPr>
                  <w:r>
                    <w:rPr>
                      <w:rFonts w:ascii="Calibri" w:hAnsi="Calibri"/>
                      <w:b/>
                      <w:color w:val="010202"/>
                      <w:spacing w:val="-6"/>
                      <w:w w:val="102"/>
                      <w:sz w:val="17"/>
                    </w:rPr>
                    <w:t>T</w:t>
                  </w:r>
                  <w:r>
                    <w:rPr>
                      <w:rFonts w:ascii="Calibri" w:hAnsi="Calibri"/>
                      <w:b/>
                      <w:color w:val="010202"/>
                      <w:spacing w:val="1"/>
                      <w:w w:val="102"/>
                      <w:sz w:val="17"/>
                    </w:rPr>
                    <w:t>A</w:t>
                  </w:r>
                  <w:r>
                    <w:rPr>
                      <w:rFonts w:ascii="Calibri" w:hAnsi="Calibri"/>
                      <w:b/>
                      <w:color w:val="010202"/>
                      <w:w w:val="102"/>
                      <w:sz w:val="17"/>
                    </w:rPr>
                    <w:t>N</w:t>
                  </w:r>
                  <w:r>
                    <w:rPr>
                      <w:rFonts w:ascii="Calibri" w:hAnsi="Calibri"/>
                      <w:b/>
                      <w:color w:val="010202"/>
                      <w:spacing w:val="7"/>
                      <w:sz w:val="17"/>
                    </w:rPr>
                    <w:t> </w:t>
                  </w:r>
                  <w:r>
                    <w:rPr>
                      <w:rFonts w:ascii="Calibri" w:hAnsi="Calibri"/>
                      <w:b/>
                      <w:color w:val="010202"/>
                      <w:spacing w:val="-1"/>
                      <w:w w:val="102"/>
                      <w:sz w:val="17"/>
                    </w:rPr>
                    <w:t>(</w:t>
                  </w:r>
                  <w:r>
                    <w:rPr>
                      <w:rFonts w:ascii="Calibri" w:hAnsi="Calibri"/>
                      <w:b/>
                      <w:color w:val="010202"/>
                      <w:spacing w:val="-3"/>
                      <w:w w:val="102"/>
                      <w:sz w:val="17"/>
                    </w:rPr>
                    <w:t>g</w:t>
                  </w:r>
                  <w:r>
                    <w:rPr>
                      <w:rFonts w:ascii="Calibri" w:hAnsi="Calibri"/>
                      <w:b/>
                      <w:color w:val="010202"/>
                      <w:spacing w:val="-7"/>
                      <w:w w:val="102"/>
                      <w:sz w:val="17"/>
                    </w:rPr>
                    <w:t>·</w:t>
                  </w:r>
                  <w:r>
                    <w:rPr>
                      <w:rFonts w:ascii="Calibri" w:hAnsi="Calibri"/>
                      <w:b/>
                      <w:color w:val="010202"/>
                      <w:spacing w:val="5"/>
                      <w:w w:val="102"/>
                      <w:sz w:val="17"/>
                    </w:rPr>
                    <w:t>m2</w:t>
                  </w:r>
                  <w:r>
                    <w:rPr>
                      <w:rFonts w:ascii="Calibri" w:hAnsi="Calibri"/>
                      <w:b/>
                      <w:color w:val="010202"/>
                      <w:spacing w:val="-7"/>
                      <w:w w:val="102"/>
                      <w:sz w:val="17"/>
                    </w:rPr>
                    <w:t>·</w:t>
                  </w:r>
                  <w:r>
                    <w:rPr>
                      <w:rFonts w:ascii="Calibri" w:hAnsi="Calibri"/>
                      <w:b/>
                      <w:color w:val="010202"/>
                      <w:w w:val="102"/>
                      <w:sz w:val="17"/>
                    </w:rPr>
                    <w:t>d-</w:t>
                  </w:r>
                  <w:r>
                    <w:rPr>
                      <w:rFonts w:ascii="Calibri" w:hAnsi="Calibri"/>
                      <w:b/>
                      <w:color w:val="010202"/>
                      <w:spacing w:val="5"/>
                      <w:w w:val="102"/>
                      <w:sz w:val="17"/>
                    </w:rPr>
                    <w:t>1</w:t>
                  </w:r>
                  <w:r>
                    <w:rPr>
                      <w:rFonts w:ascii="Calibri" w:hAnsi="Calibri"/>
                      <w:b/>
                      <w:color w:val="010202"/>
                      <w:w w:val="102"/>
                      <w:sz w:val="17"/>
                    </w:rPr>
                    <w:t>)</w:t>
                  </w:r>
                </w:p>
              </w:txbxContent>
            </v:textbox>
            <w10:wrap type="none"/>
          </v:shape>
        </w:pict>
      </w:r>
      <w:r>
        <w:rPr>
          <w:color w:val="231F20"/>
        </w:rPr>
        <w:t>Rendimiento y sus componentes</w:t>
      </w:r>
    </w:p>
    <w:p>
      <w:pPr>
        <w:pStyle w:val="BodyText"/>
        <w:spacing w:line="247" w:lineRule="auto" w:before="8"/>
        <w:ind w:left="1270" w:right="1267"/>
        <w:jc w:val="both"/>
      </w:pPr>
      <w:r>
        <w:rPr>
          <w:color w:val="231F20"/>
        </w:rPr>
        <w:t>Los</w:t>
      </w:r>
      <w:r>
        <w:rPr>
          <w:color w:val="231F20"/>
          <w:spacing w:val="-5"/>
        </w:rPr>
        <w:t> </w:t>
      </w:r>
      <w:r>
        <w:rPr>
          <w:color w:val="231F20"/>
        </w:rPr>
        <w:t>cuadrados</w:t>
      </w:r>
      <w:r>
        <w:rPr>
          <w:color w:val="231F20"/>
          <w:spacing w:val="-5"/>
        </w:rPr>
        <w:t> </w:t>
      </w:r>
      <w:r>
        <w:rPr>
          <w:color w:val="231F20"/>
        </w:rPr>
        <w:t>medios</w:t>
      </w:r>
      <w:r>
        <w:rPr>
          <w:color w:val="231F20"/>
          <w:spacing w:val="-5"/>
        </w:rPr>
        <w:t> </w:t>
      </w:r>
      <w:r>
        <w:rPr>
          <w:color w:val="231F20"/>
        </w:rPr>
        <w:t>combinados</w:t>
      </w:r>
      <w:r>
        <w:rPr>
          <w:color w:val="231F20"/>
          <w:spacing w:val="-5"/>
        </w:rPr>
        <w:t> </w:t>
      </w:r>
      <w:r>
        <w:rPr>
          <w:color w:val="231F20"/>
        </w:rPr>
        <w:t>sobre</w:t>
      </w:r>
      <w:r>
        <w:rPr>
          <w:color w:val="231F20"/>
          <w:spacing w:val="-5"/>
        </w:rPr>
        <w:t> </w:t>
      </w:r>
      <w:r>
        <w:rPr>
          <w:color w:val="231F20"/>
        </w:rPr>
        <w:t>ambientes</w:t>
      </w:r>
      <w:r>
        <w:rPr>
          <w:color w:val="231F20"/>
          <w:spacing w:val="-5"/>
        </w:rPr>
        <w:t> </w:t>
      </w:r>
      <w:r>
        <w:rPr>
          <w:color w:val="231F20"/>
        </w:rPr>
        <w:t>y</w:t>
      </w:r>
      <w:r>
        <w:rPr>
          <w:color w:val="231F20"/>
          <w:spacing w:val="-5"/>
        </w:rPr>
        <w:t> </w:t>
      </w:r>
      <w:r>
        <w:rPr>
          <w:color w:val="231F20"/>
        </w:rPr>
        <w:t>los</w:t>
      </w:r>
      <w:r>
        <w:rPr>
          <w:color w:val="231F20"/>
          <w:spacing w:val="-5"/>
        </w:rPr>
        <w:t> </w:t>
      </w:r>
      <w:r>
        <w:rPr>
          <w:color w:val="231F20"/>
        </w:rPr>
        <w:t>niveles</w:t>
      </w:r>
      <w:r>
        <w:rPr>
          <w:color w:val="231F20"/>
          <w:spacing w:val="-5"/>
        </w:rPr>
        <w:t> </w:t>
      </w:r>
      <w:r>
        <w:rPr>
          <w:color w:val="231F20"/>
        </w:rPr>
        <w:t>de</w:t>
      </w:r>
      <w:r>
        <w:rPr>
          <w:color w:val="231F20"/>
          <w:spacing w:val="-5"/>
        </w:rPr>
        <w:t> </w:t>
      </w:r>
      <w:r>
        <w:rPr>
          <w:color w:val="231F20"/>
        </w:rPr>
        <w:t>significancia</w:t>
      </w:r>
      <w:r>
        <w:rPr>
          <w:color w:val="231F20"/>
          <w:spacing w:val="-5"/>
        </w:rPr>
        <w:t> </w:t>
      </w:r>
      <w:r>
        <w:rPr>
          <w:color w:val="231F20"/>
        </w:rPr>
        <w:t>para</w:t>
      </w:r>
      <w:r>
        <w:rPr>
          <w:color w:val="231F20"/>
          <w:spacing w:val="-5"/>
        </w:rPr>
        <w:t> </w:t>
      </w:r>
      <w:r>
        <w:rPr>
          <w:color w:val="231F20"/>
        </w:rPr>
        <w:t>los</w:t>
      </w:r>
      <w:r>
        <w:rPr>
          <w:color w:val="231F20"/>
          <w:spacing w:val="-5"/>
        </w:rPr>
        <w:t> </w:t>
      </w:r>
      <w:r>
        <w:rPr>
          <w:color w:val="231F20"/>
        </w:rPr>
        <w:t>caracteres rendimiento por planta </w:t>
      </w:r>
      <w:r>
        <w:rPr>
          <w:color w:val="231F20"/>
          <w:spacing w:val="-5"/>
        </w:rPr>
        <w:t>(RPP, </w:t>
      </w:r>
      <w:r>
        <w:rPr>
          <w:color w:val="231F20"/>
        </w:rPr>
        <w:t>g), rendimiento de calabacita para verdura por hectárea (REN, t•ha</w:t>
      </w:r>
      <w:r>
        <w:rPr>
          <w:color w:val="231F20"/>
          <w:position w:val="7"/>
          <w:sz w:val="12"/>
        </w:rPr>
        <w:t>-1</w:t>
      </w:r>
      <w:r>
        <w:rPr>
          <w:color w:val="231F20"/>
        </w:rPr>
        <w:t>), frutos por planta (FPP), largo de fruto (LFR, cm) y ancho de fruto (AFR, cm) se presentan en el Cuadro 2. Se encontraron diferencias altamente significativas (P ≤ 0.01) en la fuente de variación localidades</w:t>
      </w:r>
      <w:r>
        <w:rPr>
          <w:color w:val="231F20"/>
          <w:spacing w:val="-11"/>
        </w:rPr>
        <w:t> </w:t>
      </w:r>
      <w:r>
        <w:rPr>
          <w:color w:val="231F20"/>
        </w:rPr>
        <w:t>para</w:t>
      </w:r>
      <w:r>
        <w:rPr>
          <w:color w:val="231F20"/>
          <w:spacing w:val="-10"/>
        </w:rPr>
        <w:t> </w:t>
      </w:r>
      <w:r>
        <w:rPr>
          <w:color w:val="231F20"/>
        </w:rPr>
        <w:t>los</w:t>
      </w:r>
      <w:r>
        <w:rPr>
          <w:color w:val="231F20"/>
          <w:spacing w:val="-10"/>
        </w:rPr>
        <w:t> </w:t>
      </w:r>
      <w:r>
        <w:rPr>
          <w:color w:val="231F20"/>
        </w:rPr>
        <w:t>caracteres</w:t>
      </w:r>
      <w:r>
        <w:rPr>
          <w:color w:val="231F20"/>
          <w:spacing w:val="-11"/>
        </w:rPr>
        <w:t> </w:t>
      </w:r>
      <w:r>
        <w:rPr>
          <w:color w:val="231F20"/>
        </w:rPr>
        <w:t>días</w:t>
      </w:r>
      <w:r>
        <w:rPr>
          <w:color w:val="231F20"/>
          <w:spacing w:val="-10"/>
        </w:rPr>
        <w:t> </w:t>
      </w:r>
      <w:r>
        <w:rPr>
          <w:color w:val="231F20"/>
        </w:rPr>
        <w:t>a</w:t>
      </w:r>
      <w:r>
        <w:rPr>
          <w:color w:val="231F20"/>
          <w:spacing w:val="-10"/>
        </w:rPr>
        <w:t> </w:t>
      </w:r>
      <w:r>
        <w:rPr>
          <w:color w:val="231F20"/>
        </w:rPr>
        <w:t>floración</w:t>
      </w:r>
      <w:r>
        <w:rPr>
          <w:color w:val="231F20"/>
          <w:spacing w:val="-10"/>
        </w:rPr>
        <w:t> </w:t>
      </w:r>
      <w:r>
        <w:rPr>
          <w:color w:val="231F20"/>
        </w:rPr>
        <w:t>femenina</w:t>
      </w:r>
      <w:r>
        <w:rPr>
          <w:color w:val="231F20"/>
          <w:spacing w:val="-11"/>
        </w:rPr>
        <w:t> </w:t>
      </w:r>
      <w:r>
        <w:rPr>
          <w:color w:val="231F20"/>
        </w:rPr>
        <w:t>y</w:t>
      </w:r>
      <w:r>
        <w:rPr>
          <w:color w:val="231F20"/>
          <w:spacing w:val="-10"/>
        </w:rPr>
        <w:t> </w:t>
      </w:r>
      <w:r>
        <w:rPr>
          <w:color w:val="231F20"/>
        </w:rPr>
        <w:t>masculina</w:t>
      </w:r>
      <w:r>
        <w:rPr>
          <w:color w:val="231F20"/>
          <w:spacing w:val="-11"/>
        </w:rPr>
        <w:t> </w:t>
      </w:r>
      <w:r>
        <w:rPr>
          <w:color w:val="231F20"/>
        </w:rPr>
        <w:t>indicando</w:t>
      </w:r>
      <w:r>
        <w:rPr>
          <w:color w:val="231F20"/>
          <w:spacing w:val="-11"/>
        </w:rPr>
        <w:t> </w:t>
      </w:r>
      <w:r>
        <w:rPr>
          <w:color w:val="231F20"/>
        </w:rPr>
        <w:t>que</w:t>
      </w:r>
      <w:r>
        <w:rPr>
          <w:color w:val="231F20"/>
          <w:spacing w:val="-10"/>
        </w:rPr>
        <w:t> </w:t>
      </w:r>
      <w:r>
        <w:rPr>
          <w:color w:val="231F20"/>
        </w:rPr>
        <w:t>la</w:t>
      </w:r>
      <w:r>
        <w:rPr>
          <w:color w:val="231F20"/>
          <w:spacing w:val="-10"/>
        </w:rPr>
        <w:t> </w:t>
      </w:r>
      <w:r>
        <w:rPr>
          <w:color w:val="231F20"/>
        </w:rPr>
        <w:t>floración</w:t>
      </w:r>
      <w:r>
        <w:rPr>
          <w:color w:val="231F20"/>
          <w:spacing w:val="-10"/>
        </w:rPr>
        <w:t> </w:t>
      </w:r>
      <w:r>
        <w:rPr>
          <w:color w:val="231F20"/>
        </w:rPr>
        <w:t>cam- bió a través de los años de evaluación. </w:t>
      </w:r>
      <w:r>
        <w:rPr>
          <w:color w:val="231F20"/>
          <w:spacing w:val="-3"/>
        </w:rPr>
        <w:t>También </w:t>
      </w:r>
      <w:r>
        <w:rPr>
          <w:color w:val="231F20"/>
        </w:rPr>
        <w:t>hubo diferencias altamente significativas (P ≤ 0.01) entre tratamientos para todos los caracteres evaluados, lo cual se puede atribuir a que los materiales provienen de diferentes casas comerciales, lo que hace posible identificar y diferenciar híbridos precoces, tardíos, frutos más grandes (largos y anchos) y sobre todo, híbridos con rendimiento de verdura contrastante.</w:t>
      </w:r>
    </w:p>
    <w:p>
      <w:pPr>
        <w:spacing w:after="0" w:line="247" w:lineRule="auto"/>
        <w:jc w:val="both"/>
        <w:sectPr>
          <w:pgSz w:w="10920" w:h="13080"/>
          <w:pgMar w:header="0" w:footer="965" w:top="420" w:bottom="1220" w:left="0" w:right="0"/>
        </w:sectPr>
      </w:pPr>
    </w:p>
    <w:p>
      <w:pPr>
        <w:pStyle w:val="BodyText"/>
        <w:rPr>
          <w:sz w:val="20"/>
        </w:rPr>
      </w:pPr>
    </w:p>
    <w:p>
      <w:pPr>
        <w:pStyle w:val="BodyText"/>
        <w:rPr>
          <w:sz w:val="20"/>
        </w:rPr>
      </w:pPr>
    </w:p>
    <w:p>
      <w:pPr>
        <w:pStyle w:val="BodyText"/>
        <w:rPr>
          <w:sz w:val="23"/>
        </w:rPr>
      </w:pPr>
    </w:p>
    <w:p>
      <w:pPr>
        <w:spacing w:line="290" w:lineRule="auto" w:before="77"/>
        <w:ind w:left="2966" w:right="2038" w:hanging="804"/>
        <w:jc w:val="left"/>
        <w:rPr>
          <w:b/>
          <w:sz w:val="18"/>
        </w:rPr>
      </w:pPr>
      <w:r>
        <w:rPr>
          <w:b/>
          <w:color w:val="010202"/>
          <w:sz w:val="18"/>
        </w:rPr>
        <w:t>Cuadro 2. Cuadrados medios del análisis de varianza combinado para siete caracteres en calabacita tipo ‘Grey Zucchini’. Chapingo, México. 2006-2008</w:t>
      </w:r>
    </w:p>
    <w:p>
      <w:pPr>
        <w:pStyle w:val="BodyText"/>
        <w:rPr>
          <w:b/>
          <w:sz w:val="14"/>
        </w:rPr>
      </w:pPr>
      <w:r>
        <w:rPr/>
        <w:drawing>
          <wp:anchor distT="0" distB="0" distL="0" distR="0" allowOverlap="1" layoutInCell="1" locked="0" behindDoc="0" simplePos="0" relativeHeight="5896">
            <wp:simplePos x="0" y="0"/>
            <wp:positionH relativeFrom="page">
              <wp:posOffset>921899</wp:posOffset>
            </wp:positionH>
            <wp:positionV relativeFrom="paragraph">
              <wp:posOffset>127453</wp:posOffset>
            </wp:positionV>
            <wp:extent cx="5074933" cy="2036826"/>
            <wp:effectExtent l="0" t="0" r="0" b="0"/>
            <wp:wrapTopAndBottom/>
            <wp:docPr id="185" name="image76.jpeg" descr=""/>
            <wp:cNvGraphicFramePr>
              <a:graphicFrameLocks noChangeAspect="1"/>
            </wp:cNvGraphicFramePr>
            <a:graphic>
              <a:graphicData uri="http://schemas.openxmlformats.org/drawingml/2006/picture">
                <pic:pic>
                  <pic:nvPicPr>
                    <pic:cNvPr id="186" name="image76.jpeg"/>
                    <pic:cNvPicPr/>
                  </pic:nvPicPr>
                  <pic:blipFill>
                    <a:blip r:embed="rId110" cstate="print"/>
                    <a:stretch>
                      <a:fillRect/>
                    </a:stretch>
                  </pic:blipFill>
                  <pic:spPr>
                    <a:xfrm>
                      <a:off x="0" y="0"/>
                      <a:ext cx="5074933" cy="2036826"/>
                    </a:xfrm>
                    <a:prstGeom prst="rect">
                      <a:avLst/>
                    </a:prstGeom>
                  </pic:spPr>
                </pic:pic>
              </a:graphicData>
            </a:graphic>
          </wp:anchor>
        </w:drawing>
      </w:r>
    </w:p>
    <w:p>
      <w:pPr>
        <w:spacing w:line="307" w:lineRule="auto" w:before="73"/>
        <w:ind w:left="1270" w:right="1268" w:hanging="1"/>
        <w:jc w:val="both"/>
        <w:rPr>
          <w:b/>
          <w:i/>
          <w:sz w:val="17"/>
        </w:rPr>
      </w:pPr>
      <w:r>
        <w:rPr>
          <w:b/>
          <w:i/>
          <w:color w:val="231F20"/>
          <w:spacing w:val="-3"/>
          <w:sz w:val="17"/>
        </w:rPr>
        <w:t>FV </w:t>
      </w:r>
      <w:r>
        <w:rPr>
          <w:b/>
          <w:i/>
          <w:color w:val="231F20"/>
          <w:sz w:val="17"/>
        </w:rPr>
        <w:t>= </w:t>
      </w:r>
      <w:r>
        <w:rPr>
          <w:b/>
          <w:i/>
          <w:color w:val="231F20"/>
          <w:spacing w:val="-5"/>
          <w:sz w:val="17"/>
        </w:rPr>
        <w:t>Fuentes </w:t>
      </w:r>
      <w:r>
        <w:rPr>
          <w:b/>
          <w:i/>
          <w:color w:val="231F20"/>
          <w:spacing w:val="-3"/>
          <w:sz w:val="17"/>
        </w:rPr>
        <w:t>de </w:t>
      </w:r>
      <w:r>
        <w:rPr>
          <w:b/>
          <w:i/>
          <w:color w:val="231F20"/>
          <w:spacing w:val="-5"/>
          <w:sz w:val="17"/>
        </w:rPr>
        <w:t>variación; </w:t>
      </w:r>
      <w:r>
        <w:rPr>
          <w:b/>
          <w:i/>
          <w:color w:val="231F20"/>
          <w:spacing w:val="-3"/>
          <w:sz w:val="17"/>
        </w:rPr>
        <w:t>GL </w:t>
      </w:r>
      <w:r>
        <w:rPr>
          <w:b/>
          <w:i/>
          <w:color w:val="231F20"/>
          <w:sz w:val="17"/>
        </w:rPr>
        <w:t>= </w:t>
      </w:r>
      <w:r>
        <w:rPr>
          <w:b/>
          <w:i/>
          <w:color w:val="231F20"/>
          <w:spacing w:val="-5"/>
          <w:sz w:val="17"/>
        </w:rPr>
        <w:t>Grados </w:t>
      </w:r>
      <w:r>
        <w:rPr>
          <w:b/>
          <w:i/>
          <w:color w:val="231F20"/>
          <w:spacing w:val="-3"/>
          <w:sz w:val="17"/>
        </w:rPr>
        <w:t>de </w:t>
      </w:r>
      <w:r>
        <w:rPr>
          <w:b/>
          <w:i/>
          <w:color w:val="231F20"/>
          <w:spacing w:val="-5"/>
          <w:sz w:val="17"/>
        </w:rPr>
        <w:t>libertad; </w:t>
      </w:r>
      <w:r>
        <w:rPr>
          <w:b/>
          <w:i/>
          <w:color w:val="231F20"/>
          <w:spacing w:val="-4"/>
          <w:sz w:val="17"/>
        </w:rPr>
        <w:t>RPP </w:t>
      </w:r>
      <w:r>
        <w:rPr>
          <w:b/>
          <w:i/>
          <w:color w:val="231F20"/>
          <w:sz w:val="17"/>
        </w:rPr>
        <w:t>= </w:t>
      </w:r>
      <w:r>
        <w:rPr>
          <w:b/>
          <w:i/>
          <w:color w:val="231F20"/>
          <w:spacing w:val="-5"/>
          <w:sz w:val="17"/>
        </w:rPr>
        <w:t>Rendimiento </w:t>
      </w:r>
      <w:r>
        <w:rPr>
          <w:b/>
          <w:i/>
          <w:color w:val="231F20"/>
          <w:spacing w:val="-4"/>
          <w:sz w:val="17"/>
        </w:rPr>
        <w:t>por </w:t>
      </w:r>
      <w:r>
        <w:rPr>
          <w:b/>
          <w:i/>
          <w:color w:val="231F20"/>
          <w:spacing w:val="-5"/>
          <w:sz w:val="17"/>
        </w:rPr>
        <w:t>planta (g•planta</w:t>
      </w:r>
      <w:r>
        <w:rPr>
          <w:b/>
          <w:i/>
          <w:color w:val="231F20"/>
          <w:spacing w:val="-5"/>
          <w:position w:val="6"/>
          <w:sz w:val="10"/>
        </w:rPr>
        <w:t>-1</w:t>
      </w:r>
      <w:r>
        <w:rPr>
          <w:b/>
          <w:i/>
          <w:color w:val="231F20"/>
          <w:spacing w:val="-5"/>
          <w:sz w:val="17"/>
        </w:rPr>
        <w:t>); </w:t>
      </w:r>
      <w:r>
        <w:rPr>
          <w:b/>
          <w:i/>
          <w:color w:val="231F20"/>
          <w:spacing w:val="-4"/>
          <w:sz w:val="17"/>
        </w:rPr>
        <w:t>FPP </w:t>
      </w:r>
      <w:r>
        <w:rPr>
          <w:b/>
          <w:i/>
          <w:color w:val="231F20"/>
          <w:sz w:val="17"/>
        </w:rPr>
        <w:t>= </w:t>
      </w:r>
      <w:r>
        <w:rPr>
          <w:b/>
          <w:i/>
          <w:color w:val="231F20"/>
          <w:spacing w:val="-5"/>
          <w:sz w:val="17"/>
        </w:rPr>
        <w:t>Frutos </w:t>
      </w:r>
      <w:r>
        <w:rPr>
          <w:b/>
          <w:i/>
          <w:color w:val="231F20"/>
          <w:spacing w:val="-4"/>
          <w:sz w:val="17"/>
        </w:rPr>
        <w:t>por </w:t>
      </w:r>
      <w:r>
        <w:rPr>
          <w:b/>
          <w:i/>
          <w:color w:val="231F20"/>
          <w:spacing w:val="-5"/>
          <w:sz w:val="17"/>
        </w:rPr>
        <w:t>planta; </w:t>
      </w:r>
      <w:r>
        <w:rPr>
          <w:b/>
          <w:i/>
          <w:color w:val="231F20"/>
          <w:spacing w:val="-4"/>
          <w:sz w:val="17"/>
        </w:rPr>
        <w:t>LFR </w:t>
      </w:r>
      <w:r>
        <w:rPr>
          <w:b/>
          <w:i/>
          <w:color w:val="231F20"/>
          <w:sz w:val="17"/>
        </w:rPr>
        <w:t>= </w:t>
      </w:r>
      <w:r>
        <w:rPr>
          <w:b/>
          <w:i/>
          <w:color w:val="231F20"/>
          <w:spacing w:val="-4"/>
          <w:sz w:val="17"/>
        </w:rPr>
        <w:t>Largo </w:t>
      </w:r>
      <w:r>
        <w:rPr>
          <w:b/>
          <w:i/>
          <w:color w:val="231F20"/>
          <w:spacing w:val="-3"/>
          <w:sz w:val="17"/>
        </w:rPr>
        <w:t>de </w:t>
      </w:r>
      <w:r>
        <w:rPr>
          <w:b/>
          <w:i/>
          <w:color w:val="231F20"/>
          <w:spacing w:val="-4"/>
          <w:sz w:val="17"/>
        </w:rPr>
        <w:t>fruto (cm); AFR </w:t>
      </w:r>
      <w:r>
        <w:rPr>
          <w:b/>
          <w:i/>
          <w:color w:val="231F20"/>
          <w:sz w:val="17"/>
        </w:rPr>
        <w:t>= </w:t>
      </w:r>
      <w:r>
        <w:rPr>
          <w:b/>
          <w:i/>
          <w:color w:val="231F20"/>
          <w:spacing w:val="-4"/>
          <w:sz w:val="17"/>
        </w:rPr>
        <w:t>Ancho </w:t>
      </w:r>
      <w:r>
        <w:rPr>
          <w:b/>
          <w:i/>
          <w:color w:val="231F20"/>
          <w:spacing w:val="-3"/>
          <w:sz w:val="17"/>
        </w:rPr>
        <w:t>de </w:t>
      </w:r>
      <w:r>
        <w:rPr>
          <w:b/>
          <w:i/>
          <w:color w:val="231F20"/>
          <w:spacing w:val="-4"/>
          <w:sz w:val="17"/>
        </w:rPr>
        <w:t>fruto (cm); DFF </w:t>
      </w:r>
      <w:r>
        <w:rPr>
          <w:b/>
          <w:i/>
          <w:color w:val="231F20"/>
          <w:sz w:val="17"/>
        </w:rPr>
        <w:t>= </w:t>
      </w:r>
      <w:r>
        <w:rPr>
          <w:b/>
          <w:i/>
          <w:color w:val="231F20"/>
          <w:spacing w:val="-4"/>
          <w:sz w:val="17"/>
        </w:rPr>
        <w:t>Días </w:t>
      </w:r>
      <w:r>
        <w:rPr>
          <w:b/>
          <w:i/>
          <w:color w:val="231F20"/>
          <w:sz w:val="17"/>
        </w:rPr>
        <w:t>a </w:t>
      </w:r>
      <w:r>
        <w:rPr>
          <w:b/>
          <w:i/>
          <w:color w:val="231F20"/>
          <w:spacing w:val="-4"/>
          <w:sz w:val="17"/>
        </w:rPr>
        <w:t>floración </w:t>
      </w:r>
      <w:r>
        <w:rPr>
          <w:b/>
          <w:i/>
          <w:color w:val="231F20"/>
          <w:spacing w:val="-5"/>
          <w:sz w:val="17"/>
        </w:rPr>
        <w:t>femenina; </w:t>
      </w:r>
      <w:r>
        <w:rPr>
          <w:b/>
          <w:i/>
          <w:color w:val="231F20"/>
          <w:spacing w:val="-4"/>
          <w:sz w:val="17"/>
        </w:rPr>
        <w:t>DFM </w:t>
      </w:r>
      <w:r>
        <w:rPr>
          <w:b/>
          <w:i/>
          <w:color w:val="231F20"/>
          <w:sz w:val="17"/>
        </w:rPr>
        <w:t>= </w:t>
      </w:r>
      <w:r>
        <w:rPr>
          <w:b/>
          <w:i/>
          <w:color w:val="231F20"/>
          <w:spacing w:val="-4"/>
          <w:sz w:val="17"/>
        </w:rPr>
        <w:t>Días </w:t>
      </w:r>
      <w:r>
        <w:rPr>
          <w:b/>
          <w:i/>
          <w:color w:val="231F20"/>
          <w:sz w:val="17"/>
        </w:rPr>
        <w:t>a </w:t>
      </w:r>
      <w:r>
        <w:rPr>
          <w:b/>
          <w:i/>
          <w:color w:val="231F20"/>
          <w:spacing w:val="-4"/>
          <w:sz w:val="17"/>
        </w:rPr>
        <w:t>floración </w:t>
      </w:r>
      <w:r>
        <w:rPr>
          <w:b/>
          <w:i/>
          <w:color w:val="231F20"/>
          <w:spacing w:val="-5"/>
          <w:sz w:val="17"/>
        </w:rPr>
        <w:t>mascu- </w:t>
      </w:r>
      <w:r>
        <w:rPr>
          <w:b/>
          <w:i/>
          <w:color w:val="231F20"/>
          <w:spacing w:val="-4"/>
          <w:sz w:val="17"/>
        </w:rPr>
        <w:t>lina; REN </w:t>
      </w:r>
      <w:r>
        <w:rPr>
          <w:b/>
          <w:i/>
          <w:color w:val="231F20"/>
          <w:sz w:val="17"/>
        </w:rPr>
        <w:t>= </w:t>
      </w:r>
      <w:r>
        <w:rPr>
          <w:b/>
          <w:i/>
          <w:color w:val="231F20"/>
          <w:spacing w:val="-5"/>
          <w:sz w:val="17"/>
        </w:rPr>
        <w:t>Rendimiento </w:t>
      </w:r>
      <w:r>
        <w:rPr>
          <w:b/>
          <w:i/>
          <w:color w:val="231F20"/>
          <w:spacing w:val="-4"/>
          <w:sz w:val="17"/>
        </w:rPr>
        <w:t>por </w:t>
      </w:r>
      <w:r>
        <w:rPr>
          <w:b/>
          <w:i/>
          <w:color w:val="231F20"/>
          <w:spacing w:val="-5"/>
          <w:sz w:val="17"/>
        </w:rPr>
        <w:t>hectárea </w:t>
      </w:r>
      <w:r>
        <w:rPr>
          <w:b/>
          <w:i/>
          <w:color w:val="231F20"/>
          <w:spacing w:val="-4"/>
          <w:sz w:val="17"/>
        </w:rPr>
        <w:t>(t•ha</w:t>
      </w:r>
      <w:r>
        <w:rPr>
          <w:b/>
          <w:i/>
          <w:color w:val="231F20"/>
          <w:spacing w:val="-4"/>
          <w:position w:val="6"/>
          <w:sz w:val="10"/>
        </w:rPr>
        <w:t>-1</w:t>
      </w:r>
      <w:r>
        <w:rPr>
          <w:b/>
          <w:i/>
          <w:color w:val="231F20"/>
          <w:spacing w:val="-4"/>
          <w:sz w:val="17"/>
        </w:rPr>
        <w:t>); </w:t>
      </w:r>
      <w:r>
        <w:rPr>
          <w:b/>
          <w:i/>
          <w:color w:val="231F20"/>
          <w:spacing w:val="-10"/>
          <w:sz w:val="17"/>
        </w:rPr>
        <w:t>C.V. </w:t>
      </w:r>
      <w:r>
        <w:rPr>
          <w:b/>
          <w:i/>
          <w:color w:val="231F20"/>
          <w:spacing w:val="-5"/>
          <w:sz w:val="17"/>
        </w:rPr>
        <w:t>Coeficiente </w:t>
      </w:r>
      <w:r>
        <w:rPr>
          <w:b/>
          <w:i/>
          <w:color w:val="231F20"/>
          <w:spacing w:val="-3"/>
          <w:sz w:val="17"/>
        </w:rPr>
        <w:t>de </w:t>
      </w:r>
      <w:r>
        <w:rPr>
          <w:b/>
          <w:i/>
          <w:color w:val="231F20"/>
          <w:spacing w:val="-5"/>
          <w:sz w:val="17"/>
        </w:rPr>
        <w:t>variación </w:t>
      </w:r>
      <w:r>
        <w:rPr>
          <w:b/>
          <w:i/>
          <w:color w:val="231F20"/>
          <w:spacing w:val="-4"/>
          <w:sz w:val="17"/>
        </w:rPr>
        <w:t>(%); </w:t>
      </w:r>
      <w:r>
        <w:rPr>
          <w:b/>
          <w:i/>
          <w:color w:val="231F20"/>
          <w:spacing w:val="-3"/>
          <w:sz w:val="17"/>
        </w:rPr>
        <w:t>*, ** </w:t>
      </w:r>
      <w:r>
        <w:rPr>
          <w:b/>
          <w:i/>
          <w:color w:val="231F20"/>
          <w:sz w:val="17"/>
        </w:rPr>
        <w:t>= </w:t>
      </w:r>
      <w:r>
        <w:rPr>
          <w:b/>
          <w:i/>
          <w:color w:val="231F20"/>
          <w:spacing w:val="-5"/>
          <w:sz w:val="17"/>
        </w:rPr>
        <w:t>Significancia estadística </w:t>
      </w:r>
      <w:r>
        <w:rPr>
          <w:b/>
          <w:i/>
          <w:color w:val="231F20"/>
          <w:spacing w:val="-3"/>
          <w:sz w:val="17"/>
        </w:rPr>
        <w:t>al </w:t>
      </w:r>
      <w:r>
        <w:rPr>
          <w:b/>
          <w:i/>
          <w:color w:val="231F20"/>
          <w:sz w:val="17"/>
        </w:rPr>
        <w:t>5 y 1 </w:t>
      </w:r>
      <w:r>
        <w:rPr>
          <w:b/>
          <w:i/>
          <w:color w:val="231F20"/>
          <w:spacing w:val="-5"/>
          <w:sz w:val="17"/>
        </w:rPr>
        <w:t>%, respectivamente.</w:t>
      </w:r>
    </w:p>
    <w:p>
      <w:pPr>
        <w:pStyle w:val="BodyText"/>
        <w:spacing w:before="7"/>
        <w:rPr>
          <w:b/>
          <w:i/>
          <w:sz w:val="18"/>
        </w:rPr>
      </w:pPr>
    </w:p>
    <w:p>
      <w:pPr>
        <w:pStyle w:val="BodyText"/>
        <w:spacing w:line="249" w:lineRule="auto"/>
        <w:ind w:left="1270" w:right="1267" w:hanging="1"/>
        <w:jc w:val="both"/>
      </w:pPr>
      <w:r>
        <w:rPr>
          <w:color w:val="231F20"/>
        </w:rPr>
        <w:t>Rendimiento por planta (RPP, g•planta</w:t>
      </w:r>
      <w:r>
        <w:rPr>
          <w:color w:val="231F20"/>
          <w:position w:val="7"/>
          <w:sz w:val="12"/>
        </w:rPr>
        <w:t>-1</w:t>
      </w:r>
      <w:r>
        <w:rPr>
          <w:color w:val="231F20"/>
        </w:rPr>
        <w:t>). Se encontraron diferencias significativas (P ≤ 0.05) entre los híbridos evaluados. La prueba de comparación de medias de Tukey detectó diferencias entre las medias de los tratamientos; ‘Terminator’ y ‘Lolita’ difieren estadísticamente de los demás híbridos con un rendimiento por planta de 707.5 y 675.3 g•planta</w:t>
      </w:r>
      <w:r>
        <w:rPr>
          <w:color w:val="231F20"/>
          <w:position w:val="7"/>
          <w:sz w:val="12"/>
        </w:rPr>
        <w:t>-1</w:t>
      </w:r>
      <w:r>
        <w:rPr>
          <w:color w:val="231F20"/>
        </w:rPr>
        <w:t>, respectivamente (Cuadro 3). El híbrido Tala promedio el menor rendimiento por planta con 350.5 g.</w:t>
      </w:r>
    </w:p>
    <w:p>
      <w:pPr>
        <w:pStyle w:val="BodyText"/>
        <w:spacing w:before="7"/>
      </w:pPr>
    </w:p>
    <w:p>
      <w:pPr>
        <w:pStyle w:val="BodyText"/>
        <w:spacing w:line="247" w:lineRule="auto"/>
        <w:ind w:left="1270" w:right="1267"/>
        <w:jc w:val="both"/>
      </w:pPr>
      <w:r>
        <w:rPr>
          <w:color w:val="231F20"/>
        </w:rPr>
        <w:t>Frutos por planta (FPP). Se encontraron diferencias significativas (P ≤ 0.05) entre tratamientos. La prueba</w:t>
      </w:r>
      <w:r>
        <w:rPr>
          <w:color w:val="231F20"/>
          <w:spacing w:val="-5"/>
        </w:rPr>
        <w:t> </w:t>
      </w:r>
      <w:r>
        <w:rPr>
          <w:color w:val="231F20"/>
        </w:rPr>
        <w:t>de</w:t>
      </w:r>
      <w:r>
        <w:rPr>
          <w:color w:val="231F20"/>
          <w:spacing w:val="-5"/>
        </w:rPr>
        <w:t> </w:t>
      </w:r>
      <w:r>
        <w:rPr>
          <w:color w:val="231F20"/>
        </w:rPr>
        <w:t>comparación</w:t>
      </w:r>
      <w:r>
        <w:rPr>
          <w:color w:val="231F20"/>
          <w:spacing w:val="-5"/>
        </w:rPr>
        <w:t> </w:t>
      </w:r>
      <w:r>
        <w:rPr>
          <w:color w:val="231F20"/>
        </w:rPr>
        <w:t>de</w:t>
      </w:r>
      <w:r>
        <w:rPr>
          <w:color w:val="231F20"/>
          <w:spacing w:val="-5"/>
        </w:rPr>
        <w:t> </w:t>
      </w:r>
      <w:r>
        <w:rPr>
          <w:color w:val="231F20"/>
        </w:rPr>
        <w:t>medias</w:t>
      </w:r>
      <w:r>
        <w:rPr>
          <w:color w:val="231F20"/>
          <w:spacing w:val="-5"/>
        </w:rPr>
        <w:t> </w:t>
      </w:r>
      <w:r>
        <w:rPr>
          <w:color w:val="231F20"/>
        </w:rPr>
        <w:t>de</w:t>
      </w:r>
      <w:r>
        <w:rPr>
          <w:color w:val="231F20"/>
          <w:spacing w:val="-8"/>
        </w:rPr>
        <w:t> </w:t>
      </w:r>
      <w:r>
        <w:rPr>
          <w:color w:val="231F20"/>
        </w:rPr>
        <w:t>Tukey</w:t>
      </w:r>
      <w:r>
        <w:rPr>
          <w:color w:val="231F20"/>
          <w:spacing w:val="-5"/>
        </w:rPr>
        <w:t> </w:t>
      </w:r>
      <w:r>
        <w:rPr>
          <w:color w:val="231F20"/>
        </w:rPr>
        <w:t>detectó</w:t>
      </w:r>
      <w:r>
        <w:rPr>
          <w:color w:val="231F20"/>
          <w:spacing w:val="-5"/>
        </w:rPr>
        <w:t> </w:t>
      </w:r>
      <w:r>
        <w:rPr>
          <w:color w:val="231F20"/>
        </w:rPr>
        <w:t>diferencias</w:t>
      </w:r>
      <w:r>
        <w:rPr>
          <w:color w:val="231F20"/>
          <w:spacing w:val="-5"/>
        </w:rPr>
        <w:t> </w:t>
      </w:r>
      <w:r>
        <w:rPr>
          <w:color w:val="231F20"/>
        </w:rPr>
        <w:t>entre</w:t>
      </w:r>
      <w:r>
        <w:rPr>
          <w:color w:val="231F20"/>
          <w:spacing w:val="-5"/>
        </w:rPr>
        <w:t> </w:t>
      </w:r>
      <w:r>
        <w:rPr>
          <w:color w:val="231F20"/>
        </w:rPr>
        <w:t>las</w:t>
      </w:r>
      <w:r>
        <w:rPr>
          <w:color w:val="231F20"/>
          <w:spacing w:val="-5"/>
        </w:rPr>
        <w:t> </w:t>
      </w:r>
      <w:r>
        <w:rPr>
          <w:color w:val="231F20"/>
        </w:rPr>
        <w:t>medias</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híbridos</w:t>
      </w:r>
      <w:r>
        <w:rPr>
          <w:color w:val="231F20"/>
          <w:spacing w:val="-5"/>
        </w:rPr>
        <w:t> </w:t>
      </w:r>
      <w:r>
        <w:rPr>
          <w:color w:val="231F20"/>
        </w:rPr>
        <w:t>eva- luados. ‘Terminator’ y ‘Lolita’ presentaron las medias más altas en el número de frutos por planta con</w:t>
      </w:r>
      <w:r>
        <w:rPr>
          <w:color w:val="231F20"/>
          <w:spacing w:val="-7"/>
        </w:rPr>
        <w:t> </w:t>
      </w:r>
      <w:r>
        <w:rPr>
          <w:color w:val="231F20"/>
        </w:rPr>
        <w:t>14.3</w:t>
      </w:r>
      <w:r>
        <w:rPr>
          <w:color w:val="231F20"/>
          <w:spacing w:val="-7"/>
        </w:rPr>
        <w:t> </w:t>
      </w:r>
      <w:r>
        <w:rPr>
          <w:color w:val="231F20"/>
        </w:rPr>
        <w:t>y</w:t>
      </w:r>
      <w:r>
        <w:rPr>
          <w:color w:val="231F20"/>
          <w:spacing w:val="-7"/>
        </w:rPr>
        <w:t> </w:t>
      </w:r>
      <w:r>
        <w:rPr>
          <w:color w:val="231F20"/>
        </w:rPr>
        <w:t>14.2,</w:t>
      </w:r>
      <w:r>
        <w:rPr>
          <w:color w:val="231F20"/>
          <w:spacing w:val="-7"/>
        </w:rPr>
        <w:t> </w:t>
      </w:r>
      <w:r>
        <w:rPr>
          <w:color w:val="231F20"/>
        </w:rPr>
        <w:t>respectivamente</w:t>
      </w:r>
      <w:r>
        <w:rPr>
          <w:color w:val="231F20"/>
          <w:spacing w:val="-7"/>
        </w:rPr>
        <w:t> </w:t>
      </w:r>
      <w:r>
        <w:rPr>
          <w:color w:val="231F20"/>
        </w:rPr>
        <w:t>(Cuadro</w:t>
      </w:r>
      <w:r>
        <w:rPr>
          <w:color w:val="231F20"/>
          <w:spacing w:val="-7"/>
        </w:rPr>
        <w:t> </w:t>
      </w:r>
      <w:r>
        <w:rPr>
          <w:color w:val="231F20"/>
        </w:rPr>
        <w:t>3).</w:t>
      </w:r>
      <w:r>
        <w:rPr>
          <w:color w:val="231F20"/>
          <w:spacing w:val="-7"/>
        </w:rPr>
        <w:t> </w:t>
      </w:r>
      <w:r>
        <w:rPr>
          <w:color w:val="231F20"/>
        </w:rPr>
        <w:t>Resalta</w:t>
      </w:r>
      <w:r>
        <w:rPr>
          <w:color w:val="231F20"/>
          <w:spacing w:val="-7"/>
        </w:rPr>
        <w:t> </w:t>
      </w:r>
      <w:r>
        <w:rPr>
          <w:color w:val="231F20"/>
        </w:rPr>
        <w:t>el</w:t>
      </w:r>
      <w:r>
        <w:rPr>
          <w:color w:val="231F20"/>
          <w:spacing w:val="-7"/>
        </w:rPr>
        <w:t> </w:t>
      </w:r>
      <w:r>
        <w:rPr>
          <w:color w:val="231F20"/>
        </w:rPr>
        <w:t>hecho</w:t>
      </w:r>
      <w:r>
        <w:rPr>
          <w:color w:val="231F20"/>
          <w:spacing w:val="-7"/>
        </w:rPr>
        <w:t> </w:t>
      </w:r>
      <w:r>
        <w:rPr>
          <w:color w:val="231F20"/>
        </w:rPr>
        <w:t>de</w:t>
      </w:r>
      <w:r>
        <w:rPr>
          <w:color w:val="231F20"/>
          <w:spacing w:val="-7"/>
        </w:rPr>
        <w:t> </w:t>
      </w:r>
      <w:r>
        <w:rPr>
          <w:color w:val="231F20"/>
        </w:rPr>
        <w:t>que</w:t>
      </w:r>
      <w:r>
        <w:rPr>
          <w:color w:val="231F20"/>
          <w:spacing w:val="-7"/>
        </w:rPr>
        <w:t> </w:t>
      </w:r>
      <w:r>
        <w:rPr>
          <w:color w:val="231F20"/>
        </w:rPr>
        <w:t>ambos</w:t>
      </w:r>
      <w:r>
        <w:rPr>
          <w:color w:val="231F20"/>
          <w:spacing w:val="-7"/>
        </w:rPr>
        <w:t> </w:t>
      </w:r>
      <w:r>
        <w:rPr>
          <w:color w:val="231F20"/>
        </w:rPr>
        <w:t>híbridos</w:t>
      </w:r>
      <w:r>
        <w:rPr>
          <w:color w:val="231F20"/>
          <w:spacing w:val="-7"/>
        </w:rPr>
        <w:t> </w:t>
      </w:r>
      <w:r>
        <w:rPr>
          <w:color w:val="231F20"/>
        </w:rPr>
        <w:t>pertenecen</w:t>
      </w:r>
      <w:r>
        <w:rPr>
          <w:color w:val="231F20"/>
          <w:spacing w:val="-7"/>
        </w:rPr>
        <w:t> </w:t>
      </w:r>
      <w:r>
        <w:rPr>
          <w:color w:val="231F20"/>
        </w:rPr>
        <w:t>a</w:t>
      </w:r>
      <w:r>
        <w:rPr>
          <w:color w:val="231F20"/>
          <w:spacing w:val="-7"/>
        </w:rPr>
        <w:t> </w:t>
      </w:r>
      <w:r>
        <w:rPr>
          <w:color w:val="231F20"/>
        </w:rPr>
        <w:t>la misma compañía semillera y probablemente compartan alguna línea en común. Fueron seguidos de los</w:t>
      </w:r>
      <w:r>
        <w:rPr>
          <w:color w:val="231F20"/>
          <w:spacing w:val="-8"/>
        </w:rPr>
        <w:t> </w:t>
      </w:r>
      <w:r>
        <w:rPr>
          <w:color w:val="231F20"/>
        </w:rPr>
        <w:t>híbridos</w:t>
      </w:r>
      <w:r>
        <w:rPr>
          <w:color w:val="231F20"/>
          <w:spacing w:val="-12"/>
        </w:rPr>
        <w:t> </w:t>
      </w:r>
      <w:r>
        <w:rPr>
          <w:color w:val="231F20"/>
          <w:spacing w:val="-4"/>
        </w:rPr>
        <w:t>WA9041</w:t>
      </w:r>
      <w:r>
        <w:rPr>
          <w:color w:val="231F20"/>
          <w:spacing w:val="-8"/>
        </w:rPr>
        <w:t> </w:t>
      </w:r>
      <w:r>
        <w:rPr>
          <w:color w:val="231F20"/>
        </w:rPr>
        <w:t>y</w:t>
      </w:r>
      <w:r>
        <w:rPr>
          <w:color w:val="231F20"/>
          <w:spacing w:val="-8"/>
        </w:rPr>
        <w:t> </w:t>
      </w:r>
      <w:r>
        <w:rPr>
          <w:color w:val="231F20"/>
        </w:rPr>
        <w:t>Dolarzini</w:t>
      </w:r>
      <w:r>
        <w:rPr>
          <w:color w:val="231F20"/>
          <w:spacing w:val="-8"/>
        </w:rPr>
        <w:t> </w:t>
      </w:r>
      <w:r>
        <w:rPr>
          <w:color w:val="231F20"/>
        </w:rPr>
        <w:t>con</w:t>
      </w:r>
      <w:r>
        <w:rPr>
          <w:color w:val="231F20"/>
          <w:spacing w:val="-8"/>
        </w:rPr>
        <w:t> </w:t>
      </w:r>
      <w:r>
        <w:rPr>
          <w:color w:val="231F20"/>
        </w:rPr>
        <w:t>12.1</w:t>
      </w:r>
      <w:r>
        <w:rPr>
          <w:color w:val="231F20"/>
          <w:spacing w:val="-8"/>
        </w:rPr>
        <w:t> </w:t>
      </w:r>
      <w:r>
        <w:rPr>
          <w:color w:val="231F20"/>
        </w:rPr>
        <w:t>y</w:t>
      </w:r>
      <w:r>
        <w:rPr>
          <w:color w:val="231F20"/>
          <w:spacing w:val="-8"/>
        </w:rPr>
        <w:t> </w:t>
      </w:r>
      <w:r>
        <w:rPr>
          <w:color w:val="231F20"/>
        </w:rPr>
        <w:t>11.5</w:t>
      </w:r>
      <w:r>
        <w:rPr>
          <w:color w:val="231F20"/>
          <w:spacing w:val="-8"/>
        </w:rPr>
        <w:t> </w:t>
      </w:r>
      <w:r>
        <w:rPr>
          <w:color w:val="231F20"/>
        </w:rPr>
        <w:t>frutos</w:t>
      </w:r>
      <w:r>
        <w:rPr>
          <w:color w:val="231F20"/>
          <w:spacing w:val="-8"/>
        </w:rPr>
        <w:t> </w:t>
      </w:r>
      <w:r>
        <w:rPr>
          <w:color w:val="231F20"/>
        </w:rPr>
        <w:t>por</w:t>
      </w:r>
      <w:r>
        <w:rPr>
          <w:color w:val="231F20"/>
          <w:spacing w:val="-8"/>
        </w:rPr>
        <w:t> </w:t>
      </w:r>
      <w:r>
        <w:rPr>
          <w:color w:val="231F20"/>
        </w:rPr>
        <w:t>planta</w:t>
      </w:r>
      <w:r>
        <w:rPr>
          <w:color w:val="231F20"/>
          <w:spacing w:val="-8"/>
        </w:rPr>
        <w:t> </w:t>
      </w:r>
      <w:r>
        <w:rPr>
          <w:color w:val="231F20"/>
        </w:rPr>
        <w:t>respectivamente,</w:t>
      </w:r>
      <w:r>
        <w:rPr>
          <w:color w:val="231F20"/>
          <w:spacing w:val="-8"/>
        </w:rPr>
        <w:t> </w:t>
      </w:r>
      <w:r>
        <w:rPr>
          <w:color w:val="231F20"/>
        </w:rPr>
        <w:t>y</w:t>
      </w:r>
      <w:r>
        <w:rPr>
          <w:color w:val="231F20"/>
          <w:spacing w:val="-8"/>
        </w:rPr>
        <w:t> </w:t>
      </w:r>
      <w:r>
        <w:rPr>
          <w:color w:val="231F20"/>
        </w:rPr>
        <w:t>el</w:t>
      </w:r>
      <w:r>
        <w:rPr>
          <w:color w:val="231F20"/>
          <w:spacing w:val="-8"/>
        </w:rPr>
        <w:t> </w:t>
      </w:r>
      <w:r>
        <w:rPr>
          <w:color w:val="231F20"/>
        </w:rPr>
        <w:t>peor</w:t>
      </w:r>
      <w:r>
        <w:rPr>
          <w:color w:val="231F20"/>
          <w:spacing w:val="-8"/>
        </w:rPr>
        <w:t> </w:t>
      </w:r>
      <w:r>
        <w:rPr>
          <w:color w:val="231F20"/>
        </w:rPr>
        <w:t>híbrido fue </w:t>
      </w:r>
      <w:r>
        <w:rPr>
          <w:color w:val="231F20"/>
          <w:spacing w:val="-4"/>
        </w:rPr>
        <w:t>Tala </w:t>
      </w:r>
      <w:r>
        <w:rPr>
          <w:color w:val="231F20"/>
        </w:rPr>
        <w:t>con 8.1 frutos por planta. Las variedades Grey Zucchini de Seminis y Grey Zucchini de Molina Seed generaron 9.3 y 9.7 frutos por planta, pese a ser variedades produjeron más frutos por planta que el híbrido </w:t>
      </w:r>
      <w:r>
        <w:rPr>
          <w:color w:val="231F20"/>
          <w:spacing w:val="-3"/>
        </w:rPr>
        <w:t>Tala, </w:t>
      </w:r>
      <w:r>
        <w:rPr>
          <w:color w:val="231F20"/>
        </w:rPr>
        <w:t>tal comportamiento se atribuye a que este último lleva al menos 25 años en el mercado y las variedades son de más reciente</w:t>
      </w:r>
      <w:r>
        <w:rPr>
          <w:color w:val="231F20"/>
          <w:spacing w:val="-6"/>
        </w:rPr>
        <w:t> </w:t>
      </w:r>
      <w:r>
        <w:rPr>
          <w:color w:val="231F20"/>
        </w:rPr>
        <w:t>liberación.</w:t>
      </w:r>
    </w:p>
    <w:p>
      <w:pPr>
        <w:pStyle w:val="BodyText"/>
        <w:spacing w:before="10"/>
      </w:pPr>
    </w:p>
    <w:p>
      <w:pPr>
        <w:pStyle w:val="BodyText"/>
        <w:spacing w:line="247" w:lineRule="auto"/>
        <w:ind w:left="1270" w:right="1269"/>
        <w:jc w:val="both"/>
      </w:pPr>
      <w:r>
        <w:rPr>
          <w:color w:val="231F20"/>
        </w:rPr>
        <w:t>La menor cantidad de frutos por planta producidos por el híbrido Tala (8.1) concuerda con lo obte- nido por Sedano </w:t>
      </w:r>
      <w:r>
        <w:rPr>
          <w:i/>
          <w:color w:val="231F20"/>
        </w:rPr>
        <w:t>et al. </w:t>
      </w:r>
      <w:r>
        <w:rPr>
          <w:color w:val="231F20"/>
        </w:rPr>
        <w:t>(2005) que estudió la dinámica del crecimiento y eficiencia fisiológica de la planta de calabacita con el híbrido Tala del que reporta 7.25 frutos cosechados por planta.</w:t>
      </w:r>
    </w:p>
    <w:p>
      <w:pPr>
        <w:spacing w:after="0" w:line="247" w:lineRule="auto"/>
        <w:jc w:val="both"/>
        <w:sectPr>
          <w:pgSz w:w="10920" w:h="13080"/>
          <w:pgMar w:header="0" w:footer="965" w:top="420" w:bottom="1220" w:left="0" w:right="0"/>
        </w:sectPr>
      </w:pPr>
    </w:p>
    <w:p>
      <w:pPr>
        <w:pStyle w:val="BodyText"/>
        <w:rPr>
          <w:sz w:val="20"/>
        </w:rPr>
      </w:pPr>
    </w:p>
    <w:p>
      <w:pPr>
        <w:pStyle w:val="BodyText"/>
        <w:rPr>
          <w:sz w:val="20"/>
        </w:rPr>
      </w:pPr>
    </w:p>
    <w:p>
      <w:pPr>
        <w:pStyle w:val="BodyText"/>
        <w:rPr>
          <w:sz w:val="23"/>
        </w:rPr>
      </w:pPr>
    </w:p>
    <w:p>
      <w:pPr>
        <w:pStyle w:val="BodyText"/>
        <w:spacing w:line="247" w:lineRule="auto" w:before="73"/>
        <w:ind w:left="1270" w:right="1267"/>
        <w:jc w:val="both"/>
      </w:pPr>
      <w:r>
        <w:rPr>
          <w:color w:val="231F20"/>
        </w:rPr>
        <w:t>Largo de fruto (LFR, cm). En largo de fruto la prueba de comparación de medias de Tukey detectó diferencias significativas. Los híbridos ‘Terminator’, ‘Lolita’ y ‘WA9041’ tuvieron los valores más altos con 12.5, 12.4 y 12.4 cm, respectivamente (Cuadro 3). Los híbridos ‘Grey Zucchini’ M+M, ‘Dolarzini’ y ‘Tala’ promediaron un largo de fruto de 11.8, 11.4 y 11.4 cm, y la menor longitud de fruto se obtuvo con la variedad ‘Grey Zucchini’ de seminis. Aunque el tamaño no está incluido en los grados de calidad de las normas estadounidenses cuando se exporta calabacita, en los contratos comerciales puede especificarse un diámetro o una longitud mínima, máxima o ambas.</w:t>
      </w:r>
    </w:p>
    <w:p>
      <w:pPr>
        <w:pStyle w:val="BodyText"/>
        <w:spacing w:before="9"/>
      </w:pPr>
    </w:p>
    <w:p>
      <w:pPr>
        <w:pStyle w:val="BodyText"/>
        <w:spacing w:line="247" w:lineRule="auto" w:before="1"/>
        <w:ind w:left="1270" w:right="1252"/>
        <w:jc w:val="both"/>
      </w:pPr>
      <w:r>
        <w:rPr>
          <w:color w:val="231F20"/>
        </w:rPr>
        <w:t>Ancho de fruto (AFR, cm). En ancho de fruto los híbridos ‘Hurakán’ y ‘Terminator’ son los que producen frutos más anchos con un valor de 4.4 cm para ambos, y estadísticamente (P≤0.05) dife- rentes de los demás, los híbridos ‘Lolita’, </w:t>
      </w:r>
      <w:r>
        <w:rPr>
          <w:color w:val="231F20"/>
          <w:spacing w:val="-3"/>
        </w:rPr>
        <w:t>‘WA9041’, </w:t>
      </w:r>
      <w:r>
        <w:rPr>
          <w:color w:val="231F20"/>
        </w:rPr>
        <w:t>‘Dolarzini’, y las variedades ‘Grey Zucchini’ de Seminis y ‘Grey Zucchini’ M+M promedian frutos de 4.0 cm y </w:t>
      </w:r>
      <w:r>
        <w:rPr>
          <w:color w:val="231F20"/>
          <w:spacing w:val="-3"/>
        </w:rPr>
        <w:t>‘Tala’ </w:t>
      </w:r>
      <w:r>
        <w:rPr>
          <w:color w:val="231F20"/>
        </w:rPr>
        <w:t>presentó el menor valor</w:t>
      </w:r>
      <w:r>
        <w:rPr>
          <w:color w:val="231F20"/>
          <w:spacing w:val="-35"/>
        </w:rPr>
        <w:t> </w:t>
      </w:r>
      <w:r>
        <w:rPr>
          <w:color w:val="231F20"/>
        </w:rPr>
        <w:t>en ancho</w:t>
      </w:r>
      <w:r>
        <w:rPr>
          <w:color w:val="231F20"/>
          <w:spacing w:val="-9"/>
        </w:rPr>
        <w:t> </w:t>
      </w:r>
      <w:r>
        <w:rPr>
          <w:color w:val="231F20"/>
        </w:rPr>
        <w:t>de</w:t>
      </w:r>
      <w:r>
        <w:rPr>
          <w:color w:val="231F20"/>
          <w:spacing w:val="-9"/>
        </w:rPr>
        <w:t> </w:t>
      </w:r>
      <w:r>
        <w:rPr>
          <w:color w:val="231F20"/>
        </w:rPr>
        <w:t>fruto</w:t>
      </w:r>
      <w:r>
        <w:rPr>
          <w:color w:val="231F20"/>
          <w:spacing w:val="-8"/>
        </w:rPr>
        <w:t> </w:t>
      </w:r>
      <w:r>
        <w:rPr>
          <w:color w:val="231F20"/>
        </w:rPr>
        <w:t>con</w:t>
      </w:r>
      <w:r>
        <w:rPr>
          <w:color w:val="231F20"/>
          <w:spacing w:val="-9"/>
        </w:rPr>
        <w:t> </w:t>
      </w:r>
      <w:r>
        <w:rPr>
          <w:color w:val="231F20"/>
        </w:rPr>
        <w:t>3.8</w:t>
      </w:r>
      <w:r>
        <w:rPr>
          <w:color w:val="231F20"/>
          <w:spacing w:val="-8"/>
        </w:rPr>
        <w:t> </w:t>
      </w:r>
      <w:r>
        <w:rPr>
          <w:color w:val="231F20"/>
        </w:rPr>
        <w:t>cm</w:t>
      </w:r>
      <w:r>
        <w:rPr>
          <w:color w:val="231F20"/>
          <w:spacing w:val="-9"/>
        </w:rPr>
        <w:t> </w:t>
      </w:r>
      <w:r>
        <w:rPr>
          <w:color w:val="231F20"/>
        </w:rPr>
        <w:t>(Cuadro</w:t>
      </w:r>
      <w:r>
        <w:rPr>
          <w:color w:val="231F20"/>
          <w:spacing w:val="-8"/>
        </w:rPr>
        <w:t> </w:t>
      </w:r>
      <w:r>
        <w:rPr>
          <w:color w:val="231F20"/>
        </w:rPr>
        <w:t>3).</w:t>
      </w:r>
      <w:r>
        <w:rPr>
          <w:color w:val="231F20"/>
          <w:spacing w:val="-8"/>
        </w:rPr>
        <w:t> </w:t>
      </w:r>
      <w:r>
        <w:rPr>
          <w:color w:val="231F20"/>
        </w:rPr>
        <w:t>El</w:t>
      </w:r>
      <w:r>
        <w:rPr>
          <w:color w:val="231F20"/>
          <w:spacing w:val="-9"/>
        </w:rPr>
        <w:t> </w:t>
      </w:r>
      <w:r>
        <w:rPr>
          <w:color w:val="231F20"/>
        </w:rPr>
        <w:t>mayor</w:t>
      </w:r>
      <w:r>
        <w:rPr>
          <w:color w:val="231F20"/>
          <w:spacing w:val="-9"/>
        </w:rPr>
        <w:t> </w:t>
      </w:r>
      <w:r>
        <w:rPr>
          <w:color w:val="231F20"/>
        </w:rPr>
        <w:t>potencial</w:t>
      </w:r>
      <w:r>
        <w:rPr>
          <w:color w:val="231F20"/>
          <w:spacing w:val="-9"/>
        </w:rPr>
        <w:t> </w:t>
      </w:r>
      <w:r>
        <w:rPr>
          <w:color w:val="231F20"/>
        </w:rPr>
        <w:t>de</w:t>
      </w:r>
      <w:r>
        <w:rPr>
          <w:color w:val="231F20"/>
          <w:spacing w:val="-8"/>
        </w:rPr>
        <w:t> </w:t>
      </w:r>
      <w:r>
        <w:rPr>
          <w:color w:val="231F20"/>
        </w:rPr>
        <w:t>rendimiento</w:t>
      </w:r>
      <w:r>
        <w:rPr>
          <w:color w:val="231F20"/>
          <w:spacing w:val="-8"/>
        </w:rPr>
        <w:t> </w:t>
      </w:r>
      <w:r>
        <w:rPr>
          <w:color w:val="231F20"/>
        </w:rPr>
        <w:t>del</w:t>
      </w:r>
      <w:r>
        <w:rPr>
          <w:color w:val="231F20"/>
          <w:spacing w:val="-8"/>
        </w:rPr>
        <w:t> </w:t>
      </w:r>
      <w:r>
        <w:rPr>
          <w:color w:val="231F20"/>
        </w:rPr>
        <w:t>híbrido</w:t>
      </w:r>
      <w:r>
        <w:rPr>
          <w:color w:val="231F20"/>
          <w:spacing w:val="-8"/>
        </w:rPr>
        <w:t> </w:t>
      </w:r>
      <w:r>
        <w:rPr>
          <w:color w:val="231F20"/>
        </w:rPr>
        <w:t>‘Terminator’</w:t>
      </w:r>
      <w:r>
        <w:rPr>
          <w:color w:val="231F20"/>
          <w:spacing w:val="-24"/>
        </w:rPr>
        <w:t> </w:t>
      </w:r>
      <w:r>
        <w:rPr>
          <w:color w:val="231F20"/>
        </w:rPr>
        <w:t>se explica</w:t>
      </w:r>
      <w:r>
        <w:rPr>
          <w:color w:val="231F20"/>
          <w:spacing w:val="-12"/>
        </w:rPr>
        <w:t> </w:t>
      </w:r>
      <w:r>
        <w:rPr>
          <w:color w:val="231F20"/>
        </w:rPr>
        <w:t>por</w:t>
      </w:r>
      <w:r>
        <w:rPr>
          <w:color w:val="231F20"/>
          <w:spacing w:val="-11"/>
        </w:rPr>
        <w:t> </w:t>
      </w:r>
      <w:r>
        <w:rPr>
          <w:color w:val="231F20"/>
        </w:rPr>
        <w:t>presentar</w:t>
      </w:r>
      <w:r>
        <w:rPr>
          <w:color w:val="231F20"/>
          <w:spacing w:val="-11"/>
        </w:rPr>
        <w:t> </w:t>
      </w:r>
      <w:r>
        <w:rPr>
          <w:color w:val="231F20"/>
        </w:rPr>
        <w:t>frutos</w:t>
      </w:r>
      <w:r>
        <w:rPr>
          <w:color w:val="231F20"/>
          <w:spacing w:val="-11"/>
        </w:rPr>
        <w:t> </w:t>
      </w:r>
      <w:r>
        <w:rPr>
          <w:color w:val="231F20"/>
        </w:rPr>
        <w:t>largos,</w:t>
      </w:r>
      <w:r>
        <w:rPr>
          <w:color w:val="231F20"/>
          <w:spacing w:val="-11"/>
        </w:rPr>
        <w:t> </w:t>
      </w:r>
      <w:r>
        <w:rPr>
          <w:color w:val="231F20"/>
        </w:rPr>
        <w:t>anchos</w:t>
      </w:r>
      <w:r>
        <w:rPr>
          <w:color w:val="231F20"/>
          <w:spacing w:val="-12"/>
        </w:rPr>
        <w:t> </w:t>
      </w:r>
      <w:r>
        <w:rPr>
          <w:color w:val="231F20"/>
        </w:rPr>
        <w:t>y</w:t>
      </w:r>
      <w:r>
        <w:rPr>
          <w:color w:val="231F20"/>
          <w:spacing w:val="-11"/>
        </w:rPr>
        <w:t> </w:t>
      </w:r>
      <w:r>
        <w:rPr>
          <w:color w:val="231F20"/>
        </w:rPr>
        <w:t>en</w:t>
      </w:r>
      <w:r>
        <w:rPr>
          <w:color w:val="231F20"/>
          <w:spacing w:val="-11"/>
        </w:rPr>
        <w:t> </w:t>
      </w:r>
      <w:r>
        <w:rPr>
          <w:color w:val="231F20"/>
        </w:rPr>
        <w:t>mayor</w:t>
      </w:r>
      <w:r>
        <w:rPr>
          <w:color w:val="231F20"/>
          <w:spacing w:val="-12"/>
        </w:rPr>
        <w:t> </w:t>
      </w:r>
      <w:r>
        <w:rPr>
          <w:color w:val="231F20"/>
        </w:rPr>
        <w:t>cantidad</w:t>
      </w:r>
      <w:r>
        <w:rPr>
          <w:color w:val="231F20"/>
          <w:spacing w:val="-12"/>
        </w:rPr>
        <w:t> </w:t>
      </w:r>
      <w:r>
        <w:rPr>
          <w:color w:val="231F20"/>
        </w:rPr>
        <w:t>en</w:t>
      </w:r>
      <w:r>
        <w:rPr>
          <w:color w:val="231F20"/>
          <w:spacing w:val="-11"/>
        </w:rPr>
        <w:t> </w:t>
      </w:r>
      <w:r>
        <w:rPr>
          <w:color w:val="231F20"/>
        </w:rPr>
        <w:t>comparación</w:t>
      </w:r>
      <w:r>
        <w:rPr>
          <w:color w:val="231F20"/>
          <w:spacing w:val="-12"/>
        </w:rPr>
        <w:t> </w:t>
      </w:r>
      <w:r>
        <w:rPr>
          <w:color w:val="231F20"/>
        </w:rPr>
        <w:t>a</w:t>
      </w:r>
      <w:r>
        <w:rPr>
          <w:color w:val="231F20"/>
          <w:spacing w:val="-11"/>
        </w:rPr>
        <w:t> </w:t>
      </w:r>
      <w:r>
        <w:rPr>
          <w:color w:val="231F20"/>
        </w:rPr>
        <w:t>los</w:t>
      </w:r>
      <w:r>
        <w:rPr>
          <w:color w:val="231F20"/>
          <w:spacing w:val="-11"/>
        </w:rPr>
        <w:t> </w:t>
      </w:r>
      <w:r>
        <w:rPr>
          <w:color w:val="231F20"/>
        </w:rPr>
        <w:t>demás</w:t>
      </w:r>
      <w:r>
        <w:rPr>
          <w:color w:val="231F20"/>
          <w:spacing w:val="-11"/>
        </w:rPr>
        <w:t> </w:t>
      </w:r>
      <w:r>
        <w:rPr>
          <w:color w:val="231F20"/>
        </w:rPr>
        <w:t>híbridos, y aunque ‘Hurakán’ también presenta frutos anchos y largos, produce menor cantidad de frutos por planta y son de color verde oscuro lo que los hace menos atractivos al</w:t>
      </w:r>
      <w:r>
        <w:rPr>
          <w:color w:val="231F20"/>
          <w:spacing w:val="-20"/>
        </w:rPr>
        <w:t> </w:t>
      </w:r>
      <w:r>
        <w:rPr>
          <w:color w:val="231F20"/>
        </w:rPr>
        <w:t>consumidor.</w:t>
      </w:r>
    </w:p>
    <w:p>
      <w:pPr>
        <w:pStyle w:val="BodyText"/>
        <w:spacing w:before="10"/>
      </w:pPr>
    </w:p>
    <w:p>
      <w:pPr>
        <w:pStyle w:val="BodyText"/>
        <w:spacing w:line="247" w:lineRule="auto"/>
        <w:ind w:left="1270" w:right="1268"/>
        <w:jc w:val="both"/>
      </w:pPr>
      <w:r>
        <w:rPr>
          <w:color w:val="231F20"/>
        </w:rPr>
        <w:t>Días a floración femenina (DFF). Los híbridos más precoces fueron Dolarzini, </w:t>
      </w:r>
      <w:r>
        <w:rPr>
          <w:color w:val="231F20"/>
          <w:spacing w:val="-4"/>
        </w:rPr>
        <w:t>WA9041, </w:t>
      </w:r>
      <w:r>
        <w:rPr>
          <w:color w:val="231F20"/>
        </w:rPr>
        <w:t>Lolita y </w:t>
      </w:r>
      <w:r>
        <w:rPr>
          <w:color w:val="231F20"/>
          <w:spacing w:val="-4"/>
        </w:rPr>
        <w:t>Tala</w:t>
      </w:r>
      <w:r>
        <w:rPr>
          <w:color w:val="231F20"/>
          <w:spacing w:val="-8"/>
        </w:rPr>
        <w:t> </w:t>
      </w:r>
      <w:r>
        <w:rPr>
          <w:color w:val="231F20"/>
        </w:rPr>
        <w:t>con</w:t>
      </w:r>
      <w:r>
        <w:rPr>
          <w:color w:val="231F20"/>
          <w:spacing w:val="-8"/>
        </w:rPr>
        <w:t> </w:t>
      </w:r>
      <w:r>
        <w:rPr>
          <w:color w:val="231F20"/>
        </w:rPr>
        <w:t>44,</w:t>
      </w:r>
      <w:r>
        <w:rPr>
          <w:color w:val="231F20"/>
          <w:spacing w:val="-7"/>
        </w:rPr>
        <w:t> </w:t>
      </w:r>
      <w:r>
        <w:rPr>
          <w:color w:val="231F20"/>
        </w:rPr>
        <w:t>44,</w:t>
      </w:r>
      <w:r>
        <w:rPr>
          <w:color w:val="231F20"/>
          <w:spacing w:val="-8"/>
        </w:rPr>
        <w:t> </w:t>
      </w:r>
      <w:r>
        <w:rPr>
          <w:color w:val="231F20"/>
        </w:rPr>
        <w:t>45</w:t>
      </w:r>
      <w:r>
        <w:rPr>
          <w:color w:val="231F20"/>
          <w:spacing w:val="-8"/>
        </w:rPr>
        <w:t> </w:t>
      </w:r>
      <w:r>
        <w:rPr>
          <w:color w:val="231F20"/>
        </w:rPr>
        <w:t>y</w:t>
      </w:r>
      <w:r>
        <w:rPr>
          <w:color w:val="231F20"/>
          <w:spacing w:val="-8"/>
        </w:rPr>
        <w:t> </w:t>
      </w:r>
      <w:r>
        <w:rPr>
          <w:color w:val="231F20"/>
        </w:rPr>
        <w:t>45</w:t>
      </w:r>
      <w:r>
        <w:rPr>
          <w:color w:val="231F20"/>
          <w:spacing w:val="-8"/>
        </w:rPr>
        <w:t> </w:t>
      </w:r>
      <w:r>
        <w:rPr>
          <w:color w:val="231F20"/>
        </w:rPr>
        <w:t>días</w:t>
      </w:r>
      <w:r>
        <w:rPr>
          <w:color w:val="231F20"/>
          <w:spacing w:val="-8"/>
        </w:rPr>
        <w:t> </w:t>
      </w:r>
      <w:r>
        <w:rPr>
          <w:color w:val="231F20"/>
        </w:rPr>
        <w:t>a</w:t>
      </w:r>
      <w:r>
        <w:rPr>
          <w:color w:val="231F20"/>
          <w:spacing w:val="-8"/>
        </w:rPr>
        <w:t> </w:t>
      </w:r>
      <w:r>
        <w:rPr>
          <w:color w:val="231F20"/>
        </w:rPr>
        <w:t>floración</w:t>
      </w:r>
      <w:r>
        <w:rPr>
          <w:color w:val="231F20"/>
          <w:spacing w:val="-8"/>
        </w:rPr>
        <w:t> </w:t>
      </w:r>
      <w:r>
        <w:rPr>
          <w:color w:val="231F20"/>
        </w:rPr>
        <w:t>femenina,</w:t>
      </w:r>
      <w:r>
        <w:rPr>
          <w:color w:val="231F20"/>
          <w:spacing w:val="-8"/>
        </w:rPr>
        <w:t> </w:t>
      </w:r>
      <w:r>
        <w:rPr>
          <w:color w:val="231F20"/>
        </w:rPr>
        <w:t>respectivamente,</w:t>
      </w:r>
      <w:r>
        <w:rPr>
          <w:color w:val="231F20"/>
          <w:spacing w:val="-8"/>
        </w:rPr>
        <w:t> </w:t>
      </w:r>
      <w:r>
        <w:rPr>
          <w:color w:val="231F20"/>
        </w:rPr>
        <w:t>las</w:t>
      </w:r>
      <w:r>
        <w:rPr>
          <w:color w:val="231F20"/>
          <w:spacing w:val="-8"/>
        </w:rPr>
        <w:t> </w:t>
      </w:r>
      <w:r>
        <w:rPr>
          <w:color w:val="231F20"/>
        </w:rPr>
        <w:t>variedades</w:t>
      </w:r>
      <w:r>
        <w:rPr>
          <w:color w:val="231F20"/>
          <w:spacing w:val="-8"/>
        </w:rPr>
        <w:t> </w:t>
      </w:r>
      <w:r>
        <w:rPr>
          <w:color w:val="231F20"/>
        </w:rPr>
        <w:t>Grey</w:t>
      </w:r>
      <w:r>
        <w:rPr>
          <w:color w:val="231F20"/>
          <w:spacing w:val="-8"/>
        </w:rPr>
        <w:t> </w:t>
      </w:r>
      <w:r>
        <w:rPr>
          <w:color w:val="231F20"/>
        </w:rPr>
        <w:t>Zucchini</w:t>
      </w:r>
      <w:r>
        <w:rPr>
          <w:color w:val="231F20"/>
          <w:spacing w:val="-8"/>
        </w:rPr>
        <w:t> </w:t>
      </w:r>
      <w:r>
        <w:rPr>
          <w:color w:val="231F20"/>
        </w:rPr>
        <w:t>de Seminis y Grey Zucchini M+M intermedias con 47 y 48 DFF y las más tardías fueron los híbridos Hurakán y Terminator con 54 días en ambos (Cuadro</w:t>
      </w:r>
      <w:r>
        <w:rPr>
          <w:color w:val="231F20"/>
          <w:spacing w:val="-29"/>
        </w:rPr>
        <w:t> </w:t>
      </w:r>
      <w:r>
        <w:rPr>
          <w:color w:val="231F20"/>
        </w:rPr>
        <w:t>3).</w:t>
      </w:r>
    </w:p>
    <w:p>
      <w:pPr>
        <w:pStyle w:val="BodyText"/>
        <w:spacing w:before="10"/>
      </w:pPr>
    </w:p>
    <w:p>
      <w:pPr>
        <w:pStyle w:val="BodyText"/>
        <w:spacing w:line="247" w:lineRule="auto"/>
        <w:ind w:left="1270" w:right="1268"/>
        <w:jc w:val="both"/>
      </w:pPr>
      <w:r>
        <w:rPr>
          <w:color w:val="231F20"/>
        </w:rPr>
        <w:t>Días a floración masculina (DFM). Los híbridos más tardíos precoces fueron Dolarzini, WA9041, Lolita y Tala con 46, 46, 47 y 47 días a floración masculina, respectivamente, las variedades Grey Zucchini de Seminis y Grey Zucchini M+M intermedias con 49 y 50 DFM y las más tardías fueron los híbridos Hurakán y Terminator con 56 días (Cuadro 3).</w:t>
      </w:r>
    </w:p>
    <w:p>
      <w:pPr>
        <w:pStyle w:val="BodyText"/>
        <w:rPr>
          <w:sz w:val="22"/>
        </w:rPr>
      </w:pPr>
    </w:p>
    <w:p>
      <w:pPr>
        <w:pStyle w:val="BodyText"/>
        <w:spacing w:line="247" w:lineRule="auto"/>
        <w:ind w:left="1270" w:right="1253"/>
        <w:jc w:val="both"/>
      </w:pPr>
      <w:r>
        <w:rPr>
          <w:color w:val="231F20"/>
        </w:rPr>
        <w:t>Rendimiento</w:t>
      </w:r>
      <w:r>
        <w:rPr>
          <w:color w:val="231F20"/>
          <w:spacing w:val="-10"/>
        </w:rPr>
        <w:t> </w:t>
      </w:r>
      <w:r>
        <w:rPr>
          <w:color w:val="231F20"/>
        </w:rPr>
        <w:t>por</w:t>
      </w:r>
      <w:r>
        <w:rPr>
          <w:color w:val="231F20"/>
          <w:spacing w:val="-10"/>
        </w:rPr>
        <w:t> </w:t>
      </w:r>
      <w:r>
        <w:rPr>
          <w:color w:val="231F20"/>
        </w:rPr>
        <w:t>hectárea</w:t>
      </w:r>
      <w:r>
        <w:rPr>
          <w:color w:val="231F20"/>
          <w:spacing w:val="-10"/>
        </w:rPr>
        <w:t> </w:t>
      </w:r>
      <w:r>
        <w:rPr>
          <w:color w:val="231F20"/>
        </w:rPr>
        <w:t>(REN,</w:t>
      </w:r>
      <w:r>
        <w:rPr>
          <w:color w:val="231F20"/>
          <w:spacing w:val="-10"/>
        </w:rPr>
        <w:t> </w:t>
      </w:r>
      <w:r>
        <w:rPr>
          <w:color w:val="231F20"/>
        </w:rPr>
        <w:t>t•ha</w:t>
      </w:r>
      <w:r>
        <w:rPr>
          <w:color w:val="231F20"/>
          <w:position w:val="7"/>
          <w:sz w:val="12"/>
        </w:rPr>
        <w:t>-1</w:t>
      </w:r>
      <w:r>
        <w:rPr>
          <w:color w:val="231F20"/>
        </w:rPr>
        <w:t>).</w:t>
      </w:r>
      <w:r>
        <w:rPr>
          <w:color w:val="231F20"/>
          <w:spacing w:val="-10"/>
        </w:rPr>
        <w:t> </w:t>
      </w:r>
      <w:r>
        <w:rPr>
          <w:color w:val="231F20"/>
        </w:rPr>
        <w:t>La</w:t>
      </w:r>
      <w:r>
        <w:rPr>
          <w:color w:val="231F20"/>
          <w:spacing w:val="-10"/>
        </w:rPr>
        <w:t> </w:t>
      </w:r>
      <w:r>
        <w:rPr>
          <w:color w:val="231F20"/>
        </w:rPr>
        <w:t>comparación</w:t>
      </w:r>
      <w:r>
        <w:rPr>
          <w:color w:val="231F20"/>
          <w:spacing w:val="-10"/>
        </w:rPr>
        <w:t> </w:t>
      </w:r>
      <w:r>
        <w:rPr>
          <w:color w:val="231F20"/>
        </w:rPr>
        <w:t>de</w:t>
      </w:r>
      <w:r>
        <w:rPr>
          <w:color w:val="231F20"/>
          <w:spacing w:val="-10"/>
        </w:rPr>
        <w:t> </w:t>
      </w:r>
      <w:r>
        <w:rPr>
          <w:color w:val="231F20"/>
        </w:rPr>
        <w:t>medias</w:t>
      </w:r>
      <w:r>
        <w:rPr>
          <w:color w:val="231F20"/>
          <w:spacing w:val="-10"/>
        </w:rPr>
        <w:t> </w:t>
      </w:r>
      <w:r>
        <w:rPr>
          <w:color w:val="231F20"/>
        </w:rPr>
        <w:t>detectó</w:t>
      </w:r>
      <w:r>
        <w:rPr>
          <w:color w:val="231F20"/>
          <w:spacing w:val="-10"/>
        </w:rPr>
        <w:t> </w:t>
      </w:r>
      <w:r>
        <w:rPr>
          <w:color w:val="231F20"/>
        </w:rPr>
        <w:t>diferencias</w:t>
      </w:r>
      <w:r>
        <w:rPr>
          <w:color w:val="231F20"/>
          <w:spacing w:val="-10"/>
        </w:rPr>
        <w:t> </w:t>
      </w:r>
      <w:r>
        <w:rPr>
          <w:color w:val="231F20"/>
        </w:rPr>
        <w:t>significativas en rendimiento entre los híbridos de calabacita. El híbrido ‘Terminator’</w:t>
      </w:r>
      <w:r>
        <w:rPr>
          <w:color w:val="231F20"/>
          <w:spacing w:val="-39"/>
        </w:rPr>
        <w:t> </w:t>
      </w:r>
      <w:r>
        <w:rPr>
          <w:color w:val="231F20"/>
        </w:rPr>
        <w:t>en promedio de tres años de evaluación rindió 44.5 t•ha</w:t>
      </w:r>
      <w:r>
        <w:rPr>
          <w:color w:val="231F20"/>
          <w:position w:val="7"/>
          <w:sz w:val="12"/>
        </w:rPr>
        <w:t>-1 </w:t>
      </w:r>
      <w:r>
        <w:rPr>
          <w:color w:val="231F20"/>
        </w:rPr>
        <w:t>y es estadísticamente (P</w:t>
      </w:r>
      <w:r>
        <w:rPr>
          <w:rFonts w:ascii="Cambria Math" w:hAnsi="Cambria Math"/>
          <w:color w:val="231F20"/>
        </w:rPr>
        <w:t>≤</w:t>
      </w:r>
      <w:r>
        <w:rPr>
          <w:color w:val="231F20"/>
        </w:rPr>
        <w:t>0.05) igual al híbrido ‘Lolita’ con 42.7 t•ha</w:t>
      </w:r>
      <w:r>
        <w:rPr>
          <w:color w:val="231F20"/>
          <w:position w:val="7"/>
          <w:sz w:val="12"/>
        </w:rPr>
        <w:t>-1</w:t>
      </w:r>
      <w:r>
        <w:rPr>
          <w:color w:val="231F20"/>
        </w:rPr>
        <w:t>, ambos</w:t>
      </w:r>
      <w:r>
        <w:rPr>
          <w:color w:val="231F20"/>
          <w:spacing w:val="-5"/>
        </w:rPr>
        <w:t> </w:t>
      </w:r>
      <w:r>
        <w:rPr>
          <w:color w:val="231F20"/>
        </w:rPr>
        <w:t>híbridos</w:t>
      </w:r>
      <w:r>
        <w:rPr>
          <w:color w:val="231F20"/>
          <w:spacing w:val="-5"/>
        </w:rPr>
        <w:t> </w:t>
      </w:r>
      <w:r>
        <w:rPr>
          <w:color w:val="231F20"/>
        </w:rPr>
        <w:t>son</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misma</w:t>
      </w:r>
      <w:r>
        <w:rPr>
          <w:color w:val="231F20"/>
          <w:spacing w:val="-5"/>
        </w:rPr>
        <w:t> </w:t>
      </w:r>
      <w:r>
        <w:rPr>
          <w:color w:val="231F20"/>
        </w:rPr>
        <w:t>compañía</w:t>
      </w:r>
      <w:r>
        <w:rPr>
          <w:color w:val="231F20"/>
          <w:spacing w:val="-5"/>
        </w:rPr>
        <w:t> </w:t>
      </w:r>
      <w:r>
        <w:rPr>
          <w:color w:val="231F20"/>
        </w:rPr>
        <w:t>semillero.</w:t>
      </w:r>
      <w:r>
        <w:rPr>
          <w:color w:val="231F20"/>
          <w:spacing w:val="-4"/>
        </w:rPr>
        <w:t> ‘WA9041’</w:t>
      </w:r>
      <w:r>
        <w:rPr>
          <w:color w:val="231F20"/>
          <w:spacing w:val="-20"/>
        </w:rPr>
        <w:t> </w:t>
      </w:r>
      <w:r>
        <w:rPr>
          <w:color w:val="231F20"/>
        </w:rPr>
        <w:t>y</w:t>
      </w:r>
      <w:r>
        <w:rPr>
          <w:color w:val="231F20"/>
          <w:spacing w:val="-5"/>
        </w:rPr>
        <w:t> </w:t>
      </w:r>
      <w:r>
        <w:rPr>
          <w:color w:val="231F20"/>
        </w:rPr>
        <w:t>‘Hurakán’</w:t>
      </w:r>
      <w:r>
        <w:rPr>
          <w:color w:val="231F20"/>
          <w:spacing w:val="-21"/>
        </w:rPr>
        <w:t> </w:t>
      </w:r>
      <w:r>
        <w:rPr>
          <w:color w:val="231F20"/>
        </w:rPr>
        <w:t>tuvieron</w:t>
      </w:r>
      <w:r>
        <w:rPr>
          <w:color w:val="231F20"/>
          <w:spacing w:val="-5"/>
        </w:rPr>
        <w:t> </w:t>
      </w:r>
      <w:r>
        <w:rPr>
          <w:color w:val="231F20"/>
        </w:rPr>
        <w:t>un</w:t>
      </w:r>
      <w:r>
        <w:rPr>
          <w:color w:val="231F20"/>
          <w:spacing w:val="-5"/>
        </w:rPr>
        <w:t> </w:t>
      </w:r>
      <w:r>
        <w:rPr>
          <w:color w:val="231F20"/>
        </w:rPr>
        <w:t>rendimien- to intermedio con 36.2 y 32.7 t•ha</w:t>
      </w:r>
      <w:r>
        <w:rPr>
          <w:color w:val="231F20"/>
          <w:position w:val="7"/>
          <w:sz w:val="12"/>
        </w:rPr>
        <w:t>-1</w:t>
      </w:r>
      <w:r>
        <w:rPr>
          <w:color w:val="231F20"/>
        </w:rPr>
        <w:t>, y las variedades ‘Grey Zucchini’ de Seminis y ‘Grey Zucchini’ de Molina Seed promediaron 27.0 y 29.9 t•ha</w:t>
      </w:r>
      <w:r>
        <w:rPr>
          <w:color w:val="231F20"/>
          <w:position w:val="7"/>
          <w:sz w:val="12"/>
        </w:rPr>
        <w:t>-1</w:t>
      </w:r>
      <w:r>
        <w:rPr>
          <w:color w:val="231F20"/>
        </w:rPr>
        <w:t>, mientras que el rendimiento más bajo se obtuvo</w:t>
      </w:r>
      <w:r>
        <w:rPr>
          <w:color w:val="231F20"/>
          <w:spacing w:val="-33"/>
        </w:rPr>
        <w:t> </w:t>
      </w:r>
      <w:r>
        <w:rPr>
          <w:color w:val="231F20"/>
        </w:rPr>
        <w:t>con el</w:t>
      </w:r>
      <w:r>
        <w:rPr>
          <w:color w:val="231F20"/>
          <w:spacing w:val="-8"/>
        </w:rPr>
        <w:t> </w:t>
      </w:r>
      <w:r>
        <w:rPr>
          <w:color w:val="231F20"/>
        </w:rPr>
        <w:t>híbrido</w:t>
      </w:r>
      <w:r>
        <w:rPr>
          <w:color w:val="231F20"/>
          <w:spacing w:val="-8"/>
        </w:rPr>
        <w:t> </w:t>
      </w:r>
      <w:r>
        <w:rPr>
          <w:color w:val="231F20"/>
          <w:spacing w:val="-3"/>
        </w:rPr>
        <w:t>‘Tala’</w:t>
      </w:r>
      <w:r>
        <w:rPr>
          <w:color w:val="231F20"/>
          <w:spacing w:val="-24"/>
        </w:rPr>
        <w:t> </w:t>
      </w:r>
      <w:r>
        <w:rPr>
          <w:color w:val="231F20"/>
        </w:rPr>
        <w:t>(22.6</w:t>
      </w:r>
      <w:r>
        <w:rPr>
          <w:color w:val="231F20"/>
          <w:spacing w:val="-8"/>
        </w:rPr>
        <w:t> </w:t>
      </w:r>
      <w:r>
        <w:rPr>
          <w:color w:val="231F20"/>
        </w:rPr>
        <w:t>t•ha</w:t>
      </w:r>
      <w:r>
        <w:rPr>
          <w:color w:val="231F20"/>
          <w:position w:val="7"/>
          <w:sz w:val="12"/>
        </w:rPr>
        <w:t>-1</w:t>
      </w:r>
      <w:r>
        <w:rPr>
          <w:color w:val="231F20"/>
        </w:rPr>
        <w:t>)</w:t>
      </w:r>
      <w:r>
        <w:rPr>
          <w:color w:val="231F20"/>
          <w:spacing w:val="-8"/>
        </w:rPr>
        <w:t> </w:t>
      </w:r>
      <w:r>
        <w:rPr>
          <w:color w:val="231F20"/>
        </w:rPr>
        <w:t>(Cuadro</w:t>
      </w:r>
      <w:r>
        <w:rPr>
          <w:color w:val="231F20"/>
          <w:spacing w:val="-8"/>
        </w:rPr>
        <w:t> </w:t>
      </w:r>
      <w:r>
        <w:rPr>
          <w:color w:val="231F20"/>
        </w:rPr>
        <w:t>3).</w:t>
      </w:r>
      <w:r>
        <w:rPr>
          <w:color w:val="231F20"/>
          <w:spacing w:val="-8"/>
        </w:rPr>
        <w:t> </w:t>
      </w:r>
      <w:r>
        <w:rPr>
          <w:color w:val="231F20"/>
        </w:rPr>
        <w:t>Estos</w:t>
      </w:r>
      <w:r>
        <w:rPr>
          <w:color w:val="231F20"/>
          <w:spacing w:val="-8"/>
        </w:rPr>
        <w:t> </w:t>
      </w:r>
      <w:r>
        <w:rPr>
          <w:color w:val="231F20"/>
        </w:rPr>
        <w:t>rendimientos</w:t>
      </w:r>
      <w:r>
        <w:rPr>
          <w:color w:val="231F20"/>
          <w:spacing w:val="-8"/>
        </w:rPr>
        <w:t> </w:t>
      </w:r>
      <w:r>
        <w:rPr>
          <w:color w:val="231F20"/>
        </w:rPr>
        <w:t>de</w:t>
      </w:r>
      <w:r>
        <w:rPr>
          <w:color w:val="231F20"/>
          <w:spacing w:val="-8"/>
        </w:rPr>
        <w:t> </w:t>
      </w:r>
      <w:r>
        <w:rPr>
          <w:color w:val="231F20"/>
        </w:rPr>
        <w:t>calabacita</w:t>
      </w:r>
      <w:r>
        <w:rPr>
          <w:color w:val="231F20"/>
          <w:spacing w:val="-9"/>
        </w:rPr>
        <w:t> </w:t>
      </w:r>
      <w:r>
        <w:rPr>
          <w:color w:val="231F20"/>
        </w:rPr>
        <w:t>para</w:t>
      </w:r>
      <w:r>
        <w:rPr>
          <w:color w:val="231F20"/>
          <w:spacing w:val="-8"/>
        </w:rPr>
        <w:t> </w:t>
      </w:r>
      <w:r>
        <w:rPr>
          <w:color w:val="231F20"/>
        </w:rPr>
        <w:t>verdura</w:t>
      </w:r>
      <w:r>
        <w:rPr>
          <w:color w:val="231F20"/>
          <w:spacing w:val="-8"/>
        </w:rPr>
        <w:t> </w:t>
      </w:r>
      <w:r>
        <w:rPr>
          <w:color w:val="231F20"/>
        </w:rPr>
        <w:t>son</w:t>
      </w:r>
      <w:r>
        <w:rPr>
          <w:color w:val="231F20"/>
          <w:spacing w:val="-8"/>
        </w:rPr>
        <w:t> </w:t>
      </w:r>
      <w:r>
        <w:rPr>
          <w:color w:val="231F20"/>
        </w:rPr>
        <w:t>similares a los obtenidos con los mejores híbridos evaluados por el </w:t>
      </w:r>
      <w:r>
        <w:rPr>
          <w:color w:val="231F20"/>
          <w:spacing w:val="-3"/>
        </w:rPr>
        <w:t>INIFAP </w:t>
      </w:r>
      <w:r>
        <w:rPr>
          <w:color w:val="231F20"/>
        </w:rPr>
        <w:t>Campo Experimental </w:t>
      </w:r>
      <w:r>
        <w:rPr>
          <w:color w:val="231F20"/>
          <w:spacing w:val="-5"/>
        </w:rPr>
        <w:t>Valle </w:t>
      </w:r>
      <w:r>
        <w:rPr>
          <w:color w:val="231F20"/>
        </w:rPr>
        <w:t>del </w:t>
      </w:r>
      <w:r>
        <w:rPr>
          <w:color w:val="231F20"/>
          <w:spacing w:val="-4"/>
        </w:rPr>
        <w:t>Yaqui, </w:t>
      </w:r>
      <w:r>
        <w:rPr>
          <w:color w:val="231F20"/>
        </w:rPr>
        <w:t>en</w:t>
      </w:r>
      <w:r>
        <w:rPr>
          <w:color w:val="231F20"/>
          <w:spacing w:val="-4"/>
        </w:rPr>
        <w:t> </w:t>
      </w:r>
      <w:r>
        <w:rPr>
          <w:color w:val="231F20"/>
        </w:rPr>
        <w:t>el</w:t>
      </w:r>
      <w:r>
        <w:rPr>
          <w:color w:val="231F20"/>
          <w:spacing w:val="-4"/>
        </w:rPr>
        <w:t> </w:t>
      </w:r>
      <w:r>
        <w:rPr>
          <w:color w:val="231F20"/>
        </w:rPr>
        <w:t>Sur</w:t>
      </w:r>
      <w:r>
        <w:rPr>
          <w:color w:val="231F20"/>
          <w:spacing w:val="-4"/>
        </w:rPr>
        <w:t> </w:t>
      </w:r>
      <w:r>
        <w:rPr>
          <w:color w:val="231F20"/>
        </w:rPr>
        <w:t>de</w:t>
      </w:r>
      <w:r>
        <w:rPr>
          <w:color w:val="231F20"/>
          <w:spacing w:val="-4"/>
        </w:rPr>
        <w:t> </w:t>
      </w:r>
      <w:r>
        <w:rPr>
          <w:color w:val="231F20"/>
        </w:rPr>
        <w:t>Sonora</w:t>
      </w:r>
      <w:r>
        <w:rPr>
          <w:color w:val="231F20"/>
          <w:spacing w:val="-4"/>
        </w:rPr>
        <w:t> </w:t>
      </w:r>
      <w:r>
        <w:rPr>
          <w:color w:val="231F20"/>
        </w:rPr>
        <w:t>donde</w:t>
      </w:r>
      <w:r>
        <w:rPr>
          <w:color w:val="231F20"/>
          <w:spacing w:val="-4"/>
        </w:rPr>
        <w:t> </w:t>
      </w:r>
      <w:r>
        <w:rPr>
          <w:color w:val="231F20"/>
        </w:rPr>
        <w:t>se</w:t>
      </w:r>
      <w:r>
        <w:rPr>
          <w:color w:val="231F20"/>
          <w:spacing w:val="-4"/>
        </w:rPr>
        <w:t> </w:t>
      </w:r>
      <w:r>
        <w:rPr>
          <w:color w:val="231F20"/>
        </w:rPr>
        <w:t>siembran</w:t>
      </w:r>
      <w:r>
        <w:rPr>
          <w:color w:val="231F20"/>
          <w:spacing w:val="-4"/>
        </w:rPr>
        <w:t> </w:t>
      </w:r>
      <w:r>
        <w:rPr>
          <w:color w:val="231F20"/>
        </w:rPr>
        <w:t>1000</w:t>
      </w:r>
      <w:r>
        <w:rPr>
          <w:color w:val="231F20"/>
          <w:spacing w:val="-4"/>
        </w:rPr>
        <w:t> </w:t>
      </w:r>
      <w:r>
        <w:rPr>
          <w:color w:val="231F20"/>
        </w:rPr>
        <w:t>hectáreas</w:t>
      </w:r>
      <w:r>
        <w:rPr>
          <w:color w:val="231F20"/>
          <w:spacing w:val="-4"/>
        </w:rPr>
        <w:t> </w:t>
      </w:r>
      <w:r>
        <w:rPr>
          <w:color w:val="231F20"/>
        </w:rPr>
        <w:t>de</w:t>
      </w:r>
      <w:r>
        <w:rPr>
          <w:color w:val="231F20"/>
          <w:spacing w:val="-4"/>
        </w:rPr>
        <w:t> </w:t>
      </w:r>
      <w:r>
        <w:rPr>
          <w:color w:val="231F20"/>
        </w:rPr>
        <w:t>calabacita</w:t>
      </w:r>
      <w:r>
        <w:rPr>
          <w:color w:val="231F20"/>
          <w:spacing w:val="-4"/>
        </w:rPr>
        <w:t> </w:t>
      </w:r>
      <w:r>
        <w:rPr>
          <w:color w:val="231F20"/>
        </w:rPr>
        <w:t>por</w:t>
      </w:r>
      <w:r>
        <w:rPr>
          <w:color w:val="231F20"/>
          <w:spacing w:val="-4"/>
        </w:rPr>
        <w:t> </w:t>
      </w:r>
      <w:r>
        <w:rPr>
          <w:color w:val="231F20"/>
        </w:rPr>
        <w:t>ciclo</w:t>
      </w:r>
      <w:r>
        <w:rPr>
          <w:color w:val="231F20"/>
          <w:spacing w:val="-4"/>
        </w:rPr>
        <w:t> </w:t>
      </w:r>
      <w:r>
        <w:rPr>
          <w:color w:val="231F20"/>
        </w:rPr>
        <w:t>agrícola.</w:t>
      </w:r>
      <w:r>
        <w:rPr>
          <w:color w:val="231F20"/>
          <w:spacing w:val="-4"/>
        </w:rPr>
        <w:t> </w:t>
      </w:r>
      <w:r>
        <w:rPr>
          <w:color w:val="231F20"/>
        </w:rPr>
        <w:t>De</w:t>
      </w:r>
      <w:r>
        <w:rPr>
          <w:color w:val="231F20"/>
          <w:spacing w:val="-4"/>
        </w:rPr>
        <w:t> </w:t>
      </w:r>
      <w:r>
        <w:rPr>
          <w:color w:val="231F20"/>
        </w:rPr>
        <w:t>12 híbridos de calabacita evaluados durante el ciclo agrícola 2008-2009, reportan rendimientos de 44.3 t•ha</w:t>
      </w:r>
      <w:r>
        <w:rPr>
          <w:color w:val="231F20"/>
          <w:position w:val="7"/>
          <w:sz w:val="12"/>
        </w:rPr>
        <w:t>-1 </w:t>
      </w:r>
      <w:r>
        <w:rPr>
          <w:color w:val="231F20"/>
        </w:rPr>
        <w:t>en ‘SSX6729’, ‘Hurakán’ 39 t•ha</w:t>
      </w:r>
      <w:r>
        <w:rPr>
          <w:color w:val="231F20"/>
          <w:position w:val="7"/>
          <w:sz w:val="12"/>
        </w:rPr>
        <w:t>-1</w:t>
      </w:r>
      <w:r>
        <w:rPr>
          <w:color w:val="231F20"/>
        </w:rPr>
        <w:t>, ‘Adelita’ 44.1 t•ha</w:t>
      </w:r>
      <w:r>
        <w:rPr>
          <w:color w:val="231F20"/>
          <w:position w:val="7"/>
          <w:sz w:val="12"/>
        </w:rPr>
        <w:t>-1 </w:t>
      </w:r>
      <w:r>
        <w:rPr>
          <w:color w:val="231F20"/>
        </w:rPr>
        <w:t>y ‘Grison’ 43.1 t•ha</w:t>
      </w:r>
      <w:r>
        <w:rPr>
          <w:color w:val="231F20"/>
          <w:position w:val="7"/>
          <w:sz w:val="12"/>
        </w:rPr>
        <w:t>-1 </w:t>
      </w:r>
      <w:r>
        <w:rPr>
          <w:color w:val="231F20"/>
          <w:spacing w:val="-6"/>
        </w:rPr>
        <w:t>(INIFAP, </w:t>
      </w:r>
      <w:r>
        <w:rPr>
          <w:color w:val="231F20"/>
        </w:rPr>
        <w:t>2009). El menor rendimiento por hectárea del híbrido </w:t>
      </w:r>
      <w:r>
        <w:rPr>
          <w:color w:val="231F20"/>
          <w:spacing w:val="-3"/>
        </w:rPr>
        <w:t>‘Tala’ </w:t>
      </w:r>
      <w:r>
        <w:rPr>
          <w:color w:val="231F20"/>
        </w:rPr>
        <w:t>se explica por el hecho de que lleva al menos 25 años en el mercado mientras que los demás híbridos son de más reciente liberación, con mejores características de adaptación, resistencia a</w:t>
      </w:r>
      <w:r>
        <w:rPr>
          <w:color w:val="231F20"/>
          <w:spacing w:val="-2"/>
        </w:rPr>
        <w:t> </w:t>
      </w:r>
      <w:r>
        <w:rPr>
          <w:color w:val="231F20"/>
        </w:rPr>
        <w:t>enfermedades.</w:t>
      </w:r>
    </w:p>
    <w:p>
      <w:pPr>
        <w:spacing w:after="0" w:line="247" w:lineRule="auto"/>
        <w:jc w:val="both"/>
        <w:sectPr>
          <w:pgSz w:w="10920" w:h="13080"/>
          <w:pgMar w:header="0" w:footer="965" w:top="420" w:bottom="1220" w:left="0" w:right="0"/>
        </w:sectPr>
      </w:pPr>
    </w:p>
    <w:p>
      <w:pPr>
        <w:pStyle w:val="BodyText"/>
        <w:rPr>
          <w:sz w:val="20"/>
        </w:rPr>
      </w:pPr>
    </w:p>
    <w:p>
      <w:pPr>
        <w:pStyle w:val="BodyText"/>
        <w:rPr>
          <w:sz w:val="20"/>
        </w:rPr>
      </w:pPr>
    </w:p>
    <w:p>
      <w:pPr>
        <w:pStyle w:val="BodyText"/>
        <w:rPr>
          <w:sz w:val="23"/>
        </w:rPr>
      </w:pPr>
    </w:p>
    <w:p>
      <w:pPr>
        <w:pStyle w:val="BodyText"/>
        <w:spacing w:line="249" w:lineRule="auto" w:before="73"/>
        <w:ind w:left="1270" w:right="1268"/>
        <w:jc w:val="both"/>
      </w:pPr>
      <w:r>
        <w:rPr>
          <w:color w:val="231F20"/>
        </w:rPr>
        <w:t>Sedano </w:t>
      </w:r>
      <w:r>
        <w:rPr>
          <w:i/>
          <w:color w:val="231F20"/>
        </w:rPr>
        <w:t>et al. </w:t>
      </w:r>
      <w:r>
        <w:rPr>
          <w:color w:val="231F20"/>
        </w:rPr>
        <w:t>(2005) estudió la dinámica del crecimiento y eficiencia fisiológica de la planta de ca- labacita</w:t>
      </w:r>
      <w:r>
        <w:rPr>
          <w:color w:val="231F20"/>
          <w:spacing w:val="-3"/>
        </w:rPr>
        <w:t> </w:t>
      </w:r>
      <w:r>
        <w:rPr>
          <w:color w:val="231F20"/>
        </w:rPr>
        <w:t>con</w:t>
      </w:r>
      <w:r>
        <w:rPr>
          <w:color w:val="231F20"/>
          <w:spacing w:val="-3"/>
        </w:rPr>
        <w:t> </w:t>
      </w:r>
      <w:r>
        <w:rPr>
          <w:color w:val="231F20"/>
        </w:rPr>
        <w:t>el</w:t>
      </w:r>
      <w:r>
        <w:rPr>
          <w:color w:val="231F20"/>
          <w:spacing w:val="-3"/>
        </w:rPr>
        <w:t> </w:t>
      </w:r>
      <w:r>
        <w:rPr>
          <w:color w:val="231F20"/>
        </w:rPr>
        <w:t>híbrido</w:t>
      </w:r>
      <w:r>
        <w:rPr>
          <w:color w:val="231F20"/>
          <w:spacing w:val="-3"/>
        </w:rPr>
        <w:t> ‘Tala’</w:t>
      </w:r>
      <w:r>
        <w:rPr>
          <w:color w:val="231F20"/>
          <w:spacing w:val="-18"/>
        </w:rPr>
        <w:t> </w:t>
      </w:r>
      <w:r>
        <w:rPr>
          <w:color w:val="231F20"/>
        </w:rPr>
        <w:t>en</w:t>
      </w:r>
      <w:r>
        <w:rPr>
          <w:color w:val="231F20"/>
          <w:spacing w:val="-3"/>
        </w:rPr>
        <w:t> </w:t>
      </w:r>
      <w:r>
        <w:rPr>
          <w:color w:val="231F20"/>
        </w:rPr>
        <w:t>Montecillos,</w:t>
      </w:r>
      <w:r>
        <w:rPr>
          <w:color w:val="231F20"/>
          <w:spacing w:val="-6"/>
        </w:rPr>
        <w:t> </w:t>
      </w:r>
      <w:r>
        <w:rPr>
          <w:color w:val="231F20"/>
        </w:rPr>
        <w:t>Texcoco,</w:t>
      </w:r>
      <w:r>
        <w:rPr>
          <w:color w:val="231F20"/>
          <w:spacing w:val="-3"/>
        </w:rPr>
        <w:t> </w:t>
      </w:r>
      <w:r>
        <w:rPr>
          <w:color w:val="231F20"/>
        </w:rPr>
        <w:t>Estado</w:t>
      </w:r>
      <w:r>
        <w:rPr>
          <w:color w:val="231F20"/>
          <w:spacing w:val="-3"/>
        </w:rPr>
        <w:t> </w:t>
      </w:r>
      <w:r>
        <w:rPr>
          <w:color w:val="231F20"/>
        </w:rPr>
        <w:t>de</w:t>
      </w:r>
      <w:r>
        <w:rPr>
          <w:color w:val="231F20"/>
          <w:spacing w:val="-3"/>
        </w:rPr>
        <w:t> </w:t>
      </w:r>
      <w:r>
        <w:rPr>
          <w:color w:val="231F20"/>
        </w:rPr>
        <w:t>México</w:t>
      </w:r>
      <w:r>
        <w:rPr>
          <w:color w:val="231F20"/>
          <w:spacing w:val="-2"/>
        </w:rPr>
        <w:t> </w:t>
      </w:r>
      <w:r>
        <w:rPr>
          <w:color w:val="231F20"/>
        </w:rPr>
        <w:t>reportó</w:t>
      </w:r>
      <w:r>
        <w:rPr>
          <w:color w:val="231F20"/>
          <w:spacing w:val="-3"/>
        </w:rPr>
        <w:t> </w:t>
      </w:r>
      <w:r>
        <w:rPr>
          <w:color w:val="231F20"/>
        </w:rPr>
        <w:t>un</w:t>
      </w:r>
      <w:r>
        <w:rPr>
          <w:color w:val="231F20"/>
          <w:spacing w:val="-3"/>
        </w:rPr>
        <w:t> </w:t>
      </w:r>
      <w:r>
        <w:rPr>
          <w:color w:val="231F20"/>
        </w:rPr>
        <w:t>rendimiento</w:t>
      </w:r>
      <w:r>
        <w:rPr>
          <w:color w:val="231F20"/>
          <w:spacing w:val="-3"/>
        </w:rPr>
        <w:t> </w:t>
      </w:r>
      <w:r>
        <w:rPr>
          <w:color w:val="231F20"/>
        </w:rPr>
        <w:t>de fruto inmaduro para verdura de 21.79 t•ha</w:t>
      </w:r>
      <w:r>
        <w:rPr>
          <w:color w:val="231F20"/>
          <w:position w:val="7"/>
          <w:sz w:val="12"/>
        </w:rPr>
        <w:t>-1</w:t>
      </w:r>
      <w:r>
        <w:rPr>
          <w:color w:val="231F20"/>
        </w:rPr>
        <w:t>, rendimiento similar al encontrado en la presente inves- tigación en promedio de tres años de evaluación (21.9</w:t>
      </w:r>
      <w:r>
        <w:rPr>
          <w:color w:val="231F20"/>
          <w:spacing w:val="1"/>
        </w:rPr>
        <w:t> </w:t>
      </w:r>
      <w:r>
        <w:rPr>
          <w:color w:val="231F20"/>
        </w:rPr>
        <w:t>t•ha</w:t>
      </w:r>
      <w:r>
        <w:rPr>
          <w:color w:val="231F20"/>
          <w:position w:val="7"/>
          <w:sz w:val="12"/>
        </w:rPr>
        <w:t>-1</w:t>
      </w:r>
      <w:r>
        <w:rPr>
          <w:color w:val="231F20"/>
        </w:rPr>
        <w:t>).</w:t>
      </w:r>
    </w:p>
    <w:p>
      <w:pPr>
        <w:pStyle w:val="BodyText"/>
        <w:spacing w:before="1"/>
      </w:pPr>
    </w:p>
    <w:p>
      <w:pPr>
        <w:spacing w:line="249" w:lineRule="auto" w:before="1"/>
        <w:ind w:left="3329" w:right="2319" w:hanging="920"/>
        <w:jc w:val="left"/>
        <w:rPr>
          <w:b/>
          <w:sz w:val="18"/>
        </w:rPr>
      </w:pPr>
      <w:r>
        <w:rPr>
          <w:b/>
          <w:color w:val="010202"/>
          <w:sz w:val="18"/>
        </w:rPr>
        <w:t>Cuadro 3. Prueba de comparación de medias en siete caracteres de rendimiento de ocho híbridos de calabacita. Chapingo, México. 2007</w:t>
      </w:r>
    </w:p>
    <w:p>
      <w:pPr>
        <w:pStyle w:val="BodyText"/>
        <w:spacing w:before="1"/>
        <w:rPr>
          <w:b/>
          <w:sz w:val="15"/>
        </w:rPr>
      </w:pPr>
      <w:r>
        <w:rPr/>
        <w:drawing>
          <wp:anchor distT="0" distB="0" distL="0" distR="0" allowOverlap="1" layoutInCell="1" locked="0" behindDoc="0" simplePos="0" relativeHeight="5920">
            <wp:simplePos x="0" y="0"/>
            <wp:positionH relativeFrom="page">
              <wp:posOffset>806691</wp:posOffset>
            </wp:positionH>
            <wp:positionV relativeFrom="paragraph">
              <wp:posOffset>135103</wp:posOffset>
            </wp:positionV>
            <wp:extent cx="5330433" cy="2697479"/>
            <wp:effectExtent l="0" t="0" r="0" b="0"/>
            <wp:wrapTopAndBottom/>
            <wp:docPr id="187" name="image77.jpeg" descr=""/>
            <wp:cNvGraphicFramePr>
              <a:graphicFrameLocks noChangeAspect="1"/>
            </wp:cNvGraphicFramePr>
            <a:graphic>
              <a:graphicData uri="http://schemas.openxmlformats.org/drawingml/2006/picture">
                <pic:pic>
                  <pic:nvPicPr>
                    <pic:cNvPr id="188" name="image77.jpeg"/>
                    <pic:cNvPicPr/>
                  </pic:nvPicPr>
                  <pic:blipFill>
                    <a:blip r:embed="rId111" cstate="print"/>
                    <a:stretch>
                      <a:fillRect/>
                    </a:stretch>
                  </pic:blipFill>
                  <pic:spPr>
                    <a:xfrm>
                      <a:off x="0" y="0"/>
                      <a:ext cx="5330433" cy="2697479"/>
                    </a:xfrm>
                    <a:prstGeom prst="rect">
                      <a:avLst/>
                    </a:prstGeom>
                  </pic:spPr>
                </pic:pic>
              </a:graphicData>
            </a:graphic>
          </wp:anchor>
        </w:drawing>
      </w:r>
    </w:p>
    <w:p>
      <w:pPr>
        <w:pStyle w:val="BodyText"/>
        <w:spacing w:before="5"/>
        <w:rPr>
          <w:b/>
          <w:sz w:val="26"/>
        </w:rPr>
      </w:pPr>
    </w:p>
    <w:p>
      <w:pPr>
        <w:spacing w:line="307" w:lineRule="auto" w:before="0"/>
        <w:ind w:left="1270" w:right="1268" w:firstLine="0"/>
        <w:jc w:val="both"/>
        <w:rPr>
          <w:b/>
          <w:i/>
          <w:sz w:val="17"/>
        </w:rPr>
      </w:pPr>
      <w:r>
        <w:rPr>
          <w:b/>
          <w:i/>
          <w:color w:val="231F20"/>
          <w:spacing w:val="-4"/>
          <w:sz w:val="17"/>
        </w:rPr>
        <w:t>RPP</w:t>
      </w:r>
      <w:r>
        <w:rPr>
          <w:b/>
          <w:i/>
          <w:color w:val="231F20"/>
          <w:spacing w:val="-15"/>
          <w:sz w:val="17"/>
        </w:rPr>
        <w:t> </w:t>
      </w:r>
      <w:r>
        <w:rPr>
          <w:b/>
          <w:i/>
          <w:color w:val="231F20"/>
          <w:sz w:val="17"/>
        </w:rPr>
        <w:t>=</w:t>
      </w:r>
      <w:r>
        <w:rPr>
          <w:b/>
          <w:i/>
          <w:color w:val="231F20"/>
          <w:spacing w:val="-9"/>
          <w:sz w:val="17"/>
        </w:rPr>
        <w:t> </w:t>
      </w:r>
      <w:r>
        <w:rPr>
          <w:b/>
          <w:i/>
          <w:color w:val="231F20"/>
          <w:spacing w:val="-5"/>
          <w:sz w:val="17"/>
        </w:rPr>
        <w:t>Rendimiento</w:t>
      </w:r>
      <w:r>
        <w:rPr>
          <w:b/>
          <w:i/>
          <w:color w:val="231F20"/>
          <w:spacing w:val="-9"/>
          <w:sz w:val="17"/>
        </w:rPr>
        <w:t> </w:t>
      </w:r>
      <w:r>
        <w:rPr>
          <w:b/>
          <w:i/>
          <w:color w:val="231F20"/>
          <w:spacing w:val="-4"/>
          <w:sz w:val="17"/>
        </w:rPr>
        <w:t>por</w:t>
      </w:r>
      <w:r>
        <w:rPr>
          <w:b/>
          <w:i/>
          <w:color w:val="231F20"/>
          <w:spacing w:val="-9"/>
          <w:sz w:val="17"/>
        </w:rPr>
        <w:t> </w:t>
      </w:r>
      <w:r>
        <w:rPr>
          <w:b/>
          <w:i/>
          <w:color w:val="231F20"/>
          <w:spacing w:val="-5"/>
          <w:sz w:val="17"/>
        </w:rPr>
        <w:t>planta</w:t>
      </w:r>
      <w:r>
        <w:rPr>
          <w:b/>
          <w:i/>
          <w:color w:val="231F20"/>
          <w:spacing w:val="-9"/>
          <w:sz w:val="17"/>
        </w:rPr>
        <w:t> </w:t>
      </w:r>
      <w:r>
        <w:rPr>
          <w:b/>
          <w:i/>
          <w:color w:val="231F20"/>
          <w:spacing w:val="-5"/>
          <w:sz w:val="17"/>
        </w:rPr>
        <w:t>(g•planta</w:t>
      </w:r>
      <w:r>
        <w:rPr>
          <w:b/>
          <w:i/>
          <w:color w:val="231F20"/>
          <w:spacing w:val="-5"/>
          <w:position w:val="6"/>
          <w:sz w:val="10"/>
        </w:rPr>
        <w:t>-1</w:t>
      </w:r>
      <w:r>
        <w:rPr>
          <w:b/>
          <w:i/>
          <w:color w:val="231F20"/>
          <w:spacing w:val="-5"/>
          <w:sz w:val="17"/>
        </w:rPr>
        <w:t>);</w:t>
      </w:r>
      <w:r>
        <w:rPr>
          <w:b/>
          <w:i/>
          <w:color w:val="231F20"/>
          <w:spacing w:val="-9"/>
          <w:sz w:val="17"/>
        </w:rPr>
        <w:t> </w:t>
      </w:r>
      <w:r>
        <w:rPr>
          <w:b/>
          <w:i/>
          <w:color w:val="231F20"/>
          <w:spacing w:val="-4"/>
          <w:sz w:val="17"/>
        </w:rPr>
        <w:t>FPP</w:t>
      </w:r>
      <w:r>
        <w:rPr>
          <w:b/>
          <w:i/>
          <w:color w:val="231F20"/>
          <w:spacing w:val="-15"/>
          <w:sz w:val="17"/>
        </w:rPr>
        <w:t> </w:t>
      </w:r>
      <w:r>
        <w:rPr>
          <w:b/>
          <w:i/>
          <w:color w:val="231F20"/>
          <w:sz w:val="17"/>
        </w:rPr>
        <w:t>=</w:t>
      </w:r>
      <w:r>
        <w:rPr>
          <w:b/>
          <w:i/>
          <w:color w:val="231F20"/>
          <w:spacing w:val="-9"/>
          <w:sz w:val="17"/>
        </w:rPr>
        <w:t> </w:t>
      </w:r>
      <w:r>
        <w:rPr>
          <w:b/>
          <w:i/>
          <w:color w:val="231F20"/>
          <w:spacing w:val="-5"/>
          <w:sz w:val="17"/>
        </w:rPr>
        <w:t>Frutos</w:t>
      </w:r>
      <w:r>
        <w:rPr>
          <w:b/>
          <w:i/>
          <w:color w:val="231F20"/>
          <w:spacing w:val="-9"/>
          <w:sz w:val="17"/>
        </w:rPr>
        <w:t> </w:t>
      </w:r>
      <w:r>
        <w:rPr>
          <w:b/>
          <w:i/>
          <w:color w:val="231F20"/>
          <w:spacing w:val="-4"/>
          <w:sz w:val="17"/>
        </w:rPr>
        <w:t>por</w:t>
      </w:r>
      <w:r>
        <w:rPr>
          <w:b/>
          <w:i/>
          <w:color w:val="231F20"/>
          <w:spacing w:val="-9"/>
          <w:sz w:val="17"/>
        </w:rPr>
        <w:t> </w:t>
      </w:r>
      <w:r>
        <w:rPr>
          <w:b/>
          <w:i/>
          <w:color w:val="231F20"/>
          <w:spacing w:val="-5"/>
          <w:sz w:val="17"/>
        </w:rPr>
        <w:t>planta;</w:t>
      </w:r>
      <w:r>
        <w:rPr>
          <w:b/>
          <w:i/>
          <w:color w:val="231F20"/>
          <w:spacing w:val="-9"/>
          <w:sz w:val="17"/>
        </w:rPr>
        <w:t> </w:t>
      </w:r>
      <w:r>
        <w:rPr>
          <w:b/>
          <w:i/>
          <w:color w:val="231F20"/>
          <w:spacing w:val="-4"/>
          <w:sz w:val="17"/>
        </w:rPr>
        <w:t>LFR</w:t>
      </w:r>
      <w:r>
        <w:rPr>
          <w:b/>
          <w:i/>
          <w:color w:val="231F20"/>
          <w:spacing w:val="-9"/>
          <w:sz w:val="17"/>
        </w:rPr>
        <w:t> </w:t>
      </w:r>
      <w:r>
        <w:rPr>
          <w:b/>
          <w:i/>
          <w:color w:val="231F20"/>
          <w:sz w:val="17"/>
        </w:rPr>
        <w:t>=</w:t>
      </w:r>
      <w:r>
        <w:rPr>
          <w:b/>
          <w:i/>
          <w:color w:val="231F20"/>
          <w:spacing w:val="-9"/>
          <w:sz w:val="17"/>
        </w:rPr>
        <w:t> </w:t>
      </w:r>
      <w:r>
        <w:rPr>
          <w:b/>
          <w:i/>
          <w:color w:val="231F20"/>
          <w:spacing w:val="-4"/>
          <w:sz w:val="17"/>
        </w:rPr>
        <w:t>Largo</w:t>
      </w:r>
      <w:r>
        <w:rPr>
          <w:b/>
          <w:i/>
          <w:color w:val="231F20"/>
          <w:spacing w:val="-9"/>
          <w:sz w:val="17"/>
        </w:rPr>
        <w:t> </w:t>
      </w:r>
      <w:r>
        <w:rPr>
          <w:b/>
          <w:i/>
          <w:color w:val="231F20"/>
          <w:spacing w:val="-3"/>
          <w:sz w:val="17"/>
        </w:rPr>
        <w:t>de</w:t>
      </w:r>
      <w:r>
        <w:rPr>
          <w:b/>
          <w:i/>
          <w:color w:val="231F20"/>
          <w:spacing w:val="-9"/>
          <w:sz w:val="17"/>
        </w:rPr>
        <w:t> </w:t>
      </w:r>
      <w:r>
        <w:rPr>
          <w:b/>
          <w:i/>
          <w:color w:val="231F20"/>
          <w:spacing w:val="-4"/>
          <w:sz w:val="17"/>
        </w:rPr>
        <w:t>fruto</w:t>
      </w:r>
      <w:r>
        <w:rPr>
          <w:b/>
          <w:i/>
          <w:color w:val="231F20"/>
          <w:spacing w:val="-9"/>
          <w:sz w:val="17"/>
        </w:rPr>
        <w:t> </w:t>
      </w:r>
      <w:r>
        <w:rPr>
          <w:b/>
          <w:i/>
          <w:color w:val="231F20"/>
          <w:spacing w:val="-4"/>
          <w:sz w:val="17"/>
        </w:rPr>
        <w:t>(cm);</w:t>
      </w:r>
      <w:r>
        <w:rPr>
          <w:b/>
          <w:i/>
          <w:color w:val="231F20"/>
          <w:spacing w:val="-15"/>
          <w:sz w:val="17"/>
        </w:rPr>
        <w:t> </w:t>
      </w:r>
      <w:r>
        <w:rPr>
          <w:b/>
          <w:i/>
          <w:color w:val="231F20"/>
          <w:spacing w:val="-4"/>
          <w:sz w:val="17"/>
        </w:rPr>
        <w:t>AFR</w:t>
      </w:r>
      <w:r>
        <w:rPr>
          <w:b/>
          <w:i/>
          <w:color w:val="231F20"/>
          <w:spacing w:val="-9"/>
          <w:sz w:val="17"/>
        </w:rPr>
        <w:t> </w:t>
      </w:r>
      <w:r>
        <w:rPr>
          <w:b/>
          <w:i/>
          <w:color w:val="231F20"/>
          <w:sz w:val="17"/>
        </w:rPr>
        <w:t>=</w:t>
      </w:r>
      <w:r>
        <w:rPr>
          <w:b/>
          <w:i/>
          <w:color w:val="231F20"/>
          <w:spacing w:val="-15"/>
          <w:sz w:val="17"/>
        </w:rPr>
        <w:t> </w:t>
      </w:r>
      <w:r>
        <w:rPr>
          <w:b/>
          <w:i/>
          <w:color w:val="231F20"/>
          <w:spacing w:val="-4"/>
          <w:sz w:val="17"/>
        </w:rPr>
        <w:t>Ancho</w:t>
      </w:r>
      <w:r>
        <w:rPr>
          <w:b/>
          <w:i/>
          <w:color w:val="231F20"/>
          <w:spacing w:val="-9"/>
          <w:sz w:val="17"/>
        </w:rPr>
        <w:t> </w:t>
      </w:r>
      <w:r>
        <w:rPr>
          <w:b/>
          <w:i/>
          <w:color w:val="231F20"/>
          <w:spacing w:val="-3"/>
          <w:sz w:val="17"/>
        </w:rPr>
        <w:t>de</w:t>
      </w:r>
      <w:r>
        <w:rPr>
          <w:b/>
          <w:i/>
          <w:color w:val="231F20"/>
          <w:spacing w:val="-9"/>
          <w:sz w:val="17"/>
        </w:rPr>
        <w:t> </w:t>
      </w:r>
      <w:r>
        <w:rPr>
          <w:b/>
          <w:i/>
          <w:color w:val="231F20"/>
          <w:spacing w:val="-4"/>
          <w:sz w:val="17"/>
        </w:rPr>
        <w:t>fruto</w:t>
      </w:r>
      <w:r>
        <w:rPr>
          <w:b/>
          <w:i/>
          <w:color w:val="231F20"/>
          <w:spacing w:val="-9"/>
          <w:sz w:val="17"/>
        </w:rPr>
        <w:t> </w:t>
      </w:r>
      <w:r>
        <w:rPr>
          <w:b/>
          <w:i/>
          <w:color w:val="231F20"/>
          <w:spacing w:val="-5"/>
          <w:sz w:val="17"/>
        </w:rPr>
        <w:t>(cm); </w:t>
      </w:r>
      <w:r>
        <w:rPr>
          <w:b/>
          <w:i/>
          <w:color w:val="231F20"/>
          <w:spacing w:val="-4"/>
          <w:sz w:val="17"/>
        </w:rPr>
        <w:t>DFF </w:t>
      </w:r>
      <w:r>
        <w:rPr>
          <w:b/>
          <w:i/>
          <w:color w:val="231F20"/>
          <w:sz w:val="17"/>
        </w:rPr>
        <w:t>= </w:t>
      </w:r>
      <w:r>
        <w:rPr>
          <w:b/>
          <w:i/>
          <w:color w:val="231F20"/>
          <w:spacing w:val="-4"/>
          <w:sz w:val="17"/>
        </w:rPr>
        <w:t>Días </w:t>
      </w:r>
      <w:r>
        <w:rPr>
          <w:b/>
          <w:i/>
          <w:color w:val="231F20"/>
          <w:sz w:val="17"/>
        </w:rPr>
        <w:t>a </w:t>
      </w:r>
      <w:r>
        <w:rPr>
          <w:b/>
          <w:i/>
          <w:color w:val="231F20"/>
          <w:spacing w:val="-4"/>
          <w:sz w:val="17"/>
        </w:rPr>
        <w:t>floración </w:t>
      </w:r>
      <w:r>
        <w:rPr>
          <w:b/>
          <w:i/>
          <w:color w:val="231F20"/>
          <w:spacing w:val="-5"/>
          <w:sz w:val="17"/>
        </w:rPr>
        <w:t>femenina; </w:t>
      </w:r>
      <w:r>
        <w:rPr>
          <w:b/>
          <w:i/>
          <w:color w:val="231F20"/>
          <w:spacing w:val="-4"/>
          <w:sz w:val="17"/>
        </w:rPr>
        <w:t>DFM </w:t>
      </w:r>
      <w:r>
        <w:rPr>
          <w:b/>
          <w:i/>
          <w:color w:val="231F20"/>
          <w:sz w:val="17"/>
        </w:rPr>
        <w:t>= </w:t>
      </w:r>
      <w:r>
        <w:rPr>
          <w:b/>
          <w:i/>
          <w:color w:val="231F20"/>
          <w:spacing w:val="-4"/>
          <w:sz w:val="17"/>
        </w:rPr>
        <w:t>Días </w:t>
      </w:r>
      <w:r>
        <w:rPr>
          <w:b/>
          <w:i/>
          <w:color w:val="231F20"/>
          <w:sz w:val="17"/>
        </w:rPr>
        <w:t>a </w:t>
      </w:r>
      <w:r>
        <w:rPr>
          <w:b/>
          <w:i/>
          <w:color w:val="231F20"/>
          <w:spacing w:val="-4"/>
          <w:sz w:val="17"/>
        </w:rPr>
        <w:t>floración </w:t>
      </w:r>
      <w:r>
        <w:rPr>
          <w:b/>
          <w:i/>
          <w:color w:val="231F20"/>
          <w:spacing w:val="-5"/>
          <w:sz w:val="17"/>
        </w:rPr>
        <w:t>masculina; </w:t>
      </w:r>
      <w:r>
        <w:rPr>
          <w:b/>
          <w:i/>
          <w:color w:val="231F20"/>
          <w:spacing w:val="-4"/>
          <w:sz w:val="17"/>
        </w:rPr>
        <w:t>REN </w:t>
      </w:r>
      <w:r>
        <w:rPr>
          <w:b/>
          <w:i/>
          <w:color w:val="231F20"/>
          <w:sz w:val="17"/>
        </w:rPr>
        <w:t>= </w:t>
      </w:r>
      <w:r>
        <w:rPr>
          <w:b/>
          <w:i/>
          <w:color w:val="231F20"/>
          <w:spacing w:val="-5"/>
          <w:sz w:val="17"/>
        </w:rPr>
        <w:t>Rendimiento </w:t>
      </w:r>
      <w:r>
        <w:rPr>
          <w:b/>
          <w:i/>
          <w:color w:val="231F20"/>
          <w:spacing w:val="-4"/>
          <w:sz w:val="17"/>
        </w:rPr>
        <w:t>por </w:t>
      </w:r>
      <w:r>
        <w:rPr>
          <w:b/>
          <w:i/>
          <w:color w:val="231F20"/>
          <w:spacing w:val="-5"/>
          <w:sz w:val="17"/>
        </w:rPr>
        <w:t>hectárea </w:t>
      </w:r>
      <w:r>
        <w:rPr>
          <w:b/>
          <w:i/>
          <w:color w:val="231F20"/>
          <w:spacing w:val="-4"/>
          <w:sz w:val="17"/>
        </w:rPr>
        <w:t>(t•ha</w:t>
      </w:r>
      <w:r>
        <w:rPr>
          <w:b/>
          <w:i/>
          <w:color w:val="231F20"/>
          <w:spacing w:val="-4"/>
          <w:position w:val="6"/>
          <w:sz w:val="10"/>
        </w:rPr>
        <w:t>-1</w:t>
      </w:r>
      <w:r>
        <w:rPr>
          <w:b/>
          <w:i/>
          <w:color w:val="231F20"/>
          <w:spacing w:val="-4"/>
          <w:sz w:val="17"/>
        </w:rPr>
        <w:t>); DMS </w:t>
      </w:r>
      <w:r>
        <w:rPr>
          <w:b/>
          <w:i/>
          <w:color w:val="231F20"/>
          <w:sz w:val="17"/>
        </w:rPr>
        <w:t>= </w:t>
      </w:r>
      <w:r>
        <w:rPr>
          <w:b/>
          <w:i/>
          <w:color w:val="231F20"/>
          <w:spacing w:val="-4"/>
          <w:sz w:val="17"/>
        </w:rPr>
        <w:t>Di- </w:t>
      </w:r>
      <w:r>
        <w:rPr>
          <w:b/>
          <w:i/>
          <w:color w:val="231F20"/>
          <w:spacing w:val="-5"/>
          <w:sz w:val="17"/>
        </w:rPr>
        <w:t>ferencia Mínima</w:t>
      </w:r>
      <w:r>
        <w:rPr>
          <w:b/>
          <w:i/>
          <w:color w:val="231F20"/>
          <w:spacing w:val="-9"/>
          <w:sz w:val="17"/>
        </w:rPr>
        <w:t> </w:t>
      </w:r>
      <w:r>
        <w:rPr>
          <w:b/>
          <w:i/>
          <w:color w:val="231F20"/>
          <w:spacing w:val="-5"/>
          <w:sz w:val="17"/>
        </w:rPr>
        <w:t>Significativa.</w:t>
      </w:r>
    </w:p>
    <w:p>
      <w:pPr>
        <w:pStyle w:val="BodyText"/>
        <w:spacing w:before="5"/>
        <w:rPr>
          <w:b/>
          <w:i/>
          <w:sz w:val="19"/>
        </w:rPr>
      </w:pPr>
    </w:p>
    <w:p>
      <w:pPr>
        <w:pStyle w:val="Heading3"/>
        <w:spacing w:before="1"/>
      </w:pPr>
      <w:r>
        <w:rPr>
          <w:color w:val="010202"/>
        </w:rPr>
        <w:t>Conclusiones</w:t>
      </w:r>
    </w:p>
    <w:p>
      <w:pPr>
        <w:pStyle w:val="BodyText"/>
        <w:spacing w:before="10"/>
        <w:rPr>
          <w:b/>
        </w:rPr>
      </w:pPr>
    </w:p>
    <w:p>
      <w:pPr>
        <w:pStyle w:val="BodyText"/>
        <w:spacing w:line="247" w:lineRule="auto"/>
        <w:ind w:left="1270" w:right="1267"/>
        <w:jc w:val="both"/>
      </w:pPr>
      <w:r>
        <w:rPr>
          <w:color w:val="231F20"/>
        </w:rPr>
        <w:t>La</w:t>
      </w:r>
      <w:r>
        <w:rPr>
          <w:color w:val="231F20"/>
          <w:spacing w:val="-7"/>
        </w:rPr>
        <w:t> </w:t>
      </w:r>
      <w:r>
        <w:rPr>
          <w:color w:val="231F20"/>
        </w:rPr>
        <w:t>biomasa</w:t>
      </w:r>
      <w:r>
        <w:rPr>
          <w:color w:val="231F20"/>
          <w:spacing w:val="-7"/>
        </w:rPr>
        <w:t> </w:t>
      </w:r>
      <w:r>
        <w:rPr>
          <w:color w:val="231F20"/>
        </w:rPr>
        <w:t>aérea</w:t>
      </w:r>
      <w:r>
        <w:rPr>
          <w:color w:val="231F20"/>
          <w:spacing w:val="-7"/>
        </w:rPr>
        <w:t> </w:t>
      </w:r>
      <w:r>
        <w:rPr>
          <w:color w:val="231F20"/>
        </w:rPr>
        <w:t>producida</w:t>
      </w:r>
      <w:r>
        <w:rPr>
          <w:color w:val="231F20"/>
          <w:spacing w:val="-7"/>
        </w:rPr>
        <w:t> </w:t>
      </w:r>
      <w:r>
        <w:rPr>
          <w:color w:val="231F20"/>
        </w:rPr>
        <w:t>por</w:t>
      </w:r>
      <w:r>
        <w:rPr>
          <w:color w:val="231F20"/>
          <w:spacing w:val="-7"/>
        </w:rPr>
        <w:t> </w:t>
      </w:r>
      <w:r>
        <w:rPr>
          <w:color w:val="231F20"/>
        </w:rPr>
        <w:t>la</w:t>
      </w:r>
      <w:r>
        <w:rPr>
          <w:color w:val="231F20"/>
          <w:spacing w:val="-7"/>
        </w:rPr>
        <w:t> </w:t>
      </w:r>
      <w:r>
        <w:rPr>
          <w:color w:val="231F20"/>
        </w:rPr>
        <w:t>planta</w:t>
      </w:r>
      <w:r>
        <w:rPr>
          <w:color w:val="231F20"/>
          <w:spacing w:val="-7"/>
        </w:rPr>
        <w:t> </w:t>
      </w:r>
      <w:r>
        <w:rPr>
          <w:color w:val="231F20"/>
        </w:rPr>
        <w:t>de</w:t>
      </w:r>
      <w:r>
        <w:rPr>
          <w:color w:val="231F20"/>
          <w:spacing w:val="-7"/>
        </w:rPr>
        <w:t> </w:t>
      </w:r>
      <w:r>
        <w:rPr>
          <w:color w:val="231F20"/>
        </w:rPr>
        <w:t>calabacita</w:t>
      </w:r>
      <w:r>
        <w:rPr>
          <w:color w:val="231F20"/>
          <w:spacing w:val="-8"/>
        </w:rPr>
        <w:t> </w:t>
      </w:r>
      <w:r>
        <w:rPr>
          <w:color w:val="231F20"/>
        </w:rPr>
        <w:t>es</w:t>
      </w:r>
      <w:r>
        <w:rPr>
          <w:color w:val="231F20"/>
          <w:spacing w:val="-7"/>
        </w:rPr>
        <w:t> </w:t>
      </w:r>
      <w:r>
        <w:rPr>
          <w:color w:val="231F20"/>
        </w:rPr>
        <w:t>asignada</w:t>
      </w:r>
      <w:r>
        <w:rPr>
          <w:color w:val="231F20"/>
          <w:spacing w:val="-7"/>
        </w:rPr>
        <w:t> </w:t>
      </w:r>
      <w:r>
        <w:rPr>
          <w:color w:val="231F20"/>
        </w:rPr>
        <w:t>principalmente</w:t>
      </w:r>
      <w:r>
        <w:rPr>
          <w:color w:val="231F20"/>
          <w:spacing w:val="-7"/>
        </w:rPr>
        <w:t> </w:t>
      </w:r>
      <w:r>
        <w:rPr>
          <w:color w:val="231F20"/>
        </w:rPr>
        <w:t>a</w:t>
      </w:r>
      <w:r>
        <w:rPr>
          <w:color w:val="231F20"/>
          <w:spacing w:val="-7"/>
        </w:rPr>
        <w:t> </w:t>
      </w:r>
      <w:r>
        <w:rPr>
          <w:color w:val="231F20"/>
        </w:rPr>
        <w:t>las</w:t>
      </w:r>
      <w:r>
        <w:rPr>
          <w:color w:val="231F20"/>
          <w:spacing w:val="-7"/>
        </w:rPr>
        <w:t> </w:t>
      </w:r>
      <w:r>
        <w:rPr>
          <w:color w:val="231F20"/>
        </w:rPr>
        <w:t>hojas,</w:t>
      </w:r>
      <w:r>
        <w:rPr>
          <w:color w:val="231F20"/>
          <w:spacing w:val="-7"/>
        </w:rPr>
        <w:t> </w:t>
      </w:r>
      <w:r>
        <w:rPr>
          <w:color w:val="231F20"/>
        </w:rPr>
        <w:t>lo</w:t>
      </w:r>
      <w:r>
        <w:rPr>
          <w:color w:val="231F20"/>
          <w:spacing w:val="-7"/>
        </w:rPr>
        <w:t> </w:t>
      </w:r>
      <w:r>
        <w:rPr>
          <w:color w:val="231F20"/>
        </w:rPr>
        <w:t>que ocasiona en general un índice de cosecha bajo siendo (0.35 en promedio de los materiales evalua- dos). El valor más alto de índice de cosecha se obtuvo con el híbrido ‘Lolita’ (0.40) y el menor con </w:t>
      </w:r>
      <w:r>
        <w:rPr>
          <w:color w:val="231F20"/>
          <w:spacing w:val="-3"/>
        </w:rPr>
        <w:t>‘Tala’</w:t>
      </w:r>
      <w:r>
        <w:rPr>
          <w:color w:val="231F20"/>
          <w:spacing w:val="-13"/>
        </w:rPr>
        <w:t> </w:t>
      </w:r>
      <w:r>
        <w:rPr>
          <w:color w:val="231F20"/>
        </w:rPr>
        <w:t>(0.29).</w:t>
      </w:r>
    </w:p>
    <w:p>
      <w:pPr>
        <w:pStyle w:val="BodyText"/>
        <w:spacing w:before="10"/>
      </w:pPr>
    </w:p>
    <w:p>
      <w:pPr>
        <w:pStyle w:val="BodyText"/>
        <w:spacing w:line="247" w:lineRule="auto"/>
        <w:ind w:left="1270" w:right="1268"/>
        <w:jc w:val="both"/>
      </w:pPr>
      <w:r>
        <w:rPr>
          <w:color w:val="231F20"/>
        </w:rPr>
        <w:t>El análisis de crecimiento indicó que los híbridos ‘Terminator’ y ‘Hurakán’ retrazaron su entrada a senescencia por lo que acumularon mayor peso seco total durante su ciclo, en comparación al resto de los híbridos, lo que sugiere que en dichos materiales se podría tener más de los 17 cortes realiza- dos de calabacita, lo que redundaría en un mayor potencial de rendimiento.</w:t>
      </w:r>
    </w:p>
    <w:p>
      <w:pPr>
        <w:spacing w:after="0" w:line="247" w:lineRule="auto"/>
        <w:jc w:val="both"/>
        <w:sectPr>
          <w:pgSz w:w="10920" w:h="13080"/>
          <w:pgMar w:header="0" w:footer="965" w:top="420" w:bottom="1220" w:left="0" w:right="0"/>
        </w:sectPr>
      </w:pPr>
    </w:p>
    <w:p>
      <w:pPr>
        <w:pStyle w:val="BodyText"/>
        <w:rPr>
          <w:sz w:val="20"/>
        </w:rPr>
      </w:pPr>
    </w:p>
    <w:p>
      <w:pPr>
        <w:pStyle w:val="BodyText"/>
        <w:rPr>
          <w:sz w:val="20"/>
        </w:rPr>
      </w:pPr>
    </w:p>
    <w:p>
      <w:pPr>
        <w:pStyle w:val="BodyText"/>
        <w:rPr>
          <w:sz w:val="23"/>
        </w:rPr>
      </w:pPr>
    </w:p>
    <w:p>
      <w:pPr>
        <w:pStyle w:val="BodyText"/>
        <w:spacing w:line="249" w:lineRule="auto" w:before="73"/>
        <w:ind w:left="1270" w:right="1252"/>
        <w:jc w:val="both"/>
      </w:pPr>
      <w:r>
        <w:rPr>
          <w:color w:val="231F20"/>
        </w:rPr>
        <w:t>Los híbridos ‘Terminator’ y ‘Lolita’ fueron los mejores híbridos comerciales en rendimiento por hectárea</w:t>
      </w:r>
      <w:r>
        <w:rPr>
          <w:color w:val="231F20"/>
          <w:spacing w:val="-6"/>
        </w:rPr>
        <w:t> </w:t>
      </w:r>
      <w:r>
        <w:rPr>
          <w:color w:val="231F20"/>
        </w:rPr>
        <w:t>de</w:t>
      </w:r>
      <w:r>
        <w:rPr>
          <w:color w:val="231F20"/>
          <w:spacing w:val="-6"/>
        </w:rPr>
        <w:t> </w:t>
      </w:r>
      <w:r>
        <w:rPr>
          <w:color w:val="231F20"/>
        </w:rPr>
        <w:t>calabacita</w:t>
      </w:r>
      <w:r>
        <w:rPr>
          <w:color w:val="231F20"/>
          <w:spacing w:val="-7"/>
        </w:rPr>
        <w:t> </w:t>
      </w:r>
      <w:r>
        <w:rPr>
          <w:color w:val="231F20"/>
        </w:rPr>
        <w:t>(44.50</w:t>
      </w:r>
      <w:r>
        <w:rPr>
          <w:color w:val="231F20"/>
          <w:spacing w:val="-6"/>
        </w:rPr>
        <w:t> </w:t>
      </w:r>
      <w:r>
        <w:rPr>
          <w:color w:val="231F20"/>
        </w:rPr>
        <w:t>t•ha</w:t>
      </w:r>
      <w:r>
        <w:rPr>
          <w:color w:val="231F20"/>
          <w:position w:val="7"/>
          <w:sz w:val="12"/>
        </w:rPr>
        <w:t>-1</w:t>
      </w:r>
      <w:r>
        <w:rPr>
          <w:color w:val="231F20"/>
          <w:spacing w:val="16"/>
          <w:position w:val="7"/>
          <w:sz w:val="12"/>
        </w:rPr>
        <w:t> </w:t>
      </w:r>
      <w:r>
        <w:rPr>
          <w:color w:val="231F20"/>
        </w:rPr>
        <w:t>y</w:t>
      </w:r>
      <w:r>
        <w:rPr>
          <w:color w:val="231F20"/>
          <w:spacing w:val="-6"/>
        </w:rPr>
        <w:t> </w:t>
      </w:r>
      <w:r>
        <w:rPr>
          <w:color w:val="231F20"/>
        </w:rPr>
        <w:t>42.70</w:t>
      </w:r>
      <w:r>
        <w:rPr>
          <w:color w:val="231F20"/>
          <w:spacing w:val="-6"/>
        </w:rPr>
        <w:t> </w:t>
      </w:r>
      <w:r>
        <w:rPr>
          <w:color w:val="231F20"/>
        </w:rPr>
        <w:t>t•ha</w:t>
      </w:r>
      <w:r>
        <w:rPr>
          <w:color w:val="231F20"/>
          <w:position w:val="7"/>
          <w:sz w:val="12"/>
        </w:rPr>
        <w:t>-1</w:t>
      </w:r>
      <w:r>
        <w:rPr>
          <w:color w:val="231F20"/>
        </w:rPr>
        <w:t>,</w:t>
      </w:r>
      <w:r>
        <w:rPr>
          <w:color w:val="231F20"/>
          <w:spacing w:val="-6"/>
        </w:rPr>
        <w:t> </w:t>
      </w:r>
      <w:r>
        <w:rPr>
          <w:color w:val="231F20"/>
        </w:rPr>
        <w:t>respectivamente),</w:t>
      </w:r>
      <w:r>
        <w:rPr>
          <w:color w:val="231F20"/>
          <w:spacing w:val="-6"/>
        </w:rPr>
        <w:t> </w:t>
      </w:r>
      <w:r>
        <w:rPr>
          <w:color w:val="231F20"/>
        </w:rPr>
        <w:t>y</w:t>
      </w:r>
      <w:r>
        <w:rPr>
          <w:color w:val="231F20"/>
          <w:spacing w:val="-6"/>
        </w:rPr>
        <w:t> </w:t>
      </w:r>
      <w:r>
        <w:rPr>
          <w:color w:val="231F20"/>
        </w:rPr>
        <w:t>el</w:t>
      </w:r>
      <w:r>
        <w:rPr>
          <w:color w:val="231F20"/>
          <w:spacing w:val="-6"/>
        </w:rPr>
        <w:t> </w:t>
      </w:r>
      <w:r>
        <w:rPr>
          <w:color w:val="231F20"/>
        </w:rPr>
        <w:t>menos</w:t>
      </w:r>
      <w:r>
        <w:rPr>
          <w:color w:val="231F20"/>
          <w:spacing w:val="-7"/>
        </w:rPr>
        <w:t> </w:t>
      </w:r>
      <w:r>
        <w:rPr>
          <w:color w:val="231F20"/>
        </w:rPr>
        <w:t>productivo</w:t>
      </w:r>
      <w:r>
        <w:rPr>
          <w:color w:val="231F20"/>
          <w:spacing w:val="-6"/>
        </w:rPr>
        <w:t> </w:t>
      </w:r>
      <w:r>
        <w:rPr>
          <w:color w:val="231F20"/>
        </w:rPr>
        <w:t>fue</w:t>
      </w:r>
      <w:r>
        <w:rPr>
          <w:color w:val="231F20"/>
          <w:spacing w:val="-6"/>
        </w:rPr>
        <w:t> </w:t>
      </w:r>
      <w:r>
        <w:rPr>
          <w:color w:val="231F20"/>
          <w:spacing w:val="-3"/>
        </w:rPr>
        <w:t>‘Tala’ </w:t>
      </w:r>
      <w:r>
        <w:rPr>
          <w:color w:val="231F20"/>
        </w:rPr>
        <w:t>(22.6 t•ha</w:t>
      </w:r>
      <w:r>
        <w:rPr>
          <w:color w:val="231F20"/>
          <w:position w:val="7"/>
          <w:sz w:val="12"/>
        </w:rPr>
        <w:t>-1</w:t>
      </w:r>
      <w:r>
        <w:rPr>
          <w:color w:val="231F20"/>
        </w:rPr>
        <w:t>) según los resultados de tres años de evaluación en Chapingo,</w:t>
      </w:r>
      <w:r>
        <w:rPr>
          <w:color w:val="231F20"/>
          <w:spacing w:val="-14"/>
        </w:rPr>
        <w:t> </w:t>
      </w:r>
      <w:r>
        <w:rPr>
          <w:color w:val="231F20"/>
        </w:rPr>
        <w:t>Mexico.</w:t>
      </w:r>
    </w:p>
    <w:p>
      <w:pPr>
        <w:pStyle w:val="BodyText"/>
        <w:spacing w:before="7"/>
      </w:pPr>
    </w:p>
    <w:p>
      <w:pPr>
        <w:pStyle w:val="BodyText"/>
        <w:spacing w:line="247" w:lineRule="auto" w:before="1"/>
        <w:ind w:left="1270" w:right="1268"/>
        <w:jc w:val="both"/>
      </w:pPr>
      <w:r>
        <w:rPr>
          <w:color w:val="231F20"/>
        </w:rPr>
        <w:t>Los híbridos más precoces fueron ‘Tala’, ‘WA9041’, ‘Lolita’ y ‘Dolarzini’ con 45 días a floración femenina, y los más tardíos ‘Hurakán’ y ‘Terminator’ con 54 días a floración femenina.</w:t>
      </w:r>
    </w:p>
    <w:p>
      <w:pPr>
        <w:pStyle w:val="BodyText"/>
        <w:spacing w:before="8"/>
        <w:rPr>
          <w:sz w:val="22"/>
        </w:rPr>
      </w:pPr>
    </w:p>
    <w:p>
      <w:pPr>
        <w:pStyle w:val="Heading3"/>
      </w:pPr>
      <w:r>
        <w:rPr>
          <w:color w:val="010202"/>
        </w:rPr>
        <w:t>Literatura citada</w:t>
      </w:r>
    </w:p>
    <w:p>
      <w:pPr>
        <w:pStyle w:val="BodyText"/>
        <w:spacing w:before="7"/>
        <w:rPr>
          <w:b/>
        </w:rPr>
      </w:pPr>
    </w:p>
    <w:p>
      <w:pPr>
        <w:spacing w:before="0"/>
        <w:ind w:left="1270" w:right="0" w:firstLine="0"/>
        <w:jc w:val="both"/>
        <w:rPr>
          <w:sz w:val="19"/>
        </w:rPr>
      </w:pPr>
      <w:r>
        <w:rPr>
          <w:color w:val="231F20"/>
          <w:sz w:val="19"/>
        </w:rPr>
        <w:t>Ayala T., F. 2002. Híbridos de calabacita (Cucurbita pepo L.) cultivados bajo casa sombra. Memorias del XIX</w:t>
      </w:r>
    </w:p>
    <w:p>
      <w:pPr>
        <w:spacing w:line="501" w:lineRule="auto" w:before="9"/>
        <w:ind w:left="1270" w:right="2232" w:firstLine="0"/>
        <w:jc w:val="left"/>
        <w:rPr>
          <w:sz w:val="19"/>
        </w:rPr>
      </w:pPr>
      <w:r>
        <w:rPr>
          <w:color w:val="231F20"/>
          <w:sz w:val="19"/>
        </w:rPr>
        <w:t>Congreso Nacional de Fitogenética. 1 al 5 de Septiembre. Saltillo, Coahuila, México. P. 177. Anónimo. 1999. Producción de calabazas y frijol. Revista Claridades Agropecuarias 76:1-36. FAO. 2008. Superficie, producción y rendimiento de calabazas en el </w:t>
      </w:r>
      <w:hyperlink r:id="rId112">
        <w:r>
          <w:rPr>
            <w:color w:val="231F20"/>
            <w:sz w:val="19"/>
          </w:rPr>
          <w:t>mundo. http://www.fao.org</w:t>
        </w:r>
      </w:hyperlink>
    </w:p>
    <w:p>
      <w:pPr>
        <w:spacing w:line="249" w:lineRule="auto" w:before="8"/>
        <w:ind w:left="1270" w:right="1268" w:firstLine="0"/>
        <w:jc w:val="both"/>
        <w:rPr>
          <w:sz w:val="19"/>
        </w:rPr>
      </w:pPr>
      <w:r>
        <w:rPr>
          <w:color w:val="231F20"/>
          <w:sz w:val="19"/>
        </w:rPr>
        <w:t>Chen-Yuan, M.; Cui-Shi, M.; Wang-Ruo, Q.; Han-Feng, Y.; Chen, Y.M.; Cui, S.M.; Wang, R.Q.; Han, F.Y. 1997. Studies on fruit development law of seed pumpkin during the fruting stage. Acta Agriculturae Boreali Sinica 12(1):72-76.</w:t>
      </w:r>
    </w:p>
    <w:p>
      <w:pPr>
        <w:pStyle w:val="BodyText"/>
        <w:spacing w:before="10"/>
        <w:rPr>
          <w:sz w:val="19"/>
        </w:rPr>
      </w:pPr>
    </w:p>
    <w:p>
      <w:pPr>
        <w:spacing w:line="249" w:lineRule="auto" w:before="0"/>
        <w:ind w:left="1270" w:right="1268" w:firstLine="0"/>
        <w:jc w:val="both"/>
        <w:rPr>
          <w:sz w:val="19"/>
        </w:rPr>
      </w:pPr>
      <w:r>
        <w:rPr>
          <w:color w:val="231F20"/>
          <w:sz w:val="19"/>
        </w:rPr>
        <w:t>Hernández,</w:t>
      </w:r>
      <w:r>
        <w:rPr>
          <w:color w:val="231F20"/>
          <w:spacing w:val="-4"/>
          <w:sz w:val="19"/>
        </w:rPr>
        <w:t> </w:t>
      </w:r>
      <w:r>
        <w:rPr>
          <w:color w:val="231F20"/>
          <w:sz w:val="19"/>
        </w:rPr>
        <w:t>D.</w:t>
      </w:r>
      <w:r>
        <w:rPr>
          <w:color w:val="231F20"/>
          <w:spacing w:val="-4"/>
          <w:sz w:val="19"/>
        </w:rPr>
        <w:t> </w:t>
      </w:r>
      <w:r>
        <w:rPr>
          <w:color w:val="231F20"/>
          <w:sz w:val="19"/>
        </w:rPr>
        <w:t>J.;</w:t>
      </w:r>
      <w:r>
        <w:rPr>
          <w:color w:val="231F20"/>
          <w:spacing w:val="-4"/>
          <w:sz w:val="19"/>
        </w:rPr>
        <w:t> </w:t>
      </w:r>
      <w:r>
        <w:rPr>
          <w:color w:val="231F20"/>
          <w:sz w:val="19"/>
        </w:rPr>
        <w:t>Zavala</w:t>
      </w:r>
      <w:r>
        <w:rPr>
          <w:color w:val="231F20"/>
          <w:spacing w:val="-4"/>
          <w:sz w:val="19"/>
        </w:rPr>
        <w:t> </w:t>
      </w:r>
      <w:r>
        <w:rPr>
          <w:color w:val="231F20"/>
          <w:sz w:val="19"/>
        </w:rPr>
        <w:t>G.,</w:t>
      </w:r>
      <w:r>
        <w:rPr>
          <w:color w:val="231F20"/>
          <w:spacing w:val="-4"/>
          <w:sz w:val="19"/>
        </w:rPr>
        <w:t> </w:t>
      </w:r>
      <w:r>
        <w:rPr>
          <w:color w:val="231F20"/>
          <w:spacing w:val="-6"/>
          <w:sz w:val="19"/>
        </w:rPr>
        <w:t>F.;</w:t>
      </w:r>
      <w:r>
        <w:rPr>
          <w:color w:val="231F20"/>
          <w:spacing w:val="-4"/>
          <w:sz w:val="19"/>
        </w:rPr>
        <w:t> </w:t>
      </w:r>
      <w:r>
        <w:rPr>
          <w:color w:val="231F20"/>
          <w:sz w:val="19"/>
        </w:rPr>
        <w:t>Guzmán</w:t>
      </w:r>
      <w:r>
        <w:rPr>
          <w:color w:val="231F20"/>
          <w:spacing w:val="-4"/>
          <w:sz w:val="19"/>
        </w:rPr>
        <w:t> </w:t>
      </w:r>
      <w:r>
        <w:rPr>
          <w:color w:val="231F20"/>
          <w:sz w:val="19"/>
        </w:rPr>
        <w:t>B.,</w:t>
      </w:r>
      <w:r>
        <w:rPr>
          <w:color w:val="231F20"/>
          <w:spacing w:val="-4"/>
          <w:sz w:val="19"/>
        </w:rPr>
        <w:t> </w:t>
      </w:r>
      <w:r>
        <w:rPr>
          <w:color w:val="231F20"/>
          <w:sz w:val="19"/>
        </w:rPr>
        <w:t>H.</w:t>
      </w:r>
      <w:r>
        <w:rPr>
          <w:color w:val="231F20"/>
          <w:spacing w:val="-4"/>
          <w:sz w:val="19"/>
        </w:rPr>
        <w:t> </w:t>
      </w:r>
      <w:r>
        <w:rPr>
          <w:color w:val="231F20"/>
          <w:sz w:val="19"/>
        </w:rPr>
        <w:t>1999.</w:t>
      </w:r>
      <w:r>
        <w:rPr>
          <w:color w:val="231F20"/>
          <w:spacing w:val="-15"/>
          <w:sz w:val="19"/>
        </w:rPr>
        <w:t> </w:t>
      </w:r>
      <w:r>
        <w:rPr>
          <w:color w:val="231F20"/>
          <w:sz w:val="19"/>
        </w:rPr>
        <w:t>Análisis</w:t>
      </w:r>
      <w:r>
        <w:rPr>
          <w:color w:val="231F20"/>
          <w:spacing w:val="-4"/>
          <w:sz w:val="19"/>
        </w:rPr>
        <w:t> </w:t>
      </w:r>
      <w:r>
        <w:rPr>
          <w:color w:val="231F20"/>
          <w:sz w:val="19"/>
        </w:rPr>
        <w:t>de</w:t>
      </w:r>
      <w:r>
        <w:rPr>
          <w:color w:val="231F20"/>
          <w:spacing w:val="-4"/>
          <w:sz w:val="19"/>
        </w:rPr>
        <w:t> </w:t>
      </w:r>
      <w:r>
        <w:rPr>
          <w:color w:val="231F20"/>
          <w:sz w:val="19"/>
        </w:rPr>
        <w:t>crecimiento</w:t>
      </w:r>
      <w:r>
        <w:rPr>
          <w:color w:val="231F20"/>
          <w:spacing w:val="-4"/>
          <w:sz w:val="19"/>
        </w:rPr>
        <w:t> </w:t>
      </w:r>
      <w:r>
        <w:rPr>
          <w:color w:val="231F20"/>
          <w:sz w:val="19"/>
        </w:rPr>
        <w:t>en</w:t>
      </w:r>
      <w:r>
        <w:rPr>
          <w:color w:val="231F20"/>
          <w:spacing w:val="-4"/>
          <w:sz w:val="19"/>
        </w:rPr>
        <w:t> </w:t>
      </w:r>
      <w:r>
        <w:rPr>
          <w:color w:val="231F20"/>
          <w:sz w:val="19"/>
        </w:rPr>
        <w:t>cilantro</w:t>
      </w:r>
      <w:r>
        <w:rPr>
          <w:color w:val="231F20"/>
          <w:spacing w:val="-4"/>
          <w:sz w:val="19"/>
        </w:rPr>
        <w:t> </w:t>
      </w:r>
      <w:r>
        <w:rPr>
          <w:color w:val="231F20"/>
          <w:sz w:val="19"/>
        </w:rPr>
        <w:t>(Coriandrum</w:t>
      </w:r>
      <w:r>
        <w:rPr>
          <w:color w:val="231F20"/>
          <w:spacing w:val="-4"/>
          <w:sz w:val="19"/>
        </w:rPr>
        <w:t> </w:t>
      </w:r>
      <w:r>
        <w:rPr>
          <w:color w:val="231F20"/>
          <w:sz w:val="19"/>
        </w:rPr>
        <w:t>sativum L.) establecidos en diferentes ambientes. Programa y Notas Científicas del VIII Congreso de Horticultura del 25 al 30 de abril. Manzanillo, Colima, México. p</w:t>
      </w:r>
      <w:r>
        <w:rPr>
          <w:color w:val="231F20"/>
          <w:spacing w:val="-25"/>
          <w:sz w:val="19"/>
        </w:rPr>
        <w:t> </w:t>
      </w:r>
      <w:r>
        <w:rPr>
          <w:color w:val="231F20"/>
          <w:sz w:val="19"/>
        </w:rPr>
        <w:t>117.</w:t>
      </w:r>
    </w:p>
    <w:p>
      <w:pPr>
        <w:pStyle w:val="BodyText"/>
        <w:spacing w:before="10"/>
        <w:rPr>
          <w:sz w:val="19"/>
        </w:rPr>
      </w:pPr>
    </w:p>
    <w:p>
      <w:pPr>
        <w:spacing w:before="0"/>
        <w:ind w:left="1270" w:right="0" w:firstLine="0"/>
        <w:jc w:val="both"/>
        <w:rPr>
          <w:sz w:val="19"/>
        </w:rPr>
      </w:pPr>
      <w:r>
        <w:rPr>
          <w:color w:val="231F20"/>
          <w:sz w:val="19"/>
        </w:rPr>
        <w:t>Hunt, R. 1990. Basic Growth Analysis. Unwinn Hyman. London, UK. 132 p.</w:t>
      </w:r>
    </w:p>
    <w:p>
      <w:pPr>
        <w:pStyle w:val="BodyText"/>
        <w:spacing w:before="7"/>
        <w:rPr>
          <w:sz w:val="20"/>
        </w:rPr>
      </w:pPr>
    </w:p>
    <w:p>
      <w:pPr>
        <w:spacing w:line="249" w:lineRule="auto" w:before="0"/>
        <w:ind w:left="1270" w:right="1268" w:firstLine="0"/>
        <w:jc w:val="both"/>
        <w:rPr>
          <w:sz w:val="19"/>
        </w:rPr>
      </w:pPr>
      <w:r>
        <w:rPr>
          <w:color w:val="231F20"/>
          <w:sz w:val="19"/>
        </w:rPr>
        <w:t>INIFAP. 2009. Informe anual de proyectos apoyados por la Fundación Produce Sinaloa A.C. Campo Experi- mental Valle del Yaqui, Sonora. 7 p.</w:t>
      </w:r>
    </w:p>
    <w:p>
      <w:pPr>
        <w:pStyle w:val="BodyText"/>
        <w:spacing w:before="10"/>
        <w:rPr>
          <w:sz w:val="19"/>
        </w:rPr>
      </w:pPr>
    </w:p>
    <w:p>
      <w:pPr>
        <w:spacing w:line="273" w:lineRule="auto" w:before="0"/>
        <w:ind w:left="1270" w:right="1268" w:firstLine="0"/>
        <w:jc w:val="both"/>
        <w:rPr>
          <w:sz w:val="19"/>
        </w:rPr>
      </w:pPr>
      <w:r>
        <w:rPr>
          <w:color w:val="231F20"/>
          <w:sz w:val="19"/>
        </w:rPr>
        <w:t>Sedano,</w:t>
      </w:r>
      <w:r>
        <w:rPr>
          <w:color w:val="231F20"/>
          <w:spacing w:val="-10"/>
          <w:sz w:val="19"/>
        </w:rPr>
        <w:t> </w:t>
      </w:r>
      <w:r>
        <w:rPr>
          <w:color w:val="231F20"/>
          <w:sz w:val="19"/>
        </w:rPr>
        <w:t>C.</w:t>
      </w:r>
      <w:r>
        <w:rPr>
          <w:color w:val="231F20"/>
          <w:spacing w:val="-10"/>
          <w:sz w:val="19"/>
        </w:rPr>
        <w:t> </w:t>
      </w:r>
      <w:r>
        <w:rPr>
          <w:color w:val="231F20"/>
          <w:sz w:val="19"/>
        </w:rPr>
        <w:t>G.;</w:t>
      </w:r>
      <w:r>
        <w:rPr>
          <w:color w:val="231F20"/>
          <w:spacing w:val="-10"/>
          <w:sz w:val="19"/>
        </w:rPr>
        <w:t> </w:t>
      </w:r>
      <w:r>
        <w:rPr>
          <w:color w:val="231F20"/>
          <w:sz w:val="19"/>
        </w:rPr>
        <w:t>González</w:t>
      </w:r>
      <w:r>
        <w:rPr>
          <w:color w:val="231F20"/>
          <w:spacing w:val="-10"/>
          <w:sz w:val="19"/>
        </w:rPr>
        <w:t> </w:t>
      </w:r>
      <w:r>
        <w:rPr>
          <w:color w:val="231F20"/>
          <w:sz w:val="19"/>
        </w:rPr>
        <w:t>H,</w:t>
      </w:r>
      <w:r>
        <w:rPr>
          <w:color w:val="231F20"/>
          <w:spacing w:val="-14"/>
          <w:sz w:val="19"/>
        </w:rPr>
        <w:t> </w:t>
      </w:r>
      <w:r>
        <w:rPr>
          <w:color w:val="231F20"/>
          <w:spacing w:val="-13"/>
          <w:sz w:val="19"/>
        </w:rPr>
        <w:t>V.</w:t>
      </w:r>
      <w:r>
        <w:rPr>
          <w:color w:val="231F20"/>
          <w:spacing w:val="-20"/>
          <w:sz w:val="19"/>
        </w:rPr>
        <w:t> </w:t>
      </w:r>
      <w:r>
        <w:rPr>
          <w:color w:val="231F20"/>
          <w:sz w:val="19"/>
        </w:rPr>
        <w:t>A.;</w:t>
      </w:r>
      <w:r>
        <w:rPr>
          <w:color w:val="231F20"/>
          <w:spacing w:val="-10"/>
          <w:sz w:val="19"/>
        </w:rPr>
        <w:t> </w:t>
      </w:r>
      <w:r>
        <w:rPr>
          <w:color w:val="231F20"/>
          <w:sz w:val="19"/>
        </w:rPr>
        <w:t>Engleman,</w:t>
      </w:r>
      <w:r>
        <w:rPr>
          <w:color w:val="231F20"/>
          <w:spacing w:val="-10"/>
          <w:sz w:val="19"/>
        </w:rPr>
        <w:t> </w:t>
      </w:r>
      <w:r>
        <w:rPr>
          <w:color w:val="231F20"/>
          <w:sz w:val="19"/>
        </w:rPr>
        <w:t>E.</w:t>
      </w:r>
      <w:r>
        <w:rPr>
          <w:color w:val="231F20"/>
          <w:spacing w:val="-10"/>
          <w:sz w:val="19"/>
        </w:rPr>
        <w:t> </w:t>
      </w:r>
      <w:r>
        <w:rPr>
          <w:color w:val="231F20"/>
          <w:sz w:val="19"/>
        </w:rPr>
        <w:t>M.;</w:t>
      </w:r>
      <w:r>
        <w:rPr>
          <w:color w:val="231F20"/>
          <w:spacing w:val="-14"/>
          <w:sz w:val="19"/>
        </w:rPr>
        <w:t> </w:t>
      </w:r>
      <w:r>
        <w:rPr>
          <w:color w:val="231F20"/>
          <w:sz w:val="19"/>
        </w:rPr>
        <w:t>Villanueva</w:t>
      </w:r>
      <w:r>
        <w:rPr>
          <w:color w:val="231F20"/>
          <w:spacing w:val="-14"/>
          <w:sz w:val="19"/>
        </w:rPr>
        <w:t> </w:t>
      </w:r>
      <w:r>
        <w:rPr>
          <w:color w:val="231F20"/>
          <w:spacing w:val="-13"/>
          <w:sz w:val="19"/>
        </w:rPr>
        <w:t>V,</w:t>
      </w:r>
      <w:r>
        <w:rPr>
          <w:color w:val="231F20"/>
          <w:spacing w:val="-10"/>
          <w:sz w:val="19"/>
        </w:rPr>
        <w:t> </w:t>
      </w:r>
      <w:r>
        <w:rPr>
          <w:color w:val="231F20"/>
          <w:sz w:val="19"/>
        </w:rPr>
        <w:t>C.</w:t>
      </w:r>
      <w:r>
        <w:rPr>
          <w:color w:val="231F20"/>
          <w:spacing w:val="-10"/>
          <w:sz w:val="19"/>
        </w:rPr>
        <w:t> </w:t>
      </w:r>
      <w:r>
        <w:rPr>
          <w:color w:val="231F20"/>
          <w:sz w:val="19"/>
        </w:rPr>
        <w:t>2005.</w:t>
      </w:r>
      <w:r>
        <w:rPr>
          <w:color w:val="231F20"/>
          <w:spacing w:val="-10"/>
          <w:sz w:val="19"/>
        </w:rPr>
        <w:t> </w:t>
      </w:r>
      <w:r>
        <w:rPr>
          <w:color w:val="231F20"/>
          <w:sz w:val="19"/>
        </w:rPr>
        <w:t>Dinámica</w:t>
      </w:r>
      <w:r>
        <w:rPr>
          <w:color w:val="231F20"/>
          <w:spacing w:val="-10"/>
          <w:sz w:val="19"/>
        </w:rPr>
        <w:t> </w:t>
      </w:r>
      <w:r>
        <w:rPr>
          <w:color w:val="231F20"/>
          <w:sz w:val="19"/>
        </w:rPr>
        <w:t>del</w:t>
      </w:r>
      <w:r>
        <w:rPr>
          <w:color w:val="231F20"/>
          <w:spacing w:val="-10"/>
          <w:sz w:val="19"/>
        </w:rPr>
        <w:t> </w:t>
      </w:r>
      <w:r>
        <w:rPr>
          <w:color w:val="231F20"/>
          <w:sz w:val="19"/>
        </w:rPr>
        <w:t>crecimiento</w:t>
      </w:r>
      <w:r>
        <w:rPr>
          <w:color w:val="231F20"/>
          <w:spacing w:val="-10"/>
          <w:sz w:val="19"/>
        </w:rPr>
        <w:t> </w:t>
      </w:r>
      <w:r>
        <w:rPr>
          <w:color w:val="231F20"/>
          <w:sz w:val="19"/>
        </w:rPr>
        <w:t>y</w:t>
      </w:r>
      <w:r>
        <w:rPr>
          <w:color w:val="231F20"/>
          <w:spacing w:val="-10"/>
          <w:sz w:val="19"/>
        </w:rPr>
        <w:t> </w:t>
      </w:r>
      <w:r>
        <w:rPr>
          <w:color w:val="231F20"/>
          <w:sz w:val="19"/>
        </w:rPr>
        <w:t>eficien- cia fisiológica de la planta de calabacita. Revista Chapingo Serie Horticultura </w:t>
      </w:r>
      <w:r>
        <w:rPr>
          <w:color w:val="231F20"/>
          <w:spacing w:val="-9"/>
          <w:sz w:val="19"/>
        </w:rPr>
        <w:t>Vol</w:t>
      </w:r>
      <w:r>
        <w:rPr>
          <w:color w:val="231F20"/>
          <w:spacing w:val="-21"/>
          <w:sz w:val="19"/>
        </w:rPr>
        <w:t> </w:t>
      </w:r>
      <w:r>
        <w:rPr>
          <w:color w:val="231F20"/>
          <w:sz w:val="19"/>
        </w:rPr>
        <w:t>11(2):291-297.</w:t>
      </w:r>
    </w:p>
    <w:p>
      <w:pPr>
        <w:spacing w:after="0" w:line="273" w:lineRule="auto"/>
        <w:jc w:val="both"/>
        <w:rPr>
          <w:sz w:val="19"/>
        </w:rPr>
        <w:sectPr>
          <w:pgSz w:w="10920" w:h="13080"/>
          <w:pgMar w:header="0" w:footer="965" w:top="420" w:bottom="1220" w:left="0" w:right="0"/>
        </w:sectPr>
      </w:pPr>
    </w:p>
    <w:p>
      <w:pPr>
        <w:pStyle w:val="BodyText"/>
        <w:rPr>
          <w:sz w:val="20"/>
        </w:rPr>
      </w:pPr>
    </w:p>
    <w:p>
      <w:pPr>
        <w:pStyle w:val="BodyText"/>
        <w:rPr>
          <w:sz w:val="20"/>
        </w:rPr>
      </w:pPr>
    </w:p>
    <w:p>
      <w:pPr>
        <w:pStyle w:val="BodyText"/>
        <w:spacing w:before="6"/>
        <w:rPr>
          <w:sz w:val="23"/>
        </w:rPr>
      </w:pPr>
    </w:p>
    <w:p>
      <w:pPr>
        <w:spacing w:line="247" w:lineRule="auto" w:before="69"/>
        <w:ind w:left="1580" w:right="1578" w:firstLine="0"/>
        <w:jc w:val="center"/>
        <w:rPr>
          <w:rFonts w:ascii="Trebuchet MS" w:hAnsi="Trebuchet MS"/>
          <w:i/>
          <w:sz w:val="14"/>
        </w:rPr>
      </w:pPr>
      <w:r>
        <w:rPr>
          <w:rFonts w:ascii="Trebuchet MS" w:hAnsi="Trebuchet MS"/>
          <w:i/>
          <w:color w:val="010202"/>
          <w:sz w:val="24"/>
        </w:rPr>
        <w:t>Laura Gómez Tovar</w:t>
      </w:r>
      <w:r>
        <w:rPr>
          <w:rFonts w:ascii="Trebuchet MS" w:hAnsi="Trebuchet MS"/>
          <w:i/>
          <w:color w:val="010202"/>
          <w:position w:val="8"/>
          <w:sz w:val="14"/>
        </w:rPr>
        <w:t>1</w:t>
      </w:r>
      <w:r>
        <w:rPr>
          <w:rFonts w:ascii="Trebuchet MS" w:hAnsi="Trebuchet MS"/>
          <w:i/>
          <w:color w:val="010202"/>
          <w:sz w:val="24"/>
        </w:rPr>
        <w:t>; Víctor Ortiz Santiago</w:t>
      </w:r>
      <w:r>
        <w:rPr>
          <w:rFonts w:ascii="Trebuchet MS" w:hAnsi="Trebuchet MS"/>
          <w:i/>
          <w:color w:val="010202"/>
          <w:position w:val="8"/>
          <w:sz w:val="14"/>
        </w:rPr>
        <w:t>2</w:t>
      </w:r>
      <w:r>
        <w:rPr>
          <w:rFonts w:ascii="Trebuchet MS" w:hAnsi="Trebuchet MS"/>
          <w:i/>
          <w:color w:val="010202"/>
          <w:sz w:val="24"/>
        </w:rPr>
        <w:t>; Manuel Ángel Gómez Cruz</w:t>
      </w:r>
      <w:r>
        <w:rPr>
          <w:rFonts w:ascii="Trebuchet MS" w:hAnsi="Trebuchet MS"/>
          <w:i/>
          <w:color w:val="010202"/>
          <w:position w:val="8"/>
          <w:sz w:val="14"/>
        </w:rPr>
        <w:t>3 </w:t>
      </w:r>
      <w:r>
        <w:rPr>
          <w:rFonts w:ascii="Trebuchet MS" w:hAnsi="Trebuchet MS"/>
          <w:i/>
          <w:color w:val="010202"/>
          <w:sz w:val="24"/>
        </w:rPr>
        <w:t>y Ricardo Gómez Rodríguez</w:t>
      </w:r>
      <w:r>
        <w:rPr>
          <w:rFonts w:ascii="Trebuchet MS" w:hAnsi="Trebuchet MS"/>
          <w:i/>
          <w:color w:val="010202"/>
          <w:position w:val="8"/>
          <w:sz w:val="14"/>
        </w:rPr>
        <w:t>4</w:t>
      </w: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spacing w:before="7"/>
        <w:rPr>
          <w:rFonts w:ascii="Trebuchet MS"/>
          <w:i/>
          <w:sz w:val="31"/>
        </w:rPr>
      </w:pPr>
    </w:p>
    <w:p>
      <w:pPr>
        <w:pStyle w:val="Heading1"/>
        <w:spacing w:line="247" w:lineRule="auto"/>
        <w:ind w:left="2235" w:right="2233" w:hanging="1"/>
      </w:pPr>
      <w:bookmarkStart w:name="_TOC_250000" w:id="11"/>
      <w:r>
        <w:rPr>
          <w:color w:val="010202"/>
          <w:spacing w:val="-5"/>
        </w:rPr>
        <w:t>INVENTARIO </w:t>
      </w:r>
      <w:r>
        <w:rPr>
          <w:color w:val="010202"/>
        </w:rPr>
        <w:t>DE CARBONO PRESENTE EN SAN VICENTE </w:t>
      </w:r>
      <w:r>
        <w:rPr>
          <w:color w:val="010202"/>
          <w:spacing w:val="-6"/>
        </w:rPr>
        <w:t>YOGONDOY, </w:t>
      </w:r>
      <w:bookmarkEnd w:id="11"/>
      <w:r>
        <w:rPr>
          <w:color w:val="010202"/>
        </w:rPr>
        <w:t>MPIO. DE SAN AGUSTÍN LOXICHA, OAXACA</w:t>
      </w:r>
    </w:p>
    <w:p>
      <w:pPr>
        <w:pStyle w:val="BodyText"/>
        <w:rPr>
          <w:rFonts w:ascii="Trebuchet MS"/>
          <w:b/>
          <w:sz w:val="36"/>
        </w:rPr>
      </w:pPr>
    </w:p>
    <w:p>
      <w:pPr>
        <w:pStyle w:val="BodyText"/>
        <w:rPr>
          <w:rFonts w:ascii="Trebuchet MS"/>
          <w:b/>
          <w:sz w:val="36"/>
        </w:rPr>
      </w:pPr>
    </w:p>
    <w:p>
      <w:pPr>
        <w:pStyle w:val="BodyText"/>
        <w:spacing w:before="8"/>
        <w:rPr>
          <w:rFonts w:ascii="Trebuchet MS"/>
          <w:b/>
          <w:sz w:val="49"/>
        </w:rPr>
      </w:pPr>
    </w:p>
    <w:p>
      <w:pPr>
        <w:spacing w:before="0"/>
        <w:ind w:left="1270" w:right="0" w:firstLine="0"/>
        <w:jc w:val="both"/>
        <w:rPr>
          <w:b/>
          <w:sz w:val="24"/>
        </w:rPr>
      </w:pPr>
      <w:r>
        <w:rPr>
          <w:b/>
          <w:color w:val="010202"/>
          <w:sz w:val="24"/>
        </w:rPr>
        <w:t>Introducción</w:t>
      </w:r>
    </w:p>
    <w:p>
      <w:pPr>
        <w:pStyle w:val="BodyText"/>
        <w:spacing w:before="10"/>
        <w:rPr>
          <w:b/>
        </w:rPr>
      </w:pPr>
    </w:p>
    <w:p>
      <w:pPr>
        <w:pStyle w:val="BodyText"/>
        <w:spacing w:line="247" w:lineRule="auto"/>
        <w:ind w:left="1270" w:right="1267"/>
        <w:jc w:val="both"/>
      </w:pPr>
      <w:r>
        <w:rPr>
          <w:color w:val="231F20"/>
        </w:rPr>
        <w:t>La preocupación mundial por mitigar el efecto del cambio climático ha dado lugar a una política internacional dirigida a entender los procesos de generación y absorción de los Gases de Efecto In- vernadero</w:t>
      </w:r>
      <w:r>
        <w:rPr>
          <w:color w:val="231F20"/>
          <w:spacing w:val="-11"/>
        </w:rPr>
        <w:t> </w:t>
      </w:r>
      <w:r>
        <w:rPr>
          <w:color w:val="231F20"/>
        </w:rPr>
        <w:t>(GEI),</w:t>
      </w:r>
      <w:r>
        <w:rPr>
          <w:color w:val="231F20"/>
          <w:spacing w:val="-11"/>
        </w:rPr>
        <w:t> </w:t>
      </w:r>
      <w:r>
        <w:rPr>
          <w:color w:val="231F20"/>
        </w:rPr>
        <w:t>lo</w:t>
      </w:r>
      <w:r>
        <w:rPr>
          <w:color w:val="231F20"/>
          <w:spacing w:val="-11"/>
        </w:rPr>
        <w:t> </w:t>
      </w:r>
      <w:r>
        <w:rPr>
          <w:color w:val="231F20"/>
        </w:rPr>
        <w:t>que</w:t>
      </w:r>
      <w:r>
        <w:rPr>
          <w:color w:val="231F20"/>
          <w:spacing w:val="-11"/>
        </w:rPr>
        <w:t> </w:t>
      </w:r>
      <w:r>
        <w:rPr>
          <w:color w:val="231F20"/>
        </w:rPr>
        <w:t>ha</w:t>
      </w:r>
      <w:r>
        <w:rPr>
          <w:color w:val="231F20"/>
          <w:spacing w:val="-11"/>
        </w:rPr>
        <w:t> </w:t>
      </w:r>
      <w:r>
        <w:rPr>
          <w:color w:val="231F20"/>
        </w:rPr>
        <w:t>permitido</w:t>
      </w:r>
      <w:r>
        <w:rPr>
          <w:color w:val="231F20"/>
          <w:spacing w:val="-11"/>
        </w:rPr>
        <w:t> </w:t>
      </w:r>
      <w:r>
        <w:rPr>
          <w:color w:val="231F20"/>
        </w:rPr>
        <w:t>reconocer</w:t>
      </w:r>
      <w:r>
        <w:rPr>
          <w:color w:val="231F20"/>
          <w:spacing w:val="-11"/>
        </w:rPr>
        <w:t> </w:t>
      </w:r>
      <w:r>
        <w:rPr>
          <w:color w:val="231F20"/>
        </w:rPr>
        <w:t>la</w:t>
      </w:r>
      <w:r>
        <w:rPr>
          <w:color w:val="231F20"/>
          <w:spacing w:val="-11"/>
        </w:rPr>
        <w:t> </w:t>
      </w:r>
      <w:r>
        <w:rPr>
          <w:color w:val="231F20"/>
        </w:rPr>
        <w:t>importancia</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ecosistemas</w:t>
      </w:r>
      <w:r>
        <w:rPr>
          <w:color w:val="231F20"/>
          <w:spacing w:val="-12"/>
        </w:rPr>
        <w:t> </w:t>
      </w:r>
      <w:r>
        <w:rPr>
          <w:color w:val="231F20"/>
        </w:rPr>
        <w:t>terrestres</w:t>
      </w:r>
      <w:r>
        <w:rPr>
          <w:color w:val="231F20"/>
          <w:spacing w:val="-12"/>
        </w:rPr>
        <w:t> </w:t>
      </w:r>
      <w:r>
        <w:rPr>
          <w:color w:val="231F20"/>
          <w:spacing w:val="-7"/>
        </w:rPr>
        <w:t>y,</w:t>
      </w:r>
      <w:r>
        <w:rPr>
          <w:color w:val="231F20"/>
          <w:spacing w:val="-11"/>
        </w:rPr>
        <w:t> </w:t>
      </w:r>
      <w:r>
        <w:rPr>
          <w:color w:val="231F20"/>
        </w:rPr>
        <w:t>en</w:t>
      </w:r>
      <w:r>
        <w:rPr>
          <w:color w:val="231F20"/>
          <w:spacing w:val="-11"/>
        </w:rPr>
        <w:t> </w:t>
      </w:r>
      <w:r>
        <w:rPr>
          <w:color w:val="231F20"/>
        </w:rPr>
        <w:t>par- ticular, el papel que tiene la vegetación para capturar dióxido de carbono atmosférico por medio de la</w:t>
      </w:r>
      <w:r>
        <w:rPr>
          <w:color w:val="231F20"/>
          <w:spacing w:val="-7"/>
        </w:rPr>
        <w:t> </w:t>
      </w:r>
      <w:r>
        <w:rPr>
          <w:color w:val="231F20"/>
        </w:rPr>
        <w:t>fotosíntesis,</w:t>
      </w:r>
      <w:r>
        <w:rPr>
          <w:color w:val="231F20"/>
          <w:spacing w:val="-7"/>
        </w:rPr>
        <w:t> </w:t>
      </w:r>
      <w:r>
        <w:rPr>
          <w:color w:val="231F20"/>
        </w:rPr>
        <w:t>para</w:t>
      </w:r>
      <w:r>
        <w:rPr>
          <w:color w:val="231F20"/>
          <w:spacing w:val="-7"/>
        </w:rPr>
        <w:t> </w:t>
      </w:r>
      <w:r>
        <w:rPr>
          <w:color w:val="231F20"/>
        </w:rPr>
        <w:t>incorporarlo</w:t>
      </w:r>
      <w:r>
        <w:rPr>
          <w:color w:val="231F20"/>
          <w:spacing w:val="-7"/>
        </w:rPr>
        <w:t> </w:t>
      </w:r>
      <w:r>
        <w:rPr>
          <w:color w:val="231F20"/>
        </w:rPr>
        <w:t>a</w:t>
      </w:r>
      <w:r>
        <w:rPr>
          <w:color w:val="231F20"/>
          <w:spacing w:val="-7"/>
        </w:rPr>
        <w:t> </w:t>
      </w:r>
      <w:r>
        <w:rPr>
          <w:color w:val="231F20"/>
        </w:rPr>
        <w:t>las</w:t>
      </w:r>
      <w:r>
        <w:rPr>
          <w:color w:val="231F20"/>
          <w:spacing w:val="-7"/>
        </w:rPr>
        <w:t> </w:t>
      </w:r>
      <w:r>
        <w:rPr>
          <w:color w:val="231F20"/>
        </w:rPr>
        <w:t>estructuras</w:t>
      </w:r>
      <w:r>
        <w:rPr>
          <w:color w:val="231F20"/>
          <w:spacing w:val="-8"/>
        </w:rPr>
        <w:t> </w:t>
      </w:r>
      <w:r>
        <w:rPr>
          <w:color w:val="231F20"/>
        </w:rPr>
        <w:t>vegetales</w:t>
      </w:r>
      <w:r>
        <w:rPr>
          <w:color w:val="231F20"/>
          <w:spacing w:val="-7"/>
        </w:rPr>
        <w:t> y, </w:t>
      </w:r>
      <w:r>
        <w:rPr>
          <w:color w:val="231F20"/>
        </w:rPr>
        <w:t>de</w:t>
      </w:r>
      <w:r>
        <w:rPr>
          <w:color w:val="231F20"/>
          <w:spacing w:val="-7"/>
        </w:rPr>
        <w:t> </w:t>
      </w:r>
      <w:r>
        <w:rPr>
          <w:color w:val="231F20"/>
        </w:rPr>
        <w:t>esta</w:t>
      </w:r>
      <w:r>
        <w:rPr>
          <w:color w:val="231F20"/>
          <w:spacing w:val="-7"/>
        </w:rPr>
        <w:t> </w:t>
      </w:r>
      <w:r>
        <w:rPr>
          <w:color w:val="231F20"/>
        </w:rPr>
        <w:t>forma,</w:t>
      </w:r>
      <w:r>
        <w:rPr>
          <w:color w:val="231F20"/>
          <w:spacing w:val="-7"/>
        </w:rPr>
        <w:t> </w:t>
      </w:r>
      <w:r>
        <w:rPr>
          <w:color w:val="231F20"/>
        </w:rPr>
        <w:t>reducir</w:t>
      </w:r>
      <w:r>
        <w:rPr>
          <w:color w:val="231F20"/>
          <w:spacing w:val="-7"/>
        </w:rPr>
        <w:t> </w:t>
      </w:r>
      <w:r>
        <w:rPr>
          <w:color w:val="231F20"/>
        </w:rPr>
        <w:t>la</w:t>
      </w:r>
      <w:r>
        <w:rPr>
          <w:color w:val="231F20"/>
          <w:spacing w:val="-7"/>
        </w:rPr>
        <w:t> </w:t>
      </w:r>
      <w:r>
        <w:rPr>
          <w:color w:val="231F20"/>
        </w:rPr>
        <w:t>concentración de dióxido de carbono en la atmósfera mitigando, en el largo plazo, el cambio climático (Ordoñez, 2008). De acuerdo a la Comisión Nacional Forestal (CONAFOR) los Servicios Ambientales (SA) son los beneficios que la gente recibe de los diferentes ecosistemas forestales, ya sea de manera na- tural</w:t>
      </w:r>
      <w:r>
        <w:rPr>
          <w:color w:val="231F20"/>
          <w:spacing w:val="-9"/>
        </w:rPr>
        <w:t> </w:t>
      </w:r>
      <w:r>
        <w:rPr>
          <w:color w:val="231F20"/>
        </w:rPr>
        <w:t>o</w:t>
      </w:r>
      <w:r>
        <w:rPr>
          <w:color w:val="231F20"/>
          <w:spacing w:val="-8"/>
        </w:rPr>
        <w:t> </w:t>
      </w:r>
      <w:r>
        <w:rPr>
          <w:color w:val="231F20"/>
        </w:rPr>
        <w:t>por</w:t>
      </w:r>
      <w:r>
        <w:rPr>
          <w:color w:val="231F20"/>
          <w:spacing w:val="-8"/>
        </w:rPr>
        <w:t> </w:t>
      </w:r>
      <w:r>
        <w:rPr>
          <w:color w:val="231F20"/>
        </w:rPr>
        <w:t>medio</w:t>
      </w:r>
      <w:r>
        <w:rPr>
          <w:color w:val="231F20"/>
          <w:spacing w:val="-8"/>
        </w:rPr>
        <w:t> </w:t>
      </w:r>
      <w:r>
        <w:rPr>
          <w:color w:val="231F20"/>
        </w:rPr>
        <w:t>de</w:t>
      </w:r>
      <w:r>
        <w:rPr>
          <w:color w:val="231F20"/>
          <w:spacing w:val="-8"/>
        </w:rPr>
        <w:t> </w:t>
      </w:r>
      <w:r>
        <w:rPr>
          <w:color w:val="231F20"/>
        </w:rPr>
        <w:t>su</w:t>
      </w:r>
      <w:r>
        <w:rPr>
          <w:color w:val="231F20"/>
          <w:spacing w:val="-8"/>
        </w:rPr>
        <w:t> </w:t>
      </w:r>
      <w:r>
        <w:rPr>
          <w:color w:val="231F20"/>
        </w:rPr>
        <w:t>manejo</w:t>
      </w:r>
      <w:r>
        <w:rPr>
          <w:color w:val="231F20"/>
          <w:spacing w:val="-9"/>
        </w:rPr>
        <w:t> </w:t>
      </w:r>
      <w:r>
        <w:rPr>
          <w:color w:val="231F20"/>
        </w:rPr>
        <w:t>sustentable,</w:t>
      </w:r>
      <w:r>
        <w:rPr>
          <w:color w:val="231F20"/>
          <w:spacing w:val="-8"/>
        </w:rPr>
        <w:t> </w:t>
      </w:r>
      <w:r>
        <w:rPr>
          <w:color w:val="231F20"/>
        </w:rPr>
        <w:t>ya</w:t>
      </w:r>
      <w:r>
        <w:rPr>
          <w:color w:val="231F20"/>
          <w:spacing w:val="-8"/>
        </w:rPr>
        <w:t> </w:t>
      </w:r>
      <w:r>
        <w:rPr>
          <w:color w:val="231F20"/>
        </w:rPr>
        <w:t>sea</w:t>
      </w:r>
      <w:r>
        <w:rPr>
          <w:color w:val="231F20"/>
          <w:spacing w:val="-8"/>
        </w:rPr>
        <w:t> </w:t>
      </w:r>
      <w:r>
        <w:rPr>
          <w:color w:val="231F20"/>
        </w:rPr>
        <w:t>a</w:t>
      </w:r>
      <w:r>
        <w:rPr>
          <w:color w:val="231F20"/>
          <w:spacing w:val="-8"/>
        </w:rPr>
        <w:t> </w:t>
      </w:r>
      <w:r>
        <w:rPr>
          <w:color w:val="231F20"/>
        </w:rPr>
        <w:t>nivel</w:t>
      </w:r>
      <w:r>
        <w:rPr>
          <w:color w:val="231F20"/>
          <w:spacing w:val="-8"/>
        </w:rPr>
        <w:t> </w:t>
      </w:r>
      <w:r>
        <w:rPr>
          <w:color w:val="231F20"/>
        </w:rPr>
        <w:t>local,</w:t>
      </w:r>
      <w:r>
        <w:rPr>
          <w:color w:val="231F20"/>
          <w:spacing w:val="-9"/>
        </w:rPr>
        <w:t> </w:t>
      </w:r>
      <w:r>
        <w:rPr>
          <w:color w:val="231F20"/>
        </w:rPr>
        <w:t>regional</w:t>
      </w:r>
      <w:r>
        <w:rPr>
          <w:color w:val="231F20"/>
          <w:spacing w:val="-8"/>
        </w:rPr>
        <w:t> </w:t>
      </w:r>
      <w:r>
        <w:rPr>
          <w:color w:val="231F20"/>
        </w:rPr>
        <w:t>o</w:t>
      </w:r>
      <w:r>
        <w:rPr>
          <w:color w:val="231F20"/>
          <w:spacing w:val="-8"/>
        </w:rPr>
        <w:t> </w:t>
      </w:r>
      <w:r>
        <w:rPr>
          <w:color w:val="231F20"/>
        </w:rPr>
        <w:t>global.</w:t>
      </w:r>
      <w:r>
        <w:rPr>
          <w:color w:val="231F20"/>
          <w:spacing w:val="-8"/>
        </w:rPr>
        <w:t> </w:t>
      </w:r>
      <w:r>
        <w:rPr>
          <w:color w:val="231F20"/>
        </w:rPr>
        <w:t>Entre</w:t>
      </w:r>
      <w:r>
        <w:rPr>
          <w:color w:val="231F20"/>
          <w:spacing w:val="-9"/>
        </w:rPr>
        <w:t> </w:t>
      </w:r>
      <w:r>
        <w:rPr>
          <w:color w:val="231F20"/>
        </w:rPr>
        <w:t>los</w:t>
      </w:r>
      <w:r>
        <w:rPr>
          <w:color w:val="231F20"/>
          <w:spacing w:val="-8"/>
        </w:rPr>
        <w:t> </w:t>
      </w:r>
      <w:r>
        <w:rPr>
          <w:color w:val="231F20"/>
        </w:rPr>
        <w:t>servicios ambientales</w:t>
      </w:r>
      <w:r>
        <w:rPr>
          <w:color w:val="231F20"/>
          <w:spacing w:val="-7"/>
        </w:rPr>
        <w:t> </w:t>
      </w:r>
      <w:r>
        <w:rPr>
          <w:color w:val="231F20"/>
        </w:rPr>
        <w:t>se</w:t>
      </w:r>
      <w:r>
        <w:rPr>
          <w:color w:val="231F20"/>
          <w:spacing w:val="-7"/>
        </w:rPr>
        <w:t> </w:t>
      </w:r>
      <w:r>
        <w:rPr>
          <w:color w:val="231F20"/>
        </w:rPr>
        <w:t>tienen:</w:t>
      </w:r>
      <w:r>
        <w:rPr>
          <w:color w:val="231F20"/>
          <w:spacing w:val="-7"/>
        </w:rPr>
        <w:t> </w:t>
      </w:r>
      <w:r>
        <w:rPr>
          <w:color w:val="231F20"/>
        </w:rPr>
        <w:t>captación</w:t>
      </w:r>
      <w:r>
        <w:rPr>
          <w:color w:val="231F20"/>
          <w:spacing w:val="-7"/>
        </w:rPr>
        <w:t> </w:t>
      </w:r>
      <w:r>
        <w:rPr>
          <w:color w:val="231F20"/>
        </w:rPr>
        <w:t>y</w:t>
      </w:r>
      <w:r>
        <w:rPr>
          <w:color w:val="231F20"/>
          <w:spacing w:val="-7"/>
        </w:rPr>
        <w:t> </w:t>
      </w:r>
      <w:r>
        <w:rPr>
          <w:color w:val="231F20"/>
        </w:rPr>
        <w:t>filtración</w:t>
      </w:r>
      <w:r>
        <w:rPr>
          <w:color w:val="231F20"/>
          <w:spacing w:val="-7"/>
        </w:rPr>
        <w:t> </w:t>
      </w:r>
      <w:r>
        <w:rPr>
          <w:color w:val="231F20"/>
        </w:rPr>
        <w:t>de</w:t>
      </w:r>
      <w:r>
        <w:rPr>
          <w:color w:val="231F20"/>
          <w:spacing w:val="-7"/>
        </w:rPr>
        <w:t> </w:t>
      </w:r>
      <w:r>
        <w:rPr>
          <w:color w:val="231F20"/>
        </w:rPr>
        <w:t>agua;</w:t>
      </w:r>
      <w:r>
        <w:rPr>
          <w:color w:val="231F20"/>
          <w:spacing w:val="-7"/>
        </w:rPr>
        <w:t> </w:t>
      </w:r>
      <w:r>
        <w:rPr>
          <w:color w:val="231F20"/>
        </w:rPr>
        <w:t>mitigación</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efectos</w:t>
      </w:r>
      <w:r>
        <w:rPr>
          <w:color w:val="231F20"/>
          <w:spacing w:val="-7"/>
        </w:rPr>
        <w:t> </w:t>
      </w:r>
      <w:r>
        <w:rPr>
          <w:color w:val="231F20"/>
        </w:rPr>
        <w:t>del</w:t>
      </w:r>
      <w:r>
        <w:rPr>
          <w:color w:val="231F20"/>
          <w:spacing w:val="-7"/>
        </w:rPr>
        <w:t> </w:t>
      </w:r>
      <w:r>
        <w:rPr>
          <w:color w:val="231F20"/>
        </w:rPr>
        <w:t>cambio</w:t>
      </w:r>
      <w:r>
        <w:rPr>
          <w:color w:val="231F20"/>
          <w:spacing w:val="-7"/>
        </w:rPr>
        <w:t> </w:t>
      </w:r>
      <w:r>
        <w:rPr>
          <w:color w:val="231F20"/>
        </w:rPr>
        <w:t>climático; generación de oxígeno y asimilación de diversos contaminantes; protección de la biodiversidad; retención de suelo; refugio de fauna silvestre; belleza escénica, entre otros </w:t>
      </w:r>
      <w:r>
        <w:rPr>
          <w:color w:val="231F20"/>
          <w:spacing w:val="-5"/>
        </w:rPr>
        <w:t>(SEMARNAT,</w:t>
      </w:r>
      <w:r>
        <w:rPr>
          <w:color w:val="231F20"/>
          <w:spacing w:val="-8"/>
        </w:rPr>
        <w:t> </w:t>
      </w:r>
      <w:r>
        <w:rPr>
          <w:color w:val="231F20"/>
        </w:rPr>
        <w:t>2004).</w:t>
      </w:r>
    </w:p>
    <w:p>
      <w:pPr>
        <w:pStyle w:val="BodyText"/>
        <w:rPr>
          <w:sz w:val="20"/>
        </w:rPr>
      </w:pPr>
    </w:p>
    <w:p>
      <w:pPr>
        <w:pStyle w:val="BodyText"/>
        <w:rPr>
          <w:sz w:val="20"/>
        </w:rPr>
      </w:pPr>
    </w:p>
    <w:p>
      <w:pPr>
        <w:pStyle w:val="BodyText"/>
        <w:spacing w:before="4"/>
        <w:rPr>
          <w:sz w:val="24"/>
        </w:rPr>
      </w:pPr>
    </w:p>
    <w:p>
      <w:pPr>
        <w:spacing w:line="247" w:lineRule="auto" w:before="0"/>
        <w:ind w:left="1270" w:right="1267" w:firstLine="0"/>
        <w:jc w:val="both"/>
        <w:rPr>
          <w:rFonts w:ascii="Trebuchet MS" w:hAnsi="Trebuchet MS"/>
          <w:sz w:val="16"/>
        </w:rPr>
      </w:pPr>
      <w:r>
        <w:rPr>
          <w:rFonts w:ascii="Trebuchet MS" w:hAnsi="Trebuchet MS"/>
          <w:color w:val="231F20"/>
          <w:position w:val="5"/>
          <w:sz w:val="9"/>
        </w:rPr>
        <w:t>1</w:t>
      </w:r>
      <w:r>
        <w:rPr>
          <w:rFonts w:ascii="Trebuchet MS" w:hAnsi="Trebuchet MS"/>
          <w:color w:val="231F20"/>
          <w:sz w:val="16"/>
        </w:rPr>
        <w:t>Profesora</w:t>
      </w:r>
      <w:r>
        <w:rPr>
          <w:rFonts w:ascii="Trebuchet MS" w:hAnsi="Trebuchet MS"/>
          <w:color w:val="231F20"/>
          <w:spacing w:val="-4"/>
          <w:sz w:val="16"/>
        </w:rPr>
        <w:t> </w:t>
      </w:r>
      <w:r>
        <w:rPr>
          <w:rFonts w:ascii="Trebuchet MS" w:hAnsi="Trebuchet MS"/>
          <w:color w:val="231F20"/>
          <w:sz w:val="16"/>
        </w:rPr>
        <w:t>Investigadora</w:t>
      </w:r>
      <w:r>
        <w:rPr>
          <w:rFonts w:ascii="Trebuchet MS" w:hAnsi="Trebuchet MS"/>
          <w:color w:val="231F20"/>
          <w:spacing w:val="-4"/>
          <w:sz w:val="16"/>
        </w:rPr>
        <w:t> </w:t>
      </w:r>
      <w:r>
        <w:rPr>
          <w:rFonts w:ascii="Trebuchet MS" w:hAnsi="Trebuchet MS"/>
          <w:color w:val="231F20"/>
          <w:sz w:val="16"/>
        </w:rPr>
        <w:t>del</w:t>
      </w:r>
      <w:r>
        <w:rPr>
          <w:rFonts w:ascii="Trebuchet MS" w:hAnsi="Trebuchet MS"/>
          <w:color w:val="231F20"/>
          <w:spacing w:val="-4"/>
          <w:sz w:val="16"/>
        </w:rPr>
        <w:t> </w:t>
      </w:r>
      <w:r>
        <w:rPr>
          <w:rFonts w:ascii="Trebuchet MS" w:hAnsi="Trebuchet MS"/>
          <w:color w:val="231F20"/>
          <w:sz w:val="16"/>
        </w:rPr>
        <w:t>Departamento</w:t>
      </w:r>
      <w:r>
        <w:rPr>
          <w:rFonts w:ascii="Trebuchet MS" w:hAnsi="Trebuchet MS"/>
          <w:color w:val="231F20"/>
          <w:spacing w:val="-3"/>
          <w:sz w:val="16"/>
        </w:rPr>
        <w:t> </w:t>
      </w:r>
      <w:r>
        <w:rPr>
          <w:rFonts w:ascii="Trebuchet MS" w:hAnsi="Trebuchet MS"/>
          <w:color w:val="231F20"/>
          <w:sz w:val="16"/>
        </w:rPr>
        <w:t>de</w:t>
      </w:r>
      <w:r>
        <w:rPr>
          <w:rFonts w:ascii="Trebuchet MS" w:hAnsi="Trebuchet MS"/>
          <w:color w:val="231F20"/>
          <w:spacing w:val="-12"/>
          <w:sz w:val="16"/>
        </w:rPr>
        <w:t> </w:t>
      </w:r>
      <w:r>
        <w:rPr>
          <w:rFonts w:ascii="Trebuchet MS" w:hAnsi="Trebuchet MS"/>
          <w:color w:val="231F20"/>
          <w:sz w:val="16"/>
        </w:rPr>
        <w:t>Agroecología</w:t>
      </w:r>
      <w:r>
        <w:rPr>
          <w:rFonts w:ascii="Trebuchet MS" w:hAnsi="Trebuchet MS"/>
          <w:color w:val="231F20"/>
          <w:spacing w:val="-4"/>
          <w:sz w:val="16"/>
        </w:rPr>
        <w:t> </w:t>
      </w:r>
      <w:r>
        <w:rPr>
          <w:rFonts w:ascii="Trebuchet MS" w:hAnsi="Trebuchet MS"/>
          <w:color w:val="231F20"/>
          <w:sz w:val="16"/>
        </w:rPr>
        <w:t>y</w:t>
      </w:r>
      <w:r>
        <w:rPr>
          <w:rFonts w:ascii="Trebuchet MS" w:hAnsi="Trebuchet MS"/>
          <w:color w:val="231F20"/>
          <w:spacing w:val="-4"/>
          <w:sz w:val="16"/>
        </w:rPr>
        <w:t> </w:t>
      </w:r>
      <w:r>
        <w:rPr>
          <w:rFonts w:ascii="Trebuchet MS" w:hAnsi="Trebuchet MS"/>
          <w:color w:val="231F20"/>
          <w:sz w:val="16"/>
        </w:rPr>
        <w:t>del</w:t>
      </w:r>
      <w:r>
        <w:rPr>
          <w:rFonts w:ascii="Trebuchet MS" w:hAnsi="Trebuchet MS"/>
          <w:color w:val="231F20"/>
          <w:spacing w:val="-4"/>
          <w:sz w:val="16"/>
        </w:rPr>
        <w:t> </w:t>
      </w:r>
      <w:r>
        <w:rPr>
          <w:rFonts w:ascii="Trebuchet MS" w:hAnsi="Trebuchet MS"/>
          <w:color w:val="231F20"/>
          <w:sz w:val="16"/>
        </w:rPr>
        <w:t>CIIDRI,</w:t>
      </w:r>
      <w:r>
        <w:rPr>
          <w:rFonts w:ascii="Trebuchet MS" w:hAnsi="Trebuchet MS"/>
          <w:color w:val="231F20"/>
          <w:spacing w:val="-4"/>
          <w:sz w:val="16"/>
        </w:rPr>
        <w:t> </w:t>
      </w:r>
      <w:r>
        <w:rPr>
          <w:rFonts w:ascii="Trebuchet MS" w:hAnsi="Trebuchet MS"/>
          <w:color w:val="231F20"/>
          <w:sz w:val="16"/>
        </w:rPr>
        <w:t>Universidad</w:t>
      </w:r>
      <w:r>
        <w:rPr>
          <w:rFonts w:ascii="Trebuchet MS" w:hAnsi="Trebuchet MS"/>
          <w:color w:val="231F20"/>
          <w:spacing w:val="-11"/>
          <w:sz w:val="16"/>
        </w:rPr>
        <w:t> </w:t>
      </w:r>
      <w:r>
        <w:rPr>
          <w:rFonts w:ascii="Trebuchet MS" w:hAnsi="Trebuchet MS"/>
          <w:color w:val="231F20"/>
          <w:sz w:val="16"/>
        </w:rPr>
        <w:t>Autónoma</w:t>
      </w:r>
      <w:r>
        <w:rPr>
          <w:rFonts w:ascii="Trebuchet MS" w:hAnsi="Trebuchet MS"/>
          <w:color w:val="231F20"/>
          <w:spacing w:val="-4"/>
          <w:sz w:val="16"/>
        </w:rPr>
        <w:t> </w:t>
      </w:r>
      <w:r>
        <w:rPr>
          <w:rFonts w:ascii="Trebuchet MS" w:hAnsi="Trebuchet MS"/>
          <w:color w:val="231F20"/>
          <w:sz w:val="16"/>
        </w:rPr>
        <w:t>Chapingo.</w:t>
      </w:r>
      <w:r>
        <w:rPr>
          <w:rFonts w:ascii="Trebuchet MS" w:hAnsi="Trebuchet MS"/>
          <w:color w:val="231F20"/>
          <w:spacing w:val="-4"/>
          <w:sz w:val="16"/>
        </w:rPr>
        <w:t> </w:t>
      </w:r>
      <w:r>
        <w:rPr>
          <w:rFonts w:ascii="Trebuchet MS" w:hAnsi="Trebuchet MS"/>
          <w:color w:val="231F20"/>
          <w:sz w:val="16"/>
        </w:rPr>
        <w:t>Email:</w:t>
      </w:r>
      <w:r>
        <w:rPr>
          <w:rFonts w:ascii="Trebuchet MS" w:hAnsi="Trebuchet MS"/>
          <w:color w:val="231F20"/>
          <w:spacing w:val="-4"/>
          <w:sz w:val="16"/>
        </w:rPr>
        <w:t> </w:t>
      </w:r>
      <w:r>
        <w:rPr>
          <w:rFonts w:ascii="Trebuchet MS" w:hAnsi="Trebuchet MS"/>
          <w:color w:val="231F20"/>
          <w:sz w:val="16"/>
        </w:rPr>
        <w:t>go- </w:t>
      </w:r>
      <w:hyperlink r:id="rId113">
        <w:r>
          <w:rPr>
            <w:rFonts w:ascii="Trebuchet MS" w:hAnsi="Trebuchet MS"/>
            <w:color w:val="231F20"/>
            <w:sz w:val="16"/>
          </w:rPr>
          <w:t>mezlaura@yahoo.com.</w:t>
        </w:r>
      </w:hyperlink>
      <w:r>
        <w:rPr>
          <w:rFonts w:ascii="Trebuchet MS" w:hAnsi="Trebuchet MS"/>
          <w:color w:val="231F20"/>
          <w:sz w:val="16"/>
        </w:rPr>
        <w:t> </w:t>
      </w:r>
      <w:r>
        <w:rPr>
          <w:rFonts w:ascii="Trebuchet MS" w:hAnsi="Trebuchet MS"/>
          <w:color w:val="231F20"/>
          <w:spacing w:val="-4"/>
          <w:position w:val="5"/>
          <w:sz w:val="9"/>
        </w:rPr>
        <w:t>2</w:t>
      </w:r>
      <w:r>
        <w:rPr>
          <w:rFonts w:ascii="Trebuchet MS" w:hAnsi="Trebuchet MS"/>
          <w:color w:val="231F20"/>
          <w:spacing w:val="-4"/>
          <w:sz w:val="16"/>
        </w:rPr>
        <w:t>Tesista </w:t>
      </w:r>
      <w:r>
        <w:rPr>
          <w:rFonts w:ascii="Trebuchet MS" w:hAnsi="Trebuchet MS"/>
          <w:color w:val="231F20"/>
          <w:sz w:val="16"/>
        </w:rPr>
        <w:t>del Depto. de Agroecología. Universidad Autónoma Chapingo. Email. vicorsa9@gmail. com.</w:t>
      </w:r>
      <w:r>
        <w:rPr>
          <w:rFonts w:ascii="Trebuchet MS" w:hAnsi="Trebuchet MS"/>
          <w:color w:val="231F20"/>
          <w:spacing w:val="-8"/>
          <w:sz w:val="16"/>
        </w:rPr>
        <w:t> </w:t>
      </w:r>
      <w:r>
        <w:rPr>
          <w:rFonts w:ascii="Trebuchet MS" w:hAnsi="Trebuchet MS"/>
          <w:color w:val="231F20"/>
          <w:position w:val="5"/>
          <w:sz w:val="9"/>
        </w:rPr>
        <w:t>3</w:t>
      </w:r>
      <w:r>
        <w:rPr>
          <w:rFonts w:ascii="Trebuchet MS" w:hAnsi="Trebuchet MS"/>
          <w:color w:val="231F20"/>
          <w:sz w:val="16"/>
        </w:rPr>
        <w:t>Director</w:t>
      </w:r>
      <w:r>
        <w:rPr>
          <w:rFonts w:ascii="Trebuchet MS" w:hAnsi="Trebuchet MS"/>
          <w:color w:val="231F20"/>
          <w:spacing w:val="-8"/>
          <w:sz w:val="16"/>
        </w:rPr>
        <w:t> </w:t>
      </w:r>
      <w:r>
        <w:rPr>
          <w:rFonts w:ascii="Trebuchet MS" w:hAnsi="Trebuchet MS"/>
          <w:color w:val="231F20"/>
          <w:sz w:val="16"/>
        </w:rPr>
        <w:t>del</w:t>
      </w:r>
      <w:r>
        <w:rPr>
          <w:rFonts w:ascii="Trebuchet MS" w:hAnsi="Trebuchet MS"/>
          <w:color w:val="231F20"/>
          <w:spacing w:val="-8"/>
          <w:sz w:val="16"/>
        </w:rPr>
        <w:t> </w:t>
      </w:r>
      <w:r>
        <w:rPr>
          <w:rFonts w:ascii="Trebuchet MS" w:hAnsi="Trebuchet MS"/>
          <w:color w:val="231F20"/>
          <w:sz w:val="16"/>
        </w:rPr>
        <w:t>Centro</w:t>
      </w:r>
      <w:r>
        <w:rPr>
          <w:rFonts w:ascii="Trebuchet MS" w:hAnsi="Trebuchet MS"/>
          <w:color w:val="231F20"/>
          <w:spacing w:val="-8"/>
          <w:sz w:val="16"/>
        </w:rPr>
        <w:t> </w:t>
      </w:r>
      <w:r>
        <w:rPr>
          <w:rFonts w:ascii="Trebuchet MS" w:hAnsi="Trebuchet MS"/>
          <w:color w:val="231F20"/>
          <w:sz w:val="16"/>
        </w:rPr>
        <w:t>de</w:t>
      </w:r>
      <w:r>
        <w:rPr>
          <w:rFonts w:ascii="Trebuchet MS" w:hAnsi="Trebuchet MS"/>
          <w:color w:val="231F20"/>
          <w:spacing w:val="-8"/>
          <w:sz w:val="16"/>
        </w:rPr>
        <w:t> </w:t>
      </w:r>
      <w:r>
        <w:rPr>
          <w:rFonts w:ascii="Trebuchet MS" w:hAnsi="Trebuchet MS"/>
          <w:color w:val="231F20"/>
          <w:sz w:val="16"/>
        </w:rPr>
        <w:t>Investigaciones</w:t>
      </w:r>
      <w:r>
        <w:rPr>
          <w:rFonts w:ascii="Trebuchet MS" w:hAnsi="Trebuchet MS"/>
          <w:color w:val="231F20"/>
          <w:spacing w:val="-8"/>
          <w:sz w:val="16"/>
        </w:rPr>
        <w:t> </w:t>
      </w:r>
      <w:r>
        <w:rPr>
          <w:rFonts w:ascii="Trebuchet MS" w:hAnsi="Trebuchet MS"/>
          <w:color w:val="231F20"/>
          <w:sz w:val="16"/>
        </w:rPr>
        <w:t>Interdisciplinarias</w:t>
      </w:r>
      <w:r>
        <w:rPr>
          <w:rFonts w:ascii="Trebuchet MS" w:hAnsi="Trebuchet MS"/>
          <w:color w:val="231F20"/>
          <w:spacing w:val="-6"/>
          <w:sz w:val="16"/>
        </w:rPr>
        <w:t> </w:t>
      </w:r>
      <w:r>
        <w:rPr>
          <w:rFonts w:ascii="Trebuchet MS" w:hAnsi="Trebuchet MS"/>
          <w:color w:val="231F20"/>
          <w:sz w:val="16"/>
        </w:rPr>
        <w:t>para</w:t>
      </w:r>
      <w:r>
        <w:rPr>
          <w:rFonts w:ascii="Trebuchet MS" w:hAnsi="Trebuchet MS"/>
          <w:color w:val="231F20"/>
          <w:spacing w:val="-8"/>
          <w:sz w:val="16"/>
        </w:rPr>
        <w:t> </w:t>
      </w:r>
      <w:r>
        <w:rPr>
          <w:rFonts w:ascii="Trebuchet MS" w:hAnsi="Trebuchet MS"/>
          <w:color w:val="231F20"/>
          <w:sz w:val="16"/>
        </w:rPr>
        <w:t>el</w:t>
      </w:r>
      <w:r>
        <w:rPr>
          <w:rFonts w:ascii="Trebuchet MS" w:hAnsi="Trebuchet MS"/>
          <w:color w:val="231F20"/>
          <w:spacing w:val="-8"/>
          <w:sz w:val="16"/>
        </w:rPr>
        <w:t> </w:t>
      </w:r>
      <w:r>
        <w:rPr>
          <w:rFonts w:ascii="Trebuchet MS" w:hAnsi="Trebuchet MS"/>
          <w:color w:val="231F20"/>
          <w:sz w:val="16"/>
        </w:rPr>
        <w:t>Desarrollo</w:t>
      </w:r>
      <w:r>
        <w:rPr>
          <w:rFonts w:ascii="Trebuchet MS" w:hAnsi="Trebuchet MS"/>
          <w:color w:val="231F20"/>
          <w:spacing w:val="-7"/>
          <w:sz w:val="16"/>
        </w:rPr>
        <w:t> </w:t>
      </w:r>
      <w:r>
        <w:rPr>
          <w:rFonts w:ascii="Trebuchet MS" w:hAnsi="Trebuchet MS"/>
          <w:color w:val="231F20"/>
          <w:sz w:val="16"/>
        </w:rPr>
        <w:t>Rural</w:t>
      </w:r>
      <w:r>
        <w:rPr>
          <w:rFonts w:ascii="Trebuchet MS" w:hAnsi="Trebuchet MS"/>
          <w:color w:val="231F20"/>
          <w:spacing w:val="-8"/>
          <w:sz w:val="16"/>
        </w:rPr>
        <w:t> </w:t>
      </w:r>
      <w:r>
        <w:rPr>
          <w:rFonts w:ascii="Trebuchet MS" w:hAnsi="Trebuchet MS"/>
          <w:color w:val="231F20"/>
          <w:sz w:val="16"/>
        </w:rPr>
        <w:t>Integral</w:t>
      </w:r>
      <w:r>
        <w:rPr>
          <w:rFonts w:ascii="Trebuchet MS" w:hAnsi="Trebuchet MS"/>
          <w:color w:val="231F20"/>
          <w:spacing w:val="-7"/>
          <w:sz w:val="16"/>
        </w:rPr>
        <w:t> </w:t>
      </w:r>
      <w:r>
        <w:rPr>
          <w:rFonts w:ascii="Trebuchet MS" w:hAnsi="Trebuchet MS"/>
          <w:color w:val="231F20"/>
          <w:sz w:val="16"/>
        </w:rPr>
        <w:t>(CIIDRI),</w:t>
      </w:r>
      <w:r>
        <w:rPr>
          <w:rFonts w:ascii="Trebuchet MS" w:hAnsi="Trebuchet MS"/>
          <w:color w:val="231F20"/>
          <w:spacing w:val="-8"/>
          <w:sz w:val="16"/>
        </w:rPr>
        <w:t> </w:t>
      </w:r>
      <w:r>
        <w:rPr>
          <w:rFonts w:ascii="Trebuchet MS" w:hAnsi="Trebuchet MS"/>
          <w:color w:val="231F20"/>
          <w:sz w:val="16"/>
        </w:rPr>
        <w:t>Universidad Autónoma Chapingo. Email: </w:t>
      </w:r>
      <w:hyperlink r:id="rId114">
        <w:r>
          <w:rPr>
            <w:rFonts w:ascii="Trebuchet MS" w:hAnsi="Trebuchet MS"/>
            <w:color w:val="231F20"/>
            <w:sz w:val="16"/>
          </w:rPr>
          <w:t>ciidri@yahoo.com.mx.</w:t>
        </w:r>
      </w:hyperlink>
      <w:r>
        <w:rPr>
          <w:rFonts w:ascii="Trebuchet MS" w:hAnsi="Trebuchet MS"/>
          <w:color w:val="231F20"/>
          <w:sz w:val="16"/>
        </w:rPr>
        <w:t> </w:t>
      </w:r>
      <w:r>
        <w:rPr>
          <w:rFonts w:ascii="Trebuchet MS" w:hAnsi="Trebuchet MS"/>
          <w:color w:val="231F20"/>
          <w:position w:val="5"/>
          <w:sz w:val="9"/>
        </w:rPr>
        <w:t>4</w:t>
      </w:r>
      <w:r>
        <w:rPr>
          <w:rFonts w:ascii="Trebuchet MS" w:hAnsi="Trebuchet MS"/>
          <w:color w:val="231F20"/>
          <w:sz w:val="16"/>
        </w:rPr>
        <w:t>Ingeniero forestal egresado de la Universidad Autónoma Chapin- go. Email.</w:t>
      </w:r>
      <w:r>
        <w:rPr>
          <w:rFonts w:ascii="Trebuchet MS" w:hAnsi="Trebuchet MS"/>
          <w:color w:val="231F20"/>
          <w:spacing w:val="-2"/>
          <w:sz w:val="16"/>
        </w:rPr>
        <w:t> </w:t>
      </w:r>
      <w:hyperlink r:id="rId115">
        <w:r>
          <w:rPr>
            <w:rFonts w:ascii="Trebuchet MS" w:hAnsi="Trebuchet MS"/>
            <w:color w:val="231F20"/>
            <w:sz w:val="16"/>
          </w:rPr>
          <w:t>co2ricardo@hotmail.com.</w:t>
        </w:r>
      </w:hyperlink>
    </w:p>
    <w:p>
      <w:pPr>
        <w:spacing w:after="0" w:line="247" w:lineRule="auto"/>
        <w:jc w:val="both"/>
        <w:rPr>
          <w:rFonts w:ascii="Trebuchet MS" w:hAnsi="Trebuchet MS"/>
          <w:sz w:val="16"/>
        </w:rPr>
        <w:sectPr>
          <w:pgSz w:w="10920" w:h="13080"/>
          <w:pgMar w:header="0" w:footer="965" w:top="420" w:bottom="1220" w:left="0" w:right="0"/>
        </w:sectPr>
      </w:pPr>
    </w:p>
    <w:p>
      <w:pPr>
        <w:pStyle w:val="BodyText"/>
        <w:rPr>
          <w:rFonts w:ascii="Trebuchet MS"/>
          <w:sz w:val="20"/>
        </w:rPr>
      </w:pPr>
    </w:p>
    <w:p>
      <w:pPr>
        <w:pStyle w:val="BodyText"/>
        <w:rPr>
          <w:rFonts w:ascii="Trebuchet MS"/>
          <w:sz w:val="20"/>
        </w:rPr>
      </w:pPr>
    </w:p>
    <w:p>
      <w:pPr>
        <w:pStyle w:val="BodyText"/>
        <w:spacing w:before="4"/>
        <w:rPr>
          <w:rFonts w:ascii="Trebuchet MS"/>
          <w:sz w:val="22"/>
        </w:rPr>
      </w:pPr>
    </w:p>
    <w:p>
      <w:pPr>
        <w:pStyle w:val="BodyText"/>
        <w:spacing w:line="247" w:lineRule="auto" w:before="73"/>
        <w:ind w:left="1270" w:right="1267"/>
        <w:jc w:val="both"/>
      </w:pPr>
      <w:r>
        <w:rPr>
          <w:color w:val="231F20"/>
        </w:rPr>
        <w:t>Existe un mercado en el pago por servicios ambientales y el precio de fijación es variable, el precio se paga por tonelada de carbono fijado por hectárea, y existen cuotas mínimas de fijación para los proyectos bajo los criterios de los Mecanismos de Desarrollo Limpio (MDL), así como un mercado voluntario donde incide el grueso de los posibles proyectos de carbono y donde muchas empresas emisoras y comunidades poseedoras de áreas con vegetación que pueden ofrecer el servicio am- biental necesitan de un esquema regulatorio, con monitoreo, evaluación, certificación de la captura o fijación de carbono (Ordoñez, 2008). La comunidad de San Vicente </w:t>
      </w:r>
      <w:r>
        <w:rPr>
          <w:color w:val="231F20"/>
          <w:spacing w:val="-3"/>
        </w:rPr>
        <w:t>Yogondoy </w:t>
      </w:r>
      <w:r>
        <w:rPr>
          <w:color w:val="231F20"/>
        </w:rPr>
        <w:t>en el municipio de San Agustín Loxicha, es una comunidad cuya producción se basa en el autoconsumo (variedades  de maíz, frijol y calabaza) y cuya única especie comercial es el café, cuyos problemas son bajos rendimientos, alta presencia de intermediarismo y bajos precios, además de considerarse como una población que vive en marginación y pobreza extrema, siendo estos factores que inciden en el alto grado de migración (Rendón y Hernández, 2005). Desde que el huracán Paulina azotó las costas de Oaxaca en 1997, la producción de café en la comunidad fue en</w:t>
      </w:r>
      <w:r>
        <w:rPr>
          <w:color w:val="231F20"/>
          <w:spacing w:val="-10"/>
        </w:rPr>
        <w:t> </w:t>
      </w:r>
      <w:r>
        <w:rPr>
          <w:color w:val="231F20"/>
        </w:rPr>
        <w:t>decremento.</w:t>
      </w:r>
    </w:p>
    <w:p>
      <w:pPr>
        <w:pStyle w:val="BodyText"/>
        <w:spacing w:before="10"/>
      </w:pPr>
    </w:p>
    <w:p>
      <w:pPr>
        <w:pStyle w:val="BodyText"/>
        <w:spacing w:line="247" w:lineRule="auto"/>
        <w:ind w:left="1270" w:right="1267"/>
        <w:jc w:val="both"/>
      </w:pPr>
      <w:r>
        <w:rPr>
          <w:color w:val="231F20"/>
        </w:rPr>
        <w:t>En</w:t>
      </w:r>
      <w:r>
        <w:rPr>
          <w:color w:val="231F20"/>
          <w:spacing w:val="-6"/>
        </w:rPr>
        <w:t> </w:t>
      </w:r>
      <w:r>
        <w:rPr>
          <w:color w:val="231F20"/>
        </w:rPr>
        <w:t>la</w:t>
      </w:r>
      <w:r>
        <w:rPr>
          <w:color w:val="231F20"/>
          <w:spacing w:val="-6"/>
        </w:rPr>
        <w:t> </w:t>
      </w:r>
      <w:r>
        <w:rPr>
          <w:color w:val="231F20"/>
        </w:rPr>
        <w:t>comunidad</w:t>
      </w:r>
      <w:r>
        <w:rPr>
          <w:color w:val="231F20"/>
          <w:spacing w:val="-6"/>
        </w:rPr>
        <w:t> </w:t>
      </w:r>
      <w:r>
        <w:rPr>
          <w:color w:val="231F20"/>
        </w:rPr>
        <w:t>se</w:t>
      </w:r>
      <w:r>
        <w:rPr>
          <w:color w:val="231F20"/>
          <w:spacing w:val="-6"/>
        </w:rPr>
        <w:t> </w:t>
      </w:r>
      <w:r>
        <w:rPr>
          <w:color w:val="231F20"/>
        </w:rPr>
        <w:t>pueden</w:t>
      </w:r>
      <w:r>
        <w:rPr>
          <w:color w:val="231F20"/>
          <w:spacing w:val="-6"/>
        </w:rPr>
        <w:t> </w:t>
      </w:r>
      <w:r>
        <w:rPr>
          <w:color w:val="231F20"/>
        </w:rPr>
        <w:t>desarrollar</w:t>
      </w:r>
      <w:r>
        <w:rPr>
          <w:color w:val="231F20"/>
          <w:spacing w:val="-6"/>
        </w:rPr>
        <w:t> </w:t>
      </w:r>
      <w:r>
        <w:rPr>
          <w:color w:val="231F20"/>
        </w:rPr>
        <w:t>proyectos</w:t>
      </w:r>
      <w:r>
        <w:rPr>
          <w:color w:val="231F20"/>
          <w:spacing w:val="-6"/>
        </w:rPr>
        <w:t> </w:t>
      </w:r>
      <w:r>
        <w:rPr>
          <w:color w:val="231F20"/>
        </w:rPr>
        <w:t>para</w:t>
      </w:r>
      <w:r>
        <w:rPr>
          <w:color w:val="231F20"/>
          <w:spacing w:val="-6"/>
        </w:rPr>
        <w:t> </w:t>
      </w:r>
      <w:r>
        <w:rPr>
          <w:color w:val="231F20"/>
        </w:rPr>
        <w:t>el</w:t>
      </w:r>
      <w:r>
        <w:rPr>
          <w:color w:val="231F20"/>
          <w:spacing w:val="-6"/>
        </w:rPr>
        <w:t> </w:t>
      </w:r>
      <w:r>
        <w:rPr>
          <w:color w:val="231F20"/>
        </w:rPr>
        <w:t>pago</w:t>
      </w:r>
      <w:r>
        <w:rPr>
          <w:color w:val="231F20"/>
          <w:spacing w:val="-6"/>
        </w:rPr>
        <w:t> </w:t>
      </w:r>
      <w:r>
        <w:rPr>
          <w:color w:val="231F20"/>
        </w:rPr>
        <w:t>de</w:t>
      </w:r>
      <w:r>
        <w:rPr>
          <w:color w:val="231F20"/>
          <w:spacing w:val="-6"/>
        </w:rPr>
        <w:t> </w:t>
      </w:r>
      <w:r>
        <w:rPr>
          <w:color w:val="231F20"/>
        </w:rPr>
        <w:t>servicios</w:t>
      </w:r>
      <w:r>
        <w:rPr>
          <w:color w:val="231F20"/>
          <w:spacing w:val="-5"/>
        </w:rPr>
        <w:t> </w:t>
      </w:r>
      <w:r>
        <w:rPr>
          <w:color w:val="231F20"/>
        </w:rPr>
        <w:t>ambientales</w:t>
      </w:r>
      <w:r>
        <w:rPr>
          <w:color w:val="231F20"/>
          <w:spacing w:val="-6"/>
        </w:rPr>
        <w:t> </w:t>
      </w:r>
      <w:r>
        <w:rPr>
          <w:color w:val="231F20"/>
        </w:rPr>
        <w:t>(PSA),</w:t>
      </w:r>
      <w:r>
        <w:rPr>
          <w:color w:val="231F20"/>
          <w:spacing w:val="-6"/>
        </w:rPr>
        <w:t> </w:t>
      </w:r>
      <w:r>
        <w:rPr>
          <w:color w:val="231F20"/>
        </w:rPr>
        <w:t>espe- cialmente el de captura de carbono, que beneficiara directamente a los productores ya que generará un ingreso económico por el cuidado, manejo y restauración de sus recursos naturales, de igual for- ma beneficiará indirectamente en la recarga de acuíferos, conservación de suelo, vegetación, flora y fauna, así como un impulso a una producción más</w:t>
      </w:r>
      <w:r>
        <w:rPr>
          <w:color w:val="231F20"/>
          <w:spacing w:val="-16"/>
        </w:rPr>
        <w:t> </w:t>
      </w:r>
      <w:r>
        <w:rPr>
          <w:color w:val="231F20"/>
        </w:rPr>
        <w:t>sustentable.</w:t>
      </w:r>
    </w:p>
    <w:p>
      <w:pPr>
        <w:pStyle w:val="BodyText"/>
        <w:spacing w:before="10"/>
      </w:pPr>
    </w:p>
    <w:p>
      <w:pPr>
        <w:pStyle w:val="BodyText"/>
        <w:spacing w:line="247" w:lineRule="auto"/>
        <w:ind w:left="1270" w:right="1267"/>
        <w:jc w:val="both"/>
      </w:pPr>
      <w:r>
        <w:rPr>
          <w:color w:val="231F20"/>
        </w:rPr>
        <w:t>En este proyecto de investigación se realizó el estudio básico del inventario de carbono actual en la comunidad de San Vicente </w:t>
      </w:r>
      <w:r>
        <w:rPr>
          <w:color w:val="231F20"/>
          <w:spacing w:val="-4"/>
        </w:rPr>
        <w:t>Yogondoy, </w:t>
      </w:r>
      <w:r>
        <w:rPr>
          <w:color w:val="231F20"/>
        </w:rPr>
        <w:t>el cual brinda la información para que los productores trami- ten ante CONAFOR o alguna otra instancia o empresa interesada el pago por captura de carbono. Adicionalmente se realizó una evaluación cualitativa de los beneficios que obtienen los comuneros que reciben actualmente en otros lugares de la zona Loxicha el pago por algún servicio ambiental, por</w:t>
      </w:r>
      <w:r>
        <w:rPr>
          <w:color w:val="231F20"/>
          <w:spacing w:val="-4"/>
        </w:rPr>
        <w:t> </w:t>
      </w:r>
      <w:r>
        <w:rPr>
          <w:color w:val="231F20"/>
        </w:rPr>
        <w:t>ejemplo,</w:t>
      </w:r>
      <w:r>
        <w:rPr>
          <w:color w:val="231F20"/>
          <w:spacing w:val="-4"/>
        </w:rPr>
        <w:t> </w:t>
      </w:r>
      <w:r>
        <w:rPr>
          <w:color w:val="231F20"/>
        </w:rPr>
        <w:t>el</w:t>
      </w:r>
      <w:r>
        <w:rPr>
          <w:color w:val="231F20"/>
          <w:spacing w:val="-4"/>
        </w:rPr>
        <w:t> </w:t>
      </w:r>
      <w:r>
        <w:rPr>
          <w:color w:val="231F20"/>
        </w:rPr>
        <w:t>pago</w:t>
      </w:r>
      <w:r>
        <w:rPr>
          <w:color w:val="231F20"/>
          <w:spacing w:val="-4"/>
        </w:rPr>
        <w:t> </w:t>
      </w:r>
      <w:r>
        <w:rPr>
          <w:color w:val="231F20"/>
        </w:rPr>
        <w:t>por</w:t>
      </w:r>
      <w:r>
        <w:rPr>
          <w:color w:val="231F20"/>
          <w:spacing w:val="-4"/>
        </w:rPr>
        <w:t> </w:t>
      </w:r>
      <w:r>
        <w:rPr>
          <w:color w:val="231F20"/>
        </w:rPr>
        <w:t>servicios</w:t>
      </w:r>
      <w:r>
        <w:rPr>
          <w:color w:val="231F20"/>
          <w:spacing w:val="-3"/>
        </w:rPr>
        <w:t> </w:t>
      </w:r>
      <w:r>
        <w:rPr>
          <w:color w:val="231F20"/>
        </w:rPr>
        <w:t>hidrológicos</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comunidad</w:t>
      </w:r>
      <w:r>
        <w:rPr>
          <w:color w:val="231F20"/>
          <w:spacing w:val="-4"/>
        </w:rPr>
        <w:t> </w:t>
      </w:r>
      <w:r>
        <w:rPr>
          <w:color w:val="231F20"/>
        </w:rPr>
        <w:t>de</w:t>
      </w:r>
      <w:r>
        <w:rPr>
          <w:color w:val="231F20"/>
          <w:spacing w:val="-4"/>
        </w:rPr>
        <w:t> </w:t>
      </w:r>
      <w:r>
        <w:rPr>
          <w:color w:val="231F20"/>
        </w:rPr>
        <w:t>“Santiago</w:t>
      </w:r>
      <w:r>
        <w:rPr>
          <w:color w:val="231F20"/>
          <w:spacing w:val="-4"/>
        </w:rPr>
        <w:t> </w:t>
      </w:r>
      <w:r>
        <w:rPr>
          <w:color w:val="231F20"/>
        </w:rPr>
        <w:t>La</w:t>
      </w:r>
      <w:r>
        <w:rPr>
          <w:color w:val="231F20"/>
          <w:spacing w:val="-4"/>
        </w:rPr>
        <w:t> </w:t>
      </w:r>
      <w:r>
        <w:rPr>
          <w:color w:val="231F20"/>
        </w:rPr>
        <w:t>Galera,</w:t>
      </w:r>
      <w:r>
        <w:rPr>
          <w:color w:val="231F20"/>
          <w:spacing w:val="-3"/>
        </w:rPr>
        <w:t> </w:t>
      </w:r>
      <w:r>
        <w:rPr>
          <w:color w:val="231F20"/>
        </w:rPr>
        <w:t>Municipio de</w:t>
      </w:r>
      <w:r>
        <w:rPr>
          <w:color w:val="231F20"/>
          <w:spacing w:val="-9"/>
        </w:rPr>
        <w:t> </w:t>
      </w:r>
      <w:r>
        <w:rPr>
          <w:color w:val="231F20"/>
        </w:rPr>
        <w:t>Candelaria</w:t>
      </w:r>
      <w:r>
        <w:rPr>
          <w:color w:val="231F20"/>
          <w:spacing w:val="-10"/>
        </w:rPr>
        <w:t> </w:t>
      </w:r>
      <w:r>
        <w:rPr>
          <w:color w:val="231F20"/>
        </w:rPr>
        <w:t>Loxicha”,</w:t>
      </w:r>
      <w:r>
        <w:rPr>
          <w:color w:val="231F20"/>
          <w:spacing w:val="-10"/>
        </w:rPr>
        <w:t> </w:t>
      </w:r>
      <w:r>
        <w:rPr>
          <w:color w:val="231F20"/>
        </w:rPr>
        <w:t>el</w:t>
      </w:r>
      <w:r>
        <w:rPr>
          <w:color w:val="231F20"/>
          <w:spacing w:val="-10"/>
        </w:rPr>
        <w:t> </w:t>
      </w:r>
      <w:r>
        <w:rPr>
          <w:color w:val="231F20"/>
        </w:rPr>
        <w:t>pago</w:t>
      </w:r>
      <w:r>
        <w:rPr>
          <w:color w:val="231F20"/>
          <w:spacing w:val="-9"/>
        </w:rPr>
        <w:t> </w:t>
      </w:r>
      <w:r>
        <w:rPr>
          <w:color w:val="231F20"/>
        </w:rPr>
        <w:t>por</w:t>
      </w:r>
      <w:r>
        <w:rPr>
          <w:color w:val="231F20"/>
          <w:spacing w:val="-9"/>
        </w:rPr>
        <w:t> </w:t>
      </w:r>
      <w:r>
        <w:rPr>
          <w:color w:val="231F20"/>
        </w:rPr>
        <w:t>servicio</w:t>
      </w:r>
      <w:r>
        <w:rPr>
          <w:color w:val="231F20"/>
          <w:spacing w:val="-9"/>
        </w:rPr>
        <w:t> </w:t>
      </w:r>
      <w:r>
        <w:rPr>
          <w:color w:val="231F20"/>
        </w:rPr>
        <w:t>de</w:t>
      </w:r>
      <w:r>
        <w:rPr>
          <w:color w:val="231F20"/>
          <w:spacing w:val="-9"/>
        </w:rPr>
        <w:t> </w:t>
      </w:r>
      <w:r>
        <w:rPr>
          <w:color w:val="231F20"/>
        </w:rPr>
        <w:t>captura</w:t>
      </w:r>
      <w:r>
        <w:rPr>
          <w:color w:val="231F20"/>
          <w:spacing w:val="-10"/>
        </w:rPr>
        <w:t> </w:t>
      </w:r>
      <w:r>
        <w:rPr>
          <w:color w:val="231F20"/>
        </w:rPr>
        <w:t>de</w:t>
      </w:r>
      <w:r>
        <w:rPr>
          <w:color w:val="231F20"/>
          <w:spacing w:val="-9"/>
        </w:rPr>
        <w:t> </w:t>
      </w:r>
      <w:r>
        <w:rPr>
          <w:color w:val="231F20"/>
        </w:rPr>
        <w:t>carbono</w:t>
      </w:r>
      <w:r>
        <w:rPr>
          <w:color w:val="231F20"/>
          <w:spacing w:val="-10"/>
        </w:rPr>
        <w:t> </w:t>
      </w:r>
      <w:r>
        <w:rPr>
          <w:color w:val="231F20"/>
        </w:rPr>
        <w:t>en</w:t>
      </w:r>
      <w:r>
        <w:rPr>
          <w:color w:val="231F20"/>
          <w:spacing w:val="-9"/>
        </w:rPr>
        <w:t> </w:t>
      </w:r>
      <w:r>
        <w:rPr>
          <w:color w:val="231F20"/>
        </w:rPr>
        <w:t>el</w:t>
      </w:r>
      <w:r>
        <w:rPr>
          <w:color w:val="231F20"/>
          <w:spacing w:val="-10"/>
        </w:rPr>
        <w:t> </w:t>
      </w:r>
      <w:r>
        <w:rPr>
          <w:color w:val="231F20"/>
        </w:rPr>
        <w:t>“Municipio</w:t>
      </w:r>
      <w:r>
        <w:rPr>
          <w:color w:val="231F20"/>
          <w:spacing w:val="-10"/>
        </w:rPr>
        <w:t> </w:t>
      </w:r>
      <w:r>
        <w:rPr>
          <w:color w:val="231F20"/>
        </w:rPr>
        <w:t>de</w:t>
      </w:r>
      <w:r>
        <w:rPr>
          <w:color w:val="231F20"/>
          <w:spacing w:val="-9"/>
        </w:rPr>
        <w:t> </w:t>
      </w:r>
      <w:r>
        <w:rPr>
          <w:color w:val="231F20"/>
        </w:rPr>
        <w:t>San</w:t>
      </w:r>
      <w:r>
        <w:rPr>
          <w:color w:val="231F20"/>
          <w:spacing w:val="-9"/>
        </w:rPr>
        <w:t> </w:t>
      </w:r>
      <w:r>
        <w:rPr>
          <w:color w:val="231F20"/>
        </w:rPr>
        <w:t>Bartolo- mé</w:t>
      </w:r>
      <w:r>
        <w:rPr>
          <w:color w:val="231F20"/>
          <w:spacing w:val="-3"/>
        </w:rPr>
        <w:t> </w:t>
      </w:r>
      <w:r>
        <w:rPr>
          <w:color w:val="231F20"/>
        </w:rPr>
        <w:t>Loxicha”</w:t>
      </w:r>
      <w:r>
        <w:rPr>
          <w:color w:val="231F20"/>
          <w:spacing w:val="-4"/>
        </w:rPr>
        <w:t> </w:t>
      </w:r>
      <w:r>
        <w:rPr>
          <w:color w:val="231F20"/>
        </w:rPr>
        <w:t>y</w:t>
      </w:r>
      <w:r>
        <w:rPr>
          <w:color w:val="231F20"/>
          <w:spacing w:val="-3"/>
        </w:rPr>
        <w:t> </w:t>
      </w:r>
      <w:r>
        <w:rPr>
          <w:color w:val="231F20"/>
        </w:rPr>
        <w:t>una</w:t>
      </w:r>
      <w:r>
        <w:rPr>
          <w:color w:val="231F20"/>
          <w:spacing w:val="-3"/>
        </w:rPr>
        <w:t> </w:t>
      </w:r>
      <w:r>
        <w:rPr>
          <w:color w:val="231F20"/>
        </w:rPr>
        <w:t>valoración</w:t>
      </w:r>
      <w:r>
        <w:rPr>
          <w:color w:val="231F20"/>
          <w:spacing w:val="-3"/>
        </w:rPr>
        <w:t> </w:t>
      </w:r>
      <w:r>
        <w:rPr>
          <w:color w:val="231F20"/>
        </w:rPr>
        <w:t>cualitativa</w:t>
      </w:r>
      <w:r>
        <w:rPr>
          <w:color w:val="231F20"/>
          <w:spacing w:val="-4"/>
        </w:rPr>
        <w:t> </w:t>
      </w:r>
      <w:r>
        <w:rPr>
          <w:color w:val="231F20"/>
        </w:rPr>
        <w:t>de</w:t>
      </w:r>
      <w:r>
        <w:rPr>
          <w:color w:val="231F20"/>
          <w:spacing w:val="-3"/>
        </w:rPr>
        <w:t> </w:t>
      </w:r>
      <w:r>
        <w:rPr>
          <w:color w:val="231F20"/>
        </w:rPr>
        <w:t>los</w:t>
      </w:r>
      <w:r>
        <w:rPr>
          <w:color w:val="231F20"/>
          <w:spacing w:val="-3"/>
        </w:rPr>
        <w:t> </w:t>
      </w:r>
      <w:r>
        <w:rPr>
          <w:color w:val="231F20"/>
        </w:rPr>
        <w:t>comuneros</w:t>
      </w:r>
      <w:r>
        <w:rPr>
          <w:color w:val="231F20"/>
          <w:spacing w:val="-4"/>
        </w:rPr>
        <w:t> </w:t>
      </w:r>
      <w:r>
        <w:rPr>
          <w:color w:val="231F20"/>
        </w:rPr>
        <w:t>de</w:t>
      </w:r>
      <w:r>
        <w:rPr>
          <w:color w:val="231F20"/>
          <w:spacing w:val="-3"/>
        </w:rPr>
        <w:t> </w:t>
      </w:r>
      <w:r>
        <w:rPr>
          <w:color w:val="231F20"/>
        </w:rPr>
        <w:t>la</w:t>
      </w:r>
      <w:r>
        <w:rPr>
          <w:color w:val="231F20"/>
          <w:spacing w:val="-3"/>
        </w:rPr>
        <w:t> </w:t>
      </w:r>
      <w:r>
        <w:rPr>
          <w:color w:val="231F20"/>
        </w:rPr>
        <w:t>comunidad</w:t>
      </w:r>
      <w:r>
        <w:rPr>
          <w:color w:val="231F20"/>
          <w:spacing w:val="-4"/>
        </w:rPr>
        <w:t> </w:t>
      </w:r>
      <w:r>
        <w:rPr>
          <w:color w:val="231F20"/>
        </w:rPr>
        <w:t>de</w:t>
      </w:r>
      <w:r>
        <w:rPr>
          <w:color w:val="231F20"/>
          <w:spacing w:val="-3"/>
        </w:rPr>
        <w:t> </w:t>
      </w:r>
      <w:r>
        <w:rPr>
          <w:color w:val="231F20"/>
        </w:rPr>
        <w:t>San</w:t>
      </w:r>
      <w:r>
        <w:rPr>
          <w:color w:val="231F20"/>
          <w:spacing w:val="-7"/>
        </w:rPr>
        <w:t> </w:t>
      </w:r>
      <w:r>
        <w:rPr>
          <w:color w:val="231F20"/>
        </w:rPr>
        <w:t>Vicente</w:t>
      </w:r>
      <w:r>
        <w:rPr>
          <w:color w:val="231F20"/>
          <w:spacing w:val="-11"/>
        </w:rPr>
        <w:t> </w:t>
      </w:r>
      <w:r>
        <w:rPr>
          <w:color w:val="231F20"/>
          <w:spacing w:val="-4"/>
        </w:rPr>
        <w:t>Yogon- </w:t>
      </w:r>
      <w:r>
        <w:rPr>
          <w:color w:val="231F20"/>
        </w:rPr>
        <w:t>doy acerca de los servicios ambientales y la apreciación de los beneficios que generan los</w:t>
      </w:r>
      <w:r>
        <w:rPr>
          <w:color w:val="231F20"/>
          <w:spacing w:val="-11"/>
        </w:rPr>
        <w:t> </w:t>
      </w:r>
      <w:r>
        <w:rPr>
          <w:color w:val="231F20"/>
        </w:rPr>
        <w:t>bosques.</w:t>
      </w:r>
    </w:p>
    <w:p>
      <w:pPr>
        <w:pStyle w:val="BodyText"/>
        <w:spacing w:before="10"/>
        <w:rPr>
          <w:sz w:val="22"/>
        </w:rPr>
      </w:pPr>
    </w:p>
    <w:p>
      <w:pPr>
        <w:pStyle w:val="Heading3"/>
        <w:spacing w:before="1"/>
      </w:pPr>
      <w:r>
        <w:rPr>
          <w:color w:val="010202"/>
        </w:rPr>
        <w:t>Materiales y métodos</w:t>
      </w:r>
    </w:p>
    <w:p>
      <w:pPr>
        <w:pStyle w:val="BodyText"/>
        <w:spacing w:before="10"/>
        <w:rPr>
          <w:b/>
        </w:rPr>
      </w:pPr>
    </w:p>
    <w:p>
      <w:pPr>
        <w:pStyle w:val="BodyText"/>
        <w:spacing w:line="247" w:lineRule="auto"/>
        <w:ind w:left="1270" w:right="1267"/>
        <w:jc w:val="both"/>
      </w:pPr>
      <w:r>
        <w:rPr>
          <w:color w:val="231F20"/>
        </w:rPr>
        <w:t>Se utilizó como base la metodología propuesta por Ponce-Hernández, R (2004). </w:t>
      </w:r>
      <w:r>
        <w:rPr>
          <w:i/>
          <w:color w:val="231F20"/>
        </w:rPr>
        <w:t>Assessing carbon </w:t>
      </w:r>
      <w:r>
        <w:rPr>
          <w:i/>
          <w:color w:val="231F20"/>
        </w:rPr>
        <w:t>stocks and modelling win-winscenarios of carbon sequestration through land-use changes</w:t>
      </w:r>
      <w:r>
        <w:rPr>
          <w:color w:val="231F20"/>
        </w:rPr>
        <w:t>, la cual permite</w:t>
      </w:r>
      <w:r>
        <w:rPr>
          <w:color w:val="231F20"/>
          <w:spacing w:val="-4"/>
        </w:rPr>
        <w:t> </w:t>
      </w:r>
      <w:r>
        <w:rPr>
          <w:color w:val="231F20"/>
        </w:rPr>
        <w:t>cuantificar</w:t>
      </w:r>
      <w:r>
        <w:rPr>
          <w:color w:val="231F20"/>
          <w:spacing w:val="-4"/>
        </w:rPr>
        <w:t> </w:t>
      </w:r>
      <w:r>
        <w:rPr>
          <w:color w:val="231F20"/>
        </w:rPr>
        <w:t>y</w:t>
      </w:r>
      <w:r>
        <w:rPr>
          <w:color w:val="231F20"/>
          <w:spacing w:val="-4"/>
        </w:rPr>
        <w:t> </w:t>
      </w:r>
      <w:r>
        <w:rPr>
          <w:color w:val="231F20"/>
        </w:rPr>
        <w:t>dar</w:t>
      </w:r>
      <w:r>
        <w:rPr>
          <w:color w:val="231F20"/>
          <w:spacing w:val="-4"/>
        </w:rPr>
        <w:t> </w:t>
      </w:r>
      <w:r>
        <w:rPr>
          <w:color w:val="231F20"/>
        </w:rPr>
        <w:t>seguimiento</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medición</w:t>
      </w:r>
      <w:r>
        <w:rPr>
          <w:color w:val="231F20"/>
          <w:spacing w:val="-4"/>
        </w:rPr>
        <w:t> </w:t>
      </w:r>
      <w:r>
        <w:rPr>
          <w:color w:val="231F20"/>
        </w:rPr>
        <w:t>de</w:t>
      </w:r>
      <w:r>
        <w:rPr>
          <w:color w:val="231F20"/>
          <w:spacing w:val="-4"/>
        </w:rPr>
        <w:t> </w:t>
      </w:r>
      <w:r>
        <w:rPr>
          <w:color w:val="231F20"/>
        </w:rPr>
        <w:t>carbono</w:t>
      </w:r>
      <w:r>
        <w:rPr>
          <w:color w:val="231F20"/>
          <w:spacing w:val="-4"/>
        </w:rPr>
        <w:t> </w:t>
      </w:r>
      <w:r>
        <w:rPr>
          <w:color w:val="231F20"/>
        </w:rPr>
        <w:t>a</w:t>
      </w:r>
      <w:r>
        <w:rPr>
          <w:color w:val="231F20"/>
          <w:spacing w:val="-4"/>
        </w:rPr>
        <w:t> </w:t>
      </w:r>
      <w:r>
        <w:rPr>
          <w:color w:val="231F20"/>
        </w:rPr>
        <w:t>través</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estimación</w:t>
      </w:r>
      <w:r>
        <w:rPr>
          <w:color w:val="231F20"/>
          <w:spacing w:val="-4"/>
        </w:rPr>
        <w:t> </w:t>
      </w:r>
      <w:r>
        <w:rPr>
          <w:color w:val="231F20"/>
        </w:rPr>
        <w:t>de</w:t>
      </w:r>
      <w:r>
        <w:rPr>
          <w:color w:val="231F20"/>
          <w:spacing w:val="-4"/>
        </w:rPr>
        <w:t> </w:t>
      </w:r>
      <w:r>
        <w:rPr>
          <w:color w:val="231F20"/>
        </w:rPr>
        <w:t>biomasa y que permite determinar los contenidos de carbono presente. Se realizó una delimitación en base a las imágenes de satélite y mapas de vegetación, clima, relieve, suelo; y las fotografías aéreas, para definir</w:t>
      </w:r>
      <w:r>
        <w:rPr>
          <w:color w:val="231F20"/>
          <w:spacing w:val="-8"/>
        </w:rPr>
        <w:t> </w:t>
      </w:r>
      <w:r>
        <w:rPr>
          <w:color w:val="231F20"/>
        </w:rPr>
        <w:t>los</w:t>
      </w:r>
      <w:r>
        <w:rPr>
          <w:color w:val="231F20"/>
          <w:spacing w:val="-8"/>
        </w:rPr>
        <w:t> </w:t>
      </w:r>
      <w:r>
        <w:rPr>
          <w:color w:val="231F20"/>
        </w:rPr>
        <w:t>tipos</w:t>
      </w:r>
      <w:r>
        <w:rPr>
          <w:color w:val="231F20"/>
          <w:spacing w:val="-8"/>
        </w:rPr>
        <w:t> </w:t>
      </w:r>
      <w:r>
        <w:rPr>
          <w:color w:val="231F20"/>
        </w:rPr>
        <w:t>de</w:t>
      </w:r>
      <w:r>
        <w:rPr>
          <w:color w:val="231F20"/>
          <w:spacing w:val="-8"/>
        </w:rPr>
        <w:t> </w:t>
      </w:r>
      <w:r>
        <w:rPr>
          <w:color w:val="231F20"/>
        </w:rPr>
        <w:t>vegetación</w:t>
      </w:r>
      <w:r>
        <w:rPr>
          <w:color w:val="231F20"/>
          <w:spacing w:val="-8"/>
        </w:rPr>
        <w:t> </w:t>
      </w:r>
      <w:r>
        <w:rPr>
          <w:color w:val="231F20"/>
        </w:rPr>
        <w:t>existentes</w:t>
      </w:r>
      <w:r>
        <w:rPr>
          <w:color w:val="231F20"/>
          <w:spacing w:val="-8"/>
        </w:rPr>
        <w:t> </w:t>
      </w:r>
      <w:r>
        <w:rPr>
          <w:color w:val="231F20"/>
        </w:rPr>
        <w:t>y</w:t>
      </w:r>
      <w:r>
        <w:rPr>
          <w:color w:val="231F20"/>
          <w:spacing w:val="-8"/>
        </w:rPr>
        <w:t> </w:t>
      </w:r>
      <w:r>
        <w:rPr>
          <w:color w:val="231F20"/>
        </w:rPr>
        <w:t>sistemas</w:t>
      </w:r>
      <w:r>
        <w:rPr>
          <w:color w:val="231F20"/>
          <w:spacing w:val="-8"/>
        </w:rPr>
        <w:t> </w:t>
      </w:r>
      <w:r>
        <w:rPr>
          <w:color w:val="231F20"/>
        </w:rPr>
        <w:t>de</w:t>
      </w:r>
      <w:r>
        <w:rPr>
          <w:color w:val="231F20"/>
          <w:spacing w:val="-8"/>
        </w:rPr>
        <w:t> </w:t>
      </w:r>
      <w:r>
        <w:rPr>
          <w:color w:val="231F20"/>
        </w:rPr>
        <w:t>manejo</w:t>
      </w:r>
      <w:r>
        <w:rPr>
          <w:color w:val="231F20"/>
          <w:spacing w:val="-8"/>
        </w:rPr>
        <w:t> </w:t>
      </w:r>
      <w:r>
        <w:rPr>
          <w:color w:val="231F20"/>
        </w:rPr>
        <w:t>de</w:t>
      </w:r>
      <w:r>
        <w:rPr>
          <w:color w:val="231F20"/>
          <w:spacing w:val="-8"/>
        </w:rPr>
        <w:t> </w:t>
      </w:r>
      <w:r>
        <w:rPr>
          <w:color w:val="231F20"/>
        </w:rPr>
        <w:t>una</w:t>
      </w:r>
      <w:r>
        <w:rPr>
          <w:color w:val="231F20"/>
          <w:spacing w:val="-8"/>
        </w:rPr>
        <w:t> </w:t>
      </w:r>
      <w:r>
        <w:rPr>
          <w:color w:val="231F20"/>
        </w:rPr>
        <w:t>manera</w:t>
      </w:r>
      <w:r>
        <w:rPr>
          <w:color w:val="231F20"/>
          <w:spacing w:val="-8"/>
        </w:rPr>
        <w:t> </w:t>
      </w:r>
      <w:r>
        <w:rPr>
          <w:color w:val="231F20"/>
        </w:rPr>
        <w:t>lo</w:t>
      </w:r>
      <w:r>
        <w:rPr>
          <w:color w:val="231F20"/>
          <w:spacing w:val="-8"/>
        </w:rPr>
        <w:t> </w:t>
      </w:r>
      <w:r>
        <w:rPr>
          <w:color w:val="231F20"/>
        </w:rPr>
        <w:t>más</w:t>
      </w:r>
      <w:r>
        <w:rPr>
          <w:color w:val="231F20"/>
          <w:spacing w:val="-8"/>
        </w:rPr>
        <w:t> </w:t>
      </w:r>
      <w:r>
        <w:rPr>
          <w:color w:val="231F20"/>
        </w:rPr>
        <w:t>homogénea</w:t>
      </w:r>
      <w:r>
        <w:rPr>
          <w:color w:val="231F20"/>
          <w:spacing w:val="-8"/>
        </w:rPr>
        <w:t> </w:t>
      </w:r>
      <w:r>
        <w:rPr>
          <w:color w:val="231F20"/>
        </w:rPr>
        <w:t>po- sible,</w:t>
      </w:r>
      <w:r>
        <w:rPr>
          <w:color w:val="231F20"/>
          <w:spacing w:val="-6"/>
        </w:rPr>
        <w:t> </w:t>
      </w:r>
      <w:r>
        <w:rPr>
          <w:color w:val="231F20"/>
        </w:rPr>
        <w:t>para</w:t>
      </w:r>
      <w:r>
        <w:rPr>
          <w:color w:val="231F20"/>
          <w:spacing w:val="-6"/>
        </w:rPr>
        <w:t> </w:t>
      </w:r>
      <w:r>
        <w:rPr>
          <w:color w:val="231F20"/>
        </w:rPr>
        <w:t>el</w:t>
      </w:r>
      <w:r>
        <w:rPr>
          <w:color w:val="231F20"/>
          <w:spacing w:val="-6"/>
        </w:rPr>
        <w:t> </w:t>
      </w:r>
      <w:r>
        <w:rPr>
          <w:color w:val="231F20"/>
        </w:rPr>
        <w:t>establecimiento</w:t>
      </w:r>
      <w:r>
        <w:rPr>
          <w:color w:val="231F20"/>
          <w:spacing w:val="-7"/>
        </w:rPr>
        <w:t> </w:t>
      </w:r>
      <w:r>
        <w:rPr>
          <w:color w:val="231F20"/>
        </w:rPr>
        <w:t>de</w:t>
      </w:r>
      <w:r>
        <w:rPr>
          <w:color w:val="231F20"/>
          <w:spacing w:val="-6"/>
        </w:rPr>
        <w:t> </w:t>
      </w:r>
      <w:r>
        <w:rPr>
          <w:color w:val="231F20"/>
        </w:rPr>
        <w:t>sitios</w:t>
      </w:r>
      <w:r>
        <w:rPr>
          <w:color w:val="231F20"/>
          <w:spacing w:val="-6"/>
        </w:rPr>
        <w:t> </w:t>
      </w:r>
      <w:r>
        <w:rPr>
          <w:color w:val="231F20"/>
        </w:rPr>
        <w:t>de</w:t>
      </w:r>
      <w:r>
        <w:rPr>
          <w:color w:val="231F20"/>
          <w:spacing w:val="-6"/>
        </w:rPr>
        <w:t> </w:t>
      </w:r>
      <w:r>
        <w:rPr>
          <w:color w:val="231F20"/>
        </w:rPr>
        <w:t>muestreo,</w:t>
      </w:r>
      <w:r>
        <w:rPr>
          <w:color w:val="231F20"/>
          <w:spacing w:val="-7"/>
        </w:rPr>
        <w:t> </w:t>
      </w:r>
      <w:r>
        <w:rPr>
          <w:color w:val="231F20"/>
        </w:rPr>
        <w:t>en</w:t>
      </w:r>
      <w:r>
        <w:rPr>
          <w:color w:val="231F20"/>
          <w:spacing w:val="-7"/>
        </w:rPr>
        <w:t> </w:t>
      </w:r>
      <w:r>
        <w:rPr>
          <w:color w:val="231F20"/>
        </w:rPr>
        <w:t>las</w:t>
      </w:r>
      <w:r>
        <w:rPr>
          <w:color w:val="231F20"/>
          <w:spacing w:val="-7"/>
        </w:rPr>
        <w:t> </w:t>
      </w:r>
      <w:r>
        <w:rPr>
          <w:color w:val="231F20"/>
        </w:rPr>
        <w:t>507</w:t>
      </w:r>
      <w:r>
        <w:rPr>
          <w:color w:val="231F20"/>
          <w:spacing w:val="-6"/>
        </w:rPr>
        <w:t> </w:t>
      </w:r>
      <w:r>
        <w:rPr>
          <w:color w:val="231F20"/>
        </w:rPr>
        <w:t>ha</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zona</w:t>
      </w:r>
      <w:r>
        <w:rPr>
          <w:color w:val="231F20"/>
          <w:spacing w:val="-7"/>
        </w:rPr>
        <w:t> </w:t>
      </w:r>
      <w:r>
        <w:rPr>
          <w:color w:val="231F20"/>
        </w:rPr>
        <w:t>comunal</w:t>
      </w:r>
      <w:r>
        <w:rPr>
          <w:color w:val="231F20"/>
          <w:spacing w:val="-7"/>
        </w:rPr>
        <w:t> </w:t>
      </w:r>
      <w:r>
        <w:rPr>
          <w:color w:val="231F20"/>
        </w:rPr>
        <w:t>de</w:t>
      </w:r>
      <w:r>
        <w:rPr>
          <w:color w:val="231F20"/>
          <w:spacing w:val="-6"/>
        </w:rPr>
        <w:t> </w:t>
      </w:r>
      <w:r>
        <w:rPr>
          <w:color w:val="231F20"/>
        </w:rPr>
        <w:t>San</w:t>
      </w:r>
      <w:r>
        <w:rPr>
          <w:color w:val="231F20"/>
          <w:spacing w:val="-10"/>
        </w:rPr>
        <w:t> </w:t>
      </w:r>
      <w:r>
        <w:rPr>
          <w:color w:val="231F20"/>
        </w:rPr>
        <w:t>Vicente </w:t>
      </w:r>
      <w:r>
        <w:rPr>
          <w:color w:val="231F20"/>
          <w:spacing w:val="-4"/>
        </w:rPr>
        <w:t>Yogondoy, </w:t>
      </w:r>
      <w:r>
        <w:rPr>
          <w:color w:val="231F20"/>
        </w:rPr>
        <w:t>en el municipio de San Agustín</w:t>
      </w:r>
      <w:r>
        <w:rPr>
          <w:color w:val="231F20"/>
          <w:spacing w:val="-17"/>
        </w:rPr>
        <w:t> </w:t>
      </w:r>
      <w:r>
        <w:rPr>
          <w:color w:val="231F20"/>
        </w:rPr>
        <w:t>Loxicha.</w:t>
      </w:r>
    </w:p>
    <w:p>
      <w:pPr>
        <w:spacing w:after="0" w:line="247" w:lineRule="auto"/>
        <w:jc w:val="both"/>
        <w:sectPr>
          <w:pgSz w:w="10920" w:h="13080"/>
          <w:pgMar w:header="0" w:footer="965" w:top="420" w:bottom="1220" w:left="0" w:right="0"/>
        </w:sectPr>
      </w:pPr>
    </w:p>
    <w:p>
      <w:pPr>
        <w:pStyle w:val="BodyText"/>
        <w:rPr>
          <w:sz w:val="20"/>
        </w:rPr>
      </w:pPr>
    </w:p>
    <w:p>
      <w:pPr>
        <w:pStyle w:val="BodyText"/>
        <w:rPr>
          <w:sz w:val="20"/>
        </w:rPr>
      </w:pPr>
    </w:p>
    <w:p>
      <w:pPr>
        <w:pStyle w:val="BodyText"/>
        <w:rPr>
          <w:sz w:val="23"/>
        </w:rPr>
      </w:pPr>
    </w:p>
    <w:p>
      <w:pPr>
        <w:pStyle w:val="BodyText"/>
        <w:spacing w:line="247" w:lineRule="auto" w:before="73"/>
        <w:ind w:left="1270" w:right="1267"/>
        <w:jc w:val="both"/>
      </w:pPr>
      <w:r>
        <w:rPr>
          <w:color w:val="231F20"/>
        </w:rPr>
        <w:t>En una primera etapa se ubicaron en campo los sitios de muestreo previamente ubicados en la fase de gabinete, para cada sitio se realizaron las siguientes determinaciones:</w:t>
      </w:r>
    </w:p>
    <w:p>
      <w:pPr>
        <w:pStyle w:val="BodyText"/>
        <w:spacing w:before="10"/>
      </w:pPr>
    </w:p>
    <w:p>
      <w:pPr>
        <w:pStyle w:val="ListParagraph"/>
        <w:numPr>
          <w:ilvl w:val="1"/>
          <w:numId w:val="9"/>
        </w:numPr>
        <w:tabs>
          <w:tab w:pos="1991" w:val="left" w:leader="none"/>
        </w:tabs>
        <w:spacing w:line="240" w:lineRule="auto" w:before="0" w:after="0"/>
        <w:ind w:left="1990" w:right="0" w:hanging="248"/>
        <w:jc w:val="left"/>
        <w:rPr>
          <w:sz w:val="21"/>
        </w:rPr>
      </w:pPr>
      <w:r>
        <w:rPr>
          <w:color w:val="231F20"/>
          <w:sz w:val="21"/>
        </w:rPr>
        <w:t>Estimación de la biomasa</w:t>
      </w:r>
      <w:r>
        <w:rPr>
          <w:color w:val="231F20"/>
          <w:spacing w:val="-1"/>
          <w:sz w:val="21"/>
        </w:rPr>
        <w:t> </w:t>
      </w:r>
      <w:r>
        <w:rPr>
          <w:color w:val="231F20"/>
          <w:sz w:val="21"/>
        </w:rPr>
        <w:t>aérea</w:t>
      </w:r>
    </w:p>
    <w:p>
      <w:pPr>
        <w:pStyle w:val="ListParagraph"/>
        <w:numPr>
          <w:ilvl w:val="1"/>
          <w:numId w:val="9"/>
        </w:numPr>
        <w:tabs>
          <w:tab w:pos="1991" w:val="left" w:leader="none"/>
        </w:tabs>
        <w:spacing w:line="240" w:lineRule="auto" w:before="8" w:after="0"/>
        <w:ind w:left="1990" w:right="0" w:hanging="248"/>
        <w:jc w:val="left"/>
        <w:rPr>
          <w:sz w:val="21"/>
        </w:rPr>
      </w:pPr>
      <w:r>
        <w:rPr>
          <w:color w:val="231F20"/>
          <w:sz w:val="21"/>
        </w:rPr>
        <w:t>Estimación de la biomasa de los arbustos y/o</w:t>
      </w:r>
      <w:r>
        <w:rPr>
          <w:color w:val="231F20"/>
          <w:spacing w:val="-3"/>
          <w:sz w:val="21"/>
        </w:rPr>
        <w:t> </w:t>
      </w:r>
      <w:r>
        <w:rPr>
          <w:color w:val="231F20"/>
          <w:sz w:val="21"/>
        </w:rPr>
        <w:t>cafetales</w:t>
      </w:r>
    </w:p>
    <w:p>
      <w:pPr>
        <w:pStyle w:val="ListParagraph"/>
        <w:numPr>
          <w:ilvl w:val="1"/>
          <w:numId w:val="9"/>
        </w:numPr>
        <w:tabs>
          <w:tab w:pos="1991" w:val="left" w:leader="none"/>
        </w:tabs>
        <w:spacing w:line="240" w:lineRule="auto" w:before="8" w:after="0"/>
        <w:ind w:left="1990" w:right="0" w:hanging="248"/>
        <w:jc w:val="left"/>
        <w:rPr>
          <w:sz w:val="21"/>
        </w:rPr>
      </w:pPr>
      <w:r>
        <w:rPr>
          <w:color w:val="231F20"/>
          <w:sz w:val="21"/>
        </w:rPr>
        <w:t>Estimación de la biomasa del estrato</w:t>
      </w:r>
      <w:r>
        <w:rPr>
          <w:color w:val="231F20"/>
          <w:spacing w:val="-2"/>
          <w:sz w:val="21"/>
        </w:rPr>
        <w:t> </w:t>
      </w:r>
      <w:r>
        <w:rPr>
          <w:color w:val="231F20"/>
          <w:sz w:val="21"/>
        </w:rPr>
        <w:t>herbáceo</w:t>
      </w:r>
    </w:p>
    <w:p>
      <w:pPr>
        <w:pStyle w:val="ListParagraph"/>
        <w:numPr>
          <w:ilvl w:val="1"/>
          <w:numId w:val="9"/>
        </w:numPr>
        <w:tabs>
          <w:tab w:pos="1991" w:val="left" w:leader="none"/>
        </w:tabs>
        <w:spacing w:line="240" w:lineRule="auto" w:before="8" w:after="0"/>
        <w:ind w:left="1990" w:right="0" w:hanging="248"/>
        <w:jc w:val="left"/>
        <w:rPr>
          <w:sz w:val="21"/>
        </w:rPr>
      </w:pPr>
      <w:r>
        <w:rPr>
          <w:color w:val="231F20"/>
          <w:sz w:val="21"/>
        </w:rPr>
        <w:t>Calculo de la biodiversidad</w:t>
      </w:r>
    </w:p>
    <w:p>
      <w:pPr>
        <w:pStyle w:val="BodyText"/>
        <w:spacing w:before="5"/>
        <w:rPr>
          <w:sz w:val="22"/>
        </w:rPr>
      </w:pPr>
    </w:p>
    <w:p>
      <w:pPr>
        <w:pStyle w:val="ListParagraph"/>
        <w:numPr>
          <w:ilvl w:val="0"/>
          <w:numId w:val="11"/>
        </w:numPr>
        <w:tabs>
          <w:tab w:pos="1991" w:val="left" w:leader="none"/>
        </w:tabs>
        <w:spacing w:line="240" w:lineRule="auto" w:before="0" w:after="0"/>
        <w:ind w:left="1990" w:right="0" w:hanging="248"/>
        <w:jc w:val="left"/>
        <w:rPr>
          <w:color w:val="231F20"/>
          <w:sz w:val="21"/>
        </w:rPr>
      </w:pPr>
      <w:r>
        <w:rPr>
          <w:color w:val="231F20"/>
          <w:sz w:val="21"/>
        </w:rPr>
        <w:t>Estimación de la biomasa</w:t>
      </w:r>
      <w:r>
        <w:rPr>
          <w:color w:val="231F20"/>
          <w:spacing w:val="-1"/>
          <w:sz w:val="21"/>
        </w:rPr>
        <w:t> </w:t>
      </w:r>
      <w:r>
        <w:rPr>
          <w:color w:val="231F20"/>
          <w:sz w:val="21"/>
        </w:rPr>
        <w:t>aérea</w:t>
      </w:r>
    </w:p>
    <w:p>
      <w:pPr>
        <w:pStyle w:val="BodyText"/>
        <w:spacing w:line="247" w:lineRule="auto" w:before="8"/>
        <w:ind w:left="1270" w:right="1267"/>
        <w:jc w:val="both"/>
      </w:pPr>
      <w:r>
        <w:rPr>
          <w:color w:val="231F20"/>
        </w:rPr>
        <w:t>A cada punto de muestreo se realizó una descripción inicial del área de estudio, latitud, longitud, altura,</w:t>
      </w:r>
      <w:r>
        <w:rPr>
          <w:color w:val="231F20"/>
          <w:spacing w:val="-3"/>
        </w:rPr>
        <w:t> </w:t>
      </w:r>
      <w:r>
        <w:rPr>
          <w:color w:val="231F20"/>
        </w:rPr>
        <w:t>con</w:t>
      </w:r>
      <w:r>
        <w:rPr>
          <w:color w:val="231F20"/>
          <w:spacing w:val="-3"/>
        </w:rPr>
        <w:t> </w:t>
      </w:r>
      <w:r>
        <w:rPr>
          <w:color w:val="231F20"/>
        </w:rPr>
        <w:t>la</w:t>
      </w:r>
      <w:r>
        <w:rPr>
          <w:color w:val="231F20"/>
          <w:spacing w:val="-3"/>
        </w:rPr>
        <w:t> </w:t>
      </w:r>
      <w:r>
        <w:rPr>
          <w:color w:val="231F20"/>
        </w:rPr>
        <w:t>ayuda</w:t>
      </w:r>
      <w:r>
        <w:rPr>
          <w:color w:val="231F20"/>
          <w:spacing w:val="-3"/>
        </w:rPr>
        <w:t> </w:t>
      </w:r>
      <w:r>
        <w:rPr>
          <w:color w:val="231F20"/>
        </w:rPr>
        <w:t>de</w:t>
      </w:r>
      <w:r>
        <w:rPr>
          <w:color w:val="231F20"/>
          <w:spacing w:val="-3"/>
        </w:rPr>
        <w:t> </w:t>
      </w:r>
      <w:r>
        <w:rPr>
          <w:color w:val="231F20"/>
        </w:rPr>
        <w:t>un</w:t>
      </w:r>
      <w:r>
        <w:rPr>
          <w:color w:val="231F20"/>
          <w:spacing w:val="-3"/>
        </w:rPr>
        <w:t> </w:t>
      </w:r>
      <w:r>
        <w:rPr>
          <w:color w:val="231F20"/>
        </w:rPr>
        <w:t>GPS,</w:t>
      </w:r>
      <w:r>
        <w:rPr>
          <w:color w:val="231F20"/>
          <w:spacing w:val="-3"/>
        </w:rPr>
        <w:t> </w:t>
      </w:r>
      <w:r>
        <w:rPr>
          <w:color w:val="231F20"/>
        </w:rPr>
        <w:t>se</w:t>
      </w:r>
      <w:r>
        <w:rPr>
          <w:color w:val="231F20"/>
          <w:spacing w:val="-3"/>
        </w:rPr>
        <w:t> </w:t>
      </w:r>
      <w:r>
        <w:rPr>
          <w:color w:val="231F20"/>
        </w:rPr>
        <w:t>determinó</w:t>
      </w:r>
      <w:r>
        <w:rPr>
          <w:color w:val="231F20"/>
          <w:spacing w:val="-3"/>
        </w:rPr>
        <w:t> </w:t>
      </w:r>
      <w:r>
        <w:rPr>
          <w:color w:val="231F20"/>
        </w:rPr>
        <w:t>el</w:t>
      </w:r>
      <w:r>
        <w:rPr>
          <w:color w:val="231F20"/>
          <w:spacing w:val="-3"/>
        </w:rPr>
        <w:t> </w:t>
      </w:r>
      <w:r>
        <w:rPr>
          <w:color w:val="231F20"/>
        </w:rPr>
        <w:t>tipo</w:t>
      </w:r>
      <w:r>
        <w:rPr>
          <w:color w:val="231F20"/>
          <w:spacing w:val="-3"/>
        </w:rPr>
        <w:t> </w:t>
      </w:r>
      <w:r>
        <w:rPr>
          <w:color w:val="231F20"/>
        </w:rPr>
        <w:t>de</w:t>
      </w:r>
      <w:r>
        <w:rPr>
          <w:color w:val="231F20"/>
          <w:spacing w:val="-3"/>
        </w:rPr>
        <w:t> </w:t>
      </w:r>
      <w:r>
        <w:rPr>
          <w:color w:val="231F20"/>
        </w:rPr>
        <w:t>relieve,</w:t>
      </w:r>
      <w:r>
        <w:rPr>
          <w:color w:val="231F20"/>
          <w:spacing w:val="-3"/>
        </w:rPr>
        <w:t> </w:t>
      </w:r>
      <w:r>
        <w:rPr>
          <w:color w:val="231F20"/>
        </w:rPr>
        <w:t>el</w:t>
      </w:r>
      <w:r>
        <w:rPr>
          <w:color w:val="231F20"/>
          <w:spacing w:val="-3"/>
        </w:rPr>
        <w:t> </w:t>
      </w:r>
      <w:r>
        <w:rPr>
          <w:color w:val="231F20"/>
        </w:rPr>
        <w:t>suelo,</w:t>
      </w:r>
      <w:r>
        <w:rPr>
          <w:color w:val="231F20"/>
          <w:spacing w:val="-3"/>
        </w:rPr>
        <w:t> </w:t>
      </w:r>
      <w:r>
        <w:rPr>
          <w:color w:val="231F20"/>
        </w:rPr>
        <w:t>la</w:t>
      </w:r>
      <w:r>
        <w:rPr>
          <w:color w:val="231F20"/>
          <w:spacing w:val="-3"/>
        </w:rPr>
        <w:t> </w:t>
      </w:r>
      <w:r>
        <w:rPr>
          <w:color w:val="231F20"/>
        </w:rPr>
        <w:t>vegetación</w:t>
      </w:r>
      <w:r>
        <w:rPr>
          <w:color w:val="231F20"/>
          <w:spacing w:val="-3"/>
        </w:rPr>
        <w:t> </w:t>
      </w:r>
      <w:r>
        <w:rPr>
          <w:color w:val="231F20"/>
        </w:rPr>
        <w:t>y</w:t>
      </w:r>
      <w:r>
        <w:rPr>
          <w:color w:val="231F20"/>
          <w:spacing w:val="-3"/>
        </w:rPr>
        <w:t> </w:t>
      </w:r>
      <w:r>
        <w:rPr>
          <w:color w:val="231F20"/>
        </w:rPr>
        <w:t>se</w:t>
      </w:r>
      <w:r>
        <w:rPr>
          <w:color w:val="231F20"/>
          <w:spacing w:val="-3"/>
        </w:rPr>
        <w:t> </w:t>
      </w:r>
      <w:r>
        <w:rPr>
          <w:color w:val="231F20"/>
        </w:rPr>
        <w:t>estimó</w:t>
      </w:r>
      <w:r>
        <w:rPr>
          <w:color w:val="231F20"/>
          <w:spacing w:val="-3"/>
        </w:rPr>
        <w:t> </w:t>
      </w:r>
      <w:r>
        <w:rPr>
          <w:color w:val="231F20"/>
        </w:rPr>
        <w:t>la pendiente.</w:t>
      </w:r>
    </w:p>
    <w:p>
      <w:pPr>
        <w:pStyle w:val="BodyText"/>
        <w:spacing w:before="10"/>
      </w:pPr>
    </w:p>
    <w:p>
      <w:pPr>
        <w:pStyle w:val="BodyText"/>
        <w:spacing w:line="247" w:lineRule="auto"/>
        <w:ind w:left="1270" w:right="1267"/>
        <w:jc w:val="both"/>
      </w:pPr>
      <w:r>
        <w:rPr>
          <w:color w:val="231F20"/>
        </w:rPr>
        <w:t>Para</w:t>
      </w:r>
      <w:r>
        <w:rPr>
          <w:color w:val="231F20"/>
          <w:spacing w:val="-4"/>
        </w:rPr>
        <w:t> </w:t>
      </w:r>
      <w:r>
        <w:rPr>
          <w:color w:val="231F20"/>
        </w:rPr>
        <w:t>la</w:t>
      </w:r>
      <w:r>
        <w:rPr>
          <w:color w:val="231F20"/>
          <w:spacing w:val="-4"/>
        </w:rPr>
        <w:t> </w:t>
      </w:r>
      <w:r>
        <w:rPr>
          <w:color w:val="231F20"/>
        </w:rPr>
        <w:t>estimación</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biomasa</w:t>
      </w:r>
      <w:r>
        <w:rPr>
          <w:color w:val="231F20"/>
          <w:spacing w:val="-4"/>
        </w:rPr>
        <w:t> </w:t>
      </w:r>
      <w:r>
        <w:rPr>
          <w:color w:val="231F20"/>
        </w:rPr>
        <w:t>aérea</w:t>
      </w:r>
      <w:r>
        <w:rPr>
          <w:color w:val="231F20"/>
          <w:spacing w:val="-4"/>
        </w:rPr>
        <w:t> </w:t>
      </w:r>
      <w:r>
        <w:rPr>
          <w:color w:val="231F20"/>
        </w:rPr>
        <w:t>se</w:t>
      </w:r>
      <w:r>
        <w:rPr>
          <w:color w:val="231F20"/>
          <w:spacing w:val="-4"/>
        </w:rPr>
        <w:t> </w:t>
      </w:r>
      <w:r>
        <w:rPr>
          <w:color w:val="231F20"/>
        </w:rPr>
        <w:t>realizaron</w:t>
      </w:r>
      <w:r>
        <w:rPr>
          <w:color w:val="231F20"/>
          <w:spacing w:val="-4"/>
        </w:rPr>
        <w:t> </w:t>
      </w:r>
      <w:r>
        <w:rPr>
          <w:color w:val="231F20"/>
        </w:rPr>
        <w:t>cuadrantes</w:t>
      </w:r>
      <w:r>
        <w:rPr>
          <w:color w:val="231F20"/>
          <w:spacing w:val="-4"/>
        </w:rPr>
        <w:t> </w:t>
      </w:r>
      <w:r>
        <w:rPr>
          <w:color w:val="231F20"/>
        </w:rPr>
        <w:t>de</w:t>
      </w:r>
      <w:r>
        <w:rPr>
          <w:color w:val="231F20"/>
          <w:spacing w:val="-4"/>
        </w:rPr>
        <w:t> </w:t>
      </w:r>
      <w:r>
        <w:rPr>
          <w:color w:val="231F20"/>
        </w:rPr>
        <w:t>muestreo</w:t>
      </w:r>
      <w:r>
        <w:rPr>
          <w:color w:val="231F20"/>
          <w:spacing w:val="-4"/>
        </w:rPr>
        <w:t> </w:t>
      </w:r>
      <w:r>
        <w:rPr>
          <w:color w:val="231F20"/>
        </w:rPr>
        <w:t>de</w:t>
      </w:r>
      <w:r>
        <w:rPr>
          <w:color w:val="231F20"/>
          <w:spacing w:val="-4"/>
        </w:rPr>
        <w:t> </w:t>
      </w:r>
      <w:r>
        <w:rPr>
          <w:color w:val="231F20"/>
        </w:rPr>
        <w:t>forma</w:t>
      </w:r>
      <w:r>
        <w:rPr>
          <w:color w:val="231F20"/>
          <w:spacing w:val="-4"/>
        </w:rPr>
        <w:t> </w:t>
      </w:r>
      <w:r>
        <w:rPr>
          <w:color w:val="231F20"/>
        </w:rPr>
        <w:t>regular,</w:t>
      </w:r>
      <w:r>
        <w:rPr>
          <w:color w:val="231F20"/>
          <w:spacing w:val="-4"/>
        </w:rPr>
        <w:t> </w:t>
      </w:r>
      <w:r>
        <w:rPr>
          <w:color w:val="231F20"/>
        </w:rPr>
        <w:t>de</w:t>
      </w:r>
      <w:r>
        <w:rPr>
          <w:color w:val="231F20"/>
          <w:spacing w:val="-4"/>
        </w:rPr>
        <w:t> </w:t>
      </w:r>
      <w:r>
        <w:rPr>
          <w:color w:val="231F20"/>
        </w:rPr>
        <w:t>di- mensiones</w:t>
      </w:r>
      <w:r>
        <w:rPr>
          <w:color w:val="231F20"/>
          <w:spacing w:val="-7"/>
        </w:rPr>
        <w:t> </w:t>
      </w:r>
      <w:r>
        <w:rPr>
          <w:color w:val="231F20"/>
        </w:rPr>
        <w:t>10</w:t>
      </w:r>
      <w:r>
        <w:rPr>
          <w:color w:val="231F20"/>
          <w:spacing w:val="-6"/>
        </w:rPr>
        <w:t> </w:t>
      </w:r>
      <w:r>
        <w:rPr>
          <w:color w:val="231F20"/>
        </w:rPr>
        <w:t>x</w:t>
      </w:r>
      <w:r>
        <w:rPr>
          <w:color w:val="231F20"/>
          <w:spacing w:val="-6"/>
        </w:rPr>
        <w:t> </w:t>
      </w:r>
      <w:r>
        <w:rPr>
          <w:color w:val="231F20"/>
        </w:rPr>
        <w:t>10</w:t>
      </w:r>
      <w:r>
        <w:rPr>
          <w:color w:val="231F20"/>
          <w:spacing w:val="-6"/>
        </w:rPr>
        <w:t> </w:t>
      </w:r>
      <w:r>
        <w:rPr>
          <w:color w:val="231F20"/>
        </w:rPr>
        <w:t>m,</w:t>
      </w:r>
      <w:r>
        <w:rPr>
          <w:color w:val="231F20"/>
          <w:spacing w:val="-6"/>
        </w:rPr>
        <w:t> </w:t>
      </w:r>
      <w:r>
        <w:rPr>
          <w:color w:val="231F20"/>
        </w:rPr>
        <w:t>5</w:t>
      </w:r>
      <w:r>
        <w:rPr>
          <w:color w:val="231F20"/>
          <w:spacing w:val="-6"/>
        </w:rPr>
        <w:t> </w:t>
      </w:r>
      <w:r>
        <w:rPr>
          <w:color w:val="231F20"/>
        </w:rPr>
        <w:t>x</w:t>
      </w:r>
      <w:r>
        <w:rPr>
          <w:color w:val="231F20"/>
          <w:spacing w:val="-6"/>
        </w:rPr>
        <w:t> </w:t>
      </w:r>
      <w:r>
        <w:rPr>
          <w:color w:val="231F20"/>
        </w:rPr>
        <w:t>5</w:t>
      </w:r>
      <w:r>
        <w:rPr>
          <w:color w:val="231F20"/>
          <w:spacing w:val="-6"/>
        </w:rPr>
        <w:t> </w:t>
      </w:r>
      <w:r>
        <w:rPr>
          <w:color w:val="231F20"/>
        </w:rPr>
        <w:t>m,</w:t>
      </w:r>
      <w:r>
        <w:rPr>
          <w:color w:val="231F20"/>
          <w:spacing w:val="-6"/>
        </w:rPr>
        <w:t> </w:t>
      </w:r>
      <w:r>
        <w:rPr>
          <w:color w:val="231F20"/>
        </w:rPr>
        <w:t>y</w:t>
      </w:r>
      <w:r>
        <w:rPr>
          <w:color w:val="231F20"/>
          <w:spacing w:val="-6"/>
        </w:rPr>
        <w:t> </w:t>
      </w:r>
      <w:r>
        <w:rPr>
          <w:color w:val="231F20"/>
        </w:rPr>
        <w:t>1</w:t>
      </w:r>
      <w:r>
        <w:rPr>
          <w:color w:val="231F20"/>
          <w:spacing w:val="-6"/>
        </w:rPr>
        <w:t> </w:t>
      </w:r>
      <w:r>
        <w:rPr>
          <w:color w:val="231F20"/>
        </w:rPr>
        <w:t>x</w:t>
      </w:r>
      <w:r>
        <w:rPr>
          <w:color w:val="231F20"/>
          <w:spacing w:val="-6"/>
        </w:rPr>
        <w:t> </w:t>
      </w:r>
      <w:r>
        <w:rPr>
          <w:color w:val="231F20"/>
        </w:rPr>
        <w:t>1</w:t>
      </w:r>
      <w:r>
        <w:rPr>
          <w:color w:val="231F20"/>
          <w:spacing w:val="-6"/>
        </w:rPr>
        <w:t> </w:t>
      </w:r>
      <w:r>
        <w:rPr>
          <w:color w:val="231F20"/>
        </w:rPr>
        <w:t>m,</w:t>
      </w:r>
      <w:r>
        <w:rPr>
          <w:color w:val="231F20"/>
          <w:spacing w:val="-6"/>
        </w:rPr>
        <w:t> </w:t>
      </w:r>
      <w:r>
        <w:rPr>
          <w:color w:val="231F20"/>
        </w:rPr>
        <w:t>anidada</w:t>
      </w:r>
      <w:r>
        <w:rPr>
          <w:color w:val="231F20"/>
          <w:spacing w:val="-6"/>
        </w:rPr>
        <w:t> </w:t>
      </w:r>
      <w:r>
        <w:rPr>
          <w:color w:val="231F20"/>
        </w:rPr>
        <w:t>una</w:t>
      </w:r>
      <w:r>
        <w:rPr>
          <w:color w:val="231F20"/>
          <w:spacing w:val="-6"/>
        </w:rPr>
        <w:t> </w:t>
      </w:r>
      <w:r>
        <w:rPr>
          <w:color w:val="231F20"/>
        </w:rPr>
        <w:t>dentro</w:t>
      </w:r>
      <w:r>
        <w:rPr>
          <w:color w:val="231F20"/>
          <w:spacing w:val="-6"/>
        </w:rPr>
        <w:t> </w:t>
      </w:r>
      <w:r>
        <w:rPr>
          <w:color w:val="231F20"/>
        </w:rPr>
        <w:t>de</w:t>
      </w:r>
      <w:r>
        <w:rPr>
          <w:color w:val="231F20"/>
          <w:spacing w:val="-6"/>
        </w:rPr>
        <w:t> </w:t>
      </w:r>
      <w:r>
        <w:rPr>
          <w:color w:val="231F20"/>
        </w:rPr>
        <w:t>otra.</w:t>
      </w:r>
      <w:r>
        <w:rPr>
          <w:color w:val="231F20"/>
          <w:spacing w:val="-6"/>
        </w:rPr>
        <w:t> </w:t>
      </w:r>
      <w:r>
        <w:rPr>
          <w:color w:val="231F20"/>
        </w:rPr>
        <w:t>Estos</w:t>
      </w:r>
      <w:r>
        <w:rPr>
          <w:color w:val="231F20"/>
          <w:spacing w:val="-6"/>
        </w:rPr>
        <w:t> </w:t>
      </w:r>
      <w:r>
        <w:rPr>
          <w:color w:val="231F20"/>
        </w:rPr>
        <w:t>cuadrantes</w:t>
      </w:r>
      <w:r>
        <w:rPr>
          <w:color w:val="231F20"/>
          <w:spacing w:val="-7"/>
        </w:rPr>
        <w:t> </w:t>
      </w:r>
      <w:r>
        <w:rPr>
          <w:color w:val="231F20"/>
        </w:rPr>
        <w:t>son</w:t>
      </w:r>
      <w:r>
        <w:rPr>
          <w:color w:val="231F20"/>
          <w:spacing w:val="-6"/>
        </w:rPr>
        <w:t> </w:t>
      </w:r>
      <w:r>
        <w:rPr>
          <w:color w:val="231F20"/>
        </w:rPr>
        <w:t>utilizados para hacer las mediciones de biomasa y</w:t>
      </w:r>
      <w:r>
        <w:rPr>
          <w:color w:val="231F20"/>
          <w:spacing w:val="-2"/>
        </w:rPr>
        <w:t> </w:t>
      </w:r>
      <w:r>
        <w:rPr>
          <w:color w:val="231F20"/>
        </w:rPr>
        <w:t>biodiversidad.</w:t>
      </w:r>
    </w:p>
    <w:p>
      <w:pPr>
        <w:pStyle w:val="BodyText"/>
        <w:spacing w:before="4"/>
      </w:pPr>
    </w:p>
    <w:p>
      <w:pPr>
        <w:spacing w:before="1"/>
        <w:ind w:left="1902" w:right="1279" w:firstLine="0"/>
        <w:jc w:val="left"/>
        <w:rPr>
          <w:b/>
          <w:sz w:val="18"/>
        </w:rPr>
      </w:pPr>
      <w:r>
        <w:rPr>
          <w:b/>
          <w:color w:val="010202"/>
          <w:sz w:val="18"/>
        </w:rPr>
        <w:t>Fig. 1. Anidamientos de los cuadrantes, basada en la metodología de Ponce-Hernández, 2004.</w:t>
      </w:r>
    </w:p>
    <w:p>
      <w:pPr>
        <w:pStyle w:val="BodyText"/>
        <w:spacing w:before="9"/>
        <w:rPr>
          <w:b/>
          <w:sz w:val="18"/>
        </w:rPr>
      </w:pPr>
      <w:r>
        <w:rPr/>
        <w:drawing>
          <wp:anchor distT="0" distB="0" distL="0" distR="0" allowOverlap="1" layoutInCell="1" locked="0" behindDoc="0" simplePos="0" relativeHeight="5944">
            <wp:simplePos x="0" y="0"/>
            <wp:positionH relativeFrom="page">
              <wp:posOffset>1971039</wp:posOffset>
            </wp:positionH>
            <wp:positionV relativeFrom="paragraph">
              <wp:posOffset>161967</wp:posOffset>
            </wp:positionV>
            <wp:extent cx="3001373" cy="1812798"/>
            <wp:effectExtent l="0" t="0" r="0" b="0"/>
            <wp:wrapTopAndBottom/>
            <wp:docPr id="189" name="image78.png" descr=""/>
            <wp:cNvGraphicFramePr>
              <a:graphicFrameLocks noChangeAspect="1"/>
            </wp:cNvGraphicFramePr>
            <a:graphic>
              <a:graphicData uri="http://schemas.openxmlformats.org/drawingml/2006/picture">
                <pic:pic>
                  <pic:nvPicPr>
                    <pic:cNvPr id="190" name="image78.png"/>
                    <pic:cNvPicPr/>
                  </pic:nvPicPr>
                  <pic:blipFill>
                    <a:blip r:embed="rId116" cstate="print"/>
                    <a:stretch>
                      <a:fillRect/>
                    </a:stretch>
                  </pic:blipFill>
                  <pic:spPr>
                    <a:xfrm>
                      <a:off x="0" y="0"/>
                      <a:ext cx="3001373" cy="1812798"/>
                    </a:xfrm>
                    <a:prstGeom prst="rect">
                      <a:avLst/>
                    </a:prstGeom>
                  </pic:spPr>
                </pic:pic>
              </a:graphicData>
            </a:graphic>
          </wp:anchor>
        </w:drawing>
      </w:r>
    </w:p>
    <w:p>
      <w:pPr>
        <w:pStyle w:val="BodyText"/>
        <w:spacing w:before="1"/>
        <w:rPr>
          <w:b/>
          <w:sz w:val="23"/>
        </w:rPr>
      </w:pPr>
    </w:p>
    <w:p>
      <w:pPr>
        <w:pStyle w:val="BodyText"/>
        <w:spacing w:line="247" w:lineRule="auto"/>
        <w:ind w:left="1270" w:right="1267"/>
        <w:jc w:val="both"/>
      </w:pPr>
      <w:r>
        <w:rPr>
          <w:color w:val="231F20"/>
        </w:rPr>
        <w:t>Por</w:t>
      </w:r>
      <w:r>
        <w:rPr>
          <w:color w:val="231F20"/>
          <w:spacing w:val="-6"/>
        </w:rPr>
        <w:t> </w:t>
      </w:r>
      <w:r>
        <w:rPr>
          <w:color w:val="231F20"/>
        </w:rPr>
        <w:t>conveniencia</w:t>
      </w:r>
      <w:r>
        <w:rPr>
          <w:color w:val="231F20"/>
          <w:spacing w:val="-7"/>
        </w:rPr>
        <w:t> </w:t>
      </w:r>
      <w:r>
        <w:rPr>
          <w:color w:val="231F20"/>
        </w:rPr>
        <w:t>metodológica,</w:t>
      </w:r>
      <w:r>
        <w:rPr>
          <w:color w:val="231F20"/>
          <w:spacing w:val="-7"/>
        </w:rPr>
        <w:t> </w:t>
      </w:r>
      <w:r>
        <w:rPr>
          <w:color w:val="231F20"/>
        </w:rPr>
        <w:t>los</w:t>
      </w:r>
      <w:r>
        <w:rPr>
          <w:color w:val="231F20"/>
          <w:spacing w:val="-7"/>
        </w:rPr>
        <w:t> </w:t>
      </w:r>
      <w:r>
        <w:rPr>
          <w:color w:val="231F20"/>
        </w:rPr>
        <w:t>cálculos</w:t>
      </w:r>
      <w:r>
        <w:rPr>
          <w:color w:val="231F20"/>
          <w:spacing w:val="-7"/>
        </w:rPr>
        <w:t> </w:t>
      </w:r>
      <w:r>
        <w:rPr>
          <w:color w:val="231F20"/>
        </w:rPr>
        <w:t>de</w:t>
      </w:r>
      <w:r>
        <w:rPr>
          <w:color w:val="231F20"/>
          <w:spacing w:val="-6"/>
        </w:rPr>
        <w:t> </w:t>
      </w:r>
      <w:r>
        <w:rPr>
          <w:color w:val="231F20"/>
        </w:rPr>
        <w:t>los</w:t>
      </w:r>
      <w:r>
        <w:rPr>
          <w:color w:val="231F20"/>
          <w:spacing w:val="-7"/>
        </w:rPr>
        <w:t> </w:t>
      </w:r>
      <w:r>
        <w:rPr>
          <w:color w:val="231F20"/>
        </w:rPr>
        <w:t>árboles</w:t>
      </w:r>
      <w:r>
        <w:rPr>
          <w:color w:val="231F20"/>
          <w:spacing w:val="-7"/>
        </w:rPr>
        <w:t> </w:t>
      </w:r>
      <w:r>
        <w:rPr>
          <w:color w:val="231F20"/>
        </w:rPr>
        <w:t>y</w:t>
      </w:r>
      <w:r>
        <w:rPr>
          <w:color w:val="231F20"/>
          <w:spacing w:val="-7"/>
        </w:rPr>
        <w:t> </w:t>
      </w:r>
      <w:r>
        <w:rPr>
          <w:color w:val="231F20"/>
        </w:rPr>
        <w:t>arbustos</w:t>
      </w:r>
      <w:r>
        <w:rPr>
          <w:color w:val="231F20"/>
          <w:spacing w:val="-7"/>
        </w:rPr>
        <w:t> </w:t>
      </w:r>
      <w:r>
        <w:rPr>
          <w:color w:val="231F20"/>
        </w:rPr>
        <w:t>se</w:t>
      </w:r>
      <w:r>
        <w:rPr>
          <w:color w:val="231F20"/>
          <w:spacing w:val="-6"/>
        </w:rPr>
        <w:t> </w:t>
      </w:r>
      <w:r>
        <w:rPr>
          <w:color w:val="231F20"/>
        </w:rPr>
        <w:t>dividieron</w:t>
      </w:r>
      <w:r>
        <w:rPr>
          <w:color w:val="231F20"/>
          <w:spacing w:val="-7"/>
        </w:rPr>
        <w:t> </w:t>
      </w:r>
      <w:r>
        <w:rPr>
          <w:color w:val="231F20"/>
        </w:rPr>
        <w:t>en</w:t>
      </w:r>
      <w:r>
        <w:rPr>
          <w:color w:val="231F20"/>
          <w:spacing w:val="-7"/>
        </w:rPr>
        <w:t> </w:t>
      </w:r>
      <w:r>
        <w:rPr>
          <w:color w:val="231F20"/>
        </w:rPr>
        <w:t>dos</w:t>
      </w:r>
      <w:r>
        <w:rPr>
          <w:color w:val="231F20"/>
          <w:spacing w:val="-7"/>
        </w:rPr>
        <w:t> </w:t>
      </w:r>
      <w:r>
        <w:rPr>
          <w:color w:val="231F20"/>
        </w:rPr>
        <w:t>secciones de</w:t>
      </w:r>
      <w:r>
        <w:rPr>
          <w:color w:val="231F20"/>
          <w:spacing w:val="-12"/>
        </w:rPr>
        <w:t> </w:t>
      </w:r>
      <w:r>
        <w:rPr>
          <w:color w:val="231F20"/>
        </w:rPr>
        <w:t>acuerdo</w:t>
      </w:r>
      <w:r>
        <w:rPr>
          <w:color w:val="231F20"/>
          <w:spacing w:val="-12"/>
        </w:rPr>
        <w:t> </w:t>
      </w:r>
      <w:r>
        <w:rPr>
          <w:color w:val="231F20"/>
        </w:rPr>
        <w:t>a</w:t>
      </w:r>
      <w:r>
        <w:rPr>
          <w:color w:val="231F20"/>
          <w:spacing w:val="-12"/>
        </w:rPr>
        <w:t> </w:t>
      </w:r>
      <w:r>
        <w:rPr>
          <w:color w:val="231F20"/>
        </w:rPr>
        <w:t>su</w:t>
      </w:r>
      <w:r>
        <w:rPr>
          <w:color w:val="231F20"/>
          <w:spacing w:val="-12"/>
        </w:rPr>
        <w:t> </w:t>
      </w:r>
      <w:r>
        <w:rPr>
          <w:color w:val="231F20"/>
        </w:rPr>
        <w:t>morfología;</w:t>
      </w:r>
      <w:r>
        <w:rPr>
          <w:color w:val="231F20"/>
          <w:spacing w:val="-12"/>
        </w:rPr>
        <w:t> </w:t>
      </w:r>
      <w:r>
        <w:rPr>
          <w:color w:val="231F20"/>
        </w:rPr>
        <w:t>la</w:t>
      </w:r>
      <w:r>
        <w:rPr>
          <w:color w:val="231F20"/>
          <w:spacing w:val="-12"/>
        </w:rPr>
        <w:t> </w:t>
      </w:r>
      <w:r>
        <w:rPr>
          <w:color w:val="231F20"/>
        </w:rPr>
        <w:t>biomasa</w:t>
      </w:r>
      <w:r>
        <w:rPr>
          <w:color w:val="231F20"/>
          <w:spacing w:val="-12"/>
        </w:rPr>
        <w:t> </w:t>
      </w:r>
      <w:r>
        <w:rPr>
          <w:color w:val="231F20"/>
        </w:rPr>
        <w:t>para</w:t>
      </w:r>
      <w:r>
        <w:rPr>
          <w:color w:val="231F20"/>
          <w:spacing w:val="-12"/>
        </w:rPr>
        <w:t> </w:t>
      </w:r>
      <w:r>
        <w:rPr>
          <w:color w:val="231F20"/>
        </w:rPr>
        <w:t>troncos</w:t>
      </w:r>
      <w:r>
        <w:rPr>
          <w:color w:val="231F20"/>
          <w:spacing w:val="-12"/>
        </w:rPr>
        <w:t> </w:t>
      </w:r>
      <w:r>
        <w:rPr>
          <w:color w:val="231F20"/>
        </w:rPr>
        <w:t>o</w:t>
      </w:r>
      <w:r>
        <w:rPr>
          <w:color w:val="231F20"/>
          <w:spacing w:val="-12"/>
        </w:rPr>
        <w:t> </w:t>
      </w:r>
      <w:r>
        <w:rPr>
          <w:color w:val="231F20"/>
        </w:rPr>
        <w:t>tallos</w:t>
      </w:r>
      <w:r>
        <w:rPr>
          <w:color w:val="231F20"/>
          <w:spacing w:val="-12"/>
        </w:rPr>
        <w:t> </w:t>
      </w:r>
      <w:r>
        <w:rPr>
          <w:color w:val="231F20"/>
        </w:rPr>
        <w:t>y</w:t>
      </w:r>
      <w:r>
        <w:rPr>
          <w:color w:val="231F20"/>
          <w:spacing w:val="-12"/>
        </w:rPr>
        <w:t> </w:t>
      </w:r>
      <w:r>
        <w:rPr>
          <w:color w:val="231F20"/>
        </w:rPr>
        <w:t>el</w:t>
      </w:r>
      <w:r>
        <w:rPr>
          <w:color w:val="231F20"/>
          <w:spacing w:val="-12"/>
        </w:rPr>
        <w:t> </w:t>
      </w:r>
      <w:r>
        <w:rPr>
          <w:color w:val="231F20"/>
        </w:rPr>
        <w:t>cálculo</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biomasa</w:t>
      </w:r>
      <w:r>
        <w:rPr>
          <w:color w:val="231F20"/>
          <w:spacing w:val="-12"/>
        </w:rPr>
        <w:t> </w:t>
      </w:r>
      <w:r>
        <w:rPr>
          <w:color w:val="231F20"/>
        </w:rPr>
        <w:t>para</w:t>
      </w:r>
      <w:r>
        <w:rPr>
          <w:color w:val="231F20"/>
          <w:spacing w:val="-12"/>
        </w:rPr>
        <w:t> </w:t>
      </w:r>
      <w:r>
        <w:rPr>
          <w:color w:val="231F20"/>
        </w:rPr>
        <w:t>la</w:t>
      </w:r>
      <w:r>
        <w:rPr>
          <w:color w:val="231F20"/>
          <w:spacing w:val="-12"/>
        </w:rPr>
        <w:t> </w:t>
      </w:r>
      <w:r>
        <w:rPr>
          <w:color w:val="231F20"/>
        </w:rPr>
        <w:t>corona, las mediciones que se realizaron a los árboles</w:t>
      </w:r>
      <w:r>
        <w:rPr>
          <w:color w:val="231F20"/>
          <w:spacing w:val="-9"/>
        </w:rPr>
        <w:t> </w:t>
      </w:r>
      <w:r>
        <w:rPr>
          <w:color w:val="231F20"/>
        </w:rPr>
        <w:t>son:</w:t>
      </w:r>
    </w:p>
    <w:p>
      <w:pPr>
        <w:pStyle w:val="BodyText"/>
        <w:spacing w:before="10"/>
      </w:pPr>
    </w:p>
    <w:p>
      <w:pPr>
        <w:pStyle w:val="ListParagraph"/>
        <w:numPr>
          <w:ilvl w:val="2"/>
          <w:numId w:val="10"/>
        </w:numPr>
        <w:tabs>
          <w:tab w:pos="1991" w:val="left" w:leader="none"/>
        </w:tabs>
        <w:spacing w:line="240" w:lineRule="auto" w:before="0" w:after="0"/>
        <w:ind w:left="1990" w:right="0" w:hanging="248"/>
        <w:jc w:val="left"/>
        <w:rPr>
          <w:sz w:val="21"/>
        </w:rPr>
      </w:pPr>
      <w:r>
        <w:rPr>
          <w:color w:val="231F20"/>
          <w:sz w:val="21"/>
        </w:rPr>
        <w:t>La altura del árbol (A)</w:t>
      </w:r>
    </w:p>
    <w:p>
      <w:pPr>
        <w:pStyle w:val="ListParagraph"/>
        <w:numPr>
          <w:ilvl w:val="2"/>
          <w:numId w:val="10"/>
        </w:numPr>
        <w:tabs>
          <w:tab w:pos="1991" w:val="left" w:leader="none"/>
        </w:tabs>
        <w:spacing w:line="240" w:lineRule="auto" w:before="8" w:after="0"/>
        <w:ind w:left="1990" w:right="0" w:hanging="248"/>
        <w:jc w:val="left"/>
        <w:rPr>
          <w:sz w:val="21"/>
        </w:rPr>
      </w:pPr>
      <w:r>
        <w:rPr>
          <w:color w:val="231F20"/>
          <w:sz w:val="21"/>
        </w:rPr>
        <w:t>Diámetro a la altura del pecho (DAP)</w:t>
      </w:r>
    </w:p>
    <w:p>
      <w:pPr>
        <w:pStyle w:val="ListParagraph"/>
        <w:numPr>
          <w:ilvl w:val="2"/>
          <w:numId w:val="10"/>
        </w:numPr>
        <w:tabs>
          <w:tab w:pos="1991" w:val="left" w:leader="none"/>
        </w:tabs>
        <w:spacing w:line="240" w:lineRule="auto" w:before="9" w:after="0"/>
        <w:ind w:left="1990" w:right="0" w:hanging="248"/>
        <w:jc w:val="left"/>
        <w:rPr>
          <w:sz w:val="21"/>
        </w:rPr>
      </w:pPr>
      <w:r>
        <w:rPr>
          <w:color w:val="231F20"/>
          <w:sz w:val="21"/>
        </w:rPr>
        <w:t>El diámetro de la copa o corona en dos direcciones perpendiculares, llamados aquí por</w:t>
      </w:r>
      <w:r>
        <w:rPr>
          <w:color w:val="231F20"/>
          <w:spacing w:val="28"/>
          <w:sz w:val="21"/>
        </w:rPr>
        <w:t> </w:t>
      </w:r>
      <w:r>
        <w:rPr>
          <w:color w:val="231F20"/>
          <w:sz w:val="21"/>
        </w:rPr>
        <w:t>con</w:t>
      </w:r>
    </w:p>
    <w:p>
      <w:pPr>
        <w:pStyle w:val="BodyText"/>
        <w:spacing w:before="8"/>
        <w:ind w:left="1270"/>
        <w:jc w:val="both"/>
      </w:pPr>
      <w:r>
        <w:rPr>
          <w:color w:val="231F20"/>
        </w:rPr>
        <w:t>veniencia “de largo” (L) y “ancho” (W),</w:t>
      </w:r>
    </w:p>
    <w:p>
      <w:pPr>
        <w:pStyle w:val="ListParagraph"/>
        <w:numPr>
          <w:ilvl w:val="2"/>
          <w:numId w:val="10"/>
        </w:numPr>
        <w:tabs>
          <w:tab w:pos="1991" w:val="left" w:leader="none"/>
        </w:tabs>
        <w:spacing w:line="240" w:lineRule="auto" w:before="8" w:after="0"/>
        <w:ind w:left="1990" w:right="0" w:hanging="248"/>
        <w:jc w:val="left"/>
        <w:rPr>
          <w:sz w:val="21"/>
        </w:rPr>
      </w:pPr>
      <w:r>
        <w:rPr>
          <w:color w:val="231F20"/>
          <w:sz w:val="21"/>
        </w:rPr>
        <w:t>Altura a la base de la corona (Ac),</w:t>
      </w:r>
    </w:p>
    <w:p>
      <w:pPr>
        <w:pStyle w:val="ListParagraph"/>
        <w:numPr>
          <w:ilvl w:val="2"/>
          <w:numId w:val="10"/>
        </w:numPr>
        <w:tabs>
          <w:tab w:pos="1991" w:val="left" w:leader="none"/>
        </w:tabs>
        <w:spacing w:line="240" w:lineRule="auto" w:before="8" w:after="0"/>
        <w:ind w:left="1990" w:right="0" w:hanging="248"/>
        <w:jc w:val="left"/>
        <w:rPr>
          <w:sz w:val="21"/>
        </w:rPr>
      </w:pPr>
      <w:r>
        <w:rPr>
          <w:color w:val="231F20"/>
          <w:sz w:val="21"/>
        </w:rPr>
        <w:t>El porcentaje de follaje en la corona o dosel</w:t>
      </w:r>
    </w:p>
    <w:p>
      <w:pPr>
        <w:spacing w:after="0" w:line="240" w:lineRule="auto"/>
        <w:jc w:val="left"/>
        <w:rPr>
          <w:sz w:val="21"/>
        </w:rPr>
        <w:sectPr>
          <w:pgSz w:w="10920" w:h="13080"/>
          <w:pgMar w:header="0" w:footer="965" w:top="420" w:bottom="1220" w:left="0" w:right="0"/>
        </w:sectPr>
      </w:pPr>
    </w:p>
    <w:p>
      <w:pPr>
        <w:pStyle w:val="BodyText"/>
        <w:rPr>
          <w:sz w:val="20"/>
        </w:rPr>
      </w:pPr>
    </w:p>
    <w:p>
      <w:pPr>
        <w:pStyle w:val="BodyText"/>
        <w:rPr>
          <w:sz w:val="20"/>
        </w:rPr>
      </w:pPr>
    </w:p>
    <w:p>
      <w:pPr>
        <w:pStyle w:val="BodyText"/>
        <w:rPr>
          <w:sz w:val="23"/>
        </w:rPr>
      </w:pPr>
    </w:p>
    <w:p>
      <w:pPr>
        <w:spacing w:before="77"/>
        <w:ind w:left="1489" w:right="1489" w:firstLine="0"/>
        <w:jc w:val="center"/>
        <w:rPr>
          <w:b/>
          <w:sz w:val="18"/>
        </w:rPr>
      </w:pPr>
      <w:r>
        <w:rPr>
          <w:b/>
          <w:color w:val="010202"/>
          <w:sz w:val="18"/>
        </w:rPr>
        <w:t>Figura. 2. Mediciones para el método alométrico, Ponce-Hernández, 2004</w:t>
      </w:r>
    </w:p>
    <w:p>
      <w:pPr>
        <w:pStyle w:val="BodyText"/>
        <w:spacing w:before="9"/>
        <w:rPr>
          <w:b/>
          <w:sz w:val="18"/>
        </w:rPr>
      </w:pPr>
      <w:r>
        <w:rPr/>
        <w:drawing>
          <wp:anchor distT="0" distB="0" distL="0" distR="0" allowOverlap="1" layoutInCell="1" locked="0" behindDoc="0" simplePos="0" relativeHeight="5968">
            <wp:simplePos x="0" y="0"/>
            <wp:positionH relativeFrom="page">
              <wp:posOffset>2667000</wp:posOffset>
            </wp:positionH>
            <wp:positionV relativeFrom="paragraph">
              <wp:posOffset>161966</wp:posOffset>
            </wp:positionV>
            <wp:extent cx="1600201" cy="1885950"/>
            <wp:effectExtent l="0" t="0" r="0" b="0"/>
            <wp:wrapTopAndBottom/>
            <wp:docPr id="191" name="image79.jpeg" descr=""/>
            <wp:cNvGraphicFramePr>
              <a:graphicFrameLocks noChangeAspect="1"/>
            </wp:cNvGraphicFramePr>
            <a:graphic>
              <a:graphicData uri="http://schemas.openxmlformats.org/drawingml/2006/picture">
                <pic:pic>
                  <pic:nvPicPr>
                    <pic:cNvPr id="192" name="image79.jpeg"/>
                    <pic:cNvPicPr/>
                  </pic:nvPicPr>
                  <pic:blipFill>
                    <a:blip r:embed="rId117" cstate="print"/>
                    <a:stretch>
                      <a:fillRect/>
                    </a:stretch>
                  </pic:blipFill>
                  <pic:spPr>
                    <a:xfrm>
                      <a:off x="0" y="0"/>
                      <a:ext cx="1600201" cy="1885950"/>
                    </a:xfrm>
                    <a:prstGeom prst="rect">
                      <a:avLst/>
                    </a:prstGeom>
                  </pic:spPr>
                </pic:pic>
              </a:graphicData>
            </a:graphic>
          </wp:anchor>
        </w:drawing>
      </w:r>
    </w:p>
    <w:p>
      <w:pPr>
        <w:pStyle w:val="BodyText"/>
        <w:spacing w:before="10"/>
        <w:rPr>
          <w:b/>
          <w:sz w:val="23"/>
        </w:rPr>
      </w:pPr>
    </w:p>
    <w:p>
      <w:pPr>
        <w:pStyle w:val="BodyText"/>
        <w:spacing w:line="247" w:lineRule="auto"/>
        <w:ind w:left="1270" w:right="1267"/>
        <w:jc w:val="both"/>
      </w:pPr>
      <w:r>
        <w:rPr>
          <w:color w:val="231F20"/>
        </w:rPr>
        <w:t>Con esos datos se obtuvo el primer lugar el área basal (Ab) del tronco, el volumen y la biomasa a través</w:t>
      </w:r>
      <w:r>
        <w:rPr>
          <w:color w:val="231F20"/>
          <w:spacing w:val="-7"/>
        </w:rPr>
        <w:t> </w:t>
      </w:r>
      <w:r>
        <w:rPr>
          <w:color w:val="231F20"/>
        </w:rPr>
        <w:t>de</w:t>
      </w:r>
      <w:r>
        <w:rPr>
          <w:color w:val="231F20"/>
          <w:spacing w:val="-7"/>
        </w:rPr>
        <w:t> </w:t>
      </w:r>
      <w:r>
        <w:rPr>
          <w:color w:val="231F20"/>
        </w:rPr>
        <w:t>fórmulas</w:t>
      </w:r>
      <w:r>
        <w:rPr>
          <w:color w:val="231F20"/>
          <w:spacing w:val="-6"/>
        </w:rPr>
        <w:t> </w:t>
      </w:r>
      <w:r>
        <w:rPr>
          <w:color w:val="231F20"/>
        </w:rPr>
        <w:t>lineales.</w:t>
      </w:r>
      <w:r>
        <w:rPr>
          <w:color w:val="231F20"/>
          <w:spacing w:val="-7"/>
        </w:rPr>
        <w:t> </w:t>
      </w:r>
      <w:r>
        <w:rPr>
          <w:color w:val="231F20"/>
        </w:rPr>
        <w:t>La</w:t>
      </w:r>
      <w:r>
        <w:rPr>
          <w:color w:val="231F20"/>
          <w:spacing w:val="-7"/>
        </w:rPr>
        <w:t> </w:t>
      </w:r>
      <w:r>
        <w:rPr>
          <w:color w:val="231F20"/>
        </w:rPr>
        <w:t>biomasa</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corona</w:t>
      </w:r>
      <w:r>
        <w:rPr>
          <w:color w:val="231F20"/>
          <w:spacing w:val="-7"/>
        </w:rPr>
        <w:t> </w:t>
      </w:r>
      <w:r>
        <w:rPr>
          <w:color w:val="231F20"/>
        </w:rPr>
        <w:t>fue</w:t>
      </w:r>
      <w:r>
        <w:rPr>
          <w:color w:val="231F20"/>
          <w:spacing w:val="-7"/>
        </w:rPr>
        <w:t> </w:t>
      </w:r>
      <w:r>
        <w:rPr>
          <w:color w:val="231F20"/>
        </w:rPr>
        <w:t>estimada</w:t>
      </w:r>
      <w:r>
        <w:rPr>
          <w:color w:val="231F20"/>
          <w:spacing w:val="-7"/>
        </w:rPr>
        <w:t> </w:t>
      </w:r>
      <w:r>
        <w:rPr>
          <w:color w:val="231F20"/>
        </w:rPr>
        <w:t>y</w:t>
      </w:r>
      <w:r>
        <w:rPr>
          <w:color w:val="231F20"/>
          <w:spacing w:val="-7"/>
        </w:rPr>
        <w:t> </w:t>
      </w:r>
      <w:r>
        <w:rPr>
          <w:color w:val="231F20"/>
        </w:rPr>
        <w:t>añadido</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biomasa</w:t>
      </w:r>
      <w:r>
        <w:rPr>
          <w:color w:val="231F20"/>
          <w:spacing w:val="-6"/>
        </w:rPr>
        <w:t> </w:t>
      </w:r>
      <w:r>
        <w:rPr>
          <w:color w:val="231F20"/>
        </w:rPr>
        <w:t>del</w:t>
      </w:r>
      <w:r>
        <w:rPr>
          <w:color w:val="231F20"/>
          <w:spacing w:val="-7"/>
        </w:rPr>
        <w:t> </w:t>
      </w:r>
      <w:r>
        <w:rPr>
          <w:color w:val="231F20"/>
        </w:rPr>
        <w:t>tronco. Dada</w:t>
      </w:r>
      <w:r>
        <w:rPr>
          <w:color w:val="231F20"/>
          <w:spacing w:val="-12"/>
        </w:rPr>
        <w:t> </w:t>
      </w:r>
      <w:r>
        <w:rPr>
          <w:color w:val="231F20"/>
        </w:rPr>
        <w:t>la</w:t>
      </w:r>
      <w:r>
        <w:rPr>
          <w:color w:val="231F20"/>
          <w:spacing w:val="-12"/>
        </w:rPr>
        <w:t> </w:t>
      </w:r>
      <w:r>
        <w:rPr>
          <w:color w:val="231F20"/>
        </w:rPr>
        <w:t>variabilidad</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formas</w:t>
      </w:r>
      <w:r>
        <w:rPr>
          <w:color w:val="231F20"/>
          <w:spacing w:val="-12"/>
        </w:rPr>
        <w:t> </w:t>
      </w:r>
      <w:r>
        <w:rPr>
          <w:color w:val="231F20"/>
        </w:rPr>
        <w:t>de</w:t>
      </w:r>
      <w:r>
        <w:rPr>
          <w:color w:val="231F20"/>
          <w:spacing w:val="-12"/>
        </w:rPr>
        <w:t> </w:t>
      </w:r>
      <w:r>
        <w:rPr>
          <w:color w:val="231F20"/>
        </w:rPr>
        <w:t>copas</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árboles</w:t>
      </w:r>
      <w:r>
        <w:rPr>
          <w:color w:val="231F20"/>
          <w:spacing w:val="-12"/>
        </w:rPr>
        <w:t> </w:t>
      </w:r>
      <w:r>
        <w:rPr>
          <w:color w:val="231F20"/>
        </w:rPr>
        <w:t>de</w:t>
      </w:r>
      <w:r>
        <w:rPr>
          <w:color w:val="231F20"/>
          <w:spacing w:val="-12"/>
        </w:rPr>
        <w:t> </w:t>
      </w:r>
      <w:r>
        <w:rPr>
          <w:color w:val="231F20"/>
        </w:rPr>
        <w:t>una</w:t>
      </w:r>
      <w:r>
        <w:rPr>
          <w:color w:val="231F20"/>
          <w:spacing w:val="-12"/>
        </w:rPr>
        <w:t> </w:t>
      </w:r>
      <w:r>
        <w:rPr>
          <w:color w:val="231F20"/>
        </w:rPr>
        <w:t>especie</w:t>
      </w:r>
      <w:r>
        <w:rPr>
          <w:color w:val="231F20"/>
          <w:spacing w:val="-12"/>
        </w:rPr>
        <w:t> </w:t>
      </w:r>
      <w:r>
        <w:rPr>
          <w:color w:val="231F20"/>
        </w:rPr>
        <w:t>a</w:t>
      </w:r>
      <w:r>
        <w:rPr>
          <w:color w:val="231F20"/>
          <w:spacing w:val="-12"/>
        </w:rPr>
        <w:t> </w:t>
      </w:r>
      <w:r>
        <w:rPr>
          <w:color w:val="231F20"/>
        </w:rPr>
        <w:t>otra,</w:t>
      </w:r>
      <w:r>
        <w:rPr>
          <w:color w:val="231F20"/>
          <w:spacing w:val="-12"/>
        </w:rPr>
        <w:t> </w:t>
      </w:r>
      <w:r>
        <w:rPr>
          <w:color w:val="231F20"/>
        </w:rPr>
        <w:t>mediante</w:t>
      </w:r>
      <w:r>
        <w:rPr>
          <w:color w:val="231F20"/>
          <w:spacing w:val="-12"/>
        </w:rPr>
        <w:t> </w:t>
      </w:r>
      <w:r>
        <w:rPr>
          <w:color w:val="231F20"/>
        </w:rPr>
        <w:t>ecuaciones que</w:t>
      </w:r>
      <w:r>
        <w:rPr>
          <w:color w:val="231F20"/>
          <w:spacing w:val="-16"/>
        </w:rPr>
        <w:t> </w:t>
      </w:r>
      <w:r>
        <w:rPr>
          <w:color w:val="231F20"/>
        </w:rPr>
        <w:t>permite</w:t>
      </w:r>
      <w:r>
        <w:rPr>
          <w:color w:val="231F20"/>
          <w:spacing w:val="-16"/>
        </w:rPr>
        <w:t> </w:t>
      </w:r>
      <w:r>
        <w:rPr>
          <w:color w:val="231F20"/>
        </w:rPr>
        <w:t>estimar</w:t>
      </w:r>
      <w:r>
        <w:rPr>
          <w:color w:val="231F20"/>
          <w:spacing w:val="-17"/>
        </w:rPr>
        <w:t> </w:t>
      </w:r>
      <w:r>
        <w:rPr>
          <w:color w:val="231F20"/>
        </w:rPr>
        <w:t>el</w:t>
      </w:r>
      <w:r>
        <w:rPr>
          <w:color w:val="231F20"/>
          <w:spacing w:val="-16"/>
        </w:rPr>
        <w:t> </w:t>
      </w:r>
      <w:r>
        <w:rPr>
          <w:color w:val="231F20"/>
        </w:rPr>
        <w:t>volumen</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copa</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árboles</w:t>
      </w:r>
      <w:r>
        <w:rPr>
          <w:color w:val="231F20"/>
          <w:spacing w:val="-17"/>
        </w:rPr>
        <w:t> </w:t>
      </w:r>
      <w:r>
        <w:rPr>
          <w:color w:val="231F20"/>
        </w:rPr>
        <w:t>dependiendo</w:t>
      </w:r>
      <w:r>
        <w:rPr>
          <w:color w:val="231F20"/>
          <w:spacing w:val="-16"/>
        </w:rPr>
        <w:t> </w:t>
      </w:r>
      <w:r>
        <w:rPr>
          <w:color w:val="231F20"/>
        </w:rPr>
        <w:t>de</w:t>
      </w:r>
      <w:r>
        <w:rPr>
          <w:color w:val="231F20"/>
          <w:spacing w:val="-16"/>
        </w:rPr>
        <w:t> </w:t>
      </w:r>
      <w:r>
        <w:rPr>
          <w:color w:val="231F20"/>
        </w:rPr>
        <w:t>su</w:t>
      </w:r>
      <w:r>
        <w:rPr>
          <w:color w:val="231F20"/>
          <w:spacing w:val="-16"/>
        </w:rPr>
        <w:t> </w:t>
      </w:r>
      <w:r>
        <w:rPr>
          <w:color w:val="231F20"/>
        </w:rPr>
        <w:t>forma</w:t>
      </w:r>
      <w:r>
        <w:rPr>
          <w:color w:val="231F20"/>
          <w:spacing w:val="-16"/>
        </w:rPr>
        <w:t> </w:t>
      </w:r>
      <w:r>
        <w:rPr>
          <w:color w:val="231F20"/>
        </w:rPr>
        <w:t>(cónica,</w:t>
      </w:r>
      <w:r>
        <w:rPr>
          <w:color w:val="231F20"/>
          <w:spacing w:val="-16"/>
        </w:rPr>
        <w:t> </w:t>
      </w:r>
      <w:r>
        <w:rPr>
          <w:color w:val="231F20"/>
        </w:rPr>
        <w:t>parabólica y hemisférica). El volumen de la corona estimado por las ecuaciones es el volumen total bruto, para descontar</w:t>
      </w:r>
      <w:r>
        <w:rPr>
          <w:color w:val="231F20"/>
          <w:spacing w:val="-11"/>
        </w:rPr>
        <w:t> </w:t>
      </w:r>
      <w:r>
        <w:rPr>
          <w:color w:val="231F20"/>
        </w:rPr>
        <w:t>el</w:t>
      </w:r>
      <w:r>
        <w:rPr>
          <w:color w:val="231F20"/>
          <w:spacing w:val="-11"/>
        </w:rPr>
        <w:t> </w:t>
      </w:r>
      <w:r>
        <w:rPr>
          <w:color w:val="231F20"/>
        </w:rPr>
        <w:t>espacio</w:t>
      </w:r>
      <w:r>
        <w:rPr>
          <w:color w:val="231F20"/>
          <w:spacing w:val="-11"/>
        </w:rPr>
        <w:t> </w:t>
      </w:r>
      <w:r>
        <w:rPr>
          <w:color w:val="231F20"/>
        </w:rPr>
        <w:t>aéreo</w:t>
      </w:r>
      <w:r>
        <w:rPr>
          <w:color w:val="231F20"/>
          <w:spacing w:val="-11"/>
        </w:rPr>
        <w:t> </w:t>
      </w:r>
      <w:r>
        <w:rPr>
          <w:color w:val="231F20"/>
        </w:rPr>
        <w:t>se</w:t>
      </w:r>
      <w:r>
        <w:rPr>
          <w:color w:val="231F20"/>
          <w:spacing w:val="-11"/>
        </w:rPr>
        <w:t> </w:t>
      </w:r>
      <w:r>
        <w:rPr>
          <w:color w:val="231F20"/>
        </w:rPr>
        <w:t>multiplico</w:t>
      </w:r>
      <w:r>
        <w:rPr>
          <w:color w:val="231F20"/>
          <w:spacing w:val="-11"/>
        </w:rPr>
        <w:t> </w:t>
      </w:r>
      <w:r>
        <w:rPr>
          <w:color w:val="231F20"/>
        </w:rPr>
        <w:t>por</w:t>
      </w:r>
      <w:r>
        <w:rPr>
          <w:color w:val="231F20"/>
          <w:spacing w:val="-11"/>
        </w:rPr>
        <w:t> </w:t>
      </w:r>
      <w:r>
        <w:rPr>
          <w:color w:val="231F20"/>
        </w:rPr>
        <w:t>el</w:t>
      </w:r>
      <w:r>
        <w:rPr>
          <w:color w:val="231F20"/>
          <w:spacing w:val="-11"/>
        </w:rPr>
        <w:t> </w:t>
      </w:r>
      <w:r>
        <w:rPr>
          <w:color w:val="231F20"/>
        </w:rPr>
        <w:t>porcentaje</w:t>
      </w:r>
      <w:r>
        <w:rPr>
          <w:color w:val="231F20"/>
          <w:spacing w:val="-11"/>
        </w:rPr>
        <w:t> </w:t>
      </w:r>
      <w:r>
        <w:rPr>
          <w:color w:val="231F20"/>
        </w:rPr>
        <w:t>de</w:t>
      </w:r>
      <w:r>
        <w:rPr>
          <w:color w:val="231F20"/>
          <w:spacing w:val="-11"/>
        </w:rPr>
        <w:t> </w:t>
      </w:r>
      <w:r>
        <w:rPr>
          <w:color w:val="231F20"/>
        </w:rPr>
        <w:t>follaje</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corona</w:t>
      </w:r>
      <w:r>
        <w:rPr>
          <w:color w:val="231F20"/>
          <w:spacing w:val="-11"/>
        </w:rPr>
        <w:t> </w:t>
      </w:r>
      <w:r>
        <w:rPr>
          <w:color w:val="231F20"/>
        </w:rPr>
        <w:t>para</w:t>
      </w:r>
      <w:r>
        <w:rPr>
          <w:color w:val="231F20"/>
          <w:spacing w:val="-11"/>
        </w:rPr>
        <w:t> </w:t>
      </w:r>
      <w:r>
        <w:rPr>
          <w:color w:val="231F20"/>
        </w:rPr>
        <w:t>obtener</w:t>
      </w:r>
      <w:r>
        <w:rPr>
          <w:color w:val="231F20"/>
          <w:spacing w:val="-11"/>
        </w:rPr>
        <w:t> </w:t>
      </w:r>
      <w:r>
        <w:rPr>
          <w:color w:val="231F20"/>
        </w:rPr>
        <w:t>el</w:t>
      </w:r>
      <w:r>
        <w:rPr>
          <w:color w:val="231F20"/>
          <w:spacing w:val="-11"/>
        </w:rPr>
        <w:t> </w:t>
      </w:r>
      <w:r>
        <w:rPr>
          <w:color w:val="231F20"/>
        </w:rPr>
        <w:t>volu- men</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sólidos</w:t>
      </w:r>
      <w:r>
        <w:rPr>
          <w:color w:val="231F20"/>
          <w:spacing w:val="-15"/>
        </w:rPr>
        <w:t> </w:t>
      </w:r>
      <w:r>
        <w:rPr>
          <w:color w:val="231F20"/>
        </w:rPr>
        <w:t>totales.</w:t>
      </w:r>
      <w:r>
        <w:rPr>
          <w:color w:val="231F20"/>
          <w:spacing w:val="-15"/>
        </w:rPr>
        <w:t> </w:t>
      </w:r>
      <w:r>
        <w:rPr>
          <w:color w:val="231F20"/>
        </w:rPr>
        <w:t>Se</w:t>
      </w:r>
      <w:r>
        <w:rPr>
          <w:color w:val="231F20"/>
          <w:spacing w:val="-15"/>
        </w:rPr>
        <w:t> </w:t>
      </w:r>
      <w:r>
        <w:rPr>
          <w:color w:val="231F20"/>
        </w:rPr>
        <w:t>cuantificaron</w:t>
      </w:r>
      <w:r>
        <w:rPr>
          <w:color w:val="231F20"/>
          <w:spacing w:val="-15"/>
        </w:rPr>
        <w:t> </w:t>
      </w:r>
      <w:r>
        <w:rPr>
          <w:color w:val="231F20"/>
        </w:rPr>
        <w:t>y</w:t>
      </w:r>
      <w:r>
        <w:rPr>
          <w:color w:val="231F20"/>
          <w:spacing w:val="-15"/>
        </w:rPr>
        <w:t> </w:t>
      </w:r>
      <w:r>
        <w:rPr>
          <w:color w:val="231F20"/>
        </w:rPr>
        <w:t>clasificaron</w:t>
      </w:r>
      <w:r>
        <w:rPr>
          <w:color w:val="231F20"/>
          <w:spacing w:val="-15"/>
        </w:rPr>
        <w:t> </w:t>
      </w:r>
      <w:r>
        <w:rPr>
          <w:color w:val="231F20"/>
        </w:rPr>
        <w:t>las</w:t>
      </w:r>
      <w:r>
        <w:rPr>
          <w:color w:val="231F20"/>
          <w:spacing w:val="-15"/>
        </w:rPr>
        <w:t> </w:t>
      </w:r>
      <w:r>
        <w:rPr>
          <w:color w:val="231F20"/>
        </w:rPr>
        <w:t>especies</w:t>
      </w:r>
      <w:r>
        <w:rPr>
          <w:color w:val="231F20"/>
          <w:spacing w:val="-15"/>
        </w:rPr>
        <w:t> </w:t>
      </w:r>
      <w:r>
        <w:rPr>
          <w:color w:val="231F20"/>
        </w:rPr>
        <w:t>arbóreas</w:t>
      </w:r>
      <w:r>
        <w:rPr>
          <w:color w:val="231F20"/>
          <w:spacing w:val="-15"/>
        </w:rPr>
        <w:t> </w:t>
      </w:r>
      <w:r>
        <w:rPr>
          <w:color w:val="231F20"/>
        </w:rPr>
        <w:t>a</w:t>
      </w:r>
      <w:r>
        <w:rPr>
          <w:color w:val="231F20"/>
          <w:spacing w:val="-15"/>
        </w:rPr>
        <w:t> </w:t>
      </w:r>
      <w:r>
        <w:rPr>
          <w:color w:val="231F20"/>
        </w:rPr>
        <w:t>las</w:t>
      </w:r>
      <w:r>
        <w:rPr>
          <w:color w:val="231F20"/>
          <w:spacing w:val="-15"/>
        </w:rPr>
        <w:t> </w:t>
      </w:r>
      <w:r>
        <w:rPr>
          <w:color w:val="231F20"/>
        </w:rPr>
        <w:t>que</w:t>
      </w:r>
      <w:r>
        <w:rPr>
          <w:color w:val="231F20"/>
          <w:spacing w:val="-15"/>
        </w:rPr>
        <w:t> </w:t>
      </w:r>
      <w:r>
        <w:rPr>
          <w:color w:val="231F20"/>
        </w:rPr>
        <w:t>pertenecen.</w:t>
      </w:r>
    </w:p>
    <w:p>
      <w:pPr>
        <w:pStyle w:val="BodyText"/>
        <w:spacing w:before="10"/>
      </w:pPr>
    </w:p>
    <w:p>
      <w:pPr>
        <w:pStyle w:val="ListParagraph"/>
        <w:numPr>
          <w:ilvl w:val="0"/>
          <w:numId w:val="11"/>
        </w:numPr>
        <w:tabs>
          <w:tab w:pos="1991" w:val="left" w:leader="none"/>
        </w:tabs>
        <w:spacing w:line="240" w:lineRule="auto" w:before="0" w:after="0"/>
        <w:ind w:left="1990" w:right="0" w:hanging="248"/>
        <w:jc w:val="left"/>
        <w:rPr>
          <w:color w:val="231F20"/>
          <w:sz w:val="21"/>
        </w:rPr>
      </w:pPr>
      <w:r>
        <w:rPr>
          <w:color w:val="231F20"/>
          <w:sz w:val="21"/>
        </w:rPr>
        <w:t>Estimación de la biomasa de los</w:t>
      </w:r>
      <w:r>
        <w:rPr>
          <w:color w:val="231F20"/>
          <w:spacing w:val="-2"/>
          <w:sz w:val="21"/>
        </w:rPr>
        <w:t> </w:t>
      </w:r>
      <w:r>
        <w:rPr>
          <w:color w:val="231F20"/>
          <w:sz w:val="21"/>
        </w:rPr>
        <w:t>arbustos</w:t>
      </w:r>
    </w:p>
    <w:p>
      <w:pPr>
        <w:pStyle w:val="BodyText"/>
        <w:spacing w:line="247" w:lineRule="auto" w:before="8"/>
        <w:ind w:left="1270" w:right="1267"/>
        <w:jc w:val="both"/>
      </w:pPr>
      <w:r>
        <w:rPr>
          <w:color w:val="231F20"/>
        </w:rPr>
        <w:t>El</w:t>
      </w:r>
      <w:r>
        <w:rPr>
          <w:color w:val="231F20"/>
          <w:spacing w:val="-6"/>
        </w:rPr>
        <w:t> </w:t>
      </w:r>
      <w:r>
        <w:rPr>
          <w:color w:val="231F20"/>
        </w:rPr>
        <w:t>volumen</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arbustos</w:t>
      </w:r>
      <w:r>
        <w:rPr>
          <w:color w:val="231F20"/>
          <w:spacing w:val="-7"/>
        </w:rPr>
        <w:t> </w:t>
      </w:r>
      <w:r>
        <w:rPr>
          <w:color w:val="231F20"/>
        </w:rPr>
        <w:t>se</w:t>
      </w:r>
      <w:r>
        <w:rPr>
          <w:color w:val="231F20"/>
          <w:spacing w:val="-6"/>
        </w:rPr>
        <w:t> </w:t>
      </w:r>
      <w:r>
        <w:rPr>
          <w:color w:val="231F20"/>
        </w:rPr>
        <w:t>estimó</w:t>
      </w:r>
      <w:r>
        <w:rPr>
          <w:color w:val="231F20"/>
          <w:spacing w:val="-6"/>
        </w:rPr>
        <w:t> </w:t>
      </w:r>
      <w:r>
        <w:rPr>
          <w:color w:val="231F20"/>
        </w:rPr>
        <w:t>de</w:t>
      </w:r>
      <w:r>
        <w:rPr>
          <w:color w:val="231F20"/>
          <w:spacing w:val="-6"/>
        </w:rPr>
        <w:t> </w:t>
      </w:r>
      <w:r>
        <w:rPr>
          <w:color w:val="231F20"/>
        </w:rPr>
        <w:t>manera</w:t>
      </w:r>
      <w:r>
        <w:rPr>
          <w:color w:val="231F20"/>
          <w:spacing w:val="-6"/>
        </w:rPr>
        <w:t> </w:t>
      </w:r>
      <w:r>
        <w:rPr>
          <w:color w:val="231F20"/>
        </w:rPr>
        <w:t>similar</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troncos</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árboles,</w:t>
      </w:r>
      <w:r>
        <w:rPr>
          <w:color w:val="231F20"/>
          <w:spacing w:val="-6"/>
        </w:rPr>
        <w:t> </w:t>
      </w:r>
      <w:r>
        <w:rPr>
          <w:color w:val="231F20"/>
        </w:rPr>
        <w:t>calculando el volumen del arbusto. Considerando la reducción por los espacios en las ramas y la densidad de  la madera. Por lo que fue multiplicado por un índice de conversión dependiendo de la especie y del diámetro de la copa.</w:t>
      </w:r>
    </w:p>
    <w:p>
      <w:pPr>
        <w:pStyle w:val="BodyText"/>
        <w:spacing w:before="10"/>
      </w:pPr>
    </w:p>
    <w:p>
      <w:pPr>
        <w:pStyle w:val="ListParagraph"/>
        <w:numPr>
          <w:ilvl w:val="0"/>
          <w:numId w:val="11"/>
        </w:numPr>
        <w:tabs>
          <w:tab w:pos="1991" w:val="left" w:leader="none"/>
        </w:tabs>
        <w:spacing w:line="240" w:lineRule="auto" w:before="0" w:after="0"/>
        <w:ind w:left="1990" w:right="0" w:hanging="248"/>
        <w:jc w:val="left"/>
        <w:rPr>
          <w:color w:val="231F20"/>
          <w:sz w:val="21"/>
        </w:rPr>
      </w:pPr>
      <w:r>
        <w:rPr>
          <w:color w:val="231F20"/>
          <w:sz w:val="21"/>
        </w:rPr>
        <w:t>Estimación de la biomasa</w:t>
      </w:r>
      <w:r>
        <w:rPr>
          <w:color w:val="231F20"/>
          <w:spacing w:val="-1"/>
          <w:sz w:val="21"/>
        </w:rPr>
        <w:t> </w:t>
      </w:r>
      <w:r>
        <w:rPr>
          <w:color w:val="231F20"/>
          <w:sz w:val="21"/>
        </w:rPr>
        <w:t>herbácea</w:t>
      </w:r>
    </w:p>
    <w:p>
      <w:pPr>
        <w:pStyle w:val="BodyText"/>
        <w:spacing w:line="249" w:lineRule="auto" w:before="8"/>
        <w:ind w:left="1270" w:right="1267"/>
        <w:jc w:val="both"/>
      </w:pPr>
      <w:r>
        <w:rPr>
          <w:color w:val="231F20"/>
        </w:rPr>
        <w:t>En el estrato herbáceo, la hojarasca y otros restos orgánicos recolectados en el estrato de 1 x 1 m,  se llevaron al laboratorio para ser pesadas y secadas, El valor resultante es la estimación de materia orgánica seca por metro cuadrado, el cálculo de la biomasa resultante se extrapoló a los 100</w:t>
      </w:r>
      <w:r>
        <w:rPr>
          <w:color w:val="231F20"/>
          <w:spacing w:val="-14"/>
        </w:rPr>
        <w:t> </w:t>
      </w:r>
      <w:r>
        <w:rPr>
          <w:color w:val="231F20"/>
        </w:rPr>
        <w:t>m</w:t>
      </w:r>
      <w:r>
        <w:rPr>
          <w:color w:val="231F20"/>
          <w:position w:val="7"/>
          <w:sz w:val="12"/>
        </w:rPr>
        <w:t>2</w:t>
      </w:r>
      <w:r>
        <w:rPr>
          <w:color w:val="231F20"/>
        </w:rPr>
        <w:t>.</w:t>
      </w:r>
    </w:p>
    <w:p>
      <w:pPr>
        <w:pStyle w:val="BodyText"/>
        <w:spacing w:before="7"/>
      </w:pPr>
    </w:p>
    <w:p>
      <w:pPr>
        <w:pStyle w:val="ListParagraph"/>
        <w:numPr>
          <w:ilvl w:val="0"/>
          <w:numId w:val="11"/>
        </w:numPr>
        <w:tabs>
          <w:tab w:pos="1991" w:val="left" w:leader="none"/>
        </w:tabs>
        <w:spacing w:line="240" w:lineRule="auto" w:before="0" w:after="0"/>
        <w:ind w:left="1990" w:right="0" w:hanging="248"/>
        <w:jc w:val="left"/>
        <w:rPr>
          <w:color w:val="231F20"/>
          <w:sz w:val="21"/>
        </w:rPr>
      </w:pPr>
      <w:r>
        <w:rPr>
          <w:color w:val="231F20"/>
          <w:sz w:val="21"/>
        </w:rPr>
        <w:t>Para el cálculo de la</w:t>
      </w:r>
      <w:r>
        <w:rPr>
          <w:color w:val="231F20"/>
          <w:spacing w:val="-4"/>
          <w:sz w:val="21"/>
        </w:rPr>
        <w:t> </w:t>
      </w:r>
      <w:r>
        <w:rPr>
          <w:color w:val="231F20"/>
          <w:sz w:val="21"/>
        </w:rPr>
        <w:t>biodiversidad</w:t>
      </w:r>
    </w:p>
    <w:p>
      <w:pPr>
        <w:pStyle w:val="BodyText"/>
        <w:spacing w:line="247" w:lineRule="auto" w:before="8"/>
        <w:ind w:left="1270" w:right="1268"/>
        <w:jc w:val="both"/>
      </w:pPr>
      <w:r>
        <w:rPr>
          <w:color w:val="231F20"/>
        </w:rPr>
        <w:t>Se</w:t>
      </w:r>
      <w:r>
        <w:rPr>
          <w:color w:val="231F20"/>
          <w:spacing w:val="-9"/>
        </w:rPr>
        <w:t> </w:t>
      </w:r>
      <w:r>
        <w:rPr>
          <w:color w:val="231F20"/>
        </w:rPr>
        <w:t>Identificaron</w:t>
      </w:r>
      <w:r>
        <w:rPr>
          <w:color w:val="231F20"/>
          <w:spacing w:val="-10"/>
        </w:rPr>
        <w:t> </w:t>
      </w:r>
      <w:r>
        <w:rPr>
          <w:color w:val="231F20"/>
        </w:rPr>
        <w:t>las</w:t>
      </w:r>
      <w:r>
        <w:rPr>
          <w:color w:val="231F20"/>
          <w:spacing w:val="-9"/>
        </w:rPr>
        <w:t> </w:t>
      </w:r>
      <w:r>
        <w:rPr>
          <w:color w:val="231F20"/>
        </w:rPr>
        <w:t>especies</w:t>
      </w:r>
      <w:r>
        <w:rPr>
          <w:color w:val="231F20"/>
          <w:spacing w:val="-10"/>
        </w:rPr>
        <w:t> </w:t>
      </w:r>
      <w:r>
        <w:rPr>
          <w:color w:val="231F20"/>
        </w:rPr>
        <w:t>arbóreas,</w:t>
      </w:r>
      <w:r>
        <w:rPr>
          <w:color w:val="231F20"/>
          <w:spacing w:val="-9"/>
        </w:rPr>
        <w:t> </w:t>
      </w:r>
      <w:r>
        <w:rPr>
          <w:color w:val="231F20"/>
        </w:rPr>
        <w:t>arbustivas</w:t>
      </w:r>
      <w:r>
        <w:rPr>
          <w:color w:val="231F20"/>
          <w:spacing w:val="-9"/>
        </w:rPr>
        <w:t> </w:t>
      </w:r>
      <w:r>
        <w:rPr>
          <w:color w:val="231F20"/>
        </w:rPr>
        <w:t>y</w:t>
      </w:r>
      <w:r>
        <w:rPr>
          <w:color w:val="231F20"/>
          <w:spacing w:val="-9"/>
        </w:rPr>
        <w:t> </w:t>
      </w:r>
      <w:r>
        <w:rPr>
          <w:color w:val="231F20"/>
        </w:rPr>
        <w:t>herbáceas,</w:t>
      </w:r>
      <w:r>
        <w:rPr>
          <w:color w:val="231F20"/>
          <w:spacing w:val="-10"/>
        </w:rPr>
        <w:t> </w:t>
      </w:r>
      <w:r>
        <w:rPr>
          <w:color w:val="231F20"/>
        </w:rPr>
        <w:t>así</w:t>
      </w:r>
      <w:r>
        <w:rPr>
          <w:color w:val="231F20"/>
          <w:spacing w:val="-9"/>
        </w:rPr>
        <w:t> </w:t>
      </w:r>
      <w:r>
        <w:rPr>
          <w:color w:val="231F20"/>
        </w:rPr>
        <w:t>como</w:t>
      </w:r>
      <w:r>
        <w:rPr>
          <w:color w:val="231F20"/>
          <w:spacing w:val="-9"/>
        </w:rPr>
        <w:t> </w:t>
      </w:r>
      <w:r>
        <w:rPr>
          <w:color w:val="231F20"/>
        </w:rPr>
        <w:t>el</w:t>
      </w:r>
      <w:r>
        <w:rPr>
          <w:color w:val="231F20"/>
          <w:spacing w:val="-10"/>
        </w:rPr>
        <w:t> </w:t>
      </w:r>
      <w:r>
        <w:rPr>
          <w:color w:val="231F20"/>
        </w:rPr>
        <w:t>número</w:t>
      </w:r>
      <w:r>
        <w:rPr>
          <w:color w:val="231F20"/>
          <w:spacing w:val="-9"/>
        </w:rPr>
        <w:t> </w:t>
      </w:r>
      <w:r>
        <w:rPr>
          <w:color w:val="231F20"/>
        </w:rPr>
        <w:t>de</w:t>
      </w:r>
      <w:r>
        <w:rPr>
          <w:color w:val="231F20"/>
          <w:spacing w:val="-9"/>
        </w:rPr>
        <w:t> </w:t>
      </w:r>
      <w:r>
        <w:rPr>
          <w:color w:val="231F20"/>
        </w:rPr>
        <w:t>individuos</w:t>
      </w:r>
      <w:r>
        <w:rPr>
          <w:color w:val="231F20"/>
          <w:spacing w:val="-10"/>
        </w:rPr>
        <w:t> </w:t>
      </w:r>
      <w:r>
        <w:rPr>
          <w:color w:val="231F20"/>
        </w:rPr>
        <w:t>para evaluar la biodiversidad del agroecosistema y para el cálculo de los índices de la diversidad vegetal de</w:t>
      </w:r>
      <w:r>
        <w:rPr>
          <w:color w:val="231F20"/>
          <w:spacing w:val="-8"/>
        </w:rPr>
        <w:t> </w:t>
      </w:r>
      <w:r>
        <w:rPr>
          <w:color w:val="231F20"/>
        </w:rPr>
        <w:t>Shannon.</w:t>
      </w:r>
    </w:p>
    <w:p>
      <w:pPr>
        <w:pStyle w:val="BodyText"/>
        <w:ind w:left="4775"/>
        <w:rPr>
          <w:sz w:val="20"/>
        </w:rPr>
      </w:pPr>
      <w:r>
        <w:rPr>
          <w:sz w:val="20"/>
        </w:rPr>
        <w:drawing>
          <wp:inline distT="0" distB="0" distL="0" distR="0">
            <wp:extent cx="869631" cy="300037"/>
            <wp:effectExtent l="0" t="0" r="0" b="0"/>
            <wp:docPr id="193" name="image80.png" descr=""/>
            <wp:cNvGraphicFramePr>
              <a:graphicFrameLocks noChangeAspect="1"/>
            </wp:cNvGraphicFramePr>
            <a:graphic>
              <a:graphicData uri="http://schemas.openxmlformats.org/drawingml/2006/picture">
                <pic:pic>
                  <pic:nvPicPr>
                    <pic:cNvPr id="194" name="image80.png"/>
                    <pic:cNvPicPr/>
                  </pic:nvPicPr>
                  <pic:blipFill>
                    <a:blip r:embed="rId118" cstate="print"/>
                    <a:stretch>
                      <a:fillRect/>
                    </a:stretch>
                  </pic:blipFill>
                  <pic:spPr>
                    <a:xfrm>
                      <a:off x="0" y="0"/>
                      <a:ext cx="869631" cy="300037"/>
                    </a:xfrm>
                    <a:prstGeom prst="rect">
                      <a:avLst/>
                    </a:prstGeom>
                  </pic:spPr>
                </pic:pic>
              </a:graphicData>
            </a:graphic>
          </wp:inline>
        </w:drawing>
      </w:r>
      <w:r>
        <w:rPr>
          <w:sz w:val="20"/>
        </w:rPr>
      </w:r>
    </w:p>
    <w:p>
      <w:pPr>
        <w:pStyle w:val="BodyText"/>
        <w:spacing w:before="45"/>
        <w:ind w:left="1505" w:right="1453"/>
        <w:jc w:val="center"/>
      </w:pPr>
      <w:r>
        <w:rPr>
          <w:color w:val="231F20"/>
        </w:rPr>
        <w:t>(Ponce-Hernandez, 2004)</w:t>
      </w:r>
    </w:p>
    <w:p>
      <w:pPr>
        <w:spacing w:after="0"/>
        <w:jc w:val="center"/>
        <w:sectPr>
          <w:pgSz w:w="10920" w:h="13080"/>
          <w:pgMar w:header="0" w:footer="965" w:top="420" w:bottom="1220" w:left="0" w:right="0"/>
        </w:sectPr>
      </w:pPr>
    </w:p>
    <w:p>
      <w:pPr>
        <w:pStyle w:val="BodyText"/>
        <w:rPr>
          <w:sz w:val="20"/>
        </w:rPr>
      </w:pPr>
    </w:p>
    <w:p>
      <w:pPr>
        <w:pStyle w:val="BodyText"/>
        <w:rPr>
          <w:sz w:val="20"/>
        </w:rPr>
      </w:pPr>
    </w:p>
    <w:p>
      <w:pPr>
        <w:pStyle w:val="BodyText"/>
        <w:rPr>
          <w:sz w:val="23"/>
        </w:rPr>
      </w:pPr>
    </w:p>
    <w:p>
      <w:pPr>
        <w:pStyle w:val="ListParagraph"/>
        <w:numPr>
          <w:ilvl w:val="0"/>
          <w:numId w:val="11"/>
        </w:numPr>
        <w:tabs>
          <w:tab w:pos="1991" w:val="left" w:leader="none"/>
        </w:tabs>
        <w:spacing w:line="240" w:lineRule="auto" w:before="73" w:after="0"/>
        <w:ind w:left="1990" w:right="0" w:hanging="248"/>
        <w:jc w:val="left"/>
        <w:rPr>
          <w:color w:val="231F20"/>
          <w:sz w:val="21"/>
        </w:rPr>
      </w:pPr>
      <w:r>
        <w:rPr>
          <w:color w:val="231F20"/>
          <w:sz w:val="21"/>
        </w:rPr>
        <w:t>Estimación de la biomasa de las</w:t>
      </w:r>
      <w:r>
        <w:rPr>
          <w:color w:val="231F20"/>
          <w:spacing w:val="-2"/>
          <w:sz w:val="21"/>
        </w:rPr>
        <w:t> </w:t>
      </w:r>
      <w:r>
        <w:rPr>
          <w:color w:val="231F20"/>
          <w:sz w:val="21"/>
        </w:rPr>
        <w:t>raíces</w:t>
      </w:r>
    </w:p>
    <w:p>
      <w:pPr>
        <w:pStyle w:val="BodyText"/>
        <w:spacing w:line="247" w:lineRule="auto" w:before="8"/>
        <w:ind w:left="1270" w:right="1267"/>
        <w:jc w:val="both"/>
      </w:pPr>
      <w:r>
        <w:rPr>
          <w:color w:val="231F20"/>
        </w:rPr>
        <w:t>Para la estimación de la biomasa subterránea, Santantonio, Hermann y Overton (1977); citado por Ponce H. (2004), sugieren que la biomasa está cerca de un 20 por ciento de la biomasa aérea total   e indican que la mayoría de la biomasa subterránea se encuentra en las raíces fuertes generalmente definidos</w:t>
      </w:r>
      <w:r>
        <w:rPr>
          <w:color w:val="231F20"/>
          <w:spacing w:val="-6"/>
        </w:rPr>
        <w:t> </w:t>
      </w:r>
      <w:r>
        <w:rPr>
          <w:color w:val="231F20"/>
        </w:rPr>
        <w:t>como</w:t>
      </w:r>
      <w:r>
        <w:rPr>
          <w:color w:val="231F20"/>
          <w:spacing w:val="-6"/>
        </w:rPr>
        <w:t> </w:t>
      </w:r>
      <w:r>
        <w:rPr>
          <w:color w:val="231F20"/>
        </w:rPr>
        <w:t>aquellos</w:t>
      </w:r>
      <w:r>
        <w:rPr>
          <w:color w:val="231F20"/>
          <w:spacing w:val="-6"/>
        </w:rPr>
        <w:t> </w:t>
      </w:r>
      <w:r>
        <w:rPr>
          <w:color w:val="231F20"/>
        </w:rPr>
        <w:t>de</w:t>
      </w:r>
      <w:r>
        <w:rPr>
          <w:color w:val="231F20"/>
          <w:spacing w:val="-6"/>
        </w:rPr>
        <w:t> </w:t>
      </w:r>
      <w:r>
        <w:rPr>
          <w:color w:val="231F20"/>
        </w:rPr>
        <w:t>más</w:t>
      </w:r>
      <w:r>
        <w:rPr>
          <w:color w:val="231F20"/>
          <w:spacing w:val="-6"/>
        </w:rPr>
        <w:t> </w:t>
      </w:r>
      <w:r>
        <w:rPr>
          <w:color w:val="231F20"/>
        </w:rPr>
        <w:t>de</w:t>
      </w:r>
      <w:r>
        <w:rPr>
          <w:color w:val="231F20"/>
          <w:spacing w:val="-6"/>
        </w:rPr>
        <w:t> </w:t>
      </w:r>
      <w:r>
        <w:rPr>
          <w:color w:val="231F20"/>
        </w:rPr>
        <w:t>2</w:t>
      </w:r>
      <w:r>
        <w:rPr>
          <w:color w:val="231F20"/>
          <w:spacing w:val="-6"/>
        </w:rPr>
        <w:t> </w:t>
      </w:r>
      <w:r>
        <w:rPr>
          <w:color w:val="231F20"/>
        </w:rPr>
        <w:t>mm</w:t>
      </w:r>
      <w:r>
        <w:rPr>
          <w:color w:val="231F20"/>
          <w:spacing w:val="-6"/>
        </w:rPr>
        <w:t> </w:t>
      </w:r>
      <w:r>
        <w:rPr>
          <w:color w:val="231F20"/>
        </w:rPr>
        <w:t>de</w:t>
      </w:r>
      <w:r>
        <w:rPr>
          <w:color w:val="231F20"/>
          <w:spacing w:val="-6"/>
        </w:rPr>
        <w:t> </w:t>
      </w:r>
      <w:r>
        <w:rPr>
          <w:color w:val="231F20"/>
        </w:rPr>
        <w:t>diámetro.</w:t>
      </w:r>
      <w:r>
        <w:rPr>
          <w:color w:val="231F20"/>
          <w:spacing w:val="-6"/>
        </w:rPr>
        <w:t> </w:t>
      </w:r>
      <w:r>
        <w:rPr>
          <w:color w:val="231F20"/>
        </w:rPr>
        <w:t>Por</w:t>
      </w:r>
      <w:r>
        <w:rPr>
          <w:color w:val="231F20"/>
          <w:spacing w:val="-5"/>
        </w:rPr>
        <w:t> </w:t>
      </w:r>
      <w:r>
        <w:rPr>
          <w:color w:val="231F20"/>
        </w:rPr>
        <w:t>lo</w:t>
      </w:r>
      <w:r>
        <w:rPr>
          <w:color w:val="231F20"/>
          <w:spacing w:val="-6"/>
        </w:rPr>
        <w:t> </w:t>
      </w:r>
      <w:r>
        <w:rPr>
          <w:color w:val="231F20"/>
        </w:rPr>
        <w:t>que</w:t>
      </w:r>
      <w:r>
        <w:rPr>
          <w:color w:val="231F20"/>
          <w:spacing w:val="-6"/>
        </w:rPr>
        <w:t> </w:t>
      </w:r>
      <w:r>
        <w:rPr>
          <w:color w:val="231F20"/>
        </w:rPr>
        <w:t>una</w:t>
      </w:r>
      <w:r>
        <w:rPr>
          <w:color w:val="231F20"/>
          <w:spacing w:val="-6"/>
        </w:rPr>
        <w:t> </w:t>
      </w:r>
      <w:r>
        <w:rPr>
          <w:color w:val="231F20"/>
        </w:rPr>
        <w:t>vez</w:t>
      </w:r>
      <w:r>
        <w:rPr>
          <w:color w:val="231F20"/>
          <w:spacing w:val="-6"/>
        </w:rPr>
        <w:t> </w:t>
      </w:r>
      <w:r>
        <w:rPr>
          <w:color w:val="231F20"/>
        </w:rPr>
        <w:t>obtenido</w:t>
      </w:r>
      <w:r>
        <w:rPr>
          <w:color w:val="231F20"/>
          <w:spacing w:val="-6"/>
        </w:rPr>
        <w:t> </w:t>
      </w:r>
      <w:r>
        <w:rPr>
          <w:color w:val="231F20"/>
        </w:rPr>
        <w:t>el</w:t>
      </w:r>
      <w:r>
        <w:rPr>
          <w:color w:val="231F20"/>
          <w:spacing w:val="-6"/>
        </w:rPr>
        <w:t> </w:t>
      </w:r>
      <w:r>
        <w:rPr>
          <w:color w:val="231F20"/>
        </w:rPr>
        <w:t>resultado</w:t>
      </w:r>
      <w:r>
        <w:rPr>
          <w:color w:val="231F20"/>
          <w:spacing w:val="-6"/>
        </w:rPr>
        <w:t> </w:t>
      </w:r>
      <w:r>
        <w:rPr>
          <w:color w:val="231F20"/>
        </w:rPr>
        <w:t>de</w:t>
      </w:r>
      <w:r>
        <w:rPr>
          <w:color w:val="231F20"/>
          <w:spacing w:val="-6"/>
        </w:rPr>
        <w:t> </w:t>
      </w:r>
      <w:r>
        <w:rPr>
          <w:color w:val="231F20"/>
        </w:rPr>
        <w:t>la multiplicación de la biomasa área es multiplicado por el valor sugerido por la</w:t>
      </w:r>
      <w:r>
        <w:rPr>
          <w:color w:val="231F20"/>
          <w:spacing w:val="-11"/>
        </w:rPr>
        <w:t> </w:t>
      </w:r>
      <w:r>
        <w:rPr>
          <w:color w:val="231F20"/>
        </w:rPr>
        <w:t>metodología.</w:t>
      </w:r>
    </w:p>
    <w:p>
      <w:pPr>
        <w:pStyle w:val="BodyText"/>
        <w:spacing w:before="10"/>
      </w:pPr>
    </w:p>
    <w:p>
      <w:pPr>
        <w:pStyle w:val="ListParagraph"/>
        <w:numPr>
          <w:ilvl w:val="0"/>
          <w:numId w:val="11"/>
        </w:numPr>
        <w:tabs>
          <w:tab w:pos="1991" w:val="left" w:leader="none"/>
        </w:tabs>
        <w:spacing w:line="240" w:lineRule="auto" w:before="0" w:after="0"/>
        <w:ind w:left="1990" w:right="0" w:hanging="248"/>
        <w:jc w:val="left"/>
        <w:rPr>
          <w:color w:val="231F20"/>
          <w:sz w:val="21"/>
        </w:rPr>
      </w:pPr>
      <w:r>
        <w:rPr>
          <w:color w:val="231F20"/>
          <w:sz w:val="21"/>
        </w:rPr>
        <w:t>Cálculo de la biomasa aérea</w:t>
      </w:r>
      <w:r>
        <w:rPr>
          <w:color w:val="231F20"/>
          <w:spacing w:val="-1"/>
          <w:sz w:val="21"/>
        </w:rPr>
        <w:t> </w:t>
      </w:r>
      <w:r>
        <w:rPr>
          <w:color w:val="231F20"/>
          <w:sz w:val="21"/>
        </w:rPr>
        <w:t>total</w:t>
      </w:r>
    </w:p>
    <w:p>
      <w:pPr>
        <w:pStyle w:val="BodyText"/>
        <w:spacing w:line="247" w:lineRule="auto" w:before="8"/>
        <w:ind w:left="1270" w:right="1268"/>
        <w:jc w:val="both"/>
      </w:pPr>
      <w:r>
        <w:rPr>
          <w:color w:val="231F20"/>
        </w:rPr>
        <w:t>La biomasa total se calculó para cada árbol en la muestra de cuadrantes por la adición del tronco y las estimaciones de la corona de la biomasa. Este valor es convertido en toneladas por hectárea. El cálculo</w:t>
      </w:r>
      <w:r>
        <w:rPr>
          <w:color w:val="231F20"/>
          <w:spacing w:val="-5"/>
        </w:rPr>
        <w:t> </w:t>
      </w:r>
      <w:r>
        <w:rPr>
          <w:color w:val="231F20"/>
        </w:rPr>
        <w:t>resultante</w:t>
      </w:r>
      <w:r>
        <w:rPr>
          <w:color w:val="231F20"/>
          <w:spacing w:val="-5"/>
        </w:rPr>
        <w:t> </w:t>
      </w:r>
      <w:r>
        <w:rPr>
          <w:color w:val="231F20"/>
        </w:rPr>
        <w:t>produjo</w:t>
      </w:r>
      <w:r>
        <w:rPr>
          <w:color w:val="231F20"/>
          <w:spacing w:val="-5"/>
        </w:rPr>
        <w:t> </w:t>
      </w:r>
      <w:r>
        <w:rPr>
          <w:color w:val="231F20"/>
        </w:rPr>
        <w:t>un</w:t>
      </w:r>
      <w:r>
        <w:rPr>
          <w:color w:val="231F20"/>
          <w:spacing w:val="-5"/>
        </w:rPr>
        <w:t> </w:t>
      </w:r>
      <w:r>
        <w:rPr>
          <w:color w:val="231F20"/>
        </w:rPr>
        <w:t>valor</w:t>
      </w:r>
      <w:r>
        <w:rPr>
          <w:color w:val="231F20"/>
          <w:spacing w:val="-5"/>
        </w:rPr>
        <w:t> </w:t>
      </w:r>
      <w:r>
        <w:rPr>
          <w:color w:val="231F20"/>
        </w:rPr>
        <w:t>de</w:t>
      </w:r>
      <w:r>
        <w:rPr>
          <w:color w:val="231F20"/>
          <w:spacing w:val="-5"/>
        </w:rPr>
        <w:t> </w:t>
      </w:r>
      <w:r>
        <w:rPr>
          <w:color w:val="231F20"/>
        </w:rPr>
        <w:t>biomasa</w:t>
      </w:r>
      <w:r>
        <w:rPr>
          <w:color w:val="231F20"/>
          <w:spacing w:val="-5"/>
        </w:rPr>
        <w:t> </w:t>
      </w:r>
      <w:r>
        <w:rPr>
          <w:color w:val="231F20"/>
        </w:rPr>
        <w:t>aérea</w:t>
      </w:r>
      <w:r>
        <w:rPr>
          <w:color w:val="231F20"/>
          <w:spacing w:val="-5"/>
        </w:rPr>
        <w:t> </w:t>
      </w:r>
      <w:r>
        <w:rPr>
          <w:color w:val="231F20"/>
        </w:rPr>
        <w:t>total</w:t>
      </w:r>
      <w:r>
        <w:rPr>
          <w:color w:val="231F20"/>
          <w:spacing w:val="-5"/>
        </w:rPr>
        <w:t> </w:t>
      </w:r>
      <w:r>
        <w:rPr>
          <w:color w:val="231F20"/>
        </w:rPr>
        <w:t>para</w:t>
      </w:r>
      <w:r>
        <w:rPr>
          <w:color w:val="231F20"/>
          <w:spacing w:val="-5"/>
        </w:rPr>
        <w:t> </w:t>
      </w:r>
      <w:r>
        <w:rPr>
          <w:color w:val="231F20"/>
        </w:rPr>
        <w:t>cada</w:t>
      </w:r>
      <w:r>
        <w:rPr>
          <w:color w:val="231F20"/>
          <w:spacing w:val="-5"/>
        </w:rPr>
        <w:t> </w:t>
      </w:r>
      <w:r>
        <w:rPr>
          <w:color w:val="231F20"/>
        </w:rPr>
        <w:t>uno</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sitios</w:t>
      </w:r>
      <w:r>
        <w:rPr>
          <w:color w:val="231F20"/>
          <w:spacing w:val="-5"/>
        </w:rPr>
        <w:t> </w:t>
      </w:r>
      <w:r>
        <w:rPr>
          <w:color w:val="231F20"/>
        </w:rPr>
        <w:t>de</w:t>
      </w:r>
      <w:r>
        <w:rPr>
          <w:color w:val="231F20"/>
          <w:spacing w:val="-5"/>
        </w:rPr>
        <w:t> </w:t>
      </w:r>
      <w:r>
        <w:rPr>
          <w:color w:val="231F20"/>
        </w:rPr>
        <w:t>muestreo</w:t>
      </w:r>
      <w:r>
        <w:rPr>
          <w:color w:val="231F20"/>
          <w:spacing w:val="-5"/>
        </w:rPr>
        <w:t> </w:t>
      </w:r>
      <w:r>
        <w:rPr>
          <w:color w:val="231F20"/>
        </w:rPr>
        <w:t>de campo (10 x 10</w:t>
      </w:r>
      <w:r>
        <w:rPr>
          <w:color w:val="231F20"/>
          <w:spacing w:val="-1"/>
        </w:rPr>
        <w:t> </w:t>
      </w:r>
      <w:r>
        <w:rPr>
          <w:color w:val="231F20"/>
        </w:rPr>
        <w:t>m).</w:t>
      </w:r>
    </w:p>
    <w:p>
      <w:pPr>
        <w:pStyle w:val="BodyText"/>
        <w:spacing w:before="10"/>
      </w:pPr>
    </w:p>
    <w:p>
      <w:pPr>
        <w:pStyle w:val="BodyText"/>
        <w:spacing w:line="247" w:lineRule="auto"/>
        <w:ind w:left="1270" w:right="1267"/>
        <w:jc w:val="both"/>
      </w:pPr>
      <w:r>
        <w:rPr>
          <w:color w:val="231F20"/>
        </w:rPr>
        <w:t>La</w:t>
      </w:r>
      <w:r>
        <w:rPr>
          <w:color w:val="231F20"/>
          <w:spacing w:val="-7"/>
        </w:rPr>
        <w:t> </w:t>
      </w:r>
      <w:r>
        <w:rPr>
          <w:color w:val="231F20"/>
        </w:rPr>
        <w:t>suma</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biomasa</w:t>
      </w:r>
      <w:r>
        <w:rPr>
          <w:color w:val="231F20"/>
          <w:spacing w:val="-7"/>
        </w:rPr>
        <w:t> </w:t>
      </w:r>
      <w:r>
        <w:rPr>
          <w:color w:val="231F20"/>
        </w:rPr>
        <w:t>aérea</w:t>
      </w:r>
      <w:r>
        <w:rPr>
          <w:color w:val="231F20"/>
          <w:spacing w:val="-8"/>
        </w:rPr>
        <w:t> </w:t>
      </w:r>
      <w:r>
        <w:rPr>
          <w:color w:val="231F20"/>
        </w:rPr>
        <w:t>y</w:t>
      </w:r>
      <w:r>
        <w:rPr>
          <w:color w:val="231F20"/>
          <w:spacing w:val="-7"/>
        </w:rPr>
        <w:t> </w:t>
      </w:r>
      <w:r>
        <w:rPr>
          <w:color w:val="231F20"/>
        </w:rPr>
        <w:t>subterránea,</w:t>
      </w:r>
      <w:r>
        <w:rPr>
          <w:color w:val="231F20"/>
          <w:spacing w:val="-7"/>
        </w:rPr>
        <w:t> </w:t>
      </w:r>
      <w:r>
        <w:rPr>
          <w:color w:val="231F20"/>
        </w:rPr>
        <w:t>calculado</w:t>
      </w:r>
      <w:r>
        <w:rPr>
          <w:color w:val="231F20"/>
          <w:spacing w:val="-8"/>
        </w:rPr>
        <w:t> </w:t>
      </w:r>
      <w:r>
        <w:rPr>
          <w:color w:val="231F20"/>
        </w:rPr>
        <w:t>con</w:t>
      </w:r>
      <w:r>
        <w:rPr>
          <w:color w:val="231F20"/>
          <w:spacing w:val="-8"/>
        </w:rPr>
        <w:t> </w:t>
      </w:r>
      <w:r>
        <w:rPr>
          <w:color w:val="231F20"/>
        </w:rPr>
        <w:t>los</w:t>
      </w:r>
      <w:r>
        <w:rPr>
          <w:color w:val="231F20"/>
          <w:spacing w:val="-8"/>
        </w:rPr>
        <w:t> </w:t>
      </w:r>
      <w:r>
        <w:rPr>
          <w:color w:val="231F20"/>
        </w:rPr>
        <w:t>procedimientos</w:t>
      </w:r>
      <w:r>
        <w:rPr>
          <w:color w:val="231F20"/>
          <w:spacing w:val="-7"/>
        </w:rPr>
        <w:t> </w:t>
      </w:r>
      <w:r>
        <w:rPr>
          <w:color w:val="231F20"/>
        </w:rPr>
        <w:t>descritos</w:t>
      </w:r>
      <w:r>
        <w:rPr>
          <w:color w:val="231F20"/>
          <w:spacing w:val="-7"/>
        </w:rPr>
        <w:t> </w:t>
      </w:r>
      <w:r>
        <w:rPr>
          <w:color w:val="231F20"/>
        </w:rPr>
        <w:t>anteriormen- te,</w:t>
      </w:r>
      <w:r>
        <w:rPr>
          <w:color w:val="231F20"/>
          <w:spacing w:val="-5"/>
        </w:rPr>
        <w:t> </w:t>
      </w:r>
      <w:r>
        <w:rPr>
          <w:color w:val="231F20"/>
        </w:rPr>
        <w:t>es</w:t>
      </w:r>
      <w:r>
        <w:rPr>
          <w:color w:val="231F20"/>
          <w:spacing w:val="-5"/>
        </w:rPr>
        <w:t> </w:t>
      </w:r>
      <w:r>
        <w:rPr>
          <w:color w:val="231F20"/>
        </w:rPr>
        <w:t>la</w:t>
      </w:r>
      <w:r>
        <w:rPr>
          <w:color w:val="231F20"/>
          <w:spacing w:val="-5"/>
        </w:rPr>
        <w:t> </w:t>
      </w:r>
      <w:r>
        <w:rPr>
          <w:color w:val="231F20"/>
        </w:rPr>
        <w:t>biomasa</w:t>
      </w:r>
      <w:r>
        <w:rPr>
          <w:color w:val="231F20"/>
          <w:spacing w:val="-5"/>
        </w:rPr>
        <w:t> </w:t>
      </w:r>
      <w:r>
        <w:rPr>
          <w:color w:val="231F20"/>
        </w:rPr>
        <w:t>total</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vegetación</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uso</w:t>
      </w:r>
      <w:r>
        <w:rPr>
          <w:color w:val="231F20"/>
          <w:spacing w:val="-5"/>
        </w:rPr>
        <w:t> </w:t>
      </w:r>
      <w:r>
        <w:rPr>
          <w:color w:val="231F20"/>
        </w:rPr>
        <w:t>real</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tierra</w:t>
      </w:r>
      <w:r>
        <w:rPr>
          <w:color w:val="231F20"/>
          <w:spacing w:val="-5"/>
        </w:rPr>
        <w:t> </w:t>
      </w:r>
      <w:r>
        <w:rPr>
          <w:color w:val="231F20"/>
        </w:rPr>
        <w:t>del</w:t>
      </w:r>
      <w:r>
        <w:rPr>
          <w:color w:val="231F20"/>
          <w:spacing w:val="-5"/>
        </w:rPr>
        <w:t> </w:t>
      </w:r>
      <w:r>
        <w:rPr>
          <w:color w:val="231F20"/>
        </w:rPr>
        <w:t>sitio</w:t>
      </w:r>
      <w:r>
        <w:rPr>
          <w:color w:val="231F20"/>
          <w:spacing w:val="-4"/>
        </w:rPr>
        <w:t> </w:t>
      </w:r>
      <w:r>
        <w:rPr>
          <w:color w:val="231F20"/>
        </w:rPr>
        <w:t>muestreado.</w:t>
      </w:r>
      <w:r>
        <w:rPr>
          <w:color w:val="231F20"/>
          <w:spacing w:val="-5"/>
        </w:rPr>
        <w:t> </w:t>
      </w:r>
      <w:r>
        <w:rPr>
          <w:color w:val="231F20"/>
        </w:rPr>
        <w:t>Esto</w:t>
      </w:r>
      <w:r>
        <w:rPr>
          <w:color w:val="231F20"/>
          <w:spacing w:val="-5"/>
        </w:rPr>
        <w:t> </w:t>
      </w:r>
      <w:r>
        <w:rPr>
          <w:color w:val="231F20"/>
        </w:rPr>
        <w:t>se</w:t>
      </w:r>
      <w:r>
        <w:rPr>
          <w:color w:val="231F20"/>
          <w:spacing w:val="-5"/>
        </w:rPr>
        <w:t> </w:t>
      </w:r>
      <w:r>
        <w:rPr>
          <w:color w:val="231F20"/>
        </w:rPr>
        <w:t>calcula para cada sitio de muestreo cuadrado (10 x 10 m) y se expresa en toneladas por</w:t>
      </w:r>
      <w:r>
        <w:rPr>
          <w:color w:val="231F20"/>
          <w:spacing w:val="-12"/>
        </w:rPr>
        <w:t> </w:t>
      </w:r>
      <w:r>
        <w:rPr>
          <w:color w:val="231F20"/>
        </w:rPr>
        <w:t>hectárea.</w:t>
      </w:r>
    </w:p>
    <w:p>
      <w:pPr>
        <w:pStyle w:val="BodyText"/>
        <w:spacing w:before="10"/>
      </w:pPr>
    </w:p>
    <w:p>
      <w:pPr>
        <w:pStyle w:val="ListParagraph"/>
        <w:numPr>
          <w:ilvl w:val="0"/>
          <w:numId w:val="11"/>
        </w:numPr>
        <w:tabs>
          <w:tab w:pos="1991" w:val="left" w:leader="none"/>
        </w:tabs>
        <w:spacing w:line="240" w:lineRule="auto" w:before="0" w:after="0"/>
        <w:ind w:left="1990" w:right="0" w:hanging="248"/>
        <w:jc w:val="left"/>
        <w:rPr>
          <w:color w:val="231F20"/>
          <w:sz w:val="21"/>
        </w:rPr>
      </w:pPr>
      <w:r>
        <w:rPr>
          <w:color w:val="231F20"/>
          <w:sz w:val="21"/>
        </w:rPr>
        <w:t>Determinación del carbono presente</w:t>
      </w:r>
    </w:p>
    <w:p>
      <w:pPr>
        <w:pStyle w:val="BodyText"/>
        <w:spacing w:line="247" w:lineRule="auto" w:before="8"/>
        <w:ind w:left="1270" w:right="1267"/>
        <w:jc w:val="both"/>
      </w:pPr>
      <w:r>
        <w:rPr>
          <w:color w:val="231F20"/>
        </w:rPr>
        <w:t>El</w:t>
      </w:r>
      <w:r>
        <w:rPr>
          <w:color w:val="231F20"/>
          <w:spacing w:val="-8"/>
        </w:rPr>
        <w:t> </w:t>
      </w:r>
      <w:r>
        <w:rPr>
          <w:color w:val="231F20"/>
        </w:rPr>
        <w:t>cálculo</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reservas</w:t>
      </w:r>
      <w:r>
        <w:rPr>
          <w:color w:val="231F20"/>
          <w:spacing w:val="-8"/>
        </w:rPr>
        <w:t> </w:t>
      </w:r>
      <w:r>
        <w:rPr>
          <w:color w:val="231F20"/>
        </w:rPr>
        <w:t>de</w:t>
      </w:r>
      <w:r>
        <w:rPr>
          <w:color w:val="231F20"/>
          <w:spacing w:val="-8"/>
        </w:rPr>
        <w:t> </w:t>
      </w:r>
      <w:r>
        <w:rPr>
          <w:color w:val="231F20"/>
        </w:rPr>
        <w:t>carbono</w:t>
      </w:r>
      <w:r>
        <w:rPr>
          <w:color w:val="231F20"/>
          <w:spacing w:val="-9"/>
        </w:rPr>
        <w:t> </w:t>
      </w:r>
      <w:r>
        <w:rPr>
          <w:color w:val="231F20"/>
        </w:rPr>
        <w:t>en</w:t>
      </w:r>
      <w:r>
        <w:rPr>
          <w:color w:val="231F20"/>
          <w:spacing w:val="-8"/>
        </w:rPr>
        <w:t> </w:t>
      </w:r>
      <w:r>
        <w:rPr>
          <w:color w:val="231F20"/>
        </w:rPr>
        <w:t>la</w:t>
      </w:r>
      <w:r>
        <w:rPr>
          <w:color w:val="231F20"/>
          <w:spacing w:val="-8"/>
        </w:rPr>
        <w:t> </w:t>
      </w:r>
      <w:r>
        <w:rPr>
          <w:color w:val="231F20"/>
        </w:rPr>
        <w:t>biomasa</w:t>
      </w:r>
      <w:r>
        <w:rPr>
          <w:color w:val="231F20"/>
          <w:spacing w:val="-8"/>
        </w:rPr>
        <w:t> </w:t>
      </w:r>
      <w:r>
        <w:rPr>
          <w:color w:val="231F20"/>
        </w:rPr>
        <w:t>consiste</w:t>
      </w:r>
      <w:r>
        <w:rPr>
          <w:color w:val="231F20"/>
          <w:spacing w:val="-9"/>
        </w:rPr>
        <w:t> </w:t>
      </w:r>
      <w:r>
        <w:rPr>
          <w:color w:val="231F20"/>
        </w:rPr>
        <w:t>en</w:t>
      </w:r>
      <w:r>
        <w:rPr>
          <w:color w:val="231F20"/>
          <w:spacing w:val="-8"/>
        </w:rPr>
        <w:t> </w:t>
      </w:r>
      <w:r>
        <w:rPr>
          <w:color w:val="231F20"/>
        </w:rPr>
        <w:t>multiplicar</w:t>
      </w:r>
      <w:r>
        <w:rPr>
          <w:color w:val="231F20"/>
          <w:spacing w:val="-9"/>
        </w:rPr>
        <w:t> </w:t>
      </w:r>
      <w:r>
        <w:rPr>
          <w:color w:val="231F20"/>
        </w:rPr>
        <w:t>la</w:t>
      </w:r>
      <w:r>
        <w:rPr>
          <w:color w:val="231F20"/>
          <w:spacing w:val="-8"/>
        </w:rPr>
        <w:t> </w:t>
      </w:r>
      <w:r>
        <w:rPr>
          <w:color w:val="231F20"/>
        </w:rPr>
        <w:t>biomasa</w:t>
      </w:r>
      <w:r>
        <w:rPr>
          <w:color w:val="231F20"/>
          <w:spacing w:val="-8"/>
        </w:rPr>
        <w:t> </w:t>
      </w:r>
      <w:r>
        <w:rPr>
          <w:color w:val="231F20"/>
        </w:rPr>
        <w:t>total</w:t>
      </w:r>
      <w:r>
        <w:rPr>
          <w:color w:val="231F20"/>
          <w:spacing w:val="-9"/>
        </w:rPr>
        <w:t> </w:t>
      </w:r>
      <w:r>
        <w:rPr>
          <w:color w:val="231F20"/>
        </w:rPr>
        <w:t>por</w:t>
      </w:r>
      <w:r>
        <w:rPr>
          <w:color w:val="231F20"/>
          <w:spacing w:val="-8"/>
        </w:rPr>
        <w:t> </w:t>
      </w:r>
      <w:r>
        <w:rPr>
          <w:color w:val="231F20"/>
        </w:rPr>
        <w:t>el</w:t>
      </w:r>
      <w:r>
        <w:rPr>
          <w:color w:val="231F20"/>
          <w:spacing w:val="-8"/>
        </w:rPr>
        <w:t> </w:t>
      </w:r>
      <w:r>
        <w:rPr>
          <w:color w:val="231F20"/>
        </w:rPr>
        <w:t>co- eficiente de 0.55 para la conversión de biomasa a C, ofrecido por Winrock (1997; citado por</w:t>
      </w:r>
      <w:r>
        <w:rPr>
          <w:color w:val="231F20"/>
          <w:spacing w:val="-10"/>
        </w:rPr>
        <w:t> </w:t>
      </w:r>
      <w:r>
        <w:rPr>
          <w:color w:val="231F20"/>
        </w:rPr>
        <w:t>Ponce- Hernández,</w:t>
      </w:r>
      <w:r>
        <w:rPr>
          <w:color w:val="231F20"/>
          <w:spacing w:val="-3"/>
        </w:rPr>
        <w:t> </w:t>
      </w:r>
      <w:r>
        <w:rPr>
          <w:color w:val="231F20"/>
        </w:rPr>
        <w:t>2004)</w:t>
      </w:r>
      <w:r>
        <w:rPr>
          <w:color w:val="231F20"/>
          <w:spacing w:val="-4"/>
        </w:rPr>
        <w:t> </w:t>
      </w:r>
      <w:r>
        <w:rPr>
          <w:color w:val="231F20"/>
        </w:rPr>
        <w:t>se</w:t>
      </w:r>
      <w:r>
        <w:rPr>
          <w:color w:val="231F20"/>
          <w:spacing w:val="-4"/>
        </w:rPr>
        <w:t> </w:t>
      </w:r>
      <w:r>
        <w:rPr>
          <w:color w:val="231F20"/>
        </w:rPr>
        <w:t>generaliza</w:t>
      </w:r>
      <w:r>
        <w:rPr>
          <w:color w:val="231F20"/>
          <w:spacing w:val="-4"/>
        </w:rPr>
        <w:t> </w:t>
      </w:r>
      <w:r>
        <w:rPr>
          <w:color w:val="231F20"/>
        </w:rPr>
        <w:t>para</w:t>
      </w:r>
      <w:r>
        <w:rPr>
          <w:color w:val="231F20"/>
          <w:spacing w:val="-4"/>
        </w:rPr>
        <w:t> </w:t>
      </w:r>
      <w:r>
        <w:rPr>
          <w:color w:val="231F20"/>
        </w:rPr>
        <w:t>conversiones</w:t>
      </w:r>
      <w:r>
        <w:rPr>
          <w:color w:val="231F20"/>
          <w:spacing w:val="-5"/>
        </w:rPr>
        <w:t> </w:t>
      </w:r>
      <w:r>
        <w:rPr>
          <w:color w:val="231F20"/>
        </w:rPr>
        <w:t>a</w:t>
      </w:r>
      <w:r>
        <w:rPr>
          <w:color w:val="231F20"/>
          <w:spacing w:val="-4"/>
        </w:rPr>
        <w:t> </w:t>
      </w:r>
      <w:r>
        <w:rPr>
          <w:color w:val="231F20"/>
        </w:rPr>
        <w:t>partir</w:t>
      </w:r>
      <w:r>
        <w:rPr>
          <w:color w:val="231F20"/>
          <w:spacing w:val="-4"/>
        </w:rPr>
        <w:t> </w:t>
      </w:r>
      <w:r>
        <w:rPr>
          <w:color w:val="231F20"/>
        </w:rPr>
        <w:t>de</w:t>
      </w:r>
      <w:r>
        <w:rPr>
          <w:color w:val="231F20"/>
          <w:spacing w:val="-4"/>
        </w:rPr>
        <w:t> </w:t>
      </w:r>
      <w:r>
        <w:rPr>
          <w:color w:val="231F20"/>
        </w:rPr>
        <w:t>biomasa</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existencias</w:t>
      </w:r>
      <w:r>
        <w:rPr>
          <w:color w:val="231F20"/>
          <w:spacing w:val="-5"/>
        </w:rPr>
        <w:t> </w:t>
      </w:r>
      <w:r>
        <w:rPr>
          <w:color w:val="231F20"/>
        </w:rPr>
        <w:t>de</w:t>
      </w:r>
      <w:r>
        <w:rPr>
          <w:color w:val="231F20"/>
          <w:spacing w:val="-4"/>
        </w:rPr>
        <w:t> </w:t>
      </w:r>
      <w:r>
        <w:rPr>
          <w:color w:val="231F20"/>
        </w:rPr>
        <w:t>carbono: C = 0.55 x biomasa (total).</w:t>
      </w:r>
    </w:p>
    <w:p>
      <w:pPr>
        <w:pStyle w:val="BodyText"/>
        <w:spacing w:before="10"/>
      </w:pPr>
    </w:p>
    <w:p>
      <w:pPr>
        <w:pStyle w:val="ListParagraph"/>
        <w:numPr>
          <w:ilvl w:val="0"/>
          <w:numId w:val="11"/>
        </w:numPr>
        <w:tabs>
          <w:tab w:pos="1991" w:val="left" w:leader="none"/>
        </w:tabs>
        <w:spacing w:line="240" w:lineRule="auto" w:before="0" w:after="0"/>
        <w:ind w:left="1990" w:right="0" w:hanging="248"/>
        <w:jc w:val="left"/>
        <w:rPr>
          <w:color w:val="231F20"/>
          <w:sz w:val="21"/>
        </w:rPr>
      </w:pPr>
      <w:r>
        <w:rPr>
          <w:color w:val="231F20"/>
          <w:sz w:val="21"/>
        </w:rPr>
        <w:t>Evaluación cualitativa de los beneficios de los servicios</w:t>
      </w:r>
      <w:r>
        <w:rPr>
          <w:color w:val="231F20"/>
          <w:spacing w:val="-11"/>
          <w:sz w:val="21"/>
        </w:rPr>
        <w:t> </w:t>
      </w:r>
      <w:r>
        <w:rPr>
          <w:color w:val="231F20"/>
          <w:sz w:val="21"/>
        </w:rPr>
        <w:t>ambientales</w:t>
      </w:r>
    </w:p>
    <w:p>
      <w:pPr>
        <w:pStyle w:val="BodyText"/>
        <w:spacing w:line="247" w:lineRule="auto" w:before="8"/>
        <w:ind w:left="1270" w:right="1268"/>
        <w:jc w:val="both"/>
      </w:pPr>
      <w:r>
        <w:rPr>
          <w:color w:val="231F20"/>
        </w:rPr>
        <w:t>Para evaluar cualitativamente los beneficios que obtienen los comuneros que reciben actualmente</w:t>
      </w:r>
      <w:r>
        <w:rPr>
          <w:color w:val="231F20"/>
          <w:spacing w:val="-22"/>
        </w:rPr>
        <w:t> </w:t>
      </w:r>
      <w:r>
        <w:rPr>
          <w:color w:val="231F20"/>
        </w:rPr>
        <w:t>el pago por algún servicio ambiental se realizaron entrevistas semiestructuradas a informantes claves para obtener una visión general de los beneficios, ventajas y desventajas que presentan la venta de servicios ambientales en la zona de los</w:t>
      </w:r>
      <w:r>
        <w:rPr>
          <w:color w:val="231F20"/>
          <w:spacing w:val="-12"/>
        </w:rPr>
        <w:t> </w:t>
      </w:r>
      <w:r>
        <w:rPr>
          <w:color w:val="231F20"/>
        </w:rPr>
        <w:t>Loxichas.</w:t>
      </w:r>
    </w:p>
    <w:p>
      <w:pPr>
        <w:pStyle w:val="BodyText"/>
        <w:spacing w:before="10"/>
        <w:rPr>
          <w:sz w:val="22"/>
        </w:rPr>
      </w:pPr>
    </w:p>
    <w:p>
      <w:pPr>
        <w:pStyle w:val="Heading3"/>
      </w:pPr>
      <w:r>
        <w:rPr>
          <w:color w:val="010202"/>
        </w:rPr>
        <w:t>Análisis y discusión de resultados</w:t>
      </w:r>
    </w:p>
    <w:p>
      <w:pPr>
        <w:pStyle w:val="BodyText"/>
        <w:spacing w:before="10"/>
        <w:rPr>
          <w:b/>
        </w:rPr>
      </w:pPr>
    </w:p>
    <w:p>
      <w:pPr>
        <w:pStyle w:val="BodyText"/>
        <w:spacing w:line="247" w:lineRule="auto"/>
        <w:ind w:left="1270" w:right="1267"/>
        <w:jc w:val="both"/>
      </w:pPr>
      <w:r>
        <w:rPr>
          <w:color w:val="231F20"/>
        </w:rPr>
        <w:t>Existe un mercado para el pago por la captura de carbono, destacando los que se incorporan dentro de los Mecanismos de Desarrollo Limpio (MDL) –regulado por el protocolo de Kyoto– y el merca- do voluntario donde inciden el grueso de los posibles proyectos. El precio de fijación de carbono es variable</w:t>
      </w:r>
      <w:r>
        <w:rPr>
          <w:color w:val="231F20"/>
          <w:spacing w:val="-4"/>
        </w:rPr>
        <w:t> </w:t>
      </w:r>
      <w:r>
        <w:rPr>
          <w:color w:val="231F20"/>
        </w:rPr>
        <w:t>pues</w:t>
      </w:r>
      <w:r>
        <w:rPr>
          <w:color w:val="231F20"/>
          <w:spacing w:val="-4"/>
        </w:rPr>
        <w:t> </w:t>
      </w:r>
      <w:r>
        <w:rPr>
          <w:color w:val="231F20"/>
        </w:rPr>
        <w:t>dependerá</w:t>
      </w:r>
      <w:r>
        <w:rPr>
          <w:color w:val="231F20"/>
          <w:spacing w:val="-4"/>
        </w:rPr>
        <w:t> </w:t>
      </w:r>
      <w:r>
        <w:rPr>
          <w:color w:val="231F20"/>
        </w:rPr>
        <w:t>de</w:t>
      </w:r>
      <w:r>
        <w:rPr>
          <w:color w:val="231F20"/>
          <w:spacing w:val="-4"/>
        </w:rPr>
        <w:t> </w:t>
      </w:r>
      <w:r>
        <w:rPr>
          <w:color w:val="231F20"/>
        </w:rPr>
        <w:t>las</w:t>
      </w:r>
      <w:r>
        <w:rPr>
          <w:color w:val="231F20"/>
          <w:spacing w:val="-5"/>
        </w:rPr>
        <w:t> </w:t>
      </w:r>
      <w:r>
        <w:rPr>
          <w:color w:val="231F20"/>
        </w:rPr>
        <w:t>oportunidades</w:t>
      </w:r>
      <w:r>
        <w:rPr>
          <w:color w:val="231F20"/>
          <w:spacing w:val="-4"/>
        </w:rPr>
        <w:t> </w:t>
      </w:r>
      <w:r>
        <w:rPr>
          <w:color w:val="231F20"/>
        </w:rPr>
        <w:t>del</w:t>
      </w:r>
      <w:r>
        <w:rPr>
          <w:color w:val="231F20"/>
          <w:spacing w:val="-4"/>
        </w:rPr>
        <w:t> </w:t>
      </w:r>
      <w:r>
        <w:rPr>
          <w:color w:val="231F20"/>
        </w:rPr>
        <w:t>mercado</w:t>
      </w:r>
      <w:r>
        <w:rPr>
          <w:color w:val="231F20"/>
          <w:spacing w:val="-5"/>
        </w:rPr>
        <w:t> </w:t>
      </w:r>
      <w:r>
        <w:rPr>
          <w:color w:val="231F20"/>
        </w:rPr>
        <w:t>en</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rige</w:t>
      </w:r>
      <w:r>
        <w:rPr>
          <w:color w:val="231F20"/>
          <w:spacing w:val="-4"/>
        </w:rPr>
        <w:t> </w:t>
      </w:r>
      <w:r>
        <w:rPr>
          <w:color w:val="231F20"/>
        </w:rPr>
        <w:t>la</w:t>
      </w:r>
      <w:r>
        <w:rPr>
          <w:color w:val="231F20"/>
          <w:spacing w:val="-4"/>
        </w:rPr>
        <w:t> </w:t>
      </w:r>
      <w:r>
        <w:rPr>
          <w:color w:val="231F20"/>
        </w:rPr>
        <w:t>oferta</w:t>
      </w:r>
      <w:r>
        <w:rPr>
          <w:color w:val="231F20"/>
          <w:spacing w:val="-4"/>
        </w:rPr>
        <w:t> </w:t>
      </w:r>
      <w:r>
        <w:rPr>
          <w:color w:val="231F20"/>
        </w:rPr>
        <w:t>y</w:t>
      </w:r>
      <w:r>
        <w:rPr>
          <w:color w:val="231F20"/>
          <w:spacing w:val="-4"/>
        </w:rPr>
        <w:t> </w:t>
      </w:r>
      <w:r>
        <w:rPr>
          <w:color w:val="231F20"/>
        </w:rPr>
        <w:t>la</w:t>
      </w:r>
      <w:r>
        <w:rPr>
          <w:color w:val="231F20"/>
          <w:spacing w:val="-4"/>
        </w:rPr>
        <w:t> </w:t>
      </w:r>
      <w:r>
        <w:rPr>
          <w:color w:val="231F20"/>
        </w:rPr>
        <w:t>demanda</w:t>
      </w:r>
      <w:r>
        <w:rPr>
          <w:color w:val="231F20"/>
          <w:spacing w:val="-4"/>
        </w:rPr>
        <w:t> </w:t>
      </w:r>
      <w:r>
        <w:rPr>
          <w:color w:val="231F20"/>
        </w:rPr>
        <w:t>o</w:t>
      </w:r>
      <w:r>
        <w:rPr>
          <w:color w:val="231F20"/>
          <w:spacing w:val="-4"/>
        </w:rPr>
        <w:t> </w:t>
      </w:r>
      <w:r>
        <w:rPr>
          <w:color w:val="231F20"/>
        </w:rPr>
        <w:t>de las estrategias gubernamentales que se han desarrollado para este fin (Ordoñez, 2006; South Pole. 2009). Con el estudio realizado los comuneros pueden ingresar a un esquema de pago por servicios ambientales de venta de carbono a empresas como Gamesa, China Inn, Fundación Televisa, entre otros,</w:t>
      </w:r>
      <w:r>
        <w:rPr>
          <w:color w:val="231F20"/>
          <w:spacing w:val="-4"/>
        </w:rPr>
        <w:t> </w:t>
      </w:r>
      <w:r>
        <w:rPr>
          <w:color w:val="231F20"/>
        </w:rPr>
        <w:t>ya</w:t>
      </w:r>
      <w:r>
        <w:rPr>
          <w:color w:val="231F20"/>
          <w:spacing w:val="-4"/>
        </w:rPr>
        <w:t> </w:t>
      </w:r>
      <w:r>
        <w:rPr>
          <w:color w:val="231F20"/>
        </w:rPr>
        <w:t>que</w:t>
      </w:r>
      <w:r>
        <w:rPr>
          <w:color w:val="231F20"/>
          <w:spacing w:val="-4"/>
        </w:rPr>
        <w:t> </w:t>
      </w:r>
      <w:r>
        <w:rPr>
          <w:color w:val="231F20"/>
        </w:rPr>
        <w:t>el</w:t>
      </w:r>
      <w:r>
        <w:rPr>
          <w:color w:val="231F20"/>
          <w:spacing w:val="-4"/>
        </w:rPr>
        <w:t> </w:t>
      </w:r>
      <w:r>
        <w:rPr>
          <w:color w:val="231F20"/>
        </w:rPr>
        <w:t>estudio</w:t>
      </w:r>
      <w:r>
        <w:rPr>
          <w:color w:val="231F20"/>
          <w:spacing w:val="-5"/>
        </w:rPr>
        <w:t> </w:t>
      </w:r>
      <w:r>
        <w:rPr>
          <w:color w:val="231F20"/>
        </w:rPr>
        <w:t>cumple</w:t>
      </w:r>
      <w:r>
        <w:rPr>
          <w:color w:val="231F20"/>
          <w:spacing w:val="-5"/>
        </w:rPr>
        <w:t> </w:t>
      </w:r>
      <w:r>
        <w:rPr>
          <w:color w:val="231F20"/>
        </w:rPr>
        <w:t>con</w:t>
      </w:r>
      <w:r>
        <w:rPr>
          <w:color w:val="231F20"/>
          <w:spacing w:val="-5"/>
        </w:rPr>
        <w:t> </w:t>
      </w:r>
      <w:r>
        <w:rPr>
          <w:color w:val="231F20"/>
        </w:rPr>
        <w:t>las</w:t>
      </w:r>
      <w:r>
        <w:rPr>
          <w:color w:val="231F20"/>
          <w:spacing w:val="-5"/>
        </w:rPr>
        <w:t> </w:t>
      </w:r>
      <w:r>
        <w:rPr>
          <w:color w:val="231F20"/>
        </w:rPr>
        <w:t>normas</w:t>
      </w:r>
      <w:r>
        <w:rPr>
          <w:color w:val="231F20"/>
          <w:spacing w:val="-4"/>
        </w:rPr>
        <w:t> </w:t>
      </w:r>
      <w:r>
        <w:rPr>
          <w:color w:val="231F20"/>
        </w:rPr>
        <w:t>establecidas</w:t>
      </w:r>
      <w:r>
        <w:rPr>
          <w:color w:val="231F20"/>
          <w:spacing w:val="-5"/>
        </w:rPr>
        <w:t> </w:t>
      </w:r>
      <w:r>
        <w:rPr>
          <w:color w:val="231F20"/>
        </w:rPr>
        <w:t>para</w:t>
      </w:r>
      <w:r>
        <w:rPr>
          <w:color w:val="231F20"/>
          <w:spacing w:val="-4"/>
        </w:rPr>
        <w:t> </w:t>
      </w:r>
      <w:r>
        <w:rPr>
          <w:color w:val="231F20"/>
        </w:rPr>
        <w:t>poder</w:t>
      </w:r>
      <w:r>
        <w:rPr>
          <w:color w:val="231F20"/>
          <w:spacing w:val="-4"/>
        </w:rPr>
        <w:t> </w:t>
      </w:r>
      <w:r>
        <w:rPr>
          <w:color w:val="231F20"/>
        </w:rPr>
        <w:t>ingresar</w:t>
      </w:r>
      <w:r>
        <w:rPr>
          <w:color w:val="231F20"/>
          <w:spacing w:val="-5"/>
        </w:rPr>
        <w:t> </w:t>
      </w:r>
      <w:r>
        <w:rPr>
          <w:color w:val="231F20"/>
        </w:rPr>
        <w:t>al</w:t>
      </w:r>
      <w:r>
        <w:rPr>
          <w:color w:val="231F20"/>
          <w:spacing w:val="-4"/>
        </w:rPr>
        <w:t> </w:t>
      </w:r>
      <w:r>
        <w:rPr>
          <w:color w:val="231F20"/>
        </w:rPr>
        <w:t>mercado</w:t>
      </w:r>
      <w:r>
        <w:rPr>
          <w:color w:val="231F20"/>
          <w:spacing w:val="-5"/>
        </w:rPr>
        <w:t> </w:t>
      </w:r>
      <w:r>
        <w:rPr>
          <w:color w:val="231F20"/>
        </w:rPr>
        <w:t>de</w:t>
      </w:r>
      <w:r>
        <w:rPr>
          <w:color w:val="231F20"/>
          <w:spacing w:val="-4"/>
        </w:rPr>
        <w:t> </w:t>
      </w:r>
      <w:r>
        <w:rPr>
          <w:color w:val="231F20"/>
        </w:rPr>
        <w:t>servi- cios</w:t>
      </w:r>
      <w:r>
        <w:rPr>
          <w:color w:val="231F20"/>
          <w:spacing w:val="-4"/>
        </w:rPr>
        <w:t> </w:t>
      </w:r>
      <w:r>
        <w:rPr>
          <w:color w:val="231F20"/>
        </w:rPr>
        <w:t>voluntarios</w:t>
      </w:r>
      <w:r>
        <w:rPr>
          <w:color w:val="231F20"/>
          <w:spacing w:val="-3"/>
        </w:rPr>
        <w:t> </w:t>
      </w:r>
      <w:r>
        <w:rPr>
          <w:color w:val="231F20"/>
        </w:rPr>
        <w:t>ofreciendo</w:t>
      </w:r>
      <w:r>
        <w:rPr>
          <w:color w:val="231F20"/>
          <w:spacing w:val="-3"/>
        </w:rPr>
        <w:t> </w:t>
      </w:r>
      <w:r>
        <w:rPr>
          <w:color w:val="231F20"/>
        </w:rPr>
        <w:t>el</w:t>
      </w:r>
      <w:r>
        <w:rPr>
          <w:color w:val="231F20"/>
          <w:spacing w:val="-3"/>
        </w:rPr>
        <w:t> </w:t>
      </w:r>
      <w:r>
        <w:rPr>
          <w:color w:val="231F20"/>
        </w:rPr>
        <w:t>carbono</w:t>
      </w:r>
      <w:r>
        <w:rPr>
          <w:color w:val="231F20"/>
          <w:spacing w:val="-4"/>
        </w:rPr>
        <w:t> </w:t>
      </w:r>
      <w:r>
        <w:rPr>
          <w:color w:val="231F20"/>
        </w:rPr>
        <w:t>en</w:t>
      </w:r>
      <w:r>
        <w:rPr>
          <w:color w:val="231F20"/>
          <w:spacing w:val="-3"/>
        </w:rPr>
        <w:t> </w:t>
      </w:r>
      <w:r>
        <w:rPr>
          <w:color w:val="231F20"/>
        </w:rPr>
        <w:t>bonos,</w:t>
      </w:r>
      <w:r>
        <w:rPr>
          <w:color w:val="231F20"/>
          <w:spacing w:val="-3"/>
        </w:rPr>
        <w:t> </w:t>
      </w:r>
      <w:r>
        <w:rPr>
          <w:color w:val="231F20"/>
        </w:rPr>
        <w:t>es</w:t>
      </w:r>
      <w:r>
        <w:rPr>
          <w:color w:val="231F20"/>
          <w:spacing w:val="-3"/>
        </w:rPr>
        <w:t> </w:t>
      </w:r>
      <w:r>
        <w:rPr>
          <w:color w:val="231F20"/>
        </w:rPr>
        <w:t>decir</w:t>
      </w:r>
      <w:r>
        <w:rPr>
          <w:color w:val="231F20"/>
          <w:spacing w:val="-3"/>
        </w:rPr>
        <w:t> </w:t>
      </w:r>
      <w:r>
        <w:rPr>
          <w:color w:val="231F20"/>
        </w:rPr>
        <w:t>en</w:t>
      </w:r>
      <w:r>
        <w:rPr>
          <w:color w:val="231F20"/>
          <w:spacing w:val="-3"/>
        </w:rPr>
        <w:t> </w:t>
      </w:r>
      <w:r>
        <w:rPr>
          <w:color w:val="231F20"/>
        </w:rPr>
        <w:t>cantidades</w:t>
      </w:r>
      <w:r>
        <w:rPr>
          <w:color w:val="231F20"/>
          <w:spacing w:val="-4"/>
        </w:rPr>
        <w:t> </w:t>
      </w:r>
      <w:r>
        <w:rPr>
          <w:color w:val="231F20"/>
        </w:rPr>
        <w:t>transferibles</w:t>
      </w:r>
      <w:r>
        <w:rPr>
          <w:color w:val="231F20"/>
          <w:spacing w:val="-4"/>
        </w:rPr>
        <w:t> </w:t>
      </w:r>
      <w:r>
        <w:rPr>
          <w:color w:val="231F20"/>
        </w:rPr>
        <w:t>entre</w:t>
      </w:r>
      <w:r>
        <w:rPr>
          <w:color w:val="231F20"/>
          <w:spacing w:val="-4"/>
        </w:rPr>
        <w:t> </w:t>
      </w:r>
      <w:r>
        <w:rPr>
          <w:color w:val="231F20"/>
        </w:rPr>
        <w:t>las</w:t>
      </w:r>
      <w:r>
        <w:rPr>
          <w:color w:val="231F20"/>
          <w:spacing w:val="-4"/>
        </w:rPr>
        <w:t> </w:t>
      </w:r>
      <w:r>
        <w:rPr>
          <w:color w:val="231F20"/>
        </w:rPr>
        <w:t>partes, ofreciendo un pago por tonelada</w:t>
      </w:r>
      <w:r>
        <w:rPr>
          <w:color w:val="231F20"/>
          <w:spacing w:val="-1"/>
        </w:rPr>
        <w:t> </w:t>
      </w:r>
      <w:r>
        <w:rPr>
          <w:color w:val="231F20"/>
        </w:rPr>
        <w:t>capturada.</w:t>
      </w:r>
    </w:p>
    <w:p>
      <w:pPr>
        <w:spacing w:after="0" w:line="247" w:lineRule="auto"/>
        <w:jc w:val="both"/>
        <w:sectPr>
          <w:pgSz w:w="10920" w:h="13080"/>
          <w:pgMar w:header="0" w:footer="965" w:top="420" w:bottom="1220" w:left="0" w:right="0"/>
        </w:sectPr>
      </w:pPr>
    </w:p>
    <w:p>
      <w:pPr>
        <w:pStyle w:val="BodyText"/>
        <w:rPr>
          <w:sz w:val="20"/>
        </w:rPr>
      </w:pPr>
    </w:p>
    <w:p>
      <w:pPr>
        <w:pStyle w:val="BodyText"/>
        <w:rPr>
          <w:sz w:val="20"/>
        </w:rPr>
      </w:pPr>
    </w:p>
    <w:p>
      <w:pPr>
        <w:pStyle w:val="BodyText"/>
        <w:rPr>
          <w:sz w:val="23"/>
        </w:rPr>
      </w:pPr>
    </w:p>
    <w:p>
      <w:pPr>
        <w:pStyle w:val="BodyText"/>
        <w:spacing w:line="247" w:lineRule="auto" w:before="73"/>
        <w:ind w:left="1270" w:right="1267"/>
        <w:jc w:val="both"/>
      </w:pPr>
      <w:r>
        <w:rPr>
          <w:color w:val="231F20"/>
          <w:spacing w:val="-3"/>
        </w:rPr>
        <w:t>También </w:t>
      </w:r>
      <w:r>
        <w:rPr>
          <w:color w:val="231F20"/>
        </w:rPr>
        <w:t>pueden acceder a la venta de servicios ambientales por parte de CONAFOR, en el cual el pago se da en función de las hectáreas que pueden ofrecer dichos servicios, cuyo esquema de mo- nitoreo y evaluación es menos riguroso que el del Mecanismo de Desarrollo Limpio (MDL); y la cantidad</w:t>
      </w:r>
      <w:r>
        <w:rPr>
          <w:color w:val="231F20"/>
          <w:spacing w:val="-11"/>
        </w:rPr>
        <w:t> </w:t>
      </w:r>
      <w:r>
        <w:rPr>
          <w:color w:val="231F20"/>
        </w:rPr>
        <w:t>pagada</w:t>
      </w:r>
      <w:r>
        <w:rPr>
          <w:color w:val="231F20"/>
          <w:spacing w:val="-11"/>
        </w:rPr>
        <w:t> </w:t>
      </w:r>
      <w:r>
        <w:rPr>
          <w:color w:val="231F20"/>
        </w:rPr>
        <w:t>por</w:t>
      </w:r>
      <w:r>
        <w:rPr>
          <w:color w:val="231F20"/>
          <w:spacing w:val="-11"/>
        </w:rPr>
        <w:t> </w:t>
      </w:r>
      <w:r>
        <w:rPr>
          <w:color w:val="231F20"/>
        </w:rPr>
        <w:t>hectárea</w:t>
      </w:r>
      <w:r>
        <w:rPr>
          <w:color w:val="231F20"/>
          <w:spacing w:val="-11"/>
        </w:rPr>
        <w:t> </w:t>
      </w:r>
      <w:r>
        <w:rPr>
          <w:color w:val="231F20"/>
        </w:rPr>
        <w:t>es</w:t>
      </w:r>
      <w:r>
        <w:rPr>
          <w:color w:val="231F20"/>
          <w:spacing w:val="-11"/>
        </w:rPr>
        <w:t> </w:t>
      </w:r>
      <w:r>
        <w:rPr>
          <w:color w:val="231F20"/>
        </w:rPr>
        <w:t>menor.</w:t>
      </w:r>
      <w:r>
        <w:rPr>
          <w:color w:val="231F20"/>
          <w:spacing w:val="-22"/>
        </w:rPr>
        <w:t> </w:t>
      </w:r>
      <w:r>
        <w:rPr>
          <w:color w:val="231F20"/>
        </w:rPr>
        <w:t>Aún</w:t>
      </w:r>
      <w:r>
        <w:rPr>
          <w:color w:val="231F20"/>
          <w:spacing w:val="-10"/>
        </w:rPr>
        <w:t> </w:t>
      </w:r>
      <w:r>
        <w:rPr>
          <w:color w:val="231F20"/>
        </w:rPr>
        <w:t>está</w:t>
      </w:r>
      <w:r>
        <w:rPr>
          <w:color w:val="231F20"/>
          <w:spacing w:val="-11"/>
        </w:rPr>
        <w:t> </w:t>
      </w:r>
      <w:r>
        <w:rPr>
          <w:color w:val="231F20"/>
        </w:rPr>
        <w:t>recalculándose</w:t>
      </w:r>
      <w:r>
        <w:rPr>
          <w:color w:val="231F20"/>
          <w:spacing w:val="-11"/>
        </w:rPr>
        <w:t> </w:t>
      </w:r>
      <w:r>
        <w:rPr>
          <w:color w:val="231F20"/>
        </w:rPr>
        <w:t>la</w:t>
      </w:r>
      <w:r>
        <w:rPr>
          <w:color w:val="231F20"/>
          <w:spacing w:val="-11"/>
        </w:rPr>
        <w:t> </w:t>
      </w:r>
      <w:r>
        <w:rPr>
          <w:color w:val="231F20"/>
        </w:rPr>
        <w:t>cantidad</w:t>
      </w:r>
      <w:r>
        <w:rPr>
          <w:color w:val="231F20"/>
          <w:spacing w:val="-11"/>
        </w:rPr>
        <w:t> </w:t>
      </w:r>
      <w:r>
        <w:rPr>
          <w:color w:val="231F20"/>
        </w:rPr>
        <w:t>de</w:t>
      </w:r>
      <w:r>
        <w:rPr>
          <w:color w:val="231F20"/>
          <w:spacing w:val="-11"/>
        </w:rPr>
        <w:t> </w:t>
      </w:r>
      <w:r>
        <w:rPr>
          <w:color w:val="231F20"/>
        </w:rPr>
        <w:t>carbono</w:t>
      </w:r>
      <w:r>
        <w:rPr>
          <w:color w:val="231F20"/>
          <w:spacing w:val="-11"/>
        </w:rPr>
        <w:t> </w:t>
      </w:r>
      <w:r>
        <w:rPr>
          <w:color w:val="231F20"/>
        </w:rPr>
        <w:t>total</w:t>
      </w:r>
      <w:r>
        <w:rPr>
          <w:color w:val="231F20"/>
          <w:spacing w:val="-11"/>
        </w:rPr>
        <w:t> </w:t>
      </w:r>
      <w:r>
        <w:rPr>
          <w:color w:val="231F20"/>
        </w:rPr>
        <w:t>presente en los bienes comunales de San Vicente </w:t>
      </w:r>
      <w:r>
        <w:rPr>
          <w:color w:val="231F20"/>
          <w:spacing w:val="-4"/>
        </w:rPr>
        <w:t>Yogondoy, </w:t>
      </w:r>
      <w:r>
        <w:rPr>
          <w:color w:val="231F20"/>
        </w:rPr>
        <w:t>sin embargo los datos ofrecen que en la zona boscosa predominante en la región (bosque de encino) se está capturando más de 100 toneladas </w:t>
      </w:r>
      <w:r>
        <w:rPr>
          <w:color w:val="231F20"/>
          <w:spacing w:val="51"/>
        </w:rPr>
        <w:t> </w:t>
      </w:r>
      <w:r>
        <w:rPr>
          <w:color w:val="231F20"/>
        </w:rPr>
        <w:t>de</w:t>
      </w:r>
    </w:p>
    <w:p>
      <w:pPr>
        <w:pStyle w:val="BodyText"/>
        <w:spacing w:before="2"/>
        <w:ind w:left="1270"/>
      </w:pPr>
      <w:r>
        <w:rPr/>
        <w:pict>
          <v:shape style="position:absolute;margin-left:78.105904pt;margin-top:8.473428pt;width:3.1pt;height:6.15pt;mso-position-horizontal-relative:page;mso-position-vertical-relative:paragraph;z-index:-206824" type="#_x0000_t202" filled="false" stroked="false">
            <v:textbox inset="0,0,0,0">
              <w:txbxContent>
                <w:p>
                  <w:pPr>
                    <w:spacing w:line="122" w:lineRule="exact" w:before="0"/>
                    <w:ind w:left="0" w:right="0" w:firstLine="0"/>
                    <w:jc w:val="left"/>
                    <w:rPr>
                      <w:sz w:val="12"/>
                    </w:rPr>
                  </w:pPr>
                  <w:r>
                    <w:rPr>
                      <w:color w:val="231F20"/>
                      <w:w w:val="102"/>
                      <w:sz w:val="12"/>
                    </w:rPr>
                    <w:t>2</w:t>
                  </w:r>
                </w:p>
              </w:txbxContent>
            </v:textbox>
            <w10:wrap type="none"/>
          </v:shape>
        </w:pict>
      </w:r>
      <w:r>
        <w:rPr>
          <w:color w:val="231F20"/>
        </w:rPr>
        <w:t>CO     equivalente por ha por año; esto incluso se puede incrementar si se da el manejo adecuado al</w:t>
      </w:r>
    </w:p>
    <w:p>
      <w:pPr>
        <w:pStyle w:val="BodyText"/>
        <w:spacing w:line="247" w:lineRule="auto" w:before="8"/>
        <w:ind w:left="1270" w:right="1268"/>
        <w:jc w:val="both"/>
      </w:pPr>
      <w:r>
        <w:rPr>
          <w:color w:val="231F20"/>
        </w:rPr>
        <w:t>bosque para aumentar su biomasa, a través de podas, y se instrumentan medidas de conservación de agua y suelo.</w:t>
      </w:r>
    </w:p>
    <w:p>
      <w:pPr>
        <w:pStyle w:val="BodyText"/>
        <w:spacing w:before="10"/>
      </w:pPr>
    </w:p>
    <w:p>
      <w:pPr>
        <w:spacing w:line="247" w:lineRule="auto" w:before="0"/>
        <w:ind w:left="1270" w:right="1267" w:firstLine="0"/>
        <w:jc w:val="both"/>
        <w:rPr>
          <w:sz w:val="21"/>
        </w:rPr>
      </w:pPr>
      <w:r>
        <w:rPr>
          <w:color w:val="231F20"/>
          <w:sz w:val="21"/>
        </w:rPr>
        <w:t>Con</w:t>
      </w:r>
      <w:r>
        <w:rPr>
          <w:color w:val="231F20"/>
          <w:spacing w:val="-11"/>
          <w:sz w:val="21"/>
        </w:rPr>
        <w:t> </w:t>
      </w:r>
      <w:r>
        <w:rPr>
          <w:color w:val="231F20"/>
          <w:sz w:val="21"/>
        </w:rPr>
        <w:t>respecto</w:t>
      </w:r>
      <w:r>
        <w:rPr>
          <w:color w:val="231F20"/>
          <w:spacing w:val="-11"/>
          <w:sz w:val="21"/>
        </w:rPr>
        <w:t> </w:t>
      </w:r>
      <w:r>
        <w:rPr>
          <w:color w:val="231F20"/>
          <w:sz w:val="21"/>
        </w:rPr>
        <w:t>al</w:t>
      </w:r>
      <w:r>
        <w:rPr>
          <w:color w:val="231F20"/>
          <w:spacing w:val="-11"/>
          <w:sz w:val="21"/>
        </w:rPr>
        <w:t> </w:t>
      </w:r>
      <w:r>
        <w:rPr>
          <w:color w:val="231F20"/>
          <w:sz w:val="21"/>
        </w:rPr>
        <w:t>estudio</w:t>
      </w:r>
      <w:r>
        <w:rPr>
          <w:color w:val="231F20"/>
          <w:spacing w:val="-11"/>
          <w:sz w:val="21"/>
        </w:rPr>
        <w:t> </w:t>
      </w:r>
      <w:r>
        <w:rPr>
          <w:color w:val="231F20"/>
          <w:sz w:val="21"/>
        </w:rPr>
        <w:t>de</w:t>
      </w:r>
      <w:r>
        <w:rPr>
          <w:color w:val="231F20"/>
          <w:spacing w:val="-11"/>
          <w:sz w:val="21"/>
        </w:rPr>
        <w:t> </w:t>
      </w:r>
      <w:r>
        <w:rPr>
          <w:color w:val="231F20"/>
          <w:sz w:val="21"/>
        </w:rPr>
        <w:t>biodiversidad</w:t>
      </w:r>
      <w:r>
        <w:rPr>
          <w:color w:val="231F20"/>
          <w:spacing w:val="-11"/>
          <w:sz w:val="21"/>
        </w:rPr>
        <w:t> </w:t>
      </w:r>
      <w:r>
        <w:rPr>
          <w:color w:val="231F20"/>
          <w:sz w:val="21"/>
        </w:rPr>
        <w:t>se</w:t>
      </w:r>
      <w:r>
        <w:rPr>
          <w:color w:val="231F20"/>
          <w:spacing w:val="-11"/>
          <w:sz w:val="21"/>
        </w:rPr>
        <w:t> </w:t>
      </w:r>
      <w:r>
        <w:rPr>
          <w:color w:val="231F20"/>
          <w:sz w:val="21"/>
        </w:rPr>
        <w:t>encontraron</w:t>
      </w:r>
      <w:r>
        <w:rPr>
          <w:color w:val="231F20"/>
          <w:spacing w:val="-12"/>
          <w:sz w:val="21"/>
        </w:rPr>
        <w:t> </w:t>
      </w:r>
      <w:r>
        <w:rPr>
          <w:color w:val="231F20"/>
          <w:sz w:val="21"/>
        </w:rPr>
        <w:t>en</w:t>
      </w:r>
      <w:r>
        <w:rPr>
          <w:color w:val="231F20"/>
          <w:spacing w:val="-11"/>
          <w:sz w:val="21"/>
        </w:rPr>
        <w:t> </w:t>
      </w:r>
      <w:r>
        <w:rPr>
          <w:color w:val="231F20"/>
          <w:sz w:val="21"/>
        </w:rPr>
        <w:t>los</w:t>
      </w:r>
      <w:r>
        <w:rPr>
          <w:color w:val="231F20"/>
          <w:spacing w:val="-11"/>
          <w:sz w:val="21"/>
        </w:rPr>
        <w:t> </w:t>
      </w:r>
      <w:r>
        <w:rPr>
          <w:color w:val="231F20"/>
          <w:sz w:val="21"/>
        </w:rPr>
        <w:t>sitios</w:t>
      </w:r>
      <w:r>
        <w:rPr>
          <w:color w:val="231F20"/>
          <w:spacing w:val="-11"/>
          <w:sz w:val="21"/>
        </w:rPr>
        <w:t> </w:t>
      </w:r>
      <w:r>
        <w:rPr>
          <w:color w:val="231F20"/>
          <w:sz w:val="21"/>
        </w:rPr>
        <w:t>de</w:t>
      </w:r>
      <w:r>
        <w:rPr>
          <w:color w:val="231F20"/>
          <w:spacing w:val="-11"/>
          <w:sz w:val="21"/>
        </w:rPr>
        <w:t> </w:t>
      </w:r>
      <w:r>
        <w:rPr>
          <w:color w:val="231F20"/>
          <w:sz w:val="21"/>
        </w:rPr>
        <w:t>muestreo</w:t>
      </w:r>
      <w:r>
        <w:rPr>
          <w:color w:val="231F20"/>
          <w:spacing w:val="-11"/>
          <w:sz w:val="21"/>
        </w:rPr>
        <w:t> </w:t>
      </w:r>
      <w:r>
        <w:rPr>
          <w:color w:val="231F20"/>
          <w:sz w:val="21"/>
        </w:rPr>
        <w:t>154</w:t>
      </w:r>
      <w:r>
        <w:rPr>
          <w:color w:val="231F20"/>
          <w:spacing w:val="-11"/>
          <w:sz w:val="21"/>
        </w:rPr>
        <w:t> </w:t>
      </w:r>
      <w:r>
        <w:rPr>
          <w:color w:val="231F20"/>
          <w:sz w:val="21"/>
        </w:rPr>
        <w:t>especies</w:t>
      </w:r>
      <w:r>
        <w:rPr>
          <w:color w:val="231F20"/>
          <w:spacing w:val="-11"/>
          <w:sz w:val="21"/>
        </w:rPr>
        <w:t> </w:t>
      </w:r>
      <w:r>
        <w:rPr>
          <w:color w:val="231F20"/>
          <w:sz w:val="21"/>
        </w:rPr>
        <w:t>distin- tas incluidas las arbóreas, las arbustivas y las herbáceas. La mayoría son herbáceas, entre las cuales predominan</w:t>
      </w:r>
      <w:r>
        <w:rPr>
          <w:color w:val="231F20"/>
          <w:spacing w:val="-6"/>
          <w:sz w:val="21"/>
        </w:rPr>
        <w:t> </w:t>
      </w:r>
      <w:r>
        <w:rPr>
          <w:color w:val="231F20"/>
          <w:sz w:val="21"/>
        </w:rPr>
        <w:t>helechos,</w:t>
      </w:r>
      <w:r>
        <w:rPr>
          <w:color w:val="231F20"/>
          <w:spacing w:val="-6"/>
          <w:sz w:val="21"/>
        </w:rPr>
        <w:t> </w:t>
      </w:r>
      <w:r>
        <w:rPr>
          <w:color w:val="231F20"/>
          <w:sz w:val="21"/>
        </w:rPr>
        <w:t>jarillas,</w:t>
      </w:r>
      <w:r>
        <w:rPr>
          <w:color w:val="231F20"/>
          <w:spacing w:val="-7"/>
          <w:sz w:val="21"/>
        </w:rPr>
        <w:t> </w:t>
      </w:r>
      <w:r>
        <w:rPr>
          <w:color w:val="231F20"/>
          <w:sz w:val="21"/>
        </w:rPr>
        <w:t>pastos</w:t>
      </w:r>
      <w:r>
        <w:rPr>
          <w:color w:val="231F20"/>
          <w:spacing w:val="-6"/>
          <w:sz w:val="21"/>
        </w:rPr>
        <w:t> </w:t>
      </w:r>
      <w:r>
        <w:rPr>
          <w:color w:val="231F20"/>
          <w:sz w:val="21"/>
        </w:rPr>
        <w:t>y</w:t>
      </w:r>
      <w:r>
        <w:rPr>
          <w:color w:val="231F20"/>
          <w:spacing w:val="-6"/>
          <w:sz w:val="21"/>
        </w:rPr>
        <w:t> </w:t>
      </w:r>
      <w:r>
        <w:rPr>
          <w:color w:val="231F20"/>
          <w:sz w:val="21"/>
        </w:rPr>
        <w:t>enredaderas.</w:t>
      </w:r>
      <w:r>
        <w:rPr>
          <w:color w:val="231F20"/>
          <w:spacing w:val="-6"/>
          <w:sz w:val="21"/>
        </w:rPr>
        <w:t> </w:t>
      </w:r>
      <w:r>
        <w:rPr>
          <w:color w:val="231F20"/>
          <w:sz w:val="21"/>
        </w:rPr>
        <w:t>De</w:t>
      </w:r>
      <w:r>
        <w:rPr>
          <w:color w:val="231F20"/>
          <w:spacing w:val="-6"/>
          <w:sz w:val="21"/>
        </w:rPr>
        <w:t> </w:t>
      </w:r>
      <w:r>
        <w:rPr>
          <w:color w:val="231F20"/>
          <w:sz w:val="21"/>
        </w:rPr>
        <w:t>los</w:t>
      </w:r>
      <w:r>
        <w:rPr>
          <w:color w:val="231F20"/>
          <w:spacing w:val="-6"/>
          <w:sz w:val="21"/>
        </w:rPr>
        <w:t> </w:t>
      </w:r>
      <w:r>
        <w:rPr>
          <w:color w:val="231F20"/>
          <w:sz w:val="21"/>
        </w:rPr>
        <w:t>árboles</w:t>
      </w:r>
      <w:r>
        <w:rPr>
          <w:color w:val="231F20"/>
          <w:spacing w:val="-6"/>
          <w:sz w:val="21"/>
        </w:rPr>
        <w:t> </w:t>
      </w:r>
      <w:r>
        <w:rPr>
          <w:color w:val="231F20"/>
          <w:sz w:val="21"/>
        </w:rPr>
        <w:t>predominantes</w:t>
      </w:r>
      <w:r>
        <w:rPr>
          <w:color w:val="231F20"/>
          <w:spacing w:val="-7"/>
          <w:sz w:val="21"/>
        </w:rPr>
        <w:t> </w:t>
      </w:r>
      <w:r>
        <w:rPr>
          <w:color w:val="231F20"/>
          <w:sz w:val="21"/>
        </w:rPr>
        <w:t>se</w:t>
      </w:r>
      <w:r>
        <w:rPr>
          <w:color w:val="231F20"/>
          <w:spacing w:val="-6"/>
          <w:sz w:val="21"/>
        </w:rPr>
        <w:t> </w:t>
      </w:r>
      <w:r>
        <w:rPr>
          <w:color w:val="231F20"/>
          <w:sz w:val="21"/>
        </w:rPr>
        <w:t>tienen</w:t>
      </w:r>
      <w:r>
        <w:rPr>
          <w:color w:val="231F20"/>
          <w:spacing w:val="-6"/>
          <w:sz w:val="21"/>
        </w:rPr>
        <w:t> </w:t>
      </w:r>
      <w:r>
        <w:rPr>
          <w:color w:val="231F20"/>
          <w:sz w:val="21"/>
        </w:rPr>
        <w:t>especies del género </w:t>
      </w:r>
      <w:r>
        <w:rPr>
          <w:i/>
          <w:color w:val="231F20"/>
          <w:sz w:val="21"/>
        </w:rPr>
        <w:t>Quercu ssp</w:t>
      </w:r>
      <w:r>
        <w:rPr>
          <w:color w:val="231F20"/>
          <w:sz w:val="21"/>
        </w:rPr>
        <w:t>, el tamarindillo (</w:t>
      </w:r>
      <w:r>
        <w:rPr>
          <w:i/>
          <w:color w:val="231F20"/>
          <w:sz w:val="21"/>
        </w:rPr>
        <w:t>Chamaecrista glandulosa</w:t>
      </w:r>
      <w:r>
        <w:rPr>
          <w:color w:val="231F20"/>
          <w:sz w:val="21"/>
        </w:rPr>
        <w:t>), pinos (</w:t>
      </w:r>
      <w:r>
        <w:rPr>
          <w:i/>
          <w:color w:val="231F20"/>
          <w:sz w:val="21"/>
        </w:rPr>
        <w:t>Pinus sp</w:t>
      </w:r>
      <w:r>
        <w:rPr>
          <w:color w:val="231F20"/>
          <w:sz w:val="21"/>
        </w:rPr>
        <w:t>), aguacate (</w:t>
      </w:r>
      <w:r>
        <w:rPr>
          <w:i/>
          <w:color w:val="231F20"/>
          <w:sz w:val="21"/>
        </w:rPr>
        <w:t>Per- </w:t>
      </w:r>
      <w:r>
        <w:rPr>
          <w:i/>
          <w:color w:val="231F20"/>
          <w:sz w:val="21"/>
        </w:rPr>
        <w:t>sea</w:t>
      </w:r>
      <w:r>
        <w:rPr>
          <w:i/>
          <w:color w:val="231F20"/>
          <w:spacing w:val="-5"/>
          <w:sz w:val="21"/>
        </w:rPr>
        <w:t> </w:t>
      </w:r>
      <w:r>
        <w:rPr>
          <w:i/>
          <w:color w:val="231F20"/>
          <w:sz w:val="21"/>
        </w:rPr>
        <w:t>americana</w:t>
      </w:r>
      <w:r>
        <w:rPr>
          <w:i/>
          <w:color w:val="231F20"/>
          <w:spacing w:val="-5"/>
          <w:sz w:val="21"/>
        </w:rPr>
        <w:t> </w:t>
      </w:r>
      <w:r>
        <w:rPr>
          <w:i/>
          <w:color w:val="231F20"/>
          <w:sz w:val="21"/>
        </w:rPr>
        <w:t>Mill</w:t>
      </w:r>
      <w:r>
        <w:rPr>
          <w:color w:val="231F20"/>
          <w:sz w:val="21"/>
        </w:rPr>
        <w:t>),</w:t>
      </w:r>
      <w:r>
        <w:rPr>
          <w:color w:val="231F20"/>
          <w:spacing w:val="-5"/>
          <w:sz w:val="21"/>
        </w:rPr>
        <w:t> </w:t>
      </w:r>
      <w:r>
        <w:rPr>
          <w:color w:val="231F20"/>
          <w:sz w:val="21"/>
        </w:rPr>
        <w:t>níspero</w:t>
      </w:r>
      <w:r>
        <w:rPr>
          <w:color w:val="231F20"/>
          <w:spacing w:val="-5"/>
          <w:sz w:val="21"/>
        </w:rPr>
        <w:t> </w:t>
      </w:r>
      <w:r>
        <w:rPr>
          <w:color w:val="231F20"/>
          <w:sz w:val="21"/>
        </w:rPr>
        <w:t>(</w:t>
      </w:r>
      <w:r>
        <w:rPr>
          <w:i/>
          <w:color w:val="231F20"/>
          <w:sz w:val="21"/>
        </w:rPr>
        <w:t>Eriobotryae</w:t>
      </w:r>
      <w:r>
        <w:rPr>
          <w:i/>
          <w:color w:val="231F20"/>
          <w:spacing w:val="-6"/>
          <w:sz w:val="21"/>
        </w:rPr>
        <w:t> </w:t>
      </w:r>
      <w:r>
        <w:rPr>
          <w:i/>
          <w:color w:val="231F20"/>
          <w:sz w:val="21"/>
        </w:rPr>
        <w:t>Japonica</w:t>
      </w:r>
      <w:r>
        <w:rPr>
          <w:i/>
          <w:color w:val="231F20"/>
          <w:spacing w:val="-5"/>
          <w:sz w:val="21"/>
        </w:rPr>
        <w:t> </w:t>
      </w:r>
      <w:r>
        <w:rPr>
          <w:color w:val="231F20"/>
          <w:sz w:val="21"/>
        </w:rPr>
        <w:t>Lindl),</w:t>
      </w:r>
      <w:r>
        <w:rPr>
          <w:color w:val="231F20"/>
          <w:spacing w:val="-6"/>
          <w:sz w:val="21"/>
        </w:rPr>
        <w:t> </w:t>
      </w:r>
      <w:r>
        <w:rPr>
          <w:color w:val="231F20"/>
          <w:sz w:val="21"/>
        </w:rPr>
        <w:t>cuil</w:t>
      </w:r>
      <w:r>
        <w:rPr>
          <w:color w:val="231F20"/>
          <w:spacing w:val="-5"/>
          <w:sz w:val="21"/>
        </w:rPr>
        <w:t> </w:t>
      </w:r>
      <w:r>
        <w:rPr>
          <w:color w:val="231F20"/>
          <w:sz w:val="21"/>
        </w:rPr>
        <w:t>(</w:t>
      </w:r>
      <w:r>
        <w:rPr>
          <w:i/>
          <w:color w:val="231F20"/>
          <w:sz w:val="21"/>
        </w:rPr>
        <w:t>Inga</w:t>
      </w:r>
      <w:r>
        <w:rPr>
          <w:i/>
          <w:color w:val="231F20"/>
          <w:spacing w:val="-5"/>
          <w:sz w:val="21"/>
        </w:rPr>
        <w:t> </w:t>
      </w:r>
      <w:r>
        <w:rPr>
          <w:i/>
          <w:color w:val="231F20"/>
          <w:sz w:val="21"/>
        </w:rPr>
        <w:t>sp</w:t>
      </w:r>
      <w:r>
        <w:rPr>
          <w:color w:val="231F20"/>
          <w:sz w:val="21"/>
        </w:rPr>
        <w:t>),</w:t>
      </w:r>
      <w:r>
        <w:rPr>
          <w:color w:val="231F20"/>
          <w:spacing w:val="-5"/>
          <w:sz w:val="21"/>
        </w:rPr>
        <w:t> </w:t>
      </w:r>
      <w:r>
        <w:rPr>
          <w:color w:val="231F20"/>
          <w:sz w:val="21"/>
        </w:rPr>
        <w:t>laurel</w:t>
      </w:r>
      <w:r>
        <w:rPr>
          <w:color w:val="231F20"/>
          <w:spacing w:val="-5"/>
          <w:sz w:val="21"/>
        </w:rPr>
        <w:t> </w:t>
      </w:r>
      <w:r>
        <w:rPr>
          <w:color w:val="231F20"/>
          <w:sz w:val="21"/>
        </w:rPr>
        <w:t>(</w:t>
      </w:r>
      <w:r>
        <w:rPr>
          <w:i/>
          <w:color w:val="231F20"/>
          <w:sz w:val="21"/>
        </w:rPr>
        <w:t>Laurus</w:t>
      </w:r>
      <w:r>
        <w:rPr>
          <w:i/>
          <w:color w:val="231F20"/>
          <w:spacing w:val="-5"/>
          <w:sz w:val="21"/>
        </w:rPr>
        <w:t> </w:t>
      </w:r>
      <w:r>
        <w:rPr>
          <w:i/>
          <w:color w:val="231F20"/>
          <w:sz w:val="21"/>
        </w:rPr>
        <w:t>nobilis</w:t>
      </w:r>
      <w:r>
        <w:rPr>
          <w:i/>
          <w:color w:val="231F20"/>
          <w:spacing w:val="-5"/>
          <w:sz w:val="21"/>
        </w:rPr>
        <w:t> </w:t>
      </w:r>
      <w:r>
        <w:rPr>
          <w:color w:val="231F20"/>
          <w:sz w:val="21"/>
        </w:rPr>
        <w:t>L), entre</w:t>
      </w:r>
      <w:r>
        <w:rPr>
          <w:color w:val="231F20"/>
          <w:spacing w:val="-1"/>
          <w:sz w:val="21"/>
        </w:rPr>
        <w:t> </w:t>
      </w:r>
      <w:r>
        <w:rPr>
          <w:color w:val="231F20"/>
          <w:sz w:val="21"/>
        </w:rPr>
        <w:t>otros.</w:t>
      </w:r>
    </w:p>
    <w:p>
      <w:pPr>
        <w:pStyle w:val="BodyText"/>
        <w:spacing w:before="10"/>
      </w:pPr>
    </w:p>
    <w:p>
      <w:pPr>
        <w:pStyle w:val="BodyText"/>
        <w:spacing w:line="247" w:lineRule="auto"/>
        <w:ind w:left="1270" w:right="1267"/>
        <w:jc w:val="both"/>
      </w:pPr>
      <w:r>
        <w:rPr>
          <w:color w:val="231F20"/>
        </w:rPr>
        <w:t>La mayor cantidad de especies se encontraron en los bosques y son herbáceas lo que da la pauta      a que se requiere de su conservación, pues la disminución paulatina de los bosques a través de la deforestación pone en peligro la existencia de dichas especies. La menor cantidad de especies</w:t>
      </w:r>
      <w:r>
        <w:rPr>
          <w:color w:val="231F20"/>
          <w:spacing w:val="-36"/>
        </w:rPr>
        <w:t> </w:t>
      </w:r>
      <w:r>
        <w:rPr>
          <w:color w:val="231F20"/>
        </w:rPr>
        <w:t>se en- contró en los sitios de sistemas de manejo agrícola en las cuales se llegaron a encontrar únicamente 2 especies. En los sistemas de manejo de maíz y frijol destacan los pastos, líquenes o hierbas como la malva, el belludito y la hoja zarzamora. En cambio en los cafetales existen gran diversidad de plantas entre las que destacan las plantas comestibles como el plátano (</w:t>
      </w:r>
      <w:r>
        <w:rPr>
          <w:i/>
          <w:color w:val="231F20"/>
        </w:rPr>
        <w:t>Musa paradisiaca</w:t>
      </w:r>
      <w:r>
        <w:rPr>
          <w:color w:val="231F20"/>
        </w:rPr>
        <w:t>), nísperos (</w:t>
      </w:r>
      <w:r>
        <w:rPr>
          <w:i/>
          <w:color w:val="231F20"/>
        </w:rPr>
        <w:t>Eriobotryae Japonica </w:t>
      </w:r>
      <w:r>
        <w:rPr>
          <w:color w:val="231F20"/>
        </w:rPr>
        <w:t>Lindl), aguacates (</w:t>
      </w:r>
      <w:r>
        <w:rPr>
          <w:i/>
          <w:color w:val="231F20"/>
        </w:rPr>
        <w:t>Persea americana </w:t>
      </w:r>
      <w:r>
        <w:rPr>
          <w:color w:val="231F20"/>
        </w:rPr>
        <w:t>Mill), hierbabuena (</w:t>
      </w:r>
      <w:r>
        <w:rPr>
          <w:i/>
          <w:color w:val="231F20"/>
        </w:rPr>
        <w:t>Mentha spicata</w:t>
      </w:r>
      <w:r>
        <w:rPr>
          <w:color w:val="231F20"/>
        </w:rPr>
        <w:t>), epazote (</w:t>
      </w:r>
      <w:r>
        <w:rPr>
          <w:i/>
          <w:color w:val="231F20"/>
        </w:rPr>
        <w:t>Chenopodium ambrosioides</w:t>
      </w:r>
      <w:r>
        <w:rPr>
          <w:color w:val="231F20"/>
        </w:rPr>
        <w:t>), algunas otras como enredaderas pertenecientes a la familia de las Cucurbitaceae, entre otras. En uno de los cafetales muestreados se encontraron 16 especies herbáceas distintas.</w:t>
      </w:r>
    </w:p>
    <w:p>
      <w:pPr>
        <w:pStyle w:val="BodyText"/>
        <w:spacing w:before="10"/>
      </w:pPr>
    </w:p>
    <w:p>
      <w:pPr>
        <w:pStyle w:val="BodyText"/>
        <w:spacing w:line="247" w:lineRule="auto"/>
        <w:ind w:left="1270" w:right="1267"/>
        <w:jc w:val="both"/>
      </w:pPr>
      <w:r>
        <w:rPr>
          <w:color w:val="231F20"/>
        </w:rPr>
        <w:t>En</w:t>
      </w:r>
      <w:r>
        <w:rPr>
          <w:color w:val="231F20"/>
          <w:spacing w:val="-6"/>
        </w:rPr>
        <w:t> </w:t>
      </w:r>
      <w:r>
        <w:rPr>
          <w:color w:val="231F20"/>
        </w:rPr>
        <w:t>los</w:t>
      </w:r>
      <w:r>
        <w:rPr>
          <w:color w:val="231F20"/>
          <w:spacing w:val="-6"/>
        </w:rPr>
        <w:t> </w:t>
      </w:r>
      <w:r>
        <w:rPr>
          <w:color w:val="231F20"/>
        </w:rPr>
        <w:t>sitios</w:t>
      </w:r>
      <w:r>
        <w:rPr>
          <w:color w:val="231F20"/>
          <w:spacing w:val="-6"/>
        </w:rPr>
        <w:t> </w:t>
      </w:r>
      <w:r>
        <w:rPr>
          <w:color w:val="231F20"/>
        </w:rPr>
        <w:t>de</w:t>
      </w:r>
      <w:r>
        <w:rPr>
          <w:color w:val="231F20"/>
          <w:spacing w:val="-6"/>
        </w:rPr>
        <w:t> </w:t>
      </w:r>
      <w:r>
        <w:rPr>
          <w:color w:val="231F20"/>
        </w:rPr>
        <w:t>bosques</w:t>
      </w:r>
      <w:r>
        <w:rPr>
          <w:color w:val="231F20"/>
          <w:spacing w:val="-6"/>
        </w:rPr>
        <w:t> </w:t>
      </w:r>
      <w:r>
        <w:rPr>
          <w:color w:val="231F20"/>
        </w:rPr>
        <w:t>muestreados</w:t>
      </w:r>
      <w:r>
        <w:rPr>
          <w:color w:val="231F20"/>
          <w:spacing w:val="-7"/>
        </w:rPr>
        <w:t> </w:t>
      </w:r>
      <w:r>
        <w:rPr>
          <w:color w:val="231F20"/>
        </w:rPr>
        <w:t>se</w:t>
      </w:r>
      <w:r>
        <w:rPr>
          <w:color w:val="231F20"/>
          <w:spacing w:val="-6"/>
        </w:rPr>
        <w:t> </w:t>
      </w:r>
      <w:r>
        <w:rPr>
          <w:color w:val="231F20"/>
        </w:rPr>
        <w:t>han</w:t>
      </w:r>
      <w:r>
        <w:rPr>
          <w:color w:val="231F20"/>
          <w:spacing w:val="-6"/>
        </w:rPr>
        <w:t> </w:t>
      </w:r>
      <w:r>
        <w:rPr>
          <w:color w:val="231F20"/>
        </w:rPr>
        <w:t>encontrado</w:t>
      </w:r>
      <w:r>
        <w:rPr>
          <w:color w:val="231F20"/>
          <w:spacing w:val="-7"/>
        </w:rPr>
        <w:t> </w:t>
      </w:r>
      <w:r>
        <w:rPr>
          <w:color w:val="231F20"/>
        </w:rPr>
        <w:t>hasta</w:t>
      </w:r>
      <w:r>
        <w:rPr>
          <w:color w:val="231F20"/>
          <w:spacing w:val="-6"/>
        </w:rPr>
        <w:t> </w:t>
      </w:r>
      <w:r>
        <w:rPr>
          <w:color w:val="231F20"/>
        </w:rPr>
        <w:t>36</w:t>
      </w:r>
      <w:r>
        <w:rPr>
          <w:color w:val="231F20"/>
          <w:spacing w:val="-6"/>
        </w:rPr>
        <w:t> </w:t>
      </w:r>
      <w:r>
        <w:rPr>
          <w:color w:val="231F20"/>
        </w:rPr>
        <w:t>especies</w:t>
      </w:r>
      <w:r>
        <w:rPr>
          <w:color w:val="231F20"/>
          <w:spacing w:val="-7"/>
        </w:rPr>
        <w:t> </w:t>
      </w:r>
      <w:r>
        <w:rPr>
          <w:color w:val="231F20"/>
        </w:rPr>
        <w:t>diferentes</w:t>
      </w:r>
      <w:r>
        <w:rPr>
          <w:color w:val="231F20"/>
          <w:spacing w:val="-6"/>
        </w:rPr>
        <w:t> </w:t>
      </w:r>
      <w:r>
        <w:rPr>
          <w:color w:val="231F20"/>
        </w:rPr>
        <w:t>en</w:t>
      </w:r>
      <w:r>
        <w:rPr>
          <w:color w:val="231F20"/>
          <w:spacing w:val="-6"/>
        </w:rPr>
        <w:t> </w:t>
      </w:r>
      <w:r>
        <w:rPr>
          <w:color w:val="231F20"/>
        </w:rPr>
        <w:t>las</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in- cluyen</w:t>
      </w:r>
      <w:r>
        <w:rPr>
          <w:color w:val="231F20"/>
          <w:spacing w:val="-12"/>
        </w:rPr>
        <w:t> </w:t>
      </w:r>
      <w:r>
        <w:rPr>
          <w:color w:val="231F20"/>
        </w:rPr>
        <w:t>árboles,</w:t>
      </w:r>
      <w:r>
        <w:rPr>
          <w:color w:val="231F20"/>
          <w:spacing w:val="-12"/>
        </w:rPr>
        <w:t> </w:t>
      </w:r>
      <w:r>
        <w:rPr>
          <w:color w:val="231F20"/>
        </w:rPr>
        <w:t>arbustos</w:t>
      </w:r>
      <w:r>
        <w:rPr>
          <w:color w:val="231F20"/>
          <w:spacing w:val="-12"/>
        </w:rPr>
        <w:t> </w:t>
      </w:r>
      <w:r>
        <w:rPr>
          <w:color w:val="231F20"/>
        </w:rPr>
        <w:t>y</w:t>
      </w:r>
      <w:r>
        <w:rPr>
          <w:color w:val="231F20"/>
          <w:spacing w:val="-11"/>
        </w:rPr>
        <w:t> </w:t>
      </w:r>
      <w:r>
        <w:rPr>
          <w:color w:val="231F20"/>
        </w:rPr>
        <w:t>herbáceas,</w:t>
      </w:r>
      <w:r>
        <w:rPr>
          <w:color w:val="231F20"/>
          <w:spacing w:val="-11"/>
        </w:rPr>
        <w:t> </w:t>
      </w:r>
      <w:r>
        <w:rPr>
          <w:color w:val="231F20"/>
        </w:rPr>
        <w:t>siendo</w:t>
      </w:r>
      <w:r>
        <w:rPr>
          <w:color w:val="231F20"/>
          <w:spacing w:val="-11"/>
        </w:rPr>
        <w:t> </w:t>
      </w:r>
      <w:r>
        <w:rPr>
          <w:color w:val="231F20"/>
        </w:rPr>
        <w:t>los</w:t>
      </w:r>
      <w:r>
        <w:rPr>
          <w:color w:val="231F20"/>
          <w:spacing w:val="-11"/>
        </w:rPr>
        <w:t> </w:t>
      </w:r>
      <w:r>
        <w:rPr>
          <w:color w:val="231F20"/>
        </w:rPr>
        <w:t>árboles</w:t>
      </w:r>
      <w:r>
        <w:rPr>
          <w:color w:val="231F20"/>
          <w:spacing w:val="-12"/>
        </w:rPr>
        <w:t> </w:t>
      </w:r>
      <w:r>
        <w:rPr>
          <w:color w:val="231F20"/>
        </w:rPr>
        <w:t>de</w:t>
      </w:r>
      <w:r>
        <w:rPr>
          <w:color w:val="231F20"/>
          <w:spacing w:val="-11"/>
        </w:rPr>
        <w:t> </w:t>
      </w:r>
      <w:r>
        <w:rPr>
          <w:color w:val="231F20"/>
        </w:rPr>
        <w:t>pino</w:t>
      </w:r>
      <w:r>
        <w:rPr>
          <w:color w:val="231F20"/>
          <w:spacing w:val="-11"/>
        </w:rPr>
        <w:t> </w:t>
      </w:r>
      <w:r>
        <w:rPr>
          <w:color w:val="231F20"/>
        </w:rPr>
        <w:t>(</w:t>
      </w:r>
      <w:r>
        <w:rPr>
          <w:i/>
          <w:color w:val="231F20"/>
        </w:rPr>
        <w:t>Pinus</w:t>
      </w:r>
      <w:r>
        <w:rPr>
          <w:i/>
          <w:color w:val="231F20"/>
          <w:spacing w:val="-12"/>
        </w:rPr>
        <w:t> </w:t>
      </w:r>
      <w:r>
        <w:rPr>
          <w:i/>
          <w:color w:val="231F20"/>
        </w:rPr>
        <w:t>sp</w:t>
      </w:r>
      <w:r>
        <w:rPr>
          <w:color w:val="231F20"/>
        </w:rPr>
        <w:t>),</w:t>
      </w:r>
      <w:r>
        <w:rPr>
          <w:color w:val="231F20"/>
          <w:spacing w:val="-11"/>
        </w:rPr>
        <w:t> </w:t>
      </w:r>
      <w:r>
        <w:rPr>
          <w:color w:val="231F20"/>
        </w:rPr>
        <w:t>encino</w:t>
      </w:r>
      <w:r>
        <w:rPr>
          <w:color w:val="231F20"/>
          <w:spacing w:val="-12"/>
        </w:rPr>
        <w:t> </w:t>
      </w:r>
      <w:r>
        <w:rPr>
          <w:color w:val="231F20"/>
        </w:rPr>
        <w:t>(</w:t>
      </w:r>
      <w:r>
        <w:rPr>
          <w:i/>
          <w:color w:val="231F20"/>
        </w:rPr>
        <w:t>Quercus</w:t>
      </w:r>
      <w:r>
        <w:rPr>
          <w:i/>
          <w:color w:val="231F20"/>
          <w:spacing w:val="-11"/>
        </w:rPr>
        <w:t> </w:t>
      </w:r>
      <w:r>
        <w:rPr>
          <w:i/>
          <w:color w:val="231F20"/>
        </w:rPr>
        <w:t>sp</w:t>
      </w:r>
      <w:r>
        <w:rPr>
          <w:color w:val="231F20"/>
        </w:rPr>
        <w:t>),</w:t>
      </w:r>
      <w:r>
        <w:rPr>
          <w:color w:val="231F20"/>
          <w:spacing w:val="-11"/>
        </w:rPr>
        <w:t> </w:t>
      </w:r>
      <w:r>
        <w:rPr>
          <w:color w:val="231F20"/>
        </w:rPr>
        <w:t>Ma- droño</w:t>
      </w:r>
      <w:r>
        <w:rPr>
          <w:color w:val="231F20"/>
          <w:spacing w:val="-11"/>
        </w:rPr>
        <w:t> </w:t>
      </w:r>
      <w:r>
        <w:rPr>
          <w:color w:val="231F20"/>
        </w:rPr>
        <w:t>(</w:t>
      </w:r>
      <w:r>
        <w:rPr>
          <w:i/>
          <w:color w:val="231F20"/>
        </w:rPr>
        <w:t>Calycophyllum</w:t>
      </w:r>
      <w:r>
        <w:rPr>
          <w:i/>
          <w:color w:val="231F20"/>
          <w:spacing w:val="-11"/>
        </w:rPr>
        <w:t> </w:t>
      </w:r>
      <w:r>
        <w:rPr>
          <w:i/>
          <w:color w:val="231F20"/>
        </w:rPr>
        <w:t>candidissimnu</w:t>
      </w:r>
      <w:r>
        <w:rPr>
          <w:color w:val="231F20"/>
        </w:rPr>
        <w:t>),</w:t>
      </w:r>
      <w:r>
        <w:rPr>
          <w:color w:val="231F20"/>
          <w:spacing w:val="-11"/>
        </w:rPr>
        <w:t> </w:t>
      </w:r>
      <w:r>
        <w:rPr>
          <w:color w:val="231F20"/>
        </w:rPr>
        <w:t>y</w:t>
      </w:r>
      <w:r>
        <w:rPr>
          <w:color w:val="231F20"/>
          <w:spacing w:val="-11"/>
        </w:rPr>
        <w:t> </w:t>
      </w:r>
      <w:r>
        <w:rPr>
          <w:color w:val="231F20"/>
        </w:rPr>
        <w:t>aguacate</w:t>
      </w:r>
      <w:r>
        <w:rPr>
          <w:color w:val="231F20"/>
          <w:spacing w:val="-11"/>
        </w:rPr>
        <w:t> </w:t>
      </w:r>
      <w:r>
        <w:rPr>
          <w:color w:val="231F20"/>
        </w:rPr>
        <w:t>(</w:t>
      </w:r>
      <w:r>
        <w:rPr>
          <w:i/>
          <w:color w:val="231F20"/>
        </w:rPr>
        <w:t>Persea</w:t>
      </w:r>
      <w:r>
        <w:rPr>
          <w:i/>
          <w:color w:val="231F20"/>
          <w:spacing w:val="-11"/>
        </w:rPr>
        <w:t> </w:t>
      </w:r>
      <w:r>
        <w:rPr>
          <w:i/>
          <w:color w:val="231F20"/>
        </w:rPr>
        <w:t>americana</w:t>
      </w:r>
      <w:r>
        <w:rPr>
          <w:i/>
          <w:color w:val="231F20"/>
          <w:spacing w:val="-11"/>
        </w:rPr>
        <w:t> </w:t>
      </w:r>
      <w:r>
        <w:rPr>
          <w:color w:val="231F20"/>
        </w:rPr>
        <w:t>Mill),</w:t>
      </w:r>
      <w:r>
        <w:rPr>
          <w:color w:val="231F20"/>
          <w:spacing w:val="-11"/>
        </w:rPr>
        <w:t> </w:t>
      </w:r>
      <w:r>
        <w:rPr>
          <w:color w:val="231F20"/>
        </w:rPr>
        <w:t>los</w:t>
      </w:r>
      <w:r>
        <w:rPr>
          <w:color w:val="231F20"/>
          <w:spacing w:val="-11"/>
        </w:rPr>
        <w:t> </w:t>
      </w:r>
      <w:r>
        <w:rPr>
          <w:color w:val="231F20"/>
        </w:rPr>
        <w:t>más</w:t>
      </w:r>
      <w:r>
        <w:rPr>
          <w:color w:val="231F20"/>
          <w:spacing w:val="-11"/>
        </w:rPr>
        <w:t> </w:t>
      </w:r>
      <w:r>
        <w:rPr>
          <w:color w:val="231F20"/>
        </w:rPr>
        <w:t>representativos. Actualmente se ha venido afectando la presencia del bosque debido al pastoreo y a la liberación de nuevas</w:t>
      </w:r>
      <w:r>
        <w:rPr>
          <w:color w:val="231F20"/>
          <w:spacing w:val="-5"/>
        </w:rPr>
        <w:t> </w:t>
      </w:r>
      <w:r>
        <w:rPr>
          <w:color w:val="231F20"/>
        </w:rPr>
        <w:t>áreas</w:t>
      </w:r>
      <w:r>
        <w:rPr>
          <w:color w:val="231F20"/>
          <w:spacing w:val="-5"/>
        </w:rPr>
        <w:t> </w:t>
      </w:r>
      <w:r>
        <w:rPr>
          <w:color w:val="231F20"/>
        </w:rPr>
        <w:t>destinadas</w:t>
      </w:r>
      <w:r>
        <w:rPr>
          <w:color w:val="231F20"/>
          <w:spacing w:val="-5"/>
        </w:rPr>
        <w:t> </w:t>
      </w:r>
      <w:r>
        <w:rPr>
          <w:color w:val="231F20"/>
        </w:rPr>
        <w:t>a</w:t>
      </w:r>
      <w:r>
        <w:rPr>
          <w:color w:val="231F20"/>
          <w:spacing w:val="-5"/>
        </w:rPr>
        <w:t> </w:t>
      </w:r>
      <w:r>
        <w:rPr>
          <w:color w:val="231F20"/>
        </w:rPr>
        <w:t>los</w:t>
      </w:r>
      <w:r>
        <w:rPr>
          <w:color w:val="231F20"/>
          <w:spacing w:val="-5"/>
        </w:rPr>
        <w:t> </w:t>
      </w:r>
      <w:r>
        <w:rPr>
          <w:color w:val="231F20"/>
        </w:rPr>
        <w:t>cultivos</w:t>
      </w:r>
      <w:r>
        <w:rPr>
          <w:color w:val="231F20"/>
          <w:spacing w:val="-5"/>
        </w:rPr>
        <w:t> </w:t>
      </w:r>
      <w:r>
        <w:rPr>
          <w:color w:val="231F20"/>
        </w:rPr>
        <w:t>de</w:t>
      </w:r>
      <w:r>
        <w:rPr>
          <w:color w:val="231F20"/>
          <w:spacing w:val="-5"/>
        </w:rPr>
        <w:t> </w:t>
      </w:r>
      <w:r>
        <w:rPr>
          <w:color w:val="231F20"/>
        </w:rPr>
        <w:t>autoconsumo,</w:t>
      </w:r>
      <w:r>
        <w:rPr>
          <w:color w:val="231F20"/>
          <w:spacing w:val="-5"/>
        </w:rPr>
        <w:t> </w:t>
      </w:r>
      <w:r>
        <w:rPr>
          <w:color w:val="231F20"/>
        </w:rPr>
        <w:t>por</w:t>
      </w:r>
      <w:r>
        <w:rPr>
          <w:color w:val="231F20"/>
          <w:spacing w:val="-5"/>
        </w:rPr>
        <w:t> </w:t>
      </w:r>
      <w:r>
        <w:rPr>
          <w:color w:val="231F20"/>
        </w:rPr>
        <w:t>tal</w:t>
      </w:r>
      <w:r>
        <w:rPr>
          <w:color w:val="231F20"/>
          <w:spacing w:val="-5"/>
        </w:rPr>
        <w:t> </w:t>
      </w:r>
      <w:r>
        <w:rPr>
          <w:color w:val="231F20"/>
        </w:rPr>
        <w:t>motivo</w:t>
      </w:r>
      <w:r>
        <w:rPr>
          <w:color w:val="231F20"/>
          <w:spacing w:val="-5"/>
        </w:rPr>
        <w:t> </w:t>
      </w:r>
      <w:r>
        <w:rPr>
          <w:color w:val="231F20"/>
        </w:rPr>
        <w:t>el</w:t>
      </w:r>
      <w:r>
        <w:rPr>
          <w:color w:val="231F20"/>
          <w:spacing w:val="-5"/>
        </w:rPr>
        <w:t> </w:t>
      </w:r>
      <w:r>
        <w:rPr>
          <w:color w:val="231F20"/>
        </w:rPr>
        <w:t>bosque</w:t>
      </w:r>
      <w:r>
        <w:rPr>
          <w:color w:val="231F20"/>
          <w:spacing w:val="-5"/>
        </w:rPr>
        <w:t> </w:t>
      </w:r>
      <w:r>
        <w:rPr>
          <w:color w:val="231F20"/>
        </w:rPr>
        <w:t>ha</w:t>
      </w:r>
      <w:r>
        <w:rPr>
          <w:color w:val="231F20"/>
          <w:spacing w:val="-5"/>
        </w:rPr>
        <w:t> </w:t>
      </w:r>
      <w:r>
        <w:rPr>
          <w:color w:val="231F20"/>
        </w:rPr>
        <w:t>venido</w:t>
      </w:r>
      <w:r>
        <w:rPr>
          <w:color w:val="231F20"/>
          <w:spacing w:val="-5"/>
        </w:rPr>
        <w:t> </w:t>
      </w:r>
      <w:r>
        <w:rPr>
          <w:color w:val="231F20"/>
        </w:rPr>
        <w:t>reducien- do</w:t>
      </w:r>
      <w:r>
        <w:rPr>
          <w:color w:val="231F20"/>
          <w:spacing w:val="-11"/>
        </w:rPr>
        <w:t> </w:t>
      </w:r>
      <w:r>
        <w:rPr>
          <w:color w:val="231F20"/>
        </w:rPr>
        <w:t>su</w:t>
      </w:r>
      <w:r>
        <w:rPr>
          <w:color w:val="231F20"/>
          <w:spacing w:val="-11"/>
        </w:rPr>
        <w:t> </w:t>
      </w:r>
      <w:r>
        <w:rPr>
          <w:color w:val="231F20"/>
        </w:rPr>
        <w:t>superficie,</w:t>
      </w:r>
      <w:r>
        <w:rPr>
          <w:color w:val="231F20"/>
          <w:spacing w:val="-11"/>
        </w:rPr>
        <w:t> </w:t>
      </w:r>
      <w:r>
        <w:rPr>
          <w:color w:val="231F20"/>
        </w:rPr>
        <w:t>su</w:t>
      </w:r>
      <w:r>
        <w:rPr>
          <w:color w:val="231F20"/>
          <w:spacing w:val="-11"/>
        </w:rPr>
        <w:t> </w:t>
      </w:r>
      <w:r>
        <w:rPr>
          <w:color w:val="231F20"/>
        </w:rPr>
        <w:t>cantidad</w:t>
      </w:r>
      <w:r>
        <w:rPr>
          <w:color w:val="231F20"/>
          <w:spacing w:val="-11"/>
        </w:rPr>
        <w:t> </w:t>
      </w:r>
      <w:r>
        <w:rPr>
          <w:color w:val="231F20"/>
        </w:rPr>
        <w:t>y</w:t>
      </w:r>
      <w:r>
        <w:rPr>
          <w:color w:val="231F20"/>
          <w:spacing w:val="-11"/>
        </w:rPr>
        <w:t> </w:t>
      </w:r>
      <w:r>
        <w:rPr>
          <w:color w:val="231F20"/>
        </w:rPr>
        <w:t>su</w:t>
      </w:r>
      <w:r>
        <w:rPr>
          <w:color w:val="231F20"/>
          <w:spacing w:val="-11"/>
        </w:rPr>
        <w:t> </w:t>
      </w:r>
      <w:r>
        <w:rPr>
          <w:color w:val="231F20"/>
        </w:rPr>
        <w:t>calidad,</w:t>
      </w:r>
      <w:r>
        <w:rPr>
          <w:color w:val="231F20"/>
          <w:spacing w:val="-11"/>
        </w:rPr>
        <w:t> </w:t>
      </w:r>
      <w:r>
        <w:rPr>
          <w:color w:val="231F20"/>
        </w:rPr>
        <w:t>por</w:t>
      </w:r>
      <w:r>
        <w:rPr>
          <w:color w:val="231F20"/>
          <w:spacing w:val="-11"/>
        </w:rPr>
        <w:t> </w:t>
      </w:r>
      <w:r>
        <w:rPr>
          <w:color w:val="231F20"/>
        </w:rPr>
        <w:t>lo</w:t>
      </w:r>
      <w:r>
        <w:rPr>
          <w:color w:val="231F20"/>
          <w:spacing w:val="-11"/>
        </w:rPr>
        <w:t> </w:t>
      </w:r>
      <w:r>
        <w:rPr>
          <w:color w:val="231F20"/>
        </w:rPr>
        <w:t>que</w:t>
      </w:r>
      <w:r>
        <w:rPr>
          <w:color w:val="231F20"/>
          <w:spacing w:val="-11"/>
        </w:rPr>
        <w:t> </w:t>
      </w:r>
      <w:r>
        <w:rPr>
          <w:color w:val="231F20"/>
        </w:rPr>
        <w:t>el</w:t>
      </w:r>
      <w:r>
        <w:rPr>
          <w:color w:val="231F20"/>
          <w:spacing w:val="-11"/>
        </w:rPr>
        <w:t> </w:t>
      </w:r>
      <w:r>
        <w:rPr>
          <w:color w:val="231F20"/>
        </w:rPr>
        <w:t>proyecto</w:t>
      </w:r>
      <w:r>
        <w:rPr>
          <w:color w:val="231F20"/>
          <w:spacing w:val="-11"/>
        </w:rPr>
        <w:t> </w:t>
      </w:r>
      <w:r>
        <w:rPr>
          <w:color w:val="231F20"/>
        </w:rPr>
        <w:t>puede</w:t>
      </w:r>
      <w:r>
        <w:rPr>
          <w:color w:val="231F20"/>
          <w:spacing w:val="-11"/>
        </w:rPr>
        <w:t> </w:t>
      </w:r>
      <w:r>
        <w:rPr>
          <w:color w:val="231F20"/>
        </w:rPr>
        <w:t>tener</w:t>
      </w:r>
      <w:r>
        <w:rPr>
          <w:color w:val="231F20"/>
          <w:spacing w:val="-11"/>
        </w:rPr>
        <w:t> </w:t>
      </w:r>
      <w:r>
        <w:rPr>
          <w:color w:val="231F20"/>
        </w:rPr>
        <w:t>un</w:t>
      </w:r>
      <w:r>
        <w:rPr>
          <w:color w:val="231F20"/>
          <w:spacing w:val="-11"/>
        </w:rPr>
        <w:t> </w:t>
      </w:r>
      <w:r>
        <w:rPr>
          <w:color w:val="231F20"/>
        </w:rPr>
        <w:t>gran</w:t>
      </w:r>
      <w:r>
        <w:rPr>
          <w:color w:val="231F20"/>
          <w:spacing w:val="-11"/>
        </w:rPr>
        <w:t> </w:t>
      </w:r>
      <w:r>
        <w:rPr>
          <w:color w:val="231F20"/>
        </w:rPr>
        <w:t>impacto</w:t>
      </w:r>
      <w:r>
        <w:rPr>
          <w:color w:val="231F20"/>
          <w:spacing w:val="-11"/>
        </w:rPr>
        <w:t> </w:t>
      </w:r>
      <w:r>
        <w:rPr>
          <w:color w:val="231F20"/>
        </w:rPr>
        <w:t>positivo dentro de la zona y la comunidad, ya que el uso sustentable del bosque proporcionaría beneficios</w:t>
      </w:r>
      <w:r>
        <w:rPr>
          <w:color w:val="231F20"/>
          <w:spacing w:val="-28"/>
        </w:rPr>
        <w:t> </w:t>
      </w:r>
      <w:r>
        <w:rPr>
          <w:color w:val="231F20"/>
        </w:rPr>
        <w:t>no sólo del tipo económico a las familias, sino que da la pautas a la conjunción con otros proyectos de desarrollo forestal que pueden ayudar a los comuneros a mejorar sus</w:t>
      </w:r>
      <w:r>
        <w:rPr>
          <w:color w:val="231F20"/>
          <w:spacing w:val="-6"/>
        </w:rPr>
        <w:t> </w:t>
      </w:r>
      <w:r>
        <w:rPr>
          <w:color w:val="231F20"/>
        </w:rPr>
        <w:t>ingresos.</w:t>
      </w:r>
    </w:p>
    <w:p>
      <w:pPr>
        <w:pStyle w:val="BodyText"/>
        <w:spacing w:before="10"/>
      </w:pPr>
    </w:p>
    <w:p>
      <w:pPr>
        <w:pStyle w:val="BodyText"/>
        <w:spacing w:line="247" w:lineRule="auto"/>
        <w:ind w:left="1270" w:right="1268"/>
        <w:jc w:val="both"/>
      </w:pPr>
      <w:r>
        <w:rPr>
          <w:color w:val="231F20"/>
        </w:rPr>
        <w:t>En la evaluación cualitativa sobre la apreciación de los comuneros con respecto a los servicios am- bientales,</w:t>
      </w:r>
      <w:r>
        <w:rPr>
          <w:color w:val="231F20"/>
          <w:spacing w:val="-7"/>
        </w:rPr>
        <w:t> </w:t>
      </w:r>
      <w:r>
        <w:rPr>
          <w:color w:val="231F20"/>
        </w:rPr>
        <w:t>se</w:t>
      </w:r>
      <w:r>
        <w:rPr>
          <w:color w:val="231F20"/>
          <w:spacing w:val="-7"/>
        </w:rPr>
        <w:t> </w:t>
      </w:r>
      <w:r>
        <w:rPr>
          <w:color w:val="231F20"/>
        </w:rPr>
        <w:t>observa</w:t>
      </w:r>
      <w:r>
        <w:rPr>
          <w:color w:val="231F20"/>
          <w:spacing w:val="-7"/>
        </w:rPr>
        <w:t> </w:t>
      </w:r>
      <w:r>
        <w:rPr>
          <w:color w:val="231F20"/>
        </w:rPr>
        <w:t>una</w:t>
      </w:r>
      <w:r>
        <w:rPr>
          <w:color w:val="231F20"/>
          <w:spacing w:val="-7"/>
        </w:rPr>
        <w:t> </w:t>
      </w:r>
      <w:r>
        <w:rPr>
          <w:color w:val="231F20"/>
        </w:rPr>
        <w:t>importante</w:t>
      </w:r>
      <w:r>
        <w:rPr>
          <w:color w:val="231F20"/>
          <w:spacing w:val="-8"/>
        </w:rPr>
        <w:t> </w:t>
      </w:r>
      <w:r>
        <w:rPr>
          <w:color w:val="231F20"/>
        </w:rPr>
        <w:t>participación</w:t>
      </w:r>
      <w:r>
        <w:rPr>
          <w:color w:val="231F20"/>
          <w:spacing w:val="-7"/>
        </w:rPr>
        <w:t> </w:t>
      </w:r>
      <w:r>
        <w:rPr>
          <w:color w:val="231F20"/>
        </w:rPr>
        <w:t>ya</w:t>
      </w:r>
      <w:r>
        <w:rPr>
          <w:color w:val="231F20"/>
          <w:spacing w:val="-7"/>
        </w:rPr>
        <w:t> </w:t>
      </w:r>
      <w:r>
        <w:rPr>
          <w:color w:val="231F20"/>
        </w:rPr>
        <w:t>que</w:t>
      </w:r>
      <w:r>
        <w:rPr>
          <w:color w:val="231F20"/>
          <w:spacing w:val="-7"/>
        </w:rPr>
        <w:t> </w:t>
      </w:r>
      <w:r>
        <w:rPr>
          <w:color w:val="231F20"/>
        </w:rPr>
        <w:t>las</w:t>
      </w:r>
      <w:r>
        <w:rPr>
          <w:color w:val="231F20"/>
          <w:spacing w:val="-7"/>
        </w:rPr>
        <w:t> </w:t>
      </w:r>
      <w:r>
        <w:rPr>
          <w:color w:val="231F20"/>
        </w:rPr>
        <w:t>personas</w:t>
      </w:r>
      <w:r>
        <w:rPr>
          <w:color w:val="231F20"/>
          <w:spacing w:val="-7"/>
        </w:rPr>
        <w:t> </w:t>
      </w:r>
      <w:r>
        <w:rPr>
          <w:color w:val="231F20"/>
        </w:rPr>
        <w:t>están</w:t>
      </w:r>
      <w:r>
        <w:rPr>
          <w:color w:val="231F20"/>
          <w:spacing w:val="-7"/>
        </w:rPr>
        <w:t> </w:t>
      </w:r>
      <w:r>
        <w:rPr>
          <w:color w:val="231F20"/>
        </w:rPr>
        <w:t>conscientes</w:t>
      </w:r>
      <w:r>
        <w:rPr>
          <w:color w:val="231F20"/>
          <w:spacing w:val="-8"/>
        </w:rPr>
        <w:t> </w:t>
      </w:r>
      <w:r>
        <w:rPr>
          <w:color w:val="231F20"/>
        </w:rPr>
        <w:t>de</w:t>
      </w:r>
      <w:r>
        <w:rPr>
          <w:color w:val="231F20"/>
          <w:spacing w:val="-7"/>
        </w:rPr>
        <w:t> </w:t>
      </w:r>
      <w:r>
        <w:rPr>
          <w:color w:val="231F20"/>
        </w:rPr>
        <w:t>la</w:t>
      </w:r>
      <w:r>
        <w:rPr>
          <w:color w:val="231F20"/>
          <w:spacing w:val="-7"/>
        </w:rPr>
        <w:t> </w:t>
      </w:r>
      <w:r>
        <w:rPr>
          <w:color w:val="231F20"/>
        </w:rPr>
        <w:t>impor-</w:t>
      </w:r>
    </w:p>
    <w:p>
      <w:pPr>
        <w:spacing w:after="0" w:line="247" w:lineRule="auto"/>
        <w:jc w:val="both"/>
        <w:sectPr>
          <w:pgSz w:w="10920" w:h="13080"/>
          <w:pgMar w:header="0" w:footer="965" w:top="420" w:bottom="1220" w:left="0" w:right="0"/>
        </w:sectPr>
      </w:pPr>
    </w:p>
    <w:p>
      <w:pPr>
        <w:pStyle w:val="BodyText"/>
        <w:rPr>
          <w:sz w:val="20"/>
        </w:rPr>
      </w:pPr>
    </w:p>
    <w:p>
      <w:pPr>
        <w:pStyle w:val="BodyText"/>
        <w:rPr>
          <w:sz w:val="20"/>
        </w:rPr>
      </w:pPr>
    </w:p>
    <w:p>
      <w:pPr>
        <w:pStyle w:val="BodyText"/>
        <w:rPr>
          <w:sz w:val="23"/>
        </w:rPr>
      </w:pPr>
    </w:p>
    <w:p>
      <w:pPr>
        <w:pStyle w:val="BodyText"/>
        <w:spacing w:line="247" w:lineRule="auto" w:before="73"/>
        <w:ind w:left="1270" w:right="1268"/>
        <w:jc w:val="both"/>
      </w:pPr>
      <w:r>
        <w:rPr>
          <w:color w:val="231F20"/>
        </w:rPr>
        <w:t>tancia</w:t>
      </w:r>
      <w:r>
        <w:rPr>
          <w:color w:val="231F20"/>
          <w:spacing w:val="-8"/>
        </w:rPr>
        <w:t> </w:t>
      </w:r>
      <w:r>
        <w:rPr>
          <w:color w:val="231F20"/>
        </w:rPr>
        <w:t>de</w:t>
      </w:r>
      <w:r>
        <w:rPr>
          <w:color w:val="231F20"/>
          <w:spacing w:val="-7"/>
        </w:rPr>
        <w:t> </w:t>
      </w:r>
      <w:r>
        <w:rPr>
          <w:color w:val="231F20"/>
        </w:rPr>
        <w:t>los</w:t>
      </w:r>
      <w:r>
        <w:rPr>
          <w:color w:val="231F20"/>
          <w:spacing w:val="-7"/>
        </w:rPr>
        <w:t> </w:t>
      </w:r>
      <w:r>
        <w:rPr>
          <w:color w:val="231F20"/>
        </w:rPr>
        <w:t>bosques</w:t>
      </w:r>
      <w:r>
        <w:rPr>
          <w:color w:val="231F20"/>
          <w:spacing w:val="-7"/>
        </w:rPr>
        <w:t> </w:t>
      </w:r>
      <w:r>
        <w:rPr>
          <w:color w:val="231F20"/>
        </w:rPr>
        <w:t>y</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beneficios</w:t>
      </w:r>
      <w:r>
        <w:rPr>
          <w:color w:val="231F20"/>
          <w:spacing w:val="-7"/>
        </w:rPr>
        <w:t> </w:t>
      </w:r>
      <w:r>
        <w:rPr>
          <w:color w:val="231F20"/>
        </w:rPr>
        <w:t>tanto</w:t>
      </w:r>
      <w:r>
        <w:rPr>
          <w:color w:val="231F20"/>
          <w:spacing w:val="-8"/>
        </w:rPr>
        <w:t> </w:t>
      </w:r>
      <w:r>
        <w:rPr>
          <w:color w:val="231F20"/>
        </w:rPr>
        <w:t>directos</w:t>
      </w:r>
      <w:r>
        <w:rPr>
          <w:color w:val="231F20"/>
          <w:spacing w:val="-7"/>
        </w:rPr>
        <w:t> </w:t>
      </w:r>
      <w:r>
        <w:rPr>
          <w:color w:val="231F20"/>
        </w:rPr>
        <w:t>como</w:t>
      </w:r>
      <w:r>
        <w:rPr>
          <w:color w:val="231F20"/>
          <w:spacing w:val="-7"/>
        </w:rPr>
        <w:t> </w:t>
      </w:r>
      <w:r>
        <w:rPr>
          <w:color w:val="231F20"/>
        </w:rPr>
        <w:t>indirectos</w:t>
      </w:r>
      <w:r>
        <w:rPr>
          <w:color w:val="231F20"/>
          <w:spacing w:val="-7"/>
        </w:rPr>
        <w:t> </w:t>
      </w:r>
      <w:r>
        <w:rPr>
          <w:color w:val="231F20"/>
        </w:rPr>
        <w:t>que</w:t>
      </w:r>
      <w:r>
        <w:rPr>
          <w:color w:val="231F20"/>
          <w:spacing w:val="-7"/>
        </w:rPr>
        <w:t> </w:t>
      </w:r>
      <w:r>
        <w:rPr>
          <w:color w:val="231F20"/>
        </w:rPr>
        <w:t>éstos</w:t>
      </w:r>
      <w:r>
        <w:rPr>
          <w:color w:val="231F20"/>
          <w:spacing w:val="-7"/>
        </w:rPr>
        <w:t> </w:t>
      </w:r>
      <w:r>
        <w:rPr>
          <w:color w:val="231F20"/>
        </w:rPr>
        <w:t>generan,</w:t>
      </w:r>
      <w:r>
        <w:rPr>
          <w:color w:val="231F20"/>
          <w:spacing w:val="-7"/>
        </w:rPr>
        <w:t> </w:t>
      </w:r>
      <w:r>
        <w:rPr>
          <w:color w:val="231F20"/>
        </w:rPr>
        <w:t>por</w:t>
      </w:r>
      <w:r>
        <w:rPr>
          <w:color w:val="231F20"/>
          <w:spacing w:val="-7"/>
        </w:rPr>
        <w:t> </w:t>
      </w:r>
      <w:r>
        <w:rPr>
          <w:color w:val="231F20"/>
        </w:rPr>
        <w:t>lo</w:t>
      </w:r>
      <w:r>
        <w:rPr>
          <w:color w:val="231F20"/>
          <w:spacing w:val="-7"/>
        </w:rPr>
        <w:t> </w:t>
      </w:r>
      <w:r>
        <w:rPr>
          <w:color w:val="231F20"/>
        </w:rPr>
        <w:t>que están dispuestos a realizar prácticas de manejo del bosque y de conservación de suelos y agua para favorecer su buen manejo. Sin embargo,, aún hay dudas respecto al tema, a la cantidad de recursos económicos que recibirían, la burocracia que ello conlleva, la cantidad de recursos económicos del apoyo que tendrían que destinar a cubrir los requisitos, impuestos, entre</w:t>
      </w:r>
      <w:r>
        <w:rPr>
          <w:color w:val="231F20"/>
          <w:spacing w:val="-6"/>
        </w:rPr>
        <w:t> </w:t>
      </w:r>
      <w:r>
        <w:rPr>
          <w:color w:val="231F20"/>
        </w:rPr>
        <w:t>otros.</w:t>
      </w:r>
    </w:p>
    <w:p>
      <w:pPr>
        <w:pStyle w:val="BodyText"/>
        <w:spacing w:before="10"/>
      </w:pPr>
    </w:p>
    <w:p>
      <w:pPr>
        <w:pStyle w:val="BodyText"/>
        <w:spacing w:line="247" w:lineRule="auto"/>
        <w:ind w:left="1270" w:right="1267"/>
        <w:jc w:val="both"/>
      </w:pPr>
      <w:r>
        <w:rPr>
          <w:color w:val="231F20"/>
        </w:rPr>
        <w:t>En las entrevistas realizadas en otras comunidades donde existe ventas de servicios ambientales, como en el caso de Santiago La Galera (mpio. de Candelaria Loxicha), hay dos personas integradas a la venta de Servicios Hidrológicos, y es posible notar que hay todo un exceso de burocracia aso- ciado a este esquema de servicios ambientales. En particular hay problemas de comunicación entre los productores y el organismo encargado del monitoreo, además de que las exigencias por parte de los</w:t>
      </w:r>
      <w:r>
        <w:rPr>
          <w:color w:val="231F20"/>
          <w:spacing w:val="-9"/>
        </w:rPr>
        <w:t> </w:t>
      </w:r>
      <w:r>
        <w:rPr>
          <w:color w:val="231F20"/>
        </w:rPr>
        <w:t>programas</w:t>
      </w:r>
      <w:r>
        <w:rPr>
          <w:color w:val="231F20"/>
          <w:spacing w:val="-9"/>
        </w:rPr>
        <w:t> </w:t>
      </w:r>
      <w:r>
        <w:rPr>
          <w:color w:val="231F20"/>
        </w:rPr>
        <w:t>gubernamentales</w:t>
      </w:r>
      <w:r>
        <w:rPr>
          <w:color w:val="231F20"/>
          <w:spacing w:val="-9"/>
        </w:rPr>
        <w:t> </w:t>
      </w:r>
      <w:r>
        <w:rPr>
          <w:color w:val="231F20"/>
        </w:rPr>
        <w:t>no</w:t>
      </w:r>
      <w:r>
        <w:rPr>
          <w:color w:val="231F20"/>
          <w:spacing w:val="-9"/>
        </w:rPr>
        <w:t> </w:t>
      </w:r>
      <w:r>
        <w:rPr>
          <w:color w:val="231F20"/>
        </w:rPr>
        <w:t>son</w:t>
      </w:r>
      <w:r>
        <w:rPr>
          <w:color w:val="231F20"/>
          <w:spacing w:val="-9"/>
        </w:rPr>
        <w:t> </w:t>
      </w:r>
      <w:r>
        <w:rPr>
          <w:color w:val="231F20"/>
        </w:rPr>
        <w:t>las</w:t>
      </w:r>
      <w:r>
        <w:rPr>
          <w:color w:val="231F20"/>
          <w:spacing w:val="-9"/>
        </w:rPr>
        <w:t> </w:t>
      </w:r>
      <w:r>
        <w:rPr>
          <w:color w:val="231F20"/>
        </w:rPr>
        <w:t>más</w:t>
      </w:r>
      <w:r>
        <w:rPr>
          <w:color w:val="231F20"/>
          <w:spacing w:val="-9"/>
        </w:rPr>
        <w:t> </w:t>
      </w:r>
      <w:r>
        <w:rPr>
          <w:color w:val="231F20"/>
        </w:rPr>
        <w:t>adecuadas</w:t>
      </w:r>
      <w:r>
        <w:rPr>
          <w:color w:val="231F20"/>
          <w:spacing w:val="-9"/>
        </w:rPr>
        <w:t> </w:t>
      </w:r>
      <w:r>
        <w:rPr>
          <w:color w:val="231F20"/>
        </w:rPr>
        <w:t>ya</w:t>
      </w:r>
      <w:r>
        <w:rPr>
          <w:color w:val="231F20"/>
          <w:spacing w:val="-9"/>
        </w:rPr>
        <w:t> </w:t>
      </w:r>
      <w:r>
        <w:rPr>
          <w:color w:val="231F20"/>
        </w:rPr>
        <w:t>que</w:t>
      </w:r>
      <w:r>
        <w:rPr>
          <w:color w:val="231F20"/>
          <w:spacing w:val="-9"/>
        </w:rPr>
        <w:t> </w:t>
      </w:r>
      <w:r>
        <w:rPr>
          <w:color w:val="231F20"/>
        </w:rPr>
        <w:t>no</w:t>
      </w:r>
      <w:r>
        <w:rPr>
          <w:color w:val="231F20"/>
          <w:spacing w:val="-9"/>
        </w:rPr>
        <w:t> </w:t>
      </w:r>
      <w:r>
        <w:rPr>
          <w:color w:val="231F20"/>
        </w:rPr>
        <w:t>existe</w:t>
      </w:r>
      <w:r>
        <w:rPr>
          <w:color w:val="231F20"/>
          <w:spacing w:val="-9"/>
        </w:rPr>
        <w:t> </w:t>
      </w:r>
      <w:r>
        <w:rPr>
          <w:color w:val="231F20"/>
        </w:rPr>
        <w:t>una</w:t>
      </w:r>
      <w:r>
        <w:rPr>
          <w:color w:val="231F20"/>
          <w:spacing w:val="-9"/>
        </w:rPr>
        <w:t> </w:t>
      </w:r>
      <w:r>
        <w:rPr>
          <w:color w:val="231F20"/>
        </w:rPr>
        <w:t>verdadera</w:t>
      </w:r>
      <w:r>
        <w:rPr>
          <w:color w:val="231F20"/>
          <w:spacing w:val="-8"/>
        </w:rPr>
        <w:t> </w:t>
      </w:r>
      <w:r>
        <w:rPr>
          <w:color w:val="231F20"/>
        </w:rPr>
        <w:t>retribución económica</w:t>
      </w:r>
      <w:r>
        <w:rPr>
          <w:color w:val="231F20"/>
          <w:spacing w:val="-8"/>
        </w:rPr>
        <w:t> </w:t>
      </w:r>
      <w:r>
        <w:rPr>
          <w:color w:val="231F20"/>
        </w:rPr>
        <w:t>a</w:t>
      </w:r>
      <w:r>
        <w:rPr>
          <w:color w:val="231F20"/>
          <w:spacing w:val="-7"/>
        </w:rPr>
        <w:t> </w:t>
      </w:r>
      <w:r>
        <w:rPr>
          <w:color w:val="231F20"/>
        </w:rPr>
        <w:t>las</w:t>
      </w:r>
      <w:r>
        <w:rPr>
          <w:color w:val="231F20"/>
          <w:spacing w:val="-7"/>
        </w:rPr>
        <w:t> </w:t>
      </w:r>
      <w:r>
        <w:rPr>
          <w:color w:val="231F20"/>
        </w:rPr>
        <w:t>labores</w:t>
      </w:r>
      <w:r>
        <w:rPr>
          <w:color w:val="231F20"/>
          <w:spacing w:val="-8"/>
        </w:rPr>
        <w:t> </w:t>
      </w:r>
      <w:r>
        <w:rPr>
          <w:color w:val="231F20"/>
        </w:rPr>
        <w:t>realizadas</w:t>
      </w:r>
      <w:r>
        <w:rPr>
          <w:color w:val="231F20"/>
          <w:spacing w:val="-7"/>
        </w:rPr>
        <w:t> </w:t>
      </w:r>
      <w:r>
        <w:rPr>
          <w:color w:val="231F20"/>
        </w:rPr>
        <w:t>por</w:t>
      </w:r>
      <w:r>
        <w:rPr>
          <w:color w:val="231F20"/>
          <w:spacing w:val="-7"/>
        </w:rPr>
        <w:t> </w:t>
      </w:r>
      <w:r>
        <w:rPr>
          <w:color w:val="231F20"/>
        </w:rPr>
        <w:t>los</w:t>
      </w:r>
      <w:r>
        <w:rPr>
          <w:color w:val="231F20"/>
          <w:spacing w:val="-7"/>
        </w:rPr>
        <w:t> </w:t>
      </w:r>
      <w:r>
        <w:rPr>
          <w:color w:val="231F20"/>
        </w:rPr>
        <w:t>productores.</w:t>
      </w:r>
      <w:r>
        <w:rPr>
          <w:color w:val="231F20"/>
          <w:spacing w:val="-19"/>
        </w:rPr>
        <w:t> </w:t>
      </w:r>
      <w:r>
        <w:rPr>
          <w:color w:val="231F20"/>
        </w:rPr>
        <w:t>A</w:t>
      </w:r>
      <w:r>
        <w:rPr>
          <w:color w:val="231F20"/>
          <w:spacing w:val="-19"/>
        </w:rPr>
        <w:t> </w:t>
      </w:r>
      <w:r>
        <w:rPr>
          <w:color w:val="231F20"/>
        </w:rPr>
        <w:t>su</w:t>
      </w:r>
      <w:r>
        <w:rPr>
          <w:color w:val="231F20"/>
          <w:spacing w:val="-7"/>
        </w:rPr>
        <w:t> </w:t>
      </w:r>
      <w:r>
        <w:rPr>
          <w:color w:val="231F20"/>
        </w:rPr>
        <w:t>vez</w:t>
      </w:r>
      <w:r>
        <w:rPr>
          <w:color w:val="231F20"/>
          <w:spacing w:val="-7"/>
        </w:rPr>
        <w:t> </w:t>
      </w:r>
      <w:r>
        <w:rPr>
          <w:color w:val="231F20"/>
        </w:rPr>
        <w:t>de</w:t>
      </w:r>
      <w:r>
        <w:rPr>
          <w:color w:val="231F20"/>
          <w:spacing w:val="-7"/>
        </w:rPr>
        <w:t> </w:t>
      </w:r>
      <w:r>
        <w:rPr>
          <w:color w:val="231F20"/>
        </w:rPr>
        <w:t>que</w:t>
      </w:r>
      <w:r>
        <w:rPr>
          <w:color w:val="231F20"/>
          <w:spacing w:val="-7"/>
        </w:rPr>
        <w:t> </w:t>
      </w:r>
      <w:r>
        <w:rPr>
          <w:color w:val="231F20"/>
        </w:rPr>
        <w:t>no</w:t>
      </w:r>
      <w:r>
        <w:rPr>
          <w:color w:val="231F20"/>
          <w:spacing w:val="-7"/>
        </w:rPr>
        <w:t> </w:t>
      </w:r>
      <w:r>
        <w:rPr>
          <w:color w:val="231F20"/>
        </w:rPr>
        <w:t>se</w:t>
      </w:r>
      <w:r>
        <w:rPr>
          <w:color w:val="231F20"/>
          <w:spacing w:val="-7"/>
        </w:rPr>
        <w:t> </w:t>
      </w:r>
      <w:r>
        <w:rPr>
          <w:color w:val="231F20"/>
        </w:rPr>
        <w:t>cuentan</w:t>
      </w:r>
      <w:r>
        <w:rPr>
          <w:color w:val="231F20"/>
          <w:spacing w:val="-8"/>
        </w:rPr>
        <w:t> </w:t>
      </w:r>
      <w:r>
        <w:rPr>
          <w:color w:val="231F20"/>
        </w:rPr>
        <w:t>con</w:t>
      </w:r>
      <w:r>
        <w:rPr>
          <w:color w:val="231F20"/>
          <w:spacing w:val="-7"/>
        </w:rPr>
        <w:t> </w:t>
      </w:r>
      <w:r>
        <w:rPr>
          <w:color w:val="231F20"/>
        </w:rPr>
        <w:t>programas de</w:t>
      </w:r>
      <w:r>
        <w:rPr>
          <w:color w:val="231F20"/>
          <w:spacing w:val="-7"/>
        </w:rPr>
        <w:t> </w:t>
      </w:r>
      <w:r>
        <w:rPr>
          <w:color w:val="231F20"/>
        </w:rPr>
        <w:t>protección</w:t>
      </w:r>
      <w:r>
        <w:rPr>
          <w:color w:val="231F20"/>
          <w:spacing w:val="-7"/>
        </w:rPr>
        <w:t> </w:t>
      </w:r>
      <w:r>
        <w:rPr>
          <w:color w:val="231F20"/>
        </w:rPr>
        <w:t>ante</w:t>
      </w:r>
      <w:r>
        <w:rPr>
          <w:color w:val="231F20"/>
          <w:spacing w:val="-7"/>
        </w:rPr>
        <w:t> </w:t>
      </w:r>
      <w:r>
        <w:rPr>
          <w:color w:val="231F20"/>
        </w:rPr>
        <w:t>los</w:t>
      </w:r>
      <w:r>
        <w:rPr>
          <w:color w:val="231F20"/>
          <w:spacing w:val="-7"/>
        </w:rPr>
        <w:t> </w:t>
      </w:r>
      <w:r>
        <w:rPr>
          <w:color w:val="231F20"/>
        </w:rPr>
        <w:t>desastres</w:t>
      </w:r>
      <w:r>
        <w:rPr>
          <w:color w:val="231F20"/>
          <w:spacing w:val="-7"/>
        </w:rPr>
        <w:t> </w:t>
      </w:r>
      <w:r>
        <w:rPr>
          <w:color w:val="231F20"/>
        </w:rPr>
        <w:t>naturales</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zona</w:t>
      </w:r>
      <w:r>
        <w:rPr>
          <w:color w:val="231F20"/>
          <w:spacing w:val="-7"/>
        </w:rPr>
        <w:t> </w:t>
      </w:r>
      <w:r>
        <w:rPr>
          <w:color w:val="231F20"/>
        </w:rPr>
        <w:t>(por</w:t>
      </w:r>
      <w:r>
        <w:rPr>
          <w:color w:val="231F20"/>
          <w:spacing w:val="-7"/>
        </w:rPr>
        <w:t> </w:t>
      </w:r>
      <w:r>
        <w:rPr>
          <w:color w:val="231F20"/>
        </w:rPr>
        <w:t>ejemplo,</w:t>
      </w:r>
      <w:r>
        <w:rPr>
          <w:color w:val="231F20"/>
          <w:spacing w:val="-7"/>
        </w:rPr>
        <w:t> </w:t>
      </w:r>
      <w:r>
        <w:rPr>
          <w:color w:val="231F20"/>
        </w:rPr>
        <w:t>el</w:t>
      </w:r>
      <w:r>
        <w:rPr>
          <w:color w:val="231F20"/>
          <w:spacing w:val="-7"/>
        </w:rPr>
        <w:t> </w:t>
      </w:r>
      <w:r>
        <w:rPr>
          <w:color w:val="231F20"/>
        </w:rPr>
        <w:t>huracán</w:t>
      </w:r>
      <w:r>
        <w:rPr>
          <w:color w:val="231F20"/>
          <w:spacing w:val="-7"/>
        </w:rPr>
        <w:t> </w:t>
      </w:r>
      <w:r>
        <w:rPr>
          <w:color w:val="231F20"/>
        </w:rPr>
        <w:t>“Carlota”</w:t>
      </w:r>
      <w:r>
        <w:rPr>
          <w:color w:val="231F20"/>
          <w:spacing w:val="-8"/>
        </w:rPr>
        <w:t> </w:t>
      </w:r>
      <w:r>
        <w:rPr>
          <w:color w:val="231F20"/>
        </w:rPr>
        <w:t>en</w:t>
      </w:r>
      <w:r>
        <w:rPr>
          <w:color w:val="231F20"/>
          <w:spacing w:val="-7"/>
        </w:rPr>
        <w:t> </w:t>
      </w:r>
      <w:r>
        <w:rPr>
          <w:color w:val="231F20"/>
        </w:rPr>
        <w:t>2012)</w:t>
      </w:r>
      <w:r>
        <w:rPr>
          <w:color w:val="231F20"/>
          <w:spacing w:val="-7"/>
        </w:rPr>
        <w:t> </w:t>
      </w:r>
      <w:r>
        <w:rPr>
          <w:color w:val="231F20"/>
        </w:rPr>
        <w:t>que dificulta se pueda cumplir con las exigencias de cuidado del suelo y del</w:t>
      </w:r>
      <w:r>
        <w:rPr>
          <w:color w:val="231F20"/>
          <w:spacing w:val="-11"/>
        </w:rPr>
        <w:t> </w:t>
      </w:r>
      <w:r>
        <w:rPr>
          <w:color w:val="231F20"/>
        </w:rPr>
        <w:t>agua.</w:t>
      </w:r>
    </w:p>
    <w:p>
      <w:pPr>
        <w:pStyle w:val="BodyText"/>
        <w:spacing w:before="10"/>
      </w:pPr>
    </w:p>
    <w:p>
      <w:pPr>
        <w:pStyle w:val="BodyText"/>
        <w:spacing w:line="247" w:lineRule="auto"/>
        <w:ind w:left="1270" w:right="1256"/>
        <w:jc w:val="both"/>
      </w:pPr>
      <w:r>
        <w:rPr>
          <w:color w:val="231F20"/>
        </w:rPr>
        <w:t>El pago por servicio de captura de carbono en el San Bartolomé Loxicha presenta problemas simi- lares a las de los otros productores entrevistados. La principal limitante parece ser la burocracia. A su vez se notó la poca información que poseen los productores en cuanto a los mecanismos que se requieren para impulsar este tipo de proyectos y acceder a su pago.</w:t>
      </w:r>
    </w:p>
    <w:p>
      <w:pPr>
        <w:pStyle w:val="BodyText"/>
        <w:spacing w:before="10"/>
      </w:pPr>
    </w:p>
    <w:p>
      <w:pPr>
        <w:pStyle w:val="BodyText"/>
        <w:spacing w:line="247" w:lineRule="auto"/>
        <w:ind w:left="1270" w:right="1267"/>
        <w:jc w:val="both"/>
      </w:pPr>
      <w:r>
        <w:rPr>
          <w:color w:val="231F20"/>
        </w:rPr>
        <w:t>Es</w:t>
      </w:r>
      <w:r>
        <w:rPr>
          <w:color w:val="231F20"/>
          <w:spacing w:val="-5"/>
        </w:rPr>
        <w:t> </w:t>
      </w:r>
      <w:r>
        <w:rPr>
          <w:color w:val="231F20"/>
        </w:rPr>
        <w:t>importante</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consideren</w:t>
      </w:r>
      <w:r>
        <w:rPr>
          <w:color w:val="231F20"/>
          <w:spacing w:val="-5"/>
        </w:rPr>
        <w:t> </w:t>
      </w:r>
      <w:r>
        <w:rPr>
          <w:color w:val="231F20"/>
        </w:rPr>
        <w:t>en</w:t>
      </w:r>
      <w:r>
        <w:rPr>
          <w:color w:val="231F20"/>
          <w:spacing w:val="-5"/>
        </w:rPr>
        <w:t> </w:t>
      </w:r>
      <w:r>
        <w:rPr>
          <w:color w:val="231F20"/>
        </w:rPr>
        <w:t>las</w:t>
      </w:r>
      <w:r>
        <w:rPr>
          <w:color w:val="231F20"/>
          <w:spacing w:val="-5"/>
        </w:rPr>
        <w:t> </w:t>
      </w:r>
      <w:r>
        <w:rPr>
          <w:color w:val="231F20"/>
        </w:rPr>
        <w:t>propuestas</w:t>
      </w:r>
      <w:r>
        <w:rPr>
          <w:color w:val="231F20"/>
          <w:spacing w:val="-5"/>
        </w:rPr>
        <w:t> </w:t>
      </w:r>
      <w:r>
        <w:rPr>
          <w:color w:val="231F20"/>
        </w:rPr>
        <w:t>de</w:t>
      </w:r>
      <w:r>
        <w:rPr>
          <w:color w:val="231F20"/>
          <w:spacing w:val="-5"/>
        </w:rPr>
        <w:t> </w:t>
      </w:r>
      <w:r>
        <w:rPr>
          <w:color w:val="231F20"/>
        </w:rPr>
        <w:t>esquemas</w:t>
      </w:r>
      <w:r>
        <w:rPr>
          <w:color w:val="231F20"/>
          <w:spacing w:val="-5"/>
        </w:rPr>
        <w:t> </w:t>
      </w:r>
      <w:r>
        <w:rPr>
          <w:color w:val="231F20"/>
        </w:rPr>
        <w:t>de</w:t>
      </w:r>
      <w:r>
        <w:rPr>
          <w:color w:val="231F20"/>
          <w:spacing w:val="-5"/>
        </w:rPr>
        <w:t> </w:t>
      </w:r>
      <w:r>
        <w:rPr>
          <w:color w:val="231F20"/>
        </w:rPr>
        <w:t>pago</w:t>
      </w:r>
      <w:r>
        <w:rPr>
          <w:color w:val="231F20"/>
          <w:spacing w:val="-5"/>
        </w:rPr>
        <w:t> </w:t>
      </w:r>
      <w:r>
        <w:rPr>
          <w:color w:val="231F20"/>
        </w:rPr>
        <w:t>de</w:t>
      </w:r>
      <w:r>
        <w:rPr>
          <w:color w:val="231F20"/>
          <w:spacing w:val="-5"/>
        </w:rPr>
        <w:t> </w:t>
      </w:r>
      <w:r>
        <w:rPr>
          <w:color w:val="231F20"/>
        </w:rPr>
        <w:t>servicios</w:t>
      </w:r>
      <w:r>
        <w:rPr>
          <w:color w:val="231F20"/>
          <w:spacing w:val="-4"/>
        </w:rPr>
        <w:t> </w:t>
      </w:r>
      <w:r>
        <w:rPr>
          <w:color w:val="231F20"/>
        </w:rPr>
        <w:t>ambientales</w:t>
      </w:r>
      <w:r>
        <w:rPr>
          <w:color w:val="231F20"/>
          <w:spacing w:val="-5"/>
        </w:rPr>
        <w:t> </w:t>
      </w:r>
      <w:r>
        <w:rPr>
          <w:color w:val="231F20"/>
        </w:rPr>
        <w:t>las opiniones</w:t>
      </w:r>
      <w:r>
        <w:rPr>
          <w:color w:val="231F20"/>
          <w:spacing w:val="-3"/>
        </w:rPr>
        <w:t> </w:t>
      </w:r>
      <w:r>
        <w:rPr>
          <w:color w:val="231F20"/>
        </w:rPr>
        <w:t>de</w:t>
      </w:r>
      <w:r>
        <w:rPr>
          <w:color w:val="231F20"/>
          <w:spacing w:val="-3"/>
        </w:rPr>
        <w:t> </w:t>
      </w:r>
      <w:r>
        <w:rPr>
          <w:color w:val="231F20"/>
        </w:rPr>
        <w:t>los</w:t>
      </w:r>
      <w:r>
        <w:rPr>
          <w:color w:val="231F20"/>
          <w:spacing w:val="-3"/>
        </w:rPr>
        <w:t> </w:t>
      </w:r>
      <w:r>
        <w:rPr>
          <w:color w:val="231F20"/>
        </w:rPr>
        <w:t>proveedores</w:t>
      </w:r>
      <w:r>
        <w:rPr>
          <w:color w:val="231F20"/>
          <w:spacing w:val="-3"/>
        </w:rPr>
        <w:t> </w:t>
      </w:r>
      <w:r>
        <w:rPr>
          <w:color w:val="231F20"/>
        </w:rPr>
        <w:t>de</w:t>
      </w:r>
      <w:r>
        <w:rPr>
          <w:color w:val="231F20"/>
          <w:spacing w:val="-3"/>
        </w:rPr>
        <w:t> </w:t>
      </w:r>
      <w:r>
        <w:rPr>
          <w:color w:val="231F20"/>
        </w:rPr>
        <w:t>dichos</w:t>
      </w:r>
      <w:r>
        <w:rPr>
          <w:color w:val="231F20"/>
          <w:spacing w:val="-3"/>
        </w:rPr>
        <w:t> </w:t>
      </w:r>
      <w:r>
        <w:rPr>
          <w:color w:val="231F20"/>
        </w:rPr>
        <w:t>servicios,</w:t>
      </w:r>
      <w:r>
        <w:rPr>
          <w:color w:val="231F20"/>
          <w:spacing w:val="-3"/>
        </w:rPr>
        <w:t> </w:t>
      </w:r>
      <w:r>
        <w:rPr>
          <w:color w:val="231F20"/>
        </w:rPr>
        <w:t>su</w:t>
      </w:r>
      <w:r>
        <w:rPr>
          <w:color w:val="231F20"/>
          <w:spacing w:val="-3"/>
        </w:rPr>
        <w:t> </w:t>
      </w:r>
      <w:r>
        <w:rPr>
          <w:color w:val="231F20"/>
        </w:rPr>
        <w:t>cultura</w:t>
      </w:r>
      <w:r>
        <w:rPr>
          <w:color w:val="231F20"/>
          <w:spacing w:val="-4"/>
        </w:rPr>
        <w:t> </w:t>
      </w:r>
      <w:r>
        <w:rPr>
          <w:color w:val="231F20"/>
        </w:rPr>
        <w:t>y</w:t>
      </w:r>
      <w:r>
        <w:rPr>
          <w:color w:val="231F20"/>
          <w:spacing w:val="-3"/>
        </w:rPr>
        <w:t> </w:t>
      </w:r>
      <w:r>
        <w:rPr>
          <w:color w:val="231F20"/>
        </w:rPr>
        <w:t>formas</w:t>
      </w:r>
      <w:r>
        <w:rPr>
          <w:color w:val="231F20"/>
          <w:spacing w:val="-3"/>
        </w:rPr>
        <w:t> </w:t>
      </w:r>
      <w:r>
        <w:rPr>
          <w:color w:val="231F20"/>
        </w:rPr>
        <w:t>de</w:t>
      </w:r>
      <w:r>
        <w:rPr>
          <w:color w:val="231F20"/>
          <w:spacing w:val="-3"/>
        </w:rPr>
        <w:t> </w:t>
      </w:r>
      <w:r>
        <w:rPr>
          <w:color w:val="231F20"/>
        </w:rPr>
        <w:t>trabajo</w:t>
      </w:r>
      <w:r>
        <w:rPr>
          <w:color w:val="231F20"/>
          <w:spacing w:val="-4"/>
        </w:rPr>
        <w:t> </w:t>
      </w:r>
      <w:r>
        <w:rPr>
          <w:color w:val="231F20"/>
        </w:rPr>
        <w:t>y</w:t>
      </w:r>
      <w:r>
        <w:rPr>
          <w:color w:val="231F20"/>
          <w:spacing w:val="-3"/>
        </w:rPr>
        <w:t> </w:t>
      </w:r>
      <w:r>
        <w:rPr>
          <w:color w:val="231F20"/>
        </w:rPr>
        <w:t>organización</w:t>
      </w:r>
      <w:r>
        <w:rPr>
          <w:color w:val="231F20"/>
          <w:spacing w:val="-3"/>
        </w:rPr>
        <w:t> </w:t>
      </w:r>
      <w:r>
        <w:rPr>
          <w:color w:val="231F20"/>
        </w:rPr>
        <w:t>para que dichos proyectos tenga una mayor posibilidad de</w:t>
      </w:r>
      <w:r>
        <w:rPr>
          <w:color w:val="231F20"/>
          <w:spacing w:val="-2"/>
        </w:rPr>
        <w:t> </w:t>
      </w:r>
      <w:r>
        <w:rPr>
          <w:color w:val="231F20"/>
        </w:rPr>
        <w:t>éxito.</w:t>
      </w:r>
    </w:p>
    <w:p>
      <w:pPr>
        <w:pStyle w:val="BodyText"/>
        <w:spacing w:before="10"/>
        <w:rPr>
          <w:sz w:val="22"/>
        </w:rPr>
      </w:pPr>
    </w:p>
    <w:p>
      <w:pPr>
        <w:pStyle w:val="Heading3"/>
      </w:pPr>
      <w:r>
        <w:rPr>
          <w:color w:val="010202"/>
        </w:rPr>
        <w:t>Conclusiones</w:t>
      </w:r>
    </w:p>
    <w:p>
      <w:pPr>
        <w:pStyle w:val="BodyText"/>
        <w:spacing w:before="10"/>
        <w:rPr>
          <w:b/>
        </w:rPr>
      </w:pPr>
    </w:p>
    <w:p>
      <w:pPr>
        <w:pStyle w:val="BodyText"/>
        <w:spacing w:line="249" w:lineRule="auto"/>
        <w:ind w:left="1270" w:right="1267"/>
        <w:jc w:val="both"/>
      </w:pPr>
      <w:r>
        <w:rPr/>
        <w:pict>
          <v:shape style="position:absolute;margin-left:258.733612pt;margin-top:58.372929pt;width:3.1pt;height:6.15pt;mso-position-horizontal-relative:page;mso-position-vertical-relative:paragraph;z-index:-206800" type="#_x0000_t202" filled="false" stroked="false">
            <v:textbox inset="0,0,0,0">
              <w:txbxContent>
                <w:p>
                  <w:pPr>
                    <w:spacing w:line="122" w:lineRule="exact" w:before="0"/>
                    <w:ind w:left="0" w:right="0" w:firstLine="0"/>
                    <w:jc w:val="left"/>
                    <w:rPr>
                      <w:sz w:val="12"/>
                    </w:rPr>
                  </w:pPr>
                  <w:r>
                    <w:rPr>
                      <w:color w:val="231F20"/>
                      <w:w w:val="102"/>
                      <w:sz w:val="12"/>
                    </w:rPr>
                    <w:t>2</w:t>
                  </w:r>
                </w:p>
              </w:txbxContent>
            </v:textbox>
            <w10:wrap type="none"/>
          </v:shape>
        </w:pict>
      </w:r>
      <w:r>
        <w:rPr>
          <w:color w:val="231F20"/>
        </w:rPr>
        <w:t>La cantidad de carbono que puede ser capturado puede venderse a las empresas como bonos de carbono que generarían un ingreso económico directo a los productores, apoyarían la conservación de los bosques, mejorando la calidad de los mismos, generando belleza escénica, conservando las especies vegetales y animales y generando beneficios indirectos para la comunidad y el mundo, como la liberación de oxígeno, captura de CO , recarga de mantos acuíferos, entre otros. La mayor diversidad</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especies</w:t>
      </w:r>
      <w:r>
        <w:rPr>
          <w:color w:val="231F20"/>
          <w:spacing w:val="-6"/>
        </w:rPr>
        <w:t> </w:t>
      </w:r>
      <w:r>
        <w:rPr>
          <w:color w:val="231F20"/>
        </w:rPr>
        <w:t>encontradas</w:t>
      </w:r>
      <w:r>
        <w:rPr>
          <w:color w:val="231F20"/>
          <w:spacing w:val="-6"/>
        </w:rPr>
        <w:t> </w:t>
      </w:r>
      <w:r>
        <w:rPr>
          <w:color w:val="231F20"/>
        </w:rPr>
        <w:t>en</w:t>
      </w:r>
      <w:r>
        <w:rPr>
          <w:color w:val="231F20"/>
          <w:spacing w:val="-5"/>
        </w:rPr>
        <w:t> </w:t>
      </w:r>
      <w:r>
        <w:rPr>
          <w:color w:val="231F20"/>
        </w:rPr>
        <w:t>San</w:t>
      </w:r>
      <w:r>
        <w:rPr>
          <w:color w:val="231F20"/>
          <w:spacing w:val="-9"/>
        </w:rPr>
        <w:t> </w:t>
      </w:r>
      <w:r>
        <w:rPr>
          <w:color w:val="231F20"/>
        </w:rPr>
        <w:t>Vicente</w:t>
      </w:r>
      <w:r>
        <w:rPr>
          <w:color w:val="231F20"/>
          <w:spacing w:val="-13"/>
        </w:rPr>
        <w:t> </w:t>
      </w:r>
      <w:r>
        <w:rPr>
          <w:color w:val="231F20"/>
          <w:spacing w:val="-3"/>
        </w:rPr>
        <w:t>Yogondoy</w:t>
      </w:r>
      <w:r>
        <w:rPr>
          <w:color w:val="231F20"/>
          <w:spacing w:val="-5"/>
        </w:rPr>
        <w:t> </w:t>
      </w:r>
      <w:r>
        <w:rPr>
          <w:color w:val="231F20"/>
        </w:rPr>
        <w:t>corresponden</w:t>
      </w:r>
      <w:r>
        <w:rPr>
          <w:color w:val="231F20"/>
          <w:spacing w:val="-6"/>
        </w:rPr>
        <w:t> </w:t>
      </w:r>
      <w:r>
        <w:rPr>
          <w:color w:val="231F20"/>
        </w:rPr>
        <w:t>a</w:t>
      </w:r>
      <w:r>
        <w:rPr>
          <w:color w:val="231F20"/>
          <w:spacing w:val="-5"/>
        </w:rPr>
        <w:t> </w:t>
      </w:r>
      <w:r>
        <w:rPr>
          <w:color w:val="231F20"/>
        </w:rPr>
        <w:t>sitios</w:t>
      </w:r>
      <w:r>
        <w:rPr>
          <w:color w:val="231F20"/>
          <w:spacing w:val="-5"/>
        </w:rPr>
        <w:t> </w:t>
      </w:r>
      <w:r>
        <w:rPr>
          <w:color w:val="231F20"/>
        </w:rPr>
        <w:t>de</w:t>
      </w:r>
      <w:r>
        <w:rPr>
          <w:color w:val="231F20"/>
          <w:spacing w:val="-5"/>
        </w:rPr>
        <w:t> </w:t>
      </w:r>
      <w:r>
        <w:rPr>
          <w:color w:val="231F20"/>
        </w:rPr>
        <w:t>muestreos con</w:t>
      </w:r>
      <w:r>
        <w:rPr>
          <w:color w:val="231F20"/>
          <w:spacing w:val="-4"/>
        </w:rPr>
        <w:t> </w:t>
      </w:r>
      <w:r>
        <w:rPr>
          <w:color w:val="231F20"/>
        </w:rPr>
        <w:t>vegetación</w:t>
      </w:r>
      <w:r>
        <w:rPr>
          <w:color w:val="231F20"/>
          <w:spacing w:val="-4"/>
        </w:rPr>
        <w:t> </w:t>
      </w:r>
      <w:r>
        <w:rPr>
          <w:color w:val="231F20"/>
        </w:rPr>
        <w:t>boscosa</w:t>
      </w:r>
      <w:r>
        <w:rPr>
          <w:color w:val="231F20"/>
          <w:spacing w:val="-4"/>
        </w:rPr>
        <w:t> </w:t>
      </w:r>
      <w:r>
        <w:rPr>
          <w:color w:val="231F20"/>
        </w:rPr>
        <w:t>de</w:t>
      </w:r>
      <w:r>
        <w:rPr>
          <w:color w:val="231F20"/>
          <w:spacing w:val="-4"/>
        </w:rPr>
        <w:t> </w:t>
      </w:r>
      <w:r>
        <w:rPr>
          <w:color w:val="231F20"/>
        </w:rPr>
        <w:t>especies</w:t>
      </w:r>
      <w:r>
        <w:rPr>
          <w:color w:val="231F20"/>
          <w:spacing w:val="-4"/>
        </w:rPr>
        <w:t> </w:t>
      </w:r>
      <w:r>
        <w:rPr>
          <w:color w:val="231F20"/>
        </w:rPr>
        <w:t>de</w:t>
      </w:r>
      <w:r>
        <w:rPr>
          <w:color w:val="231F20"/>
          <w:spacing w:val="-4"/>
        </w:rPr>
        <w:t> </w:t>
      </w:r>
      <w:r>
        <w:rPr>
          <w:color w:val="231F20"/>
        </w:rPr>
        <w:t>encino</w:t>
      </w:r>
      <w:r>
        <w:rPr>
          <w:color w:val="231F20"/>
          <w:spacing w:val="-4"/>
        </w:rPr>
        <w:t> </w:t>
      </w:r>
      <w:r>
        <w:rPr>
          <w:color w:val="231F20"/>
        </w:rPr>
        <w:t>(</w:t>
      </w:r>
      <w:r>
        <w:rPr>
          <w:i/>
          <w:color w:val="231F20"/>
        </w:rPr>
        <w:t>Quercus</w:t>
      </w:r>
      <w:r>
        <w:rPr>
          <w:i/>
          <w:color w:val="231F20"/>
          <w:spacing w:val="-4"/>
        </w:rPr>
        <w:t> </w:t>
      </w:r>
      <w:r>
        <w:rPr>
          <w:i/>
          <w:color w:val="231F20"/>
        </w:rPr>
        <w:t>sp</w:t>
      </w:r>
      <w:r>
        <w:rPr>
          <w:color w:val="231F20"/>
        </w:rPr>
        <w:t>),</w:t>
      </w:r>
      <w:r>
        <w:rPr>
          <w:color w:val="231F20"/>
          <w:spacing w:val="-4"/>
        </w:rPr>
        <w:t> </w:t>
      </w:r>
      <w:r>
        <w:rPr>
          <w:color w:val="231F20"/>
        </w:rPr>
        <w:t>pino</w:t>
      </w:r>
      <w:r>
        <w:rPr>
          <w:color w:val="231F20"/>
          <w:spacing w:val="-4"/>
        </w:rPr>
        <w:t> </w:t>
      </w:r>
      <w:r>
        <w:rPr>
          <w:color w:val="231F20"/>
        </w:rPr>
        <w:t>(</w:t>
      </w:r>
      <w:r>
        <w:rPr>
          <w:i/>
          <w:color w:val="231F20"/>
        </w:rPr>
        <w:t>Pinus</w:t>
      </w:r>
      <w:r>
        <w:rPr>
          <w:i/>
          <w:color w:val="231F20"/>
          <w:spacing w:val="-4"/>
        </w:rPr>
        <w:t> </w:t>
      </w:r>
      <w:r>
        <w:rPr>
          <w:i/>
          <w:color w:val="231F20"/>
        </w:rPr>
        <w:t>sp</w:t>
      </w:r>
      <w:r>
        <w:rPr>
          <w:color w:val="231F20"/>
        </w:rPr>
        <w:t>)</w:t>
      </w:r>
      <w:r>
        <w:rPr>
          <w:color w:val="231F20"/>
          <w:spacing w:val="-4"/>
        </w:rPr>
        <w:t> </w:t>
      </w:r>
      <w:r>
        <w:rPr>
          <w:color w:val="231F20"/>
        </w:rPr>
        <w:t>y</w:t>
      </w:r>
      <w:r>
        <w:rPr>
          <w:color w:val="231F20"/>
          <w:spacing w:val="-4"/>
        </w:rPr>
        <w:t> </w:t>
      </w:r>
      <w:r>
        <w:rPr>
          <w:color w:val="231F20"/>
        </w:rPr>
        <w:t>cafetales</w:t>
      </w:r>
      <w:r>
        <w:rPr>
          <w:color w:val="231F20"/>
          <w:spacing w:val="-4"/>
        </w:rPr>
        <w:t> </w:t>
      </w:r>
      <w:r>
        <w:rPr>
          <w:color w:val="231F20"/>
        </w:rPr>
        <w:t>(</w:t>
      </w:r>
      <w:r>
        <w:rPr>
          <w:i/>
          <w:color w:val="231F20"/>
        </w:rPr>
        <w:t>Coffe</w:t>
      </w:r>
      <w:r>
        <w:rPr>
          <w:i/>
          <w:color w:val="231F20"/>
          <w:spacing w:val="-4"/>
        </w:rPr>
        <w:t> </w:t>
      </w:r>
      <w:r>
        <w:rPr>
          <w:i/>
          <w:color w:val="231F20"/>
        </w:rPr>
        <w:t>aara- </w:t>
      </w:r>
      <w:r>
        <w:rPr>
          <w:i/>
          <w:color w:val="231F20"/>
        </w:rPr>
        <w:t>bica </w:t>
      </w:r>
      <w:r>
        <w:rPr>
          <w:color w:val="231F20"/>
        </w:rPr>
        <w:t>L); y la menor parte de las especies encontradas fueron en sitios de cultivo de maíz (</w:t>
      </w:r>
      <w:r>
        <w:rPr>
          <w:i/>
          <w:color w:val="231F20"/>
        </w:rPr>
        <w:t>Zea</w:t>
      </w:r>
      <w:r>
        <w:rPr>
          <w:i/>
          <w:color w:val="231F20"/>
          <w:spacing w:val="-31"/>
        </w:rPr>
        <w:t> </w:t>
      </w:r>
      <w:r>
        <w:rPr>
          <w:i/>
          <w:color w:val="231F20"/>
        </w:rPr>
        <w:t>maíz</w:t>
      </w:r>
      <w:r>
        <w:rPr>
          <w:color w:val="231F20"/>
        </w:rPr>
        <w:t>). Las especies herbáceas son las que presentan en mayor diversidad, por lo que su conservación debe de ser prioritaria, ya que actualmente se encuentran en un estado de peligro latente, por causa de la deforestación, el cambio de uso de suelo de los bosques a potreros y a tierras de</w:t>
      </w:r>
      <w:r>
        <w:rPr>
          <w:color w:val="231F20"/>
          <w:spacing w:val="-9"/>
        </w:rPr>
        <w:t> </w:t>
      </w:r>
      <w:r>
        <w:rPr>
          <w:color w:val="231F20"/>
        </w:rPr>
        <w:t>cultivo.</w:t>
      </w:r>
    </w:p>
    <w:p>
      <w:pPr>
        <w:pStyle w:val="BodyText"/>
        <w:spacing w:before="7"/>
      </w:pPr>
    </w:p>
    <w:p>
      <w:pPr>
        <w:pStyle w:val="BodyText"/>
        <w:spacing w:line="247" w:lineRule="auto"/>
        <w:ind w:left="1270" w:right="1268"/>
        <w:jc w:val="both"/>
      </w:pPr>
      <w:r>
        <w:rPr>
          <w:color w:val="231F20"/>
        </w:rPr>
        <w:t>En cuanto a la evaluación cualitativa, existe una importante disposición de los productores para ayudar en la conservación de los bosques y de mejorar sus sistemas de producción para incrementar</w:t>
      </w:r>
    </w:p>
    <w:p>
      <w:pPr>
        <w:spacing w:after="0" w:line="247" w:lineRule="auto"/>
        <w:jc w:val="both"/>
        <w:sectPr>
          <w:pgSz w:w="10920" w:h="13080"/>
          <w:pgMar w:header="0" w:footer="965" w:top="420" w:bottom="1220" w:left="0" w:right="0"/>
        </w:sectPr>
      </w:pPr>
    </w:p>
    <w:p>
      <w:pPr>
        <w:pStyle w:val="BodyText"/>
        <w:rPr>
          <w:sz w:val="20"/>
        </w:rPr>
      </w:pPr>
    </w:p>
    <w:p>
      <w:pPr>
        <w:pStyle w:val="BodyText"/>
        <w:rPr>
          <w:sz w:val="20"/>
        </w:rPr>
      </w:pPr>
    </w:p>
    <w:p>
      <w:pPr>
        <w:pStyle w:val="BodyText"/>
        <w:rPr>
          <w:sz w:val="23"/>
        </w:rPr>
      </w:pPr>
    </w:p>
    <w:p>
      <w:pPr>
        <w:pStyle w:val="BodyText"/>
        <w:spacing w:line="247" w:lineRule="auto" w:before="73"/>
        <w:ind w:left="1270" w:right="1267"/>
        <w:jc w:val="both"/>
      </w:pPr>
      <w:r>
        <w:rPr>
          <w:color w:val="231F20"/>
        </w:rPr>
        <w:t>la captura de carbono en sus sistemas de manejo, ya que están conscientes de los beneficios</w:t>
      </w:r>
      <w:r>
        <w:rPr>
          <w:color w:val="231F20"/>
          <w:spacing w:val="-27"/>
        </w:rPr>
        <w:t> </w:t>
      </w:r>
      <w:r>
        <w:rPr>
          <w:color w:val="231F20"/>
        </w:rPr>
        <w:t>directos e indirectos que generan los bosques y están en la disposición de cambiar y modificar sus formas</w:t>
      </w:r>
      <w:r>
        <w:rPr>
          <w:color w:val="231F20"/>
          <w:spacing w:val="-22"/>
        </w:rPr>
        <w:t> </w:t>
      </w:r>
      <w:r>
        <w:rPr>
          <w:color w:val="231F20"/>
        </w:rPr>
        <w:t>de producción</w:t>
      </w:r>
      <w:r>
        <w:rPr>
          <w:color w:val="231F20"/>
          <w:spacing w:val="-9"/>
        </w:rPr>
        <w:t> </w:t>
      </w:r>
      <w:r>
        <w:rPr>
          <w:color w:val="231F20"/>
        </w:rPr>
        <w:t>y</w:t>
      </w:r>
      <w:r>
        <w:rPr>
          <w:color w:val="231F20"/>
          <w:spacing w:val="-9"/>
        </w:rPr>
        <w:t> </w:t>
      </w:r>
      <w:r>
        <w:rPr>
          <w:color w:val="231F20"/>
        </w:rPr>
        <w:t>de</w:t>
      </w:r>
      <w:r>
        <w:rPr>
          <w:color w:val="231F20"/>
          <w:spacing w:val="-9"/>
        </w:rPr>
        <w:t> </w:t>
      </w:r>
      <w:r>
        <w:rPr>
          <w:color w:val="231F20"/>
        </w:rPr>
        <w:t>hacer</w:t>
      </w:r>
      <w:r>
        <w:rPr>
          <w:color w:val="231F20"/>
          <w:spacing w:val="-9"/>
        </w:rPr>
        <w:t> </w:t>
      </w:r>
      <w:r>
        <w:rPr>
          <w:color w:val="231F20"/>
        </w:rPr>
        <w:t>lo</w:t>
      </w:r>
      <w:r>
        <w:rPr>
          <w:color w:val="231F20"/>
          <w:spacing w:val="-9"/>
        </w:rPr>
        <w:t> </w:t>
      </w:r>
      <w:r>
        <w:rPr>
          <w:color w:val="231F20"/>
        </w:rPr>
        <w:t>necesario</w:t>
      </w:r>
      <w:r>
        <w:rPr>
          <w:color w:val="231F20"/>
          <w:spacing w:val="-9"/>
        </w:rPr>
        <w:t> </w:t>
      </w:r>
      <w:r>
        <w:rPr>
          <w:color w:val="231F20"/>
        </w:rPr>
        <w:t>para</w:t>
      </w:r>
      <w:r>
        <w:rPr>
          <w:color w:val="231F20"/>
          <w:spacing w:val="-9"/>
        </w:rPr>
        <w:t> </w:t>
      </w:r>
      <w:r>
        <w:rPr>
          <w:color w:val="231F20"/>
        </w:rPr>
        <w:t>un</w:t>
      </w:r>
      <w:r>
        <w:rPr>
          <w:color w:val="231F20"/>
          <w:spacing w:val="-9"/>
        </w:rPr>
        <w:t> </w:t>
      </w:r>
      <w:r>
        <w:rPr>
          <w:color w:val="231F20"/>
        </w:rPr>
        <w:t>mejor</w:t>
      </w:r>
      <w:r>
        <w:rPr>
          <w:color w:val="231F20"/>
          <w:spacing w:val="-10"/>
        </w:rPr>
        <w:t> </w:t>
      </w:r>
      <w:r>
        <w:rPr>
          <w:color w:val="231F20"/>
        </w:rPr>
        <w:t>mantenimiento</w:t>
      </w:r>
      <w:r>
        <w:rPr>
          <w:color w:val="231F20"/>
          <w:spacing w:val="-9"/>
        </w:rPr>
        <w:t> </w:t>
      </w:r>
      <w:r>
        <w:rPr>
          <w:color w:val="231F20"/>
        </w:rPr>
        <w:t>de</w:t>
      </w:r>
      <w:r>
        <w:rPr>
          <w:color w:val="231F20"/>
          <w:spacing w:val="-9"/>
        </w:rPr>
        <w:t> </w:t>
      </w:r>
      <w:r>
        <w:rPr>
          <w:color w:val="231F20"/>
        </w:rPr>
        <w:t>sus</w:t>
      </w:r>
      <w:r>
        <w:rPr>
          <w:color w:val="231F20"/>
          <w:spacing w:val="-9"/>
        </w:rPr>
        <w:t> </w:t>
      </w:r>
      <w:r>
        <w:rPr>
          <w:color w:val="231F20"/>
        </w:rPr>
        <w:t>recursos.</w:t>
      </w:r>
      <w:r>
        <w:rPr>
          <w:color w:val="231F20"/>
          <w:spacing w:val="-9"/>
        </w:rPr>
        <w:t> </w:t>
      </w:r>
      <w:r>
        <w:rPr>
          <w:color w:val="231F20"/>
        </w:rPr>
        <w:t>Finalmente,</w:t>
      </w:r>
      <w:r>
        <w:rPr>
          <w:color w:val="231F20"/>
          <w:spacing w:val="-9"/>
        </w:rPr>
        <w:t> </w:t>
      </w:r>
      <w:r>
        <w:rPr>
          <w:color w:val="231F20"/>
        </w:rPr>
        <w:t>la</w:t>
      </w:r>
      <w:r>
        <w:rPr>
          <w:color w:val="231F20"/>
          <w:spacing w:val="-9"/>
        </w:rPr>
        <w:t> </w:t>
      </w:r>
      <w:r>
        <w:rPr>
          <w:color w:val="231F20"/>
        </w:rPr>
        <w:t>cap- tura</w:t>
      </w:r>
      <w:r>
        <w:rPr>
          <w:color w:val="231F20"/>
          <w:spacing w:val="-5"/>
        </w:rPr>
        <w:t> </w:t>
      </w:r>
      <w:r>
        <w:rPr>
          <w:color w:val="231F20"/>
        </w:rPr>
        <w:t>de</w:t>
      </w:r>
      <w:r>
        <w:rPr>
          <w:color w:val="231F20"/>
          <w:spacing w:val="-5"/>
        </w:rPr>
        <w:t> </w:t>
      </w:r>
      <w:r>
        <w:rPr>
          <w:color w:val="231F20"/>
        </w:rPr>
        <w:t>carbono</w:t>
      </w:r>
      <w:r>
        <w:rPr>
          <w:color w:val="231F20"/>
          <w:spacing w:val="-5"/>
        </w:rPr>
        <w:t> </w:t>
      </w:r>
      <w:r>
        <w:rPr>
          <w:color w:val="231F20"/>
        </w:rPr>
        <w:t>es</w:t>
      </w:r>
      <w:r>
        <w:rPr>
          <w:color w:val="231F20"/>
          <w:spacing w:val="-5"/>
        </w:rPr>
        <w:t> </w:t>
      </w:r>
      <w:r>
        <w:rPr>
          <w:color w:val="231F20"/>
        </w:rPr>
        <w:t>uno</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mecanismos</w:t>
      </w:r>
      <w:r>
        <w:rPr>
          <w:color w:val="231F20"/>
          <w:spacing w:val="-5"/>
        </w:rPr>
        <w:t> </w:t>
      </w:r>
      <w:r>
        <w:rPr>
          <w:color w:val="231F20"/>
        </w:rPr>
        <w:t>que</w:t>
      </w:r>
      <w:r>
        <w:rPr>
          <w:color w:val="231F20"/>
          <w:spacing w:val="-5"/>
        </w:rPr>
        <w:t> </w:t>
      </w:r>
      <w:r>
        <w:rPr>
          <w:color w:val="231F20"/>
        </w:rPr>
        <w:t>pueden</w:t>
      </w:r>
      <w:r>
        <w:rPr>
          <w:color w:val="231F20"/>
          <w:spacing w:val="-5"/>
        </w:rPr>
        <w:t> </w:t>
      </w:r>
      <w:r>
        <w:rPr>
          <w:color w:val="231F20"/>
        </w:rPr>
        <w:t>utilizarse</w:t>
      </w:r>
      <w:r>
        <w:rPr>
          <w:color w:val="231F20"/>
          <w:spacing w:val="-5"/>
        </w:rPr>
        <w:t> </w:t>
      </w:r>
      <w:r>
        <w:rPr>
          <w:color w:val="231F20"/>
        </w:rPr>
        <w:t>a</w:t>
      </w:r>
      <w:r>
        <w:rPr>
          <w:color w:val="231F20"/>
          <w:spacing w:val="-5"/>
        </w:rPr>
        <w:t> </w:t>
      </w:r>
      <w:r>
        <w:rPr>
          <w:color w:val="231F20"/>
        </w:rPr>
        <w:t>nivel</w:t>
      </w:r>
      <w:r>
        <w:rPr>
          <w:color w:val="231F20"/>
          <w:spacing w:val="-5"/>
        </w:rPr>
        <w:t> </w:t>
      </w:r>
      <w:r>
        <w:rPr>
          <w:color w:val="231F20"/>
        </w:rPr>
        <w:t>internacional</w:t>
      </w:r>
      <w:r>
        <w:rPr>
          <w:color w:val="231F20"/>
          <w:spacing w:val="-5"/>
        </w:rPr>
        <w:t> </w:t>
      </w:r>
      <w:r>
        <w:rPr>
          <w:color w:val="231F20"/>
        </w:rPr>
        <w:t>para</w:t>
      </w:r>
      <w:r>
        <w:rPr>
          <w:color w:val="231F20"/>
          <w:spacing w:val="-5"/>
        </w:rPr>
        <w:t> </w:t>
      </w:r>
      <w:r>
        <w:rPr>
          <w:color w:val="231F20"/>
        </w:rPr>
        <w:t>promover un</w:t>
      </w:r>
      <w:r>
        <w:rPr>
          <w:color w:val="231F20"/>
          <w:spacing w:val="-4"/>
        </w:rPr>
        <w:t> </w:t>
      </w:r>
      <w:r>
        <w:rPr>
          <w:color w:val="231F20"/>
        </w:rPr>
        <w:t>mejor</w:t>
      </w:r>
      <w:r>
        <w:rPr>
          <w:color w:val="231F20"/>
          <w:spacing w:val="-4"/>
        </w:rPr>
        <w:t> </w:t>
      </w:r>
      <w:r>
        <w:rPr>
          <w:color w:val="231F20"/>
        </w:rPr>
        <w:t>manejo</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recursos</w:t>
      </w:r>
      <w:r>
        <w:rPr>
          <w:color w:val="231F20"/>
          <w:spacing w:val="-4"/>
        </w:rPr>
        <w:t> </w:t>
      </w:r>
      <w:r>
        <w:rPr>
          <w:color w:val="231F20"/>
        </w:rPr>
        <w:t>naturales</w:t>
      </w:r>
      <w:r>
        <w:rPr>
          <w:color w:val="231F20"/>
          <w:spacing w:val="-4"/>
        </w:rPr>
        <w:t> </w:t>
      </w:r>
      <w:r>
        <w:rPr>
          <w:color w:val="231F20"/>
        </w:rPr>
        <w:t>y</w:t>
      </w:r>
      <w:r>
        <w:rPr>
          <w:color w:val="231F20"/>
          <w:spacing w:val="-4"/>
        </w:rPr>
        <w:t> </w:t>
      </w:r>
      <w:r>
        <w:rPr>
          <w:color w:val="231F20"/>
        </w:rPr>
        <w:t>que</w:t>
      </w:r>
      <w:r>
        <w:rPr>
          <w:color w:val="231F20"/>
          <w:spacing w:val="-4"/>
        </w:rPr>
        <w:t> </w:t>
      </w:r>
      <w:r>
        <w:rPr>
          <w:color w:val="231F20"/>
        </w:rPr>
        <w:t>esto</w:t>
      </w:r>
      <w:r>
        <w:rPr>
          <w:color w:val="231F20"/>
          <w:spacing w:val="-4"/>
        </w:rPr>
        <w:t> </w:t>
      </w:r>
      <w:r>
        <w:rPr>
          <w:color w:val="231F20"/>
        </w:rPr>
        <w:t>sea</w:t>
      </w:r>
      <w:r>
        <w:rPr>
          <w:color w:val="231F20"/>
          <w:spacing w:val="-4"/>
        </w:rPr>
        <w:t> </w:t>
      </w:r>
      <w:r>
        <w:rPr>
          <w:color w:val="231F20"/>
        </w:rPr>
        <w:t>apreciado</w:t>
      </w:r>
      <w:r>
        <w:rPr>
          <w:color w:val="231F20"/>
          <w:spacing w:val="-5"/>
        </w:rPr>
        <w:t> </w:t>
      </w:r>
      <w:r>
        <w:rPr>
          <w:color w:val="231F20"/>
        </w:rPr>
        <w:t>por</w:t>
      </w:r>
      <w:r>
        <w:rPr>
          <w:color w:val="231F20"/>
          <w:spacing w:val="-4"/>
        </w:rPr>
        <w:t> </w:t>
      </w:r>
      <w:r>
        <w:rPr>
          <w:color w:val="231F20"/>
        </w:rPr>
        <w:t>los</w:t>
      </w:r>
      <w:r>
        <w:rPr>
          <w:color w:val="231F20"/>
          <w:spacing w:val="-4"/>
        </w:rPr>
        <w:t> </w:t>
      </w:r>
      <w:r>
        <w:rPr>
          <w:color w:val="231F20"/>
        </w:rPr>
        <w:t>consumidores</w:t>
      </w:r>
      <w:r>
        <w:rPr>
          <w:color w:val="231F20"/>
          <w:spacing w:val="-5"/>
        </w:rPr>
        <w:t> </w:t>
      </w:r>
      <w:r>
        <w:rPr>
          <w:color w:val="231F20"/>
        </w:rPr>
        <w:t>a</w:t>
      </w:r>
      <w:r>
        <w:rPr>
          <w:color w:val="231F20"/>
          <w:spacing w:val="-4"/>
        </w:rPr>
        <w:t> </w:t>
      </w:r>
      <w:r>
        <w:rPr>
          <w:color w:val="231F20"/>
        </w:rPr>
        <w:t>través</w:t>
      </w:r>
      <w:r>
        <w:rPr>
          <w:color w:val="231F20"/>
          <w:spacing w:val="-5"/>
        </w:rPr>
        <w:t> </w:t>
      </w:r>
      <w:r>
        <w:rPr>
          <w:color w:val="231F20"/>
        </w:rPr>
        <w:t>de un recurso económico de apoyo a los productores que puede contribuir en mejorar sus condiciones de vida, en este caso, en San Vicente </w:t>
      </w:r>
      <w:r>
        <w:rPr>
          <w:color w:val="231F20"/>
          <w:spacing w:val="-4"/>
        </w:rPr>
        <w:t>Yogondoy, </w:t>
      </w:r>
      <w:r>
        <w:rPr>
          <w:color w:val="231F20"/>
        </w:rPr>
        <w:t>una comunidad Loxicha enclavada en la Sierra Sur de</w:t>
      </w:r>
      <w:r>
        <w:rPr>
          <w:color w:val="231F20"/>
          <w:spacing w:val="-7"/>
        </w:rPr>
        <w:t> </w:t>
      </w:r>
      <w:r>
        <w:rPr>
          <w:color w:val="231F20"/>
        </w:rPr>
        <w:t>Oaxaca.</w:t>
      </w:r>
    </w:p>
    <w:p>
      <w:pPr>
        <w:pStyle w:val="BodyText"/>
        <w:spacing w:before="9"/>
        <w:rPr>
          <w:sz w:val="22"/>
        </w:rPr>
      </w:pPr>
    </w:p>
    <w:p>
      <w:pPr>
        <w:pStyle w:val="Heading3"/>
      </w:pPr>
      <w:r>
        <w:rPr>
          <w:color w:val="010202"/>
        </w:rPr>
        <w:t>Literatura citada</w:t>
      </w:r>
    </w:p>
    <w:p>
      <w:pPr>
        <w:pStyle w:val="BodyText"/>
        <w:spacing w:before="7"/>
        <w:rPr>
          <w:b/>
        </w:rPr>
      </w:pPr>
    </w:p>
    <w:p>
      <w:pPr>
        <w:spacing w:line="249" w:lineRule="auto" w:before="0"/>
        <w:ind w:left="1270" w:right="1268" w:firstLine="0"/>
        <w:jc w:val="both"/>
        <w:rPr>
          <w:sz w:val="19"/>
        </w:rPr>
      </w:pPr>
      <w:r>
        <w:rPr>
          <w:color w:val="231F20"/>
          <w:sz w:val="19"/>
        </w:rPr>
        <w:t>Guigon, </w:t>
      </w:r>
      <w:r>
        <w:rPr>
          <w:color w:val="231F20"/>
          <w:spacing w:val="-11"/>
          <w:sz w:val="19"/>
        </w:rPr>
        <w:t>P. </w:t>
      </w:r>
      <w:r>
        <w:rPr>
          <w:color w:val="231F20"/>
          <w:sz w:val="19"/>
        </w:rPr>
        <w:t>2010. </w:t>
      </w:r>
      <w:r>
        <w:rPr>
          <w:color w:val="231F20"/>
          <w:spacing w:val="-3"/>
          <w:sz w:val="19"/>
        </w:rPr>
        <w:t>Voluntary </w:t>
      </w:r>
      <w:r>
        <w:rPr>
          <w:color w:val="231F20"/>
          <w:sz w:val="19"/>
        </w:rPr>
        <w:t>Carbon Markets; How Can They Serve Climate Change Policies. OECD Environ- mental </w:t>
      </w:r>
      <w:r>
        <w:rPr>
          <w:color w:val="231F20"/>
          <w:spacing w:val="-3"/>
          <w:sz w:val="19"/>
        </w:rPr>
        <w:t>Working </w:t>
      </w:r>
      <w:r>
        <w:rPr>
          <w:color w:val="231F20"/>
          <w:sz w:val="19"/>
        </w:rPr>
        <w:t>Paper No. 19. OECD publishing. Estados Unidos.</w:t>
      </w:r>
    </w:p>
    <w:p>
      <w:pPr>
        <w:pStyle w:val="BodyText"/>
        <w:spacing w:before="10"/>
        <w:rPr>
          <w:sz w:val="19"/>
        </w:rPr>
      </w:pPr>
    </w:p>
    <w:p>
      <w:pPr>
        <w:spacing w:line="249" w:lineRule="auto" w:before="0"/>
        <w:ind w:left="1270" w:right="1268" w:firstLine="0"/>
        <w:jc w:val="both"/>
        <w:rPr>
          <w:sz w:val="19"/>
        </w:rPr>
      </w:pPr>
      <w:r>
        <w:rPr>
          <w:color w:val="231F20"/>
          <w:sz w:val="19"/>
        </w:rPr>
        <w:t>López</w:t>
      </w:r>
      <w:r>
        <w:rPr>
          <w:color w:val="231F20"/>
          <w:spacing w:val="-4"/>
          <w:sz w:val="19"/>
        </w:rPr>
        <w:t> </w:t>
      </w:r>
      <w:r>
        <w:rPr>
          <w:color w:val="231F20"/>
          <w:sz w:val="19"/>
        </w:rPr>
        <w:t>L.</w:t>
      </w:r>
      <w:r>
        <w:rPr>
          <w:color w:val="231F20"/>
          <w:spacing w:val="-7"/>
          <w:sz w:val="19"/>
        </w:rPr>
        <w:t> </w:t>
      </w:r>
      <w:r>
        <w:rPr>
          <w:color w:val="231F20"/>
          <w:spacing w:val="-13"/>
          <w:sz w:val="19"/>
        </w:rPr>
        <w:t>V.</w:t>
      </w:r>
      <w:r>
        <w:rPr>
          <w:color w:val="231F20"/>
          <w:spacing w:val="-3"/>
          <w:sz w:val="19"/>
        </w:rPr>
        <w:t> </w:t>
      </w:r>
      <w:r>
        <w:rPr>
          <w:color w:val="231F20"/>
          <w:sz w:val="19"/>
        </w:rPr>
        <w:t>M.</w:t>
      </w:r>
      <w:r>
        <w:rPr>
          <w:color w:val="231F20"/>
          <w:spacing w:val="-3"/>
          <w:sz w:val="19"/>
        </w:rPr>
        <w:t> </w:t>
      </w:r>
      <w:r>
        <w:rPr>
          <w:color w:val="231F20"/>
          <w:sz w:val="19"/>
        </w:rPr>
        <w:t>2009.</w:t>
      </w:r>
      <w:r>
        <w:rPr>
          <w:color w:val="231F20"/>
          <w:spacing w:val="-3"/>
          <w:sz w:val="19"/>
        </w:rPr>
        <w:t> </w:t>
      </w:r>
      <w:r>
        <w:rPr>
          <w:color w:val="231F20"/>
          <w:sz w:val="19"/>
        </w:rPr>
        <w:t>Cambio</w:t>
      </w:r>
      <w:r>
        <w:rPr>
          <w:color w:val="231F20"/>
          <w:spacing w:val="-3"/>
          <w:sz w:val="19"/>
        </w:rPr>
        <w:t> </w:t>
      </w:r>
      <w:r>
        <w:rPr>
          <w:color w:val="231F20"/>
          <w:sz w:val="19"/>
        </w:rPr>
        <w:t>climático</w:t>
      </w:r>
      <w:r>
        <w:rPr>
          <w:color w:val="231F20"/>
          <w:spacing w:val="-4"/>
          <w:sz w:val="19"/>
        </w:rPr>
        <w:t> </w:t>
      </w:r>
      <w:r>
        <w:rPr>
          <w:color w:val="231F20"/>
          <w:sz w:val="19"/>
        </w:rPr>
        <w:t>y</w:t>
      </w:r>
      <w:r>
        <w:rPr>
          <w:color w:val="231F20"/>
          <w:spacing w:val="-3"/>
          <w:sz w:val="19"/>
        </w:rPr>
        <w:t> </w:t>
      </w:r>
      <w:r>
        <w:rPr>
          <w:color w:val="231F20"/>
          <w:sz w:val="19"/>
        </w:rPr>
        <w:t>calentamiento</w:t>
      </w:r>
      <w:r>
        <w:rPr>
          <w:color w:val="231F20"/>
          <w:spacing w:val="-4"/>
          <w:sz w:val="19"/>
        </w:rPr>
        <w:t> </w:t>
      </w:r>
      <w:r>
        <w:rPr>
          <w:color w:val="231F20"/>
          <w:sz w:val="19"/>
        </w:rPr>
        <w:t>global.</w:t>
      </w:r>
      <w:r>
        <w:rPr>
          <w:color w:val="231F20"/>
          <w:spacing w:val="-3"/>
          <w:sz w:val="19"/>
        </w:rPr>
        <w:t> </w:t>
      </w:r>
      <w:r>
        <w:rPr>
          <w:color w:val="231F20"/>
          <w:sz w:val="19"/>
        </w:rPr>
        <w:t>Ciencia,</w:t>
      </w:r>
      <w:r>
        <w:rPr>
          <w:color w:val="231F20"/>
          <w:spacing w:val="-3"/>
          <w:sz w:val="19"/>
        </w:rPr>
        <w:t> </w:t>
      </w:r>
      <w:r>
        <w:rPr>
          <w:color w:val="231F20"/>
          <w:sz w:val="19"/>
        </w:rPr>
        <w:t>evidencias,</w:t>
      </w:r>
      <w:r>
        <w:rPr>
          <w:color w:val="231F20"/>
          <w:spacing w:val="-4"/>
          <w:sz w:val="19"/>
        </w:rPr>
        <w:t> </w:t>
      </w:r>
      <w:r>
        <w:rPr>
          <w:color w:val="231F20"/>
          <w:sz w:val="19"/>
        </w:rPr>
        <w:t>consecuencias</w:t>
      </w:r>
      <w:r>
        <w:rPr>
          <w:color w:val="231F20"/>
          <w:spacing w:val="-4"/>
          <w:sz w:val="19"/>
        </w:rPr>
        <w:t> </w:t>
      </w:r>
      <w:r>
        <w:rPr>
          <w:color w:val="231F20"/>
          <w:sz w:val="19"/>
        </w:rPr>
        <w:t>y</w:t>
      </w:r>
      <w:r>
        <w:rPr>
          <w:color w:val="231F20"/>
          <w:spacing w:val="-3"/>
          <w:sz w:val="19"/>
        </w:rPr>
        <w:t> </w:t>
      </w:r>
      <w:r>
        <w:rPr>
          <w:color w:val="231F20"/>
          <w:sz w:val="19"/>
        </w:rPr>
        <w:t>propues- tas para enfrentarlos. Editorial Trillas.</w:t>
      </w:r>
      <w:r>
        <w:rPr>
          <w:color w:val="231F20"/>
          <w:spacing w:val="-21"/>
          <w:sz w:val="19"/>
        </w:rPr>
        <w:t> </w:t>
      </w:r>
      <w:r>
        <w:rPr>
          <w:color w:val="231F20"/>
          <w:sz w:val="19"/>
        </w:rPr>
        <w:t>México.</w:t>
      </w:r>
    </w:p>
    <w:p>
      <w:pPr>
        <w:pStyle w:val="BodyText"/>
        <w:spacing w:before="10"/>
        <w:rPr>
          <w:sz w:val="19"/>
        </w:rPr>
      </w:pPr>
    </w:p>
    <w:p>
      <w:pPr>
        <w:spacing w:line="249" w:lineRule="auto" w:before="0"/>
        <w:ind w:left="1270" w:right="1268" w:firstLine="0"/>
        <w:jc w:val="both"/>
        <w:rPr>
          <w:sz w:val="19"/>
        </w:rPr>
      </w:pPr>
      <w:r>
        <w:rPr>
          <w:color w:val="231F20"/>
          <w:sz w:val="19"/>
        </w:rPr>
        <w:t>Ordoñez</w:t>
      </w:r>
      <w:r>
        <w:rPr>
          <w:color w:val="231F20"/>
          <w:spacing w:val="-5"/>
          <w:sz w:val="19"/>
        </w:rPr>
        <w:t> </w:t>
      </w:r>
      <w:r>
        <w:rPr>
          <w:color w:val="231F20"/>
          <w:sz w:val="19"/>
        </w:rPr>
        <w:t>D.</w:t>
      </w:r>
      <w:r>
        <w:rPr>
          <w:color w:val="231F20"/>
          <w:spacing w:val="-5"/>
          <w:sz w:val="19"/>
        </w:rPr>
        <w:t> </w:t>
      </w:r>
      <w:r>
        <w:rPr>
          <w:color w:val="231F20"/>
          <w:sz w:val="19"/>
        </w:rPr>
        <w:t>J.</w:t>
      </w:r>
      <w:r>
        <w:rPr>
          <w:color w:val="231F20"/>
          <w:spacing w:val="-15"/>
          <w:sz w:val="19"/>
        </w:rPr>
        <w:t> </w:t>
      </w:r>
      <w:r>
        <w:rPr>
          <w:color w:val="231F20"/>
          <w:sz w:val="19"/>
        </w:rPr>
        <w:t>A.</w:t>
      </w:r>
      <w:r>
        <w:rPr>
          <w:color w:val="231F20"/>
          <w:spacing w:val="-5"/>
          <w:sz w:val="19"/>
        </w:rPr>
        <w:t> </w:t>
      </w:r>
      <w:r>
        <w:rPr>
          <w:color w:val="231F20"/>
          <w:sz w:val="19"/>
        </w:rPr>
        <w:t>2006.</w:t>
      </w:r>
      <w:r>
        <w:rPr>
          <w:color w:val="231F20"/>
          <w:spacing w:val="-5"/>
          <w:sz w:val="19"/>
        </w:rPr>
        <w:t> </w:t>
      </w:r>
      <w:r>
        <w:rPr>
          <w:color w:val="231F20"/>
          <w:sz w:val="19"/>
        </w:rPr>
        <w:t>Cómo</w:t>
      </w:r>
      <w:r>
        <w:rPr>
          <w:color w:val="231F20"/>
          <w:spacing w:val="-5"/>
          <w:sz w:val="19"/>
        </w:rPr>
        <w:t> </w:t>
      </w:r>
      <w:r>
        <w:rPr>
          <w:color w:val="231F20"/>
          <w:sz w:val="19"/>
        </w:rPr>
        <w:t>entender</w:t>
      </w:r>
      <w:r>
        <w:rPr>
          <w:color w:val="231F20"/>
          <w:spacing w:val="-5"/>
          <w:sz w:val="19"/>
        </w:rPr>
        <w:t> </w:t>
      </w:r>
      <w:r>
        <w:rPr>
          <w:color w:val="231F20"/>
          <w:sz w:val="19"/>
        </w:rPr>
        <w:t>el</w:t>
      </w:r>
      <w:r>
        <w:rPr>
          <w:color w:val="231F20"/>
          <w:spacing w:val="-5"/>
          <w:sz w:val="19"/>
        </w:rPr>
        <w:t> </w:t>
      </w:r>
      <w:r>
        <w:rPr>
          <w:color w:val="231F20"/>
          <w:sz w:val="19"/>
        </w:rPr>
        <w:t>manejo</w:t>
      </w:r>
      <w:r>
        <w:rPr>
          <w:color w:val="231F20"/>
          <w:spacing w:val="-5"/>
          <w:sz w:val="19"/>
        </w:rPr>
        <w:t> </w:t>
      </w:r>
      <w:r>
        <w:rPr>
          <w:color w:val="231F20"/>
          <w:sz w:val="19"/>
        </w:rPr>
        <w:t>forestal,</w:t>
      </w:r>
      <w:r>
        <w:rPr>
          <w:color w:val="231F20"/>
          <w:spacing w:val="-5"/>
          <w:sz w:val="19"/>
        </w:rPr>
        <w:t> </w:t>
      </w:r>
      <w:r>
        <w:rPr>
          <w:color w:val="231F20"/>
          <w:sz w:val="19"/>
        </w:rPr>
        <w:t>la</w:t>
      </w:r>
      <w:r>
        <w:rPr>
          <w:color w:val="231F20"/>
          <w:spacing w:val="-5"/>
          <w:sz w:val="19"/>
        </w:rPr>
        <w:t> </w:t>
      </w:r>
      <w:r>
        <w:rPr>
          <w:color w:val="231F20"/>
          <w:sz w:val="19"/>
        </w:rPr>
        <w:t>captura</w:t>
      </w:r>
      <w:r>
        <w:rPr>
          <w:color w:val="231F20"/>
          <w:spacing w:val="-5"/>
          <w:sz w:val="19"/>
        </w:rPr>
        <w:t> </w:t>
      </w:r>
      <w:r>
        <w:rPr>
          <w:color w:val="231F20"/>
          <w:sz w:val="19"/>
        </w:rPr>
        <w:t>de</w:t>
      </w:r>
      <w:r>
        <w:rPr>
          <w:color w:val="231F20"/>
          <w:spacing w:val="-5"/>
          <w:sz w:val="19"/>
        </w:rPr>
        <w:t> </w:t>
      </w:r>
      <w:r>
        <w:rPr>
          <w:color w:val="231F20"/>
          <w:sz w:val="19"/>
        </w:rPr>
        <w:t>carbono</w:t>
      </w:r>
      <w:r>
        <w:rPr>
          <w:color w:val="231F20"/>
          <w:spacing w:val="-5"/>
          <w:sz w:val="19"/>
        </w:rPr>
        <w:t> </w:t>
      </w:r>
      <w:r>
        <w:rPr>
          <w:color w:val="231F20"/>
          <w:sz w:val="19"/>
        </w:rPr>
        <w:t>y</w:t>
      </w:r>
      <w:r>
        <w:rPr>
          <w:color w:val="231F20"/>
          <w:spacing w:val="-5"/>
          <w:sz w:val="19"/>
        </w:rPr>
        <w:t> </w:t>
      </w:r>
      <w:r>
        <w:rPr>
          <w:color w:val="231F20"/>
          <w:sz w:val="19"/>
        </w:rPr>
        <w:t>el</w:t>
      </w:r>
      <w:r>
        <w:rPr>
          <w:color w:val="231F20"/>
          <w:spacing w:val="-5"/>
          <w:sz w:val="19"/>
        </w:rPr>
        <w:t> </w:t>
      </w:r>
      <w:r>
        <w:rPr>
          <w:color w:val="231F20"/>
          <w:sz w:val="19"/>
        </w:rPr>
        <w:t>pago</w:t>
      </w:r>
      <w:r>
        <w:rPr>
          <w:color w:val="231F20"/>
          <w:spacing w:val="-5"/>
          <w:sz w:val="19"/>
        </w:rPr>
        <w:t> </w:t>
      </w:r>
      <w:r>
        <w:rPr>
          <w:color w:val="231F20"/>
          <w:sz w:val="19"/>
        </w:rPr>
        <w:t>de</w:t>
      </w:r>
      <w:r>
        <w:rPr>
          <w:color w:val="231F20"/>
          <w:spacing w:val="-5"/>
          <w:sz w:val="19"/>
        </w:rPr>
        <w:t> </w:t>
      </w:r>
      <w:r>
        <w:rPr>
          <w:color w:val="231F20"/>
          <w:sz w:val="19"/>
        </w:rPr>
        <w:t>servicios</w:t>
      </w:r>
      <w:r>
        <w:rPr>
          <w:color w:val="231F20"/>
          <w:spacing w:val="-5"/>
          <w:sz w:val="19"/>
        </w:rPr>
        <w:t> </w:t>
      </w:r>
      <w:r>
        <w:rPr>
          <w:color w:val="231F20"/>
          <w:sz w:val="19"/>
        </w:rPr>
        <w:t>ambien- tales. En: Ciencias. 90:</w:t>
      </w:r>
      <w:r>
        <w:rPr>
          <w:color w:val="231F20"/>
          <w:spacing w:val="-2"/>
          <w:sz w:val="19"/>
        </w:rPr>
        <w:t> </w:t>
      </w:r>
      <w:r>
        <w:rPr>
          <w:color w:val="231F20"/>
          <w:sz w:val="19"/>
        </w:rPr>
        <w:t>36-42.</w:t>
      </w:r>
    </w:p>
    <w:p>
      <w:pPr>
        <w:pStyle w:val="BodyText"/>
        <w:spacing w:before="10"/>
        <w:rPr>
          <w:sz w:val="19"/>
        </w:rPr>
      </w:pPr>
    </w:p>
    <w:p>
      <w:pPr>
        <w:spacing w:line="249" w:lineRule="auto" w:before="0"/>
        <w:ind w:left="1270" w:right="1268" w:firstLine="0"/>
        <w:jc w:val="both"/>
        <w:rPr>
          <w:sz w:val="19"/>
        </w:rPr>
      </w:pPr>
      <w:r>
        <w:rPr>
          <w:color w:val="231F20"/>
          <w:sz w:val="19"/>
        </w:rPr>
        <w:t>Ordóñez. J. A. B. y Masera. O. 2001. La captura de carbono ante el cambio climático. Madera y Bosques 7(1):3-12.</w:t>
      </w:r>
    </w:p>
    <w:p>
      <w:pPr>
        <w:pStyle w:val="BodyText"/>
        <w:spacing w:before="10"/>
        <w:rPr>
          <w:sz w:val="19"/>
        </w:rPr>
      </w:pPr>
    </w:p>
    <w:p>
      <w:pPr>
        <w:spacing w:line="249" w:lineRule="auto" w:before="0"/>
        <w:ind w:left="1270" w:right="1268" w:firstLine="0"/>
        <w:jc w:val="both"/>
        <w:rPr>
          <w:sz w:val="19"/>
        </w:rPr>
      </w:pPr>
      <w:r>
        <w:rPr>
          <w:color w:val="231F20"/>
          <w:sz w:val="19"/>
        </w:rPr>
        <w:t>Ponce-Hernández,</w:t>
      </w:r>
      <w:r>
        <w:rPr>
          <w:color w:val="231F20"/>
          <w:spacing w:val="-11"/>
          <w:sz w:val="19"/>
        </w:rPr>
        <w:t> </w:t>
      </w:r>
      <w:r>
        <w:rPr>
          <w:color w:val="231F20"/>
          <w:sz w:val="19"/>
        </w:rPr>
        <w:t>R</w:t>
      </w:r>
      <w:r>
        <w:rPr>
          <w:color w:val="231F20"/>
          <w:spacing w:val="-12"/>
          <w:sz w:val="19"/>
        </w:rPr>
        <w:t> </w:t>
      </w:r>
      <w:r>
        <w:rPr>
          <w:color w:val="231F20"/>
          <w:sz w:val="19"/>
        </w:rPr>
        <w:t>(2004).</w:t>
      </w:r>
      <w:r>
        <w:rPr>
          <w:color w:val="231F20"/>
          <w:spacing w:val="-21"/>
          <w:sz w:val="19"/>
        </w:rPr>
        <w:t> </w:t>
      </w:r>
      <w:r>
        <w:rPr>
          <w:color w:val="231F20"/>
          <w:sz w:val="19"/>
        </w:rPr>
        <w:t>Assessing</w:t>
      </w:r>
      <w:r>
        <w:rPr>
          <w:color w:val="231F20"/>
          <w:spacing w:val="-11"/>
          <w:sz w:val="19"/>
        </w:rPr>
        <w:t> </w:t>
      </w:r>
      <w:r>
        <w:rPr>
          <w:color w:val="231F20"/>
          <w:sz w:val="19"/>
        </w:rPr>
        <w:t>carbon</w:t>
      </w:r>
      <w:r>
        <w:rPr>
          <w:color w:val="231F20"/>
          <w:spacing w:val="-12"/>
          <w:sz w:val="19"/>
        </w:rPr>
        <w:t> </w:t>
      </w:r>
      <w:r>
        <w:rPr>
          <w:color w:val="231F20"/>
          <w:sz w:val="19"/>
        </w:rPr>
        <w:t>stocks</w:t>
      </w:r>
      <w:r>
        <w:rPr>
          <w:color w:val="231F20"/>
          <w:spacing w:val="-11"/>
          <w:sz w:val="19"/>
        </w:rPr>
        <w:t> </w:t>
      </w:r>
      <w:r>
        <w:rPr>
          <w:color w:val="231F20"/>
          <w:sz w:val="19"/>
        </w:rPr>
        <w:t>and</w:t>
      </w:r>
      <w:r>
        <w:rPr>
          <w:color w:val="231F20"/>
          <w:spacing w:val="-12"/>
          <w:sz w:val="19"/>
        </w:rPr>
        <w:t> </w:t>
      </w:r>
      <w:r>
        <w:rPr>
          <w:color w:val="231F20"/>
          <w:sz w:val="19"/>
        </w:rPr>
        <w:t>modelling</w:t>
      </w:r>
      <w:r>
        <w:rPr>
          <w:color w:val="231F20"/>
          <w:spacing w:val="-12"/>
          <w:sz w:val="19"/>
        </w:rPr>
        <w:t> </w:t>
      </w:r>
      <w:r>
        <w:rPr>
          <w:color w:val="231F20"/>
          <w:sz w:val="19"/>
        </w:rPr>
        <w:t>win-win</w:t>
      </w:r>
      <w:r>
        <w:rPr>
          <w:color w:val="231F20"/>
          <w:spacing w:val="-11"/>
          <w:sz w:val="19"/>
        </w:rPr>
        <w:t> </w:t>
      </w:r>
      <w:r>
        <w:rPr>
          <w:color w:val="231F20"/>
          <w:sz w:val="19"/>
        </w:rPr>
        <w:t>scenarios</w:t>
      </w:r>
      <w:r>
        <w:rPr>
          <w:color w:val="231F20"/>
          <w:spacing w:val="-11"/>
          <w:sz w:val="19"/>
        </w:rPr>
        <w:t> </w:t>
      </w:r>
      <w:r>
        <w:rPr>
          <w:color w:val="231F20"/>
          <w:sz w:val="19"/>
        </w:rPr>
        <w:t>of</w:t>
      </w:r>
      <w:r>
        <w:rPr>
          <w:color w:val="231F20"/>
          <w:spacing w:val="-12"/>
          <w:sz w:val="19"/>
        </w:rPr>
        <w:t> </w:t>
      </w:r>
      <w:r>
        <w:rPr>
          <w:color w:val="231F20"/>
          <w:sz w:val="19"/>
        </w:rPr>
        <w:t>carbon</w:t>
      </w:r>
      <w:r>
        <w:rPr>
          <w:color w:val="231F20"/>
          <w:spacing w:val="-12"/>
          <w:sz w:val="19"/>
        </w:rPr>
        <w:t> </w:t>
      </w:r>
      <w:r>
        <w:rPr>
          <w:color w:val="231F20"/>
          <w:sz w:val="19"/>
        </w:rPr>
        <w:t>sequestration through land-use changes. </w:t>
      </w:r>
      <w:r>
        <w:rPr>
          <w:color w:val="231F20"/>
          <w:spacing w:val="-5"/>
          <w:sz w:val="19"/>
        </w:rPr>
        <w:t>FAO. </w:t>
      </w:r>
      <w:r>
        <w:rPr>
          <w:color w:val="231F20"/>
          <w:sz w:val="19"/>
        </w:rPr>
        <w:t>Soils Bulletin 2004.</w:t>
      </w:r>
      <w:r>
        <w:rPr>
          <w:color w:val="231F20"/>
          <w:spacing w:val="1"/>
          <w:sz w:val="19"/>
        </w:rPr>
        <w:t> </w:t>
      </w:r>
      <w:r>
        <w:rPr>
          <w:color w:val="231F20"/>
          <w:sz w:val="19"/>
        </w:rPr>
        <w:t>Roma.</w:t>
      </w:r>
    </w:p>
    <w:p>
      <w:pPr>
        <w:pStyle w:val="BodyText"/>
        <w:spacing w:before="10"/>
        <w:rPr>
          <w:sz w:val="19"/>
        </w:rPr>
      </w:pPr>
    </w:p>
    <w:p>
      <w:pPr>
        <w:spacing w:before="0"/>
        <w:ind w:left="1270" w:right="0" w:firstLine="0"/>
        <w:jc w:val="both"/>
        <w:rPr>
          <w:sz w:val="19"/>
        </w:rPr>
      </w:pPr>
      <w:r>
        <w:rPr>
          <w:color w:val="231F20"/>
          <w:sz w:val="19"/>
        </w:rPr>
        <w:t>SEMARNAT (Secretaria de Medio Ambiente y Recursos Naturales). 2004. Cambio climático, ciencia, eviden-</w:t>
      </w:r>
    </w:p>
    <w:p>
      <w:pPr>
        <w:spacing w:before="9"/>
        <w:ind w:left="1270" w:right="0" w:firstLine="0"/>
        <w:jc w:val="both"/>
        <w:rPr>
          <w:sz w:val="19"/>
        </w:rPr>
      </w:pPr>
      <w:r>
        <w:rPr>
          <w:color w:val="231F20"/>
          <w:sz w:val="19"/>
        </w:rPr>
        <w:t>cia y acciones. México. D.F.</w:t>
      </w:r>
    </w:p>
    <w:p>
      <w:pPr>
        <w:pStyle w:val="BodyText"/>
        <w:spacing w:before="7"/>
        <w:rPr>
          <w:sz w:val="20"/>
        </w:rPr>
      </w:pPr>
    </w:p>
    <w:p>
      <w:pPr>
        <w:spacing w:line="261" w:lineRule="auto" w:before="0"/>
        <w:ind w:left="1270" w:right="1268" w:firstLine="0"/>
        <w:jc w:val="both"/>
        <w:rPr>
          <w:sz w:val="19"/>
        </w:rPr>
      </w:pPr>
      <w:r>
        <w:rPr>
          <w:color w:val="231F20"/>
          <w:sz w:val="19"/>
        </w:rPr>
        <w:t>South Pole, 2009. Desarrollo limpio. Una introducción a los mercados de crédito de carbono y al Mecanismo de Desarrollo Limpio. España. Consultada 31 de enero de 2012. Disponible en </w:t>
      </w:r>
      <w:hyperlink r:id="rId119">
        <w:r>
          <w:rPr>
            <w:color w:val="231F20"/>
            <w:sz w:val="19"/>
          </w:rPr>
          <w:t>www.nrg4sd.org/sites/default/</w:t>
        </w:r>
      </w:hyperlink>
      <w:r>
        <w:rPr>
          <w:color w:val="231F20"/>
          <w:sz w:val="19"/>
        </w:rPr>
        <w:t> files/.../guia-desarrollo-limpio.pdf</w:t>
      </w:r>
    </w:p>
    <w:p>
      <w:pPr>
        <w:spacing w:after="0" w:line="261" w:lineRule="auto"/>
        <w:jc w:val="both"/>
        <w:rPr>
          <w:sz w:val="19"/>
        </w:rPr>
        <w:sectPr>
          <w:pgSz w:w="10920" w:h="13080"/>
          <w:pgMar w:header="0" w:footer="965" w:top="420" w:bottom="1220" w:left="0" w:right="0"/>
        </w:sectPr>
      </w:pPr>
    </w:p>
    <w:p>
      <w:pPr>
        <w:pStyle w:val="BodyText"/>
        <w:rPr>
          <w:sz w:val="20"/>
        </w:rPr>
      </w:pPr>
    </w:p>
    <w:p>
      <w:pPr>
        <w:pStyle w:val="BodyText"/>
        <w:rPr>
          <w:sz w:val="20"/>
        </w:rPr>
      </w:pPr>
    </w:p>
    <w:p>
      <w:pPr>
        <w:pStyle w:val="BodyText"/>
        <w:spacing w:before="6"/>
        <w:rPr>
          <w:sz w:val="23"/>
        </w:rPr>
      </w:pPr>
    </w:p>
    <w:p>
      <w:pPr>
        <w:spacing w:line="247" w:lineRule="auto" w:before="69"/>
        <w:ind w:left="2811" w:right="2808" w:firstLine="0"/>
        <w:jc w:val="center"/>
        <w:rPr>
          <w:rFonts w:ascii="Trebuchet MS" w:hAnsi="Trebuchet MS"/>
          <w:i/>
          <w:sz w:val="14"/>
        </w:rPr>
      </w:pPr>
      <w:r>
        <w:rPr>
          <w:rFonts w:ascii="Trebuchet MS" w:hAnsi="Trebuchet MS"/>
          <w:i/>
          <w:color w:val="010202"/>
          <w:sz w:val="24"/>
        </w:rPr>
        <w:t>Mario Castelán Lorenzo, Georgina Flores Escobar </w:t>
      </w:r>
      <w:r>
        <w:rPr>
          <w:rFonts w:ascii="Trebuchet MS" w:hAnsi="Trebuchet MS"/>
          <w:i/>
          <w:color w:val="010202"/>
          <w:sz w:val="24"/>
        </w:rPr>
        <w:t>y Aurelio Bastida Tapia</w:t>
      </w:r>
      <w:r>
        <w:rPr>
          <w:rFonts w:ascii="Trebuchet MS" w:hAnsi="Trebuchet MS"/>
          <w:i/>
          <w:color w:val="010202"/>
          <w:position w:val="8"/>
          <w:sz w:val="14"/>
        </w:rPr>
        <w:t>1</w:t>
      </w: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spacing w:before="7"/>
        <w:rPr>
          <w:rFonts w:ascii="Trebuchet MS"/>
          <w:i/>
          <w:sz w:val="31"/>
        </w:rPr>
      </w:pPr>
    </w:p>
    <w:p>
      <w:pPr>
        <w:spacing w:line="247" w:lineRule="auto" w:before="0"/>
        <w:ind w:left="2639" w:right="2637" w:firstLine="0"/>
        <w:jc w:val="center"/>
        <w:rPr>
          <w:rFonts w:ascii="Trebuchet MS" w:hAnsi="Trebuchet MS"/>
          <w:b/>
          <w:sz w:val="36"/>
        </w:rPr>
      </w:pPr>
      <w:r>
        <w:rPr>
          <w:rFonts w:ascii="Trebuchet MS" w:hAnsi="Trebuchet MS"/>
          <w:b/>
          <w:color w:val="010202"/>
          <w:sz w:val="36"/>
        </w:rPr>
        <w:t>LOS ENCINOS DEL ÁREA DE INFLUENCIA DEL PROYECTO</w:t>
      </w:r>
    </w:p>
    <w:p>
      <w:pPr>
        <w:spacing w:line="247" w:lineRule="auto" w:before="1"/>
        <w:ind w:left="2639" w:right="2617" w:firstLine="0"/>
        <w:jc w:val="center"/>
        <w:rPr>
          <w:rFonts w:ascii="Trebuchet MS" w:hAnsi="Trebuchet MS"/>
          <w:b/>
          <w:sz w:val="36"/>
        </w:rPr>
      </w:pPr>
      <w:r>
        <w:rPr>
          <w:rFonts w:ascii="Trebuchet MS" w:hAnsi="Trebuchet MS"/>
          <w:b/>
          <w:color w:val="010202"/>
          <w:sz w:val="36"/>
        </w:rPr>
        <w:t>DE CONSTRUCCIÓN DE LA PRESA EL REALITO, SAN LUIS POTOSÍ</w:t>
      </w: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19"/>
        </w:rPr>
      </w:pPr>
    </w:p>
    <w:p>
      <w:pPr>
        <w:spacing w:before="69"/>
        <w:ind w:left="1270" w:right="0" w:firstLine="0"/>
        <w:jc w:val="both"/>
        <w:rPr>
          <w:b/>
          <w:sz w:val="24"/>
        </w:rPr>
      </w:pPr>
      <w:r>
        <w:rPr>
          <w:b/>
          <w:color w:val="010202"/>
          <w:sz w:val="24"/>
        </w:rPr>
        <w:t>Introducción</w:t>
      </w:r>
    </w:p>
    <w:p>
      <w:pPr>
        <w:pStyle w:val="BodyText"/>
        <w:spacing w:before="10"/>
        <w:rPr>
          <w:b/>
        </w:rPr>
      </w:pPr>
    </w:p>
    <w:p>
      <w:pPr>
        <w:pStyle w:val="BodyText"/>
        <w:spacing w:line="247" w:lineRule="auto"/>
        <w:ind w:left="1270" w:right="1267"/>
        <w:jc w:val="both"/>
      </w:pPr>
      <w:r>
        <w:rPr>
          <w:color w:val="231F20"/>
        </w:rPr>
        <w:t>En México se cuenta con alrededor de 170 especies de encinos, entre encinos blancos y rojos, ocu- pando una gran variedad de condiciones ambientales alrededor de su área de distribución natural. Ello</w:t>
      </w:r>
      <w:r>
        <w:rPr>
          <w:color w:val="231F20"/>
          <w:spacing w:val="-9"/>
        </w:rPr>
        <w:t> </w:t>
      </w:r>
      <w:r>
        <w:rPr>
          <w:color w:val="231F20"/>
        </w:rPr>
        <w:t>hace</w:t>
      </w:r>
      <w:r>
        <w:rPr>
          <w:color w:val="231F20"/>
          <w:spacing w:val="-8"/>
        </w:rPr>
        <w:t> </w:t>
      </w:r>
      <w:r>
        <w:rPr>
          <w:color w:val="231F20"/>
        </w:rPr>
        <w:t>difícil</w:t>
      </w:r>
      <w:r>
        <w:rPr>
          <w:color w:val="231F20"/>
          <w:spacing w:val="-8"/>
        </w:rPr>
        <w:t> </w:t>
      </w:r>
      <w:r>
        <w:rPr>
          <w:color w:val="231F20"/>
        </w:rPr>
        <w:t>su</w:t>
      </w:r>
      <w:r>
        <w:rPr>
          <w:color w:val="231F20"/>
          <w:spacing w:val="-8"/>
        </w:rPr>
        <w:t> </w:t>
      </w:r>
      <w:r>
        <w:rPr>
          <w:color w:val="231F20"/>
        </w:rPr>
        <w:t>estudio</w:t>
      </w:r>
      <w:r>
        <w:rPr>
          <w:color w:val="231F20"/>
          <w:spacing w:val="-9"/>
        </w:rPr>
        <w:t> </w:t>
      </w:r>
      <w:r>
        <w:rPr>
          <w:color w:val="231F20"/>
        </w:rPr>
        <w:t>por</w:t>
      </w:r>
      <w:r>
        <w:rPr>
          <w:color w:val="231F20"/>
          <w:spacing w:val="-8"/>
        </w:rPr>
        <w:t> </w:t>
      </w:r>
      <w:r>
        <w:rPr>
          <w:color w:val="231F20"/>
        </w:rPr>
        <w:t>las</w:t>
      </w:r>
      <w:r>
        <w:rPr>
          <w:color w:val="231F20"/>
          <w:spacing w:val="-9"/>
        </w:rPr>
        <w:t> </w:t>
      </w:r>
      <w:r>
        <w:rPr>
          <w:color w:val="231F20"/>
        </w:rPr>
        <w:t>variaciones</w:t>
      </w:r>
      <w:r>
        <w:rPr>
          <w:color w:val="231F20"/>
          <w:spacing w:val="-8"/>
        </w:rPr>
        <w:t> </w:t>
      </w:r>
      <w:r>
        <w:rPr>
          <w:color w:val="231F20"/>
        </w:rPr>
        <w:t>fenotípicas</w:t>
      </w:r>
      <w:r>
        <w:rPr>
          <w:color w:val="231F20"/>
          <w:spacing w:val="-8"/>
        </w:rPr>
        <w:t> </w:t>
      </w:r>
      <w:r>
        <w:rPr>
          <w:color w:val="231F20"/>
        </w:rPr>
        <w:t>e</w:t>
      </w:r>
      <w:r>
        <w:rPr>
          <w:color w:val="231F20"/>
          <w:spacing w:val="-8"/>
        </w:rPr>
        <w:t> </w:t>
      </w:r>
      <w:r>
        <w:rPr>
          <w:color w:val="231F20"/>
        </w:rPr>
        <w:t>hibridaciones</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dan</w:t>
      </w:r>
      <w:r>
        <w:rPr>
          <w:color w:val="231F20"/>
          <w:spacing w:val="-8"/>
        </w:rPr>
        <w:t> </w:t>
      </w:r>
      <w:r>
        <w:rPr>
          <w:color w:val="231F20"/>
        </w:rPr>
        <w:t>entre</w:t>
      </w:r>
      <w:r>
        <w:rPr>
          <w:color w:val="231F20"/>
          <w:spacing w:val="-9"/>
        </w:rPr>
        <w:t> </w:t>
      </w:r>
      <w:r>
        <w:rPr>
          <w:color w:val="231F20"/>
        </w:rPr>
        <w:t>especies</w:t>
      </w:r>
      <w:r>
        <w:rPr>
          <w:color w:val="231F20"/>
          <w:spacing w:val="-9"/>
        </w:rPr>
        <w:t> </w:t>
      </w:r>
      <w:r>
        <w:rPr>
          <w:color w:val="231F20"/>
        </w:rPr>
        <w:t>y a</w:t>
      </w:r>
      <w:r>
        <w:rPr>
          <w:color w:val="231F20"/>
          <w:spacing w:val="-8"/>
        </w:rPr>
        <w:t> </w:t>
      </w:r>
      <w:r>
        <w:rPr>
          <w:color w:val="231F20"/>
        </w:rPr>
        <w:t>nivel</w:t>
      </w:r>
      <w:r>
        <w:rPr>
          <w:color w:val="231F20"/>
          <w:spacing w:val="-8"/>
        </w:rPr>
        <w:t> </w:t>
      </w:r>
      <w:r>
        <w:rPr>
          <w:color w:val="231F20"/>
        </w:rPr>
        <w:t>de</w:t>
      </w:r>
      <w:r>
        <w:rPr>
          <w:color w:val="231F20"/>
          <w:spacing w:val="-8"/>
        </w:rPr>
        <w:t> </w:t>
      </w:r>
      <w:r>
        <w:rPr>
          <w:color w:val="231F20"/>
        </w:rPr>
        <w:t>comunidades</w:t>
      </w:r>
      <w:r>
        <w:rPr>
          <w:color w:val="231F20"/>
          <w:spacing w:val="-8"/>
        </w:rPr>
        <w:t> </w:t>
      </w:r>
      <w:r>
        <w:rPr>
          <w:color w:val="231F20"/>
        </w:rPr>
        <w:t>(Zavala,</w:t>
      </w:r>
      <w:r>
        <w:rPr>
          <w:color w:val="231F20"/>
          <w:spacing w:val="-8"/>
        </w:rPr>
        <w:t> </w:t>
      </w:r>
      <w:r>
        <w:rPr>
          <w:color w:val="231F20"/>
        </w:rPr>
        <w:t>2007).</w:t>
      </w:r>
      <w:r>
        <w:rPr>
          <w:color w:val="231F20"/>
          <w:spacing w:val="-8"/>
        </w:rPr>
        <w:t> </w:t>
      </w:r>
      <w:r>
        <w:rPr>
          <w:color w:val="231F20"/>
        </w:rPr>
        <w:t>De</w:t>
      </w:r>
      <w:r>
        <w:rPr>
          <w:color w:val="231F20"/>
          <w:spacing w:val="-8"/>
        </w:rPr>
        <w:t> </w:t>
      </w:r>
      <w:r>
        <w:rPr>
          <w:color w:val="231F20"/>
        </w:rPr>
        <w:t>acuerdo</w:t>
      </w:r>
      <w:r>
        <w:rPr>
          <w:color w:val="231F20"/>
          <w:spacing w:val="-8"/>
        </w:rPr>
        <w:t> </w:t>
      </w:r>
      <w:r>
        <w:rPr>
          <w:color w:val="231F20"/>
        </w:rPr>
        <w:t>con</w:t>
      </w:r>
      <w:r>
        <w:rPr>
          <w:color w:val="231F20"/>
          <w:spacing w:val="-8"/>
        </w:rPr>
        <w:t> </w:t>
      </w:r>
      <w:r>
        <w:rPr>
          <w:color w:val="231F20"/>
        </w:rPr>
        <w:t>Rzedowski</w:t>
      </w:r>
      <w:r>
        <w:rPr>
          <w:color w:val="231F20"/>
          <w:spacing w:val="-8"/>
        </w:rPr>
        <w:t> </w:t>
      </w:r>
      <w:r>
        <w:rPr>
          <w:color w:val="231F20"/>
        </w:rPr>
        <w:t>(1978)</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Sierra</w:t>
      </w:r>
      <w:r>
        <w:rPr>
          <w:color w:val="231F20"/>
          <w:spacing w:val="-8"/>
        </w:rPr>
        <w:t> </w:t>
      </w:r>
      <w:r>
        <w:rPr>
          <w:color w:val="231F20"/>
        </w:rPr>
        <w:t>Madre</w:t>
      </w:r>
      <w:r>
        <w:rPr>
          <w:color w:val="231F20"/>
          <w:spacing w:val="-8"/>
        </w:rPr>
        <w:t> </w:t>
      </w:r>
      <w:r>
        <w:rPr>
          <w:color w:val="231F20"/>
        </w:rPr>
        <w:t>Orien- tal el género Quercus es el más dominante en cuanto a composición de la vegetación, pero también menciona</w:t>
      </w:r>
      <w:r>
        <w:rPr>
          <w:color w:val="231F20"/>
          <w:spacing w:val="-7"/>
        </w:rPr>
        <w:t> </w:t>
      </w:r>
      <w:r>
        <w:rPr>
          <w:color w:val="231F20"/>
        </w:rPr>
        <w:t>que</w:t>
      </w:r>
      <w:r>
        <w:rPr>
          <w:color w:val="231F20"/>
          <w:spacing w:val="-7"/>
        </w:rPr>
        <w:t> </w:t>
      </w:r>
      <w:r>
        <w:rPr>
          <w:color w:val="231F20"/>
        </w:rPr>
        <w:t>existe</w:t>
      </w:r>
      <w:r>
        <w:rPr>
          <w:color w:val="231F20"/>
          <w:spacing w:val="-7"/>
        </w:rPr>
        <w:t> </w:t>
      </w:r>
      <w:r>
        <w:rPr>
          <w:color w:val="231F20"/>
        </w:rPr>
        <w:t>incertidumbre</w:t>
      </w:r>
      <w:r>
        <w:rPr>
          <w:color w:val="231F20"/>
          <w:spacing w:val="-7"/>
        </w:rPr>
        <w:t> </w:t>
      </w:r>
      <w:r>
        <w:rPr>
          <w:color w:val="231F20"/>
        </w:rPr>
        <w:t>sobre</w:t>
      </w:r>
      <w:r>
        <w:rPr>
          <w:color w:val="231F20"/>
          <w:spacing w:val="-6"/>
        </w:rPr>
        <w:t> </w:t>
      </w:r>
      <w:r>
        <w:rPr>
          <w:color w:val="231F20"/>
        </w:rPr>
        <w:t>la</w:t>
      </w:r>
      <w:r>
        <w:rPr>
          <w:color w:val="231F20"/>
          <w:spacing w:val="-7"/>
        </w:rPr>
        <w:t> </w:t>
      </w:r>
      <w:r>
        <w:rPr>
          <w:color w:val="231F20"/>
        </w:rPr>
        <w:t>cantidad</w:t>
      </w:r>
      <w:r>
        <w:rPr>
          <w:color w:val="231F20"/>
          <w:spacing w:val="-7"/>
        </w:rPr>
        <w:t> </w:t>
      </w:r>
      <w:r>
        <w:rPr>
          <w:color w:val="231F20"/>
        </w:rPr>
        <w:t>de</w:t>
      </w:r>
      <w:r>
        <w:rPr>
          <w:color w:val="231F20"/>
          <w:spacing w:val="-7"/>
        </w:rPr>
        <w:t> </w:t>
      </w:r>
      <w:r>
        <w:rPr>
          <w:color w:val="231F20"/>
        </w:rPr>
        <w:t>especies</w:t>
      </w:r>
      <w:r>
        <w:rPr>
          <w:color w:val="231F20"/>
          <w:spacing w:val="-7"/>
        </w:rPr>
        <w:t> </w:t>
      </w:r>
      <w:r>
        <w:rPr>
          <w:color w:val="231F20"/>
        </w:rPr>
        <w:t>en</w:t>
      </w:r>
      <w:r>
        <w:rPr>
          <w:color w:val="231F20"/>
          <w:spacing w:val="-7"/>
        </w:rPr>
        <w:t> </w:t>
      </w:r>
      <w:r>
        <w:rPr>
          <w:color w:val="231F20"/>
        </w:rPr>
        <w:t>México.</w:t>
      </w:r>
      <w:r>
        <w:rPr>
          <w:color w:val="231F20"/>
          <w:spacing w:val="-6"/>
        </w:rPr>
        <w:t> </w:t>
      </w:r>
      <w:r>
        <w:rPr>
          <w:color w:val="231F20"/>
        </w:rPr>
        <w:t>Zavala</w:t>
      </w:r>
      <w:r>
        <w:rPr>
          <w:color w:val="231F20"/>
          <w:spacing w:val="-7"/>
        </w:rPr>
        <w:t> </w:t>
      </w:r>
      <w:r>
        <w:rPr>
          <w:color w:val="231F20"/>
        </w:rPr>
        <w:t>(1989)</w:t>
      </w:r>
      <w:r>
        <w:rPr>
          <w:color w:val="231F20"/>
          <w:spacing w:val="-7"/>
        </w:rPr>
        <w:t> </w:t>
      </w:r>
      <w:r>
        <w:rPr>
          <w:color w:val="231F20"/>
        </w:rPr>
        <w:t>señala</w:t>
      </w:r>
      <w:r>
        <w:rPr>
          <w:color w:val="231F20"/>
          <w:spacing w:val="-6"/>
        </w:rPr>
        <w:t> </w:t>
      </w:r>
      <w:r>
        <w:rPr>
          <w:color w:val="231F20"/>
        </w:rPr>
        <w:t>la poca importancia que se le ha dado, por su poco aprovechamiento, reducido e inadecuado, incluso hasta han sido desperdiciados y erradicados de algunos lugares. No obstante, Ávalos (1985) señala que en el Estado de </w:t>
      </w:r>
      <w:r>
        <w:rPr>
          <w:color w:val="231F20"/>
          <w:spacing w:val="-4"/>
        </w:rPr>
        <w:t>S.L.P., </w:t>
      </w:r>
      <w:r>
        <w:rPr>
          <w:color w:val="231F20"/>
        </w:rPr>
        <w:t>la producción maderable se basaba en el aprovechamiento de diferentes especies</w:t>
      </w:r>
      <w:r>
        <w:rPr>
          <w:color w:val="231F20"/>
          <w:spacing w:val="-10"/>
        </w:rPr>
        <w:t> </w:t>
      </w:r>
      <w:r>
        <w:rPr>
          <w:color w:val="231F20"/>
        </w:rPr>
        <w:t>de</w:t>
      </w:r>
      <w:r>
        <w:rPr>
          <w:color w:val="231F20"/>
          <w:spacing w:val="-9"/>
        </w:rPr>
        <w:t> </w:t>
      </w:r>
      <w:r>
        <w:rPr>
          <w:color w:val="231F20"/>
        </w:rPr>
        <w:t>Quercus</w:t>
      </w:r>
      <w:r>
        <w:rPr>
          <w:color w:val="231F20"/>
          <w:spacing w:val="-9"/>
        </w:rPr>
        <w:t> </w:t>
      </w:r>
      <w:r>
        <w:rPr>
          <w:color w:val="231F20"/>
        </w:rPr>
        <w:t>que</w:t>
      </w:r>
      <w:r>
        <w:rPr>
          <w:color w:val="231F20"/>
          <w:spacing w:val="-9"/>
        </w:rPr>
        <w:t> </w:t>
      </w:r>
      <w:r>
        <w:rPr>
          <w:color w:val="231F20"/>
        </w:rPr>
        <w:t>eran</w:t>
      </w:r>
      <w:r>
        <w:rPr>
          <w:color w:val="231F20"/>
          <w:spacing w:val="-10"/>
        </w:rPr>
        <w:t> </w:t>
      </w:r>
      <w:r>
        <w:rPr>
          <w:color w:val="231F20"/>
        </w:rPr>
        <w:t>usados</w:t>
      </w:r>
      <w:r>
        <w:rPr>
          <w:color w:val="231F20"/>
          <w:spacing w:val="-9"/>
        </w:rPr>
        <w:t> </w:t>
      </w:r>
      <w:r>
        <w:rPr>
          <w:color w:val="231F20"/>
        </w:rPr>
        <w:t>principalmente</w:t>
      </w:r>
      <w:r>
        <w:rPr>
          <w:color w:val="231F20"/>
          <w:spacing w:val="-10"/>
        </w:rPr>
        <w:t> </w:t>
      </w:r>
      <w:r>
        <w:rPr>
          <w:color w:val="231F20"/>
        </w:rPr>
        <w:t>para</w:t>
      </w:r>
      <w:r>
        <w:rPr>
          <w:color w:val="231F20"/>
          <w:spacing w:val="35"/>
        </w:rPr>
        <w:t> </w:t>
      </w:r>
      <w:r>
        <w:rPr>
          <w:color w:val="231F20"/>
        </w:rPr>
        <w:t>elaborar</w:t>
      </w:r>
      <w:r>
        <w:rPr>
          <w:color w:val="231F20"/>
          <w:spacing w:val="-9"/>
        </w:rPr>
        <w:t> </w:t>
      </w:r>
      <w:r>
        <w:rPr>
          <w:color w:val="231F20"/>
        </w:rPr>
        <w:t>durmientes</w:t>
      </w:r>
      <w:r>
        <w:rPr>
          <w:color w:val="231F20"/>
          <w:spacing w:val="-10"/>
        </w:rPr>
        <w:t> </w:t>
      </w:r>
      <w:r>
        <w:rPr>
          <w:color w:val="231F20"/>
        </w:rPr>
        <w:t>de</w:t>
      </w:r>
      <w:r>
        <w:rPr>
          <w:color w:val="231F20"/>
          <w:spacing w:val="-9"/>
        </w:rPr>
        <w:t> </w:t>
      </w:r>
      <w:r>
        <w:rPr>
          <w:color w:val="231F20"/>
        </w:rPr>
        <w:t>ferrocarril,</w:t>
      </w:r>
      <w:r>
        <w:rPr>
          <w:color w:val="231F20"/>
          <w:spacing w:val="-9"/>
        </w:rPr>
        <w:t> </w:t>
      </w:r>
      <w:r>
        <w:rPr>
          <w:color w:val="231F20"/>
        </w:rPr>
        <w:t>carbón, pilotes para mina y leña principalmente, por ser más abundantes las masas puras de encinos que las de pino. Sin embargo, la forma de aprovecharlo no era la correcta por falta de investigación forestal acorde a las condiciones especiales que presentan los bosques de</w:t>
      </w:r>
      <w:r>
        <w:rPr>
          <w:color w:val="231F20"/>
          <w:spacing w:val="-6"/>
        </w:rPr>
        <w:t> </w:t>
      </w:r>
      <w:r>
        <w:rPr>
          <w:color w:val="231F20"/>
        </w:rPr>
        <w:t>encino.</w:t>
      </w:r>
    </w:p>
    <w:p>
      <w:pPr>
        <w:pStyle w:val="BodyText"/>
        <w:rPr>
          <w:sz w:val="20"/>
        </w:rPr>
      </w:pPr>
    </w:p>
    <w:p>
      <w:pPr>
        <w:pStyle w:val="BodyText"/>
        <w:spacing w:before="7"/>
        <w:rPr>
          <w:sz w:val="17"/>
        </w:rPr>
      </w:pPr>
    </w:p>
    <w:p>
      <w:pPr>
        <w:spacing w:line="247" w:lineRule="auto" w:before="0"/>
        <w:ind w:left="1270" w:right="1269" w:firstLine="0"/>
        <w:jc w:val="both"/>
        <w:rPr>
          <w:rFonts w:ascii="Trebuchet MS" w:hAnsi="Trebuchet MS"/>
          <w:sz w:val="16"/>
        </w:rPr>
      </w:pPr>
      <w:r>
        <w:rPr>
          <w:rFonts w:ascii="Trebuchet MS" w:hAnsi="Trebuchet MS"/>
          <w:color w:val="231F20"/>
          <w:position w:val="5"/>
          <w:sz w:val="9"/>
        </w:rPr>
        <w:t>1</w:t>
      </w:r>
      <w:r>
        <w:rPr>
          <w:rFonts w:ascii="Trebuchet MS" w:hAnsi="Trebuchet MS"/>
          <w:color w:val="231F20"/>
          <w:sz w:val="16"/>
        </w:rPr>
        <w:t>Profesores-investigadores</w:t>
      </w:r>
      <w:r>
        <w:rPr>
          <w:rFonts w:ascii="Trebuchet MS" w:hAnsi="Trebuchet MS"/>
          <w:color w:val="231F20"/>
          <w:spacing w:val="-4"/>
          <w:sz w:val="16"/>
        </w:rPr>
        <w:t> </w:t>
      </w:r>
      <w:r>
        <w:rPr>
          <w:rFonts w:ascii="Trebuchet MS" w:hAnsi="Trebuchet MS"/>
          <w:color w:val="231F20"/>
          <w:sz w:val="16"/>
        </w:rPr>
        <w:t>del</w:t>
      </w:r>
      <w:r>
        <w:rPr>
          <w:rFonts w:ascii="Trebuchet MS" w:hAnsi="Trebuchet MS"/>
          <w:color w:val="231F20"/>
          <w:spacing w:val="-2"/>
          <w:sz w:val="16"/>
        </w:rPr>
        <w:t> </w:t>
      </w:r>
      <w:r>
        <w:rPr>
          <w:rFonts w:ascii="Trebuchet MS" w:hAnsi="Trebuchet MS"/>
          <w:color w:val="231F20"/>
          <w:sz w:val="16"/>
        </w:rPr>
        <w:t>Departamento</w:t>
      </w:r>
      <w:r>
        <w:rPr>
          <w:rFonts w:ascii="Trebuchet MS" w:hAnsi="Trebuchet MS"/>
          <w:color w:val="231F20"/>
          <w:spacing w:val="-2"/>
          <w:sz w:val="16"/>
        </w:rPr>
        <w:t> </w:t>
      </w:r>
      <w:r>
        <w:rPr>
          <w:rFonts w:ascii="Trebuchet MS" w:hAnsi="Trebuchet MS"/>
          <w:color w:val="231F20"/>
          <w:sz w:val="16"/>
        </w:rPr>
        <w:t>de</w:t>
      </w:r>
      <w:r>
        <w:rPr>
          <w:rFonts w:ascii="Trebuchet MS" w:hAnsi="Trebuchet MS"/>
          <w:color w:val="231F20"/>
          <w:spacing w:val="-2"/>
          <w:sz w:val="16"/>
        </w:rPr>
        <w:t> </w:t>
      </w:r>
      <w:r>
        <w:rPr>
          <w:rFonts w:ascii="Trebuchet MS" w:hAnsi="Trebuchet MS"/>
          <w:color w:val="231F20"/>
          <w:sz w:val="16"/>
        </w:rPr>
        <w:t>Preparatoria</w:t>
      </w:r>
      <w:r>
        <w:rPr>
          <w:rFonts w:ascii="Trebuchet MS" w:hAnsi="Trebuchet MS"/>
          <w:color w:val="231F20"/>
          <w:spacing w:val="-12"/>
          <w:sz w:val="16"/>
        </w:rPr>
        <w:t> </w:t>
      </w:r>
      <w:r>
        <w:rPr>
          <w:rFonts w:ascii="Trebuchet MS" w:hAnsi="Trebuchet MS"/>
          <w:color w:val="231F20"/>
          <w:sz w:val="16"/>
        </w:rPr>
        <w:t>Agrícola</w:t>
      </w:r>
      <w:r>
        <w:rPr>
          <w:rFonts w:ascii="Trebuchet MS" w:hAnsi="Trebuchet MS"/>
          <w:color w:val="231F20"/>
          <w:spacing w:val="-2"/>
          <w:sz w:val="16"/>
        </w:rPr>
        <w:t> </w:t>
      </w:r>
      <w:r>
        <w:rPr>
          <w:rFonts w:ascii="Trebuchet MS" w:hAnsi="Trebuchet MS"/>
          <w:color w:val="231F20"/>
          <w:sz w:val="16"/>
        </w:rPr>
        <w:t>de</w:t>
      </w:r>
      <w:r>
        <w:rPr>
          <w:rFonts w:ascii="Trebuchet MS" w:hAnsi="Trebuchet MS"/>
          <w:color w:val="231F20"/>
          <w:spacing w:val="-2"/>
          <w:sz w:val="16"/>
        </w:rPr>
        <w:t> </w:t>
      </w:r>
      <w:r>
        <w:rPr>
          <w:rFonts w:ascii="Trebuchet MS" w:hAnsi="Trebuchet MS"/>
          <w:color w:val="231F20"/>
          <w:sz w:val="16"/>
        </w:rPr>
        <w:t>la</w:t>
      </w:r>
      <w:r>
        <w:rPr>
          <w:rFonts w:ascii="Trebuchet MS" w:hAnsi="Trebuchet MS"/>
          <w:color w:val="231F20"/>
          <w:spacing w:val="-2"/>
          <w:sz w:val="16"/>
        </w:rPr>
        <w:t> </w:t>
      </w:r>
      <w:r>
        <w:rPr>
          <w:rFonts w:ascii="Trebuchet MS" w:hAnsi="Trebuchet MS"/>
          <w:color w:val="231F20"/>
          <w:sz w:val="16"/>
        </w:rPr>
        <w:t>UACH.</w:t>
      </w:r>
      <w:r>
        <w:rPr>
          <w:rFonts w:ascii="Trebuchet MS" w:hAnsi="Trebuchet MS"/>
          <w:color w:val="231F20"/>
          <w:spacing w:val="-2"/>
          <w:sz w:val="16"/>
        </w:rPr>
        <w:t> </w:t>
      </w:r>
      <w:r>
        <w:rPr>
          <w:rFonts w:ascii="Trebuchet MS" w:hAnsi="Trebuchet MS"/>
          <w:color w:val="231F20"/>
          <w:sz w:val="16"/>
        </w:rPr>
        <w:t>Área</w:t>
      </w:r>
      <w:r>
        <w:rPr>
          <w:rFonts w:ascii="Trebuchet MS" w:hAnsi="Trebuchet MS"/>
          <w:color w:val="231F20"/>
          <w:spacing w:val="-2"/>
          <w:sz w:val="16"/>
        </w:rPr>
        <w:t> </w:t>
      </w:r>
      <w:r>
        <w:rPr>
          <w:rFonts w:ascii="Trebuchet MS" w:hAnsi="Trebuchet MS"/>
          <w:color w:val="231F20"/>
          <w:sz w:val="16"/>
        </w:rPr>
        <w:t>de</w:t>
      </w:r>
      <w:r>
        <w:rPr>
          <w:rFonts w:ascii="Trebuchet MS" w:hAnsi="Trebuchet MS"/>
          <w:color w:val="231F20"/>
          <w:spacing w:val="-11"/>
          <w:sz w:val="16"/>
        </w:rPr>
        <w:t> </w:t>
      </w:r>
      <w:r>
        <w:rPr>
          <w:rFonts w:ascii="Trebuchet MS" w:hAnsi="Trebuchet MS"/>
          <w:color w:val="231F20"/>
          <w:sz w:val="16"/>
        </w:rPr>
        <w:t>Agronomía.</w:t>
      </w:r>
      <w:r>
        <w:rPr>
          <w:rFonts w:ascii="Trebuchet MS" w:hAnsi="Trebuchet MS"/>
          <w:color w:val="231F20"/>
          <w:spacing w:val="-2"/>
          <w:sz w:val="16"/>
        </w:rPr>
        <w:t> </w:t>
      </w:r>
      <w:r>
        <w:rPr>
          <w:rFonts w:ascii="Trebuchet MS" w:hAnsi="Trebuchet MS"/>
          <w:color w:val="231F20"/>
          <w:spacing w:val="-5"/>
          <w:sz w:val="16"/>
        </w:rPr>
        <w:t>Carr.</w:t>
      </w:r>
      <w:r>
        <w:rPr>
          <w:rFonts w:ascii="Trebuchet MS" w:hAnsi="Trebuchet MS"/>
          <w:color w:val="231F20"/>
          <w:spacing w:val="-2"/>
          <w:sz w:val="16"/>
        </w:rPr>
        <w:t> </w:t>
      </w:r>
      <w:r>
        <w:rPr>
          <w:rFonts w:ascii="Trebuchet MS" w:hAnsi="Trebuchet MS"/>
          <w:color w:val="231F20"/>
          <w:sz w:val="16"/>
        </w:rPr>
        <w:t>México- </w:t>
      </w:r>
      <w:r>
        <w:rPr>
          <w:rFonts w:ascii="Trebuchet MS" w:hAnsi="Trebuchet MS"/>
          <w:color w:val="231F20"/>
          <w:spacing w:val="-4"/>
          <w:sz w:val="16"/>
        </w:rPr>
        <w:t>Texcoco</w:t>
      </w:r>
      <w:r>
        <w:rPr>
          <w:rFonts w:ascii="Trebuchet MS" w:hAnsi="Trebuchet MS"/>
          <w:color w:val="231F20"/>
          <w:spacing w:val="-10"/>
          <w:sz w:val="16"/>
        </w:rPr>
        <w:t> </w:t>
      </w:r>
      <w:r>
        <w:rPr>
          <w:rFonts w:ascii="Trebuchet MS" w:hAnsi="Trebuchet MS"/>
          <w:color w:val="231F20"/>
          <w:sz w:val="16"/>
        </w:rPr>
        <w:t>km.</w:t>
      </w:r>
      <w:r>
        <w:rPr>
          <w:rFonts w:ascii="Trebuchet MS" w:hAnsi="Trebuchet MS"/>
          <w:color w:val="231F20"/>
          <w:spacing w:val="-11"/>
          <w:sz w:val="16"/>
        </w:rPr>
        <w:t> </w:t>
      </w:r>
      <w:r>
        <w:rPr>
          <w:rFonts w:ascii="Trebuchet MS" w:hAnsi="Trebuchet MS"/>
          <w:color w:val="231F20"/>
          <w:sz w:val="16"/>
        </w:rPr>
        <w:t>38.5.</w:t>
      </w:r>
      <w:r>
        <w:rPr>
          <w:rFonts w:ascii="Trebuchet MS" w:hAnsi="Trebuchet MS"/>
          <w:color w:val="231F20"/>
          <w:spacing w:val="-13"/>
          <w:sz w:val="16"/>
        </w:rPr>
        <w:t> </w:t>
      </w:r>
      <w:r>
        <w:rPr>
          <w:rFonts w:ascii="Trebuchet MS" w:hAnsi="Trebuchet MS"/>
          <w:color w:val="231F20"/>
          <w:spacing w:val="-6"/>
          <w:sz w:val="16"/>
        </w:rPr>
        <w:t>Tel.</w:t>
      </w:r>
      <w:r>
        <w:rPr>
          <w:rFonts w:ascii="Trebuchet MS" w:hAnsi="Trebuchet MS"/>
          <w:color w:val="231F20"/>
          <w:spacing w:val="-11"/>
          <w:sz w:val="16"/>
        </w:rPr>
        <w:t> </w:t>
      </w:r>
      <w:r>
        <w:rPr>
          <w:rFonts w:ascii="Trebuchet MS" w:hAnsi="Trebuchet MS"/>
          <w:color w:val="231F20"/>
          <w:sz w:val="16"/>
        </w:rPr>
        <w:t>015959521500.</w:t>
      </w:r>
      <w:r>
        <w:rPr>
          <w:rFonts w:ascii="Trebuchet MS" w:hAnsi="Trebuchet MS"/>
          <w:color w:val="231F20"/>
          <w:spacing w:val="-9"/>
          <w:sz w:val="16"/>
        </w:rPr>
        <w:t> </w:t>
      </w:r>
      <w:r>
        <w:rPr>
          <w:rFonts w:ascii="Trebuchet MS" w:hAnsi="Trebuchet MS"/>
          <w:color w:val="231F20"/>
          <w:sz w:val="16"/>
        </w:rPr>
        <w:t>Email:</w:t>
      </w:r>
      <w:r>
        <w:rPr>
          <w:rFonts w:ascii="Trebuchet MS" w:hAnsi="Trebuchet MS"/>
          <w:color w:val="231F20"/>
          <w:spacing w:val="-12"/>
          <w:sz w:val="16"/>
        </w:rPr>
        <w:t> </w:t>
      </w:r>
      <w:hyperlink r:id="rId120">
        <w:r>
          <w:rPr>
            <w:rFonts w:ascii="Trebuchet MS" w:hAnsi="Trebuchet MS"/>
            <w:color w:val="231F20"/>
            <w:sz w:val="16"/>
          </w:rPr>
          <w:t>mariocastelan2003@yahoo.com.mx,</w:t>
        </w:r>
      </w:hyperlink>
      <w:r>
        <w:rPr>
          <w:rFonts w:ascii="Trebuchet MS" w:hAnsi="Trebuchet MS"/>
          <w:color w:val="231F20"/>
          <w:spacing w:val="-11"/>
          <w:sz w:val="16"/>
        </w:rPr>
        <w:t> </w:t>
      </w:r>
      <w:hyperlink r:id="rId121">
        <w:r>
          <w:rPr>
            <w:rFonts w:ascii="Trebuchet MS" w:hAnsi="Trebuchet MS"/>
            <w:color w:val="231F20"/>
            <w:sz w:val="16"/>
          </w:rPr>
          <w:t>gina0958@yahoo.com,</w:t>
        </w:r>
      </w:hyperlink>
      <w:r>
        <w:rPr>
          <w:rFonts w:ascii="Trebuchet MS" w:hAnsi="Trebuchet MS"/>
          <w:color w:val="231F20"/>
          <w:spacing w:val="-11"/>
          <w:sz w:val="16"/>
        </w:rPr>
        <w:t> </w:t>
      </w:r>
      <w:r>
        <w:rPr>
          <w:rFonts w:ascii="Trebuchet MS" w:hAnsi="Trebuchet MS"/>
          <w:color w:val="231F20"/>
          <w:sz w:val="16"/>
        </w:rPr>
        <w:t>abt@correo. chapingo.mx</w:t>
      </w:r>
    </w:p>
    <w:p>
      <w:pPr>
        <w:spacing w:after="0" w:line="247" w:lineRule="auto"/>
        <w:jc w:val="both"/>
        <w:rPr>
          <w:rFonts w:ascii="Trebuchet MS" w:hAnsi="Trebuchet MS"/>
          <w:sz w:val="16"/>
        </w:rPr>
        <w:sectPr>
          <w:pgSz w:w="10920" w:h="13080"/>
          <w:pgMar w:header="0" w:footer="965" w:top="420" w:bottom="1220" w:left="0" w:right="0"/>
        </w:sectPr>
      </w:pPr>
    </w:p>
    <w:p>
      <w:pPr>
        <w:pStyle w:val="BodyText"/>
        <w:rPr>
          <w:rFonts w:ascii="Trebuchet MS"/>
          <w:sz w:val="20"/>
        </w:rPr>
      </w:pPr>
    </w:p>
    <w:p>
      <w:pPr>
        <w:pStyle w:val="BodyText"/>
        <w:rPr>
          <w:rFonts w:ascii="Trebuchet MS"/>
          <w:sz w:val="20"/>
        </w:rPr>
      </w:pPr>
    </w:p>
    <w:p>
      <w:pPr>
        <w:pStyle w:val="BodyText"/>
        <w:spacing w:before="4"/>
        <w:rPr>
          <w:rFonts w:ascii="Trebuchet MS"/>
          <w:sz w:val="22"/>
        </w:rPr>
      </w:pPr>
    </w:p>
    <w:p>
      <w:pPr>
        <w:pStyle w:val="BodyText"/>
        <w:spacing w:line="247" w:lineRule="auto" w:before="73"/>
        <w:ind w:left="1270" w:right="1267"/>
        <w:jc w:val="both"/>
      </w:pPr>
      <w:r>
        <w:rPr>
          <w:color w:val="231F20"/>
        </w:rPr>
        <w:t>Por otra parte, en proyectos de infraestructura carretera y urbana, varios ecosistemas de encino son afectados o alterados de algún modo, tanto por el aprovechamiento de los árboles como del terreno que lo sustenta; por lo que el conocimiento de las especies y del ecosistema es de suma importancia para</w:t>
      </w:r>
      <w:r>
        <w:rPr>
          <w:color w:val="231F20"/>
          <w:spacing w:val="-10"/>
        </w:rPr>
        <w:t> </w:t>
      </w:r>
      <w:r>
        <w:rPr>
          <w:color w:val="231F20"/>
        </w:rPr>
        <w:t>decidir</w:t>
      </w:r>
      <w:r>
        <w:rPr>
          <w:color w:val="231F20"/>
          <w:spacing w:val="-10"/>
        </w:rPr>
        <w:t> </w:t>
      </w:r>
      <w:r>
        <w:rPr>
          <w:color w:val="231F20"/>
        </w:rPr>
        <w:t>sobre</w:t>
      </w:r>
      <w:r>
        <w:rPr>
          <w:color w:val="231F20"/>
          <w:spacing w:val="-10"/>
        </w:rPr>
        <w:t> </w:t>
      </w:r>
      <w:r>
        <w:rPr>
          <w:color w:val="231F20"/>
        </w:rPr>
        <w:t>su</w:t>
      </w:r>
      <w:r>
        <w:rPr>
          <w:color w:val="231F20"/>
          <w:spacing w:val="-10"/>
        </w:rPr>
        <w:t> </w:t>
      </w:r>
      <w:r>
        <w:rPr>
          <w:color w:val="231F20"/>
        </w:rPr>
        <w:t>uso</w:t>
      </w:r>
      <w:r>
        <w:rPr>
          <w:color w:val="231F20"/>
          <w:spacing w:val="-10"/>
        </w:rPr>
        <w:t> </w:t>
      </w:r>
      <w:r>
        <w:rPr>
          <w:color w:val="231F20"/>
        </w:rPr>
        <w:t>y</w:t>
      </w:r>
      <w:r>
        <w:rPr>
          <w:color w:val="231F20"/>
          <w:spacing w:val="-10"/>
        </w:rPr>
        <w:t> </w:t>
      </w:r>
      <w:r>
        <w:rPr>
          <w:color w:val="231F20"/>
        </w:rPr>
        <w:t>manejo.</w:t>
      </w:r>
      <w:r>
        <w:rPr>
          <w:color w:val="231F20"/>
          <w:spacing w:val="-10"/>
        </w:rPr>
        <w:t> </w:t>
      </w:r>
      <w:r>
        <w:rPr>
          <w:color w:val="231F20"/>
        </w:rPr>
        <w:t>De</w:t>
      </w:r>
      <w:r>
        <w:rPr>
          <w:color w:val="231F20"/>
          <w:spacing w:val="-10"/>
        </w:rPr>
        <w:t> </w:t>
      </w:r>
      <w:r>
        <w:rPr>
          <w:color w:val="231F20"/>
        </w:rPr>
        <w:t>esta</w:t>
      </w:r>
      <w:r>
        <w:rPr>
          <w:color w:val="231F20"/>
          <w:spacing w:val="-10"/>
        </w:rPr>
        <w:t> </w:t>
      </w:r>
      <w:r>
        <w:rPr>
          <w:color w:val="231F20"/>
        </w:rPr>
        <w:t>manera,</w:t>
      </w:r>
      <w:r>
        <w:rPr>
          <w:color w:val="231F20"/>
          <w:spacing w:val="-10"/>
        </w:rPr>
        <w:t> </w:t>
      </w:r>
      <w:r>
        <w:rPr>
          <w:color w:val="231F20"/>
        </w:rPr>
        <w:t>dentro</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estudios</w:t>
      </w:r>
      <w:r>
        <w:rPr>
          <w:color w:val="231F20"/>
          <w:spacing w:val="-10"/>
        </w:rPr>
        <w:t> </w:t>
      </w:r>
      <w:r>
        <w:rPr>
          <w:color w:val="231F20"/>
        </w:rPr>
        <w:t>ambientales</w:t>
      </w:r>
      <w:r>
        <w:rPr>
          <w:color w:val="231F20"/>
          <w:spacing w:val="-11"/>
        </w:rPr>
        <w:t> </w:t>
      </w:r>
      <w:r>
        <w:rPr>
          <w:color w:val="231F20"/>
        </w:rPr>
        <w:t>que</w:t>
      </w:r>
      <w:r>
        <w:rPr>
          <w:color w:val="231F20"/>
          <w:spacing w:val="-10"/>
        </w:rPr>
        <w:t> </w:t>
      </w:r>
      <w:r>
        <w:rPr>
          <w:color w:val="231F20"/>
        </w:rPr>
        <w:t>desarrolla el Centro de Estudios e Investigaciones Transdiciplinarias S. C. destacan aquellos que tienen como fin, el conocimiento de la flora y fauna de las áreas en la que se llevan a cabo proyectos de impacto ambiental directo o indirecto en los ecosistemas forestales. Así, uno de los proyectos que tienen in- fluencia en el ecosistema de encino en el estado de San Luis Potosí es la construcción de la presa El realito</w:t>
      </w:r>
      <w:r>
        <w:rPr>
          <w:color w:val="231F20"/>
          <w:spacing w:val="-3"/>
        </w:rPr>
        <w:t> </w:t>
      </w:r>
      <w:r>
        <w:rPr>
          <w:color w:val="231F20"/>
        </w:rPr>
        <w:t>ubicada</w:t>
      </w:r>
      <w:r>
        <w:rPr>
          <w:color w:val="231F20"/>
          <w:spacing w:val="-3"/>
        </w:rPr>
        <w:t> </w:t>
      </w:r>
      <w:r>
        <w:rPr>
          <w:color w:val="231F20"/>
        </w:rPr>
        <w:t>en</w:t>
      </w:r>
      <w:r>
        <w:rPr>
          <w:color w:val="231F20"/>
          <w:spacing w:val="-3"/>
        </w:rPr>
        <w:t> </w:t>
      </w:r>
      <w:r>
        <w:rPr>
          <w:color w:val="231F20"/>
        </w:rPr>
        <w:t>los</w:t>
      </w:r>
      <w:r>
        <w:rPr>
          <w:color w:val="231F20"/>
          <w:spacing w:val="-3"/>
        </w:rPr>
        <w:t> </w:t>
      </w:r>
      <w:r>
        <w:rPr>
          <w:color w:val="231F20"/>
        </w:rPr>
        <w:t>límites</w:t>
      </w:r>
      <w:r>
        <w:rPr>
          <w:color w:val="231F20"/>
          <w:spacing w:val="-3"/>
        </w:rPr>
        <w:t> </w:t>
      </w:r>
      <w:r>
        <w:rPr>
          <w:color w:val="231F20"/>
        </w:rPr>
        <w:t>de</w:t>
      </w:r>
      <w:r>
        <w:rPr>
          <w:color w:val="231F20"/>
          <w:spacing w:val="-3"/>
        </w:rPr>
        <w:t> </w:t>
      </w:r>
      <w:r>
        <w:rPr>
          <w:color w:val="231F20"/>
          <w:spacing w:val="-5"/>
        </w:rPr>
        <w:t>S.L.P.</w:t>
      </w:r>
      <w:r>
        <w:rPr>
          <w:color w:val="231F20"/>
          <w:spacing w:val="-3"/>
        </w:rPr>
        <w:t> </w:t>
      </w:r>
      <w:r>
        <w:rPr>
          <w:color w:val="231F20"/>
        </w:rPr>
        <w:t>y</w:t>
      </w:r>
      <w:r>
        <w:rPr>
          <w:color w:val="231F20"/>
          <w:spacing w:val="-3"/>
        </w:rPr>
        <w:t> </w:t>
      </w:r>
      <w:r>
        <w:rPr>
          <w:color w:val="231F20"/>
        </w:rPr>
        <w:t>San</w:t>
      </w:r>
      <w:r>
        <w:rPr>
          <w:color w:val="231F20"/>
          <w:spacing w:val="-3"/>
        </w:rPr>
        <w:t> </w:t>
      </w:r>
      <w:r>
        <w:rPr>
          <w:color w:val="231F20"/>
        </w:rPr>
        <w:t>Luis</w:t>
      </w:r>
      <w:r>
        <w:rPr>
          <w:color w:val="231F20"/>
          <w:spacing w:val="-3"/>
        </w:rPr>
        <w:t> </w:t>
      </w:r>
      <w:r>
        <w:rPr>
          <w:color w:val="231F20"/>
        </w:rPr>
        <w:t>de</w:t>
      </w:r>
      <w:r>
        <w:rPr>
          <w:color w:val="231F20"/>
          <w:spacing w:val="-3"/>
        </w:rPr>
        <w:t> </w:t>
      </w:r>
      <w:r>
        <w:rPr>
          <w:color w:val="231F20"/>
        </w:rPr>
        <w:t>la</w:t>
      </w:r>
      <w:r>
        <w:rPr>
          <w:color w:val="231F20"/>
          <w:spacing w:val="-3"/>
        </w:rPr>
        <w:t> </w:t>
      </w:r>
      <w:r>
        <w:rPr>
          <w:color w:val="231F20"/>
        </w:rPr>
        <w:t>Paz,</w:t>
      </w:r>
      <w:r>
        <w:rPr>
          <w:color w:val="231F20"/>
          <w:spacing w:val="-3"/>
        </w:rPr>
        <w:t> </w:t>
      </w:r>
      <w:r>
        <w:rPr>
          <w:color w:val="231F20"/>
        </w:rPr>
        <w:t>Gto,</w:t>
      </w:r>
      <w:r>
        <w:rPr>
          <w:color w:val="231F20"/>
          <w:spacing w:val="-3"/>
        </w:rPr>
        <w:t> </w:t>
      </w:r>
      <w:r>
        <w:rPr>
          <w:color w:val="231F20"/>
        </w:rPr>
        <w:t>por</w:t>
      </w:r>
      <w:r>
        <w:rPr>
          <w:color w:val="231F20"/>
          <w:spacing w:val="-3"/>
        </w:rPr>
        <w:t> </w:t>
      </w:r>
      <w:r>
        <w:rPr>
          <w:color w:val="231F20"/>
        </w:rPr>
        <w:t>lo</w:t>
      </w:r>
      <w:r>
        <w:rPr>
          <w:color w:val="231F20"/>
          <w:spacing w:val="-3"/>
        </w:rPr>
        <w:t> </w:t>
      </w:r>
      <w:r>
        <w:rPr>
          <w:color w:val="231F20"/>
        </w:rPr>
        <w:t>que</w:t>
      </w:r>
      <w:r>
        <w:rPr>
          <w:color w:val="231F20"/>
          <w:spacing w:val="-3"/>
        </w:rPr>
        <w:t> </w:t>
      </w:r>
      <w:r>
        <w:rPr>
          <w:color w:val="231F20"/>
        </w:rPr>
        <w:t>es</w:t>
      </w:r>
      <w:r>
        <w:rPr>
          <w:color w:val="231F20"/>
          <w:spacing w:val="-3"/>
        </w:rPr>
        <w:t> </w:t>
      </w:r>
      <w:r>
        <w:rPr>
          <w:color w:val="231F20"/>
        </w:rPr>
        <w:t>importante</w:t>
      </w:r>
      <w:r>
        <w:rPr>
          <w:color w:val="231F20"/>
          <w:spacing w:val="-3"/>
        </w:rPr>
        <w:t> </w:t>
      </w:r>
      <w:r>
        <w:rPr>
          <w:color w:val="231F20"/>
        </w:rPr>
        <w:t>el</w:t>
      </w:r>
      <w:r>
        <w:rPr>
          <w:color w:val="231F20"/>
          <w:spacing w:val="-3"/>
        </w:rPr>
        <w:t> </w:t>
      </w:r>
      <w:r>
        <w:rPr>
          <w:color w:val="231F20"/>
        </w:rPr>
        <w:t>estudio de</w:t>
      </w:r>
      <w:r>
        <w:rPr>
          <w:color w:val="231F20"/>
          <w:spacing w:val="-5"/>
        </w:rPr>
        <w:t> </w:t>
      </w:r>
      <w:r>
        <w:rPr>
          <w:color w:val="231F20"/>
        </w:rPr>
        <w:t>las</w:t>
      </w:r>
      <w:r>
        <w:rPr>
          <w:color w:val="231F20"/>
          <w:spacing w:val="-6"/>
        </w:rPr>
        <w:t> </w:t>
      </w:r>
      <w:r>
        <w:rPr>
          <w:color w:val="231F20"/>
        </w:rPr>
        <w:t>especies</w:t>
      </w:r>
      <w:r>
        <w:rPr>
          <w:color w:val="231F20"/>
          <w:spacing w:val="-6"/>
        </w:rPr>
        <w:t> </w:t>
      </w:r>
      <w:r>
        <w:rPr>
          <w:color w:val="231F20"/>
        </w:rPr>
        <w:t>de</w:t>
      </w:r>
      <w:r>
        <w:rPr>
          <w:color w:val="231F20"/>
          <w:spacing w:val="-5"/>
        </w:rPr>
        <w:t> </w:t>
      </w:r>
      <w:r>
        <w:rPr>
          <w:color w:val="231F20"/>
        </w:rPr>
        <w:t>encinos</w:t>
      </w:r>
      <w:r>
        <w:rPr>
          <w:color w:val="231F20"/>
          <w:spacing w:val="-6"/>
        </w:rPr>
        <w:t> </w:t>
      </w:r>
      <w:r>
        <w:rPr>
          <w:color w:val="231F20"/>
        </w:rPr>
        <w:t>que</w:t>
      </w:r>
      <w:r>
        <w:rPr>
          <w:color w:val="231F20"/>
          <w:spacing w:val="-5"/>
        </w:rPr>
        <w:t> </w:t>
      </w:r>
      <w:r>
        <w:rPr>
          <w:color w:val="231F20"/>
        </w:rPr>
        <w:t>se</w:t>
      </w:r>
      <w:r>
        <w:rPr>
          <w:color w:val="231F20"/>
          <w:spacing w:val="-5"/>
        </w:rPr>
        <w:t> </w:t>
      </w:r>
      <w:r>
        <w:rPr>
          <w:color w:val="231F20"/>
        </w:rPr>
        <w:t>encuentran</w:t>
      </w:r>
      <w:r>
        <w:rPr>
          <w:color w:val="231F20"/>
          <w:spacing w:val="-6"/>
        </w:rPr>
        <w:t> </w:t>
      </w:r>
      <w:r>
        <w:rPr>
          <w:color w:val="231F20"/>
        </w:rPr>
        <w:t>en</w:t>
      </w:r>
      <w:r>
        <w:rPr>
          <w:color w:val="231F20"/>
          <w:spacing w:val="-6"/>
        </w:rPr>
        <w:t> </w:t>
      </w:r>
      <w:r>
        <w:rPr>
          <w:color w:val="231F20"/>
        </w:rPr>
        <w:t>esta</w:t>
      </w:r>
      <w:r>
        <w:rPr>
          <w:color w:val="231F20"/>
          <w:spacing w:val="-6"/>
        </w:rPr>
        <w:t> </w:t>
      </w:r>
      <w:r>
        <w:rPr>
          <w:color w:val="231F20"/>
        </w:rPr>
        <w:t>área,</w:t>
      </w:r>
      <w:r>
        <w:rPr>
          <w:color w:val="231F20"/>
          <w:spacing w:val="-6"/>
        </w:rPr>
        <w:t> </w:t>
      </w:r>
      <w:r>
        <w:rPr>
          <w:color w:val="231F20"/>
        </w:rPr>
        <w:t>para</w:t>
      </w:r>
      <w:r>
        <w:rPr>
          <w:color w:val="231F20"/>
          <w:spacing w:val="-5"/>
        </w:rPr>
        <w:t> </w:t>
      </w:r>
      <w:r>
        <w:rPr>
          <w:color w:val="231F20"/>
        </w:rPr>
        <w:t>poder</w:t>
      </w:r>
      <w:r>
        <w:rPr>
          <w:color w:val="231F20"/>
          <w:spacing w:val="-5"/>
        </w:rPr>
        <w:t> </w:t>
      </w:r>
      <w:r>
        <w:rPr>
          <w:color w:val="231F20"/>
        </w:rPr>
        <w:t>incidir</w:t>
      </w:r>
      <w:r>
        <w:rPr>
          <w:color w:val="231F20"/>
          <w:spacing w:val="-6"/>
        </w:rPr>
        <w:t> </w:t>
      </w:r>
      <w:r>
        <w:rPr>
          <w:color w:val="231F20"/>
        </w:rPr>
        <w:t>en</w:t>
      </w:r>
      <w:r>
        <w:rPr>
          <w:color w:val="231F20"/>
          <w:spacing w:val="-6"/>
        </w:rPr>
        <w:t> </w:t>
      </w:r>
      <w:r>
        <w:rPr>
          <w:color w:val="231F20"/>
        </w:rPr>
        <w:t>el</w:t>
      </w:r>
      <w:r>
        <w:rPr>
          <w:color w:val="231F20"/>
          <w:spacing w:val="-5"/>
        </w:rPr>
        <w:t> </w:t>
      </w:r>
      <w:r>
        <w:rPr>
          <w:color w:val="231F20"/>
        </w:rPr>
        <w:t>manejo</w:t>
      </w:r>
      <w:r>
        <w:rPr>
          <w:color w:val="231F20"/>
          <w:spacing w:val="-6"/>
        </w:rPr>
        <w:t> </w:t>
      </w:r>
      <w:r>
        <w:rPr>
          <w:color w:val="231F20"/>
        </w:rPr>
        <w:t>de</w:t>
      </w:r>
      <w:r>
        <w:rPr>
          <w:color w:val="231F20"/>
          <w:spacing w:val="-5"/>
        </w:rPr>
        <w:t> </w:t>
      </w:r>
      <w:r>
        <w:rPr>
          <w:color w:val="231F20"/>
        </w:rPr>
        <w:t>las</w:t>
      </w:r>
      <w:r>
        <w:rPr>
          <w:color w:val="231F20"/>
          <w:spacing w:val="-6"/>
        </w:rPr>
        <w:t> </w:t>
      </w:r>
      <w:r>
        <w:rPr>
          <w:color w:val="231F20"/>
        </w:rPr>
        <w:t>mis- mas o en las actividades a realizar en dicha área. En el presente trabajo se pretende hacer un aporte al conocimiento de los encinos que se encuentran en dicha área. El objetivo fue el de Identificar los encinos presentes en el área de influencia de la presa El Realito, San Luis</w:t>
      </w:r>
      <w:r>
        <w:rPr>
          <w:color w:val="231F20"/>
          <w:spacing w:val="-11"/>
        </w:rPr>
        <w:t> </w:t>
      </w:r>
      <w:r>
        <w:rPr>
          <w:color w:val="231F20"/>
        </w:rPr>
        <w:t>Potosí.</w:t>
      </w:r>
    </w:p>
    <w:p>
      <w:pPr>
        <w:pStyle w:val="BodyText"/>
        <w:spacing w:before="9"/>
        <w:rPr>
          <w:sz w:val="22"/>
        </w:rPr>
      </w:pPr>
    </w:p>
    <w:p>
      <w:pPr>
        <w:pStyle w:val="Heading3"/>
      </w:pPr>
      <w:r>
        <w:rPr>
          <w:color w:val="010202"/>
        </w:rPr>
        <w:t>Materiales y métodos</w:t>
      </w:r>
    </w:p>
    <w:p>
      <w:pPr>
        <w:pStyle w:val="BodyText"/>
        <w:spacing w:before="10"/>
        <w:rPr>
          <w:b/>
        </w:rPr>
      </w:pPr>
    </w:p>
    <w:p>
      <w:pPr>
        <w:pStyle w:val="BodyText"/>
        <w:spacing w:line="247" w:lineRule="auto"/>
        <w:ind w:left="1270" w:right="1267"/>
        <w:jc w:val="both"/>
      </w:pPr>
      <w:r>
        <w:rPr>
          <w:color w:val="231F20"/>
        </w:rPr>
        <w:t>El presente trabajo se realizó en el área de influencia de la construcción de la presa el Realito, cuya cortina</w:t>
      </w:r>
      <w:r>
        <w:rPr>
          <w:color w:val="231F20"/>
          <w:spacing w:val="38"/>
        </w:rPr>
        <w:t> </w:t>
      </w:r>
      <w:r>
        <w:rPr>
          <w:color w:val="231F20"/>
        </w:rPr>
        <w:t>se</w:t>
      </w:r>
      <w:r>
        <w:rPr>
          <w:color w:val="231F20"/>
          <w:spacing w:val="-7"/>
        </w:rPr>
        <w:t> </w:t>
      </w:r>
      <w:r>
        <w:rPr>
          <w:color w:val="231F20"/>
        </w:rPr>
        <w:t>ubica</w:t>
      </w:r>
      <w:r>
        <w:rPr>
          <w:color w:val="231F20"/>
          <w:spacing w:val="-7"/>
        </w:rPr>
        <w:t> </w:t>
      </w:r>
      <w:r>
        <w:rPr>
          <w:color w:val="231F20"/>
        </w:rPr>
        <w:t>cerca</w:t>
      </w:r>
      <w:r>
        <w:rPr>
          <w:color w:val="231F20"/>
          <w:spacing w:val="-8"/>
        </w:rPr>
        <w:t> </w:t>
      </w:r>
      <w:r>
        <w:rPr>
          <w:color w:val="231F20"/>
        </w:rPr>
        <w:t>de</w:t>
      </w:r>
      <w:r>
        <w:rPr>
          <w:color w:val="231F20"/>
          <w:spacing w:val="-7"/>
        </w:rPr>
        <w:t> </w:t>
      </w:r>
      <w:r>
        <w:rPr>
          <w:color w:val="231F20"/>
        </w:rPr>
        <w:t>la</w:t>
      </w:r>
      <w:r>
        <w:rPr>
          <w:color w:val="231F20"/>
          <w:spacing w:val="-7"/>
        </w:rPr>
        <w:t> </w:t>
      </w:r>
      <w:r>
        <w:rPr>
          <w:color w:val="231F20"/>
        </w:rPr>
        <w:t>comunidad</w:t>
      </w:r>
      <w:r>
        <w:rPr>
          <w:color w:val="231F20"/>
          <w:spacing w:val="-8"/>
        </w:rPr>
        <w:t> </w:t>
      </w:r>
      <w:r>
        <w:rPr>
          <w:color w:val="231F20"/>
        </w:rPr>
        <w:t>denominada</w:t>
      </w:r>
      <w:r>
        <w:rPr>
          <w:color w:val="231F20"/>
          <w:spacing w:val="-7"/>
        </w:rPr>
        <w:t> </w:t>
      </w:r>
      <w:r>
        <w:rPr>
          <w:color w:val="231F20"/>
        </w:rPr>
        <w:t>El</w:t>
      </w:r>
      <w:r>
        <w:rPr>
          <w:color w:val="231F20"/>
          <w:spacing w:val="-7"/>
        </w:rPr>
        <w:t> </w:t>
      </w:r>
      <w:r>
        <w:rPr>
          <w:color w:val="231F20"/>
        </w:rPr>
        <w:t>Realito,</w:t>
      </w:r>
      <w:r>
        <w:rPr>
          <w:color w:val="231F20"/>
          <w:spacing w:val="-7"/>
        </w:rPr>
        <w:t> </w:t>
      </w:r>
      <w:r>
        <w:rPr>
          <w:color w:val="231F20"/>
        </w:rPr>
        <w:t>en</w:t>
      </w:r>
      <w:r>
        <w:rPr>
          <w:color w:val="231F20"/>
          <w:spacing w:val="-7"/>
        </w:rPr>
        <w:t> </w:t>
      </w:r>
      <w:r>
        <w:rPr>
          <w:color w:val="231F20"/>
        </w:rPr>
        <w:t>los</w:t>
      </w:r>
      <w:r>
        <w:rPr>
          <w:color w:val="231F20"/>
          <w:spacing w:val="-7"/>
        </w:rPr>
        <w:t> </w:t>
      </w:r>
      <w:r>
        <w:rPr>
          <w:color w:val="231F20"/>
        </w:rPr>
        <w:t>límites</w:t>
      </w:r>
      <w:r>
        <w:rPr>
          <w:color w:val="231F20"/>
          <w:spacing w:val="-8"/>
        </w:rPr>
        <w:t> </w:t>
      </w:r>
      <w:r>
        <w:rPr>
          <w:color w:val="231F20"/>
        </w:rPr>
        <w:t>de</w:t>
      </w:r>
      <w:r>
        <w:rPr>
          <w:color w:val="231F20"/>
          <w:spacing w:val="-7"/>
        </w:rPr>
        <w:t> </w:t>
      </w:r>
      <w:r>
        <w:rPr>
          <w:color w:val="231F20"/>
        </w:rPr>
        <w:t>San</w:t>
      </w:r>
      <w:r>
        <w:rPr>
          <w:color w:val="231F20"/>
          <w:spacing w:val="-7"/>
        </w:rPr>
        <w:t> </w:t>
      </w:r>
      <w:r>
        <w:rPr>
          <w:color w:val="231F20"/>
        </w:rPr>
        <w:t>Luis</w:t>
      </w:r>
      <w:r>
        <w:rPr>
          <w:color w:val="231F20"/>
          <w:spacing w:val="-8"/>
        </w:rPr>
        <w:t> </w:t>
      </w:r>
      <w:r>
        <w:rPr>
          <w:color w:val="231F20"/>
        </w:rPr>
        <w:t>Potosí</w:t>
      </w:r>
      <w:r>
        <w:rPr>
          <w:color w:val="231F20"/>
          <w:spacing w:val="-7"/>
        </w:rPr>
        <w:t> </w:t>
      </w:r>
      <w:r>
        <w:rPr>
          <w:color w:val="231F20"/>
        </w:rPr>
        <w:t>con el municipio de San Luis de la Paz, estado de Guanajuato. Se realizaron colectas de los ejemplares de encino ubicados en el camino de acceso a la presa, tramo Río Verde-Realito correspondiente a ecosistemas</w:t>
      </w:r>
      <w:r>
        <w:rPr>
          <w:color w:val="231F20"/>
          <w:spacing w:val="-7"/>
        </w:rPr>
        <w:t> </w:t>
      </w:r>
      <w:r>
        <w:rPr>
          <w:color w:val="231F20"/>
        </w:rPr>
        <w:t>de</w:t>
      </w:r>
      <w:r>
        <w:rPr>
          <w:color w:val="231F20"/>
          <w:spacing w:val="-6"/>
        </w:rPr>
        <w:t> </w:t>
      </w:r>
      <w:r>
        <w:rPr>
          <w:color w:val="231F20"/>
        </w:rPr>
        <w:t>pino-encino</w:t>
      </w:r>
      <w:r>
        <w:rPr>
          <w:color w:val="231F20"/>
          <w:spacing w:val="-6"/>
        </w:rPr>
        <w:t> </w:t>
      </w:r>
      <w:r>
        <w:rPr>
          <w:color w:val="231F20"/>
        </w:rPr>
        <w:t>y</w:t>
      </w:r>
      <w:r>
        <w:rPr>
          <w:color w:val="231F20"/>
          <w:spacing w:val="-6"/>
        </w:rPr>
        <w:t> </w:t>
      </w:r>
      <w:r>
        <w:rPr>
          <w:color w:val="231F20"/>
        </w:rPr>
        <w:t>encino</w:t>
      </w:r>
      <w:r>
        <w:rPr>
          <w:color w:val="231F20"/>
          <w:spacing w:val="-6"/>
        </w:rPr>
        <w:t> </w:t>
      </w:r>
      <w:r>
        <w:rPr>
          <w:color w:val="231F20"/>
        </w:rPr>
        <w:t>en</w:t>
      </w:r>
      <w:r>
        <w:rPr>
          <w:color w:val="231F20"/>
          <w:spacing w:val="-6"/>
        </w:rPr>
        <w:t> </w:t>
      </w:r>
      <w:r>
        <w:rPr>
          <w:color w:val="231F20"/>
        </w:rPr>
        <w:t>un</w:t>
      </w:r>
      <w:r>
        <w:rPr>
          <w:color w:val="231F20"/>
          <w:spacing w:val="-6"/>
        </w:rPr>
        <w:t> </w:t>
      </w:r>
      <w:r>
        <w:rPr>
          <w:color w:val="231F20"/>
        </w:rPr>
        <w:t>rango</w:t>
      </w:r>
      <w:r>
        <w:rPr>
          <w:color w:val="231F20"/>
          <w:spacing w:val="-6"/>
        </w:rPr>
        <w:t> </w:t>
      </w:r>
      <w:r>
        <w:rPr>
          <w:color w:val="231F20"/>
        </w:rPr>
        <w:t>altitudinal</w:t>
      </w:r>
      <w:r>
        <w:rPr>
          <w:color w:val="231F20"/>
          <w:spacing w:val="-7"/>
        </w:rPr>
        <w:t> </w:t>
      </w:r>
      <w:r>
        <w:rPr>
          <w:color w:val="231F20"/>
        </w:rPr>
        <w:t>de</w:t>
      </w:r>
      <w:r>
        <w:rPr>
          <w:color w:val="231F20"/>
          <w:spacing w:val="-6"/>
        </w:rPr>
        <w:t> </w:t>
      </w:r>
      <w:r>
        <w:rPr>
          <w:color w:val="231F20"/>
        </w:rPr>
        <w:t>1800</w:t>
      </w:r>
      <w:r>
        <w:rPr>
          <w:color w:val="231F20"/>
          <w:spacing w:val="-6"/>
        </w:rPr>
        <w:t> </w:t>
      </w:r>
      <w:r>
        <w:rPr>
          <w:color w:val="231F20"/>
        </w:rPr>
        <w:t>a</w:t>
      </w:r>
      <w:r>
        <w:rPr>
          <w:color w:val="231F20"/>
          <w:spacing w:val="-6"/>
        </w:rPr>
        <w:t> </w:t>
      </w:r>
      <w:r>
        <w:rPr>
          <w:color w:val="231F20"/>
        </w:rPr>
        <w:t>2500</w:t>
      </w:r>
      <w:r>
        <w:rPr>
          <w:color w:val="231F20"/>
          <w:spacing w:val="-6"/>
        </w:rPr>
        <w:t> </w:t>
      </w:r>
      <w:r>
        <w:rPr>
          <w:color w:val="231F20"/>
        </w:rPr>
        <w:t>msnm;</w:t>
      </w:r>
      <w:r>
        <w:rPr>
          <w:color w:val="231F20"/>
          <w:spacing w:val="-6"/>
        </w:rPr>
        <w:t> </w:t>
      </w:r>
      <w:r>
        <w:rPr>
          <w:color w:val="231F20"/>
        </w:rPr>
        <w:t>así</w:t>
      </w:r>
      <w:r>
        <w:rPr>
          <w:color w:val="231F20"/>
          <w:spacing w:val="-6"/>
        </w:rPr>
        <w:t> </w:t>
      </w:r>
      <w:r>
        <w:rPr>
          <w:color w:val="231F20"/>
        </w:rPr>
        <w:t>como</w:t>
      </w:r>
      <w:r>
        <w:rPr>
          <w:color w:val="231F20"/>
          <w:spacing w:val="-6"/>
        </w:rPr>
        <w:t> </w:t>
      </w:r>
      <w:r>
        <w:rPr>
          <w:color w:val="231F20"/>
        </w:rPr>
        <w:t>la</w:t>
      </w:r>
      <w:r>
        <w:rPr>
          <w:color w:val="231F20"/>
          <w:spacing w:val="-6"/>
        </w:rPr>
        <w:t> </w:t>
      </w:r>
      <w:r>
        <w:rPr>
          <w:color w:val="231F20"/>
        </w:rPr>
        <w:t>toma de</w:t>
      </w:r>
      <w:r>
        <w:rPr>
          <w:color w:val="231F20"/>
          <w:spacing w:val="-6"/>
        </w:rPr>
        <w:t> </w:t>
      </w:r>
      <w:r>
        <w:rPr>
          <w:color w:val="231F20"/>
        </w:rPr>
        <w:t>fotografías</w:t>
      </w:r>
      <w:r>
        <w:rPr>
          <w:color w:val="231F20"/>
          <w:spacing w:val="-6"/>
        </w:rPr>
        <w:t> </w:t>
      </w:r>
      <w:r>
        <w:rPr>
          <w:color w:val="231F20"/>
        </w:rPr>
        <w:t>de</w:t>
      </w:r>
      <w:r>
        <w:rPr>
          <w:color w:val="231F20"/>
          <w:spacing w:val="-6"/>
        </w:rPr>
        <w:t> </w:t>
      </w:r>
      <w:r>
        <w:rPr>
          <w:color w:val="231F20"/>
        </w:rPr>
        <w:t>varios</w:t>
      </w:r>
      <w:r>
        <w:rPr>
          <w:color w:val="231F20"/>
          <w:spacing w:val="-6"/>
        </w:rPr>
        <w:t> </w:t>
      </w:r>
      <w:r>
        <w:rPr>
          <w:color w:val="231F20"/>
        </w:rPr>
        <w:t>ejemplares</w:t>
      </w:r>
      <w:r>
        <w:rPr>
          <w:color w:val="231F20"/>
          <w:spacing w:val="-6"/>
        </w:rPr>
        <w:t> </w:t>
      </w:r>
      <w:r>
        <w:rPr>
          <w:color w:val="231F20"/>
        </w:rPr>
        <w:t>y</w:t>
      </w:r>
      <w:r>
        <w:rPr>
          <w:color w:val="231F20"/>
          <w:spacing w:val="-6"/>
        </w:rPr>
        <w:t> </w:t>
      </w:r>
      <w:r>
        <w:rPr>
          <w:color w:val="231F20"/>
        </w:rPr>
        <w:t>anotaciones</w:t>
      </w:r>
      <w:r>
        <w:rPr>
          <w:color w:val="231F20"/>
          <w:spacing w:val="-6"/>
        </w:rPr>
        <w:t> </w:t>
      </w:r>
      <w:r>
        <w:rPr>
          <w:color w:val="231F20"/>
        </w:rPr>
        <w:t>sobre</w:t>
      </w:r>
      <w:r>
        <w:rPr>
          <w:color w:val="231F20"/>
          <w:spacing w:val="-6"/>
        </w:rPr>
        <w:t> </w:t>
      </w:r>
      <w:r>
        <w:rPr>
          <w:color w:val="231F20"/>
        </w:rPr>
        <w:t>sus</w:t>
      </w:r>
      <w:r>
        <w:rPr>
          <w:color w:val="231F20"/>
          <w:spacing w:val="-5"/>
        </w:rPr>
        <w:t> </w:t>
      </w:r>
      <w:r>
        <w:rPr>
          <w:color w:val="231F20"/>
        </w:rPr>
        <w:t>características</w:t>
      </w:r>
      <w:r>
        <w:rPr>
          <w:color w:val="231F20"/>
          <w:spacing w:val="-6"/>
        </w:rPr>
        <w:t> </w:t>
      </w:r>
      <w:r>
        <w:rPr>
          <w:color w:val="231F20"/>
        </w:rPr>
        <w:t>fisonómicas.</w:t>
      </w:r>
      <w:r>
        <w:rPr>
          <w:color w:val="231F20"/>
          <w:spacing w:val="-6"/>
        </w:rPr>
        <w:t> </w:t>
      </w:r>
      <w:r>
        <w:rPr>
          <w:color w:val="231F20"/>
        </w:rPr>
        <w:t>Para</w:t>
      </w:r>
      <w:r>
        <w:rPr>
          <w:color w:val="231F20"/>
          <w:spacing w:val="-6"/>
        </w:rPr>
        <w:t> </w:t>
      </w:r>
      <w:r>
        <w:rPr>
          <w:color w:val="231F20"/>
        </w:rPr>
        <w:t>la</w:t>
      </w:r>
      <w:r>
        <w:rPr>
          <w:color w:val="231F20"/>
          <w:spacing w:val="-6"/>
        </w:rPr>
        <w:t> </w:t>
      </w:r>
      <w:r>
        <w:rPr>
          <w:color w:val="231F20"/>
        </w:rPr>
        <w:t>iden- tificación</w:t>
      </w:r>
      <w:r>
        <w:rPr>
          <w:color w:val="231F20"/>
          <w:spacing w:val="-6"/>
        </w:rPr>
        <w:t> </w:t>
      </w:r>
      <w:r>
        <w:rPr>
          <w:color w:val="231F20"/>
        </w:rPr>
        <w:t>se</w:t>
      </w:r>
      <w:r>
        <w:rPr>
          <w:color w:val="231F20"/>
          <w:spacing w:val="-6"/>
        </w:rPr>
        <w:t> </w:t>
      </w:r>
      <w:r>
        <w:rPr>
          <w:color w:val="231F20"/>
        </w:rPr>
        <w:t>llevaron</w:t>
      </w:r>
      <w:r>
        <w:rPr>
          <w:color w:val="231F20"/>
          <w:spacing w:val="-6"/>
        </w:rPr>
        <w:t> </w:t>
      </w:r>
      <w:r>
        <w:rPr>
          <w:color w:val="231F20"/>
        </w:rPr>
        <w:t>las</w:t>
      </w:r>
      <w:r>
        <w:rPr>
          <w:color w:val="231F20"/>
          <w:spacing w:val="-6"/>
        </w:rPr>
        <w:t> </w:t>
      </w:r>
      <w:r>
        <w:rPr>
          <w:color w:val="231F20"/>
        </w:rPr>
        <w:t>muestras</w:t>
      </w:r>
      <w:r>
        <w:rPr>
          <w:color w:val="231F20"/>
          <w:spacing w:val="-6"/>
        </w:rPr>
        <w:t> </w:t>
      </w:r>
      <w:r>
        <w:rPr>
          <w:color w:val="231F20"/>
        </w:rPr>
        <w:t>colectadas</w:t>
      </w:r>
      <w:r>
        <w:rPr>
          <w:color w:val="231F20"/>
          <w:spacing w:val="-6"/>
        </w:rPr>
        <w:t> </w:t>
      </w:r>
      <w:r>
        <w:rPr>
          <w:color w:val="231F20"/>
        </w:rPr>
        <w:t>al</w:t>
      </w:r>
      <w:r>
        <w:rPr>
          <w:color w:val="231F20"/>
          <w:spacing w:val="-6"/>
        </w:rPr>
        <w:t> </w:t>
      </w:r>
      <w:r>
        <w:rPr>
          <w:color w:val="231F20"/>
        </w:rPr>
        <w:t>herbario</w:t>
      </w:r>
      <w:r>
        <w:rPr>
          <w:color w:val="231F20"/>
          <w:spacing w:val="-6"/>
        </w:rPr>
        <w:t> </w:t>
      </w:r>
      <w:r>
        <w:rPr>
          <w:color w:val="231F20"/>
        </w:rPr>
        <w:t>CHAP</w:t>
      </w:r>
      <w:r>
        <w:rPr>
          <w:color w:val="231F20"/>
          <w:spacing w:val="-14"/>
        </w:rPr>
        <w:t> </w:t>
      </w:r>
      <w:r>
        <w:rPr>
          <w:color w:val="231F20"/>
        </w:rPr>
        <w:t>y</w:t>
      </w:r>
      <w:r>
        <w:rPr>
          <w:color w:val="231F20"/>
          <w:spacing w:val="-6"/>
        </w:rPr>
        <w:t> </w:t>
      </w:r>
      <w:r>
        <w:rPr>
          <w:color w:val="231F20"/>
        </w:rPr>
        <w:t>con</w:t>
      </w:r>
      <w:r>
        <w:rPr>
          <w:color w:val="231F20"/>
          <w:spacing w:val="-6"/>
        </w:rPr>
        <w:t> </w:t>
      </w:r>
      <w:r>
        <w:rPr>
          <w:color w:val="231F20"/>
        </w:rPr>
        <w:t>las</w:t>
      </w:r>
      <w:r>
        <w:rPr>
          <w:color w:val="231F20"/>
          <w:spacing w:val="-6"/>
        </w:rPr>
        <w:t> </w:t>
      </w:r>
      <w:r>
        <w:rPr>
          <w:color w:val="231F20"/>
        </w:rPr>
        <w:t>guías</w:t>
      </w:r>
      <w:r>
        <w:rPr>
          <w:color w:val="231F20"/>
          <w:spacing w:val="-6"/>
        </w:rPr>
        <w:t> </w:t>
      </w:r>
      <w:r>
        <w:rPr>
          <w:color w:val="231F20"/>
        </w:rPr>
        <w:t>para</w:t>
      </w:r>
      <w:r>
        <w:rPr>
          <w:color w:val="231F20"/>
          <w:spacing w:val="-6"/>
        </w:rPr>
        <w:t> </w:t>
      </w:r>
      <w:r>
        <w:rPr>
          <w:color w:val="231F20"/>
        </w:rPr>
        <w:t>la</w:t>
      </w:r>
      <w:r>
        <w:rPr>
          <w:color w:val="231F20"/>
          <w:spacing w:val="-6"/>
        </w:rPr>
        <w:t> </w:t>
      </w:r>
      <w:r>
        <w:rPr>
          <w:color w:val="231F20"/>
        </w:rPr>
        <w:t>identificación de</w:t>
      </w:r>
      <w:r>
        <w:rPr>
          <w:color w:val="231F20"/>
          <w:spacing w:val="-9"/>
        </w:rPr>
        <w:t> </w:t>
      </w:r>
      <w:r>
        <w:rPr>
          <w:color w:val="231F20"/>
        </w:rPr>
        <w:t>encinos</w:t>
      </w:r>
      <w:r>
        <w:rPr>
          <w:color w:val="231F20"/>
          <w:spacing w:val="-8"/>
        </w:rPr>
        <w:t> </w:t>
      </w:r>
      <w:r>
        <w:rPr>
          <w:color w:val="231F20"/>
        </w:rPr>
        <w:t>editadas</w:t>
      </w:r>
      <w:r>
        <w:rPr>
          <w:color w:val="231F20"/>
          <w:spacing w:val="-9"/>
        </w:rPr>
        <w:t> </w:t>
      </w:r>
      <w:r>
        <w:rPr>
          <w:color w:val="231F20"/>
        </w:rPr>
        <w:t>por</w:t>
      </w:r>
      <w:r>
        <w:rPr>
          <w:color w:val="231F20"/>
          <w:spacing w:val="-9"/>
        </w:rPr>
        <w:t> </w:t>
      </w:r>
      <w:r>
        <w:rPr>
          <w:color w:val="231F20"/>
        </w:rPr>
        <w:t>Zavala</w:t>
      </w:r>
      <w:r>
        <w:rPr>
          <w:color w:val="231F20"/>
          <w:spacing w:val="-9"/>
        </w:rPr>
        <w:t> </w:t>
      </w:r>
      <w:r>
        <w:rPr>
          <w:color w:val="231F20"/>
        </w:rPr>
        <w:t>(1981),</w:t>
      </w:r>
      <w:r>
        <w:rPr>
          <w:color w:val="231F20"/>
          <w:spacing w:val="-9"/>
        </w:rPr>
        <w:t> </w:t>
      </w:r>
      <w:r>
        <w:rPr>
          <w:color w:val="231F20"/>
        </w:rPr>
        <w:t>se</w:t>
      </w:r>
      <w:r>
        <w:rPr>
          <w:color w:val="231F20"/>
          <w:spacing w:val="-9"/>
        </w:rPr>
        <w:t> </w:t>
      </w:r>
      <w:r>
        <w:rPr>
          <w:color w:val="231F20"/>
        </w:rPr>
        <w:t>procedió</w:t>
      </w:r>
      <w:r>
        <w:rPr>
          <w:color w:val="231F20"/>
          <w:spacing w:val="-9"/>
        </w:rPr>
        <w:t> </w:t>
      </w:r>
      <w:r>
        <w:rPr>
          <w:color w:val="231F20"/>
        </w:rPr>
        <w:t>a</w:t>
      </w:r>
      <w:r>
        <w:rPr>
          <w:color w:val="231F20"/>
          <w:spacing w:val="-9"/>
        </w:rPr>
        <w:t> </w:t>
      </w:r>
      <w:r>
        <w:rPr>
          <w:color w:val="231F20"/>
        </w:rPr>
        <w:t>su</w:t>
      </w:r>
      <w:r>
        <w:rPr>
          <w:color w:val="231F20"/>
          <w:spacing w:val="-8"/>
        </w:rPr>
        <w:t> </w:t>
      </w:r>
      <w:r>
        <w:rPr>
          <w:color w:val="231F20"/>
        </w:rPr>
        <w:t>identificación.</w:t>
      </w:r>
      <w:r>
        <w:rPr>
          <w:color w:val="231F20"/>
          <w:spacing w:val="-9"/>
        </w:rPr>
        <w:t> </w:t>
      </w:r>
      <w:r>
        <w:rPr>
          <w:color w:val="231F20"/>
        </w:rPr>
        <w:t>Se</w:t>
      </w:r>
      <w:r>
        <w:rPr>
          <w:color w:val="231F20"/>
          <w:spacing w:val="-9"/>
        </w:rPr>
        <w:t> </w:t>
      </w:r>
      <w:r>
        <w:rPr>
          <w:color w:val="231F20"/>
        </w:rPr>
        <w:t>realizó</w:t>
      </w:r>
      <w:r>
        <w:rPr>
          <w:color w:val="231F20"/>
          <w:spacing w:val="-9"/>
        </w:rPr>
        <w:t> </w:t>
      </w:r>
      <w:r>
        <w:rPr>
          <w:color w:val="231F20"/>
        </w:rPr>
        <w:t>una</w:t>
      </w:r>
      <w:r>
        <w:rPr>
          <w:color w:val="231F20"/>
          <w:spacing w:val="-9"/>
        </w:rPr>
        <w:t> </w:t>
      </w:r>
      <w:r>
        <w:rPr>
          <w:color w:val="231F20"/>
        </w:rPr>
        <w:t>revisión</w:t>
      </w:r>
      <w:r>
        <w:rPr>
          <w:color w:val="231F20"/>
          <w:spacing w:val="-9"/>
        </w:rPr>
        <w:t> </w:t>
      </w:r>
      <w:r>
        <w:rPr>
          <w:color w:val="231F20"/>
        </w:rPr>
        <w:t>biblio- gráfica con el fin de presentar las características principales de los encinos que se reportan para la zona</w:t>
      </w:r>
      <w:r>
        <w:rPr>
          <w:color w:val="231F20"/>
          <w:spacing w:val="-4"/>
        </w:rPr>
        <w:t> </w:t>
      </w:r>
      <w:r>
        <w:rPr>
          <w:color w:val="231F20"/>
        </w:rPr>
        <w:t>visitada,</w:t>
      </w:r>
      <w:r>
        <w:rPr>
          <w:color w:val="231F20"/>
          <w:spacing w:val="-4"/>
        </w:rPr>
        <w:t> </w:t>
      </w:r>
      <w:r>
        <w:rPr>
          <w:color w:val="231F20"/>
        </w:rPr>
        <w:t>además</w:t>
      </w:r>
      <w:r>
        <w:rPr>
          <w:color w:val="231F20"/>
          <w:spacing w:val="-4"/>
        </w:rPr>
        <w:t> </w:t>
      </w:r>
      <w:r>
        <w:rPr>
          <w:color w:val="231F20"/>
        </w:rPr>
        <w:t>de</w:t>
      </w:r>
      <w:r>
        <w:rPr>
          <w:color w:val="231F20"/>
          <w:spacing w:val="-4"/>
        </w:rPr>
        <w:t> </w:t>
      </w:r>
      <w:r>
        <w:rPr>
          <w:color w:val="231F20"/>
        </w:rPr>
        <w:t>cotejar</w:t>
      </w:r>
      <w:r>
        <w:rPr>
          <w:color w:val="231F20"/>
          <w:spacing w:val="-5"/>
        </w:rPr>
        <w:t> </w:t>
      </w:r>
      <w:r>
        <w:rPr>
          <w:color w:val="231F20"/>
        </w:rPr>
        <w:t>los</w:t>
      </w:r>
      <w:r>
        <w:rPr>
          <w:color w:val="231F20"/>
          <w:spacing w:val="-4"/>
        </w:rPr>
        <w:t> </w:t>
      </w:r>
      <w:r>
        <w:rPr>
          <w:color w:val="231F20"/>
        </w:rPr>
        <w:t>ejemplares</w:t>
      </w:r>
      <w:r>
        <w:rPr>
          <w:color w:val="231F20"/>
          <w:spacing w:val="-5"/>
        </w:rPr>
        <w:t> </w:t>
      </w:r>
      <w:r>
        <w:rPr>
          <w:color w:val="231F20"/>
        </w:rPr>
        <w:t>colectados</w:t>
      </w:r>
      <w:r>
        <w:rPr>
          <w:color w:val="231F20"/>
          <w:spacing w:val="-5"/>
        </w:rPr>
        <w:t> </w:t>
      </w:r>
      <w:r>
        <w:rPr>
          <w:color w:val="231F20"/>
        </w:rPr>
        <w:t>con</w:t>
      </w:r>
      <w:r>
        <w:rPr>
          <w:color w:val="231F20"/>
          <w:spacing w:val="-4"/>
        </w:rPr>
        <w:t> </w:t>
      </w:r>
      <w:r>
        <w:rPr>
          <w:color w:val="231F20"/>
        </w:rPr>
        <w:t>los</w:t>
      </w:r>
      <w:r>
        <w:rPr>
          <w:color w:val="231F20"/>
          <w:spacing w:val="-4"/>
        </w:rPr>
        <w:t> </w:t>
      </w:r>
      <w:r>
        <w:rPr>
          <w:color w:val="231F20"/>
        </w:rPr>
        <w:t>que</w:t>
      </w:r>
      <w:r>
        <w:rPr>
          <w:color w:val="231F20"/>
          <w:spacing w:val="-4"/>
        </w:rPr>
        <w:t> </w:t>
      </w:r>
      <w:r>
        <w:rPr>
          <w:color w:val="231F20"/>
        </w:rPr>
        <w:t>reporta</w:t>
      </w:r>
      <w:r>
        <w:rPr>
          <w:color w:val="231F20"/>
          <w:spacing w:val="-4"/>
        </w:rPr>
        <w:t> </w:t>
      </w:r>
      <w:r>
        <w:rPr>
          <w:color w:val="231F20"/>
        </w:rPr>
        <w:t>la</w:t>
      </w:r>
      <w:r>
        <w:rPr>
          <w:color w:val="231F20"/>
          <w:spacing w:val="-4"/>
        </w:rPr>
        <w:t> </w:t>
      </w:r>
      <w:r>
        <w:rPr>
          <w:color w:val="231F20"/>
        </w:rPr>
        <w:t>literatura</w:t>
      </w:r>
      <w:r>
        <w:rPr>
          <w:color w:val="231F20"/>
          <w:spacing w:val="-5"/>
        </w:rPr>
        <w:t> </w:t>
      </w:r>
      <w:r>
        <w:rPr>
          <w:color w:val="231F20"/>
        </w:rPr>
        <w:t>existente.</w:t>
      </w:r>
    </w:p>
    <w:p>
      <w:pPr>
        <w:pStyle w:val="BodyText"/>
        <w:spacing w:before="9"/>
        <w:rPr>
          <w:sz w:val="22"/>
        </w:rPr>
      </w:pPr>
    </w:p>
    <w:p>
      <w:pPr>
        <w:pStyle w:val="Heading3"/>
      </w:pPr>
      <w:r>
        <w:rPr>
          <w:color w:val="010202"/>
        </w:rPr>
        <w:t>Análisis y discusión de resultados</w:t>
      </w:r>
    </w:p>
    <w:p>
      <w:pPr>
        <w:pStyle w:val="BodyText"/>
        <w:spacing w:before="10"/>
        <w:rPr>
          <w:b/>
        </w:rPr>
      </w:pPr>
    </w:p>
    <w:p>
      <w:pPr>
        <w:pStyle w:val="BodyText"/>
        <w:ind w:left="1270"/>
        <w:jc w:val="both"/>
      </w:pPr>
      <w:r>
        <w:rPr>
          <w:color w:val="231F20"/>
        </w:rPr>
        <w:t>Revisión bibliográfica sobre los encinos de San Luis Potosí</w:t>
      </w:r>
    </w:p>
    <w:p>
      <w:pPr>
        <w:spacing w:line="247" w:lineRule="auto" w:before="8"/>
        <w:ind w:left="1269" w:right="1268" w:firstLine="0"/>
        <w:jc w:val="both"/>
        <w:rPr>
          <w:sz w:val="21"/>
        </w:rPr>
      </w:pPr>
      <w:r>
        <w:rPr>
          <w:color w:val="231F20"/>
          <w:sz w:val="21"/>
        </w:rPr>
        <w:t>Bárcenas</w:t>
      </w:r>
      <w:r>
        <w:rPr>
          <w:color w:val="231F20"/>
          <w:spacing w:val="-3"/>
          <w:sz w:val="21"/>
        </w:rPr>
        <w:t> </w:t>
      </w:r>
      <w:r>
        <w:rPr>
          <w:color w:val="231F20"/>
          <w:sz w:val="21"/>
        </w:rPr>
        <w:t>(1985)</w:t>
      </w:r>
      <w:r>
        <w:rPr>
          <w:color w:val="231F20"/>
          <w:spacing w:val="-3"/>
          <w:sz w:val="21"/>
        </w:rPr>
        <w:t> </w:t>
      </w:r>
      <w:r>
        <w:rPr>
          <w:color w:val="231F20"/>
          <w:sz w:val="21"/>
        </w:rPr>
        <w:t>ubica</w:t>
      </w:r>
      <w:r>
        <w:rPr>
          <w:color w:val="231F20"/>
          <w:spacing w:val="-3"/>
          <w:sz w:val="21"/>
        </w:rPr>
        <w:t> </w:t>
      </w:r>
      <w:r>
        <w:rPr>
          <w:color w:val="231F20"/>
          <w:sz w:val="21"/>
        </w:rPr>
        <w:t>a</w:t>
      </w:r>
      <w:r>
        <w:rPr>
          <w:color w:val="231F20"/>
          <w:spacing w:val="-3"/>
          <w:sz w:val="21"/>
        </w:rPr>
        <w:t> </w:t>
      </w:r>
      <w:r>
        <w:rPr>
          <w:color w:val="231F20"/>
          <w:sz w:val="21"/>
        </w:rPr>
        <w:t>SLP</w:t>
      </w:r>
      <w:r>
        <w:rPr>
          <w:color w:val="231F20"/>
          <w:spacing w:val="-10"/>
          <w:sz w:val="21"/>
        </w:rPr>
        <w:t> </w:t>
      </w:r>
      <w:r>
        <w:rPr>
          <w:color w:val="231F20"/>
          <w:sz w:val="21"/>
        </w:rPr>
        <w:t>como</w:t>
      </w:r>
      <w:r>
        <w:rPr>
          <w:color w:val="231F20"/>
          <w:spacing w:val="-3"/>
          <w:sz w:val="21"/>
        </w:rPr>
        <w:t> </w:t>
      </w:r>
      <w:r>
        <w:rPr>
          <w:color w:val="231F20"/>
          <w:sz w:val="21"/>
        </w:rPr>
        <w:t>el</w:t>
      </w:r>
      <w:r>
        <w:rPr>
          <w:color w:val="231F20"/>
          <w:spacing w:val="-3"/>
          <w:sz w:val="21"/>
        </w:rPr>
        <w:t> </w:t>
      </w:r>
      <w:r>
        <w:rPr>
          <w:color w:val="231F20"/>
          <w:sz w:val="21"/>
        </w:rPr>
        <w:t>estado</w:t>
      </w:r>
      <w:r>
        <w:rPr>
          <w:color w:val="231F20"/>
          <w:spacing w:val="-3"/>
          <w:sz w:val="21"/>
        </w:rPr>
        <w:t> </w:t>
      </w:r>
      <w:r>
        <w:rPr>
          <w:color w:val="231F20"/>
          <w:sz w:val="21"/>
        </w:rPr>
        <w:t>que</w:t>
      </w:r>
      <w:r>
        <w:rPr>
          <w:color w:val="231F20"/>
          <w:spacing w:val="-3"/>
          <w:sz w:val="21"/>
        </w:rPr>
        <w:t> </w:t>
      </w:r>
      <w:r>
        <w:rPr>
          <w:color w:val="231F20"/>
          <w:sz w:val="21"/>
        </w:rPr>
        <w:t>ocupa</w:t>
      </w:r>
      <w:r>
        <w:rPr>
          <w:color w:val="231F20"/>
          <w:spacing w:val="-3"/>
          <w:sz w:val="21"/>
        </w:rPr>
        <w:t> </w:t>
      </w:r>
      <w:r>
        <w:rPr>
          <w:color w:val="231F20"/>
          <w:sz w:val="21"/>
        </w:rPr>
        <w:t>el</w:t>
      </w:r>
      <w:r>
        <w:rPr>
          <w:color w:val="231F20"/>
          <w:spacing w:val="-3"/>
          <w:sz w:val="21"/>
        </w:rPr>
        <w:t> </w:t>
      </w:r>
      <w:r>
        <w:rPr>
          <w:color w:val="231F20"/>
          <w:sz w:val="21"/>
        </w:rPr>
        <w:t>cuarto</w:t>
      </w:r>
      <w:r>
        <w:rPr>
          <w:color w:val="231F20"/>
          <w:spacing w:val="-3"/>
          <w:sz w:val="21"/>
        </w:rPr>
        <w:t> </w:t>
      </w:r>
      <w:r>
        <w:rPr>
          <w:color w:val="231F20"/>
          <w:sz w:val="21"/>
        </w:rPr>
        <w:t>lugar</w:t>
      </w:r>
      <w:r>
        <w:rPr>
          <w:color w:val="231F20"/>
          <w:spacing w:val="-3"/>
          <w:sz w:val="21"/>
        </w:rPr>
        <w:t> </w:t>
      </w:r>
      <w:r>
        <w:rPr>
          <w:color w:val="231F20"/>
          <w:sz w:val="21"/>
        </w:rPr>
        <w:t>junto</w:t>
      </w:r>
      <w:r>
        <w:rPr>
          <w:color w:val="231F20"/>
          <w:spacing w:val="-3"/>
          <w:sz w:val="21"/>
        </w:rPr>
        <w:t> </w:t>
      </w:r>
      <w:r>
        <w:rPr>
          <w:color w:val="231F20"/>
          <w:sz w:val="21"/>
        </w:rPr>
        <w:t>con</w:t>
      </w:r>
      <w:r>
        <w:rPr>
          <w:color w:val="231F20"/>
          <w:spacing w:val="-3"/>
          <w:sz w:val="21"/>
        </w:rPr>
        <w:t> </w:t>
      </w:r>
      <w:r>
        <w:rPr>
          <w:color w:val="231F20"/>
          <w:sz w:val="21"/>
        </w:rPr>
        <w:t>Puebla</w:t>
      </w:r>
      <w:r>
        <w:rPr>
          <w:color w:val="231F20"/>
          <w:spacing w:val="-2"/>
          <w:sz w:val="21"/>
        </w:rPr>
        <w:t> </w:t>
      </w:r>
      <w:r>
        <w:rPr>
          <w:color w:val="231F20"/>
          <w:sz w:val="21"/>
        </w:rPr>
        <w:t>en</w:t>
      </w:r>
      <w:r>
        <w:rPr>
          <w:color w:val="231F20"/>
          <w:spacing w:val="-3"/>
          <w:sz w:val="21"/>
        </w:rPr>
        <w:t> </w:t>
      </w:r>
      <w:r>
        <w:rPr>
          <w:color w:val="231F20"/>
          <w:sz w:val="21"/>
        </w:rPr>
        <w:t>cuanto</w:t>
      </w:r>
      <w:r>
        <w:rPr>
          <w:color w:val="231F20"/>
          <w:spacing w:val="-3"/>
          <w:sz w:val="21"/>
        </w:rPr>
        <w:t> </w:t>
      </w:r>
      <w:r>
        <w:rPr>
          <w:color w:val="231F20"/>
          <w:sz w:val="21"/>
        </w:rPr>
        <w:t>a especies de encinos con 22 especies diferentes, en base a una revisión de la literatura existente</w:t>
      </w:r>
      <w:r>
        <w:rPr>
          <w:color w:val="231F20"/>
          <w:spacing w:val="-33"/>
          <w:sz w:val="21"/>
        </w:rPr>
        <w:t> </w:t>
      </w:r>
      <w:r>
        <w:rPr>
          <w:color w:val="231F20"/>
          <w:sz w:val="21"/>
        </w:rPr>
        <w:t>hasta esta</w:t>
      </w:r>
      <w:r>
        <w:rPr>
          <w:color w:val="231F20"/>
          <w:spacing w:val="-4"/>
          <w:sz w:val="21"/>
        </w:rPr>
        <w:t> </w:t>
      </w:r>
      <w:r>
        <w:rPr>
          <w:color w:val="231F20"/>
          <w:sz w:val="21"/>
        </w:rPr>
        <w:t>fecha,</w:t>
      </w:r>
      <w:r>
        <w:rPr>
          <w:color w:val="231F20"/>
          <w:spacing w:val="-3"/>
          <w:sz w:val="21"/>
        </w:rPr>
        <w:t> </w:t>
      </w:r>
      <w:r>
        <w:rPr>
          <w:color w:val="231F20"/>
          <w:sz w:val="21"/>
        </w:rPr>
        <w:t>resultando</w:t>
      </w:r>
      <w:r>
        <w:rPr>
          <w:color w:val="231F20"/>
          <w:spacing w:val="-3"/>
          <w:sz w:val="21"/>
        </w:rPr>
        <w:t> </w:t>
      </w:r>
      <w:r>
        <w:rPr>
          <w:color w:val="231F20"/>
          <w:sz w:val="21"/>
        </w:rPr>
        <w:t>las</w:t>
      </w:r>
      <w:r>
        <w:rPr>
          <w:color w:val="231F20"/>
          <w:spacing w:val="-4"/>
          <w:sz w:val="21"/>
        </w:rPr>
        <w:t> </w:t>
      </w:r>
      <w:r>
        <w:rPr>
          <w:color w:val="231F20"/>
          <w:sz w:val="21"/>
        </w:rPr>
        <w:t>siguientes</w:t>
      </w:r>
      <w:r>
        <w:rPr>
          <w:color w:val="231F20"/>
          <w:spacing w:val="-3"/>
          <w:sz w:val="21"/>
        </w:rPr>
        <w:t> </w:t>
      </w:r>
      <w:r>
        <w:rPr>
          <w:color w:val="231F20"/>
          <w:sz w:val="21"/>
        </w:rPr>
        <w:t>especies:</w:t>
      </w:r>
      <w:r>
        <w:rPr>
          <w:color w:val="231F20"/>
          <w:spacing w:val="-4"/>
          <w:sz w:val="21"/>
        </w:rPr>
        <w:t> </w:t>
      </w:r>
      <w:r>
        <w:rPr>
          <w:i/>
          <w:color w:val="231F20"/>
          <w:sz w:val="21"/>
        </w:rPr>
        <w:t>Q.</w:t>
      </w:r>
      <w:r>
        <w:rPr>
          <w:i/>
          <w:color w:val="231F20"/>
          <w:spacing w:val="-3"/>
          <w:sz w:val="21"/>
        </w:rPr>
        <w:t> </w:t>
      </w:r>
      <w:r>
        <w:rPr>
          <w:i/>
          <w:color w:val="231F20"/>
          <w:sz w:val="21"/>
        </w:rPr>
        <w:t>affinis</w:t>
      </w:r>
      <w:r>
        <w:rPr>
          <w:color w:val="231F20"/>
          <w:sz w:val="21"/>
        </w:rPr>
        <w:t>,</w:t>
      </w:r>
      <w:r>
        <w:rPr>
          <w:color w:val="231F20"/>
          <w:spacing w:val="-4"/>
          <w:sz w:val="21"/>
        </w:rPr>
        <w:t> </w:t>
      </w:r>
      <w:r>
        <w:rPr>
          <w:i/>
          <w:color w:val="231F20"/>
          <w:sz w:val="21"/>
        </w:rPr>
        <w:t>Q.</w:t>
      </w:r>
      <w:r>
        <w:rPr>
          <w:i/>
          <w:color w:val="231F20"/>
          <w:spacing w:val="-3"/>
          <w:sz w:val="21"/>
        </w:rPr>
        <w:t> </w:t>
      </w:r>
      <w:r>
        <w:rPr>
          <w:i/>
          <w:color w:val="231F20"/>
          <w:sz w:val="21"/>
        </w:rPr>
        <w:t>castanea</w:t>
      </w:r>
      <w:r>
        <w:rPr>
          <w:color w:val="231F20"/>
          <w:sz w:val="21"/>
        </w:rPr>
        <w:t>,</w:t>
      </w:r>
      <w:r>
        <w:rPr>
          <w:color w:val="231F20"/>
          <w:spacing w:val="-4"/>
          <w:sz w:val="21"/>
        </w:rPr>
        <w:t> </w:t>
      </w:r>
      <w:r>
        <w:rPr>
          <w:i/>
          <w:color w:val="231F20"/>
          <w:sz w:val="21"/>
        </w:rPr>
        <w:t>Q.</w:t>
      </w:r>
      <w:r>
        <w:rPr>
          <w:i/>
          <w:color w:val="231F20"/>
          <w:spacing w:val="-3"/>
          <w:sz w:val="21"/>
        </w:rPr>
        <w:t> </w:t>
      </w:r>
      <w:r>
        <w:rPr>
          <w:i/>
          <w:color w:val="231F20"/>
          <w:sz w:val="21"/>
        </w:rPr>
        <w:t>coccolobifolia</w:t>
      </w:r>
      <w:r>
        <w:rPr>
          <w:color w:val="231F20"/>
          <w:sz w:val="21"/>
        </w:rPr>
        <w:t>,</w:t>
      </w:r>
      <w:r>
        <w:rPr>
          <w:color w:val="231F20"/>
          <w:spacing w:val="-4"/>
          <w:sz w:val="21"/>
        </w:rPr>
        <w:t> </w:t>
      </w:r>
      <w:r>
        <w:rPr>
          <w:i/>
          <w:color w:val="231F20"/>
          <w:sz w:val="21"/>
        </w:rPr>
        <w:t>Q.</w:t>
      </w:r>
      <w:r>
        <w:rPr>
          <w:i/>
          <w:color w:val="231F20"/>
          <w:spacing w:val="-3"/>
          <w:sz w:val="21"/>
        </w:rPr>
        <w:t> </w:t>
      </w:r>
      <w:r>
        <w:rPr>
          <w:i/>
          <w:color w:val="231F20"/>
          <w:sz w:val="21"/>
        </w:rPr>
        <w:t>crassifo- </w:t>
      </w:r>
      <w:r>
        <w:rPr>
          <w:i/>
          <w:color w:val="231F20"/>
          <w:sz w:val="21"/>
        </w:rPr>
        <w:t>lia</w:t>
      </w:r>
      <w:r>
        <w:rPr>
          <w:color w:val="231F20"/>
          <w:sz w:val="21"/>
        </w:rPr>
        <w:t>,</w:t>
      </w:r>
      <w:r>
        <w:rPr>
          <w:color w:val="231F20"/>
          <w:spacing w:val="-7"/>
          <w:sz w:val="21"/>
        </w:rPr>
        <w:t> </w:t>
      </w:r>
      <w:r>
        <w:rPr>
          <w:i/>
          <w:color w:val="231F20"/>
          <w:sz w:val="21"/>
        </w:rPr>
        <w:t>Q.</w:t>
      </w:r>
      <w:r>
        <w:rPr>
          <w:i/>
          <w:color w:val="231F20"/>
          <w:spacing w:val="-7"/>
          <w:sz w:val="21"/>
        </w:rPr>
        <w:t> </w:t>
      </w:r>
      <w:r>
        <w:rPr>
          <w:i/>
          <w:color w:val="231F20"/>
          <w:sz w:val="21"/>
        </w:rPr>
        <w:t>diversifolia</w:t>
      </w:r>
      <w:r>
        <w:rPr>
          <w:color w:val="231F20"/>
          <w:sz w:val="21"/>
        </w:rPr>
        <w:t>,</w:t>
      </w:r>
      <w:r>
        <w:rPr>
          <w:color w:val="231F20"/>
          <w:spacing w:val="-7"/>
          <w:sz w:val="21"/>
        </w:rPr>
        <w:t> </w:t>
      </w:r>
      <w:r>
        <w:rPr>
          <w:i/>
          <w:color w:val="231F20"/>
          <w:sz w:val="21"/>
        </w:rPr>
        <w:t>Q.</w:t>
      </w:r>
      <w:r>
        <w:rPr>
          <w:i/>
          <w:color w:val="231F20"/>
          <w:spacing w:val="-7"/>
          <w:sz w:val="21"/>
        </w:rPr>
        <w:t> </w:t>
      </w:r>
      <w:r>
        <w:rPr>
          <w:i/>
          <w:color w:val="231F20"/>
          <w:sz w:val="21"/>
        </w:rPr>
        <w:t>eduardii</w:t>
      </w:r>
      <w:r>
        <w:rPr>
          <w:color w:val="231F20"/>
          <w:sz w:val="21"/>
        </w:rPr>
        <w:t>,</w:t>
      </w:r>
      <w:r>
        <w:rPr>
          <w:color w:val="231F20"/>
          <w:spacing w:val="-7"/>
          <w:sz w:val="21"/>
        </w:rPr>
        <w:t> </w:t>
      </w:r>
      <w:r>
        <w:rPr>
          <w:i/>
          <w:color w:val="231F20"/>
          <w:sz w:val="21"/>
        </w:rPr>
        <w:t>Q.</w:t>
      </w:r>
      <w:r>
        <w:rPr>
          <w:i/>
          <w:color w:val="231F20"/>
          <w:spacing w:val="-7"/>
          <w:sz w:val="21"/>
        </w:rPr>
        <w:t> </w:t>
      </w:r>
      <w:r>
        <w:rPr>
          <w:i/>
          <w:color w:val="231F20"/>
          <w:sz w:val="21"/>
        </w:rPr>
        <w:t>furfuracea</w:t>
      </w:r>
      <w:r>
        <w:rPr>
          <w:color w:val="231F20"/>
          <w:sz w:val="21"/>
        </w:rPr>
        <w:t>,</w:t>
      </w:r>
      <w:r>
        <w:rPr>
          <w:color w:val="231F20"/>
          <w:spacing w:val="-7"/>
          <w:sz w:val="21"/>
        </w:rPr>
        <w:t> </w:t>
      </w:r>
      <w:r>
        <w:rPr>
          <w:i/>
          <w:color w:val="231F20"/>
          <w:sz w:val="21"/>
        </w:rPr>
        <w:t>Q.</w:t>
      </w:r>
      <w:r>
        <w:rPr>
          <w:i/>
          <w:color w:val="231F20"/>
          <w:spacing w:val="-7"/>
          <w:sz w:val="21"/>
        </w:rPr>
        <w:t> </w:t>
      </w:r>
      <w:r>
        <w:rPr>
          <w:i/>
          <w:color w:val="231F20"/>
          <w:sz w:val="21"/>
        </w:rPr>
        <w:t>germana</w:t>
      </w:r>
      <w:r>
        <w:rPr>
          <w:color w:val="231F20"/>
          <w:sz w:val="21"/>
        </w:rPr>
        <w:t>,</w:t>
      </w:r>
      <w:r>
        <w:rPr>
          <w:color w:val="231F20"/>
          <w:spacing w:val="-7"/>
          <w:sz w:val="21"/>
        </w:rPr>
        <w:t> </w:t>
      </w:r>
      <w:r>
        <w:rPr>
          <w:i/>
          <w:color w:val="231F20"/>
          <w:sz w:val="21"/>
        </w:rPr>
        <w:t>Q.</w:t>
      </w:r>
      <w:r>
        <w:rPr>
          <w:i/>
          <w:color w:val="231F20"/>
          <w:spacing w:val="-7"/>
          <w:sz w:val="21"/>
        </w:rPr>
        <w:t> </w:t>
      </w:r>
      <w:r>
        <w:rPr>
          <w:i/>
          <w:color w:val="231F20"/>
          <w:sz w:val="21"/>
        </w:rPr>
        <w:t>hartwegii</w:t>
      </w:r>
      <w:r>
        <w:rPr>
          <w:color w:val="231F20"/>
          <w:sz w:val="21"/>
        </w:rPr>
        <w:t>,</w:t>
      </w:r>
      <w:r>
        <w:rPr>
          <w:color w:val="231F20"/>
          <w:spacing w:val="-7"/>
          <w:sz w:val="21"/>
        </w:rPr>
        <w:t> </w:t>
      </w:r>
      <w:r>
        <w:rPr>
          <w:i/>
          <w:color w:val="231F20"/>
          <w:sz w:val="21"/>
        </w:rPr>
        <w:t>Q.</w:t>
      </w:r>
      <w:r>
        <w:rPr>
          <w:i/>
          <w:color w:val="231F20"/>
          <w:spacing w:val="-7"/>
          <w:sz w:val="21"/>
        </w:rPr>
        <w:t> </w:t>
      </w:r>
      <w:r>
        <w:rPr>
          <w:i/>
          <w:color w:val="231F20"/>
          <w:sz w:val="21"/>
        </w:rPr>
        <w:t>lysophylla</w:t>
      </w:r>
      <w:r>
        <w:rPr>
          <w:color w:val="231F20"/>
          <w:sz w:val="21"/>
        </w:rPr>
        <w:t>,</w:t>
      </w:r>
      <w:r>
        <w:rPr>
          <w:color w:val="231F20"/>
          <w:spacing w:val="-7"/>
          <w:sz w:val="21"/>
        </w:rPr>
        <w:t> </w:t>
      </w:r>
      <w:r>
        <w:rPr>
          <w:i/>
          <w:color w:val="231F20"/>
          <w:sz w:val="21"/>
        </w:rPr>
        <w:t>Q.</w:t>
      </w:r>
      <w:r>
        <w:rPr>
          <w:i/>
          <w:color w:val="231F20"/>
          <w:spacing w:val="-7"/>
          <w:sz w:val="21"/>
        </w:rPr>
        <w:t> </w:t>
      </w:r>
      <w:r>
        <w:rPr>
          <w:i/>
          <w:color w:val="231F20"/>
          <w:sz w:val="21"/>
        </w:rPr>
        <w:t>laeta</w:t>
      </w:r>
      <w:r>
        <w:rPr>
          <w:color w:val="231F20"/>
          <w:sz w:val="21"/>
        </w:rPr>
        <w:t>,</w:t>
      </w:r>
      <w:r>
        <w:rPr>
          <w:color w:val="231F20"/>
          <w:spacing w:val="-7"/>
          <w:sz w:val="21"/>
        </w:rPr>
        <w:t> </w:t>
      </w:r>
      <w:r>
        <w:rPr>
          <w:i/>
          <w:color w:val="231F20"/>
          <w:sz w:val="21"/>
        </w:rPr>
        <w:t>Q. </w:t>
      </w:r>
      <w:r>
        <w:rPr>
          <w:i/>
          <w:color w:val="231F20"/>
          <w:sz w:val="21"/>
        </w:rPr>
        <w:t>mexicana</w:t>
      </w:r>
      <w:r>
        <w:rPr>
          <w:color w:val="231F20"/>
          <w:sz w:val="21"/>
        </w:rPr>
        <w:t>,</w:t>
      </w:r>
      <w:r>
        <w:rPr>
          <w:color w:val="231F20"/>
          <w:spacing w:val="-12"/>
          <w:sz w:val="21"/>
        </w:rPr>
        <w:t> </w:t>
      </w:r>
      <w:r>
        <w:rPr>
          <w:i/>
          <w:color w:val="231F20"/>
          <w:sz w:val="21"/>
        </w:rPr>
        <w:t>Q.</w:t>
      </w:r>
      <w:r>
        <w:rPr>
          <w:i/>
          <w:color w:val="231F20"/>
          <w:spacing w:val="-12"/>
          <w:sz w:val="21"/>
        </w:rPr>
        <w:t> </w:t>
      </w:r>
      <w:r>
        <w:rPr>
          <w:i/>
          <w:color w:val="231F20"/>
          <w:sz w:val="21"/>
        </w:rPr>
        <w:t>peduncularis</w:t>
      </w:r>
      <w:r>
        <w:rPr>
          <w:color w:val="231F20"/>
          <w:sz w:val="21"/>
        </w:rPr>
        <w:t>,</w:t>
      </w:r>
      <w:r>
        <w:rPr>
          <w:color w:val="231F20"/>
          <w:spacing w:val="-12"/>
          <w:sz w:val="21"/>
        </w:rPr>
        <w:t> </w:t>
      </w:r>
      <w:r>
        <w:rPr>
          <w:i/>
          <w:color w:val="231F20"/>
          <w:sz w:val="21"/>
        </w:rPr>
        <w:t>Q.</w:t>
      </w:r>
      <w:r>
        <w:rPr>
          <w:i/>
          <w:color w:val="231F20"/>
          <w:spacing w:val="-12"/>
          <w:sz w:val="21"/>
        </w:rPr>
        <w:t> </w:t>
      </w:r>
      <w:r>
        <w:rPr>
          <w:i/>
          <w:color w:val="231F20"/>
          <w:sz w:val="21"/>
        </w:rPr>
        <w:t>perseifolia</w:t>
      </w:r>
      <w:r>
        <w:rPr>
          <w:color w:val="231F20"/>
          <w:sz w:val="21"/>
        </w:rPr>
        <w:t>,</w:t>
      </w:r>
      <w:r>
        <w:rPr>
          <w:color w:val="231F20"/>
          <w:spacing w:val="-12"/>
          <w:sz w:val="21"/>
        </w:rPr>
        <w:t> </w:t>
      </w:r>
      <w:r>
        <w:rPr>
          <w:i/>
          <w:color w:val="231F20"/>
          <w:sz w:val="21"/>
        </w:rPr>
        <w:t>Q.</w:t>
      </w:r>
      <w:r>
        <w:rPr>
          <w:i/>
          <w:color w:val="231F20"/>
          <w:spacing w:val="-12"/>
          <w:sz w:val="21"/>
        </w:rPr>
        <w:t> </w:t>
      </w:r>
      <w:r>
        <w:rPr>
          <w:i/>
          <w:color w:val="231F20"/>
          <w:sz w:val="21"/>
        </w:rPr>
        <w:t>polymorpha</w:t>
      </w:r>
      <w:r>
        <w:rPr>
          <w:color w:val="231F20"/>
          <w:sz w:val="21"/>
        </w:rPr>
        <w:t>,</w:t>
      </w:r>
      <w:r>
        <w:rPr>
          <w:color w:val="231F20"/>
          <w:spacing w:val="-12"/>
          <w:sz w:val="21"/>
        </w:rPr>
        <w:t> </w:t>
      </w:r>
      <w:r>
        <w:rPr>
          <w:i/>
          <w:color w:val="231F20"/>
          <w:sz w:val="21"/>
        </w:rPr>
        <w:t>Q.</w:t>
      </w:r>
      <w:r>
        <w:rPr>
          <w:i/>
          <w:color w:val="231F20"/>
          <w:spacing w:val="-12"/>
          <w:sz w:val="21"/>
        </w:rPr>
        <w:t> </w:t>
      </w:r>
      <w:r>
        <w:rPr>
          <w:i/>
          <w:color w:val="231F20"/>
          <w:sz w:val="21"/>
        </w:rPr>
        <w:t>potosina</w:t>
      </w:r>
      <w:r>
        <w:rPr>
          <w:color w:val="231F20"/>
          <w:sz w:val="21"/>
        </w:rPr>
        <w:t>,</w:t>
      </w:r>
      <w:r>
        <w:rPr>
          <w:color w:val="231F20"/>
          <w:spacing w:val="-12"/>
          <w:sz w:val="21"/>
        </w:rPr>
        <w:t> </w:t>
      </w:r>
      <w:r>
        <w:rPr>
          <w:i/>
          <w:color w:val="231F20"/>
          <w:sz w:val="21"/>
        </w:rPr>
        <w:t>Q.</w:t>
      </w:r>
      <w:r>
        <w:rPr>
          <w:i/>
          <w:color w:val="231F20"/>
          <w:spacing w:val="-12"/>
          <w:sz w:val="21"/>
        </w:rPr>
        <w:t> </w:t>
      </w:r>
      <w:r>
        <w:rPr>
          <w:i/>
          <w:color w:val="231F20"/>
          <w:sz w:val="21"/>
        </w:rPr>
        <w:t>prinopsis</w:t>
      </w:r>
      <w:r>
        <w:rPr>
          <w:color w:val="231F20"/>
          <w:sz w:val="21"/>
        </w:rPr>
        <w:t>,</w:t>
      </w:r>
      <w:r>
        <w:rPr>
          <w:color w:val="231F20"/>
          <w:spacing w:val="-12"/>
          <w:sz w:val="21"/>
        </w:rPr>
        <w:t> </w:t>
      </w:r>
      <w:r>
        <w:rPr>
          <w:i/>
          <w:color w:val="231F20"/>
          <w:sz w:val="21"/>
        </w:rPr>
        <w:t>Q.</w:t>
      </w:r>
      <w:r>
        <w:rPr>
          <w:i/>
          <w:color w:val="231F20"/>
          <w:spacing w:val="-12"/>
          <w:sz w:val="21"/>
        </w:rPr>
        <w:t> </w:t>
      </w:r>
      <w:r>
        <w:rPr>
          <w:i/>
          <w:color w:val="231F20"/>
          <w:sz w:val="21"/>
        </w:rPr>
        <w:t>resinosa</w:t>
      </w:r>
      <w:r>
        <w:rPr>
          <w:color w:val="231F20"/>
          <w:sz w:val="21"/>
        </w:rPr>
        <w:t>,</w:t>
      </w:r>
      <w:r>
        <w:rPr>
          <w:color w:val="231F20"/>
          <w:spacing w:val="-12"/>
          <w:sz w:val="21"/>
        </w:rPr>
        <w:t> </w:t>
      </w:r>
      <w:r>
        <w:rPr>
          <w:i/>
          <w:color w:val="231F20"/>
          <w:sz w:val="21"/>
        </w:rPr>
        <w:t>Q. </w:t>
      </w:r>
      <w:r>
        <w:rPr>
          <w:i/>
          <w:color w:val="231F20"/>
          <w:sz w:val="21"/>
        </w:rPr>
        <w:t>sartorii</w:t>
      </w:r>
      <w:r>
        <w:rPr>
          <w:color w:val="231F20"/>
          <w:sz w:val="21"/>
        </w:rPr>
        <w:t>, </w:t>
      </w:r>
      <w:r>
        <w:rPr>
          <w:i/>
          <w:color w:val="231F20"/>
          <w:sz w:val="21"/>
        </w:rPr>
        <w:t>Q. sideroxyla</w:t>
      </w:r>
      <w:r>
        <w:rPr>
          <w:color w:val="231F20"/>
          <w:sz w:val="21"/>
        </w:rPr>
        <w:t>, </w:t>
      </w:r>
      <w:r>
        <w:rPr>
          <w:i/>
          <w:color w:val="231F20"/>
          <w:sz w:val="21"/>
        </w:rPr>
        <w:t>Q. viminea </w:t>
      </w:r>
      <w:r>
        <w:rPr>
          <w:color w:val="231F20"/>
          <w:sz w:val="21"/>
        </w:rPr>
        <w:t>y </w:t>
      </w:r>
      <w:r>
        <w:rPr>
          <w:i/>
          <w:color w:val="231F20"/>
          <w:sz w:val="21"/>
        </w:rPr>
        <w:t>Q. xalapensis</w:t>
      </w:r>
      <w:r>
        <w:rPr>
          <w:color w:val="231F20"/>
          <w:sz w:val="21"/>
        </w:rPr>
        <w:t>, reportadas para este</w:t>
      </w:r>
      <w:r>
        <w:rPr>
          <w:color w:val="231F20"/>
          <w:spacing w:val="-25"/>
          <w:sz w:val="21"/>
        </w:rPr>
        <w:t> </w:t>
      </w:r>
      <w:r>
        <w:rPr>
          <w:color w:val="231F20"/>
          <w:sz w:val="21"/>
        </w:rPr>
        <w:t>estado.</w:t>
      </w:r>
    </w:p>
    <w:p>
      <w:pPr>
        <w:pStyle w:val="BodyText"/>
        <w:spacing w:before="10"/>
      </w:pPr>
    </w:p>
    <w:p>
      <w:pPr>
        <w:spacing w:line="247" w:lineRule="auto" w:before="0"/>
        <w:ind w:left="1269" w:right="1268" w:firstLine="0"/>
        <w:jc w:val="both"/>
        <w:rPr>
          <w:i/>
          <w:sz w:val="21"/>
        </w:rPr>
      </w:pPr>
      <w:r>
        <w:rPr>
          <w:color w:val="231F20"/>
          <w:sz w:val="21"/>
        </w:rPr>
        <w:t>Marroquín (1985) reporta a </w:t>
      </w:r>
      <w:r>
        <w:rPr>
          <w:i/>
          <w:color w:val="231F20"/>
          <w:sz w:val="21"/>
        </w:rPr>
        <w:t>Q. lacely Small </w:t>
      </w:r>
      <w:r>
        <w:rPr>
          <w:color w:val="231F20"/>
          <w:sz w:val="21"/>
        </w:rPr>
        <w:t>(encino blanco) desde los 800 msnm, </w:t>
      </w:r>
      <w:r>
        <w:rPr>
          <w:i/>
          <w:color w:val="231F20"/>
          <w:sz w:val="21"/>
        </w:rPr>
        <w:t>Q. polymorpha </w:t>
      </w:r>
      <w:r>
        <w:rPr>
          <w:i/>
          <w:color w:val="231F20"/>
          <w:sz w:val="21"/>
        </w:rPr>
        <w:t>Schl</w:t>
      </w:r>
      <w:r>
        <w:rPr>
          <w:color w:val="231F20"/>
          <w:sz w:val="21"/>
        </w:rPr>
        <w:t>.</w:t>
      </w:r>
      <w:r>
        <w:rPr>
          <w:color w:val="231F20"/>
          <w:spacing w:val="-4"/>
          <w:sz w:val="21"/>
        </w:rPr>
        <w:t> </w:t>
      </w:r>
      <w:r>
        <w:rPr>
          <w:i/>
          <w:color w:val="231F20"/>
          <w:sz w:val="21"/>
        </w:rPr>
        <w:t>&amp;</w:t>
      </w:r>
      <w:r>
        <w:rPr>
          <w:i/>
          <w:color w:val="231F20"/>
          <w:spacing w:val="-4"/>
          <w:sz w:val="21"/>
        </w:rPr>
        <w:t> </w:t>
      </w:r>
      <w:r>
        <w:rPr>
          <w:i/>
          <w:color w:val="231F20"/>
          <w:sz w:val="21"/>
        </w:rPr>
        <w:t>Cham</w:t>
      </w:r>
      <w:r>
        <w:rPr>
          <w:i/>
          <w:color w:val="231F20"/>
          <w:spacing w:val="-4"/>
          <w:sz w:val="21"/>
        </w:rPr>
        <w:t> </w:t>
      </w:r>
      <w:r>
        <w:rPr>
          <w:color w:val="231F20"/>
          <w:sz w:val="21"/>
        </w:rPr>
        <w:t>(encino</w:t>
      </w:r>
      <w:r>
        <w:rPr>
          <w:color w:val="231F20"/>
          <w:spacing w:val="-4"/>
          <w:sz w:val="21"/>
        </w:rPr>
        <w:t> </w:t>
      </w:r>
      <w:r>
        <w:rPr>
          <w:color w:val="231F20"/>
          <w:sz w:val="21"/>
        </w:rPr>
        <w:t>blanco,</w:t>
      </w:r>
      <w:r>
        <w:rPr>
          <w:color w:val="231F20"/>
          <w:spacing w:val="-4"/>
          <w:sz w:val="21"/>
        </w:rPr>
        <w:t> </w:t>
      </w:r>
      <w:r>
        <w:rPr>
          <w:color w:val="231F20"/>
          <w:sz w:val="21"/>
        </w:rPr>
        <w:t>encino</w:t>
      </w:r>
      <w:r>
        <w:rPr>
          <w:color w:val="231F20"/>
          <w:spacing w:val="-4"/>
          <w:sz w:val="21"/>
        </w:rPr>
        <w:t> </w:t>
      </w:r>
      <w:r>
        <w:rPr>
          <w:color w:val="231F20"/>
          <w:sz w:val="21"/>
        </w:rPr>
        <w:t>mora).</w:t>
      </w:r>
      <w:r>
        <w:rPr>
          <w:color w:val="231F20"/>
          <w:spacing w:val="-4"/>
          <w:sz w:val="21"/>
        </w:rPr>
        <w:t> </w:t>
      </w:r>
      <w:r>
        <w:rPr>
          <w:color w:val="231F20"/>
          <w:sz w:val="21"/>
        </w:rPr>
        <w:t>Entre</w:t>
      </w:r>
      <w:r>
        <w:rPr>
          <w:color w:val="231F20"/>
          <w:spacing w:val="-4"/>
          <w:sz w:val="21"/>
        </w:rPr>
        <w:t> </w:t>
      </w:r>
      <w:r>
        <w:rPr>
          <w:color w:val="231F20"/>
          <w:sz w:val="21"/>
        </w:rPr>
        <w:t>los</w:t>
      </w:r>
      <w:r>
        <w:rPr>
          <w:color w:val="231F20"/>
          <w:spacing w:val="-4"/>
          <w:sz w:val="21"/>
        </w:rPr>
        <w:t> </w:t>
      </w:r>
      <w:r>
        <w:rPr>
          <w:color w:val="231F20"/>
          <w:sz w:val="21"/>
        </w:rPr>
        <w:t>800</w:t>
      </w:r>
      <w:r>
        <w:rPr>
          <w:color w:val="231F20"/>
          <w:spacing w:val="-4"/>
          <w:sz w:val="21"/>
        </w:rPr>
        <w:t> </w:t>
      </w:r>
      <w:r>
        <w:rPr>
          <w:color w:val="231F20"/>
          <w:sz w:val="21"/>
        </w:rPr>
        <w:t>y</w:t>
      </w:r>
      <w:r>
        <w:rPr>
          <w:color w:val="231F20"/>
          <w:spacing w:val="-4"/>
          <w:sz w:val="21"/>
        </w:rPr>
        <w:t> </w:t>
      </w:r>
      <w:r>
        <w:rPr>
          <w:color w:val="231F20"/>
          <w:sz w:val="21"/>
        </w:rPr>
        <w:t>1100</w:t>
      </w:r>
      <w:r>
        <w:rPr>
          <w:color w:val="231F20"/>
          <w:spacing w:val="-4"/>
          <w:sz w:val="21"/>
        </w:rPr>
        <w:t> </w:t>
      </w:r>
      <w:r>
        <w:rPr>
          <w:color w:val="231F20"/>
          <w:sz w:val="21"/>
        </w:rPr>
        <w:t>msnm.</w:t>
      </w:r>
      <w:r>
        <w:rPr>
          <w:color w:val="231F20"/>
          <w:spacing w:val="-8"/>
          <w:sz w:val="21"/>
        </w:rPr>
        <w:t> </w:t>
      </w:r>
      <w:r>
        <w:rPr>
          <w:color w:val="231F20"/>
          <w:spacing w:val="-3"/>
          <w:sz w:val="21"/>
        </w:rPr>
        <w:t>Tomando</w:t>
      </w:r>
      <w:r>
        <w:rPr>
          <w:color w:val="231F20"/>
          <w:spacing w:val="-4"/>
          <w:sz w:val="21"/>
        </w:rPr>
        <w:t> </w:t>
      </w:r>
      <w:r>
        <w:rPr>
          <w:color w:val="231F20"/>
          <w:sz w:val="21"/>
        </w:rPr>
        <w:t>como</w:t>
      </w:r>
      <w:r>
        <w:rPr>
          <w:color w:val="231F20"/>
          <w:spacing w:val="-4"/>
          <w:sz w:val="21"/>
        </w:rPr>
        <w:t> </w:t>
      </w:r>
      <w:r>
        <w:rPr>
          <w:color w:val="231F20"/>
          <w:sz w:val="21"/>
        </w:rPr>
        <w:t>referencia a</w:t>
      </w:r>
      <w:r>
        <w:rPr>
          <w:color w:val="231F20"/>
          <w:spacing w:val="-8"/>
          <w:sz w:val="21"/>
        </w:rPr>
        <w:t> </w:t>
      </w:r>
      <w:r>
        <w:rPr>
          <w:color w:val="231F20"/>
          <w:sz w:val="21"/>
        </w:rPr>
        <w:t>Zavala</w:t>
      </w:r>
      <w:r>
        <w:rPr>
          <w:color w:val="231F20"/>
          <w:spacing w:val="-8"/>
          <w:sz w:val="21"/>
        </w:rPr>
        <w:t> </w:t>
      </w:r>
      <w:r>
        <w:rPr>
          <w:color w:val="231F20"/>
          <w:sz w:val="21"/>
        </w:rPr>
        <w:t>(1989),</w:t>
      </w:r>
      <w:r>
        <w:rPr>
          <w:color w:val="231F20"/>
          <w:spacing w:val="-8"/>
          <w:sz w:val="21"/>
        </w:rPr>
        <w:t> </w:t>
      </w:r>
      <w:r>
        <w:rPr>
          <w:color w:val="231F20"/>
          <w:sz w:val="21"/>
        </w:rPr>
        <w:t>se</w:t>
      </w:r>
      <w:r>
        <w:rPr>
          <w:color w:val="231F20"/>
          <w:spacing w:val="-8"/>
          <w:sz w:val="21"/>
        </w:rPr>
        <w:t> </w:t>
      </w:r>
      <w:r>
        <w:rPr>
          <w:color w:val="231F20"/>
          <w:sz w:val="21"/>
        </w:rPr>
        <w:t>reportan</w:t>
      </w:r>
      <w:r>
        <w:rPr>
          <w:color w:val="231F20"/>
          <w:spacing w:val="-8"/>
          <w:sz w:val="21"/>
        </w:rPr>
        <w:t> </w:t>
      </w:r>
      <w:r>
        <w:rPr>
          <w:color w:val="231F20"/>
          <w:sz w:val="21"/>
        </w:rPr>
        <w:t>las</w:t>
      </w:r>
      <w:r>
        <w:rPr>
          <w:color w:val="231F20"/>
          <w:spacing w:val="-8"/>
          <w:sz w:val="21"/>
        </w:rPr>
        <w:t> </w:t>
      </w:r>
      <w:r>
        <w:rPr>
          <w:color w:val="231F20"/>
          <w:sz w:val="21"/>
        </w:rPr>
        <w:t>siguientes</w:t>
      </w:r>
      <w:r>
        <w:rPr>
          <w:color w:val="231F20"/>
          <w:spacing w:val="-8"/>
          <w:sz w:val="21"/>
        </w:rPr>
        <w:t> </w:t>
      </w:r>
      <w:r>
        <w:rPr>
          <w:color w:val="231F20"/>
          <w:sz w:val="21"/>
        </w:rPr>
        <w:t>especies</w:t>
      </w:r>
      <w:r>
        <w:rPr>
          <w:color w:val="231F20"/>
          <w:spacing w:val="-8"/>
          <w:sz w:val="21"/>
        </w:rPr>
        <w:t> </w:t>
      </w:r>
      <w:r>
        <w:rPr>
          <w:color w:val="231F20"/>
          <w:sz w:val="21"/>
        </w:rPr>
        <w:t>para</w:t>
      </w:r>
      <w:r>
        <w:rPr>
          <w:color w:val="231F20"/>
          <w:spacing w:val="-8"/>
          <w:sz w:val="21"/>
        </w:rPr>
        <w:t> </w:t>
      </w:r>
      <w:r>
        <w:rPr>
          <w:color w:val="231F20"/>
          <w:sz w:val="21"/>
        </w:rPr>
        <w:t>este</w:t>
      </w:r>
      <w:r>
        <w:rPr>
          <w:color w:val="231F20"/>
          <w:spacing w:val="-8"/>
          <w:sz w:val="21"/>
        </w:rPr>
        <w:t> </w:t>
      </w:r>
      <w:r>
        <w:rPr>
          <w:color w:val="231F20"/>
          <w:sz w:val="21"/>
        </w:rPr>
        <w:t>estado:</w:t>
      </w:r>
      <w:r>
        <w:rPr>
          <w:color w:val="231F20"/>
          <w:spacing w:val="-8"/>
          <w:sz w:val="21"/>
        </w:rPr>
        <w:t> </w:t>
      </w:r>
      <w:r>
        <w:rPr>
          <w:i/>
          <w:color w:val="231F20"/>
          <w:sz w:val="21"/>
        </w:rPr>
        <w:t>Quercus</w:t>
      </w:r>
      <w:r>
        <w:rPr>
          <w:i/>
          <w:color w:val="231F20"/>
          <w:spacing w:val="-8"/>
          <w:sz w:val="21"/>
        </w:rPr>
        <w:t> </w:t>
      </w:r>
      <w:r>
        <w:rPr>
          <w:i/>
          <w:color w:val="231F20"/>
          <w:sz w:val="21"/>
        </w:rPr>
        <w:t>affinis</w:t>
      </w:r>
      <w:r>
        <w:rPr>
          <w:i/>
          <w:color w:val="231F20"/>
          <w:spacing w:val="-8"/>
          <w:sz w:val="21"/>
        </w:rPr>
        <w:t> </w:t>
      </w:r>
      <w:r>
        <w:rPr>
          <w:i/>
          <w:color w:val="231F20"/>
          <w:sz w:val="21"/>
        </w:rPr>
        <w:t>Scheid.</w:t>
      </w:r>
      <w:r>
        <w:rPr>
          <w:color w:val="231F20"/>
          <w:sz w:val="21"/>
        </w:rPr>
        <w:t>,</w:t>
      </w:r>
      <w:r>
        <w:rPr>
          <w:color w:val="231F20"/>
          <w:spacing w:val="-8"/>
          <w:sz w:val="21"/>
        </w:rPr>
        <w:t> </w:t>
      </w:r>
      <w:r>
        <w:rPr>
          <w:i/>
          <w:color w:val="231F20"/>
          <w:sz w:val="21"/>
        </w:rPr>
        <w:t>Q.</w:t>
      </w:r>
      <w:r>
        <w:rPr>
          <w:i/>
          <w:color w:val="231F20"/>
          <w:spacing w:val="-8"/>
          <w:sz w:val="21"/>
        </w:rPr>
        <w:t> </w:t>
      </w:r>
      <w:r>
        <w:rPr>
          <w:i/>
          <w:color w:val="231F20"/>
          <w:sz w:val="21"/>
        </w:rPr>
        <w:t>can- </w:t>
      </w:r>
      <w:r>
        <w:rPr>
          <w:i/>
          <w:color w:val="231F20"/>
          <w:sz w:val="21"/>
        </w:rPr>
        <w:t>dicans</w:t>
      </w:r>
      <w:r>
        <w:rPr>
          <w:i/>
          <w:color w:val="231F20"/>
          <w:spacing w:val="-6"/>
          <w:sz w:val="21"/>
        </w:rPr>
        <w:t> </w:t>
      </w:r>
      <w:r>
        <w:rPr>
          <w:i/>
          <w:color w:val="231F20"/>
          <w:sz w:val="21"/>
        </w:rPr>
        <w:t>Née</w:t>
      </w:r>
      <w:r>
        <w:rPr>
          <w:color w:val="231F20"/>
          <w:sz w:val="21"/>
        </w:rPr>
        <w:t>.,</w:t>
      </w:r>
      <w:r>
        <w:rPr>
          <w:color w:val="231F20"/>
          <w:spacing w:val="-6"/>
          <w:sz w:val="21"/>
        </w:rPr>
        <w:t> </w:t>
      </w:r>
      <w:r>
        <w:rPr>
          <w:i/>
          <w:color w:val="231F20"/>
          <w:sz w:val="21"/>
        </w:rPr>
        <w:t>Q.</w:t>
      </w:r>
      <w:r>
        <w:rPr>
          <w:i/>
          <w:color w:val="231F20"/>
          <w:spacing w:val="-6"/>
          <w:sz w:val="21"/>
        </w:rPr>
        <w:t> </w:t>
      </w:r>
      <w:r>
        <w:rPr>
          <w:i/>
          <w:color w:val="231F20"/>
          <w:sz w:val="21"/>
        </w:rPr>
        <w:t>castanea</w:t>
      </w:r>
      <w:r>
        <w:rPr>
          <w:i/>
          <w:color w:val="231F20"/>
          <w:spacing w:val="-7"/>
          <w:sz w:val="21"/>
        </w:rPr>
        <w:t> </w:t>
      </w:r>
      <w:r>
        <w:rPr>
          <w:i/>
          <w:color w:val="231F20"/>
          <w:sz w:val="21"/>
        </w:rPr>
        <w:t>Née</w:t>
      </w:r>
      <w:r>
        <w:rPr>
          <w:color w:val="231F20"/>
          <w:sz w:val="21"/>
        </w:rPr>
        <w:t>.,</w:t>
      </w:r>
      <w:r>
        <w:rPr>
          <w:color w:val="231F20"/>
          <w:spacing w:val="-6"/>
          <w:sz w:val="21"/>
        </w:rPr>
        <w:t> </w:t>
      </w:r>
      <w:r>
        <w:rPr>
          <w:i/>
          <w:color w:val="231F20"/>
          <w:sz w:val="21"/>
        </w:rPr>
        <w:t>Q.</w:t>
      </w:r>
      <w:r>
        <w:rPr>
          <w:i/>
          <w:color w:val="231F20"/>
          <w:spacing w:val="-6"/>
          <w:sz w:val="21"/>
        </w:rPr>
        <w:t> </w:t>
      </w:r>
      <w:r>
        <w:rPr>
          <w:i/>
          <w:color w:val="231F20"/>
          <w:sz w:val="21"/>
        </w:rPr>
        <w:t>coccolobifolia</w:t>
      </w:r>
      <w:r>
        <w:rPr>
          <w:i/>
          <w:color w:val="231F20"/>
          <w:spacing w:val="-7"/>
          <w:sz w:val="21"/>
        </w:rPr>
        <w:t> </w:t>
      </w:r>
      <w:r>
        <w:rPr>
          <w:i/>
          <w:color w:val="231F20"/>
          <w:sz w:val="21"/>
        </w:rPr>
        <w:t>trel.</w:t>
      </w:r>
      <w:r>
        <w:rPr>
          <w:color w:val="231F20"/>
          <w:sz w:val="21"/>
        </w:rPr>
        <w:t>,</w:t>
      </w:r>
      <w:r>
        <w:rPr>
          <w:color w:val="231F20"/>
          <w:spacing w:val="-6"/>
          <w:sz w:val="21"/>
        </w:rPr>
        <w:t> </w:t>
      </w:r>
      <w:r>
        <w:rPr>
          <w:i/>
          <w:color w:val="231F20"/>
          <w:sz w:val="21"/>
        </w:rPr>
        <w:t>Q.</w:t>
      </w:r>
      <w:r>
        <w:rPr>
          <w:i/>
          <w:color w:val="231F20"/>
          <w:spacing w:val="-6"/>
          <w:sz w:val="21"/>
        </w:rPr>
        <w:t> </w:t>
      </w:r>
      <w:r>
        <w:rPr>
          <w:i/>
          <w:color w:val="231F20"/>
          <w:sz w:val="21"/>
        </w:rPr>
        <w:t>crassifolia</w:t>
      </w:r>
      <w:r>
        <w:rPr>
          <w:i/>
          <w:color w:val="231F20"/>
          <w:spacing w:val="-7"/>
          <w:sz w:val="21"/>
        </w:rPr>
        <w:t> </w:t>
      </w:r>
      <w:r>
        <w:rPr>
          <w:i/>
          <w:color w:val="231F20"/>
          <w:sz w:val="21"/>
        </w:rPr>
        <w:t>Humb.</w:t>
      </w:r>
      <w:r>
        <w:rPr>
          <w:i/>
          <w:color w:val="231F20"/>
          <w:spacing w:val="-6"/>
          <w:sz w:val="21"/>
        </w:rPr>
        <w:t> </w:t>
      </w:r>
      <w:r>
        <w:rPr>
          <w:i/>
          <w:color w:val="231F20"/>
          <w:sz w:val="21"/>
        </w:rPr>
        <w:t>&amp;</w:t>
      </w:r>
      <w:r>
        <w:rPr>
          <w:i/>
          <w:color w:val="231F20"/>
          <w:spacing w:val="-6"/>
          <w:sz w:val="21"/>
        </w:rPr>
        <w:t> </w:t>
      </w:r>
      <w:r>
        <w:rPr>
          <w:i/>
          <w:color w:val="231F20"/>
          <w:sz w:val="21"/>
        </w:rPr>
        <w:t>Bonpl.</w:t>
      </w:r>
      <w:r>
        <w:rPr>
          <w:color w:val="231F20"/>
          <w:sz w:val="21"/>
        </w:rPr>
        <w:t>,</w:t>
      </w:r>
      <w:r>
        <w:rPr>
          <w:color w:val="231F20"/>
          <w:spacing w:val="-6"/>
          <w:sz w:val="21"/>
        </w:rPr>
        <w:t> </w:t>
      </w:r>
      <w:r>
        <w:rPr>
          <w:i/>
          <w:color w:val="231F20"/>
          <w:sz w:val="21"/>
        </w:rPr>
        <w:t>Q.</w:t>
      </w:r>
      <w:r>
        <w:rPr>
          <w:i/>
          <w:color w:val="231F20"/>
          <w:spacing w:val="-6"/>
          <w:sz w:val="21"/>
        </w:rPr>
        <w:t> </w:t>
      </w:r>
      <w:r>
        <w:rPr>
          <w:i/>
          <w:color w:val="231F20"/>
          <w:sz w:val="21"/>
        </w:rPr>
        <w:t>dysophylla</w:t>
      </w:r>
    </w:p>
    <w:p>
      <w:pPr>
        <w:spacing w:after="0" w:line="247" w:lineRule="auto"/>
        <w:jc w:val="both"/>
        <w:rPr>
          <w:sz w:val="21"/>
        </w:rPr>
        <w:sectPr>
          <w:pgSz w:w="10920" w:h="13080"/>
          <w:pgMar w:header="0" w:footer="965" w:top="420" w:bottom="1220" w:left="0" w:right="0"/>
        </w:sectPr>
      </w:pPr>
    </w:p>
    <w:p>
      <w:pPr>
        <w:pStyle w:val="BodyText"/>
        <w:rPr>
          <w:i/>
          <w:sz w:val="20"/>
        </w:rPr>
      </w:pPr>
    </w:p>
    <w:p>
      <w:pPr>
        <w:pStyle w:val="BodyText"/>
        <w:rPr>
          <w:i/>
          <w:sz w:val="20"/>
        </w:rPr>
      </w:pPr>
    </w:p>
    <w:p>
      <w:pPr>
        <w:pStyle w:val="BodyText"/>
        <w:rPr>
          <w:i/>
          <w:sz w:val="23"/>
        </w:rPr>
      </w:pPr>
    </w:p>
    <w:p>
      <w:pPr>
        <w:spacing w:line="247" w:lineRule="auto" w:before="73"/>
        <w:ind w:left="1270" w:right="1268" w:firstLine="0"/>
        <w:jc w:val="both"/>
        <w:rPr>
          <w:sz w:val="21"/>
        </w:rPr>
      </w:pPr>
      <w:r>
        <w:rPr>
          <w:i/>
          <w:color w:val="231F20"/>
          <w:sz w:val="21"/>
        </w:rPr>
        <w:t>Benth.</w:t>
      </w:r>
      <w:r>
        <w:rPr>
          <w:color w:val="231F20"/>
          <w:sz w:val="21"/>
        </w:rPr>
        <w:t>,</w:t>
      </w:r>
      <w:r>
        <w:rPr>
          <w:color w:val="231F20"/>
          <w:spacing w:val="-3"/>
          <w:sz w:val="21"/>
        </w:rPr>
        <w:t> </w:t>
      </w:r>
      <w:r>
        <w:rPr>
          <w:i/>
          <w:color w:val="231F20"/>
          <w:sz w:val="21"/>
        </w:rPr>
        <w:t>Q.</w:t>
      </w:r>
      <w:r>
        <w:rPr>
          <w:i/>
          <w:color w:val="231F20"/>
          <w:spacing w:val="-3"/>
          <w:sz w:val="21"/>
        </w:rPr>
        <w:t> </w:t>
      </w:r>
      <w:r>
        <w:rPr>
          <w:i/>
          <w:color w:val="231F20"/>
          <w:sz w:val="21"/>
        </w:rPr>
        <w:t>eduardii</w:t>
      </w:r>
      <w:r>
        <w:rPr>
          <w:i/>
          <w:color w:val="231F20"/>
          <w:spacing w:val="-3"/>
          <w:sz w:val="21"/>
        </w:rPr>
        <w:t> </w:t>
      </w:r>
      <w:r>
        <w:rPr>
          <w:i/>
          <w:color w:val="231F20"/>
          <w:spacing w:val="-4"/>
          <w:sz w:val="21"/>
        </w:rPr>
        <w:t>Trel.</w:t>
      </w:r>
      <w:r>
        <w:rPr>
          <w:color w:val="231F20"/>
          <w:spacing w:val="-4"/>
          <w:sz w:val="21"/>
        </w:rPr>
        <w:t>,</w:t>
      </w:r>
      <w:r>
        <w:rPr>
          <w:color w:val="231F20"/>
          <w:spacing w:val="-3"/>
          <w:sz w:val="21"/>
        </w:rPr>
        <w:t> </w:t>
      </w:r>
      <w:r>
        <w:rPr>
          <w:i/>
          <w:color w:val="231F20"/>
          <w:sz w:val="21"/>
        </w:rPr>
        <w:t>Q.</w:t>
      </w:r>
      <w:r>
        <w:rPr>
          <w:i/>
          <w:color w:val="231F20"/>
          <w:spacing w:val="-3"/>
          <w:sz w:val="21"/>
        </w:rPr>
        <w:t> </w:t>
      </w:r>
      <w:r>
        <w:rPr>
          <w:i/>
          <w:color w:val="231F20"/>
          <w:sz w:val="21"/>
        </w:rPr>
        <w:t>elliptica</w:t>
      </w:r>
      <w:r>
        <w:rPr>
          <w:i/>
          <w:color w:val="231F20"/>
          <w:spacing w:val="-4"/>
          <w:sz w:val="21"/>
        </w:rPr>
        <w:t> </w:t>
      </w:r>
      <w:r>
        <w:rPr>
          <w:i/>
          <w:color w:val="231F20"/>
          <w:sz w:val="21"/>
        </w:rPr>
        <w:t>Née.</w:t>
      </w:r>
      <w:r>
        <w:rPr>
          <w:color w:val="231F20"/>
          <w:sz w:val="21"/>
        </w:rPr>
        <w:t>,</w:t>
      </w:r>
      <w:r>
        <w:rPr>
          <w:color w:val="231F20"/>
          <w:spacing w:val="-3"/>
          <w:sz w:val="21"/>
        </w:rPr>
        <w:t> </w:t>
      </w:r>
      <w:r>
        <w:rPr>
          <w:i/>
          <w:color w:val="231F20"/>
          <w:sz w:val="21"/>
        </w:rPr>
        <w:t>Q.</w:t>
      </w:r>
      <w:r>
        <w:rPr>
          <w:i/>
          <w:color w:val="231F20"/>
          <w:spacing w:val="-3"/>
          <w:sz w:val="21"/>
        </w:rPr>
        <w:t> </w:t>
      </w:r>
      <w:r>
        <w:rPr>
          <w:i/>
          <w:color w:val="231F20"/>
          <w:sz w:val="21"/>
        </w:rPr>
        <w:t>excels</w:t>
      </w:r>
      <w:r>
        <w:rPr>
          <w:i/>
          <w:color w:val="231F20"/>
          <w:spacing w:val="-3"/>
          <w:sz w:val="21"/>
        </w:rPr>
        <w:t> </w:t>
      </w:r>
      <w:r>
        <w:rPr>
          <w:i/>
          <w:color w:val="231F20"/>
          <w:sz w:val="21"/>
        </w:rPr>
        <w:t>Liebm.</w:t>
      </w:r>
      <w:r>
        <w:rPr>
          <w:color w:val="231F20"/>
          <w:sz w:val="21"/>
        </w:rPr>
        <w:t>,</w:t>
      </w:r>
      <w:r>
        <w:rPr>
          <w:color w:val="231F20"/>
          <w:spacing w:val="-3"/>
          <w:sz w:val="21"/>
        </w:rPr>
        <w:t> </w:t>
      </w:r>
      <w:r>
        <w:rPr>
          <w:i/>
          <w:color w:val="231F20"/>
          <w:sz w:val="21"/>
        </w:rPr>
        <w:t>Q.</w:t>
      </w:r>
      <w:r>
        <w:rPr>
          <w:i/>
          <w:color w:val="231F20"/>
          <w:spacing w:val="-3"/>
          <w:sz w:val="21"/>
        </w:rPr>
        <w:t> </w:t>
      </w:r>
      <w:r>
        <w:rPr>
          <w:i/>
          <w:color w:val="231F20"/>
          <w:sz w:val="21"/>
        </w:rPr>
        <w:t>hypoxantha</w:t>
      </w:r>
      <w:r>
        <w:rPr>
          <w:i/>
          <w:color w:val="231F20"/>
          <w:spacing w:val="-3"/>
          <w:sz w:val="21"/>
        </w:rPr>
        <w:t> </w:t>
      </w:r>
      <w:r>
        <w:rPr>
          <w:i/>
          <w:color w:val="231F20"/>
          <w:spacing w:val="-4"/>
          <w:sz w:val="21"/>
        </w:rPr>
        <w:t>Trel.</w:t>
      </w:r>
      <w:r>
        <w:rPr>
          <w:color w:val="231F20"/>
          <w:spacing w:val="-4"/>
          <w:sz w:val="21"/>
        </w:rPr>
        <w:t>,</w:t>
      </w:r>
      <w:r>
        <w:rPr>
          <w:color w:val="231F20"/>
          <w:spacing w:val="-3"/>
          <w:sz w:val="21"/>
        </w:rPr>
        <w:t> </w:t>
      </w:r>
      <w:r>
        <w:rPr>
          <w:i/>
          <w:color w:val="231F20"/>
          <w:sz w:val="21"/>
        </w:rPr>
        <w:t>Q.</w:t>
      </w:r>
      <w:r>
        <w:rPr>
          <w:i/>
          <w:color w:val="231F20"/>
          <w:spacing w:val="-3"/>
          <w:sz w:val="21"/>
        </w:rPr>
        <w:t> </w:t>
      </w:r>
      <w:r>
        <w:rPr>
          <w:i/>
          <w:color w:val="231F20"/>
          <w:sz w:val="21"/>
        </w:rPr>
        <w:t>laurina</w:t>
      </w:r>
      <w:r>
        <w:rPr>
          <w:i/>
          <w:color w:val="231F20"/>
          <w:spacing w:val="-4"/>
          <w:sz w:val="21"/>
        </w:rPr>
        <w:t> </w:t>
      </w:r>
      <w:r>
        <w:rPr>
          <w:i/>
          <w:color w:val="231F20"/>
          <w:sz w:val="21"/>
        </w:rPr>
        <w:t>Humb. </w:t>
      </w:r>
      <w:r>
        <w:rPr>
          <w:i/>
          <w:color w:val="231F20"/>
          <w:sz w:val="21"/>
        </w:rPr>
        <w:t>&amp; Bonpl.</w:t>
      </w:r>
      <w:r>
        <w:rPr>
          <w:color w:val="231F20"/>
          <w:sz w:val="21"/>
        </w:rPr>
        <w:t>, </w:t>
      </w:r>
      <w:r>
        <w:rPr>
          <w:i/>
          <w:color w:val="231F20"/>
          <w:sz w:val="21"/>
        </w:rPr>
        <w:t>Q.mexicana Humb. &amp; Bonpl.</w:t>
      </w:r>
      <w:r>
        <w:rPr>
          <w:color w:val="231F20"/>
          <w:sz w:val="21"/>
        </w:rPr>
        <w:t>, </w:t>
      </w:r>
      <w:r>
        <w:rPr>
          <w:i/>
          <w:color w:val="231F20"/>
          <w:sz w:val="21"/>
        </w:rPr>
        <w:t>Q. microphylla Née.</w:t>
      </w:r>
      <w:r>
        <w:rPr>
          <w:color w:val="231F20"/>
          <w:sz w:val="21"/>
        </w:rPr>
        <w:t>, </w:t>
      </w:r>
      <w:r>
        <w:rPr>
          <w:i/>
          <w:color w:val="231F20"/>
          <w:sz w:val="21"/>
        </w:rPr>
        <w:t>Q. obtusata Humb. &amp; Bonpl.</w:t>
      </w:r>
      <w:r>
        <w:rPr>
          <w:color w:val="231F20"/>
          <w:sz w:val="21"/>
        </w:rPr>
        <w:t>, </w:t>
      </w:r>
      <w:r>
        <w:rPr>
          <w:i/>
          <w:color w:val="231F20"/>
          <w:sz w:val="21"/>
        </w:rPr>
        <w:t>Q. ole- </w:t>
      </w:r>
      <w:r>
        <w:rPr>
          <w:i/>
          <w:color w:val="231F20"/>
          <w:sz w:val="21"/>
        </w:rPr>
        <w:t>oides Schlecht. &amp; Cham.</w:t>
      </w:r>
      <w:r>
        <w:rPr>
          <w:color w:val="231F20"/>
          <w:sz w:val="21"/>
        </w:rPr>
        <w:t>, </w:t>
      </w:r>
      <w:r>
        <w:rPr>
          <w:i/>
          <w:color w:val="231F20"/>
          <w:sz w:val="21"/>
        </w:rPr>
        <w:t>Q.polymorpha Schlecht. &amp; Cham.</w:t>
      </w:r>
      <w:r>
        <w:rPr>
          <w:color w:val="231F20"/>
          <w:sz w:val="21"/>
        </w:rPr>
        <w:t>, </w:t>
      </w:r>
      <w:r>
        <w:rPr>
          <w:i/>
          <w:color w:val="231F20"/>
          <w:sz w:val="21"/>
        </w:rPr>
        <w:t>Q.potosina </w:t>
      </w:r>
      <w:r>
        <w:rPr>
          <w:i/>
          <w:color w:val="231F20"/>
          <w:spacing w:val="-4"/>
          <w:sz w:val="21"/>
        </w:rPr>
        <w:t>Trel.</w:t>
      </w:r>
      <w:r>
        <w:rPr>
          <w:color w:val="231F20"/>
          <w:spacing w:val="-4"/>
          <w:sz w:val="21"/>
        </w:rPr>
        <w:t>, </w:t>
      </w:r>
      <w:r>
        <w:rPr>
          <w:i/>
          <w:color w:val="231F20"/>
          <w:sz w:val="21"/>
        </w:rPr>
        <w:t>Q. resinosa </w:t>
      </w:r>
      <w:r>
        <w:rPr>
          <w:i/>
          <w:color w:val="231F20"/>
          <w:spacing w:val="29"/>
          <w:sz w:val="21"/>
        </w:rPr>
        <w:t> </w:t>
      </w:r>
      <w:r>
        <w:rPr>
          <w:i/>
          <w:color w:val="231F20"/>
          <w:sz w:val="21"/>
        </w:rPr>
        <w:t>Liebm.</w:t>
      </w:r>
      <w:r>
        <w:rPr>
          <w:color w:val="231F20"/>
          <w:sz w:val="21"/>
        </w:rPr>
        <w:t>,</w:t>
      </w:r>
    </w:p>
    <w:p>
      <w:pPr>
        <w:spacing w:line="247" w:lineRule="auto" w:before="1"/>
        <w:ind w:left="1270" w:right="1267" w:firstLine="0"/>
        <w:jc w:val="both"/>
        <w:rPr>
          <w:sz w:val="21"/>
        </w:rPr>
      </w:pPr>
      <w:r>
        <w:rPr>
          <w:i/>
          <w:color w:val="231F20"/>
          <w:sz w:val="21"/>
        </w:rPr>
        <w:t>Q. rugosa Née.</w:t>
      </w:r>
      <w:r>
        <w:rPr>
          <w:color w:val="231F20"/>
          <w:sz w:val="21"/>
        </w:rPr>
        <w:t>, y probablemente </w:t>
      </w:r>
      <w:r>
        <w:rPr>
          <w:i/>
          <w:color w:val="231F20"/>
          <w:sz w:val="21"/>
        </w:rPr>
        <w:t>Q. repanda Humb. &amp; Bonpl. </w:t>
      </w:r>
      <w:r>
        <w:rPr>
          <w:color w:val="231F20"/>
          <w:sz w:val="21"/>
        </w:rPr>
        <w:t>y </w:t>
      </w:r>
      <w:r>
        <w:rPr>
          <w:i/>
          <w:color w:val="231F20"/>
          <w:sz w:val="21"/>
        </w:rPr>
        <w:t>Q. reticulata H.B.K. </w:t>
      </w:r>
      <w:r>
        <w:rPr>
          <w:color w:val="231F20"/>
          <w:sz w:val="21"/>
        </w:rPr>
        <w:t>Zavala </w:t>
      </w:r>
      <w:r>
        <w:rPr>
          <w:i/>
          <w:color w:val="231F20"/>
          <w:sz w:val="21"/>
        </w:rPr>
        <w:t>et al. </w:t>
      </w:r>
      <w:r>
        <w:rPr>
          <w:color w:val="231F20"/>
          <w:sz w:val="21"/>
        </w:rPr>
        <w:t>(1999) hacen una revisión de los encinos colectados en el herbario Chap. reportando las siguientes especies</w:t>
      </w:r>
      <w:r>
        <w:rPr>
          <w:color w:val="231F20"/>
          <w:spacing w:val="-6"/>
          <w:sz w:val="21"/>
        </w:rPr>
        <w:t> </w:t>
      </w:r>
      <w:r>
        <w:rPr>
          <w:color w:val="231F20"/>
          <w:sz w:val="21"/>
        </w:rPr>
        <w:t>del</w:t>
      </w:r>
      <w:r>
        <w:rPr>
          <w:color w:val="231F20"/>
          <w:spacing w:val="-6"/>
          <w:sz w:val="21"/>
        </w:rPr>
        <w:t> </w:t>
      </w:r>
      <w:r>
        <w:rPr>
          <w:color w:val="231F20"/>
          <w:sz w:val="21"/>
        </w:rPr>
        <w:t>género</w:t>
      </w:r>
      <w:r>
        <w:rPr>
          <w:color w:val="231F20"/>
          <w:spacing w:val="-6"/>
          <w:sz w:val="21"/>
        </w:rPr>
        <w:t> </w:t>
      </w:r>
      <w:r>
        <w:rPr>
          <w:i/>
          <w:color w:val="231F20"/>
          <w:sz w:val="21"/>
        </w:rPr>
        <w:t>Quercus</w:t>
      </w:r>
      <w:r>
        <w:rPr>
          <w:i/>
          <w:color w:val="231F20"/>
          <w:spacing w:val="-6"/>
          <w:sz w:val="21"/>
        </w:rPr>
        <w:t> </w:t>
      </w:r>
      <w:r>
        <w:rPr>
          <w:color w:val="231F20"/>
          <w:sz w:val="21"/>
        </w:rPr>
        <w:t>para</w:t>
      </w:r>
      <w:r>
        <w:rPr>
          <w:color w:val="231F20"/>
          <w:spacing w:val="-6"/>
          <w:sz w:val="21"/>
        </w:rPr>
        <w:t> </w:t>
      </w:r>
      <w:r>
        <w:rPr>
          <w:color w:val="231F20"/>
          <w:sz w:val="21"/>
        </w:rPr>
        <w:t>el</w:t>
      </w:r>
      <w:r>
        <w:rPr>
          <w:color w:val="231F20"/>
          <w:spacing w:val="-6"/>
          <w:sz w:val="21"/>
        </w:rPr>
        <w:t> </w:t>
      </w:r>
      <w:r>
        <w:rPr>
          <w:color w:val="231F20"/>
          <w:sz w:val="21"/>
        </w:rPr>
        <w:t>Edo.</w:t>
      </w:r>
      <w:r>
        <w:rPr>
          <w:color w:val="231F20"/>
          <w:spacing w:val="-6"/>
          <w:sz w:val="21"/>
        </w:rPr>
        <w:t> </w:t>
      </w:r>
      <w:r>
        <w:rPr>
          <w:color w:val="231F20"/>
          <w:sz w:val="21"/>
        </w:rPr>
        <w:t>de</w:t>
      </w:r>
      <w:r>
        <w:rPr>
          <w:color w:val="231F20"/>
          <w:spacing w:val="-6"/>
          <w:sz w:val="21"/>
        </w:rPr>
        <w:t> </w:t>
      </w:r>
      <w:r>
        <w:rPr>
          <w:color w:val="231F20"/>
          <w:sz w:val="21"/>
        </w:rPr>
        <w:t>S.L.P:</w:t>
      </w:r>
      <w:r>
        <w:rPr>
          <w:color w:val="231F20"/>
          <w:spacing w:val="-5"/>
          <w:sz w:val="21"/>
        </w:rPr>
        <w:t> </w:t>
      </w:r>
      <w:r>
        <w:rPr>
          <w:i/>
          <w:color w:val="231F20"/>
          <w:sz w:val="21"/>
        </w:rPr>
        <w:t>Q.</w:t>
      </w:r>
      <w:r>
        <w:rPr>
          <w:i/>
          <w:color w:val="231F20"/>
          <w:spacing w:val="-6"/>
          <w:sz w:val="21"/>
        </w:rPr>
        <w:t> </w:t>
      </w:r>
      <w:r>
        <w:rPr>
          <w:i/>
          <w:color w:val="231F20"/>
          <w:sz w:val="21"/>
        </w:rPr>
        <w:t>castanea</w:t>
      </w:r>
      <w:r>
        <w:rPr>
          <w:i/>
          <w:color w:val="231F20"/>
          <w:spacing w:val="-6"/>
          <w:sz w:val="21"/>
        </w:rPr>
        <w:t> </w:t>
      </w:r>
      <w:r>
        <w:rPr>
          <w:i/>
          <w:color w:val="231F20"/>
          <w:sz w:val="21"/>
        </w:rPr>
        <w:t>Née</w:t>
      </w:r>
      <w:r>
        <w:rPr>
          <w:color w:val="231F20"/>
          <w:sz w:val="21"/>
        </w:rPr>
        <w:t>.</w:t>
      </w:r>
      <w:r>
        <w:rPr>
          <w:color w:val="231F20"/>
          <w:spacing w:val="-6"/>
          <w:sz w:val="21"/>
        </w:rPr>
        <w:t> </w:t>
      </w:r>
      <w:r>
        <w:rPr>
          <w:color w:val="231F20"/>
          <w:sz w:val="21"/>
        </w:rPr>
        <w:t>Se</w:t>
      </w:r>
      <w:r>
        <w:rPr>
          <w:color w:val="231F20"/>
          <w:spacing w:val="-6"/>
          <w:sz w:val="21"/>
        </w:rPr>
        <w:t> </w:t>
      </w:r>
      <w:r>
        <w:rPr>
          <w:color w:val="231F20"/>
          <w:sz w:val="21"/>
        </w:rPr>
        <w:t>reporta</w:t>
      </w:r>
      <w:r>
        <w:rPr>
          <w:color w:val="231F20"/>
          <w:spacing w:val="-6"/>
          <w:sz w:val="21"/>
        </w:rPr>
        <w:t> </w:t>
      </w:r>
      <w:r>
        <w:rPr>
          <w:color w:val="231F20"/>
          <w:sz w:val="21"/>
        </w:rPr>
        <w:t>para</w:t>
      </w:r>
      <w:r>
        <w:rPr>
          <w:color w:val="231F20"/>
          <w:spacing w:val="-6"/>
          <w:sz w:val="21"/>
        </w:rPr>
        <w:t> </w:t>
      </w:r>
      <w:r>
        <w:rPr>
          <w:color w:val="231F20"/>
          <w:sz w:val="21"/>
        </w:rPr>
        <w:t>la</w:t>
      </w:r>
      <w:r>
        <w:rPr>
          <w:color w:val="231F20"/>
          <w:spacing w:val="-6"/>
          <w:sz w:val="21"/>
        </w:rPr>
        <w:t> </w:t>
      </w:r>
      <w:r>
        <w:rPr>
          <w:color w:val="231F20"/>
          <w:sz w:val="21"/>
        </w:rPr>
        <w:t>Cd.</w:t>
      </w:r>
      <w:r>
        <w:rPr>
          <w:color w:val="231F20"/>
          <w:spacing w:val="-6"/>
          <w:sz w:val="21"/>
        </w:rPr>
        <w:t> </w:t>
      </w:r>
      <w:r>
        <w:rPr>
          <w:color w:val="231F20"/>
          <w:sz w:val="21"/>
        </w:rPr>
        <w:t>del</w:t>
      </w:r>
      <w:r>
        <w:rPr>
          <w:color w:val="231F20"/>
          <w:spacing w:val="-6"/>
          <w:sz w:val="21"/>
        </w:rPr>
        <w:t> </w:t>
      </w:r>
      <w:r>
        <w:rPr>
          <w:color w:val="231F20"/>
          <w:sz w:val="21"/>
        </w:rPr>
        <w:t>Maíz a 2130 msnm. Rango altitudinal: 1000-2900 msnm. </w:t>
      </w:r>
      <w:r>
        <w:rPr>
          <w:i/>
          <w:color w:val="231F20"/>
          <w:sz w:val="21"/>
        </w:rPr>
        <w:t>Q. coccolobifolia </w:t>
      </w:r>
      <w:r>
        <w:rPr>
          <w:i/>
          <w:color w:val="231F20"/>
          <w:spacing w:val="-4"/>
          <w:sz w:val="21"/>
        </w:rPr>
        <w:t>Trel. </w:t>
      </w:r>
      <w:r>
        <w:rPr>
          <w:color w:val="231F20"/>
          <w:sz w:val="21"/>
        </w:rPr>
        <w:t>Se reporta en Guadalcá- zar a 1850</w:t>
      </w:r>
      <w:r>
        <w:rPr>
          <w:color w:val="231F20"/>
          <w:spacing w:val="-1"/>
          <w:sz w:val="21"/>
        </w:rPr>
        <w:t> </w:t>
      </w:r>
      <w:r>
        <w:rPr>
          <w:color w:val="231F20"/>
          <w:sz w:val="21"/>
        </w:rPr>
        <w:t>msnm.</w:t>
      </w:r>
    </w:p>
    <w:p>
      <w:pPr>
        <w:spacing w:line="247" w:lineRule="auto" w:before="1"/>
        <w:ind w:left="1270" w:right="1267" w:firstLine="0"/>
        <w:jc w:val="both"/>
        <w:rPr>
          <w:sz w:val="21"/>
        </w:rPr>
      </w:pPr>
      <w:r>
        <w:rPr>
          <w:i/>
          <w:color w:val="231F20"/>
          <w:sz w:val="21"/>
        </w:rPr>
        <w:t>Q.</w:t>
      </w:r>
      <w:r>
        <w:rPr>
          <w:i/>
          <w:color w:val="231F20"/>
          <w:spacing w:val="-10"/>
          <w:sz w:val="21"/>
        </w:rPr>
        <w:t> </w:t>
      </w:r>
      <w:r>
        <w:rPr>
          <w:i/>
          <w:color w:val="231F20"/>
          <w:sz w:val="21"/>
        </w:rPr>
        <w:t>conspersa</w:t>
      </w:r>
      <w:r>
        <w:rPr>
          <w:i/>
          <w:color w:val="231F20"/>
          <w:spacing w:val="-10"/>
          <w:sz w:val="21"/>
        </w:rPr>
        <w:t> </w:t>
      </w:r>
      <w:r>
        <w:rPr>
          <w:i/>
          <w:color w:val="231F20"/>
          <w:sz w:val="21"/>
        </w:rPr>
        <w:t>Benth</w:t>
      </w:r>
      <w:r>
        <w:rPr>
          <w:color w:val="231F20"/>
          <w:sz w:val="21"/>
        </w:rPr>
        <w:t>.</w:t>
      </w:r>
      <w:r>
        <w:rPr>
          <w:color w:val="231F20"/>
          <w:spacing w:val="-10"/>
          <w:sz w:val="21"/>
        </w:rPr>
        <w:t> </w:t>
      </w:r>
      <w:r>
        <w:rPr>
          <w:color w:val="231F20"/>
          <w:sz w:val="21"/>
        </w:rPr>
        <w:t>Se</w:t>
      </w:r>
      <w:r>
        <w:rPr>
          <w:color w:val="231F20"/>
          <w:spacing w:val="-10"/>
          <w:sz w:val="21"/>
        </w:rPr>
        <w:t> </w:t>
      </w:r>
      <w:r>
        <w:rPr>
          <w:color w:val="231F20"/>
          <w:sz w:val="21"/>
        </w:rPr>
        <w:t>reporta</w:t>
      </w:r>
      <w:r>
        <w:rPr>
          <w:color w:val="231F20"/>
          <w:spacing w:val="-10"/>
          <w:sz w:val="21"/>
        </w:rPr>
        <w:t> </w:t>
      </w:r>
      <w:r>
        <w:rPr>
          <w:color w:val="231F20"/>
          <w:sz w:val="21"/>
        </w:rPr>
        <w:t>en</w:t>
      </w:r>
      <w:r>
        <w:rPr>
          <w:color w:val="231F20"/>
          <w:spacing w:val="-10"/>
          <w:sz w:val="21"/>
        </w:rPr>
        <w:t> </w:t>
      </w:r>
      <w:r>
        <w:rPr>
          <w:color w:val="231F20"/>
          <w:sz w:val="21"/>
        </w:rPr>
        <w:t>Guadalcázar</w:t>
      </w:r>
      <w:r>
        <w:rPr>
          <w:color w:val="231F20"/>
          <w:spacing w:val="-10"/>
          <w:sz w:val="21"/>
        </w:rPr>
        <w:t> </w:t>
      </w:r>
      <w:r>
        <w:rPr>
          <w:color w:val="231F20"/>
          <w:sz w:val="21"/>
        </w:rPr>
        <w:t>a</w:t>
      </w:r>
      <w:r>
        <w:rPr>
          <w:color w:val="231F20"/>
          <w:spacing w:val="-10"/>
          <w:sz w:val="21"/>
        </w:rPr>
        <w:t> </w:t>
      </w:r>
      <w:r>
        <w:rPr>
          <w:color w:val="231F20"/>
          <w:sz w:val="21"/>
        </w:rPr>
        <w:t>1450</w:t>
      </w:r>
      <w:r>
        <w:rPr>
          <w:color w:val="231F20"/>
          <w:spacing w:val="-10"/>
          <w:sz w:val="21"/>
        </w:rPr>
        <w:t> </w:t>
      </w:r>
      <w:r>
        <w:rPr>
          <w:color w:val="231F20"/>
          <w:sz w:val="21"/>
        </w:rPr>
        <w:t>msnm.</w:t>
      </w:r>
      <w:r>
        <w:rPr>
          <w:color w:val="231F20"/>
          <w:spacing w:val="-10"/>
          <w:sz w:val="21"/>
        </w:rPr>
        <w:t> </w:t>
      </w:r>
      <w:r>
        <w:rPr>
          <w:color w:val="231F20"/>
          <w:sz w:val="21"/>
        </w:rPr>
        <w:t>Rango</w:t>
      </w:r>
      <w:r>
        <w:rPr>
          <w:color w:val="231F20"/>
          <w:spacing w:val="-10"/>
          <w:sz w:val="21"/>
        </w:rPr>
        <w:t> </w:t>
      </w:r>
      <w:r>
        <w:rPr>
          <w:color w:val="231F20"/>
          <w:sz w:val="21"/>
        </w:rPr>
        <w:t>altitudinal:</w:t>
      </w:r>
      <w:r>
        <w:rPr>
          <w:color w:val="231F20"/>
          <w:spacing w:val="-11"/>
          <w:sz w:val="21"/>
        </w:rPr>
        <w:t> </w:t>
      </w:r>
      <w:r>
        <w:rPr>
          <w:color w:val="231F20"/>
          <w:sz w:val="21"/>
        </w:rPr>
        <w:t>630-2450</w:t>
      </w:r>
      <w:r>
        <w:rPr>
          <w:color w:val="231F20"/>
          <w:spacing w:val="-10"/>
          <w:sz w:val="21"/>
        </w:rPr>
        <w:t> </w:t>
      </w:r>
      <w:r>
        <w:rPr>
          <w:color w:val="231F20"/>
          <w:sz w:val="21"/>
        </w:rPr>
        <w:t>msnm.</w:t>
      </w:r>
      <w:r>
        <w:rPr>
          <w:color w:val="231F20"/>
          <w:spacing w:val="-10"/>
          <w:sz w:val="21"/>
        </w:rPr>
        <w:t> </w:t>
      </w:r>
      <w:r>
        <w:rPr>
          <w:i/>
          <w:color w:val="231F20"/>
          <w:sz w:val="21"/>
        </w:rPr>
        <w:t>Q. </w:t>
      </w:r>
      <w:r>
        <w:rPr>
          <w:i/>
          <w:color w:val="231F20"/>
          <w:sz w:val="21"/>
        </w:rPr>
        <w:t>eduardii </w:t>
      </w:r>
      <w:r>
        <w:rPr>
          <w:i/>
          <w:color w:val="231F20"/>
          <w:spacing w:val="-4"/>
          <w:sz w:val="21"/>
        </w:rPr>
        <w:t>Trel. </w:t>
      </w:r>
      <w:r>
        <w:rPr>
          <w:color w:val="231F20"/>
          <w:sz w:val="21"/>
        </w:rPr>
        <w:t>Se reporta en Guadalcázar a 1450</w:t>
      </w:r>
      <w:r>
        <w:rPr>
          <w:color w:val="231F20"/>
          <w:spacing w:val="-16"/>
          <w:sz w:val="21"/>
        </w:rPr>
        <w:t> </w:t>
      </w:r>
      <w:r>
        <w:rPr>
          <w:color w:val="231F20"/>
          <w:sz w:val="21"/>
        </w:rPr>
        <w:t>msnm.</w:t>
      </w:r>
    </w:p>
    <w:p>
      <w:pPr>
        <w:spacing w:before="1"/>
        <w:ind w:left="1270" w:right="0" w:firstLine="0"/>
        <w:jc w:val="both"/>
        <w:rPr>
          <w:sz w:val="21"/>
        </w:rPr>
      </w:pPr>
      <w:r>
        <w:rPr>
          <w:i/>
          <w:color w:val="231F20"/>
          <w:sz w:val="21"/>
        </w:rPr>
        <w:t>Q. elliptica Née. </w:t>
      </w:r>
      <w:r>
        <w:rPr>
          <w:color w:val="231F20"/>
          <w:sz w:val="21"/>
        </w:rPr>
        <w:t>Se reporta para la Cd. del Maíz a 1300 msnm.</w:t>
      </w:r>
    </w:p>
    <w:p>
      <w:pPr>
        <w:spacing w:line="247" w:lineRule="auto" w:before="8"/>
        <w:ind w:left="1270" w:right="1267" w:firstLine="0"/>
        <w:jc w:val="both"/>
        <w:rPr>
          <w:sz w:val="21"/>
        </w:rPr>
      </w:pPr>
      <w:r>
        <w:rPr>
          <w:i/>
          <w:color w:val="231F20"/>
          <w:sz w:val="21"/>
        </w:rPr>
        <w:t>Q. laurina Humb. &amp; Bonpl. </w:t>
      </w:r>
      <w:r>
        <w:rPr>
          <w:color w:val="231F20"/>
          <w:sz w:val="21"/>
        </w:rPr>
        <w:t>Se reporta para Coatepec a 2800 msnm. Rango altitudinal: 1300-3000 msnm. </w:t>
      </w:r>
      <w:r>
        <w:rPr>
          <w:i/>
          <w:color w:val="231F20"/>
          <w:sz w:val="21"/>
        </w:rPr>
        <w:t>Q. polymorpha Schlecht. &amp; Cham. </w:t>
      </w:r>
      <w:r>
        <w:rPr>
          <w:color w:val="231F20"/>
          <w:sz w:val="21"/>
        </w:rPr>
        <w:t>Se reporta para la Cd. del Maíz entre 1050 - 1450 msnm (encino prieto).</w:t>
      </w:r>
    </w:p>
    <w:p>
      <w:pPr>
        <w:spacing w:before="1"/>
        <w:ind w:left="1270" w:right="0" w:firstLine="0"/>
        <w:jc w:val="both"/>
        <w:rPr>
          <w:sz w:val="21"/>
        </w:rPr>
      </w:pPr>
      <w:r>
        <w:rPr>
          <w:i/>
          <w:color w:val="231F20"/>
          <w:sz w:val="21"/>
        </w:rPr>
        <w:t>Q. potosina Trel. </w:t>
      </w:r>
      <w:r>
        <w:rPr>
          <w:color w:val="231F20"/>
          <w:sz w:val="21"/>
        </w:rPr>
        <w:t>Se reporta para Villa de Reyes entre 2120-2430 msnm.</w:t>
      </w:r>
    </w:p>
    <w:p>
      <w:pPr>
        <w:spacing w:before="8"/>
        <w:ind w:left="1270" w:right="0" w:firstLine="0"/>
        <w:jc w:val="both"/>
        <w:rPr>
          <w:sz w:val="21"/>
        </w:rPr>
      </w:pPr>
      <w:r>
        <w:rPr>
          <w:i/>
          <w:color w:val="231F20"/>
          <w:sz w:val="21"/>
        </w:rPr>
        <w:t>Q. urbanii Trel. </w:t>
      </w:r>
      <w:r>
        <w:rPr>
          <w:color w:val="231F20"/>
          <w:sz w:val="21"/>
        </w:rPr>
        <w:t>Se reporta para la Cd. de San Luis Potosí a 2750 msnm.</w:t>
      </w:r>
    </w:p>
    <w:p>
      <w:pPr>
        <w:pStyle w:val="BodyText"/>
        <w:spacing w:before="8"/>
        <w:ind w:left="1270"/>
        <w:jc w:val="both"/>
      </w:pPr>
      <w:r>
        <w:rPr>
          <w:color w:val="231F20"/>
        </w:rPr>
        <w:t>Por la cercanía de la zona de identificación se incluyen además los encinos del municipio de San Luis</w:t>
      </w:r>
    </w:p>
    <w:p>
      <w:pPr>
        <w:pStyle w:val="BodyText"/>
        <w:spacing w:before="8"/>
        <w:ind w:left="1270"/>
        <w:jc w:val="both"/>
      </w:pPr>
      <w:r>
        <w:rPr>
          <w:color w:val="231F20"/>
        </w:rPr>
        <w:t>de la Paz, Gto. por compartir límites con S.L.P.</w:t>
      </w:r>
    </w:p>
    <w:p>
      <w:pPr>
        <w:spacing w:before="8"/>
        <w:ind w:left="1270" w:right="0" w:firstLine="0"/>
        <w:jc w:val="both"/>
        <w:rPr>
          <w:sz w:val="21"/>
        </w:rPr>
      </w:pPr>
      <w:r>
        <w:rPr>
          <w:i/>
          <w:color w:val="231F20"/>
          <w:sz w:val="21"/>
        </w:rPr>
        <w:t>Q. dysophylla Benth. </w:t>
      </w:r>
      <w:r>
        <w:rPr>
          <w:color w:val="231F20"/>
          <w:sz w:val="21"/>
        </w:rPr>
        <w:t>Localizado entre los 2200-2450 msnm en bosques de pino encino.</w:t>
      </w:r>
    </w:p>
    <w:p>
      <w:pPr>
        <w:spacing w:before="8"/>
        <w:ind w:left="1270" w:right="0" w:firstLine="0"/>
        <w:jc w:val="both"/>
        <w:rPr>
          <w:sz w:val="21"/>
        </w:rPr>
      </w:pPr>
      <w:r>
        <w:rPr>
          <w:i/>
          <w:color w:val="231F20"/>
          <w:sz w:val="21"/>
        </w:rPr>
        <w:t>Q. castanea</w:t>
      </w:r>
      <w:r>
        <w:rPr>
          <w:color w:val="231F20"/>
          <w:sz w:val="21"/>
        </w:rPr>
        <w:t>, </w:t>
      </w:r>
      <w:r>
        <w:rPr>
          <w:i/>
          <w:color w:val="231F20"/>
          <w:sz w:val="21"/>
        </w:rPr>
        <w:t>Q. eduardii. </w:t>
      </w:r>
      <w:r>
        <w:rPr>
          <w:color w:val="231F20"/>
          <w:sz w:val="21"/>
        </w:rPr>
        <w:t>Antes descritos.</w:t>
      </w:r>
    </w:p>
    <w:p>
      <w:pPr>
        <w:spacing w:line="247" w:lineRule="auto" w:before="8"/>
        <w:ind w:left="1270" w:right="1267" w:firstLine="0"/>
        <w:jc w:val="both"/>
        <w:rPr>
          <w:sz w:val="21"/>
        </w:rPr>
      </w:pPr>
      <w:r>
        <w:rPr>
          <w:i/>
          <w:color w:val="231F20"/>
          <w:sz w:val="21"/>
        </w:rPr>
        <w:t>Q. mexicana Humb. &amp; Bonpl. </w:t>
      </w:r>
      <w:r>
        <w:rPr>
          <w:color w:val="231F20"/>
          <w:sz w:val="21"/>
        </w:rPr>
        <w:t>Localizado entre 1700 y 2450 msnm en bosques de pino encino y matorral arbustivo.</w:t>
      </w:r>
    </w:p>
    <w:p>
      <w:pPr>
        <w:spacing w:before="1"/>
        <w:ind w:left="1270" w:right="0" w:firstLine="0"/>
        <w:jc w:val="both"/>
        <w:rPr>
          <w:sz w:val="21"/>
        </w:rPr>
      </w:pPr>
      <w:r>
        <w:rPr>
          <w:i/>
          <w:color w:val="231F20"/>
          <w:sz w:val="21"/>
        </w:rPr>
        <w:t>Q. obtusata Humb. &amp; Bonpl. </w:t>
      </w:r>
      <w:r>
        <w:rPr>
          <w:color w:val="231F20"/>
          <w:sz w:val="21"/>
        </w:rPr>
        <w:t>Localizado entre 2250 y 2450 msnm.</w:t>
      </w:r>
    </w:p>
    <w:p>
      <w:pPr>
        <w:pStyle w:val="BodyText"/>
        <w:spacing w:line="247" w:lineRule="auto" w:before="8"/>
        <w:ind w:left="1270" w:right="1268"/>
        <w:jc w:val="both"/>
      </w:pPr>
      <w:r>
        <w:rPr>
          <w:i/>
          <w:color w:val="231F20"/>
        </w:rPr>
        <w:t>Q. rugosa Née</w:t>
      </w:r>
      <w:r>
        <w:rPr>
          <w:color w:val="231F20"/>
        </w:rPr>
        <w:t>. Localizado entre 1700 y 2250 msnm (palo blanco). Rango altitudinal: 1350-2950 msnm.</w:t>
      </w:r>
    </w:p>
    <w:p>
      <w:pPr>
        <w:spacing w:line="247" w:lineRule="auto" w:before="1"/>
        <w:ind w:left="1270" w:right="1268" w:firstLine="0"/>
        <w:jc w:val="both"/>
        <w:rPr>
          <w:sz w:val="21"/>
        </w:rPr>
      </w:pPr>
      <w:r>
        <w:rPr>
          <w:color w:val="231F20"/>
          <w:sz w:val="21"/>
        </w:rPr>
        <w:t>Stein </w:t>
      </w:r>
      <w:r>
        <w:rPr>
          <w:i/>
          <w:color w:val="231F20"/>
          <w:sz w:val="21"/>
        </w:rPr>
        <w:t>et al. </w:t>
      </w:r>
      <w:r>
        <w:rPr>
          <w:color w:val="231F20"/>
          <w:sz w:val="21"/>
        </w:rPr>
        <w:t>(2003) reporta para S.L.P. a </w:t>
      </w:r>
      <w:r>
        <w:rPr>
          <w:i/>
          <w:color w:val="231F20"/>
          <w:sz w:val="21"/>
        </w:rPr>
        <w:t>Quercus pungens Liebmann </w:t>
      </w:r>
      <w:r>
        <w:rPr>
          <w:color w:val="231F20"/>
          <w:sz w:val="21"/>
        </w:rPr>
        <w:t>asociado a </w:t>
      </w:r>
      <w:r>
        <w:rPr>
          <w:i/>
          <w:color w:val="231F20"/>
          <w:sz w:val="21"/>
        </w:rPr>
        <w:t>Juniperus </w:t>
      </w:r>
      <w:r>
        <w:rPr>
          <w:color w:val="231F20"/>
          <w:sz w:val="21"/>
        </w:rPr>
        <w:t>y pinos piñoneros.</w:t>
      </w:r>
    </w:p>
    <w:p>
      <w:pPr>
        <w:pStyle w:val="BodyText"/>
        <w:spacing w:line="247" w:lineRule="auto" w:before="1"/>
        <w:ind w:left="1270" w:right="1267"/>
        <w:jc w:val="both"/>
      </w:pPr>
      <w:r>
        <w:rPr>
          <w:color w:val="231F20"/>
        </w:rPr>
        <w:t>Por su parte Romero (2006), realizó un estudio sobre la taxonomía de los encinos del complejo </w:t>
      </w:r>
      <w:r>
        <w:rPr>
          <w:i/>
          <w:color w:val="231F20"/>
        </w:rPr>
        <w:t>Acutifoliae</w:t>
      </w:r>
      <w:r>
        <w:rPr>
          <w:i/>
          <w:color w:val="231F20"/>
          <w:spacing w:val="-4"/>
        </w:rPr>
        <w:t> </w:t>
      </w:r>
      <w:r>
        <w:rPr>
          <w:color w:val="231F20"/>
        </w:rPr>
        <w:t>de</w:t>
      </w:r>
      <w:r>
        <w:rPr>
          <w:color w:val="231F20"/>
          <w:spacing w:val="-4"/>
        </w:rPr>
        <w:t> </w:t>
      </w:r>
      <w:r>
        <w:rPr>
          <w:color w:val="231F20"/>
        </w:rPr>
        <w:t>México,</w:t>
      </w:r>
      <w:r>
        <w:rPr>
          <w:color w:val="231F20"/>
          <w:spacing w:val="-3"/>
        </w:rPr>
        <w:t> </w:t>
      </w:r>
      <w:r>
        <w:rPr>
          <w:color w:val="231F20"/>
        </w:rPr>
        <w:t>encontrando</w:t>
      </w:r>
      <w:r>
        <w:rPr>
          <w:color w:val="231F20"/>
          <w:spacing w:val="-4"/>
        </w:rPr>
        <w:t> </w:t>
      </w:r>
      <w:r>
        <w:rPr>
          <w:color w:val="231F20"/>
        </w:rPr>
        <w:t>valiosa</w:t>
      </w:r>
      <w:r>
        <w:rPr>
          <w:color w:val="231F20"/>
          <w:spacing w:val="-4"/>
        </w:rPr>
        <w:t> </w:t>
      </w:r>
      <w:r>
        <w:rPr>
          <w:color w:val="231F20"/>
        </w:rPr>
        <w:t>información</w:t>
      </w:r>
      <w:r>
        <w:rPr>
          <w:color w:val="231F20"/>
          <w:spacing w:val="-4"/>
        </w:rPr>
        <w:t> </w:t>
      </w:r>
      <w:r>
        <w:rPr>
          <w:color w:val="231F20"/>
        </w:rPr>
        <w:t>para</w:t>
      </w:r>
      <w:r>
        <w:rPr>
          <w:color w:val="231F20"/>
          <w:spacing w:val="-4"/>
        </w:rPr>
        <w:t> </w:t>
      </w:r>
      <w:r>
        <w:rPr>
          <w:color w:val="231F20"/>
        </w:rPr>
        <w:t>varias</w:t>
      </w:r>
      <w:r>
        <w:rPr>
          <w:color w:val="231F20"/>
          <w:spacing w:val="-4"/>
        </w:rPr>
        <w:t> </w:t>
      </w:r>
      <w:r>
        <w:rPr>
          <w:color w:val="231F20"/>
        </w:rPr>
        <w:t>especies</w:t>
      </w:r>
      <w:r>
        <w:rPr>
          <w:color w:val="231F20"/>
          <w:spacing w:val="-4"/>
        </w:rPr>
        <w:t> </w:t>
      </w:r>
      <w:r>
        <w:rPr>
          <w:color w:val="231F20"/>
        </w:rPr>
        <w:t>de</w:t>
      </w:r>
      <w:r>
        <w:rPr>
          <w:color w:val="231F20"/>
          <w:spacing w:val="-4"/>
        </w:rPr>
        <w:t> </w:t>
      </w:r>
      <w:r>
        <w:rPr>
          <w:color w:val="231F20"/>
        </w:rPr>
        <w:t>encinos,</w:t>
      </w:r>
      <w:r>
        <w:rPr>
          <w:color w:val="231F20"/>
          <w:spacing w:val="-4"/>
        </w:rPr>
        <w:t> </w:t>
      </w:r>
      <w:r>
        <w:rPr>
          <w:color w:val="231F20"/>
        </w:rPr>
        <w:t>así,</w:t>
      </w:r>
      <w:r>
        <w:rPr>
          <w:color w:val="231F20"/>
          <w:spacing w:val="-4"/>
        </w:rPr>
        <w:t> </w:t>
      </w:r>
      <w:r>
        <w:rPr>
          <w:color w:val="231F20"/>
        </w:rPr>
        <w:t>para</w:t>
      </w:r>
      <w:r>
        <w:rPr>
          <w:color w:val="231F20"/>
          <w:spacing w:val="-4"/>
        </w:rPr>
        <w:t> </w:t>
      </w:r>
      <w:r>
        <w:rPr>
          <w:color w:val="231F20"/>
        </w:rPr>
        <w:t>la zona</w:t>
      </w:r>
      <w:r>
        <w:rPr>
          <w:color w:val="231F20"/>
          <w:spacing w:val="-8"/>
        </w:rPr>
        <w:t> </w:t>
      </w:r>
      <w:r>
        <w:rPr>
          <w:color w:val="231F20"/>
        </w:rPr>
        <w:t>de</w:t>
      </w:r>
      <w:r>
        <w:rPr>
          <w:color w:val="231F20"/>
          <w:spacing w:val="-8"/>
        </w:rPr>
        <w:t> </w:t>
      </w:r>
      <w:r>
        <w:rPr>
          <w:color w:val="231F20"/>
        </w:rPr>
        <w:t>interés</w:t>
      </w:r>
      <w:r>
        <w:rPr>
          <w:color w:val="231F20"/>
          <w:spacing w:val="-8"/>
        </w:rPr>
        <w:t> </w:t>
      </w:r>
      <w:r>
        <w:rPr>
          <w:color w:val="231F20"/>
        </w:rPr>
        <w:t>reporta</w:t>
      </w:r>
      <w:r>
        <w:rPr>
          <w:color w:val="231F20"/>
          <w:spacing w:val="-8"/>
        </w:rPr>
        <w:t> </w:t>
      </w:r>
      <w:r>
        <w:rPr>
          <w:color w:val="231F20"/>
        </w:rPr>
        <w:t>a</w:t>
      </w:r>
      <w:r>
        <w:rPr>
          <w:color w:val="231F20"/>
          <w:spacing w:val="-8"/>
        </w:rPr>
        <w:t> </w:t>
      </w:r>
      <w:r>
        <w:rPr>
          <w:i/>
          <w:color w:val="231F20"/>
        </w:rPr>
        <w:t>Quercus</w:t>
      </w:r>
      <w:r>
        <w:rPr>
          <w:i/>
          <w:color w:val="231F20"/>
          <w:spacing w:val="-8"/>
        </w:rPr>
        <w:t> </w:t>
      </w:r>
      <w:r>
        <w:rPr>
          <w:i/>
          <w:color w:val="231F20"/>
        </w:rPr>
        <w:t>furfuracea</w:t>
      </w:r>
      <w:r>
        <w:rPr>
          <w:i/>
          <w:color w:val="231F20"/>
          <w:spacing w:val="-8"/>
        </w:rPr>
        <w:t> </w:t>
      </w:r>
      <w:r>
        <w:rPr>
          <w:color w:val="231F20"/>
        </w:rPr>
        <w:t>Liebm</w:t>
      </w:r>
      <w:r>
        <w:rPr>
          <w:color w:val="231F20"/>
          <w:spacing w:val="-8"/>
        </w:rPr>
        <w:t> </w:t>
      </w:r>
      <w:r>
        <w:rPr>
          <w:color w:val="231F20"/>
        </w:rPr>
        <w:t>(encino</w:t>
      </w:r>
      <w:r>
        <w:rPr>
          <w:color w:val="231F20"/>
          <w:spacing w:val="-8"/>
        </w:rPr>
        <w:t> </w:t>
      </w:r>
      <w:r>
        <w:rPr>
          <w:color w:val="231F20"/>
        </w:rPr>
        <w:t>blanco,</w:t>
      </w:r>
      <w:r>
        <w:rPr>
          <w:color w:val="231F20"/>
          <w:spacing w:val="-8"/>
        </w:rPr>
        <w:t> </w:t>
      </w:r>
      <w:r>
        <w:rPr>
          <w:color w:val="231F20"/>
        </w:rPr>
        <w:t>encino</w:t>
      </w:r>
      <w:r>
        <w:rPr>
          <w:color w:val="231F20"/>
          <w:spacing w:val="-8"/>
        </w:rPr>
        <w:t> </w:t>
      </w:r>
      <w:r>
        <w:rPr>
          <w:color w:val="231F20"/>
        </w:rPr>
        <w:t>de</w:t>
      </w:r>
      <w:r>
        <w:rPr>
          <w:color w:val="231F20"/>
          <w:spacing w:val="-8"/>
        </w:rPr>
        <w:t> </w:t>
      </w:r>
      <w:r>
        <w:rPr>
          <w:color w:val="231F20"/>
        </w:rPr>
        <w:t>asta,</w:t>
      </w:r>
      <w:r>
        <w:rPr>
          <w:color w:val="231F20"/>
          <w:spacing w:val="-8"/>
        </w:rPr>
        <w:t> </w:t>
      </w:r>
      <w:r>
        <w:rPr>
          <w:color w:val="231F20"/>
        </w:rPr>
        <w:t>encino</w:t>
      </w:r>
      <w:r>
        <w:rPr>
          <w:color w:val="231F20"/>
          <w:spacing w:val="-8"/>
        </w:rPr>
        <w:t> </w:t>
      </w:r>
      <w:r>
        <w:rPr>
          <w:color w:val="231F20"/>
        </w:rPr>
        <w:t>laurelillo, encino rojo, encino saucillo, encino sencillo, encino teposcohuite) se localiza entre 1200 y 2000 msnm.</w:t>
      </w:r>
      <w:r>
        <w:rPr>
          <w:color w:val="231F20"/>
          <w:spacing w:val="-8"/>
        </w:rPr>
        <w:t> </w:t>
      </w:r>
      <w:r>
        <w:rPr>
          <w:color w:val="231F20"/>
        </w:rPr>
        <w:t>Ubicado</w:t>
      </w:r>
      <w:r>
        <w:rPr>
          <w:color w:val="231F20"/>
          <w:spacing w:val="-7"/>
        </w:rPr>
        <w:t> </w:t>
      </w:r>
      <w:r>
        <w:rPr>
          <w:color w:val="231F20"/>
        </w:rPr>
        <w:t>a</w:t>
      </w:r>
      <w:r>
        <w:rPr>
          <w:color w:val="231F20"/>
          <w:spacing w:val="-8"/>
        </w:rPr>
        <w:t> </w:t>
      </w:r>
      <w:r>
        <w:rPr>
          <w:color w:val="231F20"/>
        </w:rPr>
        <w:t>8</w:t>
      </w:r>
      <w:r>
        <w:rPr>
          <w:color w:val="231F20"/>
          <w:spacing w:val="-8"/>
        </w:rPr>
        <w:t> </w:t>
      </w:r>
      <w:r>
        <w:rPr>
          <w:color w:val="231F20"/>
        </w:rPr>
        <w:t>km</w:t>
      </w:r>
      <w:r>
        <w:rPr>
          <w:color w:val="231F20"/>
          <w:spacing w:val="-8"/>
        </w:rPr>
        <w:t> </w:t>
      </w:r>
      <w:r>
        <w:rPr>
          <w:color w:val="231F20"/>
        </w:rPr>
        <w:t>al</w:t>
      </w:r>
      <w:r>
        <w:rPr>
          <w:color w:val="231F20"/>
          <w:spacing w:val="-8"/>
        </w:rPr>
        <w:t> </w:t>
      </w:r>
      <w:r>
        <w:rPr>
          <w:color w:val="231F20"/>
        </w:rPr>
        <w:t>sur</w:t>
      </w:r>
      <w:r>
        <w:rPr>
          <w:color w:val="231F20"/>
          <w:spacing w:val="-8"/>
        </w:rPr>
        <w:t> </w:t>
      </w:r>
      <w:r>
        <w:rPr>
          <w:color w:val="231F20"/>
        </w:rPr>
        <w:t>de</w:t>
      </w:r>
      <w:r>
        <w:rPr>
          <w:color w:val="231F20"/>
          <w:spacing w:val="-8"/>
        </w:rPr>
        <w:t> </w:t>
      </w:r>
      <w:r>
        <w:rPr>
          <w:color w:val="231F20"/>
        </w:rPr>
        <w:t>Guadalcázar,</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km</w:t>
      </w:r>
      <w:r>
        <w:rPr>
          <w:color w:val="231F20"/>
          <w:spacing w:val="-8"/>
        </w:rPr>
        <w:t> </w:t>
      </w:r>
      <w:r>
        <w:rPr>
          <w:color w:val="231F20"/>
        </w:rPr>
        <w:t>53</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carretera</w:t>
      </w:r>
      <w:r>
        <w:rPr>
          <w:color w:val="231F20"/>
          <w:spacing w:val="-8"/>
        </w:rPr>
        <w:t> </w:t>
      </w:r>
      <w:r>
        <w:rPr>
          <w:color w:val="231F20"/>
        </w:rPr>
        <w:t>Rio</w:t>
      </w:r>
      <w:r>
        <w:rPr>
          <w:color w:val="231F20"/>
          <w:spacing w:val="-12"/>
        </w:rPr>
        <w:t> </w:t>
      </w:r>
      <w:r>
        <w:rPr>
          <w:color w:val="231F20"/>
          <w:spacing w:val="-3"/>
        </w:rPr>
        <w:t>Verde-San</w:t>
      </w:r>
      <w:r>
        <w:rPr>
          <w:color w:val="231F20"/>
          <w:spacing w:val="-8"/>
        </w:rPr>
        <w:t> </w:t>
      </w:r>
      <w:r>
        <w:rPr>
          <w:color w:val="231F20"/>
        </w:rPr>
        <w:t>Luis</w:t>
      </w:r>
      <w:r>
        <w:rPr>
          <w:color w:val="231F20"/>
          <w:spacing w:val="-8"/>
        </w:rPr>
        <w:t> </w:t>
      </w:r>
      <w:r>
        <w:rPr>
          <w:color w:val="231F20"/>
        </w:rPr>
        <w:t>Potosí, entre Las Rusias y Cruz de</w:t>
      </w:r>
      <w:r>
        <w:rPr>
          <w:color w:val="231F20"/>
          <w:spacing w:val="-2"/>
        </w:rPr>
        <w:t> </w:t>
      </w:r>
      <w:r>
        <w:rPr>
          <w:color w:val="231F20"/>
        </w:rPr>
        <w:t>Encino.</w:t>
      </w:r>
    </w:p>
    <w:p>
      <w:pPr>
        <w:pStyle w:val="BodyText"/>
        <w:spacing w:line="247" w:lineRule="auto" w:before="1"/>
        <w:ind w:left="1270" w:right="1268"/>
        <w:jc w:val="both"/>
      </w:pPr>
      <w:r>
        <w:rPr>
          <w:i/>
          <w:color w:val="231F20"/>
        </w:rPr>
        <w:t>Quecus xalapensis Humb. &amp; Bonpl. </w:t>
      </w:r>
      <w:r>
        <w:rPr>
          <w:color w:val="231F20"/>
        </w:rPr>
        <w:t>(encino blanco, encino cáscara) Localizado entre 1000 y 2200 msnm, colectado a 20 min de la Cd. de </w:t>
      </w:r>
      <w:r>
        <w:rPr>
          <w:color w:val="231F20"/>
          <w:spacing w:val="-4"/>
        </w:rPr>
        <w:t>S.L.P., </w:t>
      </w:r>
      <w:r>
        <w:rPr>
          <w:color w:val="231F20"/>
        </w:rPr>
        <w:t>en Los Hoyos, en el km 51 de la carretera </w:t>
      </w:r>
      <w:r>
        <w:rPr>
          <w:color w:val="231F20"/>
          <w:spacing w:val="-3"/>
        </w:rPr>
        <w:t>S.L.P.-Rio </w:t>
      </w:r>
      <w:r>
        <w:rPr>
          <w:color w:val="231F20"/>
          <w:spacing w:val="-4"/>
        </w:rPr>
        <w:t>Verde.</w:t>
      </w:r>
    </w:p>
    <w:p>
      <w:pPr>
        <w:pStyle w:val="BodyText"/>
        <w:spacing w:before="9"/>
      </w:pPr>
    </w:p>
    <w:p>
      <w:pPr>
        <w:pStyle w:val="Heading5"/>
        <w:spacing w:before="1"/>
      </w:pPr>
      <w:r>
        <w:rPr>
          <w:color w:val="231F20"/>
        </w:rPr>
        <w:t>Sinonimia de los encinos mexicanos</w:t>
      </w:r>
    </w:p>
    <w:p>
      <w:pPr>
        <w:pStyle w:val="BodyText"/>
        <w:spacing w:line="247" w:lineRule="auto" w:before="8"/>
        <w:ind w:left="1270" w:right="1267"/>
        <w:jc w:val="both"/>
      </w:pPr>
      <w:r>
        <w:rPr>
          <w:color w:val="231F20"/>
        </w:rPr>
        <w:t>Por la complejidad que representa el estudio del género </w:t>
      </w:r>
      <w:r>
        <w:rPr>
          <w:i/>
          <w:color w:val="231F20"/>
        </w:rPr>
        <w:t>Quercus</w:t>
      </w:r>
      <w:r>
        <w:rPr>
          <w:color w:val="231F20"/>
        </w:rPr>
        <w:t>, Zavala </w:t>
      </w:r>
      <w:r>
        <w:rPr>
          <w:i/>
          <w:color w:val="231F20"/>
        </w:rPr>
        <w:t>et al. </w:t>
      </w:r>
      <w:r>
        <w:rPr>
          <w:color w:val="231F20"/>
        </w:rPr>
        <w:t>(1999) y Zavala (2007) propone una sinonimia para las siguientes especies:</w:t>
      </w:r>
    </w:p>
    <w:p>
      <w:pPr>
        <w:spacing w:before="1"/>
        <w:ind w:left="1270" w:right="0" w:firstLine="0"/>
        <w:jc w:val="both"/>
        <w:rPr>
          <w:i/>
          <w:sz w:val="21"/>
        </w:rPr>
      </w:pPr>
      <w:r>
        <w:rPr>
          <w:i/>
          <w:color w:val="231F20"/>
          <w:sz w:val="21"/>
        </w:rPr>
        <w:t>Q. castanea Née</w:t>
      </w:r>
      <w:r>
        <w:rPr>
          <w:color w:val="231F20"/>
          <w:sz w:val="21"/>
        </w:rPr>
        <w:t>, se emplea como sinónimo de </w:t>
      </w:r>
      <w:r>
        <w:rPr>
          <w:i/>
          <w:color w:val="231F20"/>
          <w:sz w:val="21"/>
        </w:rPr>
        <w:t>Q. alamosensis Trel. Q. axilaris Trel. Q. castanea A.</w:t>
      </w:r>
    </w:p>
    <w:p>
      <w:pPr>
        <w:spacing w:after="0"/>
        <w:jc w:val="both"/>
        <w:rPr>
          <w:sz w:val="21"/>
        </w:rPr>
        <w:sectPr>
          <w:pgSz w:w="10920" w:h="13080"/>
          <w:pgMar w:header="0" w:footer="965" w:top="420" w:bottom="1220" w:left="0" w:right="0"/>
        </w:sectPr>
      </w:pPr>
    </w:p>
    <w:p>
      <w:pPr>
        <w:pStyle w:val="BodyText"/>
        <w:rPr>
          <w:i/>
          <w:sz w:val="20"/>
        </w:rPr>
      </w:pPr>
    </w:p>
    <w:p>
      <w:pPr>
        <w:pStyle w:val="BodyText"/>
        <w:rPr>
          <w:i/>
          <w:sz w:val="20"/>
        </w:rPr>
      </w:pPr>
    </w:p>
    <w:p>
      <w:pPr>
        <w:pStyle w:val="BodyText"/>
        <w:rPr>
          <w:i/>
          <w:sz w:val="23"/>
        </w:rPr>
      </w:pPr>
    </w:p>
    <w:p>
      <w:pPr>
        <w:pStyle w:val="BodyText"/>
        <w:spacing w:line="247" w:lineRule="auto" w:before="73"/>
        <w:ind w:left="1270" w:right="1268"/>
        <w:jc w:val="both"/>
      </w:pPr>
      <w:r>
        <w:rPr>
          <w:color w:val="231F20"/>
        </w:rPr>
        <w:t>DC.,</w:t>
      </w:r>
      <w:r>
        <w:rPr>
          <w:color w:val="231F20"/>
          <w:spacing w:val="-3"/>
        </w:rPr>
        <w:t> </w:t>
      </w:r>
      <w:r>
        <w:rPr>
          <w:color w:val="231F20"/>
        </w:rPr>
        <w:t>Q.</w:t>
      </w:r>
      <w:r>
        <w:rPr>
          <w:color w:val="231F20"/>
          <w:spacing w:val="-3"/>
        </w:rPr>
        <w:t> </w:t>
      </w:r>
      <w:r>
        <w:rPr>
          <w:color w:val="231F20"/>
        </w:rPr>
        <w:t>castanea</w:t>
      </w:r>
      <w:r>
        <w:rPr>
          <w:color w:val="231F20"/>
          <w:spacing w:val="-3"/>
        </w:rPr>
        <w:t> </w:t>
      </w:r>
      <w:r>
        <w:rPr>
          <w:color w:val="231F20"/>
        </w:rPr>
        <w:t>subsp.</w:t>
      </w:r>
      <w:r>
        <w:rPr>
          <w:color w:val="231F20"/>
          <w:spacing w:val="-3"/>
        </w:rPr>
        <w:t> </w:t>
      </w:r>
      <w:r>
        <w:rPr>
          <w:color w:val="231F20"/>
        </w:rPr>
        <w:t>Sublobata</w:t>
      </w:r>
      <w:r>
        <w:rPr>
          <w:color w:val="231F20"/>
          <w:spacing w:val="-14"/>
        </w:rPr>
        <w:t> </w:t>
      </w:r>
      <w:r>
        <w:rPr>
          <w:color w:val="231F20"/>
        </w:rPr>
        <w:t>A.</w:t>
      </w:r>
      <w:r>
        <w:rPr>
          <w:color w:val="231F20"/>
          <w:spacing w:val="-3"/>
        </w:rPr>
        <w:t> </w:t>
      </w:r>
      <w:r>
        <w:rPr>
          <w:color w:val="231F20"/>
        </w:rPr>
        <w:t>DC.,</w:t>
      </w:r>
      <w:r>
        <w:rPr>
          <w:color w:val="231F20"/>
          <w:spacing w:val="-3"/>
        </w:rPr>
        <w:t> </w:t>
      </w:r>
      <w:r>
        <w:rPr>
          <w:color w:val="231F20"/>
        </w:rPr>
        <w:t>Q.</w:t>
      </w:r>
      <w:r>
        <w:rPr>
          <w:color w:val="231F20"/>
          <w:spacing w:val="-3"/>
        </w:rPr>
        <w:t> </w:t>
      </w:r>
      <w:r>
        <w:rPr>
          <w:color w:val="231F20"/>
        </w:rPr>
        <w:t>circunmontana</w:t>
      </w:r>
      <w:r>
        <w:rPr>
          <w:color w:val="231F20"/>
          <w:spacing w:val="-7"/>
        </w:rPr>
        <w:t> </w:t>
      </w:r>
      <w:r>
        <w:rPr>
          <w:color w:val="231F20"/>
        </w:rPr>
        <w:t>Trel.,</w:t>
      </w:r>
      <w:r>
        <w:rPr>
          <w:color w:val="231F20"/>
          <w:spacing w:val="-3"/>
        </w:rPr>
        <w:t> </w:t>
      </w:r>
      <w:r>
        <w:rPr>
          <w:color w:val="231F20"/>
        </w:rPr>
        <w:t>Q.</w:t>
      </w:r>
      <w:r>
        <w:rPr>
          <w:color w:val="231F20"/>
          <w:spacing w:val="-3"/>
        </w:rPr>
        <w:t> </w:t>
      </w:r>
      <w:r>
        <w:rPr>
          <w:color w:val="231F20"/>
        </w:rPr>
        <w:t>consociata</w:t>
      </w:r>
      <w:r>
        <w:rPr>
          <w:color w:val="231F20"/>
          <w:spacing w:val="-7"/>
        </w:rPr>
        <w:t> </w:t>
      </w:r>
      <w:r>
        <w:rPr>
          <w:color w:val="231F20"/>
        </w:rPr>
        <w:t>Trel.,</w:t>
      </w:r>
      <w:r>
        <w:rPr>
          <w:color w:val="231F20"/>
          <w:spacing w:val="-3"/>
        </w:rPr>
        <w:t> </w:t>
      </w:r>
      <w:r>
        <w:rPr>
          <w:color w:val="231F20"/>
        </w:rPr>
        <w:t>Q.</w:t>
      </w:r>
      <w:r>
        <w:rPr>
          <w:color w:val="231F20"/>
          <w:spacing w:val="-3"/>
        </w:rPr>
        <w:t> </w:t>
      </w:r>
      <w:r>
        <w:rPr>
          <w:color w:val="231F20"/>
        </w:rPr>
        <w:t>crassive- nosa</w:t>
      </w:r>
      <w:r>
        <w:rPr>
          <w:color w:val="231F20"/>
          <w:spacing w:val="-8"/>
        </w:rPr>
        <w:t> </w:t>
      </w:r>
      <w:r>
        <w:rPr>
          <w:color w:val="231F20"/>
        </w:rPr>
        <w:t>Trel.,</w:t>
      </w:r>
      <w:r>
        <w:rPr>
          <w:color w:val="231F20"/>
          <w:spacing w:val="-5"/>
        </w:rPr>
        <w:t> </w:t>
      </w:r>
      <w:r>
        <w:rPr>
          <w:color w:val="231F20"/>
        </w:rPr>
        <w:t>Q.</w:t>
      </w:r>
      <w:r>
        <w:rPr>
          <w:color w:val="231F20"/>
          <w:spacing w:val="-5"/>
        </w:rPr>
        <w:t> </w:t>
      </w:r>
      <w:r>
        <w:rPr>
          <w:color w:val="231F20"/>
        </w:rPr>
        <w:t>impressa</w:t>
      </w:r>
      <w:r>
        <w:rPr>
          <w:color w:val="231F20"/>
          <w:spacing w:val="-9"/>
        </w:rPr>
        <w:t> </w:t>
      </w:r>
      <w:r>
        <w:rPr>
          <w:color w:val="231F20"/>
        </w:rPr>
        <w:t>Trel.,</w:t>
      </w:r>
      <w:r>
        <w:rPr>
          <w:color w:val="231F20"/>
          <w:spacing w:val="-5"/>
        </w:rPr>
        <w:t> </w:t>
      </w:r>
      <w:r>
        <w:rPr>
          <w:color w:val="231F20"/>
        </w:rPr>
        <w:t>Q.</w:t>
      </w:r>
      <w:r>
        <w:rPr>
          <w:color w:val="231F20"/>
          <w:spacing w:val="-5"/>
        </w:rPr>
        <w:t> </w:t>
      </w:r>
      <w:r>
        <w:rPr>
          <w:color w:val="231F20"/>
        </w:rPr>
        <w:t>lanígera</w:t>
      </w:r>
      <w:r>
        <w:rPr>
          <w:color w:val="231F20"/>
          <w:spacing w:val="-5"/>
        </w:rPr>
        <w:t> </w:t>
      </w:r>
      <w:r>
        <w:rPr>
          <w:color w:val="231F20"/>
        </w:rPr>
        <w:t>Mart.</w:t>
      </w:r>
      <w:r>
        <w:rPr>
          <w:color w:val="231F20"/>
          <w:spacing w:val="-5"/>
        </w:rPr>
        <w:t> </w:t>
      </w:r>
      <w:r>
        <w:rPr>
          <w:color w:val="231F20"/>
        </w:rPr>
        <w:t>&amp;</w:t>
      </w:r>
      <w:r>
        <w:rPr>
          <w:color w:val="231F20"/>
          <w:spacing w:val="-5"/>
        </w:rPr>
        <w:t> </w:t>
      </w:r>
      <w:r>
        <w:rPr>
          <w:color w:val="231F20"/>
        </w:rPr>
        <w:t>Gal.,</w:t>
      </w:r>
      <w:r>
        <w:rPr>
          <w:color w:val="231F20"/>
          <w:spacing w:val="-5"/>
        </w:rPr>
        <w:t> </w:t>
      </w:r>
      <w:r>
        <w:rPr>
          <w:color w:val="231F20"/>
        </w:rPr>
        <w:t>Q.</w:t>
      </w:r>
      <w:r>
        <w:rPr>
          <w:color w:val="231F20"/>
          <w:spacing w:val="-5"/>
        </w:rPr>
        <w:t> </w:t>
      </w:r>
      <w:r>
        <w:rPr>
          <w:color w:val="231F20"/>
        </w:rPr>
        <w:t>mucronata</w:t>
      </w:r>
      <w:r>
        <w:rPr>
          <w:color w:val="231F20"/>
          <w:spacing w:val="-9"/>
        </w:rPr>
        <w:t> </w:t>
      </w:r>
      <w:r>
        <w:rPr>
          <w:color w:val="231F20"/>
        </w:rPr>
        <w:t>Willd.</w:t>
      </w:r>
      <w:r>
        <w:rPr>
          <w:color w:val="231F20"/>
          <w:spacing w:val="-5"/>
        </w:rPr>
        <w:t> </w:t>
      </w:r>
      <w:r>
        <w:rPr>
          <w:color w:val="231F20"/>
        </w:rPr>
        <w:t>Q.</w:t>
      </w:r>
      <w:r>
        <w:rPr>
          <w:color w:val="231F20"/>
          <w:spacing w:val="-5"/>
        </w:rPr>
        <w:t> </w:t>
      </w:r>
      <w:r>
        <w:rPr>
          <w:color w:val="231F20"/>
        </w:rPr>
        <w:t>rossii</w:t>
      </w:r>
      <w:r>
        <w:rPr>
          <w:color w:val="231F20"/>
          <w:spacing w:val="-8"/>
        </w:rPr>
        <w:t> </w:t>
      </w:r>
      <w:r>
        <w:rPr>
          <w:color w:val="231F20"/>
        </w:rPr>
        <w:t>Trel.,</w:t>
      </w:r>
      <w:r>
        <w:rPr>
          <w:color w:val="231F20"/>
          <w:spacing w:val="-5"/>
        </w:rPr>
        <w:t> </w:t>
      </w:r>
      <w:r>
        <w:rPr>
          <w:color w:val="231F20"/>
        </w:rPr>
        <w:t>Q.</w:t>
      </w:r>
      <w:r>
        <w:rPr>
          <w:color w:val="231F20"/>
          <w:spacing w:val="-5"/>
        </w:rPr>
        <w:t> </w:t>
      </w:r>
      <w:r>
        <w:rPr>
          <w:color w:val="231F20"/>
        </w:rPr>
        <w:t>seleri Trel., Q. serrulata Trel., Q. spathulistipula Trel., Q. subscrispata Trel., Q. tepoxuchilensis Trel., Q. tristis</w:t>
      </w:r>
      <w:r>
        <w:rPr>
          <w:color w:val="231F20"/>
          <w:spacing w:val="-4"/>
        </w:rPr>
        <w:t> </w:t>
      </w:r>
      <w:r>
        <w:rPr>
          <w:color w:val="231F20"/>
        </w:rPr>
        <w:t>Liebm.,</w:t>
      </w:r>
      <w:r>
        <w:rPr>
          <w:color w:val="231F20"/>
          <w:spacing w:val="-4"/>
        </w:rPr>
        <w:t> </w:t>
      </w:r>
      <w:r>
        <w:rPr>
          <w:color w:val="231F20"/>
        </w:rPr>
        <w:t>Q.</w:t>
      </w:r>
      <w:r>
        <w:rPr>
          <w:color w:val="231F20"/>
          <w:spacing w:val="-3"/>
        </w:rPr>
        <w:t> </w:t>
      </w:r>
      <w:r>
        <w:rPr>
          <w:color w:val="231F20"/>
        </w:rPr>
        <w:t>verrucosirama</w:t>
      </w:r>
      <w:r>
        <w:rPr>
          <w:color w:val="231F20"/>
          <w:spacing w:val="-7"/>
        </w:rPr>
        <w:t> </w:t>
      </w:r>
      <w:r>
        <w:rPr>
          <w:color w:val="231F20"/>
        </w:rPr>
        <w:t>Trel.,</w:t>
      </w:r>
      <w:r>
        <w:rPr>
          <w:color w:val="231F20"/>
          <w:spacing w:val="-3"/>
        </w:rPr>
        <w:t> </w:t>
      </w:r>
      <w:r>
        <w:rPr>
          <w:color w:val="231F20"/>
        </w:rPr>
        <w:t>Q.</w:t>
      </w:r>
      <w:r>
        <w:rPr>
          <w:color w:val="231F20"/>
          <w:spacing w:val="-3"/>
        </w:rPr>
        <w:t> </w:t>
      </w:r>
      <w:r>
        <w:rPr>
          <w:color w:val="231F20"/>
        </w:rPr>
        <w:t>pulchella</w:t>
      </w:r>
      <w:r>
        <w:rPr>
          <w:color w:val="231F20"/>
          <w:spacing w:val="-3"/>
        </w:rPr>
        <w:t> </w:t>
      </w:r>
      <w:r>
        <w:rPr>
          <w:color w:val="231F20"/>
        </w:rPr>
        <w:t>Humb.</w:t>
      </w:r>
      <w:r>
        <w:rPr>
          <w:color w:val="231F20"/>
          <w:spacing w:val="-3"/>
        </w:rPr>
        <w:t> </w:t>
      </w:r>
      <w:r>
        <w:rPr>
          <w:color w:val="231F20"/>
        </w:rPr>
        <w:t>&amp;</w:t>
      </w:r>
      <w:r>
        <w:rPr>
          <w:color w:val="231F20"/>
          <w:spacing w:val="-3"/>
        </w:rPr>
        <w:t> </w:t>
      </w:r>
      <w:r>
        <w:rPr>
          <w:color w:val="231F20"/>
        </w:rPr>
        <w:t>Bonpl.</w:t>
      </w:r>
      <w:r>
        <w:rPr>
          <w:color w:val="231F20"/>
          <w:spacing w:val="-3"/>
        </w:rPr>
        <w:t> </w:t>
      </w:r>
      <w:r>
        <w:rPr>
          <w:color w:val="231F20"/>
        </w:rPr>
        <w:t>y</w:t>
      </w:r>
      <w:r>
        <w:rPr>
          <w:color w:val="231F20"/>
          <w:spacing w:val="-3"/>
        </w:rPr>
        <w:t> </w:t>
      </w:r>
      <w:r>
        <w:rPr>
          <w:color w:val="231F20"/>
        </w:rPr>
        <w:t>Q.</w:t>
      </w:r>
      <w:r>
        <w:rPr>
          <w:color w:val="231F20"/>
          <w:spacing w:val="-3"/>
        </w:rPr>
        <w:t> </w:t>
      </w:r>
      <w:r>
        <w:rPr>
          <w:color w:val="231F20"/>
        </w:rPr>
        <w:t>scherzeri</w:t>
      </w:r>
      <w:r>
        <w:rPr>
          <w:color w:val="231F20"/>
          <w:spacing w:val="-7"/>
        </w:rPr>
        <w:t> </w:t>
      </w:r>
      <w:r>
        <w:rPr>
          <w:color w:val="231F20"/>
        </w:rPr>
        <w:t>Trel.</w:t>
      </w:r>
    </w:p>
    <w:p>
      <w:pPr>
        <w:pStyle w:val="BodyText"/>
        <w:spacing w:before="1"/>
        <w:ind w:left="1270"/>
        <w:jc w:val="both"/>
      </w:pPr>
      <w:r>
        <w:rPr>
          <w:color w:val="231F20"/>
        </w:rPr>
        <w:t>Q. coccolobifolia, se propone como sinónimos de esta especie a Q. endlichiana Trel. Y Q.   jonessii</w:t>
      </w:r>
    </w:p>
    <w:p>
      <w:pPr>
        <w:pStyle w:val="BodyText"/>
        <w:spacing w:before="8"/>
        <w:ind w:left="1270"/>
        <w:jc w:val="both"/>
      </w:pPr>
      <w:r>
        <w:rPr>
          <w:color w:val="231F20"/>
        </w:rPr>
        <w:t>Trel. (De la Cerda, 1989)</w:t>
      </w:r>
    </w:p>
    <w:p>
      <w:pPr>
        <w:pStyle w:val="BodyText"/>
        <w:spacing w:line="247" w:lineRule="auto" w:before="8"/>
        <w:ind w:left="1270" w:right="1268"/>
        <w:jc w:val="both"/>
      </w:pPr>
      <w:r>
        <w:rPr>
          <w:color w:val="231F20"/>
        </w:rPr>
        <w:t>Q.</w:t>
      </w:r>
      <w:r>
        <w:rPr>
          <w:color w:val="231F20"/>
          <w:spacing w:val="-7"/>
        </w:rPr>
        <w:t> </w:t>
      </w:r>
      <w:r>
        <w:rPr>
          <w:color w:val="231F20"/>
        </w:rPr>
        <w:t>conspersa</w:t>
      </w:r>
      <w:r>
        <w:rPr>
          <w:color w:val="231F20"/>
          <w:spacing w:val="-7"/>
        </w:rPr>
        <w:t> </w:t>
      </w:r>
      <w:r>
        <w:rPr>
          <w:color w:val="231F20"/>
        </w:rPr>
        <w:t>Benth.,</w:t>
      </w:r>
      <w:r>
        <w:rPr>
          <w:color w:val="231F20"/>
          <w:spacing w:val="-7"/>
        </w:rPr>
        <w:t> </w:t>
      </w:r>
      <w:r>
        <w:rPr>
          <w:color w:val="231F20"/>
        </w:rPr>
        <w:t>se</w:t>
      </w:r>
      <w:r>
        <w:rPr>
          <w:color w:val="231F20"/>
          <w:spacing w:val="-7"/>
        </w:rPr>
        <w:t> </w:t>
      </w:r>
      <w:r>
        <w:rPr>
          <w:color w:val="231F20"/>
        </w:rPr>
        <w:t>propone</w:t>
      </w:r>
      <w:r>
        <w:rPr>
          <w:color w:val="231F20"/>
          <w:spacing w:val="-7"/>
        </w:rPr>
        <w:t> </w:t>
      </w:r>
      <w:r>
        <w:rPr>
          <w:color w:val="231F20"/>
        </w:rPr>
        <w:t>como</w:t>
      </w:r>
      <w:r>
        <w:rPr>
          <w:color w:val="231F20"/>
          <w:spacing w:val="-7"/>
        </w:rPr>
        <w:t> </w:t>
      </w:r>
      <w:r>
        <w:rPr>
          <w:color w:val="231F20"/>
        </w:rPr>
        <w:t>sinónimos</w:t>
      </w:r>
      <w:r>
        <w:rPr>
          <w:color w:val="231F20"/>
          <w:spacing w:val="-7"/>
        </w:rPr>
        <w:t> </w:t>
      </w:r>
      <w:r>
        <w:rPr>
          <w:color w:val="231F20"/>
        </w:rPr>
        <w:t>a</w:t>
      </w:r>
      <w:r>
        <w:rPr>
          <w:color w:val="231F20"/>
          <w:spacing w:val="-7"/>
        </w:rPr>
        <w:t> </w:t>
      </w:r>
      <w:r>
        <w:rPr>
          <w:color w:val="231F20"/>
        </w:rPr>
        <w:t>Q.</w:t>
      </w:r>
      <w:r>
        <w:rPr>
          <w:color w:val="231F20"/>
          <w:spacing w:val="-7"/>
        </w:rPr>
        <w:t> </w:t>
      </w:r>
      <w:r>
        <w:rPr>
          <w:color w:val="231F20"/>
        </w:rPr>
        <w:t>acutifolia</w:t>
      </w:r>
      <w:r>
        <w:rPr>
          <w:color w:val="231F20"/>
          <w:spacing w:val="-7"/>
        </w:rPr>
        <w:t> </w:t>
      </w:r>
      <w:r>
        <w:rPr>
          <w:color w:val="231F20"/>
        </w:rPr>
        <w:t>subsp.</w:t>
      </w:r>
      <w:r>
        <w:rPr>
          <w:color w:val="231F20"/>
          <w:spacing w:val="-7"/>
        </w:rPr>
        <w:t> </w:t>
      </w:r>
      <w:r>
        <w:rPr>
          <w:color w:val="231F20"/>
        </w:rPr>
        <w:t>conspersa</w:t>
      </w:r>
      <w:r>
        <w:rPr>
          <w:color w:val="231F20"/>
          <w:spacing w:val="-19"/>
        </w:rPr>
        <w:t> </w:t>
      </w:r>
      <w:r>
        <w:rPr>
          <w:color w:val="231F20"/>
        </w:rPr>
        <w:t>A.</w:t>
      </w:r>
      <w:r>
        <w:rPr>
          <w:color w:val="231F20"/>
          <w:spacing w:val="-7"/>
        </w:rPr>
        <w:t> </w:t>
      </w:r>
      <w:r>
        <w:rPr>
          <w:color w:val="231F20"/>
        </w:rPr>
        <w:t>DC.,</w:t>
      </w:r>
      <w:r>
        <w:rPr>
          <w:color w:val="231F20"/>
          <w:spacing w:val="-7"/>
        </w:rPr>
        <w:t> </w:t>
      </w:r>
      <w:r>
        <w:rPr>
          <w:color w:val="231F20"/>
        </w:rPr>
        <w:t>Q</w:t>
      </w:r>
      <w:r>
        <w:rPr>
          <w:color w:val="231F20"/>
          <w:spacing w:val="-7"/>
        </w:rPr>
        <w:t> </w:t>
      </w:r>
      <w:r>
        <w:rPr>
          <w:color w:val="231F20"/>
        </w:rPr>
        <w:t>acutifo- lia</w:t>
      </w:r>
      <w:r>
        <w:rPr>
          <w:color w:val="231F20"/>
          <w:spacing w:val="-7"/>
        </w:rPr>
        <w:t> </w:t>
      </w:r>
      <w:r>
        <w:rPr>
          <w:color w:val="231F20"/>
        </w:rPr>
        <w:t>subsp.</w:t>
      </w:r>
      <w:r>
        <w:rPr>
          <w:color w:val="231F20"/>
          <w:spacing w:val="-7"/>
        </w:rPr>
        <w:t> </w:t>
      </w:r>
      <w:r>
        <w:rPr>
          <w:color w:val="231F20"/>
        </w:rPr>
        <w:t>microcarpa</w:t>
      </w:r>
      <w:r>
        <w:rPr>
          <w:color w:val="231F20"/>
          <w:spacing w:val="-18"/>
        </w:rPr>
        <w:t> </w:t>
      </w:r>
      <w:r>
        <w:rPr>
          <w:color w:val="231F20"/>
        </w:rPr>
        <w:t>A.</w:t>
      </w:r>
      <w:r>
        <w:rPr>
          <w:color w:val="231F20"/>
          <w:spacing w:val="-7"/>
        </w:rPr>
        <w:t> </w:t>
      </w:r>
      <w:r>
        <w:rPr>
          <w:color w:val="231F20"/>
        </w:rPr>
        <w:t>DC.,</w:t>
      </w:r>
      <w:r>
        <w:rPr>
          <w:color w:val="231F20"/>
          <w:spacing w:val="-7"/>
        </w:rPr>
        <w:t> </w:t>
      </w:r>
      <w:r>
        <w:rPr>
          <w:color w:val="231F20"/>
        </w:rPr>
        <w:t>Q.</w:t>
      </w:r>
      <w:r>
        <w:rPr>
          <w:color w:val="231F20"/>
          <w:spacing w:val="-7"/>
        </w:rPr>
        <w:t> </w:t>
      </w:r>
      <w:r>
        <w:rPr>
          <w:color w:val="231F20"/>
        </w:rPr>
        <w:t>correpta</w:t>
      </w:r>
      <w:r>
        <w:rPr>
          <w:color w:val="231F20"/>
          <w:spacing w:val="-10"/>
        </w:rPr>
        <w:t> </w:t>
      </w:r>
      <w:r>
        <w:rPr>
          <w:color w:val="231F20"/>
        </w:rPr>
        <w:t>Trel.,</w:t>
      </w:r>
      <w:r>
        <w:rPr>
          <w:color w:val="231F20"/>
          <w:spacing w:val="-7"/>
        </w:rPr>
        <w:t> </w:t>
      </w:r>
      <w:r>
        <w:rPr>
          <w:color w:val="231F20"/>
        </w:rPr>
        <w:t>Q.</w:t>
      </w:r>
      <w:r>
        <w:rPr>
          <w:color w:val="231F20"/>
          <w:spacing w:val="-7"/>
        </w:rPr>
        <w:t> </w:t>
      </w:r>
      <w:r>
        <w:rPr>
          <w:color w:val="231F20"/>
        </w:rPr>
        <w:t>grahami</w:t>
      </w:r>
      <w:r>
        <w:rPr>
          <w:color w:val="231F20"/>
          <w:spacing w:val="-7"/>
        </w:rPr>
        <w:t> </w:t>
      </w:r>
      <w:r>
        <w:rPr>
          <w:color w:val="231F20"/>
        </w:rPr>
        <w:t>subsp.</w:t>
      </w:r>
      <w:r>
        <w:rPr>
          <w:color w:val="231F20"/>
          <w:spacing w:val="-7"/>
        </w:rPr>
        <w:t> </w:t>
      </w:r>
      <w:r>
        <w:rPr>
          <w:color w:val="231F20"/>
        </w:rPr>
        <w:t>coyulana</w:t>
      </w:r>
      <w:r>
        <w:rPr>
          <w:color w:val="231F20"/>
          <w:spacing w:val="-10"/>
        </w:rPr>
        <w:t> </w:t>
      </w:r>
      <w:r>
        <w:rPr>
          <w:color w:val="231F20"/>
        </w:rPr>
        <w:t>Trel.,</w:t>
      </w:r>
      <w:r>
        <w:rPr>
          <w:color w:val="231F20"/>
          <w:spacing w:val="-7"/>
        </w:rPr>
        <w:t> </w:t>
      </w:r>
      <w:r>
        <w:rPr>
          <w:color w:val="231F20"/>
        </w:rPr>
        <w:t>Q.</w:t>
      </w:r>
      <w:r>
        <w:rPr>
          <w:color w:val="231F20"/>
          <w:spacing w:val="-7"/>
        </w:rPr>
        <w:t> </w:t>
      </w:r>
      <w:r>
        <w:rPr>
          <w:color w:val="231F20"/>
        </w:rPr>
        <w:t>grahami</w:t>
      </w:r>
      <w:r>
        <w:rPr>
          <w:color w:val="231F20"/>
          <w:spacing w:val="-7"/>
        </w:rPr>
        <w:t> </w:t>
      </w:r>
      <w:r>
        <w:rPr>
          <w:color w:val="231F20"/>
        </w:rPr>
        <w:t>subsp. Nelsoni Trel. y Q. nítida Mart. &amp;</w:t>
      </w:r>
      <w:r>
        <w:rPr>
          <w:color w:val="231F20"/>
          <w:spacing w:val="-27"/>
        </w:rPr>
        <w:t> </w:t>
      </w:r>
      <w:r>
        <w:rPr>
          <w:color w:val="231F20"/>
        </w:rPr>
        <w:t>Gal.</w:t>
      </w:r>
    </w:p>
    <w:p>
      <w:pPr>
        <w:pStyle w:val="BodyText"/>
        <w:spacing w:before="1"/>
        <w:ind w:left="1270"/>
        <w:jc w:val="both"/>
      </w:pPr>
      <w:r>
        <w:rPr>
          <w:color w:val="231F20"/>
        </w:rPr>
        <w:t>Q. eduardii Trel., se propone como sinónimo a Q. oligodonta Seemen.</w:t>
      </w:r>
    </w:p>
    <w:p>
      <w:pPr>
        <w:pStyle w:val="BodyText"/>
        <w:spacing w:line="247" w:lineRule="auto" w:before="8"/>
        <w:ind w:left="1270" w:right="1267"/>
        <w:jc w:val="both"/>
      </w:pPr>
      <w:r>
        <w:rPr>
          <w:color w:val="231F20"/>
        </w:rPr>
        <w:t>Q. elliptica Née., se propone como sinónimos a Q. atrescentirhachis Trel., Q. botryocarpa Trel., Q. coccinata Trel., Q. chiquihuitillonis Trel., Q. exaristata Trel., Q. hondurensis Trel., Q. langlassei Trel., Q. linguaefolia Liebm., Q. peradifolia Warb., Q. pubinervis Mart. &amp; Gal. y Q. yoroensis Trel.</w:t>
      </w:r>
    </w:p>
    <w:p>
      <w:pPr>
        <w:pStyle w:val="BodyText"/>
        <w:spacing w:before="1"/>
        <w:ind w:left="1270"/>
        <w:jc w:val="both"/>
      </w:pPr>
      <w:r>
        <w:rPr>
          <w:color w:val="231F20"/>
        </w:rPr>
        <w:t>Q. laurina Humb. &amp; Bonpl., se propone como sinónimos de esta especie a Q. barbinervis Benth.,</w:t>
      </w:r>
    </w:p>
    <w:p>
      <w:pPr>
        <w:pStyle w:val="BodyText"/>
        <w:spacing w:line="247" w:lineRule="auto" w:before="8"/>
        <w:ind w:left="1270" w:right="1268"/>
        <w:jc w:val="both"/>
      </w:pPr>
      <w:r>
        <w:rPr>
          <w:color w:val="231F20"/>
        </w:rPr>
        <w:t>Q. bourgaei Trel., Q. caerulocarpa Trel., Q. chrysophylla Humb. &amp; Bonpl., Q. lanceolata Humb. &amp; Bonpl., Q. major (A. DC.) Trel., Q. nitens subsp. Major A. DC., Q. ocoteaefolia Liebm., Q. roseo- venulosa Trel., Q. tlapuxahuensis A. DC., Q. treleaseana Camus y Q. tridens Humb. &amp; Bonpl. De</w:t>
      </w:r>
      <w:r>
        <w:rPr>
          <w:color w:val="231F20"/>
          <w:spacing w:val="-24"/>
        </w:rPr>
        <w:t> </w:t>
      </w:r>
      <w:r>
        <w:rPr>
          <w:color w:val="231F20"/>
        </w:rPr>
        <w:t>la Cerda (1989) agrega además a Q. tlapuxahuensis D.C igualmente como sinónimo.</w:t>
      </w:r>
    </w:p>
    <w:p>
      <w:pPr>
        <w:pStyle w:val="BodyText"/>
        <w:spacing w:line="247" w:lineRule="auto" w:before="1"/>
        <w:ind w:left="1270" w:right="1268"/>
        <w:jc w:val="both"/>
      </w:pPr>
      <w:r>
        <w:rPr>
          <w:color w:val="231F20"/>
        </w:rPr>
        <w:t>Q. polymorpha Schlecht. &amp; Cham. Se propone como sinónimos a Q. guatemalensis A. DC., Q. pe- tiolaris Benth., Q. varians Mart. &amp; Gal. y Q. turbinata Liebm.</w:t>
      </w:r>
    </w:p>
    <w:p>
      <w:pPr>
        <w:pStyle w:val="BodyText"/>
        <w:spacing w:before="1"/>
        <w:ind w:left="1270"/>
        <w:jc w:val="both"/>
      </w:pPr>
      <w:r>
        <w:rPr>
          <w:color w:val="231F20"/>
        </w:rPr>
        <w:t>Q. urbanii Trel. Como sinónimos de Q. conzattii Trel., Q. pennivenia Trel. y Q. radiata Trel.</w:t>
      </w:r>
    </w:p>
    <w:p>
      <w:pPr>
        <w:pStyle w:val="BodyText"/>
        <w:spacing w:before="8"/>
        <w:ind w:left="1270"/>
        <w:jc w:val="both"/>
      </w:pPr>
      <w:r>
        <w:rPr>
          <w:color w:val="231F20"/>
        </w:rPr>
        <w:t>Q. dysophylla Benth. Como sinónimo de Q. hahnii Trel.</w:t>
      </w:r>
    </w:p>
    <w:p>
      <w:pPr>
        <w:pStyle w:val="BodyText"/>
        <w:spacing w:line="247" w:lineRule="auto" w:before="8"/>
        <w:ind w:left="1270" w:right="1268"/>
        <w:jc w:val="both"/>
      </w:pPr>
      <w:r>
        <w:rPr>
          <w:color w:val="231F20"/>
        </w:rPr>
        <w:t>Q. mexicana Humb. &amp; Bonpl. como sinónimos de Q. pablillensis C. H. Mull. y a Q. rugulosa Mart. &amp; Gal.</w:t>
      </w:r>
    </w:p>
    <w:p>
      <w:pPr>
        <w:pStyle w:val="BodyText"/>
        <w:spacing w:line="247" w:lineRule="auto" w:before="1"/>
        <w:ind w:left="1270" w:right="1268"/>
        <w:jc w:val="both"/>
      </w:pPr>
      <w:r>
        <w:rPr>
          <w:color w:val="231F20"/>
        </w:rPr>
        <w:t>Q. obtusata Humb. &amp; Bonpl. como sinónimos de Q. alvarezensis Trel., Q. atriglans Warb., Q. con- vallata Trel., Q. crenatifolia Trel., Q. hartwegii Benth., Q. inuncupata Trel., Q. pandurata Humb.&amp; Bonpl., Q. panduriformis Trel., Q. rugosa Trel., Q. spicata Humb. &amp; Bonpl. y Q. warburgii Camus.</w:t>
      </w:r>
    </w:p>
    <w:p>
      <w:pPr>
        <w:pStyle w:val="BodyText"/>
        <w:spacing w:line="247" w:lineRule="auto" w:before="1"/>
        <w:ind w:left="1270" w:right="1268"/>
        <w:jc w:val="both"/>
      </w:pPr>
      <w:r>
        <w:rPr>
          <w:color w:val="231F20"/>
        </w:rPr>
        <w:t>Q.</w:t>
      </w:r>
      <w:r>
        <w:rPr>
          <w:color w:val="231F20"/>
          <w:spacing w:val="-3"/>
        </w:rPr>
        <w:t> </w:t>
      </w:r>
      <w:r>
        <w:rPr>
          <w:color w:val="231F20"/>
        </w:rPr>
        <w:t>rugosa</w:t>
      </w:r>
      <w:r>
        <w:rPr>
          <w:color w:val="231F20"/>
          <w:spacing w:val="-3"/>
        </w:rPr>
        <w:t> </w:t>
      </w:r>
      <w:r>
        <w:rPr>
          <w:color w:val="231F20"/>
        </w:rPr>
        <w:t>Née.</w:t>
      </w:r>
      <w:r>
        <w:rPr>
          <w:color w:val="231F20"/>
          <w:spacing w:val="-2"/>
        </w:rPr>
        <w:t> </w:t>
      </w:r>
      <w:r>
        <w:rPr>
          <w:color w:val="231F20"/>
        </w:rPr>
        <w:t>Como</w:t>
      </w:r>
      <w:r>
        <w:rPr>
          <w:color w:val="231F20"/>
          <w:spacing w:val="-3"/>
        </w:rPr>
        <w:t> </w:t>
      </w:r>
      <w:r>
        <w:rPr>
          <w:color w:val="231F20"/>
        </w:rPr>
        <w:t>sinónimos</w:t>
      </w:r>
      <w:r>
        <w:rPr>
          <w:color w:val="231F20"/>
          <w:spacing w:val="-2"/>
        </w:rPr>
        <w:t> </w:t>
      </w:r>
      <w:r>
        <w:rPr>
          <w:color w:val="231F20"/>
        </w:rPr>
        <w:t>de</w:t>
      </w:r>
      <w:r>
        <w:rPr>
          <w:color w:val="231F20"/>
          <w:spacing w:val="-3"/>
        </w:rPr>
        <w:t> </w:t>
      </w:r>
      <w:r>
        <w:rPr>
          <w:color w:val="231F20"/>
        </w:rPr>
        <w:t>Q.</w:t>
      </w:r>
      <w:r>
        <w:rPr>
          <w:color w:val="231F20"/>
          <w:spacing w:val="-3"/>
        </w:rPr>
        <w:t> </w:t>
      </w:r>
      <w:r>
        <w:rPr>
          <w:color w:val="231F20"/>
        </w:rPr>
        <w:t>conglomerata</w:t>
      </w:r>
      <w:r>
        <w:rPr>
          <w:color w:val="231F20"/>
          <w:spacing w:val="-7"/>
        </w:rPr>
        <w:t> </w:t>
      </w:r>
      <w:r>
        <w:rPr>
          <w:color w:val="231F20"/>
        </w:rPr>
        <w:t>Trel.,</w:t>
      </w:r>
      <w:r>
        <w:rPr>
          <w:color w:val="231F20"/>
          <w:spacing w:val="-3"/>
        </w:rPr>
        <w:t> </w:t>
      </w:r>
      <w:r>
        <w:rPr>
          <w:color w:val="231F20"/>
        </w:rPr>
        <w:t>Q.</w:t>
      </w:r>
      <w:r>
        <w:rPr>
          <w:color w:val="231F20"/>
          <w:spacing w:val="-3"/>
        </w:rPr>
        <w:t> </w:t>
      </w:r>
      <w:r>
        <w:rPr>
          <w:color w:val="231F20"/>
        </w:rPr>
        <w:t>decipiens</w:t>
      </w:r>
      <w:r>
        <w:rPr>
          <w:color w:val="231F20"/>
          <w:spacing w:val="-3"/>
        </w:rPr>
        <w:t> </w:t>
      </w:r>
      <w:r>
        <w:rPr>
          <w:color w:val="231F20"/>
        </w:rPr>
        <w:t>Mart.</w:t>
      </w:r>
      <w:r>
        <w:rPr>
          <w:color w:val="231F20"/>
          <w:spacing w:val="-2"/>
        </w:rPr>
        <w:t> </w:t>
      </w:r>
      <w:r>
        <w:rPr>
          <w:color w:val="231F20"/>
        </w:rPr>
        <w:t>&amp;</w:t>
      </w:r>
      <w:r>
        <w:rPr>
          <w:color w:val="231F20"/>
          <w:spacing w:val="-3"/>
        </w:rPr>
        <w:t> </w:t>
      </w:r>
      <w:r>
        <w:rPr>
          <w:color w:val="231F20"/>
        </w:rPr>
        <w:t>Gal.,</w:t>
      </w:r>
      <w:r>
        <w:rPr>
          <w:color w:val="231F20"/>
          <w:spacing w:val="-2"/>
        </w:rPr>
        <w:t> </w:t>
      </w:r>
      <w:r>
        <w:rPr>
          <w:color w:val="231F20"/>
        </w:rPr>
        <w:t>Q.</w:t>
      </w:r>
      <w:r>
        <w:rPr>
          <w:color w:val="231F20"/>
          <w:spacing w:val="-3"/>
        </w:rPr>
        <w:t> </w:t>
      </w:r>
      <w:r>
        <w:rPr>
          <w:color w:val="231F20"/>
        </w:rPr>
        <w:t>diversico- lor</w:t>
      </w:r>
      <w:r>
        <w:rPr>
          <w:color w:val="231F20"/>
          <w:spacing w:val="-7"/>
        </w:rPr>
        <w:t> </w:t>
      </w:r>
      <w:r>
        <w:rPr>
          <w:color w:val="231F20"/>
        </w:rPr>
        <w:t>Trel.,</w:t>
      </w:r>
      <w:r>
        <w:rPr>
          <w:color w:val="231F20"/>
          <w:spacing w:val="-3"/>
        </w:rPr>
        <w:t> </w:t>
      </w:r>
      <w:r>
        <w:rPr>
          <w:color w:val="231F20"/>
        </w:rPr>
        <w:t>Q.</w:t>
      </w:r>
      <w:r>
        <w:rPr>
          <w:color w:val="231F20"/>
          <w:spacing w:val="-3"/>
        </w:rPr>
        <w:t> </w:t>
      </w:r>
      <w:r>
        <w:rPr>
          <w:color w:val="231F20"/>
        </w:rPr>
        <w:t>reticulata</w:t>
      </w:r>
      <w:r>
        <w:rPr>
          <w:color w:val="231F20"/>
          <w:spacing w:val="-3"/>
        </w:rPr>
        <w:t> </w:t>
      </w:r>
      <w:r>
        <w:rPr>
          <w:color w:val="231F20"/>
        </w:rPr>
        <w:t>Humb.</w:t>
      </w:r>
      <w:r>
        <w:rPr>
          <w:color w:val="231F20"/>
          <w:spacing w:val="-3"/>
        </w:rPr>
        <w:t> </w:t>
      </w:r>
      <w:r>
        <w:rPr>
          <w:color w:val="231F20"/>
        </w:rPr>
        <w:t>&amp;</w:t>
      </w:r>
      <w:r>
        <w:rPr>
          <w:color w:val="231F20"/>
          <w:spacing w:val="-3"/>
        </w:rPr>
        <w:t> </w:t>
      </w:r>
      <w:r>
        <w:rPr>
          <w:color w:val="231F20"/>
        </w:rPr>
        <w:t>Bonpl.,</w:t>
      </w:r>
      <w:r>
        <w:rPr>
          <w:color w:val="231F20"/>
          <w:spacing w:val="-3"/>
        </w:rPr>
        <w:t> </w:t>
      </w:r>
      <w:r>
        <w:rPr>
          <w:color w:val="231F20"/>
        </w:rPr>
        <w:t>Q.</w:t>
      </w:r>
      <w:r>
        <w:rPr>
          <w:color w:val="231F20"/>
          <w:spacing w:val="-3"/>
        </w:rPr>
        <w:t> </w:t>
      </w:r>
      <w:r>
        <w:rPr>
          <w:color w:val="231F20"/>
        </w:rPr>
        <w:t>rhodophlebia</w:t>
      </w:r>
      <w:r>
        <w:rPr>
          <w:color w:val="231F20"/>
          <w:spacing w:val="-8"/>
        </w:rPr>
        <w:t> </w:t>
      </w:r>
      <w:r>
        <w:rPr>
          <w:color w:val="231F20"/>
        </w:rPr>
        <w:t>Trel.</w:t>
      </w:r>
      <w:r>
        <w:rPr>
          <w:color w:val="231F20"/>
          <w:spacing w:val="-3"/>
        </w:rPr>
        <w:t> </w:t>
      </w:r>
      <w:r>
        <w:rPr>
          <w:color w:val="231F20"/>
        </w:rPr>
        <w:t>y</w:t>
      </w:r>
      <w:r>
        <w:rPr>
          <w:color w:val="231F20"/>
          <w:spacing w:val="-3"/>
        </w:rPr>
        <w:t> </w:t>
      </w:r>
      <w:r>
        <w:rPr>
          <w:color w:val="231F20"/>
        </w:rPr>
        <w:t>Q.</w:t>
      </w:r>
      <w:r>
        <w:rPr>
          <w:color w:val="231F20"/>
          <w:spacing w:val="-3"/>
        </w:rPr>
        <w:t> </w:t>
      </w:r>
      <w:r>
        <w:rPr>
          <w:color w:val="231F20"/>
        </w:rPr>
        <w:t>suchiensis</w:t>
      </w:r>
      <w:r>
        <w:rPr>
          <w:color w:val="231F20"/>
          <w:spacing w:val="-7"/>
        </w:rPr>
        <w:t> </w:t>
      </w:r>
      <w:r>
        <w:rPr>
          <w:color w:val="231F20"/>
          <w:spacing w:val="-4"/>
        </w:rPr>
        <w:t>Warb.</w:t>
      </w:r>
    </w:p>
    <w:p>
      <w:pPr>
        <w:pStyle w:val="BodyText"/>
        <w:spacing w:line="247" w:lineRule="auto" w:before="1"/>
        <w:ind w:left="1270" w:right="1268"/>
        <w:jc w:val="both"/>
      </w:pPr>
      <w:r>
        <w:rPr>
          <w:color w:val="231F20"/>
        </w:rPr>
        <w:t>A</w:t>
      </w:r>
      <w:r>
        <w:rPr>
          <w:color w:val="231F20"/>
          <w:spacing w:val="-21"/>
        </w:rPr>
        <w:t> </w:t>
      </w:r>
      <w:r>
        <w:rPr>
          <w:color w:val="231F20"/>
        </w:rPr>
        <w:t>diferencia</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sinónimos</w:t>
      </w:r>
      <w:r>
        <w:rPr>
          <w:color w:val="231F20"/>
          <w:spacing w:val="-8"/>
        </w:rPr>
        <w:t> </w:t>
      </w:r>
      <w:r>
        <w:rPr>
          <w:color w:val="231F20"/>
        </w:rPr>
        <w:t>propuestos</w:t>
      </w:r>
      <w:r>
        <w:rPr>
          <w:color w:val="231F20"/>
          <w:spacing w:val="-9"/>
        </w:rPr>
        <w:t> </w:t>
      </w:r>
      <w:r>
        <w:rPr>
          <w:color w:val="231F20"/>
        </w:rPr>
        <w:t>por</w:t>
      </w:r>
      <w:r>
        <w:rPr>
          <w:color w:val="231F20"/>
          <w:spacing w:val="-9"/>
        </w:rPr>
        <w:t> </w:t>
      </w:r>
      <w:r>
        <w:rPr>
          <w:color w:val="231F20"/>
        </w:rPr>
        <w:t>Zavala</w:t>
      </w:r>
      <w:r>
        <w:rPr>
          <w:color w:val="231F20"/>
          <w:spacing w:val="-9"/>
        </w:rPr>
        <w:t> </w:t>
      </w:r>
      <w:r>
        <w:rPr>
          <w:color w:val="231F20"/>
        </w:rPr>
        <w:t>et</w:t>
      </w:r>
      <w:r>
        <w:rPr>
          <w:color w:val="231F20"/>
          <w:spacing w:val="-9"/>
        </w:rPr>
        <w:t> </w:t>
      </w:r>
      <w:r>
        <w:rPr>
          <w:color w:val="231F20"/>
        </w:rPr>
        <w:t>al.</w:t>
      </w:r>
      <w:r>
        <w:rPr>
          <w:color w:val="231F20"/>
          <w:spacing w:val="-9"/>
        </w:rPr>
        <w:t> </w:t>
      </w:r>
      <w:r>
        <w:rPr>
          <w:color w:val="231F20"/>
        </w:rPr>
        <w:t>(1999),</w:t>
      </w:r>
      <w:r>
        <w:rPr>
          <w:color w:val="231F20"/>
          <w:spacing w:val="-9"/>
        </w:rPr>
        <w:t> </w:t>
      </w:r>
      <w:r>
        <w:rPr>
          <w:color w:val="231F20"/>
        </w:rPr>
        <w:t>Romero</w:t>
      </w:r>
      <w:r>
        <w:rPr>
          <w:color w:val="231F20"/>
          <w:spacing w:val="-9"/>
        </w:rPr>
        <w:t> </w:t>
      </w:r>
      <w:r>
        <w:rPr>
          <w:color w:val="231F20"/>
        </w:rPr>
        <w:t>(2006),</w:t>
      </w:r>
      <w:r>
        <w:rPr>
          <w:color w:val="231F20"/>
          <w:spacing w:val="-9"/>
        </w:rPr>
        <w:t> </w:t>
      </w:r>
      <w:r>
        <w:rPr>
          <w:color w:val="231F20"/>
        </w:rPr>
        <w:t>estudió</w:t>
      </w:r>
      <w:r>
        <w:rPr>
          <w:color w:val="231F20"/>
          <w:spacing w:val="-9"/>
        </w:rPr>
        <w:t> </w:t>
      </w:r>
      <w:r>
        <w:rPr>
          <w:color w:val="231F20"/>
        </w:rPr>
        <w:t>la</w:t>
      </w:r>
      <w:r>
        <w:rPr>
          <w:color w:val="231F20"/>
          <w:spacing w:val="-9"/>
        </w:rPr>
        <w:t> </w:t>
      </w:r>
      <w:r>
        <w:rPr>
          <w:color w:val="231F20"/>
        </w:rPr>
        <w:t>taxono- mía</w:t>
      </w:r>
      <w:r>
        <w:rPr>
          <w:color w:val="231F20"/>
          <w:spacing w:val="-10"/>
        </w:rPr>
        <w:t> </w:t>
      </w:r>
      <w:r>
        <w:rPr>
          <w:color w:val="231F20"/>
        </w:rPr>
        <w:t>de</w:t>
      </w:r>
      <w:r>
        <w:rPr>
          <w:color w:val="231F20"/>
          <w:spacing w:val="-10"/>
        </w:rPr>
        <w:t> </w:t>
      </w:r>
      <w:r>
        <w:rPr>
          <w:color w:val="231F20"/>
        </w:rPr>
        <w:t>varias</w:t>
      </w:r>
      <w:r>
        <w:rPr>
          <w:color w:val="231F20"/>
          <w:spacing w:val="-10"/>
        </w:rPr>
        <w:t> </w:t>
      </w:r>
      <w:r>
        <w:rPr>
          <w:color w:val="231F20"/>
        </w:rPr>
        <w:t>especies</w:t>
      </w:r>
      <w:r>
        <w:rPr>
          <w:color w:val="231F20"/>
          <w:spacing w:val="-10"/>
        </w:rPr>
        <w:t> </w:t>
      </w:r>
      <w:r>
        <w:rPr>
          <w:color w:val="231F20"/>
        </w:rPr>
        <w:t>por</w:t>
      </w:r>
      <w:r>
        <w:rPr>
          <w:color w:val="231F20"/>
          <w:spacing w:val="-10"/>
        </w:rPr>
        <w:t> </w:t>
      </w:r>
      <w:r>
        <w:rPr>
          <w:color w:val="231F20"/>
        </w:rPr>
        <w:t>la</w:t>
      </w:r>
      <w:r>
        <w:rPr>
          <w:color w:val="231F20"/>
          <w:spacing w:val="-10"/>
        </w:rPr>
        <w:t> </w:t>
      </w:r>
      <w:r>
        <w:rPr>
          <w:color w:val="231F20"/>
        </w:rPr>
        <w:t>complejidad</w:t>
      </w:r>
      <w:r>
        <w:rPr>
          <w:color w:val="231F20"/>
          <w:spacing w:val="-10"/>
        </w:rPr>
        <w:t> </w:t>
      </w:r>
      <w:r>
        <w:rPr>
          <w:color w:val="231F20"/>
        </w:rPr>
        <w:t>que</w:t>
      </w:r>
      <w:r>
        <w:rPr>
          <w:color w:val="231F20"/>
          <w:spacing w:val="-10"/>
        </w:rPr>
        <w:t> </w:t>
      </w:r>
      <w:r>
        <w:rPr>
          <w:color w:val="231F20"/>
        </w:rPr>
        <w:t>representa</w:t>
      </w:r>
      <w:r>
        <w:rPr>
          <w:color w:val="231F20"/>
          <w:spacing w:val="-10"/>
        </w:rPr>
        <w:t> </w:t>
      </w:r>
      <w:r>
        <w:rPr>
          <w:color w:val="231F20"/>
        </w:rPr>
        <w:t>su</w:t>
      </w:r>
      <w:r>
        <w:rPr>
          <w:color w:val="231F20"/>
          <w:spacing w:val="-10"/>
        </w:rPr>
        <w:t> </w:t>
      </w:r>
      <w:r>
        <w:rPr>
          <w:color w:val="231F20"/>
        </w:rPr>
        <w:t>estudio,</w:t>
      </w:r>
      <w:r>
        <w:rPr>
          <w:color w:val="231F20"/>
          <w:spacing w:val="-10"/>
        </w:rPr>
        <w:t> </w:t>
      </w:r>
      <w:r>
        <w:rPr>
          <w:color w:val="231F20"/>
        </w:rPr>
        <w:t>encontrando</w:t>
      </w:r>
      <w:r>
        <w:rPr>
          <w:color w:val="231F20"/>
          <w:spacing w:val="-11"/>
        </w:rPr>
        <w:t> </w:t>
      </w:r>
      <w:r>
        <w:rPr>
          <w:color w:val="231F20"/>
        </w:rPr>
        <w:t>como</w:t>
      </w:r>
      <w:r>
        <w:rPr>
          <w:color w:val="231F20"/>
          <w:spacing w:val="-10"/>
        </w:rPr>
        <w:t> </w:t>
      </w:r>
      <w:r>
        <w:rPr>
          <w:color w:val="231F20"/>
        </w:rPr>
        <w:t>sinónimos</w:t>
      </w:r>
      <w:r>
        <w:rPr>
          <w:color w:val="231F20"/>
          <w:spacing w:val="-9"/>
        </w:rPr>
        <w:t> </w:t>
      </w:r>
      <w:r>
        <w:rPr>
          <w:color w:val="231F20"/>
        </w:rPr>
        <w:t>de</w:t>
      </w:r>
    </w:p>
    <w:p>
      <w:pPr>
        <w:pStyle w:val="BodyText"/>
        <w:spacing w:line="247" w:lineRule="auto" w:before="1"/>
        <w:ind w:left="1270" w:right="1267"/>
        <w:jc w:val="both"/>
      </w:pPr>
      <w:r>
        <w:rPr>
          <w:color w:val="231F20"/>
        </w:rPr>
        <w:t>Q. xalapensis a los siguientes: Q sartorii, Q. sartorii f. magma, Q. candelleana, Q. huitamalcana, Q. xalapensis f. jalapae, Q. xalapensis f. surculina, Q. cupreata, Q. cupreata f. brachystachys, Q.</w:t>
      </w:r>
      <w:r>
        <w:rPr>
          <w:color w:val="231F20"/>
          <w:spacing w:val="-35"/>
        </w:rPr>
        <w:t> </w:t>
      </w:r>
      <w:r>
        <w:rPr>
          <w:color w:val="231F20"/>
        </w:rPr>
        <w:t>cupre- ata</w:t>
      </w:r>
      <w:r>
        <w:rPr>
          <w:color w:val="231F20"/>
          <w:spacing w:val="-7"/>
        </w:rPr>
        <w:t> </w:t>
      </w:r>
      <w:r>
        <w:rPr>
          <w:color w:val="231F20"/>
        </w:rPr>
        <w:t>f.</w:t>
      </w:r>
      <w:r>
        <w:rPr>
          <w:color w:val="231F20"/>
          <w:spacing w:val="-7"/>
        </w:rPr>
        <w:t> </w:t>
      </w:r>
      <w:r>
        <w:rPr>
          <w:color w:val="231F20"/>
        </w:rPr>
        <w:t>serrata,</w:t>
      </w:r>
      <w:r>
        <w:rPr>
          <w:color w:val="231F20"/>
          <w:spacing w:val="-7"/>
        </w:rPr>
        <w:t> </w:t>
      </w:r>
      <w:r>
        <w:rPr>
          <w:color w:val="231F20"/>
        </w:rPr>
        <w:t>Q.</w:t>
      </w:r>
      <w:r>
        <w:rPr>
          <w:color w:val="231F20"/>
          <w:spacing w:val="-7"/>
        </w:rPr>
        <w:t> </w:t>
      </w:r>
      <w:r>
        <w:rPr>
          <w:color w:val="231F20"/>
        </w:rPr>
        <w:t>runcinatifolia</w:t>
      </w:r>
      <w:r>
        <w:rPr>
          <w:color w:val="231F20"/>
          <w:spacing w:val="-7"/>
        </w:rPr>
        <w:t> </w:t>
      </w:r>
      <w:r>
        <w:rPr>
          <w:color w:val="231F20"/>
        </w:rPr>
        <w:t>f.</w:t>
      </w:r>
      <w:r>
        <w:rPr>
          <w:color w:val="231F20"/>
          <w:spacing w:val="-7"/>
        </w:rPr>
        <w:t> </w:t>
      </w:r>
      <w:r>
        <w:rPr>
          <w:color w:val="231F20"/>
        </w:rPr>
        <w:t>alata,</w:t>
      </w:r>
      <w:r>
        <w:rPr>
          <w:color w:val="231F20"/>
          <w:spacing w:val="-8"/>
        </w:rPr>
        <w:t> </w:t>
      </w:r>
      <w:r>
        <w:rPr>
          <w:color w:val="231F20"/>
        </w:rPr>
        <w:t>Q.</w:t>
      </w:r>
      <w:r>
        <w:rPr>
          <w:color w:val="231F20"/>
          <w:spacing w:val="-7"/>
        </w:rPr>
        <w:t> </w:t>
      </w:r>
      <w:r>
        <w:rPr>
          <w:color w:val="231F20"/>
        </w:rPr>
        <w:t>tenuiloba,</w:t>
      </w:r>
      <w:r>
        <w:rPr>
          <w:color w:val="231F20"/>
          <w:spacing w:val="-8"/>
        </w:rPr>
        <w:t> </w:t>
      </w:r>
      <w:r>
        <w:rPr>
          <w:color w:val="231F20"/>
        </w:rPr>
        <w:t>Q.</w:t>
      </w:r>
      <w:r>
        <w:rPr>
          <w:color w:val="231F20"/>
          <w:spacing w:val="-7"/>
        </w:rPr>
        <w:t> </w:t>
      </w:r>
      <w:r>
        <w:rPr>
          <w:color w:val="231F20"/>
        </w:rPr>
        <w:t>tenuiloba</w:t>
      </w:r>
      <w:r>
        <w:rPr>
          <w:color w:val="231F20"/>
          <w:spacing w:val="-7"/>
        </w:rPr>
        <w:t> </w:t>
      </w:r>
      <w:r>
        <w:rPr>
          <w:color w:val="231F20"/>
        </w:rPr>
        <w:t>f.</w:t>
      </w:r>
      <w:r>
        <w:rPr>
          <w:color w:val="231F20"/>
          <w:spacing w:val="-7"/>
        </w:rPr>
        <w:t> </w:t>
      </w:r>
      <w:r>
        <w:rPr>
          <w:color w:val="231F20"/>
        </w:rPr>
        <w:t>hirsuta,</w:t>
      </w:r>
      <w:r>
        <w:rPr>
          <w:color w:val="231F20"/>
          <w:spacing w:val="-7"/>
        </w:rPr>
        <w:t> </w:t>
      </w:r>
      <w:r>
        <w:rPr>
          <w:color w:val="231F20"/>
        </w:rPr>
        <w:t>Q.</w:t>
      </w:r>
      <w:r>
        <w:rPr>
          <w:color w:val="231F20"/>
          <w:spacing w:val="-7"/>
        </w:rPr>
        <w:t> </w:t>
      </w:r>
      <w:r>
        <w:rPr>
          <w:color w:val="231F20"/>
        </w:rPr>
        <w:t>vexans,</w:t>
      </w:r>
      <w:r>
        <w:rPr>
          <w:color w:val="231F20"/>
          <w:spacing w:val="-7"/>
        </w:rPr>
        <w:t> </w:t>
      </w:r>
      <w:r>
        <w:rPr>
          <w:color w:val="231F20"/>
        </w:rPr>
        <w:t>Q.</w:t>
      </w:r>
      <w:r>
        <w:rPr>
          <w:color w:val="231F20"/>
          <w:spacing w:val="-7"/>
        </w:rPr>
        <w:t> </w:t>
      </w:r>
      <w:r>
        <w:rPr>
          <w:color w:val="231F20"/>
        </w:rPr>
        <w:t>paxtalensis y Q. sierramadrensis, considerando que las variaciones que presentan estos ejemplares</w:t>
      </w:r>
      <w:r>
        <w:rPr>
          <w:color w:val="231F20"/>
          <w:spacing w:val="-15"/>
        </w:rPr>
        <w:t> </w:t>
      </w:r>
      <w:r>
        <w:rPr>
          <w:color w:val="231F20"/>
        </w:rPr>
        <w:t>identificados como especies son la misma y no hubo características distintivas. Con lo que concluye que todas estas especies consideradas como diferentes corresponden a la misma, basándose en la revisión de las descripciones originales. </w:t>
      </w:r>
      <w:r>
        <w:rPr>
          <w:i/>
          <w:color w:val="231F20"/>
        </w:rPr>
        <w:t>Zavala et al. </w:t>
      </w:r>
      <w:r>
        <w:rPr>
          <w:color w:val="231F20"/>
        </w:rPr>
        <w:t>(1999), presentan como distintas especies a Q.</w:t>
      </w:r>
      <w:r>
        <w:rPr>
          <w:color w:val="231F20"/>
          <w:spacing w:val="-32"/>
        </w:rPr>
        <w:t> </w:t>
      </w:r>
      <w:r>
        <w:rPr>
          <w:color w:val="231F20"/>
        </w:rPr>
        <w:t>xalapensis,</w:t>
      </w:r>
    </w:p>
    <w:p>
      <w:pPr>
        <w:pStyle w:val="BodyText"/>
        <w:spacing w:before="1"/>
        <w:ind w:left="1270"/>
        <w:jc w:val="both"/>
      </w:pPr>
      <w:r>
        <w:rPr>
          <w:color w:val="231F20"/>
        </w:rPr>
        <w:t>Q. sartorii y Q. cupreata.</w:t>
      </w:r>
    </w:p>
    <w:p>
      <w:pPr>
        <w:pStyle w:val="BodyText"/>
        <w:spacing w:before="5"/>
        <w:rPr>
          <w:sz w:val="22"/>
        </w:rPr>
      </w:pPr>
    </w:p>
    <w:p>
      <w:pPr>
        <w:pStyle w:val="BodyText"/>
        <w:ind w:left="1270"/>
        <w:jc w:val="both"/>
      </w:pPr>
      <w:r>
        <w:rPr>
          <w:color w:val="231F20"/>
        </w:rPr>
        <w:t>Castillo </w:t>
      </w:r>
      <w:r>
        <w:rPr>
          <w:i/>
          <w:color w:val="231F20"/>
        </w:rPr>
        <w:t>et al. </w:t>
      </w:r>
      <w:r>
        <w:rPr>
          <w:color w:val="231F20"/>
        </w:rPr>
        <w:t>(2008) señala como especies del género Quercus en S.L.P. a Q. affinis, Q.  coccolobi-</w:t>
      </w:r>
    </w:p>
    <w:p>
      <w:pPr>
        <w:spacing w:after="0"/>
        <w:jc w:val="both"/>
        <w:sectPr>
          <w:pgSz w:w="10920" w:h="13080"/>
          <w:pgMar w:header="0" w:footer="965" w:top="420" w:bottom="1220" w:left="0" w:right="0"/>
        </w:sectPr>
      </w:pPr>
    </w:p>
    <w:p>
      <w:pPr>
        <w:pStyle w:val="BodyText"/>
        <w:rPr>
          <w:sz w:val="20"/>
        </w:rPr>
      </w:pPr>
    </w:p>
    <w:p>
      <w:pPr>
        <w:pStyle w:val="BodyText"/>
        <w:rPr>
          <w:sz w:val="20"/>
        </w:rPr>
      </w:pPr>
    </w:p>
    <w:p>
      <w:pPr>
        <w:pStyle w:val="BodyText"/>
        <w:rPr>
          <w:sz w:val="23"/>
        </w:rPr>
      </w:pPr>
    </w:p>
    <w:p>
      <w:pPr>
        <w:pStyle w:val="BodyText"/>
        <w:spacing w:line="247" w:lineRule="auto" w:before="73"/>
        <w:ind w:left="1270" w:right="1268"/>
        <w:jc w:val="both"/>
      </w:pPr>
      <w:r>
        <w:rPr>
          <w:color w:val="231F20"/>
        </w:rPr>
        <w:t>folia (asociado a terrenos pedregosos y como especie colonizadora), Q. crasifolia, y Q. obtusata, en un estudio sobre la dinámica sucesional en la Sierra de Álvarez, SLP.</w:t>
      </w:r>
    </w:p>
    <w:p>
      <w:pPr>
        <w:pStyle w:val="BodyText"/>
        <w:spacing w:before="10"/>
      </w:pPr>
    </w:p>
    <w:p>
      <w:pPr>
        <w:pStyle w:val="BodyText"/>
        <w:spacing w:line="247" w:lineRule="auto"/>
        <w:ind w:left="1270" w:right="1268"/>
        <w:jc w:val="both"/>
      </w:pPr>
      <w:r>
        <w:rPr>
          <w:color w:val="231F20"/>
        </w:rPr>
        <w:t>Quercus</w:t>
      </w:r>
      <w:r>
        <w:rPr>
          <w:color w:val="231F20"/>
          <w:spacing w:val="-4"/>
        </w:rPr>
        <w:t> </w:t>
      </w:r>
      <w:r>
        <w:rPr>
          <w:color w:val="231F20"/>
        </w:rPr>
        <w:t>emoryi</w:t>
      </w:r>
      <w:r>
        <w:rPr>
          <w:color w:val="231F20"/>
          <w:spacing w:val="-8"/>
        </w:rPr>
        <w:t> </w:t>
      </w:r>
      <w:r>
        <w:rPr>
          <w:color w:val="231F20"/>
          <w:spacing w:val="-4"/>
        </w:rPr>
        <w:t>Torr </w:t>
      </w:r>
      <w:r>
        <w:rPr>
          <w:color w:val="231F20"/>
        </w:rPr>
        <w:t>se</w:t>
      </w:r>
      <w:r>
        <w:rPr>
          <w:color w:val="231F20"/>
          <w:spacing w:val="-4"/>
        </w:rPr>
        <w:t> </w:t>
      </w:r>
      <w:r>
        <w:rPr>
          <w:color w:val="231F20"/>
        </w:rPr>
        <w:t>propone</w:t>
      </w:r>
      <w:r>
        <w:rPr>
          <w:color w:val="231F20"/>
          <w:spacing w:val="-4"/>
        </w:rPr>
        <w:t> </w:t>
      </w:r>
      <w:r>
        <w:rPr>
          <w:color w:val="231F20"/>
        </w:rPr>
        <w:t>como</w:t>
      </w:r>
      <w:r>
        <w:rPr>
          <w:color w:val="231F20"/>
          <w:spacing w:val="-4"/>
        </w:rPr>
        <w:t> </w:t>
      </w:r>
      <w:r>
        <w:rPr>
          <w:color w:val="231F20"/>
        </w:rPr>
        <w:t>sinónimo</w:t>
      </w:r>
      <w:r>
        <w:rPr>
          <w:color w:val="231F20"/>
          <w:spacing w:val="-4"/>
        </w:rPr>
        <w:t> </w:t>
      </w:r>
      <w:r>
        <w:rPr>
          <w:color w:val="231F20"/>
        </w:rPr>
        <w:t>de</w:t>
      </w:r>
      <w:r>
        <w:rPr>
          <w:color w:val="231F20"/>
          <w:spacing w:val="-4"/>
        </w:rPr>
        <w:t> </w:t>
      </w:r>
      <w:r>
        <w:rPr>
          <w:color w:val="231F20"/>
        </w:rPr>
        <w:t>Quercus</w:t>
      </w:r>
      <w:r>
        <w:rPr>
          <w:color w:val="231F20"/>
          <w:spacing w:val="-4"/>
        </w:rPr>
        <w:t> </w:t>
      </w:r>
      <w:r>
        <w:rPr>
          <w:color w:val="231F20"/>
        </w:rPr>
        <w:t>hastata</w:t>
      </w:r>
      <w:r>
        <w:rPr>
          <w:color w:val="231F20"/>
          <w:spacing w:val="-4"/>
        </w:rPr>
        <w:t> </w:t>
      </w:r>
      <w:r>
        <w:rPr>
          <w:color w:val="231F20"/>
        </w:rPr>
        <w:t>Liebmann.</w:t>
      </w:r>
      <w:r>
        <w:rPr>
          <w:color w:val="231F20"/>
          <w:spacing w:val="-5"/>
        </w:rPr>
        <w:t> </w:t>
      </w:r>
      <w:r>
        <w:rPr>
          <w:color w:val="231F20"/>
        </w:rPr>
        <w:t>Reportado</w:t>
      </w:r>
      <w:r>
        <w:rPr>
          <w:color w:val="231F20"/>
          <w:spacing w:val="-4"/>
        </w:rPr>
        <w:t> </w:t>
      </w:r>
      <w:r>
        <w:rPr>
          <w:color w:val="231F20"/>
        </w:rPr>
        <w:t>por</w:t>
      </w:r>
      <w:r>
        <w:rPr>
          <w:color w:val="231F20"/>
          <w:spacing w:val="-16"/>
        </w:rPr>
        <w:t> </w:t>
      </w:r>
      <w:r>
        <w:rPr>
          <w:color w:val="231F20"/>
        </w:rPr>
        <w:t>Anó- nimo</w:t>
      </w:r>
      <w:r>
        <w:rPr>
          <w:color w:val="231F20"/>
          <w:spacing w:val="-3"/>
        </w:rPr>
        <w:t> </w:t>
      </w:r>
      <w:r>
        <w:rPr>
          <w:color w:val="231F20"/>
        </w:rPr>
        <w:t>(2009)</w:t>
      </w:r>
      <w:r>
        <w:rPr>
          <w:color w:val="231F20"/>
          <w:spacing w:val="-3"/>
        </w:rPr>
        <w:t> </w:t>
      </w:r>
      <w:r>
        <w:rPr>
          <w:color w:val="231F20"/>
        </w:rPr>
        <w:t>para</w:t>
      </w:r>
      <w:r>
        <w:rPr>
          <w:color w:val="231F20"/>
          <w:spacing w:val="-3"/>
        </w:rPr>
        <w:t> </w:t>
      </w:r>
      <w:r>
        <w:rPr>
          <w:color w:val="231F20"/>
        </w:rPr>
        <w:t>la</w:t>
      </w:r>
      <w:r>
        <w:rPr>
          <w:color w:val="231F20"/>
          <w:spacing w:val="-3"/>
        </w:rPr>
        <w:t> </w:t>
      </w:r>
      <w:r>
        <w:rPr>
          <w:color w:val="231F20"/>
        </w:rPr>
        <w:t>flora</w:t>
      </w:r>
      <w:r>
        <w:rPr>
          <w:color w:val="231F20"/>
          <w:spacing w:val="-3"/>
        </w:rPr>
        <w:t> </w:t>
      </w:r>
      <w:r>
        <w:rPr>
          <w:color w:val="231F20"/>
        </w:rPr>
        <w:t>de</w:t>
      </w:r>
      <w:r>
        <w:rPr>
          <w:color w:val="231F20"/>
          <w:spacing w:val="-3"/>
        </w:rPr>
        <w:t> </w:t>
      </w:r>
      <w:r>
        <w:rPr>
          <w:color w:val="231F20"/>
        </w:rPr>
        <w:t>Norte</w:t>
      </w:r>
      <w:r>
        <w:rPr>
          <w:color w:val="231F20"/>
          <w:spacing w:val="-15"/>
        </w:rPr>
        <w:t> </w:t>
      </w:r>
      <w:r>
        <w:rPr>
          <w:color w:val="231F20"/>
        </w:rPr>
        <w:t>América</w:t>
      </w:r>
      <w:r>
        <w:rPr>
          <w:color w:val="231F20"/>
          <w:spacing w:val="-3"/>
        </w:rPr>
        <w:t> </w:t>
      </w:r>
      <w:r>
        <w:rPr>
          <w:color w:val="231F20"/>
        </w:rPr>
        <w:t>en</w:t>
      </w:r>
      <w:r>
        <w:rPr>
          <w:color w:val="231F20"/>
          <w:spacing w:val="-3"/>
        </w:rPr>
        <w:t> </w:t>
      </w:r>
      <w:r>
        <w:rPr>
          <w:color w:val="231F20"/>
        </w:rPr>
        <w:t>un</w:t>
      </w:r>
      <w:r>
        <w:rPr>
          <w:color w:val="231F20"/>
          <w:spacing w:val="-3"/>
        </w:rPr>
        <w:t> </w:t>
      </w:r>
      <w:r>
        <w:rPr>
          <w:color w:val="231F20"/>
        </w:rPr>
        <w:t>rango</w:t>
      </w:r>
      <w:r>
        <w:rPr>
          <w:color w:val="231F20"/>
          <w:spacing w:val="-3"/>
        </w:rPr>
        <w:t> </w:t>
      </w:r>
      <w:r>
        <w:rPr>
          <w:color w:val="231F20"/>
        </w:rPr>
        <w:t>altitudinal</w:t>
      </w:r>
      <w:r>
        <w:rPr>
          <w:color w:val="231F20"/>
          <w:spacing w:val="-3"/>
        </w:rPr>
        <w:t> </w:t>
      </w:r>
      <w:r>
        <w:rPr>
          <w:color w:val="231F20"/>
        </w:rPr>
        <w:t>de</w:t>
      </w:r>
      <w:r>
        <w:rPr>
          <w:color w:val="231F20"/>
          <w:spacing w:val="-3"/>
        </w:rPr>
        <w:t> </w:t>
      </w:r>
      <w:r>
        <w:rPr>
          <w:color w:val="231F20"/>
        </w:rPr>
        <w:t>1000</w:t>
      </w:r>
      <w:r>
        <w:rPr>
          <w:color w:val="231F20"/>
          <w:spacing w:val="-3"/>
        </w:rPr>
        <w:t> </w:t>
      </w:r>
      <w:r>
        <w:rPr>
          <w:color w:val="231F20"/>
        </w:rPr>
        <w:t>a</w:t>
      </w:r>
      <w:r>
        <w:rPr>
          <w:color w:val="231F20"/>
          <w:spacing w:val="-3"/>
        </w:rPr>
        <w:t> </w:t>
      </w:r>
      <w:r>
        <w:rPr>
          <w:color w:val="231F20"/>
        </w:rPr>
        <w:t>2200</w:t>
      </w:r>
      <w:r>
        <w:rPr>
          <w:color w:val="231F20"/>
          <w:spacing w:val="-3"/>
        </w:rPr>
        <w:t> </w:t>
      </w:r>
      <w:r>
        <w:rPr>
          <w:color w:val="231F20"/>
        </w:rPr>
        <w:t>msnm,</w:t>
      </w:r>
      <w:r>
        <w:rPr>
          <w:color w:val="231F20"/>
          <w:spacing w:val="-3"/>
        </w:rPr>
        <w:t> </w:t>
      </w:r>
      <w:r>
        <w:rPr>
          <w:color w:val="231F20"/>
        </w:rPr>
        <w:t>asimismo se reporta como sinónimo del hibrido Q. graciliformis. </w:t>
      </w:r>
      <w:r>
        <w:rPr>
          <w:color w:val="231F20"/>
          <w:spacing w:val="-3"/>
        </w:rPr>
        <w:t>También </w:t>
      </w:r>
      <w:r>
        <w:rPr>
          <w:color w:val="231F20"/>
        </w:rPr>
        <w:t>se reporta a Q. grisea Liebm por la International Oak Society</w:t>
      </w:r>
      <w:r>
        <w:rPr>
          <w:color w:val="231F20"/>
          <w:spacing w:val="-8"/>
        </w:rPr>
        <w:t> </w:t>
      </w:r>
      <w:r>
        <w:rPr>
          <w:color w:val="231F20"/>
        </w:rPr>
        <w:t>(2009).</w:t>
      </w:r>
    </w:p>
    <w:p>
      <w:pPr>
        <w:pStyle w:val="BodyText"/>
        <w:spacing w:before="10"/>
      </w:pPr>
    </w:p>
    <w:p>
      <w:pPr>
        <w:pStyle w:val="BodyText"/>
        <w:spacing w:line="247" w:lineRule="auto"/>
        <w:ind w:left="1270" w:right="1168"/>
      </w:pPr>
      <w:r>
        <w:rPr>
          <w:color w:val="231F20"/>
        </w:rPr>
        <w:t>Encinos identificados para la zona de influencia de la construcción de la presa El Realito, S.L.P. Tomando en cuenta que el estudio de los encinos es muy delicado, para el presente estudio, se consi- deró el nombre científico de mayor aceptación para los ejemplares colectados. Se colectaron mues- tras de 11 ejemplares distintos, de las cuales algunas resultaron ser la misma especie, identificando en total 7 especies para esta zona, mismas que se reportan a continuación:</w:t>
      </w:r>
    </w:p>
    <w:p>
      <w:pPr>
        <w:pStyle w:val="BodyText"/>
        <w:spacing w:before="10"/>
      </w:pPr>
    </w:p>
    <w:p>
      <w:pPr>
        <w:pStyle w:val="Heading5"/>
      </w:pPr>
      <w:r>
        <w:rPr>
          <w:color w:val="231F20"/>
        </w:rPr>
        <w:t>Quercus obtusata Humboldt et Bonpland</w:t>
      </w:r>
    </w:p>
    <w:p>
      <w:pPr>
        <w:pStyle w:val="BodyText"/>
        <w:spacing w:line="247" w:lineRule="auto" w:before="8"/>
        <w:ind w:left="1270" w:right="1266"/>
        <w:jc w:val="both"/>
      </w:pPr>
      <w:r>
        <w:rPr>
          <w:color w:val="231F20"/>
        </w:rPr>
        <w:t>Árbol de 7 metros de altura y diámetro de 50 cm, con corteza grisácea a café oscuro, gruesa, con presencia de líquenes y fisurada, cuyas fisuras están dispuestas verticalmente, hojas grandes de 20 cm de largo x 10 cm de ancho, coriáceas, generalmente planas, oblongo obovadas. La superficie</w:t>
      </w:r>
      <w:r>
        <w:rPr>
          <w:color w:val="231F20"/>
          <w:spacing w:val="-15"/>
        </w:rPr>
        <w:t> </w:t>
      </w:r>
      <w:r>
        <w:rPr>
          <w:color w:val="231F20"/>
        </w:rPr>
        <w:t>del has</w:t>
      </w:r>
      <w:r>
        <w:rPr>
          <w:color w:val="231F20"/>
          <w:spacing w:val="-6"/>
        </w:rPr>
        <w:t> </w:t>
      </w:r>
      <w:r>
        <w:rPr>
          <w:color w:val="231F20"/>
        </w:rPr>
        <w:t>es</w:t>
      </w:r>
      <w:r>
        <w:rPr>
          <w:color w:val="231F20"/>
          <w:spacing w:val="-6"/>
        </w:rPr>
        <w:t> </w:t>
      </w:r>
      <w:r>
        <w:rPr>
          <w:color w:val="231F20"/>
        </w:rPr>
        <w:t>lustrosa,</w:t>
      </w:r>
      <w:r>
        <w:rPr>
          <w:color w:val="231F20"/>
          <w:spacing w:val="-6"/>
        </w:rPr>
        <w:t> </w:t>
      </w:r>
      <w:r>
        <w:rPr>
          <w:color w:val="231F20"/>
        </w:rPr>
        <w:t>tomentosa</w:t>
      </w:r>
      <w:r>
        <w:rPr>
          <w:color w:val="231F20"/>
          <w:spacing w:val="-6"/>
        </w:rPr>
        <w:t> </w:t>
      </w:r>
      <w:r>
        <w:rPr>
          <w:color w:val="231F20"/>
        </w:rPr>
        <w:t>cerca</w:t>
      </w:r>
      <w:r>
        <w:rPr>
          <w:color w:val="231F20"/>
          <w:spacing w:val="-6"/>
        </w:rPr>
        <w:t> </w:t>
      </w:r>
      <w:r>
        <w:rPr>
          <w:color w:val="231F20"/>
        </w:rPr>
        <w:t>de</w:t>
      </w:r>
      <w:r>
        <w:rPr>
          <w:color w:val="231F20"/>
          <w:spacing w:val="-5"/>
        </w:rPr>
        <w:t> </w:t>
      </w:r>
      <w:r>
        <w:rPr>
          <w:color w:val="231F20"/>
        </w:rPr>
        <w:t>la</w:t>
      </w:r>
      <w:r>
        <w:rPr>
          <w:color w:val="231F20"/>
          <w:spacing w:val="-6"/>
        </w:rPr>
        <w:t> </w:t>
      </w:r>
      <w:r>
        <w:rPr>
          <w:color w:val="231F20"/>
        </w:rPr>
        <w:t>base</w:t>
      </w:r>
      <w:r>
        <w:rPr>
          <w:color w:val="231F20"/>
          <w:spacing w:val="-5"/>
        </w:rPr>
        <w:t> </w:t>
      </w:r>
      <w:r>
        <w:rPr>
          <w:color w:val="231F20"/>
        </w:rPr>
        <w:t>de</w:t>
      </w:r>
      <w:r>
        <w:rPr>
          <w:color w:val="231F20"/>
          <w:spacing w:val="-5"/>
        </w:rPr>
        <w:t> </w:t>
      </w:r>
      <w:r>
        <w:rPr>
          <w:color w:val="231F20"/>
        </w:rPr>
        <w:t>la</w:t>
      </w:r>
      <w:r>
        <w:rPr>
          <w:color w:val="231F20"/>
          <w:spacing w:val="-6"/>
        </w:rPr>
        <w:t> </w:t>
      </w:r>
      <w:r>
        <w:rPr>
          <w:color w:val="231F20"/>
        </w:rPr>
        <w:t>nervadura</w:t>
      </w:r>
      <w:r>
        <w:rPr>
          <w:color w:val="231F20"/>
          <w:spacing w:val="-6"/>
        </w:rPr>
        <w:t> </w:t>
      </w:r>
      <w:r>
        <w:rPr>
          <w:color w:val="231F20"/>
        </w:rPr>
        <w:t>principal,</w:t>
      </w:r>
      <w:r>
        <w:rPr>
          <w:color w:val="231F20"/>
          <w:spacing w:val="-5"/>
        </w:rPr>
        <w:t> </w:t>
      </w:r>
      <w:r>
        <w:rPr>
          <w:color w:val="231F20"/>
        </w:rPr>
        <w:t>con</w:t>
      </w:r>
      <w:r>
        <w:rPr>
          <w:color w:val="231F20"/>
          <w:spacing w:val="-6"/>
        </w:rPr>
        <w:t> </w:t>
      </w:r>
      <w:r>
        <w:rPr>
          <w:color w:val="231F20"/>
        </w:rPr>
        <w:t>pequeños</w:t>
      </w:r>
      <w:r>
        <w:rPr>
          <w:color w:val="231F20"/>
          <w:spacing w:val="-5"/>
        </w:rPr>
        <w:t> </w:t>
      </w:r>
      <w:r>
        <w:rPr>
          <w:color w:val="231F20"/>
        </w:rPr>
        <w:t>pelos</w:t>
      </w:r>
      <w:r>
        <w:rPr>
          <w:color w:val="231F20"/>
          <w:spacing w:val="-5"/>
        </w:rPr>
        <w:t> </w:t>
      </w:r>
      <w:r>
        <w:rPr>
          <w:color w:val="231F20"/>
        </w:rPr>
        <w:t>estrellados. Bellotas anuales solitarias o en grupos de hasta 3 o más desarrolladas en pedúnculos de hasta 6 cm de largo; cúpulas de 15 a 25 mm de ancho, nueces cortamente ovoides, de 12 a 20 mm de largo por 10 a 18 mm de grueso, cerca de un tercio incluida en la</w:t>
      </w:r>
      <w:r>
        <w:rPr>
          <w:color w:val="231F20"/>
          <w:spacing w:val="-4"/>
        </w:rPr>
        <w:t> </w:t>
      </w:r>
      <w:r>
        <w:rPr>
          <w:color w:val="231F20"/>
        </w:rPr>
        <w:t>cúpula.</w:t>
      </w:r>
    </w:p>
    <w:p>
      <w:pPr>
        <w:pStyle w:val="BodyText"/>
        <w:spacing w:before="10"/>
      </w:pPr>
    </w:p>
    <w:p>
      <w:pPr>
        <w:pStyle w:val="Heading5"/>
      </w:pPr>
      <w:r>
        <w:rPr>
          <w:color w:val="231F20"/>
        </w:rPr>
        <w:t>Quercus coccolobbifolia Trel.</w:t>
      </w:r>
    </w:p>
    <w:p>
      <w:pPr>
        <w:pStyle w:val="BodyText"/>
        <w:spacing w:line="247" w:lineRule="auto" w:before="8"/>
        <w:ind w:left="1270" w:right="1267"/>
        <w:jc w:val="both"/>
      </w:pPr>
      <w:r>
        <w:rPr>
          <w:color w:val="231F20"/>
        </w:rPr>
        <w:t>Árbol</w:t>
      </w:r>
      <w:r>
        <w:rPr>
          <w:color w:val="231F20"/>
          <w:spacing w:val="-10"/>
        </w:rPr>
        <w:t> </w:t>
      </w:r>
      <w:r>
        <w:rPr>
          <w:color w:val="231F20"/>
        </w:rPr>
        <w:t>de</w:t>
      </w:r>
      <w:r>
        <w:rPr>
          <w:color w:val="231F20"/>
          <w:spacing w:val="-11"/>
        </w:rPr>
        <w:t> </w:t>
      </w:r>
      <w:r>
        <w:rPr>
          <w:color w:val="231F20"/>
        </w:rPr>
        <w:t>6</w:t>
      </w:r>
      <w:r>
        <w:rPr>
          <w:color w:val="231F20"/>
          <w:spacing w:val="-11"/>
        </w:rPr>
        <w:t> </w:t>
      </w:r>
      <w:r>
        <w:rPr>
          <w:color w:val="231F20"/>
        </w:rPr>
        <w:t>metros</w:t>
      </w:r>
      <w:r>
        <w:rPr>
          <w:color w:val="231F20"/>
          <w:spacing w:val="-11"/>
        </w:rPr>
        <w:t> </w:t>
      </w:r>
      <w:r>
        <w:rPr>
          <w:color w:val="231F20"/>
        </w:rPr>
        <w:t>de</w:t>
      </w:r>
      <w:r>
        <w:rPr>
          <w:color w:val="231F20"/>
          <w:spacing w:val="-11"/>
        </w:rPr>
        <w:t> </w:t>
      </w:r>
      <w:r>
        <w:rPr>
          <w:color w:val="231F20"/>
        </w:rPr>
        <w:t>altura</w:t>
      </w:r>
      <w:r>
        <w:rPr>
          <w:color w:val="231F20"/>
          <w:spacing w:val="-11"/>
        </w:rPr>
        <w:t> </w:t>
      </w:r>
      <w:r>
        <w:rPr>
          <w:color w:val="231F20"/>
        </w:rPr>
        <w:t>con</w:t>
      </w:r>
      <w:r>
        <w:rPr>
          <w:color w:val="231F20"/>
          <w:spacing w:val="-11"/>
        </w:rPr>
        <w:t> </w:t>
      </w:r>
      <w:r>
        <w:rPr>
          <w:color w:val="231F20"/>
        </w:rPr>
        <w:t>corteza</w:t>
      </w:r>
      <w:r>
        <w:rPr>
          <w:color w:val="231F20"/>
          <w:spacing w:val="-11"/>
        </w:rPr>
        <w:t> </w:t>
      </w:r>
      <w:r>
        <w:rPr>
          <w:color w:val="231F20"/>
        </w:rPr>
        <w:t>café</w:t>
      </w:r>
      <w:r>
        <w:rPr>
          <w:color w:val="231F20"/>
          <w:spacing w:val="-11"/>
        </w:rPr>
        <w:t> </w:t>
      </w:r>
      <w:r>
        <w:rPr>
          <w:color w:val="231F20"/>
        </w:rPr>
        <w:t>oscuro</w:t>
      </w:r>
      <w:r>
        <w:rPr>
          <w:color w:val="231F20"/>
          <w:spacing w:val="-11"/>
        </w:rPr>
        <w:t> </w:t>
      </w:r>
      <w:r>
        <w:rPr>
          <w:color w:val="231F20"/>
        </w:rPr>
        <w:t>y</w:t>
      </w:r>
      <w:r>
        <w:rPr>
          <w:color w:val="231F20"/>
          <w:spacing w:val="-11"/>
        </w:rPr>
        <w:t> </w:t>
      </w:r>
      <w:r>
        <w:rPr>
          <w:color w:val="231F20"/>
        </w:rPr>
        <w:t>presencia</w:t>
      </w:r>
      <w:r>
        <w:rPr>
          <w:color w:val="231F20"/>
          <w:spacing w:val="-11"/>
        </w:rPr>
        <w:t> </w:t>
      </w:r>
      <w:r>
        <w:rPr>
          <w:color w:val="231F20"/>
        </w:rPr>
        <w:t>de</w:t>
      </w:r>
      <w:r>
        <w:rPr>
          <w:color w:val="231F20"/>
          <w:spacing w:val="-11"/>
        </w:rPr>
        <w:t> </w:t>
      </w:r>
      <w:r>
        <w:rPr>
          <w:color w:val="231F20"/>
        </w:rPr>
        <w:t>líquenes.</w:t>
      </w:r>
      <w:r>
        <w:rPr>
          <w:color w:val="231F20"/>
          <w:spacing w:val="-11"/>
        </w:rPr>
        <w:t> </w:t>
      </w:r>
      <w:r>
        <w:rPr>
          <w:color w:val="231F20"/>
        </w:rPr>
        <w:t>Hojas</w:t>
      </w:r>
      <w:r>
        <w:rPr>
          <w:color w:val="231F20"/>
          <w:spacing w:val="-10"/>
        </w:rPr>
        <w:t> </w:t>
      </w:r>
      <w:r>
        <w:rPr>
          <w:color w:val="231F20"/>
        </w:rPr>
        <w:t>glabras</w:t>
      </w:r>
      <w:r>
        <w:rPr>
          <w:color w:val="231F20"/>
          <w:spacing w:val="-11"/>
        </w:rPr>
        <w:t> </w:t>
      </w:r>
      <w:r>
        <w:rPr>
          <w:color w:val="231F20"/>
        </w:rPr>
        <w:t>y</w:t>
      </w:r>
      <w:r>
        <w:rPr>
          <w:color w:val="231F20"/>
          <w:spacing w:val="-11"/>
        </w:rPr>
        <w:t> </w:t>
      </w:r>
      <w:r>
        <w:rPr>
          <w:color w:val="231F20"/>
        </w:rPr>
        <w:t>lustrosas de 8 cm de largo x 6 cm de ancho con el borde entero. Su diámetro va de 50 a 70 cm. Hojas gruesas cubiertas</w:t>
      </w:r>
      <w:r>
        <w:rPr>
          <w:color w:val="231F20"/>
          <w:spacing w:val="-5"/>
        </w:rPr>
        <w:t> </w:t>
      </w:r>
      <w:r>
        <w:rPr>
          <w:color w:val="231F20"/>
        </w:rPr>
        <w:t>en</w:t>
      </w:r>
      <w:r>
        <w:rPr>
          <w:color w:val="231F20"/>
          <w:spacing w:val="-4"/>
        </w:rPr>
        <w:t> </w:t>
      </w:r>
      <w:r>
        <w:rPr>
          <w:color w:val="231F20"/>
        </w:rPr>
        <w:t>el</w:t>
      </w:r>
      <w:r>
        <w:rPr>
          <w:color w:val="231F20"/>
          <w:spacing w:val="-4"/>
        </w:rPr>
        <w:t> </w:t>
      </w:r>
      <w:r>
        <w:rPr>
          <w:color w:val="231F20"/>
        </w:rPr>
        <w:t>envés</w:t>
      </w:r>
      <w:r>
        <w:rPr>
          <w:color w:val="231F20"/>
          <w:spacing w:val="-4"/>
        </w:rPr>
        <w:t> </w:t>
      </w:r>
      <w:r>
        <w:rPr>
          <w:color w:val="231F20"/>
        </w:rPr>
        <w:t>por</w:t>
      </w:r>
      <w:r>
        <w:rPr>
          <w:color w:val="231F20"/>
          <w:spacing w:val="-4"/>
        </w:rPr>
        <w:t> </w:t>
      </w:r>
      <w:r>
        <w:rPr>
          <w:color w:val="231F20"/>
        </w:rPr>
        <w:t>una</w:t>
      </w:r>
      <w:r>
        <w:rPr>
          <w:color w:val="231F20"/>
          <w:spacing w:val="-4"/>
        </w:rPr>
        <w:t> </w:t>
      </w:r>
      <w:r>
        <w:rPr>
          <w:color w:val="231F20"/>
        </w:rPr>
        <w:t>masa</w:t>
      </w:r>
      <w:r>
        <w:rPr>
          <w:color w:val="231F20"/>
          <w:spacing w:val="-4"/>
        </w:rPr>
        <w:t> </w:t>
      </w:r>
      <w:r>
        <w:rPr>
          <w:color w:val="231F20"/>
        </w:rPr>
        <w:t>de</w:t>
      </w:r>
      <w:r>
        <w:rPr>
          <w:color w:val="231F20"/>
          <w:spacing w:val="-4"/>
        </w:rPr>
        <w:t> </w:t>
      </w:r>
      <w:r>
        <w:rPr>
          <w:color w:val="231F20"/>
        </w:rPr>
        <w:t>pelos</w:t>
      </w:r>
      <w:r>
        <w:rPr>
          <w:color w:val="231F20"/>
          <w:spacing w:val="-4"/>
        </w:rPr>
        <w:t> </w:t>
      </w:r>
      <w:r>
        <w:rPr>
          <w:color w:val="231F20"/>
        </w:rPr>
        <w:t>simples</w:t>
      </w:r>
      <w:r>
        <w:rPr>
          <w:color w:val="231F20"/>
          <w:spacing w:val="-4"/>
        </w:rPr>
        <w:t> </w:t>
      </w:r>
      <w:r>
        <w:rPr>
          <w:color w:val="231F20"/>
        </w:rPr>
        <w:t>glandulares</w:t>
      </w:r>
      <w:r>
        <w:rPr>
          <w:color w:val="231F20"/>
          <w:spacing w:val="-4"/>
        </w:rPr>
        <w:t> </w:t>
      </w:r>
      <w:r>
        <w:rPr>
          <w:color w:val="231F20"/>
        </w:rPr>
        <w:t>rojizos;</w:t>
      </w:r>
      <w:r>
        <w:rPr>
          <w:color w:val="231F20"/>
          <w:spacing w:val="-4"/>
        </w:rPr>
        <w:t> </w:t>
      </w:r>
      <w:r>
        <w:rPr>
          <w:color w:val="231F20"/>
        </w:rPr>
        <w:t>anchamente</w:t>
      </w:r>
      <w:r>
        <w:rPr>
          <w:color w:val="231F20"/>
          <w:spacing w:val="-5"/>
        </w:rPr>
        <w:t> </w:t>
      </w:r>
      <w:r>
        <w:rPr>
          <w:color w:val="231F20"/>
        </w:rPr>
        <w:t>ovadas.</w:t>
      </w:r>
      <w:r>
        <w:rPr>
          <w:color w:val="231F20"/>
          <w:spacing w:val="-16"/>
        </w:rPr>
        <w:t> </w:t>
      </w:r>
      <w:r>
        <w:rPr>
          <w:color w:val="231F20"/>
        </w:rPr>
        <w:t>Alcan- za</w:t>
      </w:r>
      <w:r>
        <w:rPr>
          <w:color w:val="231F20"/>
          <w:spacing w:val="-5"/>
        </w:rPr>
        <w:t> </w:t>
      </w:r>
      <w:r>
        <w:rPr>
          <w:color w:val="231F20"/>
        </w:rPr>
        <w:t>alturas</w:t>
      </w:r>
      <w:r>
        <w:rPr>
          <w:color w:val="231F20"/>
          <w:spacing w:val="-5"/>
        </w:rPr>
        <w:t> </w:t>
      </w:r>
      <w:r>
        <w:rPr>
          <w:color w:val="231F20"/>
        </w:rPr>
        <w:t>hasta</w:t>
      </w:r>
      <w:r>
        <w:rPr>
          <w:color w:val="231F20"/>
          <w:spacing w:val="-5"/>
        </w:rPr>
        <w:t> </w:t>
      </w:r>
      <w:r>
        <w:rPr>
          <w:color w:val="231F20"/>
        </w:rPr>
        <w:t>de</w:t>
      </w:r>
      <w:r>
        <w:rPr>
          <w:color w:val="231F20"/>
          <w:spacing w:val="-5"/>
        </w:rPr>
        <w:t> </w:t>
      </w:r>
      <w:r>
        <w:rPr>
          <w:color w:val="231F20"/>
        </w:rPr>
        <w:t>15</w:t>
      </w:r>
      <w:r>
        <w:rPr>
          <w:color w:val="231F20"/>
          <w:spacing w:val="-5"/>
        </w:rPr>
        <w:t> </w:t>
      </w:r>
      <w:r>
        <w:rPr>
          <w:color w:val="231F20"/>
        </w:rPr>
        <w:t>m</w:t>
      </w:r>
      <w:r>
        <w:rPr>
          <w:color w:val="231F20"/>
          <w:spacing w:val="-5"/>
        </w:rPr>
        <w:t> </w:t>
      </w:r>
      <w:r>
        <w:rPr>
          <w:color w:val="231F20"/>
        </w:rPr>
        <w:t>(fig.</w:t>
      </w:r>
      <w:r>
        <w:rPr>
          <w:color w:val="231F20"/>
          <w:spacing w:val="-5"/>
        </w:rPr>
        <w:t> </w:t>
      </w:r>
      <w:r>
        <w:rPr>
          <w:color w:val="231F20"/>
        </w:rPr>
        <w:t>1).</w:t>
      </w:r>
      <w:r>
        <w:rPr>
          <w:color w:val="231F20"/>
          <w:spacing w:val="-5"/>
        </w:rPr>
        <w:t> </w:t>
      </w:r>
      <w:r>
        <w:rPr>
          <w:color w:val="231F20"/>
        </w:rPr>
        <w:t>Bellotas</w:t>
      </w:r>
      <w:r>
        <w:rPr>
          <w:color w:val="231F20"/>
          <w:spacing w:val="-5"/>
        </w:rPr>
        <w:t> </w:t>
      </w:r>
      <w:r>
        <w:rPr>
          <w:color w:val="231F20"/>
        </w:rPr>
        <w:t>anuales</w:t>
      </w:r>
      <w:r>
        <w:rPr>
          <w:color w:val="231F20"/>
          <w:spacing w:val="-5"/>
        </w:rPr>
        <w:t> </w:t>
      </w:r>
      <w:r>
        <w:rPr>
          <w:color w:val="231F20"/>
        </w:rPr>
        <w:t>solitarias</w:t>
      </w:r>
      <w:r>
        <w:rPr>
          <w:color w:val="231F20"/>
          <w:spacing w:val="-5"/>
        </w:rPr>
        <w:t> </w:t>
      </w:r>
      <w:r>
        <w:rPr>
          <w:color w:val="231F20"/>
        </w:rPr>
        <w:t>o</w:t>
      </w:r>
      <w:r>
        <w:rPr>
          <w:color w:val="231F20"/>
          <w:spacing w:val="-5"/>
        </w:rPr>
        <w:t> </w:t>
      </w:r>
      <w:r>
        <w:rPr>
          <w:color w:val="231F20"/>
        </w:rPr>
        <w:t>en</w:t>
      </w:r>
      <w:r>
        <w:rPr>
          <w:color w:val="231F20"/>
          <w:spacing w:val="-5"/>
        </w:rPr>
        <w:t> </w:t>
      </w:r>
      <w:r>
        <w:rPr>
          <w:color w:val="231F20"/>
        </w:rPr>
        <w:t>pares,</w:t>
      </w:r>
      <w:r>
        <w:rPr>
          <w:color w:val="231F20"/>
          <w:spacing w:val="-5"/>
        </w:rPr>
        <w:t> </w:t>
      </w:r>
      <w:r>
        <w:rPr>
          <w:color w:val="231F20"/>
        </w:rPr>
        <w:t>sésiles</w:t>
      </w:r>
      <w:r>
        <w:rPr>
          <w:color w:val="231F20"/>
          <w:spacing w:val="-5"/>
        </w:rPr>
        <w:t> </w:t>
      </w:r>
      <w:r>
        <w:rPr>
          <w:color w:val="231F20"/>
        </w:rPr>
        <w:t>o</w:t>
      </w:r>
      <w:r>
        <w:rPr>
          <w:color w:val="231F20"/>
          <w:spacing w:val="-5"/>
        </w:rPr>
        <w:t> </w:t>
      </w:r>
      <w:r>
        <w:rPr>
          <w:color w:val="231F20"/>
        </w:rPr>
        <w:t>en</w:t>
      </w:r>
      <w:r>
        <w:rPr>
          <w:color w:val="231F20"/>
          <w:spacing w:val="-5"/>
        </w:rPr>
        <w:t> </w:t>
      </w:r>
      <w:r>
        <w:rPr>
          <w:color w:val="231F20"/>
        </w:rPr>
        <w:t>pedúnculos</w:t>
      </w:r>
      <w:r>
        <w:rPr>
          <w:color w:val="231F20"/>
          <w:spacing w:val="-5"/>
        </w:rPr>
        <w:t> </w:t>
      </w:r>
      <w:r>
        <w:rPr>
          <w:color w:val="231F20"/>
        </w:rPr>
        <w:t>de</w:t>
      </w:r>
      <w:r>
        <w:rPr>
          <w:color w:val="231F20"/>
          <w:spacing w:val="-5"/>
        </w:rPr>
        <w:t> </w:t>
      </w:r>
      <w:r>
        <w:rPr>
          <w:color w:val="231F20"/>
        </w:rPr>
        <w:t>1</w:t>
      </w:r>
      <w:r>
        <w:rPr>
          <w:color w:val="231F20"/>
          <w:spacing w:val="-5"/>
        </w:rPr>
        <w:t> </w:t>
      </w:r>
      <w:r>
        <w:rPr>
          <w:color w:val="231F20"/>
        </w:rPr>
        <w:t>a 3</w:t>
      </w:r>
      <w:r>
        <w:rPr>
          <w:color w:val="231F20"/>
          <w:spacing w:val="-11"/>
        </w:rPr>
        <w:t> </w:t>
      </w:r>
      <w:r>
        <w:rPr>
          <w:color w:val="231F20"/>
        </w:rPr>
        <w:t>mm,</w:t>
      </w:r>
      <w:r>
        <w:rPr>
          <w:color w:val="231F20"/>
          <w:spacing w:val="-11"/>
        </w:rPr>
        <w:t> </w:t>
      </w:r>
      <w:r>
        <w:rPr>
          <w:color w:val="231F20"/>
        </w:rPr>
        <w:t>cúpula</w:t>
      </w:r>
      <w:r>
        <w:rPr>
          <w:color w:val="231F20"/>
          <w:spacing w:val="-11"/>
        </w:rPr>
        <w:t> </w:t>
      </w:r>
      <w:r>
        <w:rPr>
          <w:color w:val="231F20"/>
        </w:rPr>
        <w:t>de</w:t>
      </w:r>
      <w:r>
        <w:rPr>
          <w:color w:val="231F20"/>
          <w:spacing w:val="-10"/>
        </w:rPr>
        <w:t> </w:t>
      </w:r>
      <w:r>
        <w:rPr>
          <w:color w:val="231F20"/>
        </w:rPr>
        <w:t>10</w:t>
      </w:r>
      <w:r>
        <w:rPr>
          <w:color w:val="231F20"/>
          <w:spacing w:val="-11"/>
        </w:rPr>
        <w:t> </w:t>
      </w:r>
      <w:r>
        <w:rPr>
          <w:color w:val="231F20"/>
        </w:rPr>
        <w:t>mm</w:t>
      </w:r>
      <w:r>
        <w:rPr>
          <w:color w:val="231F20"/>
          <w:spacing w:val="-11"/>
        </w:rPr>
        <w:t> </w:t>
      </w:r>
      <w:r>
        <w:rPr>
          <w:color w:val="231F20"/>
        </w:rPr>
        <w:t>de</w:t>
      </w:r>
      <w:r>
        <w:rPr>
          <w:color w:val="231F20"/>
          <w:spacing w:val="-10"/>
        </w:rPr>
        <w:t> </w:t>
      </w:r>
      <w:r>
        <w:rPr>
          <w:color w:val="231F20"/>
        </w:rPr>
        <w:t>ancho,</w:t>
      </w:r>
      <w:r>
        <w:rPr>
          <w:color w:val="231F20"/>
          <w:spacing w:val="-11"/>
        </w:rPr>
        <w:t> </w:t>
      </w:r>
      <w:r>
        <w:rPr>
          <w:color w:val="231F20"/>
        </w:rPr>
        <w:t>nuez</w:t>
      </w:r>
      <w:r>
        <w:rPr>
          <w:color w:val="231F20"/>
          <w:spacing w:val="-10"/>
        </w:rPr>
        <w:t> </w:t>
      </w:r>
      <w:r>
        <w:rPr>
          <w:color w:val="231F20"/>
        </w:rPr>
        <w:t>ovoide</w:t>
      </w:r>
      <w:r>
        <w:rPr>
          <w:color w:val="231F20"/>
          <w:spacing w:val="34"/>
        </w:rPr>
        <w:t> </w:t>
      </w:r>
      <w:r>
        <w:rPr>
          <w:color w:val="231F20"/>
        </w:rPr>
        <w:t>de</w:t>
      </w:r>
      <w:r>
        <w:rPr>
          <w:color w:val="231F20"/>
          <w:spacing w:val="-10"/>
        </w:rPr>
        <w:t> </w:t>
      </w:r>
      <w:r>
        <w:rPr>
          <w:color w:val="231F20"/>
        </w:rPr>
        <w:t>8</w:t>
      </w:r>
      <w:r>
        <w:rPr>
          <w:color w:val="231F20"/>
          <w:spacing w:val="-11"/>
        </w:rPr>
        <w:t> </w:t>
      </w:r>
      <w:r>
        <w:rPr>
          <w:color w:val="231F20"/>
        </w:rPr>
        <w:t>a</w:t>
      </w:r>
      <w:r>
        <w:rPr>
          <w:color w:val="231F20"/>
          <w:spacing w:val="-10"/>
        </w:rPr>
        <w:t> </w:t>
      </w:r>
      <w:r>
        <w:rPr>
          <w:color w:val="231F20"/>
        </w:rPr>
        <w:t>10</w:t>
      </w:r>
      <w:r>
        <w:rPr>
          <w:color w:val="231F20"/>
          <w:spacing w:val="-11"/>
        </w:rPr>
        <w:t> </w:t>
      </w:r>
      <w:r>
        <w:rPr>
          <w:color w:val="231F20"/>
        </w:rPr>
        <w:t>mm</w:t>
      </w:r>
      <w:r>
        <w:rPr>
          <w:color w:val="231F20"/>
          <w:spacing w:val="-11"/>
        </w:rPr>
        <w:t> </w:t>
      </w:r>
      <w:r>
        <w:rPr>
          <w:color w:val="231F20"/>
        </w:rPr>
        <w:t>de</w:t>
      </w:r>
      <w:r>
        <w:rPr>
          <w:color w:val="231F20"/>
          <w:spacing w:val="-10"/>
        </w:rPr>
        <w:t> </w:t>
      </w:r>
      <w:r>
        <w:rPr>
          <w:color w:val="231F20"/>
        </w:rPr>
        <w:t>largo,</w:t>
      </w:r>
      <w:r>
        <w:rPr>
          <w:color w:val="231F20"/>
          <w:spacing w:val="-11"/>
        </w:rPr>
        <w:t> </w:t>
      </w:r>
      <w:r>
        <w:rPr>
          <w:color w:val="231F20"/>
        </w:rPr>
        <w:t>la</w:t>
      </w:r>
      <w:r>
        <w:rPr>
          <w:color w:val="231F20"/>
          <w:spacing w:val="-11"/>
        </w:rPr>
        <w:t> </w:t>
      </w:r>
      <w:r>
        <w:rPr>
          <w:color w:val="231F20"/>
        </w:rPr>
        <w:t>mitad</w:t>
      </w:r>
      <w:r>
        <w:rPr>
          <w:color w:val="231F20"/>
          <w:spacing w:val="-11"/>
        </w:rPr>
        <w:t> </w:t>
      </w:r>
      <w:r>
        <w:rPr>
          <w:color w:val="231F20"/>
        </w:rPr>
        <w:t>incluida</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cúpula.</w:t>
      </w:r>
    </w:p>
    <w:p>
      <w:pPr>
        <w:pStyle w:val="BodyText"/>
        <w:spacing w:before="10"/>
      </w:pPr>
    </w:p>
    <w:p>
      <w:pPr>
        <w:pStyle w:val="Heading5"/>
      </w:pPr>
      <w:r>
        <w:rPr>
          <w:color w:val="231F20"/>
        </w:rPr>
        <w:t>Quercus mexicana Humb. &amp; Bonpl.</w:t>
      </w:r>
    </w:p>
    <w:p>
      <w:pPr>
        <w:pStyle w:val="BodyText"/>
        <w:spacing w:line="247" w:lineRule="auto" w:before="8"/>
        <w:ind w:left="1270" w:right="1267"/>
        <w:jc w:val="both"/>
      </w:pPr>
      <w:r>
        <w:rPr>
          <w:color w:val="231F20"/>
        </w:rPr>
        <w:t>Encino rojo de la sección Erithrobalanus. Árbol de 6 metros de altura, tallo delgado, con corteza café oscuro en la base y grisáceo en la parte media, ligeramente fisurada o escasamente escamosa. Presenta ramificación desde la base; hojas pequeñas de  6 cm de largo x 2.5 cm de ancho elípti-   cas u oblongas. Haz brillante y glabro exceptuando la nervadura central, envés tomentoso. Bellotas bianuales</w:t>
      </w:r>
      <w:r>
        <w:rPr>
          <w:color w:val="231F20"/>
          <w:spacing w:val="-6"/>
        </w:rPr>
        <w:t> </w:t>
      </w:r>
      <w:r>
        <w:rPr>
          <w:color w:val="231F20"/>
        </w:rPr>
        <w:t>solitarias,</w:t>
      </w:r>
      <w:r>
        <w:rPr>
          <w:color w:val="231F20"/>
          <w:spacing w:val="-5"/>
        </w:rPr>
        <w:t> </w:t>
      </w:r>
      <w:r>
        <w:rPr>
          <w:color w:val="231F20"/>
        </w:rPr>
        <w:t>en</w:t>
      </w:r>
      <w:r>
        <w:rPr>
          <w:color w:val="231F20"/>
          <w:spacing w:val="-6"/>
        </w:rPr>
        <w:t> </w:t>
      </w:r>
      <w:r>
        <w:rPr>
          <w:color w:val="231F20"/>
        </w:rPr>
        <w:t>pares</w:t>
      </w:r>
      <w:r>
        <w:rPr>
          <w:color w:val="231F20"/>
          <w:spacing w:val="-6"/>
        </w:rPr>
        <w:t> </w:t>
      </w:r>
      <w:r>
        <w:rPr>
          <w:color w:val="231F20"/>
        </w:rPr>
        <w:t>o</w:t>
      </w:r>
      <w:r>
        <w:rPr>
          <w:color w:val="231F20"/>
          <w:spacing w:val="-5"/>
        </w:rPr>
        <w:t> </w:t>
      </w:r>
      <w:r>
        <w:rPr>
          <w:color w:val="231F20"/>
        </w:rPr>
        <w:t>en</w:t>
      </w:r>
      <w:r>
        <w:rPr>
          <w:color w:val="231F20"/>
          <w:spacing w:val="-6"/>
        </w:rPr>
        <w:t> </w:t>
      </w:r>
      <w:r>
        <w:rPr>
          <w:color w:val="231F20"/>
        </w:rPr>
        <w:t>grupos</w:t>
      </w:r>
      <w:r>
        <w:rPr>
          <w:color w:val="231F20"/>
          <w:spacing w:val="-6"/>
        </w:rPr>
        <w:t> </w:t>
      </w:r>
      <w:r>
        <w:rPr>
          <w:color w:val="231F20"/>
        </w:rPr>
        <w:t>de</w:t>
      </w:r>
      <w:r>
        <w:rPr>
          <w:color w:val="231F20"/>
          <w:spacing w:val="-6"/>
        </w:rPr>
        <w:t> </w:t>
      </w:r>
      <w:r>
        <w:rPr>
          <w:color w:val="231F20"/>
        </w:rPr>
        <w:t>tres</w:t>
      </w:r>
      <w:r>
        <w:rPr>
          <w:color w:val="231F20"/>
          <w:spacing w:val="-6"/>
        </w:rPr>
        <w:t> </w:t>
      </w:r>
      <w:r>
        <w:rPr>
          <w:color w:val="231F20"/>
        </w:rPr>
        <w:t>sobre</w:t>
      </w:r>
      <w:r>
        <w:rPr>
          <w:color w:val="231F20"/>
          <w:spacing w:val="-5"/>
        </w:rPr>
        <w:t> </w:t>
      </w:r>
      <w:r>
        <w:rPr>
          <w:color w:val="231F20"/>
        </w:rPr>
        <w:t>un</w:t>
      </w:r>
      <w:r>
        <w:rPr>
          <w:color w:val="231F20"/>
          <w:spacing w:val="-5"/>
        </w:rPr>
        <w:t> </w:t>
      </w:r>
      <w:r>
        <w:rPr>
          <w:color w:val="231F20"/>
        </w:rPr>
        <w:t>pedúnculo</w:t>
      </w:r>
      <w:r>
        <w:rPr>
          <w:color w:val="231F20"/>
          <w:spacing w:val="-6"/>
        </w:rPr>
        <w:t> </w:t>
      </w:r>
      <w:r>
        <w:rPr>
          <w:color w:val="231F20"/>
        </w:rPr>
        <w:t>de</w:t>
      </w:r>
      <w:r>
        <w:rPr>
          <w:color w:val="231F20"/>
          <w:spacing w:val="-6"/>
        </w:rPr>
        <w:t> </w:t>
      </w:r>
      <w:r>
        <w:rPr>
          <w:color w:val="231F20"/>
        </w:rPr>
        <w:t>unos</w:t>
      </w:r>
      <w:r>
        <w:rPr>
          <w:color w:val="231F20"/>
          <w:spacing w:val="-6"/>
        </w:rPr>
        <w:t> </w:t>
      </w:r>
      <w:r>
        <w:rPr>
          <w:color w:val="231F20"/>
        </w:rPr>
        <w:t>5</w:t>
      </w:r>
      <w:r>
        <w:rPr>
          <w:color w:val="231F20"/>
          <w:spacing w:val="-5"/>
        </w:rPr>
        <w:t> </w:t>
      </w:r>
      <w:r>
        <w:rPr>
          <w:color w:val="231F20"/>
        </w:rPr>
        <w:t>mm</w:t>
      </w:r>
      <w:r>
        <w:rPr>
          <w:color w:val="231F20"/>
          <w:spacing w:val="-6"/>
        </w:rPr>
        <w:t> </w:t>
      </w:r>
      <w:r>
        <w:rPr>
          <w:color w:val="231F20"/>
        </w:rPr>
        <w:t>de</w:t>
      </w:r>
      <w:r>
        <w:rPr>
          <w:color w:val="231F20"/>
          <w:spacing w:val="-6"/>
        </w:rPr>
        <w:t> </w:t>
      </w:r>
      <w:r>
        <w:rPr>
          <w:color w:val="231F20"/>
        </w:rPr>
        <w:t>largo,</w:t>
      </w:r>
      <w:r>
        <w:rPr>
          <w:color w:val="231F20"/>
          <w:spacing w:val="-5"/>
        </w:rPr>
        <w:t> </w:t>
      </w:r>
      <w:r>
        <w:rPr>
          <w:color w:val="231F20"/>
        </w:rPr>
        <w:t>cúpulas de</w:t>
      </w:r>
      <w:r>
        <w:rPr>
          <w:color w:val="231F20"/>
          <w:spacing w:val="-7"/>
        </w:rPr>
        <w:t> </w:t>
      </w:r>
      <w:r>
        <w:rPr>
          <w:color w:val="231F20"/>
        </w:rPr>
        <w:t>10</w:t>
      </w:r>
      <w:r>
        <w:rPr>
          <w:color w:val="231F20"/>
          <w:spacing w:val="-7"/>
        </w:rPr>
        <w:t> </w:t>
      </w:r>
      <w:r>
        <w:rPr>
          <w:color w:val="231F20"/>
        </w:rPr>
        <w:t>a</w:t>
      </w:r>
      <w:r>
        <w:rPr>
          <w:color w:val="231F20"/>
          <w:spacing w:val="-7"/>
        </w:rPr>
        <w:t> </w:t>
      </w:r>
      <w:r>
        <w:rPr>
          <w:color w:val="231F20"/>
        </w:rPr>
        <w:t>15</w:t>
      </w:r>
      <w:r>
        <w:rPr>
          <w:color w:val="231F20"/>
          <w:spacing w:val="-7"/>
        </w:rPr>
        <w:t> </w:t>
      </w:r>
      <w:r>
        <w:rPr>
          <w:color w:val="231F20"/>
        </w:rPr>
        <w:t>mm</w:t>
      </w:r>
      <w:r>
        <w:rPr>
          <w:color w:val="231F20"/>
          <w:spacing w:val="-7"/>
        </w:rPr>
        <w:t> </w:t>
      </w:r>
      <w:r>
        <w:rPr>
          <w:color w:val="231F20"/>
        </w:rPr>
        <w:t>de</w:t>
      </w:r>
      <w:r>
        <w:rPr>
          <w:color w:val="231F20"/>
          <w:spacing w:val="-7"/>
        </w:rPr>
        <w:t> </w:t>
      </w:r>
      <w:r>
        <w:rPr>
          <w:color w:val="231F20"/>
        </w:rPr>
        <w:t>ancho,</w:t>
      </w:r>
      <w:r>
        <w:rPr>
          <w:color w:val="231F20"/>
          <w:spacing w:val="-7"/>
        </w:rPr>
        <w:t> </w:t>
      </w:r>
      <w:r>
        <w:rPr>
          <w:color w:val="231F20"/>
        </w:rPr>
        <w:t>nuez</w:t>
      </w:r>
      <w:r>
        <w:rPr>
          <w:color w:val="231F20"/>
          <w:spacing w:val="-7"/>
        </w:rPr>
        <w:t> </w:t>
      </w:r>
      <w:r>
        <w:rPr>
          <w:color w:val="231F20"/>
        </w:rPr>
        <w:t>ovoide</w:t>
      </w:r>
      <w:r>
        <w:rPr>
          <w:color w:val="231F20"/>
          <w:spacing w:val="-7"/>
        </w:rPr>
        <w:t> </w:t>
      </w:r>
      <w:r>
        <w:rPr>
          <w:color w:val="231F20"/>
        </w:rPr>
        <w:t>de</w:t>
      </w:r>
      <w:r>
        <w:rPr>
          <w:color w:val="231F20"/>
          <w:spacing w:val="-7"/>
        </w:rPr>
        <w:t> </w:t>
      </w:r>
      <w:r>
        <w:rPr>
          <w:color w:val="231F20"/>
        </w:rPr>
        <w:t>12</w:t>
      </w:r>
      <w:r>
        <w:rPr>
          <w:color w:val="231F20"/>
          <w:spacing w:val="-7"/>
        </w:rPr>
        <w:t> </w:t>
      </w:r>
      <w:r>
        <w:rPr>
          <w:color w:val="231F20"/>
        </w:rPr>
        <w:t>a</w:t>
      </w:r>
      <w:r>
        <w:rPr>
          <w:color w:val="231F20"/>
          <w:spacing w:val="-7"/>
        </w:rPr>
        <w:t> </w:t>
      </w:r>
      <w:r>
        <w:rPr>
          <w:color w:val="231F20"/>
        </w:rPr>
        <w:t>15</w:t>
      </w:r>
      <w:r>
        <w:rPr>
          <w:color w:val="231F20"/>
          <w:spacing w:val="-7"/>
        </w:rPr>
        <w:t> </w:t>
      </w:r>
      <w:r>
        <w:rPr>
          <w:color w:val="231F20"/>
        </w:rPr>
        <w:t>mm</w:t>
      </w:r>
      <w:r>
        <w:rPr>
          <w:color w:val="231F20"/>
          <w:spacing w:val="-7"/>
        </w:rPr>
        <w:t> </w:t>
      </w:r>
      <w:r>
        <w:rPr>
          <w:color w:val="231F20"/>
        </w:rPr>
        <w:t>de</w:t>
      </w:r>
      <w:r>
        <w:rPr>
          <w:color w:val="231F20"/>
          <w:spacing w:val="-7"/>
        </w:rPr>
        <w:t> </w:t>
      </w:r>
      <w:r>
        <w:rPr>
          <w:color w:val="231F20"/>
        </w:rPr>
        <w:t>largo</w:t>
      </w:r>
      <w:r>
        <w:rPr>
          <w:color w:val="231F20"/>
          <w:spacing w:val="-7"/>
        </w:rPr>
        <w:t> </w:t>
      </w:r>
      <w:r>
        <w:rPr>
          <w:color w:val="231F20"/>
        </w:rPr>
        <w:t>por</w:t>
      </w:r>
      <w:r>
        <w:rPr>
          <w:color w:val="231F20"/>
          <w:spacing w:val="-7"/>
        </w:rPr>
        <w:t> </w:t>
      </w:r>
      <w:r>
        <w:rPr>
          <w:color w:val="231F20"/>
        </w:rPr>
        <w:t>10</w:t>
      </w:r>
      <w:r>
        <w:rPr>
          <w:color w:val="231F20"/>
          <w:spacing w:val="-7"/>
        </w:rPr>
        <w:t> </w:t>
      </w:r>
      <w:r>
        <w:rPr>
          <w:color w:val="231F20"/>
        </w:rPr>
        <w:t>mm</w:t>
      </w:r>
      <w:r>
        <w:rPr>
          <w:color w:val="231F20"/>
          <w:spacing w:val="-7"/>
        </w:rPr>
        <w:t> </w:t>
      </w:r>
      <w:r>
        <w:rPr>
          <w:color w:val="231F20"/>
        </w:rPr>
        <w:t>de</w:t>
      </w:r>
      <w:r>
        <w:rPr>
          <w:color w:val="231F20"/>
          <w:spacing w:val="-7"/>
        </w:rPr>
        <w:t> </w:t>
      </w:r>
      <w:r>
        <w:rPr>
          <w:color w:val="231F20"/>
        </w:rPr>
        <w:t>ancho,</w:t>
      </w:r>
      <w:r>
        <w:rPr>
          <w:color w:val="231F20"/>
          <w:spacing w:val="-7"/>
        </w:rPr>
        <w:t> </w:t>
      </w:r>
      <w:r>
        <w:rPr>
          <w:color w:val="231F20"/>
        </w:rPr>
        <w:t>la</w:t>
      </w:r>
      <w:r>
        <w:rPr>
          <w:color w:val="231F20"/>
          <w:spacing w:val="-7"/>
        </w:rPr>
        <w:t> </w:t>
      </w:r>
      <w:r>
        <w:rPr>
          <w:color w:val="231F20"/>
        </w:rPr>
        <w:t>mitad</w:t>
      </w:r>
      <w:r>
        <w:rPr>
          <w:color w:val="231F20"/>
          <w:spacing w:val="-7"/>
        </w:rPr>
        <w:t> </w:t>
      </w:r>
      <w:r>
        <w:rPr>
          <w:color w:val="231F20"/>
        </w:rPr>
        <w:t>incluida en la</w:t>
      </w:r>
      <w:r>
        <w:rPr>
          <w:color w:val="231F20"/>
          <w:spacing w:val="-1"/>
        </w:rPr>
        <w:t> </w:t>
      </w:r>
      <w:r>
        <w:rPr>
          <w:color w:val="231F20"/>
        </w:rPr>
        <w:t>cúpula.</w:t>
      </w:r>
    </w:p>
    <w:p>
      <w:pPr>
        <w:spacing w:after="0" w:line="247" w:lineRule="auto"/>
        <w:jc w:val="both"/>
        <w:sectPr>
          <w:pgSz w:w="10920" w:h="13080"/>
          <w:pgMar w:header="0" w:footer="965" w:top="420" w:bottom="1220" w:left="0" w:right="0"/>
        </w:sectPr>
      </w:pPr>
    </w:p>
    <w:p>
      <w:pPr>
        <w:pStyle w:val="BodyText"/>
        <w:rPr>
          <w:sz w:val="20"/>
        </w:rPr>
      </w:pPr>
    </w:p>
    <w:p>
      <w:pPr>
        <w:pStyle w:val="BodyText"/>
        <w:rPr>
          <w:sz w:val="20"/>
        </w:rPr>
      </w:pPr>
    </w:p>
    <w:p>
      <w:pPr>
        <w:pStyle w:val="BodyText"/>
        <w:rPr>
          <w:sz w:val="23"/>
        </w:rPr>
      </w:pPr>
    </w:p>
    <w:p>
      <w:pPr>
        <w:spacing w:before="77"/>
        <w:ind w:left="3172" w:right="1279" w:firstLine="0"/>
        <w:jc w:val="left"/>
        <w:rPr>
          <w:b/>
          <w:sz w:val="18"/>
        </w:rPr>
      </w:pPr>
      <w:r>
        <w:rPr>
          <w:b/>
          <w:color w:val="010202"/>
          <w:sz w:val="18"/>
        </w:rPr>
        <w:t>Figura 1. Q. coccolobifolia en el tramo Río Verde-El Realito</w:t>
      </w:r>
    </w:p>
    <w:p>
      <w:pPr>
        <w:pStyle w:val="BodyText"/>
        <w:spacing w:before="9"/>
        <w:rPr>
          <w:b/>
          <w:sz w:val="18"/>
        </w:rPr>
      </w:pPr>
      <w:r>
        <w:rPr/>
        <w:drawing>
          <wp:anchor distT="0" distB="0" distL="0" distR="0" allowOverlap="1" layoutInCell="1" locked="0" behindDoc="0" simplePos="0" relativeHeight="6040">
            <wp:simplePos x="0" y="0"/>
            <wp:positionH relativeFrom="page">
              <wp:posOffset>1634705</wp:posOffset>
            </wp:positionH>
            <wp:positionV relativeFrom="paragraph">
              <wp:posOffset>161966</wp:posOffset>
            </wp:positionV>
            <wp:extent cx="3690648" cy="1828800"/>
            <wp:effectExtent l="0" t="0" r="0" b="0"/>
            <wp:wrapTopAndBottom/>
            <wp:docPr id="195" name="image81.jpeg" descr=""/>
            <wp:cNvGraphicFramePr>
              <a:graphicFrameLocks noChangeAspect="1"/>
            </wp:cNvGraphicFramePr>
            <a:graphic>
              <a:graphicData uri="http://schemas.openxmlformats.org/drawingml/2006/picture">
                <pic:pic>
                  <pic:nvPicPr>
                    <pic:cNvPr id="196" name="image81.jpeg"/>
                    <pic:cNvPicPr/>
                  </pic:nvPicPr>
                  <pic:blipFill>
                    <a:blip r:embed="rId122" cstate="print"/>
                    <a:stretch>
                      <a:fillRect/>
                    </a:stretch>
                  </pic:blipFill>
                  <pic:spPr>
                    <a:xfrm>
                      <a:off x="0" y="0"/>
                      <a:ext cx="3690648" cy="1828800"/>
                    </a:xfrm>
                    <a:prstGeom prst="rect">
                      <a:avLst/>
                    </a:prstGeom>
                  </pic:spPr>
                </pic:pic>
              </a:graphicData>
            </a:graphic>
          </wp:anchor>
        </w:drawing>
      </w:r>
    </w:p>
    <w:p>
      <w:pPr>
        <w:pStyle w:val="BodyText"/>
        <w:spacing w:before="1"/>
        <w:rPr>
          <w:b/>
          <w:sz w:val="22"/>
        </w:rPr>
      </w:pPr>
    </w:p>
    <w:p>
      <w:pPr>
        <w:pStyle w:val="BodyText"/>
        <w:ind w:left="1270"/>
        <w:jc w:val="both"/>
      </w:pPr>
      <w:r>
        <w:rPr>
          <w:color w:val="231F20"/>
        </w:rPr>
        <w:t>Quercus resinosa Liebmann</w:t>
      </w:r>
    </w:p>
    <w:p>
      <w:pPr>
        <w:pStyle w:val="BodyText"/>
        <w:spacing w:line="247" w:lineRule="auto" w:before="8"/>
        <w:ind w:left="1270" w:right="1267"/>
        <w:jc w:val="both"/>
      </w:pPr>
      <w:r>
        <w:rPr>
          <w:color w:val="231F20"/>
        </w:rPr>
        <w:t>Árbol</w:t>
      </w:r>
      <w:r>
        <w:rPr>
          <w:color w:val="231F20"/>
          <w:spacing w:val="-9"/>
        </w:rPr>
        <w:t> </w:t>
      </w:r>
      <w:r>
        <w:rPr>
          <w:color w:val="231F20"/>
        </w:rPr>
        <w:t>de</w:t>
      </w:r>
      <w:r>
        <w:rPr>
          <w:color w:val="231F20"/>
          <w:spacing w:val="-9"/>
        </w:rPr>
        <w:t> </w:t>
      </w:r>
      <w:r>
        <w:rPr>
          <w:color w:val="231F20"/>
        </w:rPr>
        <w:t>5</w:t>
      </w:r>
      <w:r>
        <w:rPr>
          <w:color w:val="231F20"/>
          <w:spacing w:val="-9"/>
        </w:rPr>
        <w:t> </w:t>
      </w:r>
      <w:r>
        <w:rPr>
          <w:color w:val="231F20"/>
        </w:rPr>
        <w:t>metros</w:t>
      </w:r>
      <w:r>
        <w:rPr>
          <w:color w:val="231F20"/>
          <w:spacing w:val="-9"/>
        </w:rPr>
        <w:t> </w:t>
      </w:r>
      <w:r>
        <w:rPr>
          <w:color w:val="231F20"/>
        </w:rPr>
        <w:t>de</w:t>
      </w:r>
      <w:r>
        <w:rPr>
          <w:color w:val="231F20"/>
          <w:spacing w:val="-9"/>
        </w:rPr>
        <w:t> </w:t>
      </w:r>
      <w:r>
        <w:rPr>
          <w:color w:val="231F20"/>
        </w:rPr>
        <w:t>altura</w:t>
      </w:r>
      <w:r>
        <w:rPr>
          <w:color w:val="231F20"/>
          <w:spacing w:val="-9"/>
        </w:rPr>
        <w:t> </w:t>
      </w:r>
      <w:r>
        <w:rPr>
          <w:color w:val="231F20"/>
        </w:rPr>
        <w:t>con</w:t>
      </w:r>
      <w:r>
        <w:rPr>
          <w:color w:val="231F20"/>
          <w:spacing w:val="-9"/>
        </w:rPr>
        <w:t> </w:t>
      </w:r>
      <w:r>
        <w:rPr>
          <w:color w:val="231F20"/>
        </w:rPr>
        <w:t>corteza</w:t>
      </w:r>
      <w:r>
        <w:rPr>
          <w:color w:val="231F20"/>
          <w:spacing w:val="-9"/>
        </w:rPr>
        <w:t> </w:t>
      </w:r>
      <w:r>
        <w:rPr>
          <w:color w:val="231F20"/>
        </w:rPr>
        <w:t>café</w:t>
      </w:r>
      <w:r>
        <w:rPr>
          <w:color w:val="231F20"/>
          <w:spacing w:val="-9"/>
        </w:rPr>
        <w:t> </w:t>
      </w:r>
      <w:r>
        <w:rPr>
          <w:color w:val="231F20"/>
        </w:rPr>
        <w:t>oscuro</w:t>
      </w:r>
      <w:r>
        <w:rPr>
          <w:color w:val="231F20"/>
          <w:spacing w:val="-9"/>
        </w:rPr>
        <w:t> </w:t>
      </w:r>
      <w:r>
        <w:rPr>
          <w:color w:val="231F20"/>
        </w:rPr>
        <w:t>tendiente</w:t>
      </w:r>
      <w:r>
        <w:rPr>
          <w:color w:val="231F20"/>
          <w:spacing w:val="-9"/>
        </w:rPr>
        <w:t> </w:t>
      </w:r>
      <w:r>
        <w:rPr>
          <w:color w:val="231F20"/>
        </w:rPr>
        <w:t>a</w:t>
      </w:r>
      <w:r>
        <w:rPr>
          <w:color w:val="231F20"/>
          <w:spacing w:val="-9"/>
        </w:rPr>
        <w:t> </w:t>
      </w:r>
      <w:r>
        <w:rPr>
          <w:color w:val="231F20"/>
        </w:rPr>
        <w:t>violeta</w:t>
      </w:r>
      <w:r>
        <w:rPr>
          <w:color w:val="231F20"/>
          <w:spacing w:val="-9"/>
        </w:rPr>
        <w:t> </w:t>
      </w:r>
      <w:r>
        <w:rPr>
          <w:color w:val="231F20"/>
        </w:rPr>
        <w:t>con</w:t>
      </w:r>
      <w:r>
        <w:rPr>
          <w:color w:val="231F20"/>
          <w:spacing w:val="-9"/>
        </w:rPr>
        <w:t> </w:t>
      </w:r>
      <w:r>
        <w:rPr>
          <w:color w:val="231F20"/>
        </w:rPr>
        <w:t>grandes</w:t>
      </w:r>
      <w:r>
        <w:rPr>
          <w:color w:val="231F20"/>
          <w:spacing w:val="-9"/>
        </w:rPr>
        <w:t> </w:t>
      </w:r>
      <w:r>
        <w:rPr>
          <w:color w:val="231F20"/>
        </w:rPr>
        <w:t>fisuras</w:t>
      </w:r>
      <w:r>
        <w:rPr>
          <w:color w:val="231F20"/>
          <w:spacing w:val="-9"/>
        </w:rPr>
        <w:t> </w:t>
      </w:r>
      <w:r>
        <w:rPr>
          <w:color w:val="231F20"/>
        </w:rPr>
        <w:t>verticales, presente musgo y líquenes que dan un aspecto de color verde en todo el árbol. Hojas maduras de 15 cm</w:t>
      </w:r>
      <w:r>
        <w:rPr>
          <w:color w:val="231F20"/>
          <w:spacing w:val="-2"/>
        </w:rPr>
        <w:t> </w:t>
      </w:r>
      <w:r>
        <w:rPr>
          <w:color w:val="231F20"/>
        </w:rPr>
        <w:t>de</w:t>
      </w:r>
      <w:r>
        <w:rPr>
          <w:color w:val="231F20"/>
          <w:spacing w:val="-2"/>
        </w:rPr>
        <w:t> </w:t>
      </w:r>
      <w:r>
        <w:rPr>
          <w:color w:val="231F20"/>
        </w:rPr>
        <w:t>largo</w:t>
      </w:r>
      <w:r>
        <w:rPr>
          <w:color w:val="231F20"/>
          <w:spacing w:val="-2"/>
        </w:rPr>
        <w:t> </w:t>
      </w:r>
      <w:r>
        <w:rPr>
          <w:color w:val="231F20"/>
        </w:rPr>
        <w:t>por</w:t>
      </w:r>
      <w:r>
        <w:rPr>
          <w:color w:val="231F20"/>
          <w:spacing w:val="-2"/>
        </w:rPr>
        <w:t> </w:t>
      </w:r>
      <w:r>
        <w:rPr>
          <w:color w:val="231F20"/>
        </w:rPr>
        <w:t>8</w:t>
      </w:r>
      <w:r>
        <w:rPr>
          <w:color w:val="231F20"/>
          <w:spacing w:val="-2"/>
        </w:rPr>
        <w:t> </w:t>
      </w:r>
      <w:r>
        <w:rPr>
          <w:color w:val="231F20"/>
        </w:rPr>
        <w:t>cm</w:t>
      </w:r>
      <w:r>
        <w:rPr>
          <w:color w:val="231F20"/>
          <w:spacing w:val="-2"/>
        </w:rPr>
        <w:t> </w:t>
      </w:r>
      <w:r>
        <w:rPr>
          <w:color w:val="231F20"/>
        </w:rPr>
        <w:t>de</w:t>
      </w:r>
      <w:r>
        <w:rPr>
          <w:color w:val="231F20"/>
          <w:spacing w:val="-2"/>
        </w:rPr>
        <w:t> </w:t>
      </w:r>
      <w:r>
        <w:rPr>
          <w:color w:val="231F20"/>
        </w:rPr>
        <w:t>ancho,</w:t>
      </w:r>
      <w:r>
        <w:rPr>
          <w:color w:val="231F20"/>
          <w:spacing w:val="-2"/>
        </w:rPr>
        <w:t> </w:t>
      </w:r>
      <w:r>
        <w:rPr>
          <w:color w:val="231F20"/>
        </w:rPr>
        <w:t>coriáceas</w:t>
      </w:r>
      <w:r>
        <w:rPr>
          <w:color w:val="231F20"/>
          <w:spacing w:val="-3"/>
        </w:rPr>
        <w:t> </w:t>
      </w:r>
      <w:r>
        <w:rPr>
          <w:color w:val="231F20"/>
        </w:rPr>
        <w:t>y</w:t>
      </w:r>
      <w:r>
        <w:rPr>
          <w:color w:val="231F20"/>
          <w:spacing w:val="-2"/>
        </w:rPr>
        <w:t> </w:t>
      </w:r>
      <w:r>
        <w:rPr>
          <w:color w:val="231F20"/>
        </w:rPr>
        <w:t>obovadas.</w:t>
      </w:r>
      <w:r>
        <w:rPr>
          <w:color w:val="231F20"/>
          <w:spacing w:val="-2"/>
        </w:rPr>
        <w:t> </w:t>
      </w:r>
      <w:r>
        <w:rPr>
          <w:color w:val="231F20"/>
        </w:rPr>
        <w:t>Con</w:t>
      </w:r>
      <w:r>
        <w:rPr>
          <w:color w:val="231F20"/>
          <w:spacing w:val="-2"/>
        </w:rPr>
        <w:t> </w:t>
      </w:r>
      <w:r>
        <w:rPr>
          <w:color w:val="231F20"/>
        </w:rPr>
        <w:t>diámetro</w:t>
      </w:r>
      <w:r>
        <w:rPr>
          <w:color w:val="231F20"/>
          <w:spacing w:val="-2"/>
        </w:rPr>
        <w:t> </w:t>
      </w:r>
      <w:r>
        <w:rPr>
          <w:color w:val="231F20"/>
        </w:rPr>
        <w:t>normal</w:t>
      </w:r>
      <w:r>
        <w:rPr>
          <w:color w:val="231F20"/>
          <w:spacing w:val="-2"/>
        </w:rPr>
        <w:t> </w:t>
      </w:r>
      <w:r>
        <w:rPr>
          <w:color w:val="231F20"/>
        </w:rPr>
        <w:t>de</w:t>
      </w:r>
      <w:r>
        <w:rPr>
          <w:color w:val="231F20"/>
          <w:spacing w:val="-2"/>
        </w:rPr>
        <w:t> </w:t>
      </w:r>
      <w:r>
        <w:rPr>
          <w:color w:val="231F20"/>
        </w:rPr>
        <w:t>30</w:t>
      </w:r>
      <w:r>
        <w:rPr>
          <w:color w:val="231F20"/>
          <w:spacing w:val="-2"/>
        </w:rPr>
        <w:t> </w:t>
      </w:r>
      <w:r>
        <w:rPr>
          <w:color w:val="231F20"/>
        </w:rPr>
        <w:t>a</w:t>
      </w:r>
      <w:r>
        <w:rPr>
          <w:color w:val="231F20"/>
          <w:spacing w:val="-2"/>
        </w:rPr>
        <w:t> </w:t>
      </w:r>
      <w:r>
        <w:rPr>
          <w:color w:val="231F20"/>
        </w:rPr>
        <w:t>70</w:t>
      </w:r>
      <w:r>
        <w:rPr>
          <w:color w:val="231F20"/>
          <w:spacing w:val="-2"/>
        </w:rPr>
        <w:t> </w:t>
      </w:r>
      <w:r>
        <w:rPr>
          <w:color w:val="231F20"/>
        </w:rPr>
        <w:t>cm.</w:t>
      </w:r>
      <w:r>
        <w:rPr>
          <w:color w:val="231F20"/>
          <w:spacing w:val="-14"/>
        </w:rPr>
        <w:t> </w:t>
      </w:r>
      <w:r>
        <w:rPr>
          <w:color w:val="231F20"/>
        </w:rPr>
        <w:t>Alcanza alturas hasta de 10 m. Bellotas anuales solitarias o en grupos de tres desarrolladas en pedúnculos de 15 a 20 cm de largo, cúpula de 15 a 25 mm de ancho, nuez ovoide de 15 a 32 mm de largo por 15 a 20 mm de grueso, un tercio incluida en la</w:t>
      </w:r>
      <w:r>
        <w:rPr>
          <w:color w:val="231F20"/>
          <w:spacing w:val="-3"/>
        </w:rPr>
        <w:t> </w:t>
      </w:r>
      <w:r>
        <w:rPr>
          <w:color w:val="231F20"/>
        </w:rPr>
        <w:t>cúpula.</w:t>
      </w:r>
    </w:p>
    <w:p>
      <w:pPr>
        <w:pStyle w:val="BodyText"/>
        <w:spacing w:before="10"/>
      </w:pPr>
    </w:p>
    <w:p>
      <w:pPr>
        <w:pStyle w:val="BodyText"/>
        <w:ind w:left="1270"/>
        <w:jc w:val="both"/>
      </w:pPr>
      <w:r>
        <w:rPr>
          <w:color w:val="231F20"/>
        </w:rPr>
        <w:t>Quercus salicifolia Née</w:t>
      </w:r>
    </w:p>
    <w:p>
      <w:pPr>
        <w:pStyle w:val="BodyText"/>
        <w:spacing w:line="247" w:lineRule="auto" w:before="8"/>
        <w:ind w:left="1270" w:right="1267"/>
        <w:jc w:val="both"/>
      </w:pPr>
      <w:r>
        <w:rPr>
          <w:color w:val="231F20"/>
        </w:rPr>
        <w:t>Árbol de 7 metros de altura con corteza color café oscuro con fisuras verticales. Se ramifica a 1.5 metros; hojas alargadas de hasta 16 cm de largo x 2 cm de ancho, elípticas o elíptico-lanceoladas, borde aserrado y entero en el mismo árbol y lustrosas (fig. 2), sus hojas son colgantes rematando en una arista de hasta 2 mm, glabras en el haz y el envés.</w:t>
      </w:r>
    </w:p>
    <w:p>
      <w:pPr>
        <w:pStyle w:val="BodyText"/>
        <w:spacing w:before="5"/>
      </w:pPr>
    </w:p>
    <w:p>
      <w:pPr>
        <w:spacing w:before="0"/>
        <w:ind w:left="2571" w:right="1279" w:firstLine="0"/>
        <w:jc w:val="left"/>
        <w:rPr>
          <w:b/>
          <w:sz w:val="18"/>
        </w:rPr>
      </w:pPr>
      <w:r>
        <w:rPr>
          <w:b/>
          <w:color w:val="010202"/>
          <w:sz w:val="18"/>
        </w:rPr>
        <w:t>Figura 2. Q salicifolia. La imagen muestra las hojas lustrosas de este encino</w:t>
      </w:r>
    </w:p>
    <w:p>
      <w:pPr>
        <w:pStyle w:val="BodyText"/>
        <w:spacing w:before="9"/>
        <w:rPr>
          <w:b/>
          <w:sz w:val="15"/>
        </w:rPr>
      </w:pPr>
      <w:r>
        <w:rPr/>
        <w:drawing>
          <wp:anchor distT="0" distB="0" distL="0" distR="0" allowOverlap="1" layoutInCell="1" locked="0" behindDoc="0" simplePos="0" relativeHeight="6064">
            <wp:simplePos x="0" y="0"/>
            <wp:positionH relativeFrom="page">
              <wp:posOffset>1555508</wp:posOffset>
            </wp:positionH>
            <wp:positionV relativeFrom="paragraph">
              <wp:posOffset>140379</wp:posOffset>
            </wp:positionV>
            <wp:extent cx="3758097" cy="1708785"/>
            <wp:effectExtent l="0" t="0" r="0" b="0"/>
            <wp:wrapTopAndBottom/>
            <wp:docPr id="197" name="image82.jpeg" descr=""/>
            <wp:cNvGraphicFramePr>
              <a:graphicFrameLocks noChangeAspect="1"/>
            </wp:cNvGraphicFramePr>
            <a:graphic>
              <a:graphicData uri="http://schemas.openxmlformats.org/drawingml/2006/picture">
                <pic:pic>
                  <pic:nvPicPr>
                    <pic:cNvPr id="198" name="image82.jpeg"/>
                    <pic:cNvPicPr/>
                  </pic:nvPicPr>
                  <pic:blipFill>
                    <a:blip r:embed="rId123" cstate="print"/>
                    <a:stretch>
                      <a:fillRect/>
                    </a:stretch>
                  </pic:blipFill>
                  <pic:spPr>
                    <a:xfrm>
                      <a:off x="0" y="0"/>
                      <a:ext cx="3758097" cy="1708785"/>
                    </a:xfrm>
                    <a:prstGeom prst="rect">
                      <a:avLst/>
                    </a:prstGeom>
                  </pic:spPr>
                </pic:pic>
              </a:graphicData>
            </a:graphic>
          </wp:anchor>
        </w:drawing>
      </w:r>
    </w:p>
    <w:p>
      <w:pPr>
        <w:spacing w:after="0"/>
        <w:rPr>
          <w:sz w:val="15"/>
        </w:rPr>
        <w:sectPr>
          <w:pgSz w:w="10920" w:h="13080"/>
          <w:pgMar w:header="0" w:footer="965" w:top="420" w:bottom="1220" w:left="0" w:right="0"/>
        </w:sectPr>
      </w:pPr>
    </w:p>
    <w:p>
      <w:pPr>
        <w:pStyle w:val="BodyText"/>
        <w:rPr>
          <w:b/>
          <w:sz w:val="20"/>
        </w:rPr>
      </w:pPr>
    </w:p>
    <w:p>
      <w:pPr>
        <w:pStyle w:val="BodyText"/>
        <w:rPr>
          <w:b/>
          <w:sz w:val="20"/>
        </w:rPr>
      </w:pPr>
    </w:p>
    <w:p>
      <w:pPr>
        <w:pStyle w:val="BodyText"/>
        <w:rPr>
          <w:b/>
          <w:sz w:val="23"/>
        </w:rPr>
      </w:pPr>
    </w:p>
    <w:p>
      <w:pPr>
        <w:pStyle w:val="BodyText"/>
        <w:spacing w:before="73"/>
        <w:ind w:left="1270"/>
        <w:jc w:val="both"/>
      </w:pPr>
      <w:r>
        <w:rPr>
          <w:color w:val="231F20"/>
        </w:rPr>
        <w:t>Quercus potosina Trel.</w:t>
      </w:r>
    </w:p>
    <w:p>
      <w:pPr>
        <w:pStyle w:val="BodyText"/>
        <w:spacing w:line="247" w:lineRule="auto" w:before="8"/>
        <w:ind w:left="1270" w:right="1268"/>
        <w:jc w:val="both"/>
      </w:pPr>
      <w:r>
        <w:rPr>
          <w:color w:val="231F20"/>
        </w:rPr>
        <w:t>Árbol</w:t>
      </w:r>
      <w:r>
        <w:rPr>
          <w:color w:val="231F20"/>
          <w:spacing w:val="-4"/>
        </w:rPr>
        <w:t> </w:t>
      </w:r>
      <w:r>
        <w:rPr>
          <w:color w:val="231F20"/>
        </w:rPr>
        <w:t>de</w:t>
      </w:r>
      <w:r>
        <w:rPr>
          <w:color w:val="231F20"/>
          <w:spacing w:val="-4"/>
        </w:rPr>
        <w:t> </w:t>
      </w:r>
      <w:r>
        <w:rPr>
          <w:color w:val="231F20"/>
        </w:rPr>
        <w:t>4</w:t>
      </w:r>
      <w:r>
        <w:rPr>
          <w:color w:val="231F20"/>
          <w:spacing w:val="-4"/>
        </w:rPr>
        <w:t> </w:t>
      </w:r>
      <w:r>
        <w:rPr>
          <w:color w:val="231F20"/>
        </w:rPr>
        <w:t>metros</w:t>
      </w:r>
      <w:r>
        <w:rPr>
          <w:color w:val="231F20"/>
          <w:spacing w:val="-4"/>
        </w:rPr>
        <w:t> </w:t>
      </w:r>
      <w:r>
        <w:rPr>
          <w:color w:val="231F20"/>
        </w:rPr>
        <w:t>de</w:t>
      </w:r>
      <w:r>
        <w:rPr>
          <w:color w:val="231F20"/>
          <w:spacing w:val="-4"/>
        </w:rPr>
        <w:t> </w:t>
      </w:r>
      <w:r>
        <w:rPr>
          <w:color w:val="231F20"/>
        </w:rPr>
        <w:t>altura</w:t>
      </w:r>
      <w:r>
        <w:rPr>
          <w:color w:val="231F20"/>
          <w:spacing w:val="-4"/>
        </w:rPr>
        <w:t> </w:t>
      </w:r>
      <w:r>
        <w:rPr>
          <w:color w:val="231F20"/>
        </w:rPr>
        <w:t>con</w:t>
      </w:r>
      <w:r>
        <w:rPr>
          <w:color w:val="231F20"/>
          <w:spacing w:val="-4"/>
        </w:rPr>
        <w:t> </w:t>
      </w:r>
      <w:r>
        <w:rPr>
          <w:color w:val="231F20"/>
        </w:rPr>
        <w:t>corteza</w:t>
      </w:r>
      <w:r>
        <w:rPr>
          <w:color w:val="231F20"/>
          <w:spacing w:val="-4"/>
        </w:rPr>
        <w:t> </w:t>
      </w:r>
      <w:r>
        <w:rPr>
          <w:color w:val="231F20"/>
        </w:rPr>
        <w:t>café</w:t>
      </w:r>
      <w:r>
        <w:rPr>
          <w:color w:val="231F20"/>
          <w:spacing w:val="-4"/>
        </w:rPr>
        <w:t> </w:t>
      </w:r>
      <w:r>
        <w:rPr>
          <w:color w:val="231F20"/>
        </w:rPr>
        <w:t>oscuro</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base</w:t>
      </w:r>
      <w:r>
        <w:rPr>
          <w:color w:val="231F20"/>
          <w:spacing w:val="-4"/>
        </w:rPr>
        <w:t> </w:t>
      </w:r>
      <w:r>
        <w:rPr>
          <w:color w:val="231F20"/>
        </w:rPr>
        <w:t>y</w:t>
      </w:r>
      <w:r>
        <w:rPr>
          <w:color w:val="231F20"/>
          <w:spacing w:val="-4"/>
        </w:rPr>
        <w:t> </w:t>
      </w:r>
      <w:r>
        <w:rPr>
          <w:color w:val="231F20"/>
        </w:rPr>
        <w:t>grisácea</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parte</w:t>
      </w:r>
      <w:r>
        <w:rPr>
          <w:color w:val="231F20"/>
          <w:spacing w:val="-4"/>
        </w:rPr>
        <w:t> </w:t>
      </w:r>
      <w:r>
        <w:rPr>
          <w:color w:val="231F20"/>
        </w:rPr>
        <w:t>media.</w:t>
      </w:r>
      <w:r>
        <w:rPr>
          <w:color w:val="231F20"/>
          <w:spacing w:val="-4"/>
        </w:rPr>
        <w:t> </w:t>
      </w:r>
      <w:r>
        <w:rPr>
          <w:color w:val="231F20"/>
        </w:rPr>
        <w:t>Se</w:t>
      </w:r>
      <w:r>
        <w:rPr>
          <w:color w:val="231F20"/>
          <w:spacing w:val="-4"/>
        </w:rPr>
        <w:t> </w:t>
      </w:r>
      <w:r>
        <w:rPr>
          <w:color w:val="231F20"/>
        </w:rPr>
        <w:t>rami- fica desde la base, hojas de 7 cm de largo por 3 cm de ancho, con borde aserrado y entero,</w:t>
      </w:r>
      <w:r>
        <w:rPr>
          <w:color w:val="231F20"/>
          <w:spacing w:val="-35"/>
        </w:rPr>
        <w:t> </w:t>
      </w:r>
      <w:r>
        <w:rPr>
          <w:color w:val="231F20"/>
        </w:rPr>
        <w:t>lustrosas. Diámetro</w:t>
      </w:r>
      <w:r>
        <w:rPr>
          <w:color w:val="231F20"/>
          <w:spacing w:val="-9"/>
        </w:rPr>
        <w:t> </w:t>
      </w:r>
      <w:r>
        <w:rPr>
          <w:color w:val="231F20"/>
        </w:rPr>
        <w:t>de</w:t>
      </w:r>
      <w:r>
        <w:rPr>
          <w:color w:val="231F20"/>
          <w:spacing w:val="-9"/>
        </w:rPr>
        <w:t> </w:t>
      </w:r>
      <w:r>
        <w:rPr>
          <w:color w:val="231F20"/>
        </w:rPr>
        <w:t>15</w:t>
      </w:r>
      <w:r>
        <w:rPr>
          <w:color w:val="231F20"/>
          <w:spacing w:val="-9"/>
        </w:rPr>
        <w:t> </w:t>
      </w:r>
      <w:r>
        <w:rPr>
          <w:color w:val="231F20"/>
        </w:rPr>
        <w:t>a</w:t>
      </w:r>
      <w:r>
        <w:rPr>
          <w:color w:val="231F20"/>
          <w:spacing w:val="-9"/>
        </w:rPr>
        <w:t> </w:t>
      </w:r>
      <w:r>
        <w:rPr>
          <w:color w:val="231F20"/>
        </w:rPr>
        <w:t>30</w:t>
      </w:r>
      <w:r>
        <w:rPr>
          <w:color w:val="231F20"/>
          <w:spacing w:val="-9"/>
        </w:rPr>
        <w:t> </w:t>
      </w:r>
      <w:r>
        <w:rPr>
          <w:color w:val="231F20"/>
        </w:rPr>
        <w:t>cm.</w:t>
      </w:r>
      <w:r>
        <w:rPr>
          <w:color w:val="231F20"/>
          <w:spacing w:val="-20"/>
        </w:rPr>
        <w:t> </w:t>
      </w:r>
      <w:r>
        <w:rPr>
          <w:color w:val="231F20"/>
        </w:rPr>
        <w:t>Alcanza</w:t>
      </w:r>
      <w:r>
        <w:rPr>
          <w:color w:val="231F20"/>
          <w:spacing w:val="-9"/>
        </w:rPr>
        <w:t> </w:t>
      </w:r>
      <w:r>
        <w:rPr>
          <w:color w:val="231F20"/>
        </w:rPr>
        <w:t>alturas</w:t>
      </w:r>
      <w:r>
        <w:rPr>
          <w:color w:val="231F20"/>
          <w:spacing w:val="-9"/>
        </w:rPr>
        <w:t> </w:t>
      </w:r>
      <w:r>
        <w:rPr>
          <w:color w:val="231F20"/>
        </w:rPr>
        <w:t>hasta</w:t>
      </w:r>
      <w:r>
        <w:rPr>
          <w:color w:val="231F20"/>
          <w:spacing w:val="-9"/>
        </w:rPr>
        <w:t> </w:t>
      </w:r>
      <w:r>
        <w:rPr>
          <w:color w:val="231F20"/>
        </w:rPr>
        <w:t>de</w:t>
      </w:r>
      <w:r>
        <w:rPr>
          <w:color w:val="231F20"/>
          <w:spacing w:val="-9"/>
        </w:rPr>
        <w:t> </w:t>
      </w:r>
      <w:r>
        <w:rPr>
          <w:color w:val="231F20"/>
        </w:rPr>
        <w:t>7</w:t>
      </w:r>
      <w:r>
        <w:rPr>
          <w:color w:val="231F20"/>
          <w:spacing w:val="-9"/>
        </w:rPr>
        <w:t> </w:t>
      </w:r>
      <w:r>
        <w:rPr>
          <w:color w:val="231F20"/>
        </w:rPr>
        <w:t>m,</w:t>
      </w:r>
      <w:r>
        <w:rPr>
          <w:color w:val="231F20"/>
          <w:spacing w:val="-9"/>
        </w:rPr>
        <w:t> </w:t>
      </w:r>
      <w:r>
        <w:rPr>
          <w:color w:val="231F20"/>
        </w:rPr>
        <w:t>conocido</w:t>
      </w:r>
      <w:r>
        <w:rPr>
          <w:color w:val="231F20"/>
          <w:spacing w:val="-9"/>
        </w:rPr>
        <w:t> </w:t>
      </w:r>
      <w:r>
        <w:rPr>
          <w:color w:val="231F20"/>
        </w:rPr>
        <w:t>comúnmente</w:t>
      </w:r>
      <w:r>
        <w:rPr>
          <w:color w:val="231F20"/>
          <w:spacing w:val="-9"/>
        </w:rPr>
        <w:t> </w:t>
      </w:r>
      <w:r>
        <w:rPr>
          <w:color w:val="231F20"/>
        </w:rPr>
        <w:t>como</w:t>
      </w:r>
      <w:r>
        <w:rPr>
          <w:color w:val="231F20"/>
          <w:spacing w:val="-9"/>
        </w:rPr>
        <w:t> </w:t>
      </w:r>
      <w:r>
        <w:rPr>
          <w:color w:val="231F20"/>
        </w:rPr>
        <w:t>encino</w:t>
      </w:r>
      <w:r>
        <w:rPr>
          <w:color w:val="231F20"/>
          <w:spacing w:val="-9"/>
        </w:rPr>
        <w:t> </w:t>
      </w:r>
      <w:r>
        <w:rPr>
          <w:color w:val="231F20"/>
        </w:rPr>
        <w:t>chaparro. Bellotas anuales solitarias o en pares desarrolladas en pedúnculos de hasta 1 cm, cúpula de 12 a 20 cm</w:t>
      </w:r>
      <w:r>
        <w:rPr>
          <w:color w:val="231F20"/>
          <w:spacing w:val="-11"/>
        </w:rPr>
        <w:t> </w:t>
      </w:r>
      <w:r>
        <w:rPr>
          <w:color w:val="231F20"/>
        </w:rPr>
        <w:t>de</w:t>
      </w:r>
      <w:r>
        <w:rPr>
          <w:color w:val="231F20"/>
          <w:spacing w:val="-11"/>
        </w:rPr>
        <w:t> </w:t>
      </w:r>
      <w:r>
        <w:rPr>
          <w:color w:val="231F20"/>
        </w:rPr>
        <w:t>ancho,</w:t>
      </w:r>
      <w:r>
        <w:rPr>
          <w:color w:val="231F20"/>
          <w:spacing w:val="-11"/>
        </w:rPr>
        <w:t> </w:t>
      </w:r>
      <w:r>
        <w:rPr>
          <w:color w:val="231F20"/>
        </w:rPr>
        <w:t>nuez</w:t>
      </w:r>
      <w:r>
        <w:rPr>
          <w:color w:val="231F20"/>
          <w:spacing w:val="-11"/>
        </w:rPr>
        <w:t> </w:t>
      </w:r>
      <w:r>
        <w:rPr>
          <w:color w:val="231F20"/>
        </w:rPr>
        <w:t>ovoide</w:t>
      </w:r>
      <w:r>
        <w:rPr>
          <w:color w:val="231F20"/>
          <w:spacing w:val="-11"/>
        </w:rPr>
        <w:t> </w:t>
      </w:r>
      <w:r>
        <w:rPr>
          <w:color w:val="231F20"/>
        </w:rPr>
        <w:t>de</w:t>
      </w:r>
      <w:r>
        <w:rPr>
          <w:color w:val="231F20"/>
          <w:spacing w:val="-11"/>
        </w:rPr>
        <w:t> </w:t>
      </w:r>
      <w:r>
        <w:rPr>
          <w:color w:val="231F20"/>
        </w:rPr>
        <w:t>15</w:t>
      </w:r>
      <w:r>
        <w:rPr>
          <w:color w:val="231F20"/>
          <w:spacing w:val="-11"/>
        </w:rPr>
        <w:t> </w:t>
      </w:r>
      <w:r>
        <w:rPr>
          <w:color w:val="231F20"/>
        </w:rPr>
        <w:t>a</w:t>
      </w:r>
      <w:r>
        <w:rPr>
          <w:color w:val="231F20"/>
          <w:spacing w:val="-11"/>
        </w:rPr>
        <w:t> </w:t>
      </w:r>
      <w:r>
        <w:rPr>
          <w:color w:val="231F20"/>
        </w:rPr>
        <w:t>18</w:t>
      </w:r>
      <w:r>
        <w:rPr>
          <w:color w:val="231F20"/>
          <w:spacing w:val="-11"/>
        </w:rPr>
        <w:t> </w:t>
      </w:r>
      <w:r>
        <w:rPr>
          <w:color w:val="231F20"/>
        </w:rPr>
        <w:t>mm</w:t>
      </w:r>
      <w:r>
        <w:rPr>
          <w:color w:val="231F20"/>
          <w:spacing w:val="-11"/>
        </w:rPr>
        <w:t> </w:t>
      </w:r>
      <w:r>
        <w:rPr>
          <w:color w:val="231F20"/>
        </w:rPr>
        <w:t>de</w:t>
      </w:r>
      <w:r>
        <w:rPr>
          <w:color w:val="231F20"/>
          <w:spacing w:val="-11"/>
        </w:rPr>
        <w:t> </w:t>
      </w:r>
      <w:r>
        <w:rPr>
          <w:color w:val="231F20"/>
        </w:rPr>
        <w:t>largo,</w:t>
      </w:r>
      <w:r>
        <w:rPr>
          <w:color w:val="231F20"/>
          <w:spacing w:val="-11"/>
        </w:rPr>
        <w:t> </w:t>
      </w:r>
      <w:r>
        <w:rPr>
          <w:color w:val="231F20"/>
        </w:rPr>
        <w:t>la</w:t>
      </w:r>
      <w:r>
        <w:rPr>
          <w:color w:val="231F20"/>
          <w:spacing w:val="-11"/>
        </w:rPr>
        <w:t> </w:t>
      </w:r>
      <w:r>
        <w:rPr>
          <w:color w:val="231F20"/>
        </w:rPr>
        <w:t>mitad</w:t>
      </w:r>
      <w:r>
        <w:rPr>
          <w:color w:val="231F20"/>
          <w:spacing w:val="-11"/>
        </w:rPr>
        <w:t> </w:t>
      </w:r>
      <w:r>
        <w:rPr>
          <w:color w:val="231F20"/>
        </w:rPr>
        <w:t>incluida</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cúpula.</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Cerda</w:t>
      </w:r>
      <w:r>
        <w:rPr>
          <w:color w:val="231F20"/>
          <w:spacing w:val="-11"/>
        </w:rPr>
        <w:t> </w:t>
      </w:r>
      <w:r>
        <w:rPr>
          <w:color w:val="231F20"/>
        </w:rPr>
        <w:t>(1989), señala que esta es una de las especies con mayor dimorfismo</w:t>
      </w:r>
      <w:r>
        <w:rPr>
          <w:color w:val="231F20"/>
          <w:spacing w:val="-24"/>
        </w:rPr>
        <w:t> </w:t>
      </w:r>
      <w:r>
        <w:rPr>
          <w:color w:val="231F20"/>
        </w:rPr>
        <w:t>foliar.</w:t>
      </w:r>
    </w:p>
    <w:p>
      <w:pPr>
        <w:pStyle w:val="BodyText"/>
        <w:spacing w:before="10"/>
      </w:pPr>
    </w:p>
    <w:p>
      <w:pPr>
        <w:pStyle w:val="BodyText"/>
        <w:ind w:left="1270"/>
        <w:jc w:val="both"/>
      </w:pPr>
      <w:r>
        <w:rPr>
          <w:color w:val="231F20"/>
        </w:rPr>
        <w:t>Quercus laurina Humboldt et Bonpland</w:t>
      </w:r>
    </w:p>
    <w:p>
      <w:pPr>
        <w:pStyle w:val="BodyText"/>
        <w:spacing w:line="247" w:lineRule="auto" w:before="8"/>
        <w:ind w:left="1270" w:right="1267"/>
        <w:jc w:val="both"/>
      </w:pPr>
      <w:r>
        <w:rPr>
          <w:color w:val="231F20"/>
        </w:rPr>
        <w:t>Encino de 7 metros de altura, normalmente de 15 a 20 m, alcanzando hasta 30, con corteza color gris oscuro y ramificado a 1.5 m. con hojas pequeñas de 5 cm de largo x 1 cm de ancho, coriáceas, elípticas</w:t>
      </w:r>
      <w:r>
        <w:rPr>
          <w:color w:val="231F20"/>
          <w:spacing w:val="-5"/>
        </w:rPr>
        <w:t> </w:t>
      </w:r>
      <w:r>
        <w:rPr>
          <w:color w:val="231F20"/>
        </w:rPr>
        <w:t>u</w:t>
      </w:r>
      <w:r>
        <w:rPr>
          <w:color w:val="231F20"/>
          <w:spacing w:val="-5"/>
        </w:rPr>
        <w:t> </w:t>
      </w:r>
      <w:r>
        <w:rPr>
          <w:color w:val="231F20"/>
        </w:rPr>
        <w:t>ovado-lanceoladas</w:t>
      </w:r>
      <w:r>
        <w:rPr>
          <w:color w:val="231F20"/>
          <w:spacing w:val="-5"/>
        </w:rPr>
        <w:t> </w:t>
      </w:r>
      <w:r>
        <w:rPr>
          <w:color w:val="231F20"/>
        </w:rPr>
        <w:t>u</w:t>
      </w:r>
      <w:r>
        <w:rPr>
          <w:color w:val="231F20"/>
          <w:spacing w:val="-5"/>
        </w:rPr>
        <w:t> </w:t>
      </w:r>
      <w:r>
        <w:rPr>
          <w:color w:val="231F20"/>
        </w:rPr>
        <w:t>oblanceoladas</w:t>
      </w:r>
      <w:r>
        <w:rPr>
          <w:color w:val="231F20"/>
          <w:spacing w:val="-5"/>
        </w:rPr>
        <w:t> </w:t>
      </w:r>
      <w:r>
        <w:rPr>
          <w:color w:val="231F20"/>
        </w:rPr>
        <w:t>con</w:t>
      </w:r>
      <w:r>
        <w:rPr>
          <w:color w:val="231F20"/>
          <w:spacing w:val="-5"/>
        </w:rPr>
        <w:t> </w:t>
      </w:r>
      <w:r>
        <w:rPr>
          <w:color w:val="231F20"/>
        </w:rPr>
        <w:t>ápice</w:t>
      </w:r>
      <w:r>
        <w:rPr>
          <w:color w:val="231F20"/>
          <w:spacing w:val="-5"/>
        </w:rPr>
        <w:t> </w:t>
      </w:r>
      <w:r>
        <w:rPr>
          <w:color w:val="231F20"/>
        </w:rPr>
        <w:t>agudo</w:t>
      </w:r>
      <w:r>
        <w:rPr>
          <w:color w:val="231F20"/>
          <w:spacing w:val="-5"/>
        </w:rPr>
        <w:t> </w:t>
      </w:r>
      <w:r>
        <w:rPr>
          <w:color w:val="231F20"/>
        </w:rPr>
        <w:t>aristado,</w:t>
      </w:r>
      <w:r>
        <w:rPr>
          <w:color w:val="231F20"/>
          <w:spacing w:val="-5"/>
        </w:rPr>
        <w:t> </w:t>
      </w:r>
      <w:r>
        <w:rPr>
          <w:color w:val="231F20"/>
        </w:rPr>
        <w:t>haz</w:t>
      </w:r>
      <w:r>
        <w:rPr>
          <w:color w:val="231F20"/>
          <w:spacing w:val="-5"/>
        </w:rPr>
        <w:t> </w:t>
      </w:r>
      <w:r>
        <w:rPr>
          <w:color w:val="231F20"/>
        </w:rPr>
        <w:t>glabro</w:t>
      </w:r>
      <w:r>
        <w:rPr>
          <w:color w:val="231F20"/>
          <w:spacing w:val="-5"/>
        </w:rPr>
        <w:t> </w:t>
      </w:r>
      <w:r>
        <w:rPr>
          <w:color w:val="231F20"/>
        </w:rPr>
        <w:t>y</w:t>
      </w:r>
      <w:r>
        <w:rPr>
          <w:color w:val="231F20"/>
          <w:spacing w:val="-5"/>
        </w:rPr>
        <w:t> </w:t>
      </w:r>
      <w:r>
        <w:rPr>
          <w:color w:val="231F20"/>
        </w:rPr>
        <w:t>algo</w:t>
      </w:r>
      <w:r>
        <w:rPr>
          <w:color w:val="231F20"/>
          <w:spacing w:val="-5"/>
        </w:rPr>
        <w:t> </w:t>
      </w:r>
      <w:r>
        <w:rPr>
          <w:color w:val="231F20"/>
        </w:rPr>
        <w:t>lustroso</w:t>
      </w:r>
      <w:r>
        <w:rPr>
          <w:color w:val="231F20"/>
          <w:spacing w:val="-5"/>
        </w:rPr>
        <w:t> </w:t>
      </w:r>
      <w:r>
        <w:rPr>
          <w:color w:val="231F20"/>
        </w:rPr>
        <w:t>y envés con algunos mechones de pelos en las axilas o pelos estrellados. Su diámetro normal es hasta de</w:t>
      </w:r>
      <w:r>
        <w:rPr>
          <w:color w:val="231F20"/>
          <w:spacing w:val="-4"/>
        </w:rPr>
        <w:t> </w:t>
      </w:r>
      <w:r>
        <w:rPr>
          <w:color w:val="231F20"/>
        </w:rPr>
        <w:t>1</w:t>
      </w:r>
      <w:r>
        <w:rPr>
          <w:color w:val="231F20"/>
          <w:spacing w:val="-4"/>
        </w:rPr>
        <w:t> </w:t>
      </w:r>
      <w:r>
        <w:rPr>
          <w:color w:val="231F20"/>
        </w:rPr>
        <w:t>m.</w:t>
      </w:r>
      <w:r>
        <w:rPr>
          <w:color w:val="231F20"/>
          <w:spacing w:val="-4"/>
        </w:rPr>
        <w:t> </w:t>
      </w:r>
      <w:r>
        <w:rPr>
          <w:color w:val="231F20"/>
        </w:rPr>
        <w:t>Bellotas</w:t>
      </w:r>
      <w:r>
        <w:rPr>
          <w:color w:val="231F20"/>
          <w:spacing w:val="-4"/>
        </w:rPr>
        <w:t> </w:t>
      </w:r>
      <w:r>
        <w:rPr>
          <w:color w:val="231F20"/>
        </w:rPr>
        <w:t>bianuales,</w:t>
      </w:r>
      <w:r>
        <w:rPr>
          <w:color w:val="231F20"/>
          <w:spacing w:val="-4"/>
        </w:rPr>
        <w:t> </w:t>
      </w:r>
      <w:r>
        <w:rPr>
          <w:color w:val="231F20"/>
        </w:rPr>
        <w:t>solitarias</w:t>
      </w:r>
      <w:r>
        <w:rPr>
          <w:color w:val="231F20"/>
          <w:spacing w:val="-3"/>
        </w:rPr>
        <w:t> </w:t>
      </w:r>
      <w:r>
        <w:rPr>
          <w:color w:val="231F20"/>
        </w:rPr>
        <w:t>o</w:t>
      </w:r>
      <w:r>
        <w:rPr>
          <w:color w:val="231F20"/>
          <w:spacing w:val="-4"/>
        </w:rPr>
        <w:t> </w:t>
      </w:r>
      <w:r>
        <w:rPr>
          <w:color w:val="231F20"/>
        </w:rPr>
        <w:t>en</w:t>
      </w:r>
      <w:r>
        <w:rPr>
          <w:color w:val="231F20"/>
          <w:spacing w:val="-4"/>
        </w:rPr>
        <w:t> </w:t>
      </w:r>
      <w:r>
        <w:rPr>
          <w:color w:val="231F20"/>
        </w:rPr>
        <w:t>pares,</w:t>
      </w:r>
      <w:r>
        <w:rPr>
          <w:color w:val="231F20"/>
          <w:spacing w:val="-4"/>
        </w:rPr>
        <w:t> </w:t>
      </w:r>
      <w:r>
        <w:rPr>
          <w:color w:val="231F20"/>
        </w:rPr>
        <w:t>desarrolladas</w:t>
      </w:r>
      <w:r>
        <w:rPr>
          <w:color w:val="231F20"/>
          <w:spacing w:val="-4"/>
        </w:rPr>
        <w:t> </w:t>
      </w:r>
      <w:r>
        <w:rPr>
          <w:color w:val="231F20"/>
        </w:rPr>
        <w:t>en</w:t>
      </w:r>
      <w:r>
        <w:rPr>
          <w:color w:val="231F20"/>
          <w:spacing w:val="-4"/>
        </w:rPr>
        <w:t> </w:t>
      </w:r>
      <w:r>
        <w:rPr>
          <w:color w:val="231F20"/>
        </w:rPr>
        <w:t>pedúnculos</w:t>
      </w:r>
      <w:r>
        <w:rPr>
          <w:color w:val="231F20"/>
          <w:spacing w:val="-4"/>
        </w:rPr>
        <w:t> </w:t>
      </w:r>
      <w:r>
        <w:rPr>
          <w:color w:val="231F20"/>
        </w:rPr>
        <w:t>de</w:t>
      </w:r>
      <w:r>
        <w:rPr>
          <w:color w:val="231F20"/>
          <w:spacing w:val="-4"/>
        </w:rPr>
        <w:t> </w:t>
      </w:r>
      <w:r>
        <w:rPr>
          <w:color w:val="231F20"/>
        </w:rPr>
        <w:t>10</w:t>
      </w:r>
      <w:r>
        <w:rPr>
          <w:color w:val="231F20"/>
          <w:spacing w:val="-4"/>
        </w:rPr>
        <w:t> </w:t>
      </w:r>
      <w:r>
        <w:rPr>
          <w:color w:val="231F20"/>
        </w:rPr>
        <w:t>a</w:t>
      </w:r>
      <w:r>
        <w:rPr>
          <w:color w:val="231F20"/>
          <w:spacing w:val="-4"/>
        </w:rPr>
        <w:t> </w:t>
      </w:r>
      <w:r>
        <w:rPr>
          <w:color w:val="231F20"/>
        </w:rPr>
        <w:t>20</w:t>
      </w:r>
      <w:r>
        <w:rPr>
          <w:color w:val="231F20"/>
          <w:spacing w:val="-4"/>
        </w:rPr>
        <w:t> </w:t>
      </w:r>
      <w:r>
        <w:rPr>
          <w:color w:val="231F20"/>
        </w:rPr>
        <w:t>mm,</w:t>
      </w:r>
      <w:r>
        <w:rPr>
          <w:color w:val="231F20"/>
          <w:spacing w:val="-4"/>
        </w:rPr>
        <w:t> </w:t>
      </w:r>
      <w:r>
        <w:rPr>
          <w:color w:val="231F20"/>
        </w:rPr>
        <w:t>cúpula de 12 a 15 mm de ancho, nuez cortamente ovoide de 15 a 17 de largo por 10 a 20 mm de ancho, un tercio</w:t>
      </w:r>
      <w:r>
        <w:rPr>
          <w:color w:val="231F20"/>
          <w:spacing w:val="-10"/>
        </w:rPr>
        <w:t> </w:t>
      </w:r>
      <w:r>
        <w:rPr>
          <w:color w:val="231F20"/>
        </w:rPr>
        <w:t>incluida</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cúpula.</w:t>
      </w:r>
      <w:r>
        <w:rPr>
          <w:color w:val="231F20"/>
          <w:spacing w:val="-10"/>
        </w:rPr>
        <w:t> </w:t>
      </w:r>
      <w:r>
        <w:rPr>
          <w:color w:val="231F20"/>
        </w:rPr>
        <w:t>Existen</w:t>
      </w:r>
      <w:r>
        <w:rPr>
          <w:color w:val="231F20"/>
          <w:spacing w:val="-10"/>
        </w:rPr>
        <w:t> </w:t>
      </w:r>
      <w:r>
        <w:rPr>
          <w:color w:val="231F20"/>
        </w:rPr>
        <w:t>factores</w:t>
      </w:r>
      <w:r>
        <w:rPr>
          <w:color w:val="231F20"/>
          <w:spacing w:val="-10"/>
        </w:rPr>
        <w:t> </w:t>
      </w:r>
      <w:r>
        <w:rPr>
          <w:color w:val="231F20"/>
        </w:rPr>
        <w:t>que</w:t>
      </w:r>
      <w:r>
        <w:rPr>
          <w:color w:val="231F20"/>
          <w:spacing w:val="-10"/>
        </w:rPr>
        <w:t> </w:t>
      </w:r>
      <w:r>
        <w:rPr>
          <w:color w:val="231F20"/>
        </w:rPr>
        <w:t>dificultan</w:t>
      </w:r>
      <w:r>
        <w:rPr>
          <w:color w:val="231F20"/>
          <w:spacing w:val="-10"/>
        </w:rPr>
        <w:t> </w:t>
      </w:r>
      <w:r>
        <w:rPr>
          <w:color w:val="231F20"/>
        </w:rPr>
        <w:t>la</w:t>
      </w:r>
      <w:r>
        <w:rPr>
          <w:color w:val="231F20"/>
          <w:spacing w:val="-10"/>
        </w:rPr>
        <w:t> </w:t>
      </w:r>
      <w:r>
        <w:rPr>
          <w:color w:val="231F20"/>
        </w:rPr>
        <w:t>clasificación</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encinos</w:t>
      </w:r>
      <w:r>
        <w:rPr>
          <w:color w:val="231F20"/>
          <w:spacing w:val="-10"/>
        </w:rPr>
        <w:t> </w:t>
      </w:r>
      <w:r>
        <w:rPr>
          <w:color w:val="231F20"/>
        </w:rPr>
        <w:t>mexicanos, por ejemplo el aislamiento por largo tiempo en islas formadas en la montaña, se han originado eco- razas morfológicamente diferenciadas entre ellas. Müller (1994), señala que las especies mexicanas de</w:t>
      </w:r>
      <w:r>
        <w:rPr>
          <w:color w:val="231F20"/>
          <w:spacing w:val="-5"/>
        </w:rPr>
        <w:t> </w:t>
      </w:r>
      <w:r>
        <w:rPr>
          <w:color w:val="231F20"/>
        </w:rPr>
        <w:t>Quercus,</w:t>
      </w:r>
      <w:r>
        <w:rPr>
          <w:color w:val="231F20"/>
          <w:spacing w:val="-5"/>
        </w:rPr>
        <w:t> </w:t>
      </w:r>
      <w:r>
        <w:rPr>
          <w:color w:val="231F20"/>
        </w:rPr>
        <w:t>debido</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falta</w:t>
      </w:r>
      <w:r>
        <w:rPr>
          <w:color w:val="231F20"/>
          <w:spacing w:val="-5"/>
        </w:rPr>
        <w:t> </w:t>
      </w:r>
      <w:r>
        <w:rPr>
          <w:color w:val="231F20"/>
        </w:rPr>
        <w:t>de</w:t>
      </w:r>
      <w:r>
        <w:rPr>
          <w:color w:val="231F20"/>
          <w:spacing w:val="-5"/>
        </w:rPr>
        <w:t> </w:t>
      </w:r>
      <w:r>
        <w:rPr>
          <w:color w:val="231F20"/>
        </w:rPr>
        <w:t>marcadas</w:t>
      </w:r>
      <w:r>
        <w:rPr>
          <w:color w:val="231F20"/>
          <w:spacing w:val="-6"/>
        </w:rPr>
        <w:t> </w:t>
      </w:r>
      <w:r>
        <w:rPr>
          <w:color w:val="231F20"/>
        </w:rPr>
        <w:t>épocas</w:t>
      </w:r>
      <w:r>
        <w:rPr>
          <w:color w:val="231F20"/>
          <w:spacing w:val="-5"/>
        </w:rPr>
        <w:t> </w:t>
      </w:r>
      <w:r>
        <w:rPr>
          <w:color w:val="231F20"/>
        </w:rPr>
        <w:t>glaciales</w:t>
      </w:r>
      <w:r>
        <w:rPr>
          <w:color w:val="231F20"/>
          <w:spacing w:val="-5"/>
        </w:rPr>
        <w:t> </w:t>
      </w:r>
      <w:r>
        <w:rPr>
          <w:color w:val="231F20"/>
        </w:rPr>
        <w:t>y</w:t>
      </w:r>
      <w:r>
        <w:rPr>
          <w:color w:val="231F20"/>
          <w:spacing w:val="-5"/>
        </w:rPr>
        <w:t> </w:t>
      </w:r>
      <w:r>
        <w:rPr>
          <w:color w:val="231F20"/>
        </w:rPr>
        <w:t>barreras</w:t>
      </w:r>
      <w:r>
        <w:rPr>
          <w:color w:val="231F20"/>
          <w:spacing w:val="-5"/>
        </w:rPr>
        <w:t> </w:t>
      </w:r>
      <w:r>
        <w:rPr>
          <w:color w:val="231F20"/>
        </w:rPr>
        <w:t>que</w:t>
      </w:r>
      <w:r>
        <w:rPr>
          <w:color w:val="231F20"/>
          <w:spacing w:val="-5"/>
        </w:rPr>
        <w:t> </w:t>
      </w:r>
      <w:r>
        <w:rPr>
          <w:color w:val="231F20"/>
        </w:rPr>
        <w:t>impidieran</w:t>
      </w:r>
      <w:r>
        <w:rPr>
          <w:color w:val="231F20"/>
          <w:spacing w:val="-6"/>
        </w:rPr>
        <w:t> </w:t>
      </w:r>
      <w:r>
        <w:rPr>
          <w:color w:val="231F20"/>
        </w:rPr>
        <w:t>su</w:t>
      </w:r>
      <w:r>
        <w:rPr>
          <w:color w:val="231F20"/>
          <w:spacing w:val="-5"/>
        </w:rPr>
        <w:t> </w:t>
      </w:r>
      <w:r>
        <w:rPr>
          <w:color w:val="231F20"/>
        </w:rPr>
        <w:t>retroceso</w:t>
      </w:r>
      <w:r>
        <w:rPr>
          <w:color w:val="231F20"/>
          <w:spacing w:val="-5"/>
        </w:rPr>
        <w:t> </w:t>
      </w:r>
      <w:r>
        <w:rPr>
          <w:color w:val="231F20"/>
        </w:rPr>
        <w:t>no están</w:t>
      </w:r>
      <w:r>
        <w:rPr>
          <w:color w:val="231F20"/>
          <w:spacing w:val="-7"/>
        </w:rPr>
        <w:t> </w:t>
      </w:r>
      <w:r>
        <w:rPr>
          <w:color w:val="231F20"/>
        </w:rPr>
        <w:t>aún</w:t>
      </w:r>
      <w:r>
        <w:rPr>
          <w:color w:val="231F20"/>
          <w:spacing w:val="-7"/>
        </w:rPr>
        <w:t> </w:t>
      </w:r>
      <w:r>
        <w:rPr>
          <w:color w:val="231F20"/>
        </w:rPr>
        <w:t>diferenciadas</w:t>
      </w:r>
      <w:r>
        <w:rPr>
          <w:color w:val="231F20"/>
          <w:spacing w:val="-7"/>
        </w:rPr>
        <w:t> </w:t>
      </w:r>
      <w:r>
        <w:rPr>
          <w:color w:val="231F20"/>
        </w:rPr>
        <w:t>o</w:t>
      </w:r>
      <w:r>
        <w:rPr>
          <w:color w:val="231F20"/>
          <w:spacing w:val="-7"/>
        </w:rPr>
        <w:t> </w:t>
      </w:r>
      <w:r>
        <w:rPr>
          <w:color w:val="231F20"/>
        </w:rPr>
        <w:t>genéticamente</w:t>
      </w:r>
      <w:r>
        <w:rPr>
          <w:color w:val="231F20"/>
          <w:spacing w:val="-7"/>
        </w:rPr>
        <w:t> </w:t>
      </w:r>
      <w:r>
        <w:rPr>
          <w:color w:val="231F20"/>
        </w:rPr>
        <w:t>maduras.</w:t>
      </w:r>
      <w:r>
        <w:rPr>
          <w:color w:val="231F20"/>
          <w:spacing w:val="-11"/>
        </w:rPr>
        <w:t> </w:t>
      </w:r>
      <w:r>
        <w:rPr>
          <w:color w:val="231F20"/>
          <w:spacing w:val="-3"/>
        </w:rPr>
        <w:t>Valencia</w:t>
      </w:r>
      <w:r>
        <w:rPr>
          <w:color w:val="231F20"/>
          <w:spacing w:val="-7"/>
        </w:rPr>
        <w:t> </w:t>
      </w:r>
      <w:r>
        <w:rPr>
          <w:color w:val="231F20"/>
        </w:rPr>
        <w:t>et.</w:t>
      </w:r>
      <w:r>
        <w:rPr>
          <w:color w:val="231F20"/>
          <w:spacing w:val="-7"/>
        </w:rPr>
        <w:t> </w:t>
      </w:r>
      <w:r>
        <w:rPr>
          <w:color w:val="231F20"/>
        </w:rPr>
        <w:t>al.</w:t>
      </w:r>
      <w:r>
        <w:rPr>
          <w:color w:val="231F20"/>
          <w:spacing w:val="-7"/>
        </w:rPr>
        <w:t> </w:t>
      </w:r>
      <w:r>
        <w:rPr>
          <w:color w:val="231F20"/>
        </w:rPr>
        <w:t>(2002)</w:t>
      </w:r>
      <w:r>
        <w:rPr>
          <w:color w:val="231F20"/>
          <w:spacing w:val="-7"/>
        </w:rPr>
        <w:t> </w:t>
      </w:r>
      <w:r>
        <w:rPr>
          <w:color w:val="231F20"/>
        </w:rPr>
        <w:t>señala</w:t>
      </w:r>
      <w:r>
        <w:rPr>
          <w:color w:val="231F20"/>
          <w:spacing w:val="-7"/>
        </w:rPr>
        <w:t> </w:t>
      </w:r>
      <w:r>
        <w:rPr>
          <w:color w:val="231F20"/>
        </w:rPr>
        <w:t>la</w:t>
      </w:r>
      <w:r>
        <w:rPr>
          <w:color w:val="231F20"/>
          <w:spacing w:val="-7"/>
        </w:rPr>
        <w:t> </w:t>
      </w:r>
      <w:r>
        <w:rPr>
          <w:color w:val="231F20"/>
        </w:rPr>
        <w:t>dificultad</w:t>
      </w:r>
      <w:r>
        <w:rPr>
          <w:color w:val="231F20"/>
          <w:spacing w:val="-7"/>
        </w:rPr>
        <w:t> </w:t>
      </w:r>
      <w:r>
        <w:rPr>
          <w:color w:val="231F20"/>
        </w:rPr>
        <w:t>de</w:t>
      </w:r>
      <w:r>
        <w:rPr>
          <w:color w:val="231F20"/>
          <w:spacing w:val="-7"/>
        </w:rPr>
        <w:t> </w:t>
      </w:r>
      <w:r>
        <w:rPr>
          <w:color w:val="231F20"/>
        </w:rPr>
        <w:t>iden- tificar las especies de encinos debido a la plasticidad que presentan algunas especies, así como su capacidad de hibridación interespecífica. Así como la adaptación o modificaciones que las especies sufren debido a factores fitogeográficos y ambientales tales como el dimorfismo foliar. Esto ha pro- piciado la descripción repetida de algunas especies, siendo necesario reubicarlas en sus respectivas sinonimias</w:t>
      </w:r>
      <w:r>
        <w:rPr>
          <w:color w:val="231F20"/>
          <w:spacing w:val="-9"/>
        </w:rPr>
        <w:t> </w:t>
      </w:r>
      <w:r>
        <w:rPr>
          <w:color w:val="231F20"/>
        </w:rPr>
        <w:t>posteriormente.</w:t>
      </w:r>
    </w:p>
    <w:p>
      <w:pPr>
        <w:pStyle w:val="BodyText"/>
        <w:spacing w:before="10"/>
        <w:rPr>
          <w:sz w:val="22"/>
        </w:rPr>
      </w:pPr>
    </w:p>
    <w:p>
      <w:pPr>
        <w:pStyle w:val="Heading3"/>
      </w:pPr>
      <w:r>
        <w:rPr>
          <w:color w:val="010202"/>
        </w:rPr>
        <w:t>Conclusiones</w:t>
      </w:r>
    </w:p>
    <w:p>
      <w:pPr>
        <w:pStyle w:val="BodyText"/>
        <w:spacing w:before="10"/>
        <w:rPr>
          <w:b/>
        </w:rPr>
      </w:pPr>
    </w:p>
    <w:p>
      <w:pPr>
        <w:pStyle w:val="BodyText"/>
        <w:spacing w:line="247" w:lineRule="auto"/>
        <w:ind w:left="1270" w:right="1267"/>
        <w:jc w:val="both"/>
      </w:pPr>
      <w:r>
        <w:rPr>
          <w:color w:val="231F20"/>
        </w:rPr>
        <w:t>El estudio de los encinos se vuelve complejo toda vez que a nivel de especies hay mucha variación fenotípica.</w:t>
      </w:r>
      <w:r>
        <w:rPr>
          <w:color w:val="231F20"/>
          <w:spacing w:val="-3"/>
        </w:rPr>
        <w:t> </w:t>
      </w:r>
      <w:r>
        <w:rPr>
          <w:color w:val="231F20"/>
        </w:rPr>
        <w:t>Sin</w:t>
      </w:r>
      <w:r>
        <w:rPr>
          <w:color w:val="231F20"/>
          <w:spacing w:val="-2"/>
        </w:rPr>
        <w:t> </w:t>
      </w:r>
      <w:r>
        <w:rPr>
          <w:color w:val="231F20"/>
        </w:rPr>
        <w:t>embargo,</w:t>
      </w:r>
      <w:r>
        <w:rPr>
          <w:color w:val="231F20"/>
          <w:spacing w:val="-2"/>
        </w:rPr>
        <w:t> </w:t>
      </w:r>
      <w:r>
        <w:rPr>
          <w:color w:val="231F20"/>
        </w:rPr>
        <w:t>deben</w:t>
      </w:r>
      <w:r>
        <w:rPr>
          <w:color w:val="231F20"/>
          <w:spacing w:val="-2"/>
        </w:rPr>
        <w:t> </w:t>
      </w:r>
      <w:r>
        <w:rPr>
          <w:color w:val="231F20"/>
        </w:rPr>
        <w:t>hacerse</w:t>
      </w:r>
      <w:r>
        <w:rPr>
          <w:color w:val="231F20"/>
          <w:spacing w:val="-3"/>
        </w:rPr>
        <w:t> </w:t>
      </w:r>
      <w:r>
        <w:rPr>
          <w:color w:val="231F20"/>
        </w:rPr>
        <w:t>intentos</w:t>
      </w:r>
      <w:r>
        <w:rPr>
          <w:color w:val="231F20"/>
          <w:spacing w:val="-3"/>
        </w:rPr>
        <w:t> </w:t>
      </w:r>
      <w:r>
        <w:rPr>
          <w:color w:val="231F20"/>
        </w:rPr>
        <w:t>por</w:t>
      </w:r>
      <w:r>
        <w:rPr>
          <w:color w:val="231F20"/>
          <w:spacing w:val="-2"/>
        </w:rPr>
        <w:t> </w:t>
      </w:r>
      <w:r>
        <w:rPr>
          <w:color w:val="231F20"/>
        </w:rPr>
        <w:t>establecer</w:t>
      </w:r>
      <w:r>
        <w:rPr>
          <w:color w:val="231F20"/>
          <w:spacing w:val="-3"/>
        </w:rPr>
        <w:t> </w:t>
      </w:r>
      <w:r>
        <w:rPr>
          <w:color w:val="231F20"/>
        </w:rPr>
        <w:t>criterios</w:t>
      </w:r>
      <w:r>
        <w:rPr>
          <w:color w:val="231F20"/>
          <w:spacing w:val="-3"/>
        </w:rPr>
        <w:t> </w:t>
      </w:r>
      <w:r>
        <w:rPr>
          <w:color w:val="231F20"/>
        </w:rPr>
        <w:t>para</w:t>
      </w:r>
      <w:r>
        <w:rPr>
          <w:color w:val="231F20"/>
          <w:spacing w:val="-3"/>
        </w:rPr>
        <w:t> </w:t>
      </w:r>
      <w:r>
        <w:rPr>
          <w:color w:val="231F20"/>
        </w:rPr>
        <w:t>definir</w:t>
      </w:r>
      <w:r>
        <w:rPr>
          <w:color w:val="231F20"/>
          <w:spacing w:val="-3"/>
        </w:rPr>
        <w:t> </w:t>
      </w:r>
      <w:r>
        <w:rPr>
          <w:color w:val="231F20"/>
        </w:rPr>
        <w:t>el</w:t>
      </w:r>
      <w:r>
        <w:rPr>
          <w:color w:val="231F20"/>
          <w:spacing w:val="-3"/>
        </w:rPr>
        <w:t> </w:t>
      </w:r>
      <w:r>
        <w:rPr>
          <w:color w:val="231F20"/>
        </w:rPr>
        <w:t>estudio</w:t>
      </w:r>
      <w:r>
        <w:rPr>
          <w:color w:val="231F20"/>
          <w:spacing w:val="-3"/>
        </w:rPr>
        <w:t> </w:t>
      </w:r>
      <w:r>
        <w:rPr>
          <w:color w:val="231F20"/>
        </w:rPr>
        <w:t>de</w:t>
      </w:r>
      <w:r>
        <w:rPr>
          <w:color w:val="231F20"/>
          <w:spacing w:val="-3"/>
        </w:rPr>
        <w:t> </w:t>
      </w:r>
      <w:r>
        <w:rPr>
          <w:color w:val="231F20"/>
        </w:rPr>
        <w:t>las poblaciones de encinos. En general el estudio de los encinos requiere de mucho entusiasmo y dedi- cación para poder determinar las</w:t>
      </w:r>
      <w:r>
        <w:rPr>
          <w:color w:val="231F20"/>
          <w:spacing w:val="-2"/>
        </w:rPr>
        <w:t> </w:t>
      </w:r>
      <w:r>
        <w:rPr>
          <w:color w:val="231F20"/>
        </w:rPr>
        <w:t>especies.</w:t>
      </w:r>
    </w:p>
    <w:p>
      <w:pPr>
        <w:pStyle w:val="BodyText"/>
        <w:spacing w:line="247" w:lineRule="auto" w:before="1"/>
        <w:ind w:left="1270" w:right="1268"/>
        <w:jc w:val="both"/>
      </w:pPr>
      <w:r>
        <w:rPr>
          <w:color w:val="231F20"/>
        </w:rPr>
        <w:t>Considerando que muchas poblaciones de encinos pueden desaparecer por su explotación o la del terreno que los sustenta, solo han quedado pequeños manchones reducidos o árboles aislados, por  lo que es importante su conocimiento, así como la creación de programas que tengan como fin su conservación.</w:t>
      </w:r>
    </w:p>
    <w:p>
      <w:pPr>
        <w:pStyle w:val="BodyText"/>
        <w:spacing w:before="9"/>
        <w:rPr>
          <w:sz w:val="22"/>
        </w:rPr>
      </w:pPr>
    </w:p>
    <w:p>
      <w:pPr>
        <w:pStyle w:val="Heading3"/>
      </w:pPr>
      <w:r>
        <w:rPr>
          <w:color w:val="010202"/>
        </w:rPr>
        <w:t>Literatura citada</w:t>
      </w:r>
    </w:p>
    <w:p>
      <w:pPr>
        <w:pStyle w:val="BodyText"/>
        <w:spacing w:before="7"/>
        <w:rPr>
          <w:b/>
        </w:rPr>
      </w:pPr>
    </w:p>
    <w:p>
      <w:pPr>
        <w:spacing w:line="249" w:lineRule="auto" w:before="0"/>
        <w:ind w:left="1270" w:right="4007" w:firstLine="0"/>
        <w:jc w:val="left"/>
        <w:rPr>
          <w:sz w:val="19"/>
        </w:rPr>
      </w:pPr>
      <w:r>
        <w:rPr>
          <w:color w:val="231F20"/>
          <w:sz w:val="19"/>
        </w:rPr>
        <w:t>Anónimo, 2009. Flora of North América. Disponible en: </w:t>
      </w:r>
      <w:hyperlink r:id="rId124">
        <w:r>
          <w:rPr>
            <w:color w:val="231F20"/>
            <w:sz w:val="19"/>
          </w:rPr>
          <w:t>http://www.efloras.org/florataxon.aspx?flora_id=1&amp;taxon_id=233501028</w:t>
        </w:r>
      </w:hyperlink>
    </w:p>
    <w:p>
      <w:pPr>
        <w:spacing w:after="0" w:line="249" w:lineRule="auto"/>
        <w:jc w:val="left"/>
        <w:rPr>
          <w:sz w:val="19"/>
        </w:rPr>
        <w:sectPr>
          <w:pgSz w:w="10920" w:h="13080"/>
          <w:pgMar w:header="0" w:footer="965" w:top="420" w:bottom="1220" w:left="0" w:right="0"/>
        </w:sectPr>
      </w:pPr>
    </w:p>
    <w:p>
      <w:pPr>
        <w:pStyle w:val="BodyText"/>
        <w:rPr>
          <w:sz w:val="20"/>
        </w:rPr>
      </w:pPr>
    </w:p>
    <w:p>
      <w:pPr>
        <w:pStyle w:val="BodyText"/>
        <w:rPr>
          <w:sz w:val="20"/>
        </w:rPr>
      </w:pPr>
    </w:p>
    <w:p>
      <w:pPr>
        <w:pStyle w:val="BodyText"/>
        <w:spacing w:before="2"/>
        <w:rPr>
          <w:sz w:val="23"/>
        </w:rPr>
      </w:pPr>
    </w:p>
    <w:p>
      <w:pPr>
        <w:spacing w:line="249" w:lineRule="auto" w:before="76"/>
        <w:ind w:left="1270" w:right="1267" w:firstLine="0"/>
        <w:jc w:val="both"/>
        <w:rPr>
          <w:sz w:val="19"/>
        </w:rPr>
      </w:pPr>
      <w:r>
        <w:rPr>
          <w:color w:val="231F20"/>
          <w:sz w:val="19"/>
        </w:rPr>
        <w:t>Ávalos,</w:t>
      </w:r>
      <w:r>
        <w:rPr>
          <w:color w:val="231F20"/>
          <w:spacing w:val="-6"/>
          <w:sz w:val="19"/>
        </w:rPr>
        <w:t> </w:t>
      </w:r>
      <w:r>
        <w:rPr>
          <w:color w:val="231F20"/>
          <w:sz w:val="19"/>
        </w:rPr>
        <w:t>O.</w:t>
      </w:r>
      <w:r>
        <w:rPr>
          <w:color w:val="231F20"/>
          <w:spacing w:val="-6"/>
          <w:sz w:val="19"/>
        </w:rPr>
        <w:t> </w:t>
      </w:r>
      <w:r>
        <w:rPr>
          <w:color w:val="231F20"/>
          <w:sz w:val="19"/>
        </w:rPr>
        <w:t>I.</w:t>
      </w:r>
      <w:r>
        <w:rPr>
          <w:color w:val="231F20"/>
          <w:spacing w:val="-6"/>
          <w:sz w:val="19"/>
        </w:rPr>
        <w:t> </w:t>
      </w:r>
      <w:r>
        <w:rPr>
          <w:color w:val="231F20"/>
          <w:sz w:val="19"/>
        </w:rPr>
        <w:t>1985.</w:t>
      </w:r>
      <w:r>
        <w:rPr>
          <w:color w:val="231F20"/>
          <w:spacing w:val="-16"/>
          <w:sz w:val="19"/>
        </w:rPr>
        <w:t> </w:t>
      </w:r>
      <w:r>
        <w:rPr>
          <w:color w:val="231F20"/>
          <w:sz w:val="19"/>
        </w:rPr>
        <w:t>Aprovechamiento</w:t>
      </w:r>
      <w:r>
        <w:rPr>
          <w:color w:val="231F20"/>
          <w:spacing w:val="-5"/>
          <w:sz w:val="19"/>
        </w:rPr>
        <w:t> </w:t>
      </w:r>
      <w:r>
        <w:rPr>
          <w:color w:val="231F20"/>
          <w:sz w:val="19"/>
        </w:rPr>
        <w:t>del</w:t>
      </w:r>
      <w:r>
        <w:rPr>
          <w:color w:val="231F20"/>
          <w:spacing w:val="-6"/>
          <w:sz w:val="19"/>
        </w:rPr>
        <w:t> </w:t>
      </w:r>
      <w:r>
        <w:rPr>
          <w:color w:val="231F20"/>
          <w:sz w:val="19"/>
        </w:rPr>
        <w:t>encino</w:t>
      </w:r>
      <w:r>
        <w:rPr>
          <w:color w:val="231F20"/>
          <w:spacing w:val="-6"/>
          <w:sz w:val="19"/>
        </w:rPr>
        <w:t> </w:t>
      </w:r>
      <w:r>
        <w:rPr>
          <w:color w:val="231F20"/>
          <w:sz w:val="19"/>
        </w:rPr>
        <w:t>en</w:t>
      </w:r>
      <w:r>
        <w:rPr>
          <w:color w:val="231F20"/>
          <w:spacing w:val="-6"/>
          <w:sz w:val="19"/>
        </w:rPr>
        <w:t> </w:t>
      </w:r>
      <w:r>
        <w:rPr>
          <w:color w:val="231F20"/>
          <w:sz w:val="19"/>
        </w:rPr>
        <w:t>el</w:t>
      </w:r>
      <w:r>
        <w:rPr>
          <w:color w:val="231F20"/>
          <w:spacing w:val="-6"/>
          <w:sz w:val="19"/>
        </w:rPr>
        <w:t> </w:t>
      </w:r>
      <w:r>
        <w:rPr>
          <w:color w:val="231F20"/>
          <w:sz w:val="19"/>
        </w:rPr>
        <w:t>estado</w:t>
      </w:r>
      <w:r>
        <w:rPr>
          <w:color w:val="231F20"/>
          <w:spacing w:val="-6"/>
          <w:sz w:val="19"/>
        </w:rPr>
        <w:t> </w:t>
      </w:r>
      <w:r>
        <w:rPr>
          <w:color w:val="231F20"/>
          <w:sz w:val="19"/>
        </w:rPr>
        <w:t>de</w:t>
      </w:r>
      <w:r>
        <w:rPr>
          <w:color w:val="231F20"/>
          <w:spacing w:val="-6"/>
          <w:sz w:val="19"/>
        </w:rPr>
        <w:t> </w:t>
      </w:r>
      <w:r>
        <w:rPr>
          <w:color w:val="231F20"/>
          <w:sz w:val="19"/>
        </w:rPr>
        <w:t>San</w:t>
      </w:r>
      <w:r>
        <w:rPr>
          <w:color w:val="231F20"/>
          <w:spacing w:val="-6"/>
          <w:sz w:val="19"/>
        </w:rPr>
        <w:t> </w:t>
      </w:r>
      <w:r>
        <w:rPr>
          <w:color w:val="231F20"/>
          <w:sz w:val="19"/>
        </w:rPr>
        <w:t>Luis</w:t>
      </w:r>
      <w:r>
        <w:rPr>
          <w:color w:val="231F20"/>
          <w:spacing w:val="-6"/>
          <w:sz w:val="19"/>
        </w:rPr>
        <w:t> </w:t>
      </w:r>
      <w:r>
        <w:rPr>
          <w:color w:val="231F20"/>
          <w:sz w:val="19"/>
        </w:rPr>
        <w:t>Potosí.</w:t>
      </w:r>
      <w:r>
        <w:rPr>
          <w:color w:val="231F20"/>
          <w:spacing w:val="-6"/>
          <w:sz w:val="19"/>
        </w:rPr>
        <w:t> </w:t>
      </w:r>
      <w:r>
        <w:rPr>
          <w:color w:val="231F20"/>
          <w:sz w:val="19"/>
        </w:rPr>
        <w:t>In:</w:t>
      </w:r>
      <w:r>
        <w:rPr>
          <w:color w:val="231F20"/>
          <w:spacing w:val="-6"/>
          <w:sz w:val="19"/>
        </w:rPr>
        <w:t> </w:t>
      </w:r>
      <w:r>
        <w:rPr>
          <w:color w:val="231F20"/>
          <w:sz w:val="19"/>
        </w:rPr>
        <w:t>Memoria</w:t>
      </w:r>
      <w:r>
        <w:rPr>
          <w:color w:val="231F20"/>
          <w:spacing w:val="-6"/>
          <w:sz w:val="19"/>
        </w:rPr>
        <w:t> </w:t>
      </w:r>
      <w:r>
        <w:rPr>
          <w:color w:val="231F20"/>
          <w:sz w:val="19"/>
        </w:rPr>
        <w:t>del</w:t>
      </w:r>
      <w:r>
        <w:rPr>
          <w:color w:val="231F20"/>
          <w:spacing w:val="-6"/>
          <w:sz w:val="19"/>
        </w:rPr>
        <w:t> </w:t>
      </w:r>
      <w:r>
        <w:rPr>
          <w:color w:val="231F20"/>
          <w:sz w:val="19"/>
        </w:rPr>
        <w:t>II</w:t>
      </w:r>
      <w:r>
        <w:rPr>
          <w:color w:val="231F20"/>
          <w:spacing w:val="-6"/>
          <w:sz w:val="19"/>
        </w:rPr>
        <w:t> </w:t>
      </w:r>
      <w:r>
        <w:rPr>
          <w:color w:val="231F20"/>
          <w:sz w:val="19"/>
        </w:rPr>
        <w:t>Seminario Nacional</w:t>
      </w:r>
      <w:r>
        <w:rPr>
          <w:color w:val="231F20"/>
          <w:spacing w:val="-11"/>
          <w:sz w:val="19"/>
        </w:rPr>
        <w:t> </w:t>
      </w:r>
      <w:r>
        <w:rPr>
          <w:color w:val="231F20"/>
          <w:sz w:val="19"/>
        </w:rPr>
        <w:t>Sobre</w:t>
      </w:r>
      <w:r>
        <w:rPr>
          <w:color w:val="231F20"/>
          <w:spacing w:val="-11"/>
          <w:sz w:val="19"/>
        </w:rPr>
        <w:t> </w:t>
      </w:r>
      <w:r>
        <w:rPr>
          <w:color w:val="231F20"/>
          <w:sz w:val="19"/>
        </w:rPr>
        <w:t>Utilización</w:t>
      </w:r>
      <w:r>
        <w:rPr>
          <w:color w:val="231F20"/>
          <w:spacing w:val="-11"/>
          <w:sz w:val="19"/>
        </w:rPr>
        <w:t> </w:t>
      </w:r>
      <w:r>
        <w:rPr>
          <w:color w:val="231F20"/>
          <w:sz w:val="19"/>
        </w:rPr>
        <w:t>de</w:t>
      </w:r>
      <w:r>
        <w:rPr>
          <w:color w:val="231F20"/>
          <w:spacing w:val="-12"/>
          <w:sz w:val="19"/>
        </w:rPr>
        <w:t> </w:t>
      </w:r>
      <w:r>
        <w:rPr>
          <w:color w:val="231F20"/>
          <w:sz w:val="19"/>
        </w:rPr>
        <w:t>Encinos.</w:t>
      </w:r>
      <w:r>
        <w:rPr>
          <w:color w:val="231F20"/>
          <w:spacing w:val="-12"/>
          <w:sz w:val="19"/>
        </w:rPr>
        <w:t> </w:t>
      </w:r>
      <w:r>
        <w:rPr>
          <w:color w:val="231F20"/>
          <w:sz w:val="19"/>
        </w:rPr>
        <w:t>Secretaría</w:t>
      </w:r>
      <w:r>
        <w:rPr>
          <w:color w:val="231F20"/>
          <w:spacing w:val="-11"/>
          <w:sz w:val="19"/>
        </w:rPr>
        <w:t> </w:t>
      </w:r>
      <w:r>
        <w:rPr>
          <w:color w:val="231F20"/>
          <w:sz w:val="19"/>
        </w:rPr>
        <w:t>de</w:t>
      </w:r>
      <w:r>
        <w:rPr>
          <w:color w:val="231F20"/>
          <w:spacing w:val="-21"/>
          <w:sz w:val="19"/>
        </w:rPr>
        <w:t> </w:t>
      </w:r>
      <w:r>
        <w:rPr>
          <w:color w:val="231F20"/>
          <w:sz w:val="19"/>
        </w:rPr>
        <w:t>Agricultura</w:t>
      </w:r>
      <w:r>
        <w:rPr>
          <w:color w:val="231F20"/>
          <w:spacing w:val="-11"/>
          <w:sz w:val="19"/>
        </w:rPr>
        <w:t> </w:t>
      </w:r>
      <w:r>
        <w:rPr>
          <w:color w:val="231F20"/>
          <w:sz w:val="19"/>
        </w:rPr>
        <w:t>y</w:t>
      </w:r>
      <w:r>
        <w:rPr>
          <w:color w:val="231F20"/>
          <w:spacing w:val="-12"/>
          <w:sz w:val="19"/>
        </w:rPr>
        <w:t> </w:t>
      </w:r>
      <w:r>
        <w:rPr>
          <w:color w:val="231F20"/>
          <w:sz w:val="19"/>
        </w:rPr>
        <w:t>Recursos</w:t>
      </w:r>
      <w:r>
        <w:rPr>
          <w:color w:val="231F20"/>
          <w:spacing w:val="-12"/>
          <w:sz w:val="19"/>
        </w:rPr>
        <w:t> </w:t>
      </w:r>
      <w:r>
        <w:rPr>
          <w:color w:val="231F20"/>
          <w:sz w:val="19"/>
        </w:rPr>
        <w:t>Hidráulicos.</w:t>
      </w:r>
      <w:r>
        <w:rPr>
          <w:color w:val="231F20"/>
          <w:spacing w:val="-11"/>
          <w:sz w:val="19"/>
        </w:rPr>
        <w:t> </w:t>
      </w:r>
      <w:r>
        <w:rPr>
          <w:color w:val="231F20"/>
          <w:sz w:val="19"/>
        </w:rPr>
        <w:t>Publicación</w:t>
      </w:r>
      <w:r>
        <w:rPr>
          <w:color w:val="231F20"/>
          <w:spacing w:val="-11"/>
          <w:sz w:val="19"/>
        </w:rPr>
        <w:t> </w:t>
      </w:r>
      <w:r>
        <w:rPr>
          <w:color w:val="231F20"/>
          <w:sz w:val="19"/>
        </w:rPr>
        <w:t>Especial Núm. 49. México, </w:t>
      </w:r>
      <w:r>
        <w:rPr>
          <w:color w:val="231F20"/>
          <w:spacing w:val="-4"/>
          <w:sz w:val="19"/>
        </w:rPr>
        <w:t>D.F. </w:t>
      </w:r>
      <w:r>
        <w:rPr>
          <w:color w:val="231F20"/>
          <w:sz w:val="19"/>
        </w:rPr>
        <w:t>pp.</w:t>
      </w:r>
      <w:r>
        <w:rPr>
          <w:color w:val="231F20"/>
          <w:spacing w:val="3"/>
          <w:sz w:val="19"/>
        </w:rPr>
        <w:t> </w:t>
      </w:r>
      <w:r>
        <w:rPr>
          <w:color w:val="231F20"/>
          <w:sz w:val="19"/>
        </w:rPr>
        <w:t>204-213.</w:t>
      </w:r>
    </w:p>
    <w:p>
      <w:pPr>
        <w:pStyle w:val="BodyText"/>
        <w:spacing w:before="10"/>
        <w:rPr>
          <w:sz w:val="19"/>
        </w:rPr>
      </w:pPr>
    </w:p>
    <w:p>
      <w:pPr>
        <w:spacing w:line="249" w:lineRule="auto" w:before="0"/>
        <w:ind w:left="1270" w:right="1267" w:firstLine="0"/>
        <w:jc w:val="both"/>
        <w:rPr>
          <w:sz w:val="19"/>
        </w:rPr>
      </w:pPr>
      <w:r>
        <w:rPr>
          <w:color w:val="231F20"/>
          <w:sz w:val="19"/>
        </w:rPr>
        <w:t>Bárcenas, </w:t>
      </w:r>
      <w:r>
        <w:rPr>
          <w:color w:val="231F20"/>
          <w:spacing w:val="-11"/>
          <w:sz w:val="19"/>
        </w:rPr>
        <w:t>P. </w:t>
      </w:r>
      <w:r>
        <w:rPr>
          <w:color w:val="231F20"/>
          <w:sz w:val="19"/>
        </w:rPr>
        <w:t>G. 1985. Estado actual del conocimiento de la madera de encino. In: Memoria del II Seminario Nacional</w:t>
      </w:r>
      <w:r>
        <w:rPr>
          <w:color w:val="231F20"/>
          <w:spacing w:val="-11"/>
          <w:sz w:val="19"/>
        </w:rPr>
        <w:t> </w:t>
      </w:r>
      <w:r>
        <w:rPr>
          <w:color w:val="231F20"/>
          <w:sz w:val="19"/>
        </w:rPr>
        <w:t>Sobre</w:t>
      </w:r>
      <w:r>
        <w:rPr>
          <w:color w:val="231F20"/>
          <w:spacing w:val="-11"/>
          <w:sz w:val="19"/>
        </w:rPr>
        <w:t> </w:t>
      </w:r>
      <w:r>
        <w:rPr>
          <w:color w:val="231F20"/>
          <w:sz w:val="19"/>
        </w:rPr>
        <w:t>Utilización</w:t>
      </w:r>
      <w:r>
        <w:rPr>
          <w:color w:val="231F20"/>
          <w:spacing w:val="-11"/>
          <w:sz w:val="19"/>
        </w:rPr>
        <w:t> </w:t>
      </w:r>
      <w:r>
        <w:rPr>
          <w:color w:val="231F20"/>
          <w:sz w:val="19"/>
        </w:rPr>
        <w:t>de</w:t>
      </w:r>
      <w:r>
        <w:rPr>
          <w:color w:val="231F20"/>
          <w:spacing w:val="-12"/>
          <w:sz w:val="19"/>
        </w:rPr>
        <w:t> </w:t>
      </w:r>
      <w:r>
        <w:rPr>
          <w:color w:val="231F20"/>
          <w:sz w:val="19"/>
        </w:rPr>
        <w:t>Encinos.</w:t>
      </w:r>
      <w:r>
        <w:rPr>
          <w:color w:val="231F20"/>
          <w:spacing w:val="-12"/>
          <w:sz w:val="19"/>
        </w:rPr>
        <w:t> </w:t>
      </w:r>
      <w:r>
        <w:rPr>
          <w:color w:val="231F20"/>
          <w:sz w:val="19"/>
        </w:rPr>
        <w:t>Secretaría</w:t>
      </w:r>
      <w:r>
        <w:rPr>
          <w:color w:val="231F20"/>
          <w:spacing w:val="-11"/>
          <w:sz w:val="19"/>
        </w:rPr>
        <w:t> </w:t>
      </w:r>
      <w:r>
        <w:rPr>
          <w:color w:val="231F20"/>
          <w:sz w:val="19"/>
        </w:rPr>
        <w:t>de</w:t>
      </w:r>
      <w:r>
        <w:rPr>
          <w:color w:val="231F20"/>
          <w:spacing w:val="-21"/>
          <w:sz w:val="19"/>
        </w:rPr>
        <w:t> </w:t>
      </w:r>
      <w:r>
        <w:rPr>
          <w:color w:val="231F20"/>
          <w:sz w:val="19"/>
        </w:rPr>
        <w:t>Agricultura</w:t>
      </w:r>
      <w:r>
        <w:rPr>
          <w:color w:val="231F20"/>
          <w:spacing w:val="-11"/>
          <w:sz w:val="19"/>
        </w:rPr>
        <w:t> </w:t>
      </w:r>
      <w:r>
        <w:rPr>
          <w:color w:val="231F20"/>
          <w:sz w:val="19"/>
        </w:rPr>
        <w:t>y</w:t>
      </w:r>
      <w:r>
        <w:rPr>
          <w:color w:val="231F20"/>
          <w:spacing w:val="-12"/>
          <w:sz w:val="19"/>
        </w:rPr>
        <w:t> </w:t>
      </w:r>
      <w:r>
        <w:rPr>
          <w:color w:val="231F20"/>
          <w:sz w:val="19"/>
        </w:rPr>
        <w:t>Recursos</w:t>
      </w:r>
      <w:r>
        <w:rPr>
          <w:color w:val="231F20"/>
          <w:spacing w:val="-12"/>
          <w:sz w:val="19"/>
        </w:rPr>
        <w:t> </w:t>
      </w:r>
      <w:r>
        <w:rPr>
          <w:color w:val="231F20"/>
          <w:sz w:val="19"/>
        </w:rPr>
        <w:t>Hidráulicos.</w:t>
      </w:r>
      <w:r>
        <w:rPr>
          <w:color w:val="231F20"/>
          <w:spacing w:val="-11"/>
          <w:sz w:val="19"/>
        </w:rPr>
        <w:t> </w:t>
      </w:r>
      <w:r>
        <w:rPr>
          <w:color w:val="231F20"/>
          <w:sz w:val="19"/>
        </w:rPr>
        <w:t>Publicación</w:t>
      </w:r>
      <w:r>
        <w:rPr>
          <w:color w:val="231F20"/>
          <w:spacing w:val="-11"/>
          <w:sz w:val="19"/>
        </w:rPr>
        <w:t> </w:t>
      </w:r>
      <w:r>
        <w:rPr>
          <w:color w:val="231F20"/>
          <w:sz w:val="19"/>
        </w:rPr>
        <w:t>Especial Núm. 49. México, </w:t>
      </w:r>
      <w:r>
        <w:rPr>
          <w:color w:val="231F20"/>
          <w:spacing w:val="-4"/>
          <w:sz w:val="19"/>
        </w:rPr>
        <w:t>D.F. </w:t>
      </w:r>
      <w:r>
        <w:rPr>
          <w:color w:val="231F20"/>
          <w:sz w:val="19"/>
        </w:rPr>
        <w:t>pp.</w:t>
      </w:r>
      <w:r>
        <w:rPr>
          <w:color w:val="231F20"/>
          <w:spacing w:val="3"/>
          <w:sz w:val="19"/>
        </w:rPr>
        <w:t> </w:t>
      </w:r>
      <w:r>
        <w:rPr>
          <w:color w:val="231F20"/>
          <w:sz w:val="19"/>
        </w:rPr>
        <w:t>238-276.</w:t>
      </w:r>
    </w:p>
    <w:p>
      <w:pPr>
        <w:pStyle w:val="BodyText"/>
        <w:spacing w:before="10"/>
        <w:rPr>
          <w:sz w:val="19"/>
        </w:rPr>
      </w:pPr>
    </w:p>
    <w:p>
      <w:pPr>
        <w:spacing w:before="0"/>
        <w:ind w:left="1270" w:right="0" w:firstLine="0"/>
        <w:jc w:val="both"/>
        <w:rPr>
          <w:sz w:val="19"/>
        </w:rPr>
      </w:pPr>
      <w:r>
        <w:rPr>
          <w:color w:val="231F20"/>
          <w:sz w:val="19"/>
        </w:rPr>
        <w:t>Castillo, L. P., Flores C. J. A., Aguirre R. J. R. y Yeaton H. R. I. 2008. Dinámica sucesional del encinar de la</w:t>
      </w:r>
    </w:p>
    <w:p>
      <w:pPr>
        <w:spacing w:before="9"/>
        <w:ind w:left="1270" w:right="0" w:firstLine="0"/>
        <w:jc w:val="both"/>
        <w:rPr>
          <w:sz w:val="19"/>
        </w:rPr>
      </w:pPr>
      <w:r>
        <w:rPr>
          <w:color w:val="231F20"/>
          <w:sz w:val="19"/>
        </w:rPr>
        <w:t>Sierra de Álvarez, San Luís Potosí, México. Madera y Bosques. 14 (01): 21-35.</w:t>
      </w:r>
    </w:p>
    <w:p>
      <w:pPr>
        <w:pStyle w:val="BodyText"/>
        <w:spacing w:before="7"/>
        <w:rPr>
          <w:sz w:val="20"/>
        </w:rPr>
      </w:pPr>
    </w:p>
    <w:p>
      <w:pPr>
        <w:spacing w:line="249" w:lineRule="auto" w:before="0"/>
        <w:ind w:left="1270" w:right="1268" w:firstLine="0"/>
        <w:jc w:val="both"/>
        <w:rPr>
          <w:sz w:val="19"/>
        </w:rPr>
      </w:pPr>
      <w:r>
        <w:rPr>
          <w:color w:val="231F20"/>
          <w:sz w:val="19"/>
        </w:rPr>
        <w:t>De la Cerda, L. M. 1989. Encinos de Aguascalientes. Universidad Autónoma de Aguascalientes.</w:t>
      </w:r>
      <w:r>
        <w:rPr>
          <w:color w:val="231F20"/>
          <w:spacing w:val="-15"/>
          <w:sz w:val="19"/>
        </w:rPr>
        <w:t> </w:t>
      </w:r>
      <w:r>
        <w:rPr>
          <w:color w:val="231F20"/>
          <w:sz w:val="19"/>
        </w:rPr>
        <w:t>Aguascalien- tes, México. 84</w:t>
      </w:r>
      <w:r>
        <w:rPr>
          <w:color w:val="231F20"/>
          <w:spacing w:val="-7"/>
          <w:sz w:val="19"/>
        </w:rPr>
        <w:t> </w:t>
      </w:r>
      <w:r>
        <w:rPr>
          <w:color w:val="231F20"/>
          <w:sz w:val="19"/>
        </w:rPr>
        <w:t>p.</w:t>
      </w:r>
    </w:p>
    <w:p>
      <w:pPr>
        <w:pStyle w:val="BodyText"/>
        <w:spacing w:before="10"/>
        <w:rPr>
          <w:sz w:val="19"/>
        </w:rPr>
      </w:pPr>
    </w:p>
    <w:p>
      <w:pPr>
        <w:spacing w:line="249" w:lineRule="auto" w:before="0"/>
        <w:ind w:left="1270" w:right="1268" w:firstLine="0"/>
        <w:jc w:val="both"/>
        <w:rPr>
          <w:sz w:val="19"/>
        </w:rPr>
      </w:pPr>
      <w:r>
        <w:rPr>
          <w:color w:val="231F20"/>
          <w:sz w:val="19"/>
        </w:rPr>
        <w:t>International Oak Society. 2009. Report from the Oak ICRA checklist. In: </w:t>
      </w:r>
      <w:hyperlink r:id="rId125">
        <w:r>
          <w:rPr>
            <w:color w:val="231F20"/>
            <w:sz w:val="19"/>
          </w:rPr>
          <w:t>http://www.oaknames.org/search/</w:t>
        </w:r>
      </w:hyperlink>
      <w:r>
        <w:rPr>
          <w:color w:val="231F20"/>
          <w:sz w:val="19"/>
        </w:rPr>
        <w:t> fullname.asp?id=297</w:t>
      </w:r>
    </w:p>
    <w:p>
      <w:pPr>
        <w:pStyle w:val="BodyText"/>
        <w:spacing w:before="10"/>
        <w:rPr>
          <w:sz w:val="19"/>
        </w:rPr>
      </w:pPr>
    </w:p>
    <w:p>
      <w:pPr>
        <w:spacing w:line="249" w:lineRule="auto" w:before="0"/>
        <w:ind w:left="1270" w:right="1268" w:firstLine="0"/>
        <w:jc w:val="both"/>
        <w:rPr>
          <w:sz w:val="19"/>
        </w:rPr>
      </w:pPr>
      <w:r>
        <w:rPr>
          <w:color w:val="231F20"/>
          <w:sz w:val="19"/>
        </w:rPr>
        <w:t>Marroquín, </w:t>
      </w:r>
      <w:r>
        <w:rPr>
          <w:color w:val="231F20"/>
          <w:spacing w:val="-8"/>
          <w:sz w:val="19"/>
        </w:rPr>
        <w:t>F. </w:t>
      </w:r>
      <w:r>
        <w:rPr>
          <w:color w:val="231F20"/>
          <w:sz w:val="19"/>
        </w:rPr>
        <w:t>R. A. 1985. El género Quercus al Noroeste del Estado de Nuevo León. In: Memoria del II Se- minario</w:t>
      </w:r>
      <w:r>
        <w:rPr>
          <w:color w:val="231F20"/>
          <w:spacing w:val="-8"/>
          <w:sz w:val="19"/>
        </w:rPr>
        <w:t> </w:t>
      </w:r>
      <w:r>
        <w:rPr>
          <w:color w:val="231F20"/>
          <w:sz w:val="19"/>
        </w:rPr>
        <w:t>Nacional</w:t>
      </w:r>
      <w:r>
        <w:rPr>
          <w:color w:val="231F20"/>
          <w:spacing w:val="-7"/>
          <w:sz w:val="19"/>
        </w:rPr>
        <w:t> </w:t>
      </w:r>
      <w:r>
        <w:rPr>
          <w:color w:val="231F20"/>
          <w:sz w:val="19"/>
        </w:rPr>
        <w:t>Sobre</w:t>
      </w:r>
      <w:r>
        <w:rPr>
          <w:color w:val="231F20"/>
          <w:spacing w:val="-7"/>
          <w:sz w:val="19"/>
        </w:rPr>
        <w:t> </w:t>
      </w:r>
      <w:r>
        <w:rPr>
          <w:color w:val="231F20"/>
          <w:sz w:val="19"/>
        </w:rPr>
        <w:t>Utilización</w:t>
      </w:r>
      <w:r>
        <w:rPr>
          <w:color w:val="231F20"/>
          <w:spacing w:val="-7"/>
          <w:sz w:val="19"/>
        </w:rPr>
        <w:t> </w:t>
      </w:r>
      <w:r>
        <w:rPr>
          <w:color w:val="231F20"/>
          <w:sz w:val="19"/>
        </w:rPr>
        <w:t>de</w:t>
      </w:r>
      <w:r>
        <w:rPr>
          <w:color w:val="231F20"/>
          <w:spacing w:val="-7"/>
          <w:sz w:val="19"/>
        </w:rPr>
        <w:t> </w:t>
      </w:r>
      <w:r>
        <w:rPr>
          <w:color w:val="231F20"/>
          <w:sz w:val="19"/>
        </w:rPr>
        <w:t>Encinos.</w:t>
      </w:r>
      <w:r>
        <w:rPr>
          <w:color w:val="231F20"/>
          <w:spacing w:val="-8"/>
          <w:sz w:val="19"/>
        </w:rPr>
        <w:t> </w:t>
      </w:r>
      <w:r>
        <w:rPr>
          <w:color w:val="231F20"/>
          <w:sz w:val="19"/>
        </w:rPr>
        <w:t>Secretaría</w:t>
      </w:r>
      <w:r>
        <w:rPr>
          <w:color w:val="231F20"/>
          <w:spacing w:val="-7"/>
          <w:sz w:val="19"/>
        </w:rPr>
        <w:t> </w:t>
      </w:r>
      <w:r>
        <w:rPr>
          <w:color w:val="231F20"/>
          <w:sz w:val="19"/>
        </w:rPr>
        <w:t>de</w:t>
      </w:r>
      <w:r>
        <w:rPr>
          <w:color w:val="231F20"/>
          <w:spacing w:val="-17"/>
          <w:sz w:val="19"/>
        </w:rPr>
        <w:t> </w:t>
      </w:r>
      <w:r>
        <w:rPr>
          <w:color w:val="231F20"/>
          <w:sz w:val="19"/>
        </w:rPr>
        <w:t>Agricultura</w:t>
      </w:r>
      <w:r>
        <w:rPr>
          <w:color w:val="231F20"/>
          <w:spacing w:val="-6"/>
          <w:sz w:val="19"/>
        </w:rPr>
        <w:t> </w:t>
      </w:r>
      <w:r>
        <w:rPr>
          <w:color w:val="231F20"/>
          <w:sz w:val="19"/>
        </w:rPr>
        <w:t>y</w:t>
      </w:r>
      <w:r>
        <w:rPr>
          <w:color w:val="231F20"/>
          <w:spacing w:val="-7"/>
          <w:sz w:val="19"/>
        </w:rPr>
        <w:t> </w:t>
      </w:r>
      <w:r>
        <w:rPr>
          <w:color w:val="231F20"/>
          <w:sz w:val="19"/>
        </w:rPr>
        <w:t>Recursos</w:t>
      </w:r>
      <w:r>
        <w:rPr>
          <w:color w:val="231F20"/>
          <w:spacing w:val="-7"/>
          <w:sz w:val="19"/>
        </w:rPr>
        <w:t> </w:t>
      </w:r>
      <w:r>
        <w:rPr>
          <w:color w:val="231F20"/>
          <w:sz w:val="19"/>
        </w:rPr>
        <w:t>Hidráulicos.</w:t>
      </w:r>
      <w:r>
        <w:rPr>
          <w:color w:val="231F20"/>
          <w:spacing w:val="-6"/>
          <w:sz w:val="19"/>
        </w:rPr>
        <w:t> </w:t>
      </w:r>
      <w:r>
        <w:rPr>
          <w:color w:val="231F20"/>
          <w:sz w:val="19"/>
        </w:rPr>
        <w:t>Publicación Especial Núm. 49. México, </w:t>
      </w:r>
      <w:r>
        <w:rPr>
          <w:color w:val="231F20"/>
          <w:spacing w:val="-4"/>
          <w:sz w:val="19"/>
        </w:rPr>
        <w:t>D.F. </w:t>
      </w:r>
      <w:r>
        <w:rPr>
          <w:color w:val="231F20"/>
          <w:sz w:val="19"/>
        </w:rPr>
        <w:t>pp.</w:t>
      </w:r>
      <w:r>
        <w:rPr>
          <w:color w:val="231F20"/>
          <w:spacing w:val="4"/>
          <w:sz w:val="19"/>
        </w:rPr>
        <w:t> </w:t>
      </w:r>
      <w:r>
        <w:rPr>
          <w:color w:val="231F20"/>
          <w:sz w:val="19"/>
        </w:rPr>
        <w:t>24-31.</w:t>
      </w:r>
    </w:p>
    <w:p>
      <w:pPr>
        <w:pStyle w:val="BodyText"/>
        <w:spacing w:before="10"/>
        <w:rPr>
          <w:sz w:val="19"/>
        </w:rPr>
      </w:pPr>
    </w:p>
    <w:p>
      <w:pPr>
        <w:spacing w:line="249" w:lineRule="auto" w:before="0"/>
        <w:ind w:left="1270" w:right="1268" w:firstLine="0"/>
        <w:jc w:val="both"/>
        <w:rPr>
          <w:sz w:val="19"/>
        </w:rPr>
      </w:pPr>
      <w:r>
        <w:rPr>
          <w:color w:val="231F20"/>
          <w:sz w:val="19"/>
        </w:rPr>
        <w:t>Müller, U. B. 1994. Contribuciones al conocimiento de los bosques de encino y pino-encino en el noreste de México.</w:t>
      </w:r>
      <w:r>
        <w:rPr>
          <w:color w:val="231F20"/>
          <w:spacing w:val="-5"/>
          <w:sz w:val="19"/>
        </w:rPr>
        <w:t> </w:t>
      </w:r>
      <w:r>
        <w:rPr>
          <w:color w:val="231F20"/>
          <w:sz w:val="19"/>
        </w:rPr>
        <w:t>Reporte</w:t>
      </w:r>
      <w:r>
        <w:rPr>
          <w:color w:val="231F20"/>
          <w:spacing w:val="-5"/>
          <w:sz w:val="19"/>
        </w:rPr>
        <w:t> </w:t>
      </w:r>
      <w:r>
        <w:rPr>
          <w:color w:val="231F20"/>
          <w:sz w:val="19"/>
        </w:rPr>
        <w:t>científico</w:t>
      </w:r>
      <w:r>
        <w:rPr>
          <w:color w:val="231F20"/>
          <w:spacing w:val="-5"/>
          <w:sz w:val="19"/>
        </w:rPr>
        <w:t> </w:t>
      </w:r>
      <w:r>
        <w:rPr>
          <w:color w:val="231F20"/>
          <w:sz w:val="19"/>
        </w:rPr>
        <w:t>No.</w:t>
      </w:r>
      <w:r>
        <w:rPr>
          <w:color w:val="231F20"/>
          <w:spacing w:val="-5"/>
          <w:sz w:val="19"/>
        </w:rPr>
        <w:t> </w:t>
      </w:r>
      <w:r>
        <w:rPr>
          <w:color w:val="231F20"/>
          <w:sz w:val="19"/>
        </w:rPr>
        <w:t>Especial</w:t>
      </w:r>
      <w:r>
        <w:rPr>
          <w:color w:val="231F20"/>
          <w:spacing w:val="-5"/>
          <w:sz w:val="19"/>
        </w:rPr>
        <w:t> </w:t>
      </w:r>
      <w:r>
        <w:rPr>
          <w:color w:val="231F20"/>
          <w:sz w:val="19"/>
        </w:rPr>
        <w:t>14.</w:t>
      </w:r>
      <w:r>
        <w:rPr>
          <w:color w:val="231F20"/>
          <w:spacing w:val="-5"/>
          <w:sz w:val="19"/>
        </w:rPr>
        <w:t> </w:t>
      </w:r>
      <w:r>
        <w:rPr>
          <w:color w:val="231F20"/>
          <w:sz w:val="19"/>
        </w:rPr>
        <w:t>Facultad</w:t>
      </w:r>
      <w:r>
        <w:rPr>
          <w:color w:val="231F20"/>
          <w:spacing w:val="-5"/>
          <w:sz w:val="19"/>
        </w:rPr>
        <w:t> </w:t>
      </w:r>
      <w:r>
        <w:rPr>
          <w:color w:val="231F20"/>
          <w:sz w:val="19"/>
        </w:rPr>
        <w:t>de</w:t>
      </w:r>
      <w:r>
        <w:rPr>
          <w:color w:val="231F20"/>
          <w:spacing w:val="-5"/>
          <w:sz w:val="19"/>
        </w:rPr>
        <w:t> </w:t>
      </w:r>
      <w:r>
        <w:rPr>
          <w:color w:val="231F20"/>
          <w:sz w:val="19"/>
        </w:rPr>
        <w:t>Ciencias</w:t>
      </w:r>
      <w:r>
        <w:rPr>
          <w:color w:val="231F20"/>
          <w:spacing w:val="-5"/>
          <w:sz w:val="19"/>
        </w:rPr>
        <w:t> </w:t>
      </w:r>
      <w:r>
        <w:rPr>
          <w:color w:val="231F20"/>
          <w:sz w:val="19"/>
        </w:rPr>
        <w:t>Forestales.</w:t>
      </w:r>
      <w:r>
        <w:rPr>
          <w:color w:val="231F20"/>
          <w:spacing w:val="-5"/>
          <w:sz w:val="19"/>
        </w:rPr>
        <w:t> </w:t>
      </w:r>
      <w:r>
        <w:rPr>
          <w:color w:val="231F20"/>
          <w:sz w:val="19"/>
        </w:rPr>
        <w:t>Universidad</w:t>
      </w:r>
      <w:r>
        <w:rPr>
          <w:color w:val="231F20"/>
          <w:spacing w:val="-16"/>
          <w:sz w:val="19"/>
        </w:rPr>
        <w:t> </w:t>
      </w:r>
      <w:r>
        <w:rPr>
          <w:color w:val="231F20"/>
          <w:sz w:val="19"/>
        </w:rPr>
        <w:t>Autónoma</w:t>
      </w:r>
      <w:r>
        <w:rPr>
          <w:color w:val="231F20"/>
          <w:spacing w:val="-5"/>
          <w:sz w:val="19"/>
        </w:rPr>
        <w:t> </w:t>
      </w:r>
      <w:r>
        <w:rPr>
          <w:color w:val="231F20"/>
          <w:sz w:val="19"/>
        </w:rPr>
        <w:t>de</w:t>
      </w:r>
      <w:r>
        <w:rPr>
          <w:color w:val="231F20"/>
          <w:spacing w:val="-5"/>
          <w:sz w:val="19"/>
        </w:rPr>
        <w:t> </w:t>
      </w:r>
      <w:r>
        <w:rPr>
          <w:color w:val="231F20"/>
          <w:sz w:val="19"/>
        </w:rPr>
        <w:t>Nuevo León. 194</w:t>
      </w:r>
      <w:r>
        <w:rPr>
          <w:color w:val="231F20"/>
          <w:spacing w:val="-1"/>
          <w:sz w:val="19"/>
        </w:rPr>
        <w:t> </w:t>
      </w:r>
      <w:r>
        <w:rPr>
          <w:color w:val="231F20"/>
          <w:sz w:val="19"/>
        </w:rPr>
        <w:t>p.</w:t>
      </w:r>
    </w:p>
    <w:p>
      <w:pPr>
        <w:pStyle w:val="BodyText"/>
        <w:spacing w:before="10"/>
        <w:rPr>
          <w:sz w:val="19"/>
        </w:rPr>
      </w:pPr>
    </w:p>
    <w:p>
      <w:pPr>
        <w:spacing w:line="249" w:lineRule="auto" w:before="0"/>
        <w:ind w:left="1270" w:right="1268" w:firstLine="0"/>
        <w:jc w:val="both"/>
        <w:rPr>
          <w:sz w:val="19"/>
        </w:rPr>
      </w:pPr>
      <w:r>
        <w:rPr>
          <w:color w:val="231F20"/>
          <w:sz w:val="19"/>
        </w:rPr>
        <w:t>Romero R. S. 2006. Revisión taxonómica del complejo Acutifoliae de Quercus (Fagaceae) con énfasis en su representación en México. Acta Botánica Mexicana 76: 1-45 pp.</w:t>
      </w:r>
    </w:p>
    <w:p>
      <w:pPr>
        <w:pStyle w:val="BodyText"/>
        <w:spacing w:before="10"/>
        <w:rPr>
          <w:sz w:val="19"/>
        </w:rPr>
      </w:pPr>
    </w:p>
    <w:p>
      <w:pPr>
        <w:spacing w:before="0"/>
        <w:ind w:left="1270" w:right="0" w:firstLine="0"/>
        <w:jc w:val="both"/>
        <w:rPr>
          <w:sz w:val="19"/>
        </w:rPr>
      </w:pPr>
      <w:r>
        <w:rPr>
          <w:color w:val="231F20"/>
          <w:sz w:val="19"/>
        </w:rPr>
        <w:t>Rzedowski, J. 1978. Vegetación de México. LIMUSA. México, D.F. 432 p.</w:t>
      </w:r>
    </w:p>
    <w:p>
      <w:pPr>
        <w:pStyle w:val="BodyText"/>
        <w:spacing w:before="7"/>
        <w:rPr>
          <w:sz w:val="20"/>
        </w:rPr>
      </w:pPr>
    </w:p>
    <w:p>
      <w:pPr>
        <w:spacing w:before="0"/>
        <w:ind w:left="1270" w:right="0" w:firstLine="0"/>
        <w:jc w:val="both"/>
        <w:rPr>
          <w:sz w:val="19"/>
        </w:rPr>
      </w:pPr>
      <w:r>
        <w:rPr>
          <w:color w:val="231F20"/>
          <w:sz w:val="19"/>
        </w:rPr>
        <w:t>Stein J., Binion D. y Acciavatti R. 2003. Field guide to native oak species of Eastern North America.  USDA.</w:t>
      </w:r>
    </w:p>
    <w:p>
      <w:pPr>
        <w:spacing w:before="9"/>
        <w:ind w:left="1270" w:right="0" w:firstLine="0"/>
        <w:jc w:val="both"/>
        <w:rPr>
          <w:sz w:val="19"/>
        </w:rPr>
      </w:pPr>
      <w:r>
        <w:rPr>
          <w:color w:val="231F20"/>
          <w:sz w:val="19"/>
        </w:rPr>
        <w:t>Forest Service. 161 p.</w:t>
      </w:r>
    </w:p>
    <w:p>
      <w:pPr>
        <w:pStyle w:val="BodyText"/>
        <w:spacing w:before="7"/>
        <w:rPr>
          <w:sz w:val="20"/>
        </w:rPr>
      </w:pPr>
    </w:p>
    <w:p>
      <w:pPr>
        <w:spacing w:line="249" w:lineRule="auto" w:before="0"/>
        <w:ind w:left="1270" w:right="1267" w:firstLine="0"/>
        <w:jc w:val="both"/>
        <w:rPr>
          <w:sz w:val="19"/>
        </w:rPr>
      </w:pPr>
      <w:r>
        <w:rPr>
          <w:color w:val="231F20"/>
          <w:spacing w:val="-3"/>
          <w:sz w:val="19"/>
        </w:rPr>
        <w:t>Valencia</w:t>
      </w:r>
      <w:r>
        <w:rPr>
          <w:color w:val="231F20"/>
          <w:spacing w:val="-19"/>
          <w:sz w:val="19"/>
        </w:rPr>
        <w:t> </w:t>
      </w:r>
      <w:r>
        <w:rPr>
          <w:color w:val="231F20"/>
          <w:sz w:val="19"/>
        </w:rPr>
        <w:t>A.</w:t>
      </w:r>
      <w:r>
        <w:rPr>
          <w:color w:val="231F20"/>
          <w:spacing w:val="-9"/>
          <w:sz w:val="19"/>
        </w:rPr>
        <w:t> </w:t>
      </w:r>
      <w:r>
        <w:rPr>
          <w:color w:val="231F20"/>
          <w:sz w:val="19"/>
        </w:rPr>
        <w:t>S.,</w:t>
      </w:r>
      <w:r>
        <w:rPr>
          <w:color w:val="231F20"/>
          <w:spacing w:val="-9"/>
          <w:sz w:val="19"/>
        </w:rPr>
        <w:t> </w:t>
      </w:r>
      <w:r>
        <w:rPr>
          <w:color w:val="231F20"/>
          <w:sz w:val="19"/>
        </w:rPr>
        <w:t>Gómez,</w:t>
      </w:r>
      <w:r>
        <w:rPr>
          <w:color w:val="231F20"/>
          <w:spacing w:val="-9"/>
          <w:sz w:val="19"/>
        </w:rPr>
        <w:t> </w:t>
      </w:r>
      <w:r>
        <w:rPr>
          <w:color w:val="231F20"/>
          <w:sz w:val="19"/>
        </w:rPr>
        <w:t>C.</w:t>
      </w:r>
      <w:r>
        <w:rPr>
          <w:color w:val="231F20"/>
          <w:spacing w:val="-9"/>
          <w:sz w:val="19"/>
        </w:rPr>
        <w:t> </w:t>
      </w:r>
      <w:r>
        <w:rPr>
          <w:color w:val="231F20"/>
          <w:sz w:val="19"/>
        </w:rPr>
        <w:t>M.</w:t>
      </w:r>
      <w:r>
        <w:rPr>
          <w:color w:val="231F20"/>
          <w:spacing w:val="-9"/>
          <w:sz w:val="19"/>
        </w:rPr>
        <w:t> </w:t>
      </w:r>
      <w:r>
        <w:rPr>
          <w:color w:val="231F20"/>
          <w:sz w:val="19"/>
        </w:rPr>
        <w:t>y</w:t>
      </w:r>
      <w:r>
        <w:rPr>
          <w:color w:val="231F20"/>
          <w:spacing w:val="-9"/>
          <w:sz w:val="19"/>
        </w:rPr>
        <w:t> </w:t>
      </w:r>
      <w:r>
        <w:rPr>
          <w:color w:val="231F20"/>
          <w:sz w:val="19"/>
        </w:rPr>
        <w:t>Becerra,</w:t>
      </w:r>
      <w:r>
        <w:rPr>
          <w:color w:val="231F20"/>
          <w:spacing w:val="-9"/>
          <w:sz w:val="19"/>
        </w:rPr>
        <w:t> </w:t>
      </w:r>
      <w:r>
        <w:rPr>
          <w:color w:val="231F20"/>
          <w:sz w:val="19"/>
        </w:rPr>
        <w:t>L.</w:t>
      </w:r>
      <w:r>
        <w:rPr>
          <w:color w:val="231F20"/>
          <w:spacing w:val="-9"/>
          <w:sz w:val="19"/>
        </w:rPr>
        <w:t> </w:t>
      </w:r>
      <w:r>
        <w:rPr>
          <w:color w:val="231F20"/>
          <w:spacing w:val="-8"/>
          <w:sz w:val="19"/>
        </w:rPr>
        <w:t>F.</w:t>
      </w:r>
      <w:r>
        <w:rPr>
          <w:color w:val="231F20"/>
          <w:spacing w:val="-9"/>
          <w:sz w:val="19"/>
        </w:rPr>
        <w:t> </w:t>
      </w:r>
      <w:r>
        <w:rPr>
          <w:color w:val="231F20"/>
          <w:sz w:val="19"/>
        </w:rPr>
        <w:t>2002.</w:t>
      </w:r>
      <w:r>
        <w:rPr>
          <w:color w:val="231F20"/>
          <w:spacing w:val="-9"/>
          <w:sz w:val="19"/>
        </w:rPr>
        <w:t> </w:t>
      </w:r>
      <w:r>
        <w:rPr>
          <w:color w:val="231F20"/>
          <w:sz w:val="19"/>
        </w:rPr>
        <w:t>Catálogo</w:t>
      </w:r>
      <w:r>
        <w:rPr>
          <w:color w:val="231F20"/>
          <w:spacing w:val="-9"/>
          <w:sz w:val="19"/>
        </w:rPr>
        <w:t> </w:t>
      </w:r>
      <w:r>
        <w:rPr>
          <w:color w:val="231F20"/>
          <w:sz w:val="19"/>
        </w:rPr>
        <w:t>de</w:t>
      </w:r>
      <w:r>
        <w:rPr>
          <w:color w:val="231F20"/>
          <w:spacing w:val="-9"/>
          <w:sz w:val="19"/>
        </w:rPr>
        <w:t> </w:t>
      </w:r>
      <w:r>
        <w:rPr>
          <w:color w:val="231F20"/>
          <w:sz w:val="19"/>
        </w:rPr>
        <w:t>encinos</w:t>
      </w:r>
      <w:r>
        <w:rPr>
          <w:color w:val="231F20"/>
          <w:spacing w:val="-9"/>
          <w:sz w:val="19"/>
        </w:rPr>
        <w:t> </w:t>
      </w:r>
      <w:r>
        <w:rPr>
          <w:color w:val="231F20"/>
          <w:sz w:val="19"/>
        </w:rPr>
        <w:t>del</w:t>
      </w:r>
      <w:r>
        <w:rPr>
          <w:color w:val="231F20"/>
          <w:spacing w:val="-9"/>
          <w:sz w:val="19"/>
        </w:rPr>
        <w:t> </w:t>
      </w:r>
      <w:r>
        <w:rPr>
          <w:color w:val="231F20"/>
          <w:sz w:val="19"/>
        </w:rPr>
        <w:t>estado</w:t>
      </w:r>
      <w:r>
        <w:rPr>
          <w:color w:val="231F20"/>
          <w:spacing w:val="-9"/>
          <w:sz w:val="19"/>
        </w:rPr>
        <w:t> </w:t>
      </w:r>
      <w:r>
        <w:rPr>
          <w:color w:val="231F20"/>
          <w:sz w:val="19"/>
        </w:rPr>
        <w:t>de</w:t>
      </w:r>
      <w:r>
        <w:rPr>
          <w:color w:val="231F20"/>
          <w:spacing w:val="-9"/>
          <w:sz w:val="19"/>
        </w:rPr>
        <w:t> </w:t>
      </w:r>
      <w:r>
        <w:rPr>
          <w:color w:val="231F20"/>
          <w:sz w:val="19"/>
        </w:rPr>
        <w:t>Guerrero,</w:t>
      </w:r>
      <w:r>
        <w:rPr>
          <w:color w:val="231F20"/>
          <w:spacing w:val="-9"/>
          <w:sz w:val="19"/>
        </w:rPr>
        <w:t> </w:t>
      </w:r>
      <w:r>
        <w:rPr>
          <w:color w:val="231F20"/>
          <w:sz w:val="19"/>
        </w:rPr>
        <w:t>México.</w:t>
      </w:r>
      <w:r>
        <w:rPr>
          <w:color w:val="231F20"/>
          <w:spacing w:val="-9"/>
          <w:sz w:val="19"/>
        </w:rPr>
        <w:t> </w:t>
      </w:r>
      <w:r>
        <w:rPr>
          <w:color w:val="231F20"/>
          <w:sz w:val="19"/>
        </w:rPr>
        <w:t>Libro Técnico</w:t>
      </w:r>
      <w:r>
        <w:rPr>
          <w:color w:val="231F20"/>
          <w:spacing w:val="-4"/>
          <w:sz w:val="19"/>
        </w:rPr>
        <w:t> </w:t>
      </w:r>
      <w:r>
        <w:rPr>
          <w:color w:val="231F20"/>
          <w:sz w:val="19"/>
        </w:rPr>
        <w:t>No.</w:t>
      </w:r>
      <w:r>
        <w:rPr>
          <w:color w:val="231F20"/>
          <w:spacing w:val="-4"/>
          <w:sz w:val="19"/>
        </w:rPr>
        <w:t> </w:t>
      </w:r>
      <w:r>
        <w:rPr>
          <w:color w:val="231F20"/>
          <w:sz w:val="19"/>
        </w:rPr>
        <w:t>1.</w:t>
      </w:r>
      <w:r>
        <w:rPr>
          <w:color w:val="231F20"/>
          <w:spacing w:val="-4"/>
          <w:sz w:val="19"/>
        </w:rPr>
        <w:t> </w:t>
      </w:r>
      <w:r>
        <w:rPr>
          <w:color w:val="231F20"/>
          <w:sz w:val="19"/>
        </w:rPr>
        <w:t>Instituto</w:t>
      </w:r>
      <w:r>
        <w:rPr>
          <w:color w:val="231F20"/>
          <w:spacing w:val="-4"/>
          <w:sz w:val="19"/>
        </w:rPr>
        <w:t> </w:t>
      </w:r>
      <w:r>
        <w:rPr>
          <w:color w:val="231F20"/>
          <w:sz w:val="19"/>
        </w:rPr>
        <w:t>Nacional</w:t>
      </w:r>
      <w:r>
        <w:rPr>
          <w:color w:val="231F20"/>
          <w:spacing w:val="-4"/>
          <w:sz w:val="19"/>
        </w:rPr>
        <w:t> </w:t>
      </w:r>
      <w:r>
        <w:rPr>
          <w:color w:val="231F20"/>
          <w:sz w:val="19"/>
        </w:rPr>
        <w:t>de</w:t>
      </w:r>
      <w:r>
        <w:rPr>
          <w:color w:val="231F20"/>
          <w:spacing w:val="-4"/>
          <w:sz w:val="19"/>
        </w:rPr>
        <w:t> </w:t>
      </w:r>
      <w:r>
        <w:rPr>
          <w:color w:val="231F20"/>
          <w:sz w:val="19"/>
        </w:rPr>
        <w:t>Investigaciones</w:t>
      </w:r>
      <w:r>
        <w:rPr>
          <w:color w:val="231F20"/>
          <w:spacing w:val="-4"/>
          <w:sz w:val="19"/>
        </w:rPr>
        <w:t> </w:t>
      </w:r>
      <w:r>
        <w:rPr>
          <w:color w:val="231F20"/>
          <w:sz w:val="19"/>
        </w:rPr>
        <w:t>Forestales,</w:t>
      </w:r>
      <w:r>
        <w:rPr>
          <w:color w:val="231F20"/>
          <w:spacing w:val="-14"/>
          <w:sz w:val="19"/>
        </w:rPr>
        <w:t> </w:t>
      </w:r>
      <w:r>
        <w:rPr>
          <w:color w:val="231F20"/>
          <w:sz w:val="19"/>
        </w:rPr>
        <w:t>Agrícolas</w:t>
      </w:r>
      <w:r>
        <w:rPr>
          <w:color w:val="231F20"/>
          <w:spacing w:val="-4"/>
          <w:sz w:val="19"/>
        </w:rPr>
        <w:t> </w:t>
      </w:r>
      <w:r>
        <w:rPr>
          <w:color w:val="231F20"/>
          <w:sz w:val="19"/>
        </w:rPr>
        <w:t>y</w:t>
      </w:r>
      <w:r>
        <w:rPr>
          <w:color w:val="231F20"/>
          <w:spacing w:val="-4"/>
          <w:sz w:val="19"/>
        </w:rPr>
        <w:t> </w:t>
      </w:r>
      <w:r>
        <w:rPr>
          <w:color w:val="231F20"/>
          <w:sz w:val="19"/>
        </w:rPr>
        <w:t>Pecuarias.</w:t>
      </w:r>
      <w:r>
        <w:rPr>
          <w:color w:val="231F20"/>
          <w:spacing w:val="-4"/>
          <w:sz w:val="19"/>
        </w:rPr>
        <w:t> </w:t>
      </w:r>
      <w:r>
        <w:rPr>
          <w:color w:val="231F20"/>
          <w:sz w:val="19"/>
        </w:rPr>
        <w:t>180</w:t>
      </w:r>
      <w:r>
        <w:rPr>
          <w:color w:val="231F20"/>
          <w:spacing w:val="-4"/>
          <w:sz w:val="19"/>
        </w:rPr>
        <w:t> </w:t>
      </w:r>
      <w:r>
        <w:rPr>
          <w:color w:val="231F20"/>
          <w:sz w:val="19"/>
        </w:rPr>
        <w:t>p.</w:t>
      </w:r>
    </w:p>
    <w:p>
      <w:pPr>
        <w:pStyle w:val="BodyText"/>
        <w:spacing w:before="10"/>
        <w:rPr>
          <w:sz w:val="19"/>
        </w:rPr>
      </w:pPr>
    </w:p>
    <w:p>
      <w:pPr>
        <w:spacing w:line="249" w:lineRule="auto" w:before="0"/>
        <w:ind w:left="1270" w:right="1268" w:firstLine="0"/>
        <w:jc w:val="both"/>
        <w:rPr>
          <w:sz w:val="19"/>
        </w:rPr>
      </w:pPr>
      <w:r>
        <w:rPr>
          <w:color w:val="231F20"/>
          <w:sz w:val="19"/>
        </w:rPr>
        <w:t>Zavala Ch. F. 1989. Identificación de encinos de México. División de Ciencias Forestales. Universidad Autó- noma Chapingo. Chapingo, México. 150 p.</w:t>
      </w:r>
    </w:p>
    <w:p>
      <w:pPr>
        <w:pStyle w:val="BodyText"/>
        <w:spacing w:before="10"/>
        <w:rPr>
          <w:sz w:val="19"/>
        </w:rPr>
      </w:pPr>
    </w:p>
    <w:p>
      <w:pPr>
        <w:spacing w:line="249" w:lineRule="auto" w:before="0"/>
        <w:ind w:left="1270" w:right="1268" w:firstLine="0"/>
        <w:jc w:val="both"/>
        <w:rPr>
          <w:sz w:val="19"/>
        </w:rPr>
      </w:pPr>
      <w:r>
        <w:rPr>
          <w:color w:val="231F20"/>
          <w:sz w:val="19"/>
        </w:rPr>
        <w:t>Zavala Ch. F., Estrada M. E. y Arriola P. V. J. 1999. Los encinos del herbario de la Universidad Autónoma Chapingo. Universidad Autónoma Chapingo. Chapingo, México. 116 p.</w:t>
      </w:r>
    </w:p>
    <w:p>
      <w:pPr>
        <w:pStyle w:val="BodyText"/>
        <w:spacing w:before="10"/>
        <w:rPr>
          <w:sz w:val="19"/>
        </w:rPr>
      </w:pPr>
    </w:p>
    <w:p>
      <w:pPr>
        <w:spacing w:line="273" w:lineRule="auto" w:before="0"/>
        <w:ind w:left="1270" w:right="1268" w:firstLine="0"/>
        <w:jc w:val="both"/>
        <w:rPr>
          <w:sz w:val="19"/>
        </w:rPr>
      </w:pPr>
      <w:r>
        <w:rPr>
          <w:color w:val="231F20"/>
          <w:sz w:val="19"/>
        </w:rPr>
        <w:t>Zavala</w:t>
      </w:r>
      <w:r>
        <w:rPr>
          <w:color w:val="231F20"/>
          <w:spacing w:val="-10"/>
          <w:sz w:val="19"/>
        </w:rPr>
        <w:t> </w:t>
      </w:r>
      <w:r>
        <w:rPr>
          <w:color w:val="231F20"/>
          <w:sz w:val="19"/>
        </w:rPr>
        <w:t>Ch.</w:t>
      </w:r>
      <w:r>
        <w:rPr>
          <w:color w:val="231F20"/>
          <w:spacing w:val="-10"/>
          <w:sz w:val="19"/>
        </w:rPr>
        <w:t> </w:t>
      </w:r>
      <w:r>
        <w:rPr>
          <w:color w:val="231F20"/>
          <w:spacing w:val="-8"/>
          <w:sz w:val="19"/>
        </w:rPr>
        <w:t>F.</w:t>
      </w:r>
      <w:r>
        <w:rPr>
          <w:color w:val="231F20"/>
          <w:spacing w:val="-10"/>
          <w:sz w:val="19"/>
        </w:rPr>
        <w:t> </w:t>
      </w:r>
      <w:r>
        <w:rPr>
          <w:color w:val="231F20"/>
          <w:sz w:val="19"/>
        </w:rPr>
        <w:t>2007.</w:t>
      </w:r>
      <w:r>
        <w:rPr>
          <w:color w:val="231F20"/>
          <w:spacing w:val="-10"/>
          <w:sz w:val="19"/>
        </w:rPr>
        <w:t> </w:t>
      </w:r>
      <w:r>
        <w:rPr>
          <w:color w:val="231F20"/>
          <w:sz w:val="19"/>
        </w:rPr>
        <w:t>Guía</w:t>
      </w:r>
      <w:r>
        <w:rPr>
          <w:color w:val="231F20"/>
          <w:spacing w:val="-10"/>
          <w:sz w:val="19"/>
        </w:rPr>
        <w:t> </w:t>
      </w:r>
      <w:r>
        <w:rPr>
          <w:color w:val="231F20"/>
          <w:sz w:val="19"/>
        </w:rPr>
        <w:t>de</w:t>
      </w:r>
      <w:r>
        <w:rPr>
          <w:color w:val="231F20"/>
          <w:spacing w:val="-10"/>
          <w:sz w:val="19"/>
        </w:rPr>
        <w:t> </w:t>
      </w:r>
      <w:r>
        <w:rPr>
          <w:color w:val="231F20"/>
          <w:sz w:val="19"/>
        </w:rPr>
        <w:t>los</w:t>
      </w:r>
      <w:r>
        <w:rPr>
          <w:color w:val="231F20"/>
          <w:spacing w:val="-10"/>
          <w:sz w:val="19"/>
        </w:rPr>
        <w:t> </w:t>
      </w:r>
      <w:r>
        <w:rPr>
          <w:color w:val="231F20"/>
          <w:sz w:val="19"/>
        </w:rPr>
        <w:t>encinos</w:t>
      </w:r>
      <w:r>
        <w:rPr>
          <w:color w:val="231F20"/>
          <w:spacing w:val="-10"/>
          <w:sz w:val="19"/>
        </w:rPr>
        <w:t> </w:t>
      </w:r>
      <w:r>
        <w:rPr>
          <w:color w:val="231F20"/>
          <w:sz w:val="19"/>
        </w:rPr>
        <w:t>de</w:t>
      </w:r>
      <w:r>
        <w:rPr>
          <w:color w:val="231F20"/>
          <w:spacing w:val="-10"/>
          <w:sz w:val="19"/>
        </w:rPr>
        <w:t> </w:t>
      </w:r>
      <w:r>
        <w:rPr>
          <w:color w:val="231F20"/>
          <w:sz w:val="19"/>
        </w:rPr>
        <w:t>la</w:t>
      </w:r>
      <w:r>
        <w:rPr>
          <w:color w:val="231F20"/>
          <w:spacing w:val="-10"/>
          <w:sz w:val="19"/>
        </w:rPr>
        <w:t> </w:t>
      </w:r>
      <w:r>
        <w:rPr>
          <w:color w:val="231F20"/>
          <w:sz w:val="19"/>
        </w:rPr>
        <w:t>Sierra</w:t>
      </w:r>
      <w:r>
        <w:rPr>
          <w:color w:val="231F20"/>
          <w:spacing w:val="-10"/>
          <w:sz w:val="19"/>
        </w:rPr>
        <w:t> </w:t>
      </w:r>
      <w:r>
        <w:rPr>
          <w:color w:val="231F20"/>
          <w:sz w:val="19"/>
        </w:rPr>
        <w:t>de</w:t>
      </w:r>
      <w:r>
        <w:rPr>
          <w:color w:val="231F20"/>
          <w:spacing w:val="-13"/>
          <w:sz w:val="19"/>
        </w:rPr>
        <w:t> </w:t>
      </w:r>
      <w:r>
        <w:rPr>
          <w:color w:val="231F20"/>
          <w:sz w:val="19"/>
        </w:rPr>
        <w:t>Tepotzotlán,</w:t>
      </w:r>
      <w:r>
        <w:rPr>
          <w:color w:val="231F20"/>
          <w:spacing w:val="-11"/>
          <w:sz w:val="19"/>
        </w:rPr>
        <w:t> </w:t>
      </w:r>
      <w:r>
        <w:rPr>
          <w:color w:val="231F20"/>
          <w:sz w:val="19"/>
        </w:rPr>
        <w:t>México.</w:t>
      </w:r>
      <w:r>
        <w:rPr>
          <w:color w:val="231F20"/>
          <w:spacing w:val="-10"/>
          <w:sz w:val="19"/>
        </w:rPr>
        <w:t> </w:t>
      </w:r>
      <w:r>
        <w:rPr>
          <w:color w:val="231F20"/>
          <w:sz w:val="19"/>
        </w:rPr>
        <w:t>Universidad</w:t>
      </w:r>
      <w:r>
        <w:rPr>
          <w:color w:val="231F20"/>
          <w:spacing w:val="-19"/>
          <w:sz w:val="19"/>
        </w:rPr>
        <w:t> </w:t>
      </w:r>
      <w:r>
        <w:rPr>
          <w:color w:val="231F20"/>
          <w:sz w:val="19"/>
        </w:rPr>
        <w:t>Autónoma</w:t>
      </w:r>
      <w:r>
        <w:rPr>
          <w:color w:val="231F20"/>
          <w:spacing w:val="-10"/>
          <w:sz w:val="19"/>
        </w:rPr>
        <w:t> </w:t>
      </w:r>
      <w:r>
        <w:rPr>
          <w:color w:val="231F20"/>
          <w:sz w:val="19"/>
        </w:rPr>
        <w:t>Chapingo. 89 p.</w:t>
      </w:r>
    </w:p>
    <w:p>
      <w:pPr>
        <w:spacing w:after="0" w:line="273" w:lineRule="auto"/>
        <w:jc w:val="both"/>
        <w:rPr>
          <w:sz w:val="19"/>
        </w:rPr>
        <w:sectPr>
          <w:pgSz w:w="10920" w:h="13080"/>
          <w:pgMar w:header="0" w:footer="965" w:top="420" w:bottom="1220" w:left="0" w:right="0"/>
        </w:sectPr>
      </w:pPr>
    </w:p>
    <w:p>
      <w:pPr>
        <w:pStyle w:val="BodyText"/>
        <w:rPr>
          <w:sz w:val="20"/>
        </w:rPr>
      </w:pPr>
    </w:p>
    <w:p>
      <w:pPr>
        <w:pStyle w:val="BodyText"/>
        <w:rPr>
          <w:sz w:val="20"/>
        </w:rPr>
      </w:pPr>
    </w:p>
    <w:p>
      <w:pPr>
        <w:pStyle w:val="BodyText"/>
        <w:spacing w:before="6"/>
        <w:rPr>
          <w:sz w:val="23"/>
        </w:rPr>
      </w:pPr>
    </w:p>
    <w:p>
      <w:pPr>
        <w:spacing w:line="247" w:lineRule="auto" w:before="69"/>
        <w:ind w:left="2903" w:right="2901" w:firstLine="0"/>
        <w:jc w:val="center"/>
        <w:rPr>
          <w:rFonts w:ascii="Trebuchet MS" w:hAnsi="Trebuchet MS"/>
          <w:i/>
          <w:sz w:val="14"/>
        </w:rPr>
      </w:pPr>
      <w:r>
        <w:rPr>
          <w:rFonts w:ascii="Trebuchet MS" w:hAnsi="Trebuchet MS"/>
          <w:i/>
          <w:color w:val="010202"/>
          <w:sz w:val="24"/>
        </w:rPr>
        <w:t>María Serret López</w:t>
      </w:r>
      <w:r>
        <w:rPr>
          <w:rFonts w:ascii="Trebuchet MS" w:hAnsi="Trebuchet MS"/>
          <w:i/>
          <w:color w:val="010202"/>
          <w:position w:val="8"/>
          <w:sz w:val="14"/>
        </w:rPr>
        <w:t>1</w:t>
      </w:r>
      <w:r>
        <w:rPr>
          <w:rFonts w:ascii="Trebuchet MS" w:hAnsi="Trebuchet MS"/>
          <w:i/>
          <w:color w:val="010202"/>
          <w:sz w:val="24"/>
        </w:rPr>
        <w:t>; Luciano Martínez Bolaños</w:t>
      </w:r>
      <w:r>
        <w:rPr>
          <w:rFonts w:ascii="Trebuchet MS" w:hAnsi="Trebuchet MS"/>
          <w:i/>
          <w:color w:val="010202"/>
          <w:position w:val="8"/>
          <w:sz w:val="14"/>
        </w:rPr>
        <w:t>2 </w:t>
      </w:r>
      <w:r>
        <w:rPr>
          <w:rFonts w:ascii="Trebuchet MS" w:hAnsi="Trebuchet MS"/>
          <w:i/>
          <w:color w:val="010202"/>
          <w:sz w:val="24"/>
        </w:rPr>
        <w:t>y Mario Orozco Santos</w:t>
      </w:r>
      <w:r>
        <w:rPr>
          <w:rFonts w:ascii="Trebuchet MS" w:hAnsi="Trebuchet MS"/>
          <w:i/>
          <w:color w:val="010202"/>
          <w:position w:val="8"/>
          <w:sz w:val="14"/>
        </w:rPr>
        <w:t>3</w:t>
      </w: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spacing w:before="7"/>
        <w:rPr>
          <w:rFonts w:ascii="Trebuchet MS"/>
          <w:i/>
          <w:sz w:val="31"/>
        </w:rPr>
      </w:pPr>
    </w:p>
    <w:p>
      <w:pPr>
        <w:spacing w:line="247" w:lineRule="auto" w:before="0"/>
        <w:ind w:left="2422" w:right="2421" w:firstLine="0"/>
        <w:jc w:val="center"/>
        <w:rPr>
          <w:rFonts w:ascii="Trebuchet MS" w:hAnsi="Trebuchet MS"/>
          <w:b/>
          <w:sz w:val="36"/>
        </w:rPr>
      </w:pPr>
      <w:r>
        <w:rPr>
          <w:rFonts w:ascii="Trebuchet MS" w:hAnsi="Trebuchet MS"/>
          <w:b/>
          <w:color w:val="010202"/>
          <w:sz w:val="36"/>
        </w:rPr>
        <w:t>EPIDEMIOLOGÍA DE </w:t>
      </w:r>
      <w:r>
        <w:rPr>
          <w:rFonts w:ascii="Trebuchet MS" w:hAnsi="Trebuchet MS"/>
          <w:b/>
          <w:i/>
          <w:color w:val="010202"/>
          <w:sz w:val="36"/>
        </w:rPr>
        <w:t>Mycosphaerella </w:t>
      </w:r>
      <w:r>
        <w:rPr>
          <w:rFonts w:ascii="Trebuchet MS" w:hAnsi="Trebuchet MS"/>
          <w:b/>
          <w:i/>
          <w:color w:val="010202"/>
          <w:sz w:val="36"/>
        </w:rPr>
        <w:t>fijiensis </w:t>
      </w:r>
      <w:r>
        <w:rPr>
          <w:rFonts w:ascii="Trebuchet MS" w:hAnsi="Trebuchet MS"/>
          <w:b/>
          <w:color w:val="010202"/>
          <w:sz w:val="36"/>
        </w:rPr>
        <w:t>Morelet, EN TECOMÁN, COLIMA, MÉXICO</w:t>
      </w:r>
    </w:p>
    <w:p>
      <w:pPr>
        <w:pStyle w:val="BodyText"/>
        <w:rPr>
          <w:rFonts w:ascii="Trebuchet MS"/>
          <w:b/>
          <w:sz w:val="36"/>
        </w:rPr>
      </w:pPr>
    </w:p>
    <w:p>
      <w:pPr>
        <w:pStyle w:val="BodyText"/>
        <w:rPr>
          <w:rFonts w:ascii="Trebuchet MS"/>
          <w:b/>
          <w:sz w:val="36"/>
        </w:rPr>
      </w:pPr>
    </w:p>
    <w:p>
      <w:pPr>
        <w:pStyle w:val="BodyText"/>
        <w:spacing w:before="5"/>
        <w:rPr>
          <w:rFonts w:ascii="Trebuchet MS"/>
          <w:b/>
          <w:sz w:val="31"/>
        </w:rPr>
      </w:pPr>
    </w:p>
    <w:p>
      <w:pPr>
        <w:pStyle w:val="Heading3"/>
      </w:pPr>
      <w:r>
        <w:rPr>
          <w:color w:val="010202"/>
        </w:rPr>
        <w:t>Introducción</w:t>
      </w:r>
    </w:p>
    <w:p>
      <w:pPr>
        <w:pStyle w:val="BodyText"/>
        <w:spacing w:before="10"/>
        <w:rPr>
          <w:b/>
        </w:rPr>
      </w:pPr>
    </w:p>
    <w:p>
      <w:pPr>
        <w:pStyle w:val="BodyText"/>
        <w:spacing w:line="247" w:lineRule="auto"/>
        <w:ind w:left="1270" w:right="1266"/>
        <w:jc w:val="both"/>
      </w:pPr>
      <w:r>
        <w:rPr>
          <w:color w:val="231F20"/>
        </w:rPr>
        <w:t>Los </w:t>
      </w:r>
      <w:r>
        <w:rPr>
          <w:color w:val="231F20"/>
          <w:spacing w:val="-3"/>
        </w:rPr>
        <w:t>bananos </w:t>
      </w:r>
      <w:r>
        <w:rPr>
          <w:color w:val="231F20"/>
        </w:rPr>
        <w:t>y </w:t>
      </w:r>
      <w:r>
        <w:rPr>
          <w:color w:val="231F20"/>
          <w:spacing w:val="-3"/>
        </w:rPr>
        <w:t>plátanos (</w:t>
      </w:r>
      <w:r>
        <w:rPr>
          <w:i/>
          <w:color w:val="231F20"/>
          <w:spacing w:val="-3"/>
        </w:rPr>
        <w:t>Musa </w:t>
      </w:r>
      <w:r>
        <w:rPr>
          <w:color w:val="231F20"/>
          <w:spacing w:val="-3"/>
        </w:rPr>
        <w:t>spp.) </w:t>
      </w:r>
      <w:r>
        <w:rPr>
          <w:color w:val="231F20"/>
        </w:rPr>
        <w:t>son </w:t>
      </w:r>
      <w:r>
        <w:rPr>
          <w:color w:val="231F20"/>
          <w:spacing w:val="-3"/>
        </w:rPr>
        <w:t>plantas herbáceas, poliploides </w:t>
      </w:r>
      <w:r>
        <w:rPr>
          <w:color w:val="231F20"/>
        </w:rPr>
        <w:t>y </w:t>
      </w:r>
      <w:r>
        <w:rPr>
          <w:color w:val="231F20"/>
          <w:spacing w:val="-3"/>
        </w:rPr>
        <w:t>perennes ampliamente adap- tadas </w:t>
      </w:r>
      <w:r>
        <w:rPr>
          <w:color w:val="231F20"/>
        </w:rPr>
        <w:t>a </w:t>
      </w:r>
      <w:r>
        <w:rPr>
          <w:color w:val="231F20"/>
          <w:spacing w:val="-3"/>
        </w:rPr>
        <w:t>regiones tropicales </w:t>
      </w:r>
      <w:r>
        <w:rPr>
          <w:color w:val="231F20"/>
        </w:rPr>
        <w:t>y </w:t>
      </w:r>
      <w:r>
        <w:rPr>
          <w:color w:val="231F20"/>
          <w:spacing w:val="-3"/>
        </w:rPr>
        <w:t>subtropicales. </w:t>
      </w:r>
      <w:r>
        <w:rPr>
          <w:color w:val="231F20"/>
        </w:rPr>
        <w:t>En la </w:t>
      </w:r>
      <w:r>
        <w:rPr>
          <w:color w:val="231F20"/>
          <w:spacing w:val="-3"/>
        </w:rPr>
        <w:t>planta </w:t>
      </w:r>
      <w:r>
        <w:rPr>
          <w:color w:val="231F20"/>
        </w:rPr>
        <w:t>se </w:t>
      </w:r>
      <w:r>
        <w:rPr>
          <w:color w:val="231F20"/>
          <w:spacing w:val="-3"/>
        </w:rPr>
        <w:t>distinguen tres partes importantes: </w:t>
      </w:r>
      <w:r>
        <w:rPr>
          <w:color w:val="231F20"/>
        </w:rPr>
        <w:t>el </w:t>
      </w:r>
      <w:r>
        <w:rPr>
          <w:color w:val="231F20"/>
          <w:spacing w:val="-3"/>
        </w:rPr>
        <w:t>cormo </w:t>
      </w:r>
      <w:r>
        <w:rPr>
          <w:color w:val="231F20"/>
        </w:rPr>
        <w:t>con</w:t>
      </w:r>
      <w:r>
        <w:rPr>
          <w:color w:val="231F20"/>
          <w:spacing w:val="-11"/>
        </w:rPr>
        <w:t> </w:t>
      </w:r>
      <w:r>
        <w:rPr>
          <w:color w:val="231F20"/>
          <w:spacing w:val="-3"/>
        </w:rPr>
        <w:t>hijuelos</w:t>
      </w:r>
      <w:r>
        <w:rPr>
          <w:color w:val="231F20"/>
          <w:spacing w:val="-11"/>
        </w:rPr>
        <w:t> </w:t>
      </w:r>
      <w:r>
        <w:rPr>
          <w:color w:val="231F20"/>
        </w:rPr>
        <w:t>y</w:t>
      </w:r>
      <w:r>
        <w:rPr>
          <w:color w:val="231F20"/>
          <w:spacing w:val="-11"/>
        </w:rPr>
        <w:t> </w:t>
      </w:r>
      <w:r>
        <w:rPr>
          <w:color w:val="231F20"/>
        </w:rPr>
        <w:t>el</w:t>
      </w:r>
      <w:r>
        <w:rPr>
          <w:color w:val="231F20"/>
          <w:spacing w:val="-11"/>
        </w:rPr>
        <w:t> </w:t>
      </w:r>
      <w:r>
        <w:rPr>
          <w:color w:val="231F20"/>
          <w:spacing w:val="-3"/>
        </w:rPr>
        <w:t>sistema</w:t>
      </w:r>
      <w:r>
        <w:rPr>
          <w:color w:val="231F20"/>
          <w:spacing w:val="-11"/>
        </w:rPr>
        <w:t> </w:t>
      </w:r>
      <w:r>
        <w:rPr>
          <w:color w:val="231F20"/>
          <w:spacing w:val="-4"/>
        </w:rPr>
        <w:t>radicular,</w:t>
      </w:r>
      <w:r>
        <w:rPr>
          <w:color w:val="231F20"/>
          <w:spacing w:val="-11"/>
        </w:rPr>
        <w:t> </w:t>
      </w:r>
      <w:r>
        <w:rPr>
          <w:color w:val="231F20"/>
        </w:rPr>
        <w:t>el</w:t>
      </w:r>
      <w:r>
        <w:rPr>
          <w:color w:val="231F20"/>
          <w:spacing w:val="-11"/>
        </w:rPr>
        <w:t> </w:t>
      </w:r>
      <w:r>
        <w:rPr>
          <w:color w:val="231F20"/>
          <w:spacing w:val="-3"/>
        </w:rPr>
        <w:t>pseudotallo</w:t>
      </w:r>
      <w:r>
        <w:rPr>
          <w:color w:val="231F20"/>
          <w:spacing w:val="-11"/>
        </w:rPr>
        <w:t> </w:t>
      </w:r>
      <w:r>
        <w:rPr>
          <w:color w:val="231F20"/>
        </w:rPr>
        <w:t>con</w:t>
      </w:r>
      <w:r>
        <w:rPr>
          <w:color w:val="231F20"/>
          <w:spacing w:val="-11"/>
        </w:rPr>
        <w:t> </w:t>
      </w:r>
      <w:r>
        <w:rPr>
          <w:color w:val="231F20"/>
        </w:rPr>
        <w:t>el</w:t>
      </w:r>
      <w:r>
        <w:rPr>
          <w:color w:val="231F20"/>
          <w:spacing w:val="-11"/>
        </w:rPr>
        <w:t> </w:t>
      </w:r>
      <w:r>
        <w:rPr>
          <w:color w:val="231F20"/>
          <w:spacing w:val="-3"/>
        </w:rPr>
        <w:t>sistema</w:t>
      </w:r>
      <w:r>
        <w:rPr>
          <w:color w:val="231F20"/>
          <w:spacing w:val="-11"/>
        </w:rPr>
        <w:t> </w:t>
      </w:r>
      <w:r>
        <w:rPr>
          <w:color w:val="231F20"/>
          <w:spacing w:val="-3"/>
        </w:rPr>
        <w:t>foliar</w:t>
      </w:r>
      <w:r>
        <w:rPr>
          <w:color w:val="231F20"/>
          <w:spacing w:val="-11"/>
        </w:rPr>
        <w:t> </w:t>
      </w:r>
      <w:r>
        <w:rPr>
          <w:color w:val="231F20"/>
        </w:rPr>
        <w:t>y</w:t>
      </w:r>
      <w:r>
        <w:rPr>
          <w:color w:val="231F20"/>
          <w:spacing w:val="-11"/>
        </w:rPr>
        <w:t> </w:t>
      </w:r>
      <w:r>
        <w:rPr>
          <w:color w:val="231F20"/>
        </w:rPr>
        <w:t>el</w:t>
      </w:r>
      <w:r>
        <w:rPr>
          <w:color w:val="231F20"/>
          <w:spacing w:val="-11"/>
        </w:rPr>
        <w:t> </w:t>
      </w:r>
      <w:r>
        <w:rPr>
          <w:color w:val="231F20"/>
          <w:spacing w:val="-3"/>
        </w:rPr>
        <w:t>racimo</w:t>
      </w:r>
      <w:r>
        <w:rPr>
          <w:color w:val="231F20"/>
          <w:spacing w:val="-11"/>
        </w:rPr>
        <w:t> </w:t>
      </w:r>
      <w:r>
        <w:rPr>
          <w:color w:val="231F20"/>
        </w:rPr>
        <w:t>o</w:t>
      </w:r>
      <w:r>
        <w:rPr>
          <w:color w:val="231F20"/>
          <w:spacing w:val="-11"/>
        </w:rPr>
        <w:t> </w:t>
      </w:r>
      <w:r>
        <w:rPr>
          <w:color w:val="231F20"/>
          <w:spacing w:val="-3"/>
        </w:rPr>
        <w:t>inflorescencia.</w:t>
      </w:r>
      <w:r>
        <w:rPr>
          <w:color w:val="231F20"/>
          <w:spacing w:val="-11"/>
        </w:rPr>
        <w:t> </w:t>
      </w:r>
      <w:r>
        <w:rPr>
          <w:color w:val="231F20"/>
          <w:spacing w:val="-3"/>
        </w:rPr>
        <w:t>Dos especies diploides </w:t>
      </w:r>
      <w:r>
        <w:rPr>
          <w:color w:val="231F20"/>
        </w:rPr>
        <w:t>de 22 </w:t>
      </w:r>
      <w:r>
        <w:rPr>
          <w:color w:val="231F20"/>
          <w:spacing w:val="-3"/>
        </w:rPr>
        <w:t>cromosomas cada una, </w:t>
      </w:r>
      <w:r>
        <w:rPr>
          <w:i/>
          <w:color w:val="231F20"/>
        </w:rPr>
        <w:t>M. </w:t>
      </w:r>
      <w:r>
        <w:rPr>
          <w:i/>
          <w:color w:val="231F20"/>
          <w:spacing w:val="-3"/>
        </w:rPr>
        <w:t>acuminata </w:t>
      </w:r>
      <w:r>
        <w:rPr>
          <w:color w:val="231F20"/>
          <w:spacing w:val="-3"/>
        </w:rPr>
        <w:t>(genoma </w:t>
      </w:r>
      <w:r>
        <w:rPr>
          <w:color w:val="231F20"/>
        </w:rPr>
        <w:t>A) y M. </w:t>
      </w:r>
      <w:r>
        <w:rPr>
          <w:color w:val="231F20"/>
          <w:spacing w:val="-3"/>
        </w:rPr>
        <w:t>balbisiana (genoma </w:t>
      </w:r>
      <w:r>
        <w:rPr>
          <w:color w:val="231F20"/>
        </w:rPr>
        <w:t>B),</w:t>
      </w:r>
      <w:r>
        <w:rPr>
          <w:color w:val="231F20"/>
          <w:spacing w:val="-8"/>
        </w:rPr>
        <w:t> </w:t>
      </w:r>
      <w:r>
        <w:rPr>
          <w:color w:val="231F20"/>
        </w:rPr>
        <w:t>son</w:t>
      </w:r>
      <w:r>
        <w:rPr>
          <w:color w:val="231F20"/>
          <w:spacing w:val="-8"/>
        </w:rPr>
        <w:t> </w:t>
      </w:r>
      <w:r>
        <w:rPr>
          <w:color w:val="231F20"/>
        </w:rPr>
        <w:t>los</w:t>
      </w:r>
      <w:r>
        <w:rPr>
          <w:color w:val="231F20"/>
          <w:spacing w:val="-8"/>
        </w:rPr>
        <w:t> </w:t>
      </w:r>
      <w:r>
        <w:rPr>
          <w:color w:val="231F20"/>
          <w:spacing w:val="-3"/>
        </w:rPr>
        <w:t>ancestros</w:t>
      </w:r>
      <w:r>
        <w:rPr>
          <w:color w:val="231F20"/>
          <w:spacing w:val="-9"/>
        </w:rPr>
        <w:t> </w:t>
      </w:r>
      <w:r>
        <w:rPr>
          <w:color w:val="231F20"/>
          <w:spacing w:val="-3"/>
        </w:rPr>
        <w:t>comunes</w:t>
      </w:r>
      <w:r>
        <w:rPr>
          <w:color w:val="231F20"/>
          <w:spacing w:val="-9"/>
        </w:rPr>
        <w:t> </w:t>
      </w:r>
      <w:r>
        <w:rPr>
          <w:color w:val="231F20"/>
        </w:rPr>
        <w:t>de</w:t>
      </w:r>
      <w:r>
        <w:rPr>
          <w:color w:val="231F20"/>
          <w:spacing w:val="-8"/>
        </w:rPr>
        <w:t> </w:t>
      </w:r>
      <w:r>
        <w:rPr>
          <w:color w:val="231F20"/>
          <w:spacing w:val="-3"/>
        </w:rPr>
        <w:t>todas</w:t>
      </w:r>
      <w:r>
        <w:rPr>
          <w:color w:val="231F20"/>
          <w:spacing w:val="-8"/>
        </w:rPr>
        <w:t> </w:t>
      </w:r>
      <w:r>
        <w:rPr>
          <w:color w:val="231F20"/>
        </w:rPr>
        <w:t>las</w:t>
      </w:r>
      <w:r>
        <w:rPr>
          <w:color w:val="231F20"/>
          <w:spacing w:val="-8"/>
        </w:rPr>
        <w:t> </w:t>
      </w:r>
      <w:r>
        <w:rPr>
          <w:color w:val="231F20"/>
          <w:spacing w:val="-3"/>
        </w:rPr>
        <w:t>variedades</w:t>
      </w:r>
      <w:r>
        <w:rPr>
          <w:color w:val="231F20"/>
          <w:spacing w:val="-8"/>
        </w:rPr>
        <w:t> </w:t>
      </w:r>
      <w:r>
        <w:rPr>
          <w:color w:val="231F20"/>
          <w:spacing w:val="-3"/>
        </w:rPr>
        <w:t>triploides</w:t>
      </w:r>
      <w:r>
        <w:rPr>
          <w:color w:val="231F20"/>
          <w:spacing w:val="-9"/>
        </w:rPr>
        <w:t> </w:t>
      </w:r>
      <w:r>
        <w:rPr>
          <w:color w:val="231F20"/>
        </w:rPr>
        <w:t>y</w:t>
      </w:r>
      <w:r>
        <w:rPr>
          <w:color w:val="231F20"/>
          <w:spacing w:val="-8"/>
        </w:rPr>
        <w:t> </w:t>
      </w:r>
      <w:r>
        <w:rPr>
          <w:color w:val="231F20"/>
          <w:spacing w:val="-3"/>
        </w:rPr>
        <w:t>tetraploides</w:t>
      </w:r>
      <w:r>
        <w:rPr>
          <w:color w:val="231F20"/>
          <w:spacing w:val="-9"/>
        </w:rPr>
        <w:t> </w:t>
      </w:r>
      <w:r>
        <w:rPr>
          <w:color w:val="231F20"/>
          <w:spacing w:val="-3"/>
        </w:rPr>
        <w:t>conocidas</w:t>
      </w:r>
      <w:r>
        <w:rPr>
          <w:color w:val="231F20"/>
          <w:spacing w:val="-9"/>
        </w:rPr>
        <w:t> </w:t>
      </w:r>
      <w:r>
        <w:rPr>
          <w:color w:val="231F20"/>
          <w:spacing w:val="-3"/>
        </w:rPr>
        <w:t>(Simmonds</w:t>
      </w:r>
      <w:r>
        <w:rPr>
          <w:color w:val="231F20"/>
          <w:spacing w:val="-8"/>
        </w:rPr>
        <w:t> </w:t>
      </w:r>
      <w:r>
        <w:rPr>
          <w:color w:val="231F20"/>
        </w:rPr>
        <w:t>y </w:t>
      </w:r>
      <w:r>
        <w:rPr>
          <w:color w:val="231F20"/>
          <w:spacing w:val="-3"/>
        </w:rPr>
        <w:t>Shepherd,</w:t>
      </w:r>
      <w:r>
        <w:rPr>
          <w:color w:val="231F20"/>
          <w:spacing w:val="-6"/>
        </w:rPr>
        <w:t> </w:t>
      </w:r>
      <w:r>
        <w:rPr>
          <w:color w:val="231F20"/>
          <w:spacing w:val="-3"/>
        </w:rPr>
        <w:t>1955;</w:t>
      </w:r>
      <w:r>
        <w:rPr>
          <w:color w:val="231F20"/>
          <w:spacing w:val="-6"/>
        </w:rPr>
        <w:t> </w:t>
      </w:r>
      <w:r>
        <w:rPr>
          <w:color w:val="231F20"/>
          <w:spacing w:val="-3"/>
        </w:rPr>
        <w:t>Robinson</w:t>
      </w:r>
      <w:r>
        <w:rPr>
          <w:color w:val="231F20"/>
          <w:spacing w:val="-6"/>
        </w:rPr>
        <w:t> </w:t>
      </w:r>
      <w:r>
        <w:rPr>
          <w:color w:val="231F20"/>
        </w:rPr>
        <w:t>y</w:t>
      </w:r>
      <w:r>
        <w:rPr>
          <w:color w:val="231F20"/>
          <w:spacing w:val="-6"/>
        </w:rPr>
        <w:t> </w:t>
      </w:r>
      <w:r>
        <w:rPr>
          <w:color w:val="231F20"/>
          <w:spacing w:val="-3"/>
        </w:rPr>
        <w:t>Saúco,</w:t>
      </w:r>
      <w:r>
        <w:rPr>
          <w:color w:val="231F20"/>
          <w:spacing w:val="-6"/>
        </w:rPr>
        <w:t> </w:t>
      </w:r>
      <w:r>
        <w:rPr>
          <w:color w:val="231F20"/>
          <w:spacing w:val="-3"/>
        </w:rPr>
        <w:t>2010).</w:t>
      </w:r>
      <w:r>
        <w:rPr>
          <w:color w:val="231F20"/>
          <w:spacing w:val="-6"/>
        </w:rPr>
        <w:t> </w:t>
      </w:r>
      <w:r>
        <w:rPr>
          <w:color w:val="231F20"/>
        </w:rPr>
        <w:t>El</w:t>
      </w:r>
      <w:r>
        <w:rPr>
          <w:color w:val="231F20"/>
          <w:spacing w:val="-6"/>
        </w:rPr>
        <w:t> </w:t>
      </w:r>
      <w:r>
        <w:rPr>
          <w:color w:val="231F20"/>
          <w:spacing w:val="-3"/>
        </w:rPr>
        <w:t>plátano</w:t>
      </w:r>
      <w:r>
        <w:rPr>
          <w:color w:val="231F20"/>
          <w:spacing w:val="-6"/>
        </w:rPr>
        <w:t> </w:t>
      </w:r>
      <w:r>
        <w:rPr>
          <w:color w:val="231F20"/>
        </w:rPr>
        <w:t>es</w:t>
      </w:r>
      <w:r>
        <w:rPr>
          <w:color w:val="231F20"/>
          <w:spacing w:val="-6"/>
        </w:rPr>
        <w:t> </w:t>
      </w:r>
      <w:r>
        <w:rPr>
          <w:color w:val="231F20"/>
        </w:rPr>
        <w:t>una</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spacing w:val="-3"/>
        </w:rPr>
        <w:t>frutas</w:t>
      </w:r>
      <w:r>
        <w:rPr>
          <w:color w:val="231F20"/>
          <w:spacing w:val="-6"/>
        </w:rPr>
        <w:t> </w:t>
      </w:r>
      <w:r>
        <w:rPr>
          <w:color w:val="231F20"/>
          <w:spacing w:val="-3"/>
        </w:rPr>
        <w:t>tropicales</w:t>
      </w:r>
      <w:r>
        <w:rPr>
          <w:color w:val="231F20"/>
          <w:spacing w:val="-7"/>
        </w:rPr>
        <w:t> </w:t>
      </w:r>
      <w:r>
        <w:rPr>
          <w:color w:val="231F20"/>
        </w:rPr>
        <w:t>más</w:t>
      </w:r>
      <w:r>
        <w:rPr>
          <w:color w:val="231F20"/>
          <w:spacing w:val="-6"/>
        </w:rPr>
        <w:t> </w:t>
      </w:r>
      <w:r>
        <w:rPr>
          <w:color w:val="231F20"/>
          <w:spacing w:val="-3"/>
        </w:rPr>
        <w:t>importantes</w:t>
      </w:r>
      <w:r>
        <w:rPr>
          <w:color w:val="231F20"/>
          <w:spacing w:val="-7"/>
        </w:rPr>
        <w:t> </w:t>
      </w:r>
      <w:r>
        <w:rPr>
          <w:color w:val="231F20"/>
        </w:rPr>
        <w:t>a </w:t>
      </w:r>
      <w:r>
        <w:rPr>
          <w:color w:val="231F20"/>
          <w:spacing w:val="-3"/>
        </w:rPr>
        <w:t>nivel mundial, porque </w:t>
      </w:r>
      <w:r>
        <w:rPr>
          <w:color w:val="231F20"/>
        </w:rPr>
        <w:t>es un </w:t>
      </w:r>
      <w:r>
        <w:rPr>
          <w:color w:val="231F20"/>
          <w:spacing w:val="-3"/>
        </w:rPr>
        <w:t>alimento básico para millones </w:t>
      </w:r>
      <w:r>
        <w:rPr>
          <w:color w:val="231F20"/>
        </w:rPr>
        <w:t>de </w:t>
      </w:r>
      <w:r>
        <w:rPr>
          <w:color w:val="231F20"/>
          <w:spacing w:val="-3"/>
        </w:rPr>
        <w:t>personas </w:t>
      </w:r>
      <w:r>
        <w:rPr>
          <w:color w:val="231F20"/>
        </w:rPr>
        <w:t>de </w:t>
      </w:r>
      <w:r>
        <w:rPr>
          <w:color w:val="231F20"/>
          <w:spacing w:val="-3"/>
        </w:rPr>
        <w:t>escasos recursos </w:t>
      </w:r>
      <w:r>
        <w:rPr>
          <w:color w:val="231F20"/>
        </w:rPr>
        <w:t>y </w:t>
      </w:r>
      <w:r>
        <w:rPr>
          <w:color w:val="231F20"/>
          <w:spacing w:val="-3"/>
        </w:rPr>
        <w:t>reciente- mente</w:t>
      </w:r>
      <w:r>
        <w:rPr>
          <w:color w:val="231F20"/>
          <w:spacing w:val="-9"/>
        </w:rPr>
        <w:t> </w:t>
      </w:r>
      <w:r>
        <w:rPr>
          <w:color w:val="231F20"/>
        </w:rPr>
        <w:t>se</w:t>
      </w:r>
      <w:r>
        <w:rPr>
          <w:color w:val="231F20"/>
          <w:spacing w:val="-9"/>
        </w:rPr>
        <w:t> </w:t>
      </w:r>
      <w:r>
        <w:rPr>
          <w:color w:val="231F20"/>
        </w:rPr>
        <w:t>ha</w:t>
      </w:r>
      <w:r>
        <w:rPr>
          <w:color w:val="231F20"/>
          <w:spacing w:val="-9"/>
        </w:rPr>
        <w:t> </w:t>
      </w:r>
      <w:r>
        <w:rPr>
          <w:color w:val="231F20"/>
          <w:spacing w:val="-3"/>
        </w:rPr>
        <w:t>convertido</w:t>
      </w:r>
      <w:r>
        <w:rPr>
          <w:color w:val="231F20"/>
          <w:spacing w:val="-10"/>
        </w:rPr>
        <w:t> </w:t>
      </w:r>
      <w:r>
        <w:rPr>
          <w:color w:val="231F20"/>
        </w:rPr>
        <w:t>en</w:t>
      </w:r>
      <w:r>
        <w:rPr>
          <w:color w:val="231F20"/>
          <w:spacing w:val="-9"/>
        </w:rPr>
        <w:t> </w:t>
      </w:r>
      <w:r>
        <w:rPr>
          <w:color w:val="231F20"/>
          <w:spacing w:val="-3"/>
        </w:rPr>
        <w:t>producto</w:t>
      </w:r>
      <w:r>
        <w:rPr>
          <w:color w:val="231F20"/>
          <w:spacing w:val="-9"/>
        </w:rPr>
        <w:t> </w:t>
      </w:r>
      <w:r>
        <w:rPr>
          <w:color w:val="231F20"/>
        </w:rPr>
        <w:t>de</w:t>
      </w:r>
      <w:r>
        <w:rPr>
          <w:color w:val="231F20"/>
          <w:spacing w:val="-9"/>
        </w:rPr>
        <w:t> </w:t>
      </w:r>
      <w:r>
        <w:rPr>
          <w:color w:val="231F20"/>
          <w:spacing w:val="-3"/>
        </w:rPr>
        <w:t>exportación</w:t>
      </w:r>
      <w:r>
        <w:rPr>
          <w:color w:val="231F20"/>
          <w:spacing w:val="-10"/>
        </w:rPr>
        <w:t> </w:t>
      </w:r>
      <w:r>
        <w:rPr>
          <w:color w:val="231F20"/>
        </w:rPr>
        <w:t>a</w:t>
      </w:r>
      <w:r>
        <w:rPr>
          <w:color w:val="231F20"/>
          <w:spacing w:val="-9"/>
        </w:rPr>
        <w:t> </w:t>
      </w:r>
      <w:r>
        <w:rPr>
          <w:color w:val="231F20"/>
          <w:spacing w:val="-3"/>
        </w:rPr>
        <w:t>gran</w:t>
      </w:r>
      <w:r>
        <w:rPr>
          <w:color w:val="231F20"/>
          <w:spacing w:val="-9"/>
        </w:rPr>
        <w:t> </w:t>
      </w:r>
      <w:r>
        <w:rPr>
          <w:color w:val="231F20"/>
          <w:spacing w:val="-3"/>
        </w:rPr>
        <w:t>escala</w:t>
      </w:r>
      <w:r>
        <w:rPr>
          <w:color w:val="231F20"/>
          <w:spacing w:val="-9"/>
        </w:rPr>
        <w:t> </w:t>
      </w:r>
      <w:r>
        <w:rPr>
          <w:color w:val="231F20"/>
          <w:spacing w:val="-3"/>
        </w:rPr>
        <w:t>(Cuello</w:t>
      </w:r>
      <w:r>
        <w:rPr>
          <w:color w:val="231F20"/>
          <w:spacing w:val="-9"/>
        </w:rPr>
        <w:t> </w:t>
      </w:r>
      <w:r>
        <w:rPr>
          <w:i/>
          <w:color w:val="231F20"/>
        </w:rPr>
        <w:t>et</w:t>
      </w:r>
      <w:r>
        <w:rPr>
          <w:i/>
          <w:color w:val="231F20"/>
          <w:spacing w:val="-9"/>
        </w:rPr>
        <w:t> </w:t>
      </w:r>
      <w:r>
        <w:rPr>
          <w:i/>
          <w:color w:val="231F20"/>
          <w:spacing w:val="-3"/>
        </w:rPr>
        <w:t>al.</w:t>
      </w:r>
      <w:r>
        <w:rPr>
          <w:color w:val="231F20"/>
          <w:spacing w:val="-3"/>
        </w:rPr>
        <w:t>,</w:t>
      </w:r>
      <w:r>
        <w:rPr>
          <w:color w:val="231F20"/>
          <w:spacing w:val="-9"/>
        </w:rPr>
        <w:t> </w:t>
      </w:r>
      <w:r>
        <w:rPr>
          <w:color w:val="231F20"/>
          <w:spacing w:val="-3"/>
        </w:rPr>
        <w:t>2003).</w:t>
      </w:r>
      <w:r>
        <w:rPr>
          <w:color w:val="231F20"/>
          <w:spacing w:val="-9"/>
        </w:rPr>
        <w:t> </w:t>
      </w:r>
      <w:r>
        <w:rPr>
          <w:color w:val="231F20"/>
          <w:spacing w:val="-3"/>
        </w:rPr>
        <w:t>México</w:t>
      </w:r>
      <w:r>
        <w:rPr>
          <w:color w:val="231F20"/>
          <w:spacing w:val="-9"/>
        </w:rPr>
        <w:t> </w:t>
      </w:r>
      <w:r>
        <w:rPr>
          <w:color w:val="231F20"/>
        </w:rPr>
        <w:t>se</w:t>
      </w:r>
      <w:r>
        <w:rPr>
          <w:color w:val="231F20"/>
          <w:spacing w:val="-9"/>
        </w:rPr>
        <w:t> </w:t>
      </w:r>
      <w:r>
        <w:rPr>
          <w:color w:val="231F20"/>
          <w:spacing w:val="-3"/>
        </w:rPr>
        <w:t>ubicó </w:t>
      </w:r>
      <w:r>
        <w:rPr>
          <w:color w:val="231F20"/>
        </w:rPr>
        <w:t>en</w:t>
      </w:r>
      <w:r>
        <w:rPr>
          <w:color w:val="231F20"/>
          <w:spacing w:val="-14"/>
        </w:rPr>
        <w:t> </w:t>
      </w:r>
      <w:r>
        <w:rPr>
          <w:color w:val="231F20"/>
        </w:rPr>
        <w:t>el</w:t>
      </w:r>
      <w:r>
        <w:rPr>
          <w:color w:val="231F20"/>
          <w:spacing w:val="-14"/>
        </w:rPr>
        <w:t> </w:t>
      </w:r>
      <w:r>
        <w:rPr>
          <w:color w:val="231F20"/>
          <w:spacing w:val="-3"/>
        </w:rPr>
        <w:t>noveno</w:t>
      </w:r>
      <w:r>
        <w:rPr>
          <w:color w:val="231F20"/>
          <w:spacing w:val="-14"/>
        </w:rPr>
        <w:t> </w:t>
      </w:r>
      <w:r>
        <w:rPr>
          <w:color w:val="231F20"/>
          <w:spacing w:val="-3"/>
        </w:rPr>
        <w:t>lugar</w:t>
      </w:r>
      <w:r>
        <w:rPr>
          <w:color w:val="231F20"/>
          <w:spacing w:val="-15"/>
        </w:rPr>
        <w:t> </w:t>
      </w:r>
      <w:r>
        <w:rPr>
          <w:color w:val="231F20"/>
        </w:rPr>
        <w:t>en</w:t>
      </w:r>
      <w:r>
        <w:rPr>
          <w:color w:val="231F20"/>
          <w:spacing w:val="-14"/>
        </w:rPr>
        <w:t> </w:t>
      </w:r>
      <w:r>
        <w:rPr>
          <w:color w:val="231F20"/>
        </w:rPr>
        <w:t>el</w:t>
      </w:r>
      <w:r>
        <w:rPr>
          <w:color w:val="231F20"/>
          <w:spacing w:val="-14"/>
        </w:rPr>
        <w:t> </w:t>
      </w:r>
      <w:r>
        <w:rPr>
          <w:color w:val="231F20"/>
        </w:rPr>
        <w:t>año</w:t>
      </w:r>
      <w:r>
        <w:rPr>
          <w:color w:val="231F20"/>
          <w:spacing w:val="-15"/>
        </w:rPr>
        <w:t> </w:t>
      </w:r>
      <w:r>
        <w:rPr>
          <w:color w:val="231F20"/>
          <w:spacing w:val="-3"/>
        </w:rPr>
        <w:t>2010,</w:t>
      </w:r>
      <w:r>
        <w:rPr>
          <w:color w:val="231F20"/>
          <w:spacing w:val="-14"/>
        </w:rPr>
        <w:t> </w:t>
      </w:r>
      <w:r>
        <w:rPr>
          <w:color w:val="231F20"/>
        </w:rPr>
        <w:t>con</w:t>
      </w:r>
      <w:r>
        <w:rPr>
          <w:color w:val="231F20"/>
          <w:spacing w:val="-15"/>
        </w:rPr>
        <w:t> </w:t>
      </w:r>
      <w:r>
        <w:rPr>
          <w:color w:val="231F20"/>
        </w:rPr>
        <w:t>una</w:t>
      </w:r>
      <w:r>
        <w:rPr>
          <w:color w:val="231F20"/>
          <w:spacing w:val="-14"/>
        </w:rPr>
        <w:t> </w:t>
      </w:r>
      <w:r>
        <w:rPr>
          <w:color w:val="231F20"/>
          <w:spacing w:val="-3"/>
        </w:rPr>
        <w:t>producción</w:t>
      </w:r>
      <w:r>
        <w:rPr>
          <w:color w:val="231F20"/>
          <w:spacing w:val="-14"/>
        </w:rPr>
        <w:t> </w:t>
      </w:r>
      <w:r>
        <w:rPr>
          <w:color w:val="231F20"/>
        </w:rPr>
        <w:t>de</w:t>
      </w:r>
      <w:r>
        <w:rPr>
          <w:color w:val="231F20"/>
          <w:spacing w:val="-14"/>
        </w:rPr>
        <w:t> </w:t>
      </w:r>
      <w:r>
        <w:rPr>
          <w:color w:val="231F20"/>
        </w:rPr>
        <w:t>2</w:t>
      </w:r>
      <w:r>
        <w:rPr>
          <w:color w:val="231F20"/>
          <w:spacing w:val="-14"/>
        </w:rPr>
        <w:t> </w:t>
      </w:r>
      <w:r>
        <w:rPr>
          <w:color w:val="231F20"/>
        </w:rPr>
        <w:t>103</w:t>
      </w:r>
      <w:r>
        <w:rPr>
          <w:color w:val="231F20"/>
          <w:spacing w:val="-14"/>
        </w:rPr>
        <w:t> </w:t>
      </w:r>
      <w:r>
        <w:rPr>
          <w:color w:val="231F20"/>
        </w:rPr>
        <w:t>360</w:t>
      </w:r>
      <w:r>
        <w:rPr>
          <w:color w:val="231F20"/>
          <w:spacing w:val="-14"/>
        </w:rPr>
        <w:t> </w:t>
      </w:r>
      <w:r>
        <w:rPr>
          <w:color w:val="231F20"/>
          <w:spacing w:val="-3"/>
        </w:rPr>
        <w:t>toneladas</w:t>
      </w:r>
      <w:r>
        <w:rPr>
          <w:color w:val="231F20"/>
          <w:spacing w:val="-15"/>
        </w:rPr>
        <w:t> </w:t>
      </w:r>
      <w:r>
        <w:rPr>
          <w:color w:val="231F20"/>
          <w:spacing w:val="-3"/>
        </w:rPr>
        <w:t>métricas</w:t>
      </w:r>
      <w:r>
        <w:rPr>
          <w:color w:val="231F20"/>
          <w:spacing w:val="-15"/>
        </w:rPr>
        <w:t> </w:t>
      </w:r>
      <w:r>
        <w:rPr>
          <w:color w:val="231F20"/>
          <w:spacing w:val="-3"/>
        </w:rPr>
        <w:t>(Faostat,</w:t>
      </w:r>
      <w:r>
        <w:rPr>
          <w:color w:val="231F20"/>
          <w:spacing w:val="-14"/>
        </w:rPr>
        <w:t> </w:t>
      </w:r>
      <w:r>
        <w:rPr>
          <w:color w:val="231F20"/>
          <w:spacing w:val="-3"/>
        </w:rPr>
        <w:t>2010).</w:t>
      </w:r>
    </w:p>
    <w:p>
      <w:pPr>
        <w:pStyle w:val="BodyText"/>
        <w:spacing w:before="10"/>
      </w:pPr>
    </w:p>
    <w:p>
      <w:pPr>
        <w:pStyle w:val="BodyText"/>
        <w:spacing w:line="247" w:lineRule="auto"/>
        <w:ind w:left="1270" w:right="1267"/>
        <w:jc w:val="both"/>
      </w:pPr>
      <w:r>
        <w:rPr>
          <w:color w:val="231F20"/>
        </w:rPr>
        <w:t>En nuestro país, los estados productores se agrupan en tres regiones: Golfo de México (Tabasco, </w:t>
      </w:r>
      <w:r>
        <w:rPr>
          <w:color w:val="231F20"/>
          <w:spacing w:val="-3"/>
        </w:rPr>
        <w:t>Veracruz </w:t>
      </w:r>
      <w:r>
        <w:rPr>
          <w:color w:val="231F20"/>
        </w:rPr>
        <w:t>y Oaxaca), Pacífico (Chiapas) y Pacífico Centro (Colima, Michoacán, Jalisco, Guerrero y Nayarit), que en total cultivan alrededor de 82 089.82 hectáreas, cuya producción rebasa 1 964 545 toneladas</w:t>
      </w:r>
      <w:r>
        <w:rPr>
          <w:color w:val="231F20"/>
          <w:spacing w:val="-4"/>
        </w:rPr>
        <w:t> </w:t>
      </w:r>
      <w:r>
        <w:rPr>
          <w:color w:val="231F20"/>
        </w:rPr>
        <w:t>al</w:t>
      </w:r>
      <w:r>
        <w:rPr>
          <w:color w:val="231F20"/>
          <w:spacing w:val="-4"/>
        </w:rPr>
        <w:t> </w:t>
      </w:r>
      <w:r>
        <w:rPr>
          <w:color w:val="231F20"/>
        </w:rPr>
        <w:t>año,</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cuales</w:t>
      </w:r>
      <w:r>
        <w:rPr>
          <w:color w:val="231F20"/>
          <w:spacing w:val="-4"/>
        </w:rPr>
        <w:t> </w:t>
      </w:r>
      <w:r>
        <w:rPr>
          <w:color w:val="231F20"/>
        </w:rPr>
        <w:t>el</w:t>
      </w:r>
      <w:r>
        <w:rPr>
          <w:color w:val="231F20"/>
          <w:spacing w:val="-4"/>
        </w:rPr>
        <w:t> </w:t>
      </w:r>
      <w:r>
        <w:rPr>
          <w:color w:val="231F20"/>
        </w:rPr>
        <w:t>95%</w:t>
      </w:r>
      <w:r>
        <w:rPr>
          <w:color w:val="231F20"/>
          <w:spacing w:val="-4"/>
        </w:rPr>
        <w:t> </w:t>
      </w:r>
      <w:r>
        <w:rPr>
          <w:color w:val="231F20"/>
        </w:rPr>
        <w:t>se</w:t>
      </w:r>
      <w:r>
        <w:rPr>
          <w:color w:val="231F20"/>
          <w:spacing w:val="-4"/>
        </w:rPr>
        <w:t> </w:t>
      </w:r>
      <w:r>
        <w:rPr>
          <w:color w:val="231F20"/>
        </w:rPr>
        <w:t>destina</w:t>
      </w:r>
      <w:r>
        <w:rPr>
          <w:color w:val="231F20"/>
          <w:spacing w:val="-4"/>
        </w:rPr>
        <w:t> </w:t>
      </w:r>
      <w:r>
        <w:rPr>
          <w:color w:val="231F20"/>
        </w:rPr>
        <w:t>al</w:t>
      </w:r>
      <w:r>
        <w:rPr>
          <w:color w:val="231F20"/>
          <w:spacing w:val="-4"/>
        </w:rPr>
        <w:t> </w:t>
      </w:r>
      <w:r>
        <w:rPr>
          <w:color w:val="231F20"/>
        </w:rPr>
        <w:t>consumo</w:t>
      </w:r>
      <w:r>
        <w:rPr>
          <w:color w:val="231F20"/>
          <w:spacing w:val="-4"/>
        </w:rPr>
        <w:t> </w:t>
      </w:r>
      <w:r>
        <w:rPr>
          <w:color w:val="231F20"/>
        </w:rPr>
        <w:t>nacional.</w:t>
      </w:r>
      <w:r>
        <w:rPr>
          <w:color w:val="231F20"/>
          <w:spacing w:val="-4"/>
        </w:rPr>
        <w:t> </w:t>
      </w:r>
      <w:r>
        <w:rPr>
          <w:color w:val="231F20"/>
        </w:rPr>
        <w:t>Colima</w:t>
      </w:r>
      <w:r>
        <w:rPr>
          <w:color w:val="231F20"/>
          <w:spacing w:val="-4"/>
        </w:rPr>
        <w:t> </w:t>
      </w:r>
      <w:r>
        <w:rPr>
          <w:color w:val="231F20"/>
        </w:rPr>
        <w:t>se</w:t>
      </w:r>
      <w:r>
        <w:rPr>
          <w:color w:val="231F20"/>
          <w:spacing w:val="-4"/>
        </w:rPr>
        <w:t> </w:t>
      </w:r>
      <w:r>
        <w:rPr>
          <w:color w:val="231F20"/>
        </w:rPr>
        <w:t>localizó</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lugar número cinco en el año 2010 con una superficie sembrada de 4 981 has </w:t>
      </w:r>
      <w:r>
        <w:rPr>
          <w:color w:val="231F20"/>
          <w:spacing w:val="-4"/>
        </w:rPr>
        <w:t>(SIAP,</w:t>
      </w:r>
      <w:r>
        <w:rPr>
          <w:color w:val="231F20"/>
          <w:spacing w:val="-11"/>
        </w:rPr>
        <w:t> </w:t>
      </w:r>
      <w:r>
        <w:rPr>
          <w:color w:val="231F20"/>
        </w:rPr>
        <w:t>2010).</w:t>
      </w:r>
    </w:p>
    <w:p>
      <w:pPr>
        <w:pStyle w:val="BodyText"/>
        <w:rPr>
          <w:sz w:val="20"/>
        </w:rPr>
      </w:pPr>
    </w:p>
    <w:p>
      <w:pPr>
        <w:pStyle w:val="BodyText"/>
        <w:spacing w:before="7"/>
        <w:rPr>
          <w:sz w:val="17"/>
        </w:rPr>
      </w:pPr>
    </w:p>
    <w:p>
      <w:pPr>
        <w:spacing w:line="247" w:lineRule="auto" w:before="0"/>
        <w:ind w:left="1270" w:right="1268" w:firstLine="0"/>
        <w:jc w:val="both"/>
        <w:rPr>
          <w:rFonts w:ascii="Trebuchet MS" w:hAnsi="Trebuchet MS"/>
          <w:sz w:val="16"/>
        </w:rPr>
      </w:pPr>
      <w:r>
        <w:rPr>
          <w:rFonts w:ascii="Trebuchet MS" w:hAnsi="Trebuchet MS"/>
          <w:color w:val="231F20"/>
          <w:position w:val="5"/>
          <w:sz w:val="9"/>
        </w:rPr>
        <w:t>1</w:t>
      </w:r>
      <w:r>
        <w:rPr>
          <w:rFonts w:ascii="Trebuchet MS" w:hAnsi="Trebuchet MS"/>
          <w:color w:val="231F20"/>
          <w:sz w:val="16"/>
        </w:rPr>
        <w:t>Departamento de Parasitología Agrícola. Universidad Autónoma Chapingo. Km. 38.5 Carretera </w:t>
      </w:r>
      <w:r>
        <w:rPr>
          <w:rFonts w:ascii="Trebuchet MS" w:hAnsi="Trebuchet MS"/>
          <w:color w:val="231F20"/>
          <w:spacing w:val="-3"/>
          <w:sz w:val="16"/>
        </w:rPr>
        <w:t>México–Texcoco. </w:t>
      </w:r>
      <w:r>
        <w:rPr>
          <w:rFonts w:ascii="Trebuchet MS" w:hAnsi="Trebuchet MS"/>
          <w:color w:val="231F20"/>
          <w:sz w:val="16"/>
        </w:rPr>
        <w:t>Cha- pingo,</w:t>
      </w:r>
      <w:r>
        <w:rPr>
          <w:rFonts w:ascii="Trebuchet MS" w:hAnsi="Trebuchet MS"/>
          <w:color w:val="231F20"/>
          <w:spacing w:val="-12"/>
          <w:sz w:val="16"/>
        </w:rPr>
        <w:t> </w:t>
      </w:r>
      <w:r>
        <w:rPr>
          <w:rFonts w:ascii="Trebuchet MS" w:hAnsi="Trebuchet MS"/>
          <w:color w:val="231F20"/>
          <w:sz w:val="16"/>
        </w:rPr>
        <w:t>Estado</w:t>
      </w:r>
      <w:r>
        <w:rPr>
          <w:rFonts w:ascii="Trebuchet MS" w:hAnsi="Trebuchet MS"/>
          <w:color w:val="231F20"/>
          <w:spacing w:val="-13"/>
          <w:sz w:val="16"/>
        </w:rPr>
        <w:t> </w:t>
      </w:r>
      <w:r>
        <w:rPr>
          <w:rFonts w:ascii="Trebuchet MS" w:hAnsi="Trebuchet MS"/>
          <w:color w:val="231F20"/>
          <w:sz w:val="16"/>
        </w:rPr>
        <w:t>de</w:t>
      </w:r>
      <w:r>
        <w:rPr>
          <w:rFonts w:ascii="Trebuchet MS" w:hAnsi="Trebuchet MS"/>
          <w:color w:val="231F20"/>
          <w:spacing w:val="-12"/>
          <w:sz w:val="16"/>
        </w:rPr>
        <w:t> </w:t>
      </w:r>
      <w:r>
        <w:rPr>
          <w:rFonts w:ascii="Trebuchet MS" w:hAnsi="Trebuchet MS"/>
          <w:color w:val="231F20"/>
          <w:sz w:val="16"/>
        </w:rPr>
        <w:t>México.</w:t>
      </w:r>
      <w:r>
        <w:rPr>
          <w:rFonts w:ascii="Trebuchet MS" w:hAnsi="Trebuchet MS"/>
          <w:color w:val="231F20"/>
          <w:spacing w:val="-12"/>
          <w:sz w:val="16"/>
        </w:rPr>
        <w:t> </w:t>
      </w:r>
      <w:r>
        <w:rPr>
          <w:rFonts w:ascii="Trebuchet MS" w:hAnsi="Trebuchet MS"/>
          <w:color w:val="231F20"/>
          <w:sz w:val="16"/>
        </w:rPr>
        <w:t>E-mail:serret1702@hotmail.com;</w:t>
      </w:r>
      <w:r>
        <w:rPr>
          <w:rFonts w:ascii="Trebuchet MS" w:hAnsi="Trebuchet MS"/>
          <w:color w:val="231F20"/>
          <w:spacing w:val="-15"/>
          <w:sz w:val="16"/>
        </w:rPr>
        <w:t> </w:t>
      </w:r>
      <w:r>
        <w:rPr>
          <w:rFonts w:ascii="Trebuchet MS" w:hAnsi="Trebuchet MS"/>
          <w:color w:val="231F20"/>
          <w:position w:val="5"/>
          <w:sz w:val="9"/>
        </w:rPr>
        <w:t>2</w:t>
      </w:r>
      <w:r>
        <w:rPr>
          <w:rFonts w:ascii="Trebuchet MS" w:hAnsi="Trebuchet MS"/>
          <w:color w:val="231F20"/>
          <w:sz w:val="16"/>
        </w:rPr>
        <w:t>Unidad</w:t>
      </w:r>
      <w:r>
        <w:rPr>
          <w:rFonts w:ascii="Trebuchet MS" w:hAnsi="Trebuchet MS"/>
          <w:color w:val="231F20"/>
          <w:spacing w:val="-12"/>
          <w:sz w:val="16"/>
        </w:rPr>
        <w:t> </w:t>
      </w:r>
      <w:r>
        <w:rPr>
          <w:rFonts w:ascii="Trebuchet MS" w:hAnsi="Trebuchet MS"/>
          <w:color w:val="231F20"/>
          <w:sz w:val="16"/>
        </w:rPr>
        <w:t>Regional</w:t>
      </w:r>
      <w:r>
        <w:rPr>
          <w:rFonts w:ascii="Trebuchet MS" w:hAnsi="Trebuchet MS"/>
          <w:color w:val="231F20"/>
          <w:spacing w:val="-12"/>
          <w:sz w:val="16"/>
        </w:rPr>
        <w:t> </w:t>
      </w:r>
      <w:r>
        <w:rPr>
          <w:rFonts w:ascii="Trebuchet MS" w:hAnsi="Trebuchet MS"/>
          <w:color w:val="231F20"/>
          <w:sz w:val="16"/>
        </w:rPr>
        <w:t>Universitaria</w:t>
      </w:r>
      <w:r>
        <w:rPr>
          <w:rFonts w:ascii="Trebuchet MS" w:hAnsi="Trebuchet MS"/>
          <w:color w:val="231F20"/>
          <w:spacing w:val="-11"/>
          <w:sz w:val="16"/>
        </w:rPr>
        <w:t> </w:t>
      </w:r>
      <w:r>
        <w:rPr>
          <w:rFonts w:ascii="Trebuchet MS" w:hAnsi="Trebuchet MS"/>
          <w:color w:val="231F20"/>
          <w:sz w:val="16"/>
        </w:rPr>
        <w:t>Sursureste.</w:t>
      </w:r>
      <w:r>
        <w:rPr>
          <w:rFonts w:ascii="Trebuchet MS" w:hAnsi="Trebuchet MS"/>
          <w:color w:val="231F20"/>
          <w:spacing w:val="-12"/>
          <w:sz w:val="16"/>
        </w:rPr>
        <w:t> </w:t>
      </w:r>
      <w:r>
        <w:rPr>
          <w:rFonts w:ascii="Trebuchet MS" w:hAnsi="Trebuchet MS"/>
          <w:color w:val="231F20"/>
          <w:sz w:val="16"/>
        </w:rPr>
        <w:t>Km.</w:t>
      </w:r>
      <w:r>
        <w:rPr>
          <w:rFonts w:ascii="Trebuchet MS" w:hAnsi="Trebuchet MS"/>
          <w:color w:val="231F20"/>
          <w:spacing w:val="-12"/>
          <w:sz w:val="16"/>
        </w:rPr>
        <w:t> </w:t>
      </w:r>
      <w:r>
        <w:rPr>
          <w:rFonts w:ascii="Trebuchet MS" w:hAnsi="Trebuchet MS"/>
          <w:color w:val="231F20"/>
          <w:sz w:val="16"/>
        </w:rPr>
        <w:t>7</w:t>
      </w:r>
      <w:r>
        <w:rPr>
          <w:rFonts w:ascii="Trebuchet MS" w:hAnsi="Trebuchet MS"/>
          <w:color w:val="231F20"/>
          <w:spacing w:val="-12"/>
          <w:sz w:val="16"/>
        </w:rPr>
        <w:t> </w:t>
      </w:r>
      <w:r>
        <w:rPr>
          <w:rFonts w:ascii="Trebuchet MS" w:hAnsi="Trebuchet MS"/>
          <w:color w:val="231F20"/>
          <w:sz w:val="16"/>
        </w:rPr>
        <w:t>Carretera </w:t>
      </w:r>
      <w:r>
        <w:rPr>
          <w:rFonts w:ascii="Trebuchet MS" w:hAnsi="Trebuchet MS"/>
          <w:color w:val="231F20"/>
          <w:spacing w:val="-3"/>
          <w:sz w:val="16"/>
        </w:rPr>
        <w:t>Teapa-Vicente </w:t>
      </w:r>
      <w:r>
        <w:rPr>
          <w:rFonts w:ascii="Trebuchet MS" w:hAnsi="Trebuchet MS"/>
          <w:color w:val="231F20"/>
          <w:sz w:val="16"/>
        </w:rPr>
        <w:t>Guerrero, Ranchería San José Puyacatengo, </w:t>
      </w:r>
      <w:r>
        <w:rPr>
          <w:rFonts w:ascii="Trebuchet MS" w:hAnsi="Trebuchet MS"/>
          <w:color w:val="231F20"/>
          <w:spacing w:val="-4"/>
          <w:sz w:val="16"/>
        </w:rPr>
        <w:t>Teapa, </w:t>
      </w:r>
      <w:r>
        <w:rPr>
          <w:rFonts w:ascii="Trebuchet MS" w:hAnsi="Trebuchet MS"/>
          <w:color w:val="231F20"/>
          <w:spacing w:val="-6"/>
          <w:sz w:val="16"/>
        </w:rPr>
        <w:t>Tab. </w:t>
      </w:r>
      <w:r>
        <w:rPr>
          <w:rFonts w:ascii="Trebuchet MS" w:hAnsi="Trebuchet MS"/>
          <w:color w:val="231F20"/>
          <w:sz w:val="16"/>
        </w:rPr>
        <w:t>E-mail: </w:t>
      </w:r>
      <w:hyperlink r:id="rId126">
        <w:r>
          <w:rPr>
            <w:rFonts w:ascii="Trebuchet MS" w:hAnsi="Trebuchet MS"/>
            <w:color w:val="231F20"/>
            <w:sz w:val="16"/>
          </w:rPr>
          <w:t>lucianomtzb@yahoo.com.mx.</w:t>
        </w:r>
      </w:hyperlink>
      <w:r>
        <w:rPr>
          <w:rFonts w:ascii="Trebuchet MS" w:hAnsi="Trebuchet MS"/>
          <w:color w:val="231F20"/>
          <w:sz w:val="16"/>
        </w:rPr>
        <w:t> </w:t>
      </w:r>
      <w:r>
        <w:rPr>
          <w:rFonts w:ascii="Trebuchet MS" w:hAnsi="Trebuchet MS"/>
          <w:color w:val="231F20"/>
          <w:spacing w:val="-7"/>
          <w:position w:val="5"/>
          <w:sz w:val="9"/>
        </w:rPr>
        <w:t>3</w:t>
      </w:r>
      <w:r>
        <w:rPr>
          <w:rFonts w:ascii="Trebuchet MS" w:hAnsi="Trebuchet MS"/>
          <w:color w:val="231F20"/>
          <w:spacing w:val="-7"/>
          <w:sz w:val="16"/>
        </w:rPr>
        <w:t>INIFAP, </w:t>
      </w:r>
      <w:r>
        <w:rPr>
          <w:rFonts w:ascii="Trebuchet MS" w:hAnsi="Trebuchet MS"/>
          <w:color w:val="231F20"/>
          <w:sz w:val="16"/>
        </w:rPr>
        <w:t>Campo Experimental </w:t>
      </w:r>
      <w:r>
        <w:rPr>
          <w:rFonts w:ascii="Trebuchet MS" w:hAnsi="Trebuchet MS"/>
          <w:color w:val="231F20"/>
          <w:spacing w:val="-4"/>
          <w:sz w:val="16"/>
        </w:rPr>
        <w:t>Tecomán. </w:t>
      </w:r>
      <w:r>
        <w:rPr>
          <w:rFonts w:ascii="Trebuchet MS" w:hAnsi="Trebuchet MS"/>
          <w:color w:val="231F20"/>
          <w:sz w:val="16"/>
        </w:rPr>
        <w:t>Km. 35 Carretera. Colima-Manzanillo.</w:t>
      </w:r>
      <w:r>
        <w:rPr>
          <w:rFonts w:ascii="Trebuchet MS" w:hAnsi="Trebuchet MS"/>
          <w:color w:val="231F20"/>
          <w:spacing w:val="-28"/>
          <w:sz w:val="16"/>
        </w:rPr>
        <w:t> </w:t>
      </w:r>
      <w:hyperlink r:id="rId127">
        <w:r>
          <w:rPr>
            <w:rFonts w:ascii="Trebuchet MS" w:hAnsi="Trebuchet MS"/>
            <w:color w:val="231F20"/>
            <w:sz w:val="16"/>
          </w:rPr>
          <w:t>E-mail:orozco.mario@infap.gob.mx</w:t>
        </w:r>
      </w:hyperlink>
    </w:p>
    <w:p>
      <w:pPr>
        <w:spacing w:after="0" w:line="247" w:lineRule="auto"/>
        <w:jc w:val="both"/>
        <w:rPr>
          <w:rFonts w:ascii="Trebuchet MS" w:hAnsi="Trebuchet MS"/>
          <w:sz w:val="16"/>
        </w:rPr>
        <w:sectPr>
          <w:pgSz w:w="10920" w:h="13080"/>
          <w:pgMar w:header="0" w:footer="965" w:top="420" w:bottom="1220" w:left="0" w:right="0"/>
        </w:sectPr>
      </w:pPr>
    </w:p>
    <w:p>
      <w:pPr>
        <w:pStyle w:val="BodyText"/>
        <w:rPr>
          <w:rFonts w:ascii="Trebuchet MS"/>
          <w:sz w:val="20"/>
        </w:rPr>
      </w:pPr>
    </w:p>
    <w:p>
      <w:pPr>
        <w:pStyle w:val="BodyText"/>
        <w:rPr>
          <w:rFonts w:ascii="Trebuchet MS"/>
          <w:sz w:val="20"/>
        </w:rPr>
      </w:pPr>
    </w:p>
    <w:p>
      <w:pPr>
        <w:pStyle w:val="BodyText"/>
        <w:spacing w:before="4"/>
        <w:rPr>
          <w:rFonts w:ascii="Trebuchet MS"/>
          <w:sz w:val="22"/>
        </w:rPr>
      </w:pPr>
    </w:p>
    <w:p>
      <w:pPr>
        <w:pStyle w:val="BodyText"/>
        <w:spacing w:line="247" w:lineRule="auto" w:before="73"/>
        <w:ind w:left="1270" w:right="1267"/>
        <w:jc w:val="both"/>
      </w:pPr>
      <w:r>
        <w:rPr>
          <w:color w:val="231F20"/>
        </w:rPr>
        <w:t>Las</w:t>
      </w:r>
      <w:r>
        <w:rPr>
          <w:color w:val="231F20"/>
          <w:spacing w:val="-4"/>
        </w:rPr>
        <w:t> </w:t>
      </w:r>
      <w:r>
        <w:rPr>
          <w:color w:val="231F20"/>
        </w:rPr>
        <w:t>variedades</w:t>
      </w:r>
      <w:r>
        <w:rPr>
          <w:color w:val="231F20"/>
          <w:spacing w:val="-4"/>
        </w:rPr>
        <w:t> </w:t>
      </w:r>
      <w:r>
        <w:rPr>
          <w:color w:val="231F20"/>
        </w:rPr>
        <w:t>o</w:t>
      </w:r>
      <w:r>
        <w:rPr>
          <w:color w:val="231F20"/>
          <w:spacing w:val="-4"/>
        </w:rPr>
        <w:t> </w:t>
      </w:r>
      <w:r>
        <w:rPr>
          <w:color w:val="231F20"/>
        </w:rPr>
        <w:t>tipos</w:t>
      </w:r>
      <w:r>
        <w:rPr>
          <w:color w:val="231F20"/>
          <w:spacing w:val="-5"/>
        </w:rPr>
        <w:t> </w:t>
      </w:r>
      <w:r>
        <w:rPr>
          <w:color w:val="231F20"/>
        </w:rPr>
        <w:t>de</w:t>
      </w:r>
      <w:r>
        <w:rPr>
          <w:color w:val="231F20"/>
          <w:spacing w:val="-4"/>
        </w:rPr>
        <w:t> </w:t>
      </w:r>
      <w:r>
        <w:rPr>
          <w:color w:val="231F20"/>
        </w:rPr>
        <w:t>plátano</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producen</w:t>
      </w:r>
      <w:r>
        <w:rPr>
          <w:color w:val="231F20"/>
          <w:spacing w:val="-4"/>
        </w:rPr>
        <w:t> </w:t>
      </w:r>
      <w:r>
        <w:rPr>
          <w:color w:val="231F20"/>
        </w:rPr>
        <w:t>en</w:t>
      </w:r>
      <w:r>
        <w:rPr>
          <w:color w:val="231F20"/>
          <w:spacing w:val="-4"/>
        </w:rPr>
        <w:t> </w:t>
      </w:r>
      <w:r>
        <w:rPr>
          <w:color w:val="231F20"/>
        </w:rPr>
        <w:t>México</w:t>
      </w:r>
      <w:r>
        <w:rPr>
          <w:color w:val="231F20"/>
          <w:spacing w:val="-4"/>
        </w:rPr>
        <w:t> </w:t>
      </w:r>
      <w:r>
        <w:rPr>
          <w:color w:val="231F20"/>
        </w:rPr>
        <w:t>son:</w:t>
      </w:r>
      <w:r>
        <w:rPr>
          <w:color w:val="231F20"/>
          <w:spacing w:val="-4"/>
        </w:rPr>
        <w:t> </w:t>
      </w:r>
      <w:r>
        <w:rPr>
          <w:color w:val="231F20"/>
        </w:rPr>
        <w:t>Enano</w:t>
      </w:r>
      <w:r>
        <w:rPr>
          <w:color w:val="231F20"/>
          <w:spacing w:val="-5"/>
        </w:rPr>
        <w:t> </w:t>
      </w:r>
      <w:r>
        <w:rPr>
          <w:color w:val="231F20"/>
        </w:rPr>
        <w:t>Gigante,</w:t>
      </w:r>
      <w:r>
        <w:rPr>
          <w:color w:val="231F20"/>
          <w:spacing w:val="-4"/>
        </w:rPr>
        <w:t> </w:t>
      </w:r>
      <w:r>
        <w:rPr>
          <w:color w:val="231F20"/>
        </w:rPr>
        <w:t>Macho,</w:t>
      </w:r>
      <w:r>
        <w:rPr>
          <w:color w:val="231F20"/>
          <w:spacing w:val="-8"/>
        </w:rPr>
        <w:t> </w:t>
      </w:r>
      <w:r>
        <w:rPr>
          <w:color w:val="231F20"/>
        </w:rPr>
        <w:t>Tabasco, Dominico, </w:t>
      </w:r>
      <w:r>
        <w:rPr>
          <w:color w:val="231F20"/>
          <w:spacing w:val="-6"/>
        </w:rPr>
        <w:t>Valery, </w:t>
      </w:r>
      <w:r>
        <w:rPr>
          <w:color w:val="231F20"/>
        </w:rPr>
        <w:t>Criollo, Pera, Manzano y Morado </w:t>
      </w:r>
      <w:r>
        <w:rPr>
          <w:color w:val="231F20"/>
          <w:spacing w:val="-4"/>
        </w:rPr>
        <w:t>(SIAP, </w:t>
      </w:r>
      <w:r>
        <w:rPr>
          <w:color w:val="231F20"/>
        </w:rPr>
        <w:t>2010). El cultivo del plátano en los últimos años ha perdido su capacidad productiva y sostenibilidad por falta de tecnología eficiente, económica y ecológica para mejorar la fertilidad del suelo y la sanidad de los cultivos. Estas son las principales causas de pérdida competitiva en los mercados internacionales (Espinal et al., 2005). La Sigatoka</w:t>
      </w:r>
      <w:r>
        <w:rPr>
          <w:color w:val="231F20"/>
          <w:spacing w:val="-8"/>
        </w:rPr>
        <w:t> </w:t>
      </w:r>
      <w:r>
        <w:rPr>
          <w:color w:val="231F20"/>
        </w:rPr>
        <w:t>negra,</w:t>
      </w:r>
      <w:r>
        <w:rPr>
          <w:color w:val="231F20"/>
          <w:spacing w:val="-8"/>
        </w:rPr>
        <w:t> </w:t>
      </w:r>
      <w:r>
        <w:rPr>
          <w:color w:val="231F20"/>
        </w:rPr>
        <w:t>es</w:t>
      </w:r>
      <w:r>
        <w:rPr>
          <w:color w:val="231F20"/>
          <w:spacing w:val="-8"/>
        </w:rPr>
        <w:t> </w:t>
      </w:r>
      <w:r>
        <w:rPr>
          <w:color w:val="231F20"/>
        </w:rPr>
        <w:t>una</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enfermedades</w:t>
      </w:r>
      <w:r>
        <w:rPr>
          <w:color w:val="231F20"/>
          <w:spacing w:val="-9"/>
        </w:rPr>
        <w:t> </w:t>
      </w:r>
      <w:r>
        <w:rPr>
          <w:color w:val="231F20"/>
        </w:rPr>
        <w:t>con</w:t>
      </w:r>
      <w:r>
        <w:rPr>
          <w:color w:val="231F20"/>
          <w:spacing w:val="-8"/>
        </w:rPr>
        <w:t> </w:t>
      </w:r>
      <w:r>
        <w:rPr>
          <w:color w:val="231F20"/>
        </w:rPr>
        <w:t>mayor</w:t>
      </w:r>
      <w:r>
        <w:rPr>
          <w:color w:val="231F20"/>
          <w:spacing w:val="-8"/>
        </w:rPr>
        <w:t> </w:t>
      </w:r>
      <w:r>
        <w:rPr>
          <w:color w:val="231F20"/>
        </w:rPr>
        <w:t>importancia</w:t>
      </w:r>
      <w:r>
        <w:rPr>
          <w:color w:val="231F20"/>
          <w:spacing w:val="-9"/>
        </w:rPr>
        <w:t> </w:t>
      </w:r>
      <w:r>
        <w:rPr>
          <w:color w:val="231F20"/>
        </w:rPr>
        <w:t>económica</w:t>
      </w:r>
      <w:r>
        <w:rPr>
          <w:color w:val="231F20"/>
          <w:spacing w:val="-9"/>
        </w:rPr>
        <w:t> </w:t>
      </w:r>
      <w:r>
        <w:rPr>
          <w:color w:val="231F20"/>
        </w:rPr>
        <w:t>para</w:t>
      </w:r>
      <w:r>
        <w:rPr>
          <w:color w:val="231F20"/>
          <w:spacing w:val="-8"/>
        </w:rPr>
        <w:t> </w:t>
      </w:r>
      <w:r>
        <w:rPr>
          <w:color w:val="231F20"/>
        </w:rPr>
        <w:t>algunas</w:t>
      </w:r>
      <w:r>
        <w:rPr>
          <w:color w:val="231F20"/>
          <w:spacing w:val="-9"/>
        </w:rPr>
        <w:t> </w:t>
      </w:r>
      <w:r>
        <w:rPr>
          <w:color w:val="231F20"/>
        </w:rPr>
        <w:t>especies de Musa. Esta enfermedad es responsable de graves daños en el cultivo en África, las Islas de Pací- fico y en América Central (Okole y Schulz,</w:t>
      </w:r>
      <w:r>
        <w:rPr>
          <w:color w:val="231F20"/>
          <w:spacing w:val="-24"/>
        </w:rPr>
        <w:t> </w:t>
      </w:r>
      <w:r>
        <w:rPr>
          <w:color w:val="231F20"/>
        </w:rPr>
        <w:t>1995).</w:t>
      </w:r>
    </w:p>
    <w:p>
      <w:pPr>
        <w:pStyle w:val="BodyText"/>
        <w:spacing w:before="10"/>
      </w:pPr>
    </w:p>
    <w:p>
      <w:pPr>
        <w:pStyle w:val="BodyText"/>
        <w:spacing w:line="247" w:lineRule="auto"/>
        <w:ind w:left="1270" w:right="1267"/>
        <w:jc w:val="both"/>
      </w:pPr>
      <w:r>
        <w:rPr>
          <w:color w:val="231F20"/>
        </w:rPr>
        <w:t>Los síntomas de la Sigatoka negra corresponden a estrías finas marrón claras, visibles en el envés a partir de la parte apical de las hojas. La estría evoluciona a mancha marrón para finalmente tornarse mancha oscura a negra de forma irregular, presentándose coalescencia entre las lesiones a partir de las fases iniciales o estrías de coloración marrón (Gasparotto, 2006; citado por Zuloaga, 2007). </w:t>
      </w:r>
      <w:r>
        <w:rPr>
          <w:i/>
          <w:color w:val="231F20"/>
        </w:rPr>
        <w:t>M. </w:t>
      </w:r>
      <w:r>
        <w:rPr>
          <w:i/>
          <w:color w:val="231F20"/>
        </w:rPr>
        <w:t>fijiensis </w:t>
      </w:r>
      <w:r>
        <w:rPr>
          <w:color w:val="231F20"/>
        </w:rPr>
        <w:t>produce clorosis foliar y una posterior reducción en la tasa neta de asimilación de luz en</w:t>
      </w:r>
      <w:r>
        <w:rPr>
          <w:color w:val="231F20"/>
          <w:spacing w:val="-16"/>
        </w:rPr>
        <w:t> </w:t>
      </w:r>
      <w:r>
        <w:rPr>
          <w:color w:val="231F20"/>
        </w:rPr>
        <w:t>las plantas de banano y plátano (Okole </w:t>
      </w:r>
      <w:r>
        <w:rPr>
          <w:i/>
          <w:color w:val="231F20"/>
        </w:rPr>
        <w:t>et al.</w:t>
      </w:r>
      <w:r>
        <w:rPr>
          <w:color w:val="231F20"/>
        </w:rPr>
        <w:t>, 1994; citado por Okole y Schulz, 1995). Esto conduce a una</w:t>
      </w:r>
      <w:r>
        <w:rPr>
          <w:color w:val="231F20"/>
          <w:spacing w:val="-3"/>
        </w:rPr>
        <w:t> </w:t>
      </w:r>
      <w:r>
        <w:rPr>
          <w:color w:val="231F20"/>
        </w:rPr>
        <w:t>disminución</w:t>
      </w:r>
      <w:r>
        <w:rPr>
          <w:color w:val="231F20"/>
          <w:spacing w:val="-3"/>
        </w:rPr>
        <w:t> </w:t>
      </w:r>
      <w:r>
        <w:rPr>
          <w:color w:val="231F20"/>
        </w:rPr>
        <w:t>en</w:t>
      </w:r>
      <w:r>
        <w:rPr>
          <w:color w:val="231F20"/>
          <w:spacing w:val="-3"/>
        </w:rPr>
        <w:t> </w:t>
      </w:r>
      <w:r>
        <w:rPr>
          <w:color w:val="231F20"/>
        </w:rPr>
        <w:t>la</w:t>
      </w:r>
      <w:r>
        <w:rPr>
          <w:color w:val="231F20"/>
          <w:spacing w:val="-3"/>
        </w:rPr>
        <w:t> </w:t>
      </w:r>
      <w:r>
        <w:rPr>
          <w:color w:val="231F20"/>
        </w:rPr>
        <w:t>capacidad</w:t>
      </w:r>
      <w:r>
        <w:rPr>
          <w:color w:val="231F20"/>
          <w:spacing w:val="-4"/>
        </w:rPr>
        <w:t> </w:t>
      </w:r>
      <w:r>
        <w:rPr>
          <w:color w:val="231F20"/>
        </w:rPr>
        <w:t>fotosintética</w:t>
      </w:r>
      <w:r>
        <w:rPr>
          <w:color w:val="231F20"/>
          <w:spacing w:val="-3"/>
        </w:rPr>
        <w:t> </w:t>
      </w:r>
      <w:r>
        <w:rPr>
          <w:color w:val="231F20"/>
        </w:rPr>
        <w:t>y</w:t>
      </w:r>
      <w:r>
        <w:rPr>
          <w:color w:val="231F20"/>
          <w:spacing w:val="-3"/>
        </w:rPr>
        <w:t> </w:t>
      </w:r>
      <w:r>
        <w:rPr>
          <w:color w:val="231F20"/>
        </w:rPr>
        <w:t>la</w:t>
      </w:r>
      <w:r>
        <w:rPr>
          <w:color w:val="231F20"/>
          <w:spacing w:val="-3"/>
        </w:rPr>
        <w:t> </w:t>
      </w:r>
      <w:r>
        <w:rPr>
          <w:color w:val="231F20"/>
        </w:rPr>
        <w:t>maduración</w:t>
      </w:r>
      <w:r>
        <w:rPr>
          <w:color w:val="231F20"/>
          <w:spacing w:val="-4"/>
        </w:rPr>
        <w:t> </w:t>
      </w:r>
      <w:r>
        <w:rPr>
          <w:color w:val="231F20"/>
        </w:rPr>
        <w:t>prematura</w:t>
      </w:r>
      <w:r>
        <w:rPr>
          <w:color w:val="231F20"/>
          <w:spacing w:val="-3"/>
        </w:rPr>
        <w:t> </w:t>
      </w:r>
      <w:r>
        <w:rPr>
          <w:color w:val="231F20"/>
        </w:rPr>
        <w:t>de</w:t>
      </w:r>
      <w:r>
        <w:rPr>
          <w:color w:val="231F20"/>
          <w:spacing w:val="-3"/>
        </w:rPr>
        <w:t> </w:t>
      </w:r>
      <w:r>
        <w:rPr>
          <w:color w:val="231F20"/>
        </w:rPr>
        <w:t>los</w:t>
      </w:r>
      <w:r>
        <w:rPr>
          <w:color w:val="231F20"/>
          <w:spacing w:val="-4"/>
        </w:rPr>
        <w:t> </w:t>
      </w:r>
      <w:r>
        <w:rPr>
          <w:color w:val="231F20"/>
        </w:rPr>
        <w:t>frutos</w:t>
      </w:r>
      <w:r>
        <w:rPr>
          <w:color w:val="231F20"/>
          <w:spacing w:val="-3"/>
        </w:rPr>
        <w:t> </w:t>
      </w:r>
      <w:r>
        <w:rPr>
          <w:color w:val="231F20"/>
        </w:rPr>
        <w:t>(Mobambo</w:t>
      </w:r>
      <w:r>
        <w:rPr>
          <w:color w:val="231F20"/>
          <w:spacing w:val="-3"/>
        </w:rPr>
        <w:t> </w:t>
      </w:r>
      <w:r>
        <w:rPr>
          <w:i/>
          <w:color w:val="231F20"/>
        </w:rPr>
        <w:t>et </w:t>
      </w:r>
      <w:r>
        <w:rPr>
          <w:i/>
          <w:color w:val="231F20"/>
        </w:rPr>
        <w:t>al.</w:t>
      </w:r>
      <w:r>
        <w:rPr>
          <w:color w:val="231F20"/>
        </w:rPr>
        <w:t>, 1993; citado por Okole y Schulz,</w:t>
      </w:r>
      <w:r>
        <w:rPr>
          <w:color w:val="231F20"/>
          <w:spacing w:val="-11"/>
        </w:rPr>
        <w:t> </w:t>
      </w:r>
      <w:r>
        <w:rPr>
          <w:color w:val="231F20"/>
        </w:rPr>
        <w:t>1995).</w:t>
      </w:r>
    </w:p>
    <w:p>
      <w:pPr>
        <w:pStyle w:val="BodyText"/>
        <w:spacing w:before="10"/>
      </w:pPr>
    </w:p>
    <w:p>
      <w:pPr>
        <w:pStyle w:val="BodyText"/>
        <w:spacing w:line="247" w:lineRule="auto"/>
        <w:ind w:left="1270" w:right="1267"/>
        <w:jc w:val="both"/>
      </w:pPr>
      <w:r>
        <w:rPr>
          <w:color w:val="231F20"/>
        </w:rPr>
        <w:t>La epidemiologia de la Sigatoka negra depende de factores bióticos y abióticos. Los conidios y las ascosporas</w:t>
      </w:r>
      <w:r>
        <w:rPr>
          <w:color w:val="231F20"/>
          <w:spacing w:val="-4"/>
        </w:rPr>
        <w:t> </w:t>
      </w:r>
      <w:r>
        <w:rPr>
          <w:color w:val="231F20"/>
        </w:rPr>
        <w:t>juegan</w:t>
      </w:r>
      <w:r>
        <w:rPr>
          <w:color w:val="231F20"/>
          <w:spacing w:val="-4"/>
        </w:rPr>
        <w:t> </w:t>
      </w:r>
      <w:r>
        <w:rPr>
          <w:color w:val="231F20"/>
        </w:rPr>
        <w:t>un</w:t>
      </w:r>
      <w:r>
        <w:rPr>
          <w:color w:val="231F20"/>
          <w:spacing w:val="-3"/>
        </w:rPr>
        <w:t> </w:t>
      </w:r>
      <w:r>
        <w:rPr>
          <w:color w:val="231F20"/>
        </w:rPr>
        <w:t>papel</w:t>
      </w:r>
      <w:r>
        <w:rPr>
          <w:color w:val="231F20"/>
          <w:spacing w:val="-3"/>
        </w:rPr>
        <w:t> </w:t>
      </w:r>
      <w:r>
        <w:rPr>
          <w:color w:val="231F20"/>
        </w:rPr>
        <w:t>en</w:t>
      </w:r>
      <w:r>
        <w:rPr>
          <w:color w:val="231F20"/>
          <w:spacing w:val="-4"/>
        </w:rPr>
        <w:t> </w:t>
      </w:r>
      <w:r>
        <w:rPr>
          <w:color w:val="231F20"/>
        </w:rPr>
        <w:t>la</w:t>
      </w:r>
      <w:r>
        <w:rPr>
          <w:color w:val="231F20"/>
          <w:spacing w:val="-4"/>
        </w:rPr>
        <w:t> </w:t>
      </w:r>
      <w:r>
        <w:rPr>
          <w:color w:val="231F20"/>
        </w:rPr>
        <w:t>propagación</w:t>
      </w:r>
      <w:r>
        <w:rPr>
          <w:color w:val="231F20"/>
          <w:spacing w:val="-3"/>
        </w:rPr>
        <w:t> </w:t>
      </w:r>
      <w:r>
        <w:rPr>
          <w:color w:val="231F20"/>
        </w:rPr>
        <w:t>de</w:t>
      </w:r>
      <w:r>
        <w:rPr>
          <w:color w:val="231F20"/>
          <w:spacing w:val="-3"/>
        </w:rPr>
        <w:t> </w:t>
      </w:r>
      <w:r>
        <w:rPr>
          <w:color w:val="231F20"/>
        </w:rPr>
        <w:t>la</w:t>
      </w:r>
      <w:r>
        <w:rPr>
          <w:color w:val="231F20"/>
          <w:spacing w:val="-4"/>
        </w:rPr>
        <w:t> </w:t>
      </w:r>
      <w:r>
        <w:rPr>
          <w:color w:val="231F20"/>
        </w:rPr>
        <w:t>enfermedad.</w:t>
      </w:r>
      <w:r>
        <w:rPr>
          <w:color w:val="231F20"/>
          <w:spacing w:val="-4"/>
        </w:rPr>
        <w:t> </w:t>
      </w:r>
      <w:r>
        <w:rPr>
          <w:color w:val="231F20"/>
        </w:rPr>
        <w:t>Los</w:t>
      </w:r>
      <w:r>
        <w:rPr>
          <w:color w:val="231F20"/>
          <w:spacing w:val="-4"/>
        </w:rPr>
        <w:t> </w:t>
      </w:r>
      <w:r>
        <w:rPr>
          <w:color w:val="231F20"/>
        </w:rPr>
        <w:t>conidios</w:t>
      </w:r>
      <w:r>
        <w:rPr>
          <w:color w:val="231F20"/>
          <w:spacing w:val="-4"/>
        </w:rPr>
        <w:t> </w:t>
      </w:r>
      <w:r>
        <w:rPr>
          <w:color w:val="231F20"/>
        </w:rPr>
        <w:t>se</w:t>
      </w:r>
      <w:r>
        <w:rPr>
          <w:color w:val="231F20"/>
          <w:spacing w:val="-3"/>
        </w:rPr>
        <w:t> </w:t>
      </w:r>
      <w:r>
        <w:rPr>
          <w:color w:val="231F20"/>
        </w:rPr>
        <w:t>forman</w:t>
      </w:r>
      <w:r>
        <w:rPr>
          <w:color w:val="231F20"/>
          <w:spacing w:val="-3"/>
        </w:rPr>
        <w:t> </w:t>
      </w:r>
      <w:r>
        <w:rPr>
          <w:color w:val="231F20"/>
        </w:rPr>
        <w:t>bajo</w:t>
      </w:r>
      <w:r>
        <w:rPr>
          <w:color w:val="231F20"/>
          <w:spacing w:val="-3"/>
        </w:rPr>
        <w:t> </w:t>
      </w:r>
      <w:r>
        <w:rPr>
          <w:color w:val="231F20"/>
        </w:rPr>
        <w:t>condi- ciones de alta humedad, especialmente si hay una película de agua libre sobre las hojas y durante el desarrollo de las primeras etapas de la enfermedad (Gauhl,</w:t>
      </w:r>
      <w:r>
        <w:rPr>
          <w:color w:val="231F20"/>
          <w:spacing w:val="-3"/>
        </w:rPr>
        <w:t> </w:t>
      </w:r>
      <w:r>
        <w:rPr>
          <w:color w:val="231F20"/>
        </w:rPr>
        <w:t>1994).</w:t>
      </w:r>
    </w:p>
    <w:p>
      <w:pPr>
        <w:pStyle w:val="BodyText"/>
        <w:spacing w:before="10"/>
      </w:pPr>
    </w:p>
    <w:p>
      <w:pPr>
        <w:pStyle w:val="BodyText"/>
        <w:spacing w:line="247" w:lineRule="auto"/>
        <w:ind w:left="1270" w:right="1267"/>
        <w:jc w:val="both"/>
      </w:pPr>
      <w:r>
        <w:rPr>
          <w:color w:val="231F20"/>
        </w:rPr>
        <w:t>Los</w:t>
      </w:r>
      <w:r>
        <w:rPr>
          <w:color w:val="231F20"/>
          <w:spacing w:val="-8"/>
        </w:rPr>
        <w:t> </w:t>
      </w:r>
      <w:r>
        <w:rPr>
          <w:color w:val="231F20"/>
        </w:rPr>
        <w:t>principales</w:t>
      </w:r>
      <w:r>
        <w:rPr>
          <w:color w:val="231F20"/>
          <w:spacing w:val="-8"/>
        </w:rPr>
        <w:t> </w:t>
      </w:r>
      <w:r>
        <w:rPr>
          <w:color w:val="231F20"/>
        </w:rPr>
        <w:t>medios</w:t>
      </w:r>
      <w:r>
        <w:rPr>
          <w:color w:val="231F20"/>
          <w:spacing w:val="-8"/>
        </w:rPr>
        <w:t> </w:t>
      </w:r>
      <w:r>
        <w:rPr>
          <w:color w:val="231F20"/>
        </w:rPr>
        <w:t>de</w:t>
      </w:r>
      <w:r>
        <w:rPr>
          <w:color w:val="231F20"/>
          <w:spacing w:val="-8"/>
        </w:rPr>
        <w:t> </w:t>
      </w:r>
      <w:r>
        <w:rPr>
          <w:color w:val="231F20"/>
        </w:rPr>
        <w:t>dispersión</w:t>
      </w:r>
      <w:r>
        <w:rPr>
          <w:color w:val="231F20"/>
          <w:spacing w:val="-8"/>
        </w:rPr>
        <w:t> </w:t>
      </w:r>
      <w:r>
        <w:rPr>
          <w:color w:val="231F20"/>
        </w:rPr>
        <w:t>son:</w:t>
      </w:r>
      <w:r>
        <w:rPr>
          <w:color w:val="231F20"/>
          <w:spacing w:val="-8"/>
        </w:rPr>
        <w:t> </w:t>
      </w:r>
      <w:r>
        <w:rPr>
          <w:color w:val="231F20"/>
        </w:rPr>
        <w:t>lavado</w:t>
      </w:r>
      <w:r>
        <w:rPr>
          <w:color w:val="231F20"/>
          <w:spacing w:val="-8"/>
        </w:rPr>
        <w:t> </w:t>
      </w:r>
      <w:r>
        <w:rPr>
          <w:color w:val="231F20"/>
        </w:rPr>
        <w:t>por</w:t>
      </w:r>
      <w:r>
        <w:rPr>
          <w:color w:val="231F20"/>
          <w:spacing w:val="-8"/>
        </w:rPr>
        <w:t> </w:t>
      </w:r>
      <w:r>
        <w:rPr>
          <w:color w:val="231F20"/>
        </w:rPr>
        <w:t>la</w:t>
      </w:r>
      <w:r>
        <w:rPr>
          <w:color w:val="231F20"/>
          <w:spacing w:val="-8"/>
        </w:rPr>
        <w:t> </w:t>
      </w:r>
      <w:r>
        <w:rPr>
          <w:color w:val="231F20"/>
        </w:rPr>
        <w:t>lluvia</w:t>
      </w:r>
      <w:r>
        <w:rPr>
          <w:color w:val="231F20"/>
          <w:spacing w:val="-8"/>
        </w:rPr>
        <w:t> </w:t>
      </w:r>
      <w:r>
        <w:rPr>
          <w:color w:val="231F20"/>
        </w:rPr>
        <w:t>y</w:t>
      </w:r>
      <w:r>
        <w:rPr>
          <w:color w:val="231F20"/>
          <w:spacing w:val="-8"/>
        </w:rPr>
        <w:t> </w:t>
      </w:r>
      <w:r>
        <w:rPr>
          <w:color w:val="231F20"/>
        </w:rPr>
        <w:t>salpicaduras;</w:t>
      </w:r>
      <w:r>
        <w:rPr>
          <w:color w:val="231F20"/>
          <w:spacing w:val="-8"/>
        </w:rPr>
        <w:t> </w:t>
      </w:r>
      <w:r>
        <w:rPr>
          <w:color w:val="231F20"/>
        </w:rPr>
        <w:t>los</w:t>
      </w:r>
      <w:r>
        <w:rPr>
          <w:color w:val="231F20"/>
          <w:spacing w:val="-8"/>
        </w:rPr>
        <w:t> </w:t>
      </w:r>
      <w:r>
        <w:rPr>
          <w:color w:val="231F20"/>
        </w:rPr>
        <w:t>conidios</w:t>
      </w:r>
      <w:r>
        <w:rPr>
          <w:color w:val="231F20"/>
          <w:spacing w:val="-8"/>
        </w:rPr>
        <w:t> </w:t>
      </w:r>
      <w:r>
        <w:rPr>
          <w:color w:val="231F20"/>
        </w:rPr>
        <w:t>se</w:t>
      </w:r>
      <w:r>
        <w:rPr>
          <w:color w:val="231F20"/>
          <w:spacing w:val="-8"/>
        </w:rPr>
        <w:t> </w:t>
      </w:r>
      <w:r>
        <w:rPr>
          <w:color w:val="231F20"/>
        </w:rPr>
        <w:t>asocian sobre todo con la propagación local de la enfermedad y son importantes durante los periodos de</w:t>
      </w:r>
      <w:r>
        <w:rPr>
          <w:color w:val="231F20"/>
          <w:spacing w:val="-36"/>
        </w:rPr>
        <w:t> </w:t>
      </w:r>
      <w:r>
        <w:rPr>
          <w:color w:val="231F20"/>
        </w:rPr>
        <w:t>alta humedad, rocíos frecuentes y lluvias intermitentes. Debido a que </w:t>
      </w:r>
      <w:r>
        <w:rPr>
          <w:i/>
          <w:color w:val="231F20"/>
        </w:rPr>
        <w:t>M. fijiensis </w:t>
      </w:r>
      <w:r>
        <w:rPr>
          <w:color w:val="231F20"/>
        </w:rPr>
        <w:t>produce relativamente pocos conidios, las ascosporas se consideran más importantes en la propagación de la enfermedad (Gauhl, 1994). La enfermedad se encuentra ampliamente distribuida en América causando pérdidas en</w:t>
      </w:r>
      <w:r>
        <w:rPr>
          <w:color w:val="231F20"/>
          <w:spacing w:val="-11"/>
        </w:rPr>
        <w:t> </w:t>
      </w:r>
      <w:r>
        <w:rPr>
          <w:color w:val="231F20"/>
        </w:rPr>
        <w:t>rendimiento</w:t>
      </w:r>
      <w:r>
        <w:rPr>
          <w:color w:val="231F20"/>
          <w:spacing w:val="-12"/>
        </w:rPr>
        <w:t> </w:t>
      </w:r>
      <w:r>
        <w:rPr>
          <w:color w:val="231F20"/>
        </w:rPr>
        <w:t>en</w:t>
      </w:r>
      <w:r>
        <w:rPr>
          <w:color w:val="231F20"/>
          <w:spacing w:val="-11"/>
        </w:rPr>
        <w:t> </w:t>
      </w:r>
      <w:r>
        <w:rPr>
          <w:color w:val="231F20"/>
        </w:rPr>
        <w:t>huertos</w:t>
      </w:r>
      <w:r>
        <w:rPr>
          <w:color w:val="231F20"/>
          <w:spacing w:val="-11"/>
        </w:rPr>
        <w:t> </w:t>
      </w:r>
      <w:r>
        <w:rPr>
          <w:color w:val="231F20"/>
        </w:rPr>
        <w:t>sin</w:t>
      </w:r>
      <w:r>
        <w:rPr>
          <w:color w:val="231F20"/>
          <w:spacing w:val="-11"/>
        </w:rPr>
        <w:t> </w:t>
      </w:r>
      <w:r>
        <w:rPr>
          <w:color w:val="231F20"/>
        </w:rPr>
        <w:t>manejo</w:t>
      </w:r>
      <w:r>
        <w:rPr>
          <w:color w:val="231F20"/>
          <w:spacing w:val="-12"/>
        </w:rPr>
        <w:t> </w:t>
      </w:r>
      <w:r>
        <w:rPr>
          <w:color w:val="231F20"/>
        </w:rPr>
        <w:t>fitosanitario.</w:t>
      </w:r>
      <w:r>
        <w:rPr>
          <w:color w:val="231F20"/>
          <w:spacing w:val="-12"/>
        </w:rPr>
        <w:t> </w:t>
      </w:r>
      <w:r>
        <w:rPr>
          <w:color w:val="231F20"/>
        </w:rPr>
        <w:t>En</w:t>
      </w:r>
      <w:r>
        <w:rPr>
          <w:color w:val="231F20"/>
          <w:spacing w:val="-11"/>
        </w:rPr>
        <w:t> </w:t>
      </w:r>
      <w:r>
        <w:rPr>
          <w:color w:val="231F20"/>
        </w:rPr>
        <w:t>Centroamérica,</w:t>
      </w:r>
      <w:r>
        <w:rPr>
          <w:color w:val="231F20"/>
          <w:spacing w:val="-12"/>
        </w:rPr>
        <w:t> </w:t>
      </w:r>
      <w:r>
        <w:rPr>
          <w:color w:val="231F20"/>
        </w:rPr>
        <w:t>Pérez</w:t>
      </w:r>
      <w:r>
        <w:rPr>
          <w:color w:val="231F20"/>
          <w:spacing w:val="-12"/>
        </w:rPr>
        <w:t> </w:t>
      </w:r>
      <w:r>
        <w:rPr>
          <w:i/>
          <w:color w:val="231F20"/>
        </w:rPr>
        <w:t>et</w:t>
      </w:r>
      <w:r>
        <w:rPr>
          <w:i/>
          <w:color w:val="231F20"/>
          <w:spacing w:val="-11"/>
        </w:rPr>
        <w:t> </w:t>
      </w:r>
      <w:r>
        <w:rPr>
          <w:i/>
          <w:color w:val="231F20"/>
        </w:rPr>
        <w:t>al.</w:t>
      </w:r>
      <w:r>
        <w:rPr>
          <w:color w:val="231F20"/>
        </w:rPr>
        <w:t>,</w:t>
      </w:r>
      <w:r>
        <w:rPr>
          <w:color w:val="231F20"/>
          <w:spacing w:val="-11"/>
        </w:rPr>
        <w:t> </w:t>
      </w:r>
      <w:r>
        <w:rPr>
          <w:color w:val="231F20"/>
        </w:rPr>
        <w:t>(2000)</w:t>
      </w:r>
      <w:r>
        <w:rPr>
          <w:color w:val="231F20"/>
          <w:spacing w:val="-11"/>
        </w:rPr>
        <w:t> </w:t>
      </w:r>
      <w:r>
        <w:rPr>
          <w:color w:val="231F20"/>
        </w:rPr>
        <w:t>determina- ron</w:t>
      </w:r>
      <w:r>
        <w:rPr>
          <w:color w:val="231F20"/>
          <w:spacing w:val="-5"/>
        </w:rPr>
        <w:t> </w:t>
      </w:r>
      <w:r>
        <w:rPr>
          <w:color w:val="231F20"/>
        </w:rPr>
        <w:t>un</w:t>
      </w:r>
      <w:r>
        <w:rPr>
          <w:color w:val="231F20"/>
          <w:spacing w:val="-5"/>
        </w:rPr>
        <w:t> </w:t>
      </w:r>
      <w:r>
        <w:rPr>
          <w:color w:val="231F20"/>
        </w:rPr>
        <w:t>incremento</w:t>
      </w:r>
      <w:r>
        <w:rPr>
          <w:color w:val="231F20"/>
          <w:spacing w:val="-6"/>
        </w:rPr>
        <w:t> </w:t>
      </w:r>
      <w:r>
        <w:rPr>
          <w:color w:val="231F20"/>
        </w:rPr>
        <w:t>en</w:t>
      </w:r>
      <w:r>
        <w:rPr>
          <w:color w:val="231F20"/>
          <w:spacing w:val="-5"/>
        </w:rPr>
        <w:t> </w:t>
      </w:r>
      <w:r>
        <w:rPr>
          <w:color w:val="231F20"/>
        </w:rPr>
        <w:t>los</w:t>
      </w:r>
      <w:r>
        <w:rPr>
          <w:color w:val="231F20"/>
          <w:spacing w:val="-5"/>
        </w:rPr>
        <w:t> </w:t>
      </w:r>
      <w:r>
        <w:rPr>
          <w:color w:val="231F20"/>
        </w:rPr>
        <w:t>costos</w:t>
      </w:r>
      <w:r>
        <w:rPr>
          <w:color w:val="231F20"/>
          <w:spacing w:val="-5"/>
        </w:rPr>
        <w:t> </w:t>
      </w:r>
      <w:r>
        <w:rPr>
          <w:color w:val="231F20"/>
        </w:rPr>
        <w:t>de</w:t>
      </w:r>
      <w:r>
        <w:rPr>
          <w:color w:val="231F20"/>
          <w:spacing w:val="-5"/>
        </w:rPr>
        <w:t> </w:t>
      </w:r>
      <w:r>
        <w:rPr>
          <w:color w:val="231F20"/>
        </w:rPr>
        <w:t>protección</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plantaciones</w:t>
      </w:r>
      <w:r>
        <w:rPr>
          <w:color w:val="231F20"/>
          <w:spacing w:val="-5"/>
        </w:rPr>
        <w:t> </w:t>
      </w:r>
      <w:r>
        <w:rPr>
          <w:color w:val="231F20"/>
        </w:rPr>
        <w:t>bananeras</w:t>
      </w:r>
      <w:r>
        <w:rPr>
          <w:color w:val="231F20"/>
          <w:spacing w:val="-5"/>
        </w:rPr>
        <w:t> </w:t>
      </w:r>
      <w:r>
        <w:rPr>
          <w:color w:val="231F20"/>
        </w:rPr>
        <w:t>por</w:t>
      </w:r>
      <w:r>
        <w:rPr>
          <w:color w:val="231F20"/>
          <w:spacing w:val="-5"/>
        </w:rPr>
        <w:t> </w:t>
      </w:r>
      <w:r>
        <w:rPr>
          <w:color w:val="231F20"/>
        </w:rPr>
        <w:t>esta</w:t>
      </w:r>
      <w:r>
        <w:rPr>
          <w:color w:val="231F20"/>
          <w:spacing w:val="-5"/>
        </w:rPr>
        <w:t> </w:t>
      </w:r>
      <w:r>
        <w:rPr>
          <w:color w:val="231F20"/>
        </w:rPr>
        <w:t>enfermedad;</w:t>
      </w:r>
      <w:r>
        <w:rPr>
          <w:color w:val="231F20"/>
          <w:spacing w:val="-6"/>
        </w:rPr>
        <w:t> </w:t>
      </w:r>
      <w:r>
        <w:rPr>
          <w:color w:val="231F20"/>
        </w:rPr>
        <w:t>en esta</w:t>
      </w:r>
      <w:r>
        <w:rPr>
          <w:color w:val="231F20"/>
          <w:spacing w:val="-4"/>
        </w:rPr>
        <w:t> </w:t>
      </w:r>
      <w:r>
        <w:rPr>
          <w:color w:val="231F20"/>
        </w:rPr>
        <w:t>región,</w:t>
      </w:r>
      <w:r>
        <w:rPr>
          <w:color w:val="231F20"/>
          <w:spacing w:val="-4"/>
        </w:rPr>
        <w:t> </w:t>
      </w:r>
      <w:r>
        <w:rPr>
          <w:color w:val="231F20"/>
        </w:rPr>
        <w:t>el</w:t>
      </w:r>
      <w:r>
        <w:rPr>
          <w:color w:val="231F20"/>
          <w:spacing w:val="-4"/>
        </w:rPr>
        <w:t> </w:t>
      </w:r>
      <w:r>
        <w:rPr>
          <w:color w:val="231F20"/>
        </w:rPr>
        <w:t>27%</w:t>
      </w:r>
      <w:r>
        <w:rPr>
          <w:color w:val="231F20"/>
          <w:spacing w:val="-4"/>
        </w:rPr>
        <w:t> </w:t>
      </w:r>
      <w:r>
        <w:rPr>
          <w:color w:val="231F20"/>
        </w:rPr>
        <w:t>del</w:t>
      </w:r>
      <w:r>
        <w:rPr>
          <w:color w:val="231F20"/>
          <w:spacing w:val="-4"/>
        </w:rPr>
        <w:t> </w:t>
      </w:r>
      <w:r>
        <w:rPr>
          <w:color w:val="231F20"/>
        </w:rPr>
        <w:t>costo</w:t>
      </w:r>
      <w:r>
        <w:rPr>
          <w:color w:val="231F20"/>
          <w:spacing w:val="-4"/>
        </w:rPr>
        <w:t> </w:t>
      </w:r>
      <w:r>
        <w:rPr>
          <w:color w:val="231F20"/>
        </w:rPr>
        <w:t>total</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producción</w:t>
      </w:r>
      <w:r>
        <w:rPr>
          <w:color w:val="231F20"/>
          <w:spacing w:val="-4"/>
        </w:rPr>
        <w:t> </w:t>
      </w:r>
      <w:r>
        <w:rPr>
          <w:color w:val="231F20"/>
        </w:rPr>
        <w:t>de</w:t>
      </w:r>
      <w:r>
        <w:rPr>
          <w:color w:val="231F20"/>
          <w:spacing w:val="-4"/>
        </w:rPr>
        <w:t> </w:t>
      </w:r>
      <w:r>
        <w:rPr>
          <w:color w:val="231F20"/>
        </w:rPr>
        <w:t>una</w:t>
      </w:r>
      <w:r>
        <w:rPr>
          <w:color w:val="231F20"/>
          <w:spacing w:val="-4"/>
        </w:rPr>
        <w:t> </w:t>
      </w:r>
      <w:r>
        <w:rPr>
          <w:color w:val="231F20"/>
        </w:rPr>
        <w:t>caja</w:t>
      </w:r>
      <w:r>
        <w:rPr>
          <w:color w:val="231F20"/>
          <w:spacing w:val="-4"/>
        </w:rPr>
        <w:t> </w:t>
      </w:r>
      <w:r>
        <w:rPr>
          <w:color w:val="231F20"/>
        </w:rPr>
        <w:t>de</w:t>
      </w:r>
      <w:r>
        <w:rPr>
          <w:color w:val="231F20"/>
          <w:spacing w:val="-4"/>
        </w:rPr>
        <w:t> </w:t>
      </w:r>
      <w:r>
        <w:rPr>
          <w:color w:val="231F20"/>
        </w:rPr>
        <w:t>bananos</w:t>
      </w:r>
      <w:r>
        <w:rPr>
          <w:color w:val="231F20"/>
          <w:spacing w:val="-4"/>
        </w:rPr>
        <w:t> </w:t>
      </w:r>
      <w:r>
        <w:rPr>
          <w:color w:val="231F20"/>
        </w:rPr>
        <w:t>se</w:t>
      </w:r>
      <w:r>
        <w:rPr>
          <w:color w:val="231F20"/>
          <w:spacing w:val="-4"/>
        </w:rPr>
        <w:t> </w:t>
      </w:r>
      <w:r>
        <w:rPr>
          <w:color w:val="231F20"/>
        </w:rPr>
        <w:t>utiliza</w:t>
      </w:r>
      <w:r>
        <w:rPr>
          <w:color w:val="231F20"/>
          <w:spacing w:val="-4"/>
        </w:rPr>
        <w:t> </w:t>
      </w:r>
      <w:r>
        <w:rPr>
          <w:color w:val="231F20"/>
        </w:rPr>
        <w:t>en</w:t>
      </w:r>
      <w:r>
        <w:rPr>
          <w:color w:val="231F20"/>
          <w:spacing w:val="-4"/>
        </w:rPr>
        <w:t> </w:t>
      </w:r>
      <w:r>
        <w:rPr>
          <w:color w:val="231F20"/>
        </w:rPr>
        <w:t>tratamientos para el control de esta enfermedad (Stover y Simmonds, 1989) y se ha estimado que la enfermedad causa más de un 38% de pérdida de rendimiento (Marín </w:t>
      </w:r>
      <w:r>
        <w:rPr>
          <w:i/>
          <w:color w:val="231F20"/>
        </w:rPr>
        <w:t>et al.</w:t>
      </w:r>
      <w:r>
        <w:rPr>
          <w:color w:val="231F20"/>
        </w:rPr>
        <w:t>,</w:t>
      </w:r>
      <w:r>
        <w:rPr>
          <w:color w:val="231F20"/>
          <w:spacing w:val="-3"/>
        </w:rPr>
        <w:t> </w:t>
      </w:r>
      <w:r>
        <w:rPr>
          <w:color w:val="231F20"/>
        </w:rPr>
        <w:t>2003).</w:t>
      </w:r>
    </w:p>
    <w:p>
      <w:pPr>
        <w:pStyle w:val="BodyText"/>
        <w:spacing w:before="10"/>
      </w:pPr>
    </w:p>
    <w:p>
      <w:pPr>
        <w:pStyle w:val="BodyText"/>
        <w:spacing w:line="247" w:lineRule="auto"/>
        <w:ind w:left="1270" w:right="1267"/>
        <w:jc w:val="both"/>
      </w:pPr>
      <w:r>
        <w:rPr>
          <w:color w:val="231F20"/>
        </w:rPr>
        <w:t>En</w:t>
      </w:r>
      <w:r>
        <w:rPr>
          <w:color w:val="231F20"/>
          <w:spacing w:val="-6"/>
        </w:rPr>
        <w:t> </w:t>
      </w:r>
      <w:r>
        <w:rPr>
          <w:color w:val="231F20"/>
        </w:rPr>
        <w:t>México,</w:t>
      </w:r>
      <w:r>
        <w:rPr>
          <w:color w:val="231F20"/>
          <w:spacing w:val="-6"/>
        </w:rPr>
        <w:t> </w:t>
      </w:r>
      <w:r>
        <w:rPr>
          <w:color w:val="231F20"/>
        </w:rPr>
        <w:t>a</w:t>
      </w:r>
      <w:r>
        <w:rPr>
          <w:color w:val="231F20"/>
          <w:spacing w:val="-6"/>
        </w:rPr>
        <w:t> </w:t>
      </w:r>
      <w:r>
        <w:rPr>
          <w:color w:val="231F20"/>
        </w:rPr>
        <w:t>partir</w:t>
      </w:r>
      <w:r>
        <w:rPr>
          <w:color w:val="231F20"/>
          <w:spacing w:val="-6"/>
        </w:rPr>
        <w:t> </w:t>
      </w:r>
      <w:r>
        <w:rPr>
          <w:color w:val="231F20"/>
        </w:rPr>
        <w:t>de</w:t>
      </w:r>
      <w:r>
        <w:rPr>
          <w:color w:val="231F20"/>
          <w:spacing w:val="-6"/>
        </w:rPr>
        <w:t> </w:t>
      </w:r>
      <w:r>
        <w:rPr>
          <w:color w:val="231F20"/>
        </w:rPr>
        <w:t>1981,</w:t>
      </w:r>
      <w:r>
        <w:rPr>
          <w:color w:val="231F20"/>
          <w:spacing w:val="-6"/>
        </w:rPr>
        <w:t> </w:t>
      </w:r>
      <w:r>
        <w:rPr>
          <w:color w:val="231F20"/>
        </w:rPr>
        <w:t>la</w:t>
      </w:r>
      <w:r>
        <w:rPr>
          <w:color w:val="231F20"/>
          <w:spacing w:val="-6"/>
        </w:rPr>
        <w:t> </w:t>
      </w:r>
      <w:r>
        <w:rPr>
          <w:color w:val="231F20"/>
        </w:rPr>
        <w:t>producción</w:t>
      </w:r>
      <w:r>
        <w:rPr>
          <w:color w:val="231F20"/>
          <w:spacing w:val="-6"/>
        </w:rPr>
        <w:t> </w:t>
      </w:r>
      <w:r>
        <w:rPr>
          <w:color w:val="231F20"/>
        </w:rPr>
        <w:t>comercial</w:t>
      </w:r>
      <w:r>
        <w:rPr>
          <w:color w:val="231F20"/>
          <w:spacing w:val="-7"/>
        </w:rPr>
        <w:t> </w:t>
      </w:r>
      <w:r>
        <w:rPr>
          <w:color w:val="231F20"/>
        </w:rPr>
        <w:t>de</w:t>
      </w:r>
      <w:r>
        <w:rPr>
          <w:color w:val="231F20"/>
          <w:spacing w:val="-6"/>
        </w:rPr>
        <w:t> </w:t>
      </w:r>
      <w:r>
        <w:rPr>
          <w:color w:val="231F20"/>
        </w:rPr>
        <w:t>bananos</w:t>
      </w:r>
      <w:r>
        <w:rPr>
          <w:color w:val="231F20"/>
          <w:spacing w:val="-6"/>
        </w:rPr>
        <w:t> </w:t>
      </w:r>
      <w:r>
        <w:rPr>
          <w:color w:val="231F20"/>
        </w:rPr>
        <w:t>y</w:t>
      </w:r>
      <w:r>
        <w:rPr>
          <w:color w:val="231F20"/>
          <w:spacing w:val="-6"/>
        </w:rPr>
        <w:t> </w:t>
      </w:r>
      <w:r>
        <w:rPr>
          <w:color w:val="231F20"/>
        </w:rPr>
        <w:t>plátanos</w:t>
      </w:r>
      <w:r>
        <w:rPr>
          <w:color w:val="231F20"/>
          <w:spacing w:val="-6"/>
        </w:rPr>
        <w:t> </w:t>
      </w:r>
      <w:r>
        <w:rPr>
          <w:color w:val="231F20"/>
        </w:rPr>
        <w:t>está</w:t>
      </w:r>
      <w:r>
        <w:rPr>
          <w:color w:val="231F20"/>
          <w:spacing w:val="-6"/>
        </w:rPr>
        <w:t> </w:t>
      </w:r>
      <w:r>
        <w:rPr>
          <w:color w:val="231F20"/>
        </w:rPr>
        <w:t>siendo</w:t>
      </w:r>
      <w:r>
        <w:rPr>
          <w:color w:val="231F20"/>
          <w:spacing w:val="-6"/>
        </w:rPr>
        <w:t> </w:t>
      </w:r>
      <w:r>
        <w:rPr>
          <w:color w:val="231F20"/>
        </w:rPr>
        <w:t>afectada</w:t>
      </w:r>
      <w:r>
        <w:rPr>
          <w:color w:val="231F20"/>
          <w:spacing w:val="-7"/>
        </w:rPr>
        <w:t> </w:t>
      </w:r>
      <w:r>
        <w:rPr>
          <w:color w:val="231F20"/>
        </w:rPr>
        <w:t>por la introducción de la sigatoka negra, la cual sin duda es el principal problema fitosanitario (Orozco- Santos, 1998). Los objetivos del presente trabajo son: Determinar el comportamiento epidemioló- gico de la Sigatoka negra en plantas jóvenes y floridas de plátano en la región de Tecomán,</w:t>
      </w:r>
      <w:r>
        <w:rPr>
          <w:color w:val="231F20"/>
          <w:spacing w:val="-29"/>
        </w:rPr>
        <w:t> </w:t>
      </w:r>
      <w:r>
        <w:rPr>
          <w:color w:val="231F20"/>
        </w:rPr>
        <w:t>Colima; mediante la evaluación de la incidencia y severidad de la enfermedad para eficientar el control de</w:t>
      </w:r>
      <w:r>
        <w:rPr>
          <w:color w:val="231F20"/>
          <w:spacing w:val="-10"/>
        </w:rPr>
        <w:t> </w:t>
      </w:r>
      <w:r>
        <w:rPr>
          <w:color w:val="231F20"/>
        </w:rPr>
        <w:t>la enfermedad. Registrar la liberación de esporas de </w:t>
      </w:r>
      <w:r>
        <w:rPr>
          <w:i/>
          <w:color w:val="231F20"/>
        </w:rPr>
        <w:t>Mycosphaerellafijiensis</w:t>
      </w:r>
      <w:r>
        <w:rPr>
          <w:color w:val="231F20"/>
        </w:rPr>
        <w:t>, mediante el uso de</w:t>
      </w:r>
      <w:r>
        <w:rPr>
          <w:color w:val="231F20"/>
          <w:spacing w:val="-13"/>
        </w:rPr>
        <w:t> </w:t>
      </w:r>
      <w:r>
        <w:rPr>
          <w:color w:val="231F20"/>
        </w:rPr>
        <w:t>tram- pas de captura de esporas para relacionar el clima con la esporulación del</w:t>
      </w:r>
      <w:r>
        <w:rPr>
          <w:color w:val="231F20"/>
          <w:spacing w:val="-5"/>
        </w:rPr>
        <w:t> </w:t>
      </w:r>
      <w:r>
        <w:rPr>
          <w:color w:val="231F20"/>
        </w:rPr>
        <w:t>hongo.</w:t>
      </w:r>
    </w:p>
    <w:p>
      <w:pPr>
        <w:spacing w:after="0" w:line="247" w:lineRule="auto"/>
        <w:jc w:val="both"/>
        <w:sectPr>
          <w:pgSz w:w="10920" w:h="13080"/>
          <w:pgMar w:header="0" w:footer="965" w:top="420" w:bottom="1220" w:left="0" w:right="0"/>
        </w:sectPr>
      </w:pPr>
    </w:p>
    <w:p>
      <w:pPr>
        <w:pStyle w:val="BodyText"/>
        <w:rPr>
          <w:sz w:val="20"/>
        </w:rPr>
      </w:pPr>
    </w:p>
    <w:p>
      <w:pPr>
        <w:pStyle w:val="BodyText"/>
        <w:rPr>
          <w:sz w:val="20"/>
        </w:rPr>
      </w:pPr>
    </w:p>
    <w:p>
      <w:pPr>
        <w:pStyle w:val="BodyText"/>
        <w:spacing w:before="4"/>
        <w:rPr>
          <w:sz w:val="22"/>
        </w:rPr>
      </w:pPr>
    </w:p>
    <w:p>
      <w:pPr>
        <w:pStyle w:val="Heading3"/>
        <w:spacing w:before="69"/>
      </w:pPr>
      <w:r>
        <w:rPr>
          <w:color w:val="010202"/>
        </w:rPr>
        <w:t>Materiales y métodos</w:t>
      </w:r>
    </w:p>
    <w:p>
      <w:pPr>
        <w:pStyle w:val="BodyText"/>
        <w:spacing w:before="10"/>
        <w:rPr>
          <w:b/>
        </w:rPr>
      </w:pPr>
    </w:p>
    <w:p>
      <w:pPr>
        <w:pStyle w:val="Heading5"/>
      </w:pPr>
      <w:r>
        <w:rPr>
          <w:color w:val="231F20"/>
        </w:rPr>
        <w:t>Sitio experimental</w:t>
      </w:r>
    </w:p>
    <w:p>
      <w:pPr>
        <w:pStyle w:val="BodyText"/>
        <w:spacing w:line="247" w:lineRule="auto" w:before="8"/>
        <w:ind w:left="1270" w:right="1252"/>
        <w:jc w:val="both"/>
      </w:pPr>
      <w:r>
        <w:rPr>
          <w:color w:val="231F20"/>
        </w:rPr>
        <w:t>El experimento se realizó en el Instituto Nacional de Investigaciones Forestales, Agrícolas y Pecua- rias </w:t>
      </w:r>
      <w:r>
        <w:rPr>
          <w:color w:val="231F20"/>
          <w:spacing w:val="-3"/>
        </w:rPr>
        <w:t>(INIFAP) </w:t>
      </w:r>
      <w:r>
        <w:rPr>
          <w:color w:val="231F20"/>
        </w:rPr>
        <w:t>que se localiza en el Km. 35 carretera Colima-Manzanillo entre los paralelos 18°40’  y</w:t>
      </w:r>
      <w:r>
        <w:rPr>
          <w:color w:val="231F20"/>
          <w:spacing w:val="-4"/>
        </w:rPr>
        <w:t> </w:t>
      </w:r>
      <w:r>
        <w:rPr>
          <w:color w:val="231F20"/>
        </w:rPr>
        <w:t>19°08’</w:t>
      </w:r>
      <w:r>
        <w:rPr>
          <w:color w:val="231F20"/>
          <w:spacing w:val="-19"/>
        </w:rPr>
        <w:t> </w:t>
      </w:r>
      <w:r>
        <w:rPr>
          <w:color w:val="231F20"/>
        </w:rPr>
        <w:t>de</w:t>
      </w:r>
      <w:r>
        <w:rPr>
          <w:color w:val="231F20"/>
          <w:spacing w:val="-4"/>
        </w:rPr>
        <w:t> </w:t>
      </w:r>
      <w:r>
        <w:rPr>
          <w:color w:val="231F20"/>
        </w:rPr>
        <w:t>latitud</w:t>
      </w:r>
      <w:r>
        <w:rPr>
          <w:color w:val="231F20"/>
          <w:spacing w:val="-4"/>
        </w:rPr>
        <w:t> </w:t>
      </w:r>
      <w:r>
        <w:rPr>
          <w:color w:val="231F20"/>
        </w:rPr>
        <w:t>norte;</w:t>
      </w:r>
      <w:r>
        <w:rPr>
          <w:color w:val="231F20"/>
          <w:spacing w:val="-4"/>
        </w:rPr>
        <w:t> </w:t>
      </w:r>
      <w:r>
        <w:rPr>
          <w:color w:val="231F20"/>
        </w:rPr>
        <w:t>los</w:t>
      </w:r>
      <w:r>
        <w:rPr>
          <w:color w:val="231F20"/>
          <w:spacing w:val="-4"/>
        </w:rPr>
        <w:t> </w:t>
      </w:r>
      <w:r>
        <w:rPr>
          <w:color w:val="231F20"/>
        </w:rPr>
        <w:t>meridianos</w:t>
      </w:r>
      <w:r>
        <w:rPr>
          <w:color w:val="231F20"/>
          <w:spacing w:val="-4"/>
        </w:rPr>
        <w:t> </w:t>
      </w:r>
      <w:r>
        <w:rPr>
          <w:color w:val="231F20"/>
        </w:rPr>
        <w:t>103°37’</w:t>
      </w:r>
      <w:r>
        <w:rPr>
          <w:color w:val="231F20"/>
          <w:spacing w:val="-19"/>
        </w:rPr>
        <w:t> </w:t>
      </w:r>
      <w:r>
        <w:rPr>
          <w:color w:val="231F20"/>
        </w:rPr>
        <w:t>y</w:t>
      </w:r>
      <w:r>
        <w:rPr>
          <w:color w:val="231F20"/>
          <w:spacing w:val="-4"/>
        </w:rPr>
        <w:t> </w:t>
      </w:r>
      <w:r>
        <w:rPr>
          <w:color w:val="231F20"/>
        </w:rPr>
        <w:t>103°59’</w:t>
      </w:r>
      <w:r>
        <w:rPr>
          <w:color w:val="231F20"/>
          <w:spacing w:val="-19"/>
        </w:rPr>
        <w:t> </w:t>
      </w:r>
      <w:r>
        <w:rPr>
          <w:color w:val="231F20"/>
        </w:rPr>
        <w:t>de</w:t>
      </w:r>
      <w:r>
        <w:rPr>
          <w:color w:val="231F20"/>
          <w:spacing w:val="-4"/>
        </w:rPr>
        <w:t> </w:t>
      </w:r>
      <w:r>
        <w:rPr>
          <w:color w:val="231F20"/>
        </w:rPr>
        <w:t>longitud</w:t>
      </w:r>
      <w:r>
        <w:rPr>
          <w:color w:val="231F20"/>
          <w:spacing w:val="-4"/>
        </w:rPr>
        <w:t> </w:t>
      </w:r>
      <w:r>
        <w:rPr>
          <w:color w:val="231F20"/>
        </w:rPr>
        <w:t>oeste;</w:t>
      </w:r>
      <w:r>
        <w:rPr>
          <w:color w:val="231F20"/>
          <w:spacing w:val="-4"/>
        </w:rPr>
        <w:t> </w:t>
      </w:r>
      <w:r>
        <w:rPr>
          <w:color w:val="231F20"/>
        </w:rPr>
        <w:t>altitud</w:t>
      </w:r>
      <w:r>
        <w:rPr>
          <w:color w:val="231F20"/>
          <w:spacing w:val="-4"/>
        </w:rPr>
        <w:t> </w:t>
      </w:r>
      <w:r>
        <w:rPr>
          <w:color w:val="231F20"/>
        </w:rPr>
        <w:t>entre</w:t>
      </w:r>
      <w:r>
        <w:rPr>
          <w:color w:val="231F20"/>
          <w:spacing w:val="-4"/>
        </w:rPr>
        <w:t> </w:t>
      </w:r>
      <w:r>
        <w:rPr>
          <w:color w:val="231F20"/>
        </w:rPr>
        <w:t>0</w:t>
      </w:r>
      <w:r>
        <w:rPr>
          <w:color w:val="231F20"/>
          <w:spacing w:val="-4"/>
        </w:rPr>
        <w:t> </w:t>
      </w:r>
      <w:r>
        <w:rPr>
          <w:color w:val="231F20"/>
        </w:rPr>
        <w:t>y</w:t>
      </w:r>
      <w:r>
        <w:rPr>
          <w:color w:val="231F20"/>
          <w:spacing w:val="-4"/>
        </w:rPr>
        <w:t> </w:t>
      </w:r>
      <w:r>
        <w:rPr>
          <w:color w:val="231F20"/>
        </w:rPr>
        <w:t>1</w:t>
      </w:r>
      <w:r>
        <w:rPr>
          <w:color w:val="231F20"/>
          <w:spacing w:val="-4"/>
        </w:rPr>
        <w:t> </w:t>
      </w:r>
      <w:r>
        <w:rPr>
          <w:color w:val="231F20"/>
        </w:rPr>
        <w:t>200</w:t>
      </w:r>
    </w:p>
    <w:p>
      <w:pPr>
        <w:pStyle w:val="BodyText"/>
        <w:spacing w:line="247" w:lineRule="auto" w:before="1"/>
        <w:ind w:left="1270" w:right="1267"/>
        <w:jc w:val="both"/>
      </w:pPr>
      <w:r>
        <w:rPr>
          <w:color w:val="231F20"/>
        </w:rPr>
        <w:t>m. Cada 7 días se evaluó la incidencia y severidad de Sigatoka negra y el número de hojas funcio- nales en cada tratamiento. La evaluación de la enfermedad se realizó en base a las escalas de Stover modificada por Gauhl (1994) y Fouré (1994).</w:t>
      </w:r>
    </w:p>
    <w:p>
      <w:pPr>
        <w:pStyle w:val="BodyText"/>
        <w:spacing w:before="10"/>
      </w:pPr>
    </w:p>
    <w:p>
      <w:pPr>
        <w:pStyle w:val="BodyText"/>
        <w:ind w:left="1270"/>
        <w:jc w:val="both"/>
      </w:pPr>
      <w:r>
        <w:rPr>
          <w:color w:val="231F20"/>
        </w:rPr>
        <w:t>Los tratamientos fueron: 1) Plantas jóvenes y 2) Plantas en floración inicial. La variedad de banano</w:t>
      </w:r>
    </w:p>
    <w:p>
      <w:pPr>
        <w:pStyle w:val="BodyText"/>
        <w:spacing w:before="8"/>
        <w:ind w:left="1270"/>
        <w:jc w:val="both"/>
      </w:pPr>
      <w:r>
        <w:rPr>
          <w:color w:val="231F20"/>
        </w:rPr>
        <w:t>evaluada fue Enano Gigante.</w:t>
      </w:r>
    </w:p>
    <w:p>
      <w:pPr>
        <w:pStyle w:val="BodyText"/>
        <w:spacing w:before="5"/>
        <w:rPr>
          <w:sz w:val="22"/>
        </w:rPr>
      </w:pPr>
    </w:p>
    <w:p>
      <w:pPr>
        <w:pStyle w:val="BodyText"/>
        <w:spacing w:line="247" w:lineRule="auto"/>
        <w:ind w:left="1270" w:right="1268"/>
        <w:jc w:val="both"/>
      </w:pPr>
      <w:r>
        <w:rPr>
          <w:color w:val="231F20"/>
        </w:rPr>
        <w:t>Diseño</w:t>
      </w:r>
      <w:r>
        <w:rPr>
          <w:color w:val="231F20"/>
          <w:spacing w:val="-6"/>
        </w:rPr>
        <w:t> </w:t>
      </w:r>
      <w:r>
        <w:rPr>
          <w:color w:val="231F20"/>
        </w:rPr>
        <w:t>experimental.</w:t>
      </w:r>
      <w:r>
        <w:rPr>
          <w:color w:val="231F20"/>
          <w:spacing w:val="-6"/>
        </w:rPr>
        <w:t> </w:t>
      </w:r>
      <w:r>
        <w:rPr>
          <w:color w:val="231F20"/>
        </w:rPr>
        <w:t>Se</w:t>
      </w:r>
      <w:r>
        <w:rPr>
          <w:color w:val="231F20"/>
          <w:spacing w:val="-6"/>
        </w:rPr>
        <w:t> </w:t>
      </w:r>
      <w:r>
        <w:rPr>
          <w:color w:val="231F20"/>
        </w:rPr>
        <w:t>utilizó</w:t>
      </w:r>
      <w:r>
        <w:rPr>
          <w:color w:val="231F20"/>
          <w:spacing w:val="-6"/>
        </w:rPr>
        <w:t> </w:t>
      </w:r>
      <w:r>
        <w:rPr>
          <w:color w:val="231F20"/>
        </w:rPr>
        <w:t>un</w:t>
      </w:r>
      <w:r>
        <w:rPr>
          <w:color w:val="231F20"/>
          <w:spacing w:val="-6"/>
        </w:rPr>
        <w:t> </w:t>
      </w:r>
      <w:r>
        <w:rPr>
          <w:color w:val="231F20"/>
        </w:rPr>
        <w:t>diseño</w:t>
      </w:r>
      <w:r>
        <w:rPr>
          <w:color w:val="231F20"/>
          <w:spacing w:val="-6"/>
        </w:rPr>
        <w:t> </w:t>
      </w:r>
      <w:r>
        <w:rPr>
          <w:color w:val="231F20"/>
        </w:rPr>
        <w:t>experimental</w:t>
      </w:r>
      <w:r>
        <w:rPr>
          <w:color w:val="231F20"/>
          <w:spacing w:val="-6"/>
        </w:rPr>
        <w:t> </w:t>
      </w:r>
      <w:r>
        <w:rPr>
          <w:color w:val="231F20"/>
        </w:rPr>
        <w:t>completamente</w:t>
      </w:r>
      <w:r>
        <w:rPr>
          <w:color w:val="231F20"/>
          <w:spacing w:val="-6"/>
        </w:rPr>
        <w:t> </w:t>
      </w:r>
      <w:r>
        <w:rPr>
          <w:color w:val="231F20"/>
        </w:rPr>
        <w:t>al</w:t>
      </w:r>
      <w:r>
        <w:rPr>
          <w:color w:val="231F20"/>
          <w:spacing w:val="-6"/>
        </w:rPr>
        <w:t> </w:t>
      </w:r>
      <w:r>
        <w:rPr>
          <w:color w:val="231F20"/>
        </w:rPr>
        <w:t>azar</w:t>
      </w:r>
      <w:r>
        <w:rPr>
          <w:color w:val="231F20"/>
          <w:spacing w:val="-6"/>
        </w:rPr>
        <w:t> </w:t>
      </w:r>
      <w:r>
        <w:rPr>
          <w:color w:val="231F20"/>
        </w:rPr>
        <w:t>con</w:t>
      </w:r>
      <w:r>
        <w:rPr>
          <w:color w:val="231F20"/>
          <w:spacing w:val="-6"/>
        </w:rPr>
        <w:t> </w:t>
      </w:r>
      <w:r>
        <w:rPr>
          <w:color w:val="231F20"/>
        </w:rPr>
        <w:t>dos</w:t>
      </w:r>
      <w:r>
        <w:rPr>
          <w:color w:val="231F20"/>
          <w:spacing w:val="-6"/>
        </w:rPr>
        <w:t> </w:t>
      </w:r>
      <w:r>
        <w:rPr>
          <w:color w:val="231F20"/>
        </w:rPr>
        <w:t>tratamientos. Cada unidad experimental estuvo representada por 10 plantas jóvenes y 10 plantas</w:t>
      </w:r>
      <w:r>
        <w:rPr>
          <w:color w:val="231F20"/>
          <w:spacing w:val="-11"/>
        </w:rPr>
        <w:t> </w:t>
      </w:r>
      <w:r>
        <w:rPr>
          <w:color w:val="231F20"/>
        </w:rPr>
        <w:t>floridas.</w:t>
      </w:r>
    </w:p>
    <w:p>
      <w:pPr>
        <w:pStyle w:val="BodyText"/>
        <w:spacing w:before="10"/>
      </w:pPr>
    </w:p>
    <w:p>
      <w:pPr>
        <w:pStyle w:val="BodyText"/>
        <w:spacing w:line="247" w:lineRule="auto"/>
        <w:ind w:left="1270" w:right="1268"/>
        <w:jc w:val="both"/>
      </w:pPr>
      <w:r>
        <w:rPr>
          <w:color w:val="231F20"/>
        </w:rPr>
        <w:t>Evaluación de la incidencia y severidad. Semanalmente se seleccionaron 10 plantas próximas a flo- rear o recién floreadas y 10 plantas jóvenes en el campo experimental. Los parámetros evaluados fueron: promedio ponderado de infección (PPI), hoja más joven con pisca (HMJP), promedio de hojas afectadas (PHA), hoja más joven con mancha (HMJM) y número de hojas funcionales (NHF) basándose en la escala de Stover modificada por Gauhl (1994) .</w:t>
      </w:r>
    </w:p>
    <w:p>
      <w:pPr>
        <w:pStyle w:val="BodyText"/>
        <w:spacing w:before="10"/>
      </w:pPr>
    </w:p>
    <w:p>
      <w:pPr>
        <w:pStyle w:val="BodyText"/>
        <w:ind w:left="1270"/>
        <w:jc w:val="both"/>
      </w:pPr>
      <w:r>
        <w:rPr>
          <w:color w:val="231F20"/>
        </w:rPr>
        <w:t>Captura de esporas. La trampa de esporas se ubicó entre las plantas de banano a una altura de 1.5</w:t>
      </w:r>
    </w:p>
    <w:p>
      <w:pPr>
        <w:pStyle w:val="BodyText"/>
        <w:spacing w:line="247" w:lineRule="auto" w:before="8"/>
        <w:ind w:left="1270" w:right="1267"/>
        <w:jc w:val="both"/>
      </w:pPr>
      <w:r>
        <w:rPr>
          <w:color w:val="231F20"/>
        </w:rPr>
        <w:t>m. La trampa cuenta con un sistema de reloj que le permite dar un giro de 360° en siete días y un sistema</w:t>
      </w:r>
      <w:r>
        <w:rPr>
          <w:color w:val="231F20"/>
          <w:spacing w:val="-6"/>
        </w:rPr>
        <w:t> </w:t>
      </w:r>
      <w:r>
        <w:rPr>
          <w:color w:val="231F20"/>
        </w:rPr>
        <w:t>de</w:t>
      </w:r>
      <w:r>
        <w:rPr>
          <w:color w:val="231F20"/>
          <w:spacing w:val="-6"/>
        </w:rPr>
        <w:t> </w:t>
      </w:r>
      <w:r>
        <w:rPr>
          <w:color w:val="231F20"/>
        </w:rPr>
        <w:t>succión</w:t>
      </w:r>
      <w:r>
        <w:rPr>
          <w:color w:val="231F20"/>
          <w:spacing w:val="-6"/>
        </w:rPr>
        <w:t> </w:t>
      </w:r>
      <w:r>
        <w:rPr>
          <w:color w:val="231F20"/>
        </w:rPr>
        <w:t>(ventilador</w:t>
      </w:r>
      <w:r>
        <w:rPr>
          <w:color w:val="231F20"/>
          <w:spacing w:val="-6"/>
        </w:rPr>
        <w:t> </w:t>
      </w:r>
      <w:r>
        <w:rPr>
          <w:color w:val="231F20"/>
        </w:rPr>
        <w:t>inverso),</w:t>
      </w:r>
      <w:r>
        <w:rPr>
          <w:color w:val="231F20"/>
          <w:spacing w:val="-7"/>
        </w:rPr>
        <w:t> </w:t>
      </w:r>
      <w:r>
        <w:rPr>
          <w:color w:val="231F20"/>
        </w:rPr>
        <w:t>por</w:t>
      </w:r>
      <w:r>
        <w:rPr>
          <w:color w:val="231F20"/>
          <w:spacing w:val="-6"/>
        </w:rPr>
        <w:t> </w:t>
      </w:r>
      <w:r>
        <w:rPr>
          <w:color w:val="231F20"/>
        </w:rPr>
        <w:t>lo</w:t>
      </w:r>
      <w:r>
        <w:rPr>
          <w:color w:val="231F20"/>
          <w:spacing w:val="-6"/>
        </w:rPr>
        <w:t> </w:t>
      </w:r>
      <w:r>
        <w:rPr>
          <w:color w:val="231F20"/>
        </w:rPr>
        <w:t>que</w:t>
      </w:r>
      <w:r>
        <w:rPr>
          <w:color w:val="231F20"/>
          <w:spacing w:val="-6"/>
        </w:rPr>
        <w:t> </w:t>
      </w:r>
      <w:r>
        <w:rPr>
          <w:color w:val="231F20"/>
        </w:rPr>
        <w:t>la</w:t>
      </w:r>
      <w:r>
        <w:rPr>
          <w:color w:val="231F20"/>
          <w:spacing w:val="41"/>
        </w:rPr>
        <w:t> </w:t>
      </w:r>
      <w:r>
        <w:rPr>
          <w:color w:val="231F20"/>
        </w:rPr>
        <w:t>colocación</w:t>
      </w:r>
      <w:r>
        <w:rPr>
          <w:color w:val="231F20"/>
          <w:spacing w:val="-7"/>
        </w:rPr>
        <w:t> </w:t>
      </w:r>
      <w:r>
        <w:rPr>
          <w:color w:val="231F20"/>
        </w:rPr>
        <w:t>de</w:t>
      </w:r>
      <w:r>
        <w:rPr>
          <w:color w:val="231F20"/>
          <w:spacing w:val="-6"/>
        </w:rPr>
        <w:t> </w:t>
      </w:r>
      <w:r>
        <w:rPr>
          <w:color w:val="231F20"/>
        </w:rPr>
        <w:t>esta</w:t>
      </w:r>
      <w:r>
        <w:rPr>
          <w:color w:val="231F20"/>
          <w:spacing w:val="-7"/>
        </w:rPr>
        <w:t> </w:t>
      </w:r>
      <w:r>
        <w:rPr>
          <w:color w:val="231F20"/>
        </w:rPr>
        <w:t>trampa</w:t>
      </w:r>
      <w:r>
        <w:rPr>
          <w:color w:val="231F20"/>
          <w:spacing w:val="-7"/>
        </w:rPr>
        <w:t> </w:t>
      </w:r>
      <w:r>
        <w:rPr>
          <w:color w:val="231F20"/>
        </w:rPr>
        <w:t>en</w:t>
      </w:r>
      <w:r>
        <w:rPr>
          <w:color w:val="231F20"/>
          <w:spacing w:val="-6"/>
        </w:rPr>
        <w:t> </w:t>
      </w:r>
      <w:r>
        <w:rPr>
          <w:color w:val="231F20"/>
        </w:rPr>
        <w:t>el</w:t>
      </w:r>
      <w:r>
        <w:rPr>
          <w:color w:val="231F20"/>
          <w:spacing w:val="-6"/>
        </w:rPr>
        <w:t> </w:t>
      </w:r>
      <w:r>
        <w:rPr>
          <w:color w:val="231F20"/>
        </w:rPr>
        <w:t>huerto,</w:t>
      </w:r>
      <w:r>
        <w:rPr>
          <w:color w:val="231F20"/>
          <w:spacing w:val="-6"/>
        </w:rPr>
        <w:t> </w:t>
      </w:r>
      <w:r>
        <w:rPr>
          <w:color w:val="231F20"/>
        </w:rPr>
        <w:t>se</w:t>
      </w:r>
      <w:r>
        <w:rPr>
          <w:color w:val="231F20"/>
          <w:spacing w:val="-6"/>
        </w:rPr>
        <w:t> </w:t>
      </w:r>
      <w:r>
        <w:rPr>
          <w:color w:val="231F20"/>
        </w:rPr>
        <w:t>hizo en función a la dirección predominante del viento y de la superficie mayor de plantas de banano. Esta</w:t>
      </w:r>
      <w:r>
        <w:rPr>
          <w:color w:val="231F20"/>
          <w:spacing w:val="-9"/>
        </w:rPr>
        <w:t> </w:t>
      </w:r>
      <w:r>
        <w:rPr>
          <w:color w:val="231F20"/>
        </w:rPr>
        <w:t>trampa</w:t>
      </w:r>
      <w:r>
        <w:rPr>
          <w:color w:val="231F20"/>
          <w:spacing w:val="-9"/>
        </w:rPr>
        <w:t> </w:t>
      </w:r>
      <w:r>
        <w:rPr>
          <w:color w:val="231F20"/>
        </w:rPr>
        <w:t>capturó</w:t>
      </w:r>
      <w:r>
        <w:rPr>
          <w:color w:val="231F20"/>
          <w:spacing w:val="-10"/>
        </w:rPr>
        <w:t> </w:t>
      </w:r>
      <w:r>
        <w:rPr>
          <w:color w:val="231F20"/>
        </w:rPr>
        <w:t>las</w:t>
      </w:r>
      <w:r>
        <w:rPr>
          <w:color w:val="231F20"/>
          <w:spacing w:val="-9"/>
        </w:rPr>
        <w:t> </w:t>
      </w:r>
      <w:r>
        <w:rPr>
          <w:color w:val="231F20"/>
        </w:rPr>
        <w:t>esporas</w:t>
      </w:r>
      <w:r>
        <w:rPr>
          <w:color w:val="231F20"/>
          <w:spacing w:val="-10"/>
        </w:rPr>
        <w:t> </w:t>
      </w:r>
      <w:r>
        <w:rPr>
          <w:color w:val="231F20"/>
        </w:rPr>
        <w:t>mediante</w:t>
      </w:r>
      <w:r>
        <w:rPr>
          <w:color w:val="231F20"/>
          <w:spacing w:val="-10"/>
        </w:rPr>
        <w:t> </w:t>
      </w:r>
      <w:r>
        <w:rPr>
          <w:color w:val="231F20"/>
        </w:rPr>
        <w:t>cintas</w:t>
      </w:r>
      <w:r>
        <w:rPr>
          <w:color w:val="231F20"/>
          <w:spacing w:val="-10"/>
        </w:rPr>
        <w:t> </w:t>
      </w:r>
      <w:r>
        <w:rPr>
          <w:color w:val="231F20"/>
        </w:rPr>
        <w:t>adhesivas</w:t>
      </w:r>
      <w:r>
        <w:rPr>
          <w:color w:val="231F20"/>
          <w:spacing w:val="-10"/>
        </w:rPr>
        <w:t> </w:t>
      </w:r>
      <w:r>
        <w:rPr>
          <w:color w:val="231F20"/>
        </w:rPr>
        <w:t>(mica</w:t>
      </w:r>
      <w:r>
        <w:rPr>
          <w:color w:val="231F20"/>
          <w:spacing w:val="-9"/>
        </w:rPr>
        <w:t> </w:t>
      </w:r>
      <w:r>
        <w:rPr>
          <w:color w:val="231F20"/>
        </w:rPr>
        <w:t>adherible</w:t>
      </w:r>
      <w:r>
        <w:rPr>
          <w:color w:val="231F20"/>
          <w:spacing w:val="-10"/>
        </w:rPr>
        <w:t> </w:t>
      </w:r>
      <w:r>
        <w:rPr>
          <w:color w:val="231F20"/>
        </w:rPr>
        <w:t>transparente),</w:t>
      </w:r>
      <w:r>
        <w:rPr>
          <w:color w:val="231F20"/>
          <w:spacing w:val="-10"/>
        </w:rPr>
        <w:t> </w:t>
      </w:r>
      <w:r>
        <w:rPr>
          <w:color w:val="231F20"/>
        </w:rPr>
        <w:t>en</w:t>
      </w:r>
      <w:r>
        <w:rPr>
          <w:color w:val="231F20"/>
          <w:spacing w:val="-9"/>
        </w:rPr>
        <w:t> </w:t>
      </w:r>
      <w:r>
        <w:rPr>
          <w:color w:val="231F20"/>
        </w:rPr>
        <w:t>periodos semanales (siete días). Después de cada período de exposición y captura, la cinta fue retirada de     la trampa; al mismo tiempo, se colocó otra cinta nueva cada semana durante el tiempo que duró el experimento.</w:t>
      </w:r>
    </w:p>
    <w:p>
      <w:pPr>
        <w:pStyle w:val="BodyText"/>
        <w:spacing w:before="10"/>
      </w:pPr>
    </w:p>
    <w:p>
      <w:pPr>
        <w:pStyle w:val="BodyText"/>
        <w:spacing w:line="247" w:lineRule="auto"/>
        <w:ind w:left="1270" w:right="1266"/>
        <w:jc w:val="both"/>
      </w:pPr>
      <w:r>
        <w:rPr>
          <w:color w:val="231F20"/>
        </w:rPr>
        <w:t>Conteo de esporas. Las cintas con las esporas se enviaron al laboratorio de Biología Molecular de  la</w:t>
      </w:r>
      <w:r>
        <w:rPr>
          <w:color w:val="231F20"/>
          <w:spacing w:val="-5"/>
        </w:rPr>
        <w:t> </w:t>
      </w:r>
      <w:r>
        <w:rPr>
          <w:color w:val="231F20"/>
        </w:rPr>
        <w:t>Universidad</w:t>
      </w:r>
      <w:r>
        <w:rPr>
          <w:color w:val="231F20"/>
          <w:spacing w:val="-15"/>
        </w:rPr>
        <w:t> </w:t>
      </w:r>
      <w:r>
        <w:rPr>
          <w:color w:val="231F20"/>
        </w:rPr>
        <w:t>Autónoma</w:t>
      </w:r>
      <w:r>
        <w:rPr>
          <w:color w:val="231F20"/>
          <w:spacing w:val="-4"/>
        </w:rPr>
        <w:t> </w:t>
      </w:r>
      <w:r>
        <w:rPr>
          <w:color w:val="231F20"/>
        </w:rPr>
        <w:t>Chapingo,</w:t>
      </w:r>
      <w:r>
        <w:rPr>
          <w:color w:val="231F20"/>
          <w:spacing w:val="-4"/>
        </w:rPr>
        <w:t> </w:t>
      </w:r>
      <w:r>
        <w:rPr>
          <w:color w:val="231F20"/>
        </w:rPr>
        <w:t>donde</w:t>
      </w:r>
      <w:r>
        <w:rPr>
          <w:color w:val="231F20"/>
          <w:spacing w:val="-4"/>
        </w:rPr>
        <w:t> </w:t>
      </w:r>
      <w:r>
        <w:rPr>
          <w:color w:val="231F20"/>
        </w:rPr>
        <w:t>se</w:t>
      </w:r>
      <w:r>
        <w:rPr>
          <w:color w:val="231F20"/>
          <w:spacing w:val="-4"/>
        </w:rPr>
        <w:t> </w:t>
      </w:r>
      <w:r>
        <w:rPr>
          <w:color w:val="231F20"/>
        </w:rPr>
        <w:t>cortaron</w:t>
      </w:r>
      <w:r>
        <w:rPr>
          <w:color w:val="231F20"/>
          <w:spacing w:val="-5"/>
        </w:rPr>
        <w:t> </w:t>
      </w:r>
      <w:r>
        <w:rPr>
          <w:color w:val="231F20"/>
        </w:rPr>
        <w:t>en</w:t>
      </w:r>
      <w:r>
        <w:rPr>
          <w:color w:val="231F20"/>
          <w:spacing w:val="-5"/>
        </w:rPr>
        <w:t> </w:t>
      </w:r>
      <w:r>
        <w:rPr>
          <w:color w:val="231F20"/>
        </w:rPr>
        <w:t>siete</w:t>
      </w:r>
      <w:r>
        <w:rPr>
          <w:color w:val="231F20"/>
          <w:spacing w:val="-4"/>
        </w:rPr>
        <w:t> </w:t>
      </w:r>
      <w:r>
        <w:rPr>
          <w:color w:val="231F20"/>
        </w:rPr>
        <w:t>segmentos</w:t>
      </w:r>
      <w:r>
        <w:rPr>
          <w:color w:val="231F20"/>
          <w:spacing w:val="-4"/>
        </w:rPr>
        <w:t> </w:t>
      </w:r>
      <w:r>
        <w:rPr>
          <w:color w:val="231F20"/>
        </w:rPr>
        <w:t>cada</w:t>
      </w:r>
      <w:r>
        <w:rPr>
          <w:color w:val="231F20"/>
          <w:spacing w:val="-5"/>
        </w:rPr>
        <w:t> </w:t>
      </w:r>
      <w:r>
        <w:rPr>
          <w:color w:val="231F20"/>
        </w:rPr>
        <w:t>una,</w:t>
      </w:r>
      <w:r>
        <w:rPr>
          <w:color w:val="231F20"/>
          <w:spacing w:val="-4"/>
        </w:rPr>
        <w:t> </w:t>
      </w:r>
      <w:r>
        <w:rPr>
          <w:color w:val="231F20"/>
        </w:rPr>
        <w:t>cada</w:t>
      </w:r>
      <w:r>
        <w:rPr>
          <w:color w:val="231F20"/>
          <w:spacing w:val="-5"/>
        </w:rPr>
        <w:t> </w:t>
      </w:r>
      <w:r>
        <w:rPr>
          <w:color w:val="231F20"/>
        </w:rPr>
        <w:t>segmento representó un día de la semana, estos segmentos a su vez, fueron colocados sobre portaobjetos y etiquetados con la fecha correspondiente, en donde se dividieron en 24 secciones, correspondientes a 24 horas7dia. Posteriormente se procedió a realizar la identificación y conteo de las ascosporas y conidios  de </w:t>
      </w:r>
      <w:r>
        <w:rPr>
          <w:i/>
          <w:color w:val="231F20"/>
        </w:rPr>
        <w:t>M. fijiensis </w:t>
      </w:r>
      <w:r>
        <w:rPr>
          <w:color w:val="231F20"/>
        </w:rPr>
        <w:t>usando un microscopio  compuesto con la lente de</w:t>
      </w:r>
      <w:r>
        <w:rPr>
          <w:color w:val="231F20"/>
          <w:spacing w:val="-13"/>
        </w:rPr>
        <w:t> </w:t>
      </w:r>
      <w:r>
        <w:rPr>
          <w:color w:val="231F20"/>
        </w:rPr>
        <w:t>40X.</w:t>
      </w:r>
    </w:p>
    <w:p>
      <w:pPr>
        <w:pStyle w:val="BodyText"/>
        <w:spacing w:before="10"/>
      </w:pPr>
    </w:p>
    <w:p>
      <w:pPr>
        <w:pStyle w:val="BodyText"/>
        <w:spacing w:line="247" w:lineRule="auto"/>
        <w:ind w:left="1270" w:right="1267"/>
        <w:jc w:val="both"/>
      </w:pPr>
      <w:r>
        <w:rPr>
          <w:color w:val="231F20"/>
          <w:spacing w:val="-3"/>
        </w:rPr>
        <w:t>Variables </w:t>
      </w:r>
      <w:r>
        <w:rPr>
          <w:color w:val="231F20"/>
        </w:rPr>
        <w:t>climáticas. Los datos de temperatura máxima, mínima y media; humedad relativa, hume- dad foliar; precipitación, velocidad y dirección del viento se obtuvieron de la estación</w:t>
      </w:r>
      <w:r>
        <w:rPr>
          <w:color w:val="231F20"/>
          <w:spacing w:val="-27"/>
        </w:rPr>
        <w:t> </w:t>
      </w:r>
      <w:r>
        <w:rPr>
          <w:color w:val="231F20"/>
        </w:rPr>
        <w:t>climatológica del</w:t>
      </w:r>
      <w:r>
        <w:rPr>
          <w:color w:val="231F20"/>
          <w:spacing w:val="25"/>
        </w:rPr>
        <w:t> </w:t>
      </w:r>
      <w:r>
        <w:rPr>
          <w:color w:val="231F20"/>
          <w:spacing w:val="-6"/>
        </w:rPr>
        <w:t>INIFAP.</w:t>
      </w:r>
      <w:r>
        <w:rPr>
          <w:color w:val="231F20"/>
          <w:spacing w:val="25"/>
        </w:rPr>
        <w:t> </w:t>
      </w:r>
      <w:r>
        <w:rPr>
          <w:color w:val="231F20"/>
        </w:rPr>
        <w:t>Las</w:t>
      </w:r>
      <w:r>
        <w:rPr>
          <w:color w:val="231F20"/>
          <w:spacing w:val="25"/>
        </w:rPr>
        <w:t> </w:t>
      </w:r>
      <w:r>
        <w:rPr>
          <w:color w:val="231F20"/>
        </w:rPr>
        <w:t>variables</w:t>
      </w:r>
      <w:r>
        <w:rPr>
          <w:color w:val="231F20"/>
          <w:spacing w:val="25"/>
        </w:rPr>
        <w:t> </w:t>
      </w:r>
      <w:r>
        <w:rPr>
          <w:color w:val="231F20"/>
        </w:rPr>
        <w:t>se</w:t>
      </w:r>
      <w:r>
        <w:rPr>
          <w:color w:val="231F20"/>
          <w:spacing w:val="25"/>
        </w:rPr>
        <w:t> </w:t>
      </w:r>
      <w:r>
        <w:rPr>
          <w:color w:val="231F20"/>
        </w:rPr>
        <w:t>registraron</w:t>
      </w:r>
      <w:r>
        <w:rPr>
          <w:color w:val="231F20"/>
          <w:spacing w:val="25"/>
        </w:rPr>
        <w:t> </w:t>
      </w:r>
      <w:r>
        <w:rPr>
          <w:color w:val="231F20"/>
        </w:rPr>
        <w:t>diariamente.</w:t>
      </w:r>
      <w:r>
        <w:rPr>
          <w:color w:val="231F20"/>
          <w:spacing w:val="25"/>
        </w:rPr>
        <w:t> </w:t>
      </w:r>
      <w:r>
        <w:rPr>
          <w:color w:val="231F20"/>
        </w:rPr>
        <w:t>Posteriormente,</w:t>
      </w:r>
      <w:r>
        <w:rPr>
          <w:color w:val="231F20"/>
          <w:spacing w:val="26"/>
        </w:rPr>
        <w:t> </w:t>
      </w:r>
      <w:r>
        <w:rPr>
          <w:color w:val="231F20"/>
        </w:rPr>
        <w:t>se</w:t>
      </w:r>
      <w:r>
        <w:rPr>
          <w:color w:val="231F20"/>
          <w:spacing w:val="25"/>
        </w:rPr>
        <w:t> </w:t>
      </w:r>
      <w:r>
        <w:rPr>
          <w:color w:val="231F20"/>
        </w:rPr>
        <w:t>realizó</w:t>
      </w:r>
      <w:r>
        <w:rPr>
          <w:color w:val="231F20"/>
          <w:spacing w:val="25"/>
        </w:rPr>
        <w:t> </w:t>
      </w:r>
      <w:r>
        <w:rPr>
          <w:color w:val="231F20"/>
        </w:rPr>
        <w:t>una</w:t>
      </w:r>
      <w:r>
        <w:rPr>
          <w:color w:val="231F20"/>
          <w:spacing w:val="25"/>
        </w:rPr>
        <w:t> </w:t>
      </w:r>
      <w:r>
        <w:rPr>
          <w:color w:val="231F20"/>
        </w:rPr>
        <w:t>exploración</w:t>
      </w:r>
    </w:p>
    <w:p>
      <w:pPr>
        <w:spacing w:after="0" w:line="247" w:lineRule="auto"/>
        <w:jc w:val="both"/>
        <w:sectPr>
          <w:pgSz w:w="10920" w:h="13080"/>
          <w:pgMar w:header="0" w:footer="965" w:top="420" w:bottom="1220" w:left="0" w:right="0"/>
        </w:sectPr>
      </w:pPr>
    </w:p>
    <w:p>
      <w:pPr>
        <w:pStyle w:val="BodyText"/>
        <w:rPr>
          <w:sz w:val="20"/>
        </w:rPr>
      </w:pPr>
    </w:p>
    <w:p>
      <w:pPr>
        <w:pStyle w:val="BodyText"/>
        <w:rPr>
          <w:sz w:val="20"/>
        </w:rPr>
      </w:pPr>
    </w:p>
    <w:p>
      <w:pPr>
        <w:pStyle w:val="BodyText"/>
        <w:rPr>
          <w:sz w:val="23"/>
        </w:rPr>
      </w:pPr>
    </w:p>
    <w:p>
      <w:pPr>
        <w:pStyle w:val="BodyText"/>
        <w:spacing w:line="247" w:lineRule="auto" w:before="73"/>
        <w:ind w:left="1270" w:right="1268"/>
        <w:jc w:val="both"/>
      </w:pPr>
      <w:r>
        <w:rPr>
          <w:color w:val="231F20"/>
        </w:rPr>
        <w:t>gráfica</w:t>
      </w:r>
      <w:r>
        <w:rPr>
          <w:color w:val="231F20"/>
          <w:spacing w:val="-3"/>
        </w:rPr>
        <w:t> </w:t>
      </w:r>
      <w:r>
        <w:rPr>
          <w:color w:val="231F20"/>
        </w:rPr>
        <w:t>de</w:t>
      </w:r>
      <w:r>
        <w:rPr>
          <w:color w:val="231F20"/>
          <w:spacing w:val="-3"/>
        </w:rPr>
        <w:t> </w:t>
      </w:r>
      <w:r>
        <w:rPr>
          <w:color w:val="231F20"/>
        </w:rPr>
        <w:t>estas</w:t>
      </w:r>
      <w:r>
        <w:rPr>
          <w:color w:val="231F20"/>
          <w:spacing w:val="-3"/>
        </w:rPr>
        <w:t> </w:t>
      </w:r>
      <w:r>
        <w:rPr>
          <w:color w:val="231F20"/>
        </w:rPr>
        <w:t>variables</w:t>
      </w:r>
      <w:r>
        <w:rPr>
          <w:color w:val="231F20"/>
          <w:spacing w:val="-3"/>
        </w:rPr>
        <w:t> </w:t>
      </w:r>
      <w:r>
        <w:rPr>
          <w:color w:val="231F20"/>
        </w:rPr>
        <w:t>y</w:t>
      </w:r>
      <w:r>
        <w:rPr>
          <w:color w:val="231F20"/>
          <w:spacing w:val="-3"/>
        </w:rPr>
        <w:t> </w:t>
      </w:r>
      <w:r>
        <w:rPr>
          <w:color w:val="231F20"/>
        </w:rPr>
        <w:t>de</w:t>
      </w:r>
      <w:r>
        <w:rPr>
          <w:color w:val="231F20"/>
          <w:spacing w:val="-3"/>
        </w:rPr>
        <w:t> </w:t>
      </w:r>
      <w:r>
        <w:rPr>
          <w:color w:val="231F20"/>
        </w:rPr>
        <w:t>sus</w:t>
      </w:r>
      <w:r>
        <w:rPr>
          <w:color w:val="231F20"/>
          <w:spacing w:val="-3"/>
        </w:rPr>
        <w:t> </w:t>
      </w:r>
      <w:r>
        <w:rPr>
          <w:color w:val="231F20"/>
        </w:rPr>
        <w:t>posibles</w:t>
      </w:r>
      <w:r>
        <w:rPr>
          <w:color w:val="231F20"/>
          <w:spacing w:val="-3"/>
        </w:rPr>
        <w:t> </w:t>
      </w:r>
      <w:r>
        <w:rPr>
          <w:color w:val="231F20"/>
        </w:rPr>
        <w:t>relaciones</w:t>
      </w:r>
      <w:r>
        <w:rPr>
          <w:color w:val="231F20"/>
          <w:spacing w:val="-3"/>
        </w:rPr>
        <w:t> </w:t>
      </w:r>
      <w:r>
        <w:rPr>
          <w:color w:val="231F20"/>
        </w:rPr>
        <w:t>con</w:t>
      </w:r>
      <w:r>
        <w:rPr>
          <w:color w:val="231F20"/>
          <w:spacing w:val="-3"/>
        </w:rPr>
        <w:t> </w:t>
      </w:r>
      <w:r>
        <w:rPr>
          <w:color w:val="231F20"/>
        </w:rPr>
        <w:t>las</w:t>
      </w:r>
      <w:r>
        <w:rPr>
          <w:color w:val="231F20"/>
          <w:spacing w:val="-3"/>
        </w:rPr>
        <w:t> </w:t>
      </w:r>
      <w:r>
        <w:rPr>
          <w:color w:val="231F20"/>
        </w:rPr>
        <w:t>diferentes</w:t>
      </w:r>
      <w:r>
        <w:rPr>
          <w:color w:val="231F20"/>
          <w:spacing w:val="-3"/>
        </w:rPr>
        <w:t> </w:t>
      </w:r>
      <w:r>
        <w:rPr>
          <w:color w:val="231F20"/>
        </w:rPr>
        <w:t>variables</w:t>
      </w:r>
      <w:r>
        <w:rPr>
          <w:color w:val="231F20"/>
          <w:spacing w:val="-3"/>
        </w:rPr>
        <w:t> </w:t>
      </w:r>
      <w:r>
        <w:rPr>
          <w:color w:val="231F20"/>
        </w:rPr>
        <w:t>evaluadas</w:t>
      </w:r>
      <w:r>
        <w:rPr>
          <w:color w:val="231F20"/>
          <w:spacing w:val="-3"/>
        </w:rPr>
        <w:t> </w:t>
      </w:r>
      <w:r>
        <w:rPr>
          <w:color w:val="231F20"/>
        </w:rPr>
        <w:t>del</w:t>
      </w:r>
      <w:r>
        <w:rPr>
          <w:color w:val="231F20"/>
          <w:spacing w:val="-3"/>
        </w:rPr>
        <w:t> </w:t>
      </w:r>
      <w:r>
        <w:rPr>
          <w:color w:val="231F20"/>
        </w:rPr>
        <w:t>hos- pedante y del patógeno.</w:t>
      </w:r>
    </w:p>
    <w:p>
      <w:pPr>
        <w:pStyle w:val="BodyText"/>
        <w:spacing w:before="10"/>
      </w:pPr>
    </w:p>
    <w:p>
      <w:pPr>
        <w:pStyle w:val="BodyText"/>
        <w:spacing w:line="247" w:lineRule="auto"/>
        <w:ind w:left="1270" w:right="1267"/>
        <w:jc w:val="both"/>
      </w:pPr>
      <w:r>
        <w:rPr>
          <w:color w:val="231F20"/>
        </w:rPr>
        <w:t>Análisis estadístico y de correlación. Los valores promedios diarios de temperatura máxima, media y mínima, así como los valores de humedad relativa y precipitación, se correlacionaron con la cap- tura de esporas de </w:t>
      </w:r>
      <w:r>
        <w:rPr>
          <w:i/>
          <w:color w:val="231F20"/>
        </w:rPr>
        <w:t>M. fijiensis</w:t>
      </w:r>
      <w:r>
        <w:rPr>
          <w:color w:val="231F20"/>
        </w:rPr>
        <w:t>, desfasadas y acumuladas por varias horas. El desfasamiento de las variables climáticas y del patógeno se realizó mediante el procedimiento Lag de SAS (SAS V8). La variable</w:t>
      </w:r>
      <w:r>
        <w:rPr>
          <w:color w:val="231F20"/>
          <w:spacing w:val="-8"/>
        </w:rPr>
        <w:t> </w:t>
      </w:r>
      <w:r>
        <w:rPr>
          <w:color w:val="231F20"/>
        </w:rPr>
        <w:t>dependiente</w:t>
      </w:r>
      <w:r>
        <w:rPr>
          <w:color w:val="231F20"/>
          <w:spacing w:val="-9"/>
        </w:rPr>
        <w:t> </w:t>
      </w:r>
      <w:r>
        <w:rPr>
          <w:color w:val="231F20"/>
        </w:rPr>
        <w:t>por</w:t>
      </w:r>
      <w:r>
        <w:rPr>
          <w:color w:val="231F20"/>
          <w:spacing w:val="-8"/>
        </w:rPr>
        <w:t> </w:t>
      </w:r>
      <w:r>
        <w:rPr>
          <w:color w:val="231F20"/>
        </w:rPr>
        <w:t>su</w:t>
      </w:r>
      <w:r>
        <w:rPr>
          <w:color w:val="231F20"/>
          <w:spacing w:val="-8"/>
        </w:rPr>
        <w:t> </w:t>
      </w:r>
      <w:r>
        <w:rPr>
          <w:color w:val="231F20"/>
        </w:rPr>
        <w:t>valor</w:t>
      </w:r>
      <w:r>
        <w:rPr>
          <w:color w:val="231F20"/>
          <w:spacing w:val="-8"/>
        </w:rPr>
        <w:t> </w:t>
      </w:r>
      <w:r>
        <w:rPr>
          <w:color w:val="231F20"/>
        </w:rPr>
        <w:t>porcentual</w:t>
      </w:r>
      <w:r>
        <w:rPr>
          <w:color w:val="231F20"/>
          <w:spacing w:val="-9"/>
        </w:rPr>
        <w:t> </w:t>
      </w:r>
      <w:r>
        <w:rPr>
          <w:color w:val="231F20"/>
        </w:rPr>
        <w:t>fue</w:t>
      </w:r>
      <w:r>
        <w:rPr>
          <w:color w:val="231F20"/>
          <w:spacing w:val="-8"/>
        </w:rPr>
        <w:t> </w:t>
      </w:r>
      <w:r>
        <w:rPr>
          <w:color w:val="231F20"/>
        </w:rPr>
        <w:t>transformada</w:t>
      </w:r>
      <w:r>
        <w:rPr>
          <w:color w:val="231F20"/>
          <w:spacing w:val="-9"/>
        </w:rPr>
        <w:t> </w:t>
      </w:r>
      <w:r>
        <w:rPr>
          <w:color w:val="231F20"/>
        </w:rPr>
        <w:t>con</w:t>
      </w:r>
      <w:r>
        <w:rPr>
          <w:color w:val="231F20"/>
          <w:spacing w:val="-9"/>
        </w:rPr>
        <w:t> </w:t>
      </w:r>
      <w:r>
        <w:rPr>
          <w:color w:val="231F20"/>
        </w:rPr>
        <w:t>la</w:t>
      </w:r>
      <w:r>
        <w:rPr>
          <w:color w:val="231F20"/>
          <w:spacing w:val="-9"/>
        </w:rPr>
        <w:t> </w:t>
      </w:r>
      <w:r>
        <w:rPr>
          <w:color w:val="231F20"/>
        </w:rPr>
        <w:t>raíz</w:t>
      </w:r>
      <w:r>
        <w:rPr>
          <w:color w:val="231F20"/>
          <w:spacing w:val="-8"/>
        </w:rPr>
        <w:t> </w:t>
      </w:r>
      <w:r>
        <w:rPr>
          <w:color w:val="231F20"/>
        </w:rPr>
        <w:t>cuadrada</w:t>
      </w:r>
      <w:r>
        <w:rPr>
          <w:color w:val="231F20"/>
          <w:spacing w:val="-9"/>
        </w:rPr>
        <w:t> </w:t>
      </w:r>
      <w:r>
        <w:rPr>
          <w:color w:val="231F20"/>
        </w:rPr>
        <w:t>del</w:t>
      </w:r>
      <w:r>
        <w:rPr>
          <w:color w:val="231F20"/>
          <w:spacing w:val="-9"/>
        </w:rPr>
        <w:t> </w:t>
      </w:r>
      <w:r>
        <w:rPr>
          <w:color w:val="231F20"/>
        </w:rPr>
        <w:t>arcoseno</w:t>
      </w:r>
      <w:r>
        <w:rPr>
          <w:color w:val="231F20"/>
          <w:spacing w:val="-9"/>
        </w:rPr>
        <w:t> </w:t>
      </w:r>
      <w:r>
        <w:rPr>
          <w:color w:val="231F20"/>
        </w:rPr>
        <w:t>para normalizar esta</w:t>
      </w:r>
      <w:r>
        <w:rPr>
          <w:color w:val="231F20"/>
          <w:spacing w:val="-1"/>
        </w:rPr>
        <w:t> </w:t>
      </w:r>
      <w:r>
        <w:rPr>
          <w:color w:val="231F20"/>
        </w:rPr>
        <w:t>variable.</w:t>
      </w:r>
    </w:p>
    <w:p>
      <w:pPr>
        <w:pStyle w:val="BodyText"/>
        <w:spacing w:before="9"/>
        <w:rPr>
          <w:sz w:val="22"/>
        </w:rPr>
      </w:pPr>
    </w:p>
    <w:p>
      <w:pPr>
        <w:pStyle w:val="Heading3"/>
      </w:pPr>
      <w:r>
        <w:rPr>
          <w:color w:val="010202"/>
        </w:rPr>
        <w:t>Análisis y discusión de resultados</w:t>
      </w:r>
    </w:p>
    <w:p>
      <w:pPr>
        <w:pStyle w:val="BodyText"/>
        <w:spacing w:before="10"/>
        <w:rPr>
          <w:b/>
        </w:rPr>
      </w:pPr>
    </w:p>
    <w:p>
      <w:pPr>
        <w:pStyle w:val="BodyText"/>
        <w:spacing w:line="247" w:lineRule="auto"/>
        <w:ind w:left="1270" w:right="1267"/>
        <w:jc w:val="both"/>
      </w:pPr>
      <w:r>
        <w:rPr>
          <w:color w:val="231F20"/>
        </w:rPr>
        <w:t>El estudio de epidemiológico de la sigatoka negra del banano, mostró que la intensidad de la enfer- medad</w:t>
      </w:r>
      <w:r>
        <w:rPr>
          <w:color w:val="231F20"/>
          <w:spacing w:val="-12"/>
        </w:rPr>
        <w:t> </w:t>
      </w:r>
      <w:r>
        <w:rPr>
          <w:color w:val="231F20"/>
        </w:rPr>
        <w:t>estuvo</w:t>
      </w:r>
      <w:r>
        <w:rPr>
          <w:color w:val="231F20"/>
          <w:spacing w:val="-12"/>
        </w:rPr>
        <w:t> </w:t>
      </w:r>
      <w:r>
        <w:rPr>
          <w:color w:val="231F20"/>
        </w:rPr>
        <w:t>asociada</w:t>
      </w:r>
      <w:r>
        <w:rPr>
          <w:color w:val="231F20"/>
          <w:spacing w:val="-12"/>
        </w:rPr>
        <w:t> </w:t>
      </w:r>
      <w:r>
        <w:rPr>
          <w:color w:val="231F20"/>
        </w:rPr>
        <w:t>a</w:t>
      </w:r>
      <w:r>
        <w:rPr>
          <w:color w:val="231F20"/>
          <w:spacing w:val="-12"/>
        </w:rPr>
        <w:t> </w:t>
      </w:r>
      <w:r>
        <w:rPr>
          <w:color w:val="231F20"/>
        </w:rPr>
        <w:t>condiciones</w:t>
      </w:r>
      <w:r>
        <w:rPr>
          <w:color w:val="231F20"/>
          <w:spacing w:val="-12"/>
        </w:rPr>
        <w:t> </w:t>
      </w:r>
      <w:r>
        <w:rPr>
          <w:color w:val="231F20"/>
        </w:rPr>
        <w:t>climáticas</w:t>
      </w:r>
      <w:r>
        <w:rPr>
          <w:color w:val="231F20"/>
          <w:spacing w:val="-13"/>
        </w:rPr>
        <w:t> </w:t>
      </w:r>
      <w:r>
        <w:rPr>
          <w:color w:val="231F20"/>
        </w:rPr>
        <w:t>a</w:t>
      </w:r>
      <w:r>
        <w:rPr>
          <w:color w:val="231F20"/>
          <w:spacing w:val="-12"/>
        </w:rPr>
        <w:t> </w:t>
      </w:r>
      <w:r>
        <w:rPr>
          <w:color w:val="231F20"/>
        </w:rPr>
        <w:t>través</w:t>
      </w:r>
      <w:r>
        <w:rPr>
          <w:color w:val="231F20"/>
          <w:spacing w:val="-12"/>
        </w:rPr>
        <w:t> </w:t>
      </w:r>
      <w:r>
        <w:rPr>
          <w:color w:val="231F20"/>
        </w:rPr>
        <w:t>del</w:t>
      </w:r>
      <w:r>
        <w:rPr>
          <w:color w:val="231F20"/>
          <w:spacing w:val="-12"/>
        </w:rPr>
        <w:t> </w:t>
      </w:r>
      <w:r>
        <w:rPr>
          <w:color w:val="231F20"/>
        </w:rPr>
        <w:t>tiempo</w:t>
      </w:r>
      <w:r>
        <w:rPr>
          <w:color w:val="231F20"/>
          <w:spacing w:val="-12"/>
        </w:rPr>
        <w:t> </w:t>
      </w:r>
      <w:r>
        <w:rPr>
          <w:color w:val="231F20"/>
        </w:rPr>
        <w:t>y</w:t>
      </w:r>
      <w:r>
        <w:rPr>
          <w:color w:val="231F20"/>
          <w:spacing w:val="-12"/>
        </w:rPr>
        <w:t> </w:t>
      </w:r>
      <w:r>
        <w:rPr>
          <w:color w:val="231F20"/>
        </w:rPr>
        <w:t>estados</w:t>
      </w:r>
      <w:r>
        <w:rPr>
          <w:color w:val="231F20"/>
          <w:spacing w:val="-12"/>
        </w:rPr>
        <w:t> </w:t>
      </w:r>
      <w:r>
        <w:rPr>
          <w:color w:val="231F20"/>
        </w:rPr>
        <w:t>fenológicos</w:t>
      </w:r>
      <w:r>
        <w:rPr>
          <w:color w:val="231F20"/>
          <w:spacing w:val="-12"/>
        </w:rPr>
        <w:t> </w:t>
      </w:r>
      <w:r>
        <w:rPr>
          <w:color w:val="231F20"/>
        </w:rPr>
        <w:t>específicos del cultivo. Incidencia y severidad. En el año 2010, la mayor incidencia y severidad de la sigatoka negra se presentó en plantas jóvenes de banano durante el mes de diciembre </w:t>
      </w:r>
      <w:r>
        <w:rPr>
          <w:color w:val="231F20"/>
          <w:spacing w:val="-4"/>
        </w:rPr>
        <w:t>(Tukey, </w:t>
      </w:r>
      <w:r>
        <w:rPr>
          <w:color w:val="231F20"/>
        </w:rPr>
        <w:t>0.05);</w:t>
      </w:r>
      <w:r>
        <w:rPr>
          <w:color w:val="231F20"/>
          <w:spacing w:val="-8"/>
        </w:rPr>
        <w:t> </w:t>
      </w:r>
      <w:r>
        <w:rPr>
          <w:color w:val="231F20"/>
        </w:rPr>
        <w:t>mientras que en el 2011, la mayor intensidad de la enfermedad se presentó en plantas con floración inicial, en los meses de abril a junio, y octubre. En el año 2012, la diferencia estadística se encontró en los meses de enero y marzo siendo mayor el daño en las plantas con floración inicial (Cuadro 1, Figura 1 y 2). Promedio de hojas afectadas (PHA).Respecto al promedio de hojas afectadas por Sigatoka negra, en 2010, el mayor el daño se presentó en plantas jóvenes en el mes de julio; mientras que en plantas con floración inicial, en los meses de noviembre y diciembre; en 2011, la mayor intensidad de</w:t>
      </w:r>
      <w:r>
        <w:rPr>
          <w:color w:val="231F20"/>
          <w:spacing w:val="-11"/>
        </w:rPr>
        <w:t> </w:t>
      </w:r>
      <w:r>
        <w:rPr>
          <w:color w:val="231F20"/>
        </w:rPr>
        <w:t>la</w:t>
      </w:r>
      <w:r>
        <w:rPr>
          <w:color w:val="231F20"/>
          <w:spacing w:val="-11"/>
        </w:rPr>
        <w:t> </w:t>
      </w:r>
      <w:r>
        <w:rPr>
          <w:color w:val="231F20"/>
        </w:rPr>
        <w:t>enfermedad</w:t>
      </w:r>
      <w:r>
        <w:rPr>
          <w:color w:val="231F20"/>
          <w:spacing w:val="-11"/>
        </w:rPr>
        <w:t> </w:t>
      </w:r>
      <w:r>
        <w:rPr>
          <w:color w:val="231F20"/>
        </w:rPr>
        <w:t>se</w:t>
      </w:r>
      <w:r>
        <w:rPr>
          <w:color w:val="231F20"/>
          <w:spacing w:val="-11"/>
        </w:rPr>
        <w:t> </w:t>
      </w:r>
      <w:r>
        <w:rPr>
          <w:color w:val="231F20"/>
        </w:rPr>
        <w:t>presentó</w:t>
      </w:r>
      <w:r>
        <w:rPr>
          <w:color w:val="231F20"/>
          <w:spacing w:val="-11"/>
        </w:rPr>
        <w:t> </w:t>
      </w:r>
      <w:r>
        <w:rPr>
          <w:color w:val="231F20"/>
        </w:rPr>
        <w:t>en</w:t>
      </w:r>
      <w:r>
        <w:rPr>
          <w:color w:val="231F20"/>
          <w:spacing w:val="-11"/>
        </w:rPr>
        <w:t> </w:t>
      </w:r>
      <w:r>
        <w:rPr>
          <w:color w:val="231F20"/>
        </w:rPr>
        <w:t>plantas</w:t>
      </w:r>
      <w:r>
        <w:rPr>
          <w:color w:val="231F20"/>
          <w:spacing w:val="-11"/>
        </w:rPr>
        <w:t> </w:t>
      </w:r>
      <w:r>
        <w:rPr>
          <w:color w:val="231F20"/>
        </w:rPr>
        <w:t>con</w:t>
      </w:r>
      <w:r>
        <w:rPr>
          <w:color w:val="231F20"/>
          <w:spacing w:val="-11"/>
        </w:rPr>
        <w:t> </w:t>
      </w:r>
      <w:r>
        <w:rPr>
          <w:color w:val="231F20"/>
        </w:rPr>
        <w:t>floración</w:t>
      </w:r>
      <w:r>
        <w:rPr>
          <w:color w:val="231F20"/>
          <w:spacing w:val="-11"/>
        </w:rPr>
        <w:t> </w:t>
      </w:r>
      <w:r>
        <w:rPr>
          <w:color w:val="231F20"/>
        </w:rPr>
        <w:t>inicial</w:t>
      </w:r>
      <w:r>
        <w:rPr>
          <w:color w:val="231F20"/>
          <w:spacing w:val="-11"/>
        </w:rPr>
        <w:t> </w:t>
      </w:r>
      <w:r>
        <w:rPr>
          <w:color w:val="231F20"/>
        </w:rPr>
        <w:t>y</w:t>
      </w:r>
      <w:r>
        <w:rPr>
          <w:color w:val="231F20"/>
          <w:spacing w:val="-11"/>
        </w:rPr>
        <w:t> </w:t>
      </w:r>
      <w:r>
        <w:rPr>
          <w:color w:val="231F20"/>
        </w:rPr>
        <w:t>fue</w:t>
      </w:r>
      <w:r>
        <w:rPr>
          <w:color w:val="231F20"/>
          <w:spacing w:val="-11"/>
        </w:rPr>
        <w:t> </w:t>
      </w:r>
      <w:r>
        <w:rPr>
          <w:color w:val="231F20"/>
        </w:rPr>
        <w:t>durante</w:t>
      </w:r>
      <w:r>
        <w:rPr>
          <w:color w:val="231F20"/>
          <w:spacing w:val="-11"/>
        </w:rPr>
        <w:t> </w:t>
      </w:r>
      <w:r>
        <w:rPr>
          <w:color w:val="231F20"/>
        </w:rPr>
        <w:t>los</w:t>
      </w:r>
      <w:r>
        <w:rPr>
          <w:color w:val="231F20"/>
          <w:spacing w:val="-11"/>
        </w:rPr>
        <w:t> </w:t>
      </w:r>
      <w:r>
        <w:rPr>
          <w:color w:val="231F20"/>
        </w:rPr>
        <w:t>meses</w:t>
      </w:r>
      <w:r>
        <w:rPr>
          <w:color w:val="231F20"/>
          <w:spacing w:val="-11"/>
        </w:rPr>
        <w:t> </w:t>
      </w:r>
      <w:r>
        <w:rPr>
          <w:color w:val="231F20"/>
        </w:rPr>
        <w:t>de</w:t>
      </w:r>
      <w:r>
        <w:rPr>
          <w:color w:val="231F20"/>
          <w:spacing w:val="-11"/>
        </w:rPr>
        <w:t> </w:t>
      </w:r>
      <w:r>
        <w:rPr>
          <w:color w:val="231F20"/>
        </w:rPr>
        <w:t>febrero,</w:t>
      </w:r>
      <w:r>
        <w:rPr>
          <w:color w:val="231F20"/>
          <w:spacing w:val="-11"/>
        </w:rPr>
        <w:t> </w:t>
      </w:r>
      <w:r>
        <w:rPr>
          <w:color w:val="231F20"/>
        </w:rPr>
        <w:t>abril, mayo,</w:t>
      </w:r>
      <w:r>
        <w:rPr>
          <w:color w:val="231F20"/>
          <w:spacing w:val="-12"/>
        </w:rPr>
        <w:t> </w:t>
      </w:r>
      <w:r>
        <w:rPr>
          <w:color w:val="231F20"/>
        </w:rPr>
        <w:t>junio,</w:t>
      </w:r>
      <w:r>
        <w:rPr>
          <w:color w:val="231F20"/>
          <w:spacing w:val="-12"/>
        </w:rPr>
        <w:t> </w:t>
      </w:r>
      <w:r>
        <w:rPr>
          <w:color w:val="231F20"/>
        </w:rPr>
        <w:t>octubre</w:t>
      </w:r>
      <w:r>
        <w:rPr>
          <w:color w:val="231F20"/>
          <w:spacing w:val="-12"/>
        </w:rPr>
        <w:t> </w:t>
      </w:r>
      <w:r>
        <w:rPr>
          <w:color w:val="231F20"/>
        </w:rPr>
        <w:t>y</w:t>
      </w:r>
      <w:r>
        <w:rPr>
          <w:color w:val="231F20"/>
          <w:spacing w:val="-12"/>
        </w:rPr>
        <w:t> </w:t>
      </w:r>
      <w:r>
        <w:rPr>
          <w:color w:val="231F20"/>
        </w:rPr>
        <w:t>noviembre;</w:t>
      </w:r>
      <w:r>
        <w:rPr>
          <w:color w:val="231F20"/>
          <w:spacing w:val="-12"/>
        </w:rPr>
        <w:t> </w:t>
      </w:r>
      <w:r>
        <w:rPr>
          <w:color w:val="231F20"/>
        </w:rPr>
        <w:t>y</w:t>
      </w:r>
      <w:r>
        <w:rPr>
          <w:color w:val="231F20"/>
          <w:spacing w:val="-12"/>
        </w:rPr>
        <w:t> </w:t>
      </w:r>
      <w:r>
        <w:rPr>
          <w:color w:val="231F20"/>
        </w:rPr>
        <w:t>en</w:t>
      </w:r>
      <w:r>
        <w:rPr>
          <w:color w:val="231F20"/>
          <w:spacing w:val="-12"/>
        </w:rPr>
        <w:t> </w:t>
      </w:r>
      <w:r>
        <w:rPr>
          <w:color w:val="231F20"/>
        </w:rPr>
        <w:t>2012,</w:t>
      </w:r>
      <w:r>
        <w:rPr>
          <w:color w:val="231F20"/>
          <w:spacing w:val="-12"/>
        </w:rPr>
        <w:t> </w:t>
      </w:r>
      <w:r>
        <w:rPr>
          <w:color w:val="231F20"/>
        </w:rPr>
        <w:t>la</w:t>
      </w:r>
      <w:r>
        <w:rPr>
          <w:color w:val="231F20"/>
          <w:spacing w:val="-12"/>
        </w:rPr>
        <w:t> </w:t>
      </w:r>
      <w:r>
        <w:rPr>
          <w:color w:val="231F20"/>
        </w:rPr>
        <w:t>mayor</w:t>
      </w:r>
      <w:r>
        <w:rPr>
          <w:color w:val="231F20"/>
          <w:spacing w:val="-12"/>
        </w:rPr>
        <w:t> </w:t>
      </w:r>
      <w:r>
        <w:rPr>
          <w:color w:val="231F20"/>
        </w:rPr>
        <w:t>afectación</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plantas</w:t>
      </w:r>
      <w:r>
        <w:rPr>
          <w:color w:val="231F20"/>
          <w:spacing w:val="-12"/>
        </w:rPr>
        <w:t> </w:t>
      </w:r>
      <w:r>
        <w:rPr>
          <w:color w:val="231F20"/>
        </w:rPr>
        <w:t>se</w:t>
      </w:r>
      <w:r>
        <w:rPr>
          <w:color w:val="231F20"/>
          <w:spacing w:val="-12"/>
        </w:rPr>
        <w:t> </w:t>
      </w:r>
      <w:r>
        <w:rPr>
          <w:color w:val="231F20"/>
        </w:rPr>
        <w:t>presentó</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mes de enero sobre plantas con floración</w:t>
      </w:r>
      <w:r>
        <w:rPr>
          <w:color w:val="231F20"/>
          <w:spacing w:val="-11"/>
        </w:rPr>
        <w:t> </w:t>
      </w:r>
      <w:r>
        <w:rPr>
          <w:color w:val="231F20"/>
        </w:rPr>
        <w:t>inicial.</w:t>
      </w:r>
    </w:p>
    <w:p>
      <w:pPr>
        <w:pStyle w:val="BodyText"/>
        <w:spacing w:before="10"/>
      </w:pPr>
    </w:p>
    <w:p>
      <w:pPr>
        <w:pStyle w:val="BodyText"/>
        <w:spacing w:line="247" w:lineRule="auto"/>
        <w:ind w:left="1270" w:right="1267"/>
        <w:jc w:val="both"/>
      </w:pPr>
      <w:r>
        <w:rPr>
          <w:color w:val="231F20"/>
        </w:rPr>
        <w:t>Número</w:t>
      </w:r>
      <w:r>
        <w:rPr>
          <w:color w:val="231F20"/>
          <w:spacing w:val="-4"/>
        </w:rPr>
        <w:t> </w:t>
      </w:r>
      <w:r>
        <w:rPr>
          <w:color w:val="231F20"/>
        </w:rPr>
        <w:t>de</w:t>
      </w:r>
      <w:r>
        <w:rPr>
          <w:color w:val="231F20"/>
          <w:spacing w:val="-5"/>
        </w:rPr>
        <w:t> </w:t>
      </w:r>
      <w:r>
        <w:rPr>
          <w:color w:val="231F20"/>
        </w:rPr>
        <w:t>hojas</w:t>
      </w:r>
      <w:r>
        <w:rPr>
          <w:color w:val="231F20"/>
          <w:spacing w:val="-5"/>
        </w:rPr>
        <w:t> </w:t>
      </w:r>
      <w:r>
        <w:rPr>
          <w:color w:val="231F20"/>
        </w:rPr>
        <w:t>funcionales</w:t>
      </w:r>
      <w:r>
        <w:rPr>
          <w:color w:val="231F20"/>
          <w:spacing w:val="-5"/>
        </w:rPr>
        <w:t> </w:t>
      </w:r>
      <w:r>
        <w:rPr>
          <w:color w:val="231F20"/>
        </w:rPr>
        <w:t>(NHF).</w:t>
      </w:r>
      <w:r>
        <w:rPr>
          <w:color w:val="231F20"/>
          <w:spacing w:val="-5"/>
        </w:rPr>
        <w:t> </w:t>
      </w:r>
      <w:r>
        <w:rPr>
          <w:color w:val="231F20"/>
        </w:rPr>
        <w:t>Las</w:t>
      </w:r>
      <w:r>
        <w:rPr>
          <w:color w:val="231F20"/>
          <w:spacing w:val="-5"/>
        </w:rPr>
        <w:t> </w:t>
      </w:r>
      <w:r>
        <w:rPr>
          <w:color w:val="231F20"/>
        </w:rPr>
        <w:t>plantas</w:t>
      </w:r>
      <w:r>
        <w:rPr>
          <w:color w:val="231F20"/>
          <w:spacing w:val="-5"/>
        </w:rPr>
        <w:t> </w:t>
      </w:r>
      <w:r>
        <w:rPr>
          <w:color w:val="231F20"/>
        </w:rPr>
        <w:t>con</w:t>
      </w:r>
      <w:r>
        <w:rPr>
          <w:color w:val="231F20"/>
          <w:spacing w:val="-5"/>
        </w:rPr>
        <w:t> </w:t>
      </w:r>
      <w:r>
        <w:rPr>
          <w:color w:val="231F20"/>
        </w:rPr>
        <w:t>mayor</w:t>
      </w:r>
      <w:r>
        <w:rPr>
          <w:color w:val="231F20"/>
          <w:spacing w:val="-5"/>
        </w:rPr>
        <w:t> </w:t>
      </w:r>
      <w:r>
        <w:rPr>
          <w:color w:val="231F20"/>
        </w:rPr>
        <w:t>número</w:t>
      </w:r>
      <w:r>
        <w:rPr>
          <w:color w:val="231F20"/>
          <w:spacing w:val="-5"/>
        </w:rPr>
        <w:t> </w:t>
      </w:r>
      <w:r>
        <w:rPr>
          <w:color w:val="231F20"/>
        </w:rPr>
        <w:t>de</w:t>
      </w:r>
      <w:r>
        <w:rPr>
          <w:color w:val="231F20"/>
          <w:spacing w:val="-5"/>
        </w:rPr>
        <w:t> </w:t>
      </w:r>
      <w:r>
        <w:rPr>
          <w:color w:val="231F20"/>
        </w:rPr>
        <w:t>hojas</w:t>
      </w:r>
      <w:r>
        <w:rPr>
          <w:color w:val="231F20"/>
          <w:spacing w:val="-5"/>
        </w:rPr>
        <w:t> </w:t>
      </w:r>
      <w:r>
        <w:rPr>
          <w:color w:val="231F20"/>
        </w:rPr>
        <w:t>funcionales</w:t>
      </w:r>
      <w:r>
        <w:rPr>
          <w:color w:val="231F20"/>
          <w:spacing w:val="-5"/>
        </w:rPr>
        <w:t> </w:t>
      </w:r>
      <w:r>
        <w:rPr>
          <w:color w:val="231F20"/>
        </w:rPr>
        <w:t>se</w:t>
      </w:r>
      <w:r>
        <w:rPr>
          <w:color w:val="231F20"/>
          <w:spacing w:val="-5"/>
        </w:rPr>
        <w:t> </w:t>
      </w:r>
      <w:r>
        <w:rPr>
          <w:color w:val="231F20"/>
        </w:rPr>
        <w:t>presen- taron en los meses con mayor humedad relativa y mayor temperatura. Dichas condiciones</w:t>
      </w:r>
      <w:r>
        <w:rPr>
          <w:color w:val="231F20"/>
          <w:spacing w:val="-26"/>
        </w:rPr>
        <w:t> </w:t>
      </w:r>
      <w:r>
        <w:rPr>
          <w:color w:val="231F20"/>
        </w:rPr>
        <w:t>indujeron el inicio de desarrollo de la etapa asexual de la enfermedad (Cuadro</w:t>
      </w:r>
      <w:r>
        <w:rPr>
          <w:color w:val="231F20"/>
          <w:spacing w:val="-4"/>
        </w:rPr>
        <w:t> </w:t>
      </w:r>
      <w:r>
        <w:rPr>
          <w:color w:val="231F20"/>
        </w:rPr>
        <w:t>3).</w:t>
      </w:r>
    </w:p>
    <w:p>
      <w:pPr>
        <w:pStyle w:val="BodyText"/>
        <w:spacing w:before="10"/>
      </w:pPr>
    </w:p>
    <w:p>
      <w:pPr>
        <w:pStyle w:val="BodyText"/>
        <w:spacing w:line="247" w:lineRule="auto"/>
        <w:ind w:left="1270" w:right="1268"/>
        <w:jc w:val="both"/>
      </w:pPr>
      <w:r>
        <w:rPr>
          <w:color w:val="231F20"/>
        </w:rPr>
        <w:t>Con</w:t>
      </w:r>
      <w:r>
        <w:rPr>
          <w:color w:val="231F20"/>
          <w:spacing w:val="-8"/>
        </w:rPr>
        <w:t> </w:t>
      </w:r>
      <w:r>
        <w:rPr>
          <w:color w:val="231F20"/>
        </w:rPr>
        <w:t>respecto</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hoja</w:t>
      </w:r>
      <w:r>
        <w:rPr>
          <w:color w:val="231F20"/>
          <w:spacing w:val="-8"/>
        </w:rPr>
        <w:t> </w:t>
      </w:r>
      <w:r>
        <w:rPr>
          <w:color w:val="231F20"/>
        </w:rPr>
        <w:t>más</w:t>
      </w:r>
      <w:r>
        <w:rPr>
          <w:color w:val="231F20"/>
          <w:spacing w:val="-8"/>
        </w:rPr>
        <w:t> </w:t>
      </w:r>
      <w:r>
        <w:rPr>
          <w:color w:val="231F20"/>
        </w:rPr>
        <w:t>joven</w:t>
      </w:r>
      <w:r>
        <w:rPr>
          <w:color w:val="231F20"/>
          <w:spacing w:val="-8"/>
        </w:rPr>
        <w:t> </w:t>
      </w:r>
      <w:r>
        <w:rPr>
          <w:color w:val="231F20"/>
        </w:rPr>
        <w:t>con</w:t>
      </w:r>
      <w:r>
        <w:rPr>
          <w:color w:val="231F20"/>
          <w:spacing w:val="-8"/>
        </w:rPr>
        <w:t> </w:t>
      </w:r>
      <w:r>
        <w:rPr>
          <w:color w:val="231F20"/>
        </w:rPr>
        <w:t>pizca</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año</w:t>
      </w:r>
      <w:r>
        <w:rPr>
          <w:color w:val="231F20"/>
          <w:spacing w:val="-8"/>
        </w:rPr>
        <w:t> </w:t>
      </w:r>
      <w:r>
        <w:rPr>
          <w:color w:val="231F20"/>
        </w:rPr>
        <w:t>2010</w:t>
      </w:r>
      <w:r>
        <w:rPr>
          <w:color w:val="231F20"/>
          <w:spacing w:val="37"/>
        </w:rPr>
        <w:t> </w:t>
      </w:r>
      <w:r>
        <w:rPr>
          <w:color w:val="231F20"/>
        </w:rPr>
        <w:t>se</w:t>
      </w:r>
      <w:r>
        <w:rPr>
          <w:color w:val="231F20"/>
          <w:spacing w:val="-8"/>
        </w:rPr>
        <w:t> </w:t>
      </w:r>
      <w:r>
        <w:rPr>
          <w:color w:val="231F20"/>
        </w:rPr>
        <w:t>encontró</w:t>
      </w:r>
      <w:r>
        <w:rPr>
          <w:color w:val="231F20"/>
          <w:spacing w:val="-9"/>
        </w:rPr>
        <w:t> </w:t>
      </w:r>
      <w:r>
        <w:rPr>
          <w:color w:val="231F20"/>
        </w:rPr>
        <w:t>en</w:t>
      </w:r>
      <w:r>
        <w:rPr>
          <w:color w:val="231F20"/>
          <w:spacing w:val="-8"/>
        </w:rPr>
        <w:t> </w:t>
      </w:r>
      <w:r>
        <w:rPr>
          <w:color w:val="231F20"/>
        </w:rPr>
        <w:t>el</w:t>
      </w:r>
      <w:r>
        <w:rPr>
          <w:color w:val="231F20"/>
          <w:spacing w:val="-8"/>
        </w:rPr>
        <w:t> </w:t>
      </w:r>
      <w:r>
        <w:rPr>
          <w:color w:val="231F20"/>
        </w:rPr>
        <w:t>los</w:t>
      </w:r>
      <w:r>
        <w:rPr>
          <w:color w:val="231F20"/>
          <w:spacing w:val="-8"/>
        </w:rPr>
        <w:t> </w:t>
      </w:r>
      <w:r>
        <w:rPr>
          <w:color w:val="231F20"/>
        </w:rPr>
        <w:t>meses</w:t>
      </w:r>
      <w:r>
        <w:rPr>
          <w:color w:val="231F20"/>
          <w:spacing w:val="-8"/>
        </w:rPr>
        <w:t> </w:t>
      </w:r>
      <w:r>
        <w:rPr>
          <w:color w:val="231F20"/>
        </w:rPr>
        <w:t>de</w:t>
      </w:r>
      <w:r>
        <w:rPr>
          <w:color w:val="231F20"/>
          <w:spacing w:val="-8"/>
        </w:rPr>
        <w:t> </w:t>
      </w:r>
      <w:r>
        <w:rPr>
          <w:color w:val="231F20"/>
        </w:rPr>
        <w:t>septiembre a</w:t>
      </w:r>
      <w:r>
        <w:rPr>
          <w:color w:val="231F20"/>
          <w:spacing w:val="-11"/>
        </w:rPr>
        <w:t> </w:t>
      </w:r>
      <w:r>
        <w:rPr>
          <w:color w:val="231F20"/>
        </w:rPr>
        <w:t>diciembre</w:t>
      </w:r>
      <w:r>
        <w:rPr>
          <w:color w:val="231F20"/>
          <w:spacing w:val="-11"/>
        </w:rPr>
        <w:t> </w:t>
      </w:r>
      <w:r>
        <w:rPr>
          <w:color w:val="231F20"/>
        </w:rPr>
        <w:t>en</w:t>
      </w:r>
      <w:r>
        <w:rPr>
          <w:color w:val="231F20"/>
          <w:spacing w:val="-11"/>
        </w:rPr>
        <w:t> </w:t>
      </w:r>
      <w:r>
        <w:rPr>
          <w:color w:val="231F20"/>
        </w:rPr>
        <w:t>las</w:t>
      </w:r>
      <w:r>
        <w:rPr>
          <w:color w:val="231F20"/>
          <w:spacing w:val="-11"/>
        </w:rPr>
        <w:t> </w:t>
      </w:r>
      <w:r>
        <w:rPr>
          <w:color w:val="231F20"/>
        </w:rPr>
        <w:t>plantas</w:t>
      </w:r>
      <w:r>
        <w:rPr>
          <w:color w:val="231F20"/>
          <w:spacing w:val="-11"/>
        </w:rPr>
        <w:t> </w:t>
      </w:r>
      <w:r>
        <w:rPr>
          <w:color w:val="231F20"/>
        </w:rPr>
        <w:t>con</w:t>
      </w:r>
      <w:r>
        <w:rPr>
          <w:color w:val="231F20"/>
          <w:spacing w:val="-11"/>
        </w:rPr>
        <w:t> </w:t>
      </w:r>
      <w:r>
        <w:rPr>
          <w:color w:val="231F20"/>
        </w:rPr>
        <w:t>floración</w:t>
      </w:r>
      <w:r>
        <w:rPr>
          <w:color w:val="231F20"/>
          <w:spacing w:val="-11"/>
        </w:rPr>
        <w:t> </w:t>
      </w:r>
      <w:r>
        <w:rPr>
          <w:color w:val="231F20"/>
        </w:rPr>
        <w:t>inicial,</w:t>
      </w:r>
      <w:r>
        <w:rPr>
          <w:color w:val="231F20"/>
          <w:spacing w:val="31"/>
        </w:rPr>
        <w:t> </w:t>
      </w:r>
      <w:r>
        <w:rPr>
          <w:color w:val="231F20"/>
        </w:rPr>
        <w:t>en</w:t>
      </w:r>
      <w:r>
        <w:rPr>
          <w:color w:val="231F20"/>
          <w:spacing w:val="-11"/>
        </w:rPr>
        <w:t> </w:t>
      </w:r>
      <w:r>
        <w:rPr>
          <w:color w:val="231F20"/>
        </w:rPr>
        <w:t>el</w:t>
      </w:r>
      <w:r>
        <w:rPr>
          <w:color w:val="231F20"/>
          <w:spacing w:val="-11"/>
        </w:rPr>
        <w:t> </w:t>
      </w:r>
      <w:r>
        <w:rPr>
          <w:color w:val="231F20"/>
        </w:rPr>
        <w:t>2011</w:t>
      </w:r>
      <w:r>
        <w:rPr>
          <w:color w:val="231F20"/>
          <w:spacing w:val="-11"/>
        </w:rPr>
        <w:t> </w:t>
      </w:r>
      <w:r>
        <w:rPr>
          <w:color w:val="231F20"/>
        </w:rPr>
        <w:t>se</w:t>
      </w:r>
      <w:r>
        <w:rPr>
          <w:color w:val="231F20"/>
          <w:spacing w:val="-11"/>
        </w:rPr>
        <w:t> </w:t>
      </w:r>
      <w:r>
        <w:rPr>
          <w:color w:val="231F20"/>
        </w:rPr>
        <w:t>encontró</w:t>
      </w:r>
      <w:r>
        <w:rPr>
          <w:color w:val="231F20"/>
          <w:spacing w:val="-11"/>
        </w:rPr>
        <w:t> </w:t>
      </w:r>
      <w:r>
        <w:rPr>
          <w:color w:val="231F20"/>
        </w:rPr>
        <w:t>una</w:t>
      </w:r>
      <w:r>
        <w:rPr>
          <w:color w:val="231F20"/>
          <w:spacing w:val="-11"/>
        </w:rPr>
        <w:t> </w:t>
      </w:r>
      <w:r>
        <w:rPr>
          <w:color w:val="231F20"/>
        </w:rPr>
        <w:t>diferencia</w:t>
      </w:r>
      <w:r>
        <w:rPr>
          <w:color w:val="231F20"/>
          <w:spacing w:val="-11"/>
        </w:rPr>
        <w:t> </w:t>
      </w:r>
      <w:r>
        <w:rPr>
          <w:color w:val="231F20"/>
        </w:rPr>
        <w:t>significativa</w:t>
      </w:r>
      <w:r>
        <w:rPr>
          <w:color w:val="231F20"/>
          <w:spacing w:val="-11"/>
        </w:rPr>
        <w:t> </w:t>
      </w:r>
      <w:r>
        <w:rPr>
          <w:color w:val="231F20"/>
        </w:rPr>
        <w:t>en el mes de agosto, en plantas jóvenes, y en octubre, noviembre y diciembre en plantas con floración inicial.</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2012</w:t>
      </w:r>
      <w:r>
        <w:rPr>
          <w:color w:val="231F20"/>
          <w:spacing w:val="-5"/>
        </w:rPr>
        <w:t> </w:t>
      </w:r>
      <w:r>
        <w:rPr>
          <w:color w:val="231F20"/>
        </w:rPr>
        <w:t>se</w:t>
      </w:r>
      <w:r>
        <w:rPr>
          <w:color w:val="231F20"/>
          <w:spacing w:val="-5"/>
        </w:rPr>
        <w:t> </w:t>
      </w:r>
      <w:r>
        <w:rPr>
          <w:color w:val="231F20"/>
        </w:rPr>
        <w:t>encontró</w:t>
      </w:r>
      <w:r>
        <w:rPr>
          <w:color w:val="231F20"/>
          <w:spacing w:val="-5"/>
        </w:rPr>
        <w:t> </w:t>
      </w:r>
      <w:r>
        <w:rPr>
          <w:color w:val="231F20"/>
        </w:rPr>
        <w:t>una</w:t>
      </w:r>
      <w:r>
        <w:rPr>
          <w:color w:val="231F20"/>
          <w:spacing w:val="-5"/>
        </w:rPr>
        <w:t> </w:t>
      </w:r>
      <w:r>
        <w:rPr>
          <w:color w:val="231F20"/>
        </w:rPr>
        <w:t>diferencia</w:t>
      </w:r>
      <w:r>
        <w:rPr>
          <w:color w:val="231F20"/>
          <w:spacing w:val="-5"/>
        </w:rPr>
        <w:t> </w:t>
      </w:r>
      <w:r>
        <w:rPr>
          <w:color w:val="231F20"/>
        </w:rPr>
        <w:t>de</w:t>
      </w:r>
      <w:r>
        <w:rPr>
          <w:color w:val="231F20"/>
          <w:spacing w:val="-5"/>
        </w:rPr>
        <w:t> </w:t>
      </w:r>
      <w:r>
        <w:rPr>
          <w:color w:val="231F20"/>
        </w:rPr>
        <w:t>enero</w:t>
      </w:r>
      <w:r>
        <w:rPr>
          <w:color w:val="231F20"/>
          <w:spacing w:val="-5"/>
        </w:rPr>
        <w:t> </w:t>
      </w:r>
      <w:r>
        <w:rPr>
          <w:color w:val="231F20"/>
        </w:rPr>
        <w:t>a</w:t>
      </w:r>
      <w:r>
        <w:rPr>
          <w:color w:val="231F20"/>
          <w:spacing w:val="-5"/>
        </w:rPr>
        <w:t> </w:t>
      </w:r>
      <w:r>
        <w:rPr>
          <w:color w:val="231F20"/>
        </w:rPr>
        <w:t>marzo</w:t>
      </w:r>
      <w:r>
        <w:rPr>
          <w:color w:val="231F20"/>
          <w:spacing w:val="-5"/>
        </w:rPr>
        <w:t> </w:t>
      </w:r>
      <w:r>
        <w:rPr>
          <w:color w:val="231F20"/>
        </w:rPr>
        <w:t>en</w:t>
      </w:r>
      <w:r>
        <w:rPr>
          <w:color w:val="231F20"/>
          <w:spacing w:val="-5"/>
        </w:rPr>
        <w:t> </w:t>
      </w:r>
      <w:r>
        <w:rPr>
          <w:color w:val="231F20"/>
        </w:rPr>
        <w:t>plantas</w:t>
      </w:r>
      <w:r>
        <w:rPr>
          <w:color w:val="231F20"/>
          <w:spacing w:val="-5"/>
        </w:rPr>
        <w:t> </w:t>
      </w:r>
      <w:r>
        <w:rPr>
          <w:color w:val="231F20"/>
        </w:rPr>
        <w:t>jóvenes</w:t>
      </w:r>
      <w:r>
        <w:rPr>
          <w:color w:val="231F20"/>
          <w:spacing w:val="-5"/>
        </w:rPr>
        <w:t> </w:t>
      </w:r>
      <w:r>
        <w:rPr>
          <w:color w:val="231F20"/>
        </w:rPr>
        <w:t>(Cuadro</w:t>
      </w:r>
      <w:r>
        <w:rPr>
          <w:color w:val="231F20"/>
          <w:spacing w:val="-5"/>
        </w:rPr>
        <w:t> </w:t>
      </w:r>
      <w:r>
        <w:rPr>
          <w:color w:val="231F20"/>
        </w:rPr>
        <w:t>4,</w:t>
      </w:r>
      <w:r>
        <w:rPr>
          <w:color w:val="231F20"/>
          <w:spacing w:val="-5"/>
        </w:rPr>
        <w:t> </w:t>
      </w:r>
      <w:r>
        <w:rPr>
          <w:color w:val="231F20"/>
        </w:rPr>
        <w:t>Figura 1</w:t>
      </w:r>
      <w:r>
        <w:rPr>
          <w:color w:val="231F20"/>
          <w:spacing w:val="-5"/>
        </w:rPr>
        <w:t> </w:t>
      </w:r>
      <w:r>
        <w:rPr>
          <w:color w:val="231F20"/>
        </w:rPr>
        <w:t>y</w:t>
      </w:r>
      <w:r>
        <w:rPr>
          <w:color w:val="231F20"/>
          <w:spacing w:val="-5"/>
        </w:rPr>
        <w:t> </w:t>
      </w:r>
      <w:r>
        <w:rPr>
          <w:color w:val="231F20"/>
        </w:rPr>
        <w:t>2).</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año</w:t>
      </w:r>
      <w:r>
        <w:rPr>
          <w:color w:val="231F20"/>
          <w:spacing w:val="-5"/>
        </w:rPr>
        <w:t> </w:t>
      </w:r>
      <w:r>
        <w:rPr>
          <w:color w:val="231F20"/>
        </w:rPr>
        <w:t>2010</w:t>
      </w:r>
      <w:r>
        <w:rPr>
          <w:color w:val="231F20"/>
          <w:spacing w:val="-5"/>
        </w:rPr>
        <w:t> </w:t>
      </w:r>
      <w:r>
        <w:rPr>
          <w:color w:val="231F20"/>
        </w:rPr>
        <w:t>la</w:t>
      </w:r>
      <w:r>
        <w:rPr>
          <w:color w:val="231F20"/>
          <w:spacing w:val="-5"/>
        </w:rPr>
        <w:t> </w:t>
      </w:r>
      <w:r>
        <w:rPr>
          <w:color w:val="231F20"/>
        </w:rPr>
        <w:t>hoja</w:t>
      </w:r>
      <w:r>
        <w:rPr>
          <w:color w:val="231F20"/>
          <w:spacing w:val="-5"/>
        </w:rPr>
        <w:t> </w:t>
      </w:r>
      <w:r>
        <w:rPr>
          <w:color w:val="231F20"/>
        </w:rPr>
        <w:t>más</w:t>
      </w:r>
      <w:r>
        <w:rPr>
          <w:color w:val="231F20"/>
          <w:spacing w:val="-5"/>
        </w:rPr>
        <w:t> </w:t>
      </w:r>
      <w:r>
        <w:rPr>
          <w:color w:val="231F20"/>
        </w:rPr>
        <w:t>joven</w:t>
      </w:r>
      <w:r>
        <w:rPr>
          <w:color w:val="231F20"/>
          <w:spacing w:val="-5"/>
        </w:rPr>
        <w:t> </w:t>
      </w:r>
      <w:r>
        <w:rPr>
          <w:color w:val="231F20"/>
        </w:rPr>
        <w:t>con</w:t>
      </w:r>
      <w:r>
        <w:rPr>
          <w:color w:val="231F20"/>
          <w:spacing w:val="-5"/>
        </w:rPr>
        <w:t> </w:t>
      </w:r>
      <w:r>
        <w:rPr>
          <w:color w:val="231F20"/>
        </w:rPr>
        <w:t>mancha</w:t>
      </w:r>
      <w:r>
        <w:rPr>
          <w:color w:val="231F20"/>
          <w:spacing w:val="-5"/>
        </w:rPr>
        <w:t> </w:t>
      </w:r>
      <w:r>
        <w:rPr>
          <w:color w:val="231F20"/>
        </w:rPr>
        <w:t>(HMJM)</w:t>
      </w:r>
      <w:r>
        <w:rPr>
          <w:color w:val="231F20"/>
          <w:spacing w:val="-5"/>
        </w:rPr>
        <w:t> </w:t>
      </w:r>
      <w:r>
        <w:rPr>
          <w:color w:val="231F20"/>
        </w:rPr>
        <w:t>fue</w:t>
      </w:r>
      <w:r>
        <w:rPr>
          <w:color w:val="231F20"/>
          <w:spacing w:val="-5"/>
        </w:rPr>
        <w:t> </w:t>
      </w:r>
      <w:r>
        <w:rPr>
          <w:color w:val="231F20"/>
        </w:rPr>
        <w:t>la</w:t>
      </w:r>
      <w:r>
        <w:rPr>
          <w:color w:val="231F20"/>
          <w:spacing w:val="-5"/>
        </w:rPr>
        <w:t> </w:t>
      </w:r>
      <w:r>
        <w:rPr>
          <w:color w:val="231F20"/>
        </w:rPr>
        <w:t>cinco</w:t>
      </w:r>
      <w:r>
        <w:rPr>
          <w:color w:val="231F20"/>
          <w:spacing w:val="-5"/>
        </w:rPr>
        <w:t> </w:t>
      </w:r>
      <w:r>
        <w:rPr>
          <w:color w:val="231F20"/>
        </w:rPr>
        <w:t>en</w:t>
      </w:r>
      <w:r>
        <w:rPr>
          <w:color w:val="231F20"/>
          <w:spacing w:val="-5"/>
        </w:rPr>
        <w:t> </w:t>
      </w:r>
      <w:r>
        <w:rPr>
          <w:color w:val="231F20"/>
        </w:rPr>
        <w:t>noviembre</w:t>
      </w:r>
      <w:r>
        <w:rPr>
          <w:color w:val="231F20"/>
          <w:spacing w:val="-5"/>
        </w:rPr>
        <w:t> </w:t>
      </w:r>
      <w:r>
        <w:rPr>
          <w:color w:val="231F20"/>
        </w:rPr>
        <w:t>y</w:t>
      </w:r>
      <w:r>
        <w:rPr>
          <w:color w:val="231F20"/>
          <w:spacing w:val="-5"/>
        </w:rPr>
        <w:t> </w:t>
      </w:r>
      <w:r>
        <w:rPr>
          <w:color w:val="231F20"/>
        </w:rPr>
        <w:t>la</w:t>
      </w:r>
      <w:r>
        <w:rPr>
          <w:color w:val="231F20"/>
          <w:spacing w:val="-5"/>
        </w:rPr>
        <w:t> </w:t>
      </w:r>
      <w:r>
        <w:rPr>
          <w:color w:val="231F20"/>
        </w:rPr>
        <w:t>seis</w:t>
      </w:r>
      <w:r>
        <w:rPr>
          <w:color w:val="231F20"/>
          <w:spacing w:val="-5"/>
        </w:rPr>
        <w:t> </w:t>
      </w:r>
      <w:r>
        <w:rPr>
          <w:color w:val="231F20"/>
        </w:rPr>
        <w:t>en diciembre en plantas jóvenes, la dos en el mes de noviembre y la uno en diciembre, para el caso de plantas</w:t>
      </w:r>
      <w:r>
        <w:rPr>
          <w:color w:val="231F20"/>
          <w:spacing w:val="-11"/>
        </w:rPr>
        <w:t> </w:t>
      </w:r>
      <w:r>
        <w:rPr>
          <w:color w:val="231F20"/>
        </w:rPr>
        <w:t>con</w:t>
      </w:r>
      <w:r>
        <w:rPr>
          <w:color w:val="231F20"/>
          <w:spacing w:val="-11"/>
        </w:rPr>
        <w:t> </w:t>
      </w:r>
      <w:r>
        <w:rPr>
          <w:color w:val="231F20"/>
        </w:rPr>
        <w:t>floración</w:t>
      </w:r>
      <w:r>
        <w:rPr>
          <w:color w:val="231F20"/>
          <w:spacing w:val="-11"/>
        </w:rPr>
        <w:t> </w:t>
      </w:r>
      <w:r>
        <w:rPr>
          <w:color w:val="231F20"/>
        </w:rPr>
        <w:t>inicial,</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año</w:t>
      </w:r>
      <w:r>
        <w:rPr>
          <w:color w:val="231F20"/>
          <w:spacing w:val="-11"/>
        </w:rPr>
        <w:t> </w:t>
      </w:r>
      <w:r>
        <w:rPr>
          <w:color w:val="231F20"/>
        </w:rPr>
        <w:t>2011,</w:t>
      </w:r>
      <w:r>
        <w:rPr>
          <w:color w:val="231F20"/>
          <w:spacing w:val="-11"/>
        </w:rPr>
        <w:t> </w:t>
      </w:r>
      <w:r>
        <w:rPr>
          <w:color w:val="231F20"/>
        </w:rPr>
        <w:t>en</w:t>
      </w:r>
      <w:r>
        <w:rPr>
          <w:color w:val="231F20"/>
          <w:spacing w:val="-11"/>
        </w:rPr>
        <w:t> </w:t>
      </w:r>
      <w:r>
        <w:rPr>
          <w:color w:val="231F20"/>
        </w:rPr>
        <w:t>plantas</w:t>
      </w:r>
      <w:r>
        <w:rPr>
          <w:color w:val="231F20"/>
          <w:spacing w:val="-11"/>
        </w:rPr>
        <w:t> </w:t>
      </w:r>
      <w:r>
        <w:rPr>
          <w:color w:val="231F20"/>
        </w:rPr>
        <w:t>jóvenes</w:t>
      </w:r>
      <w:r>
        <w:rPr>
          <w:color w:val="231F20"/>
          <w:spacing w:val="-11"/>
        </w:rPr>
        <w:t> </w:t>
      </w:r>
      <w:r>
        <w:rPr>
          <w:color w:val="231F20"/>
        </w:rPr>
        <w:t>fue</w:t>
      </w:r>
      <w:r>
        <w:rPr>
          <w:color w:val="231F20"/>
          <w:spacing w:val="-11"/>
        </w:rPr>
        <w:t> </w:t>
      </w:r>
      <w:r>
        <w:rPr>
          <w:color w:val="231F20"/>
        </w:rPr>
        <w:t>la</w:t>
      </w:r>
      <w:r>
        <w:rPr>
          <w:color w:val="231F20"/>
          <w:spacing w:val="-11"/>
        </w:rPr>
        <w:t> </w:t>
      </w:r>
      <w:r>
        <w:rPr>
          <w:color w:val="231F20"/>
        </w:rPr>
        <w:t>hoja</w:t>
      </w:r>
      <w:r>
        <w:rPr>
          <w:color w:val="231F20"/>
          <w:spacing w:val="-11"/>
        </w:rPr>
        <w:t> </w:t>
      </w:r>
      <w:r>
        <w:rPr>
          <w:color w:val="231F20"/>
        </w:rPr>
        <w:t>cinco</w:t>
      </w:r>
      <w:r>
        <w:rPr>
          <w:color w:val="231F20"/>
          <w:spacing w:val="-11"/>
        </w:rPr>
        <w:t> </w:t>
      </w:r>
      <w:r>
        <w:rPr>
          <w:color w:val="231F20"/>
        </w:rPr>
        <w:t>en</w:t>
      </w:r>
      <w:r>
        <w:rPr>
          <w:color w:val="231F20"/>
          <w:spacing w:val="-11"/>
        </w:rPr>
        <w:t> </w:t>
      </w:r>
      <w:r>
        <w:rPr>
          <w:color w:val="231F20"/>
        </w:rPr>
        <w:t>octubre</w:t>
      </w:r>
      <w:r>
        <w:rPr>
          <w:color w:val="231F20"/>
          <w:spacing w:val="-11"/>
        </w:rPr>
        <w:t> </w:t>
      </w:r>
      <w:r>
        <w:rPr>
          <w:color w:val="231F20"/>
        </w:rPr>
        <w:t>y</w:t>
      </w:r>
      <w:r>
        <w:rPr>
          <w:color w:val="231F20"/>
          <w:spacing w:val="-11"/>
        </w:rPr>
        <w:t> </w:t>
      </w:r>
      <w:r>
        <w:rPr>
          <w:color w:val="231F20"/>
        </w:rPr>
        <w:t>diciem- bre y la cuatro en noviembre, en plantas con floración inicial fue la tres en noviembre y diciembre, en el año 2012 en plantas jóvenes la seis en enero y la siete en marzo, la dos en enero y la cuatro en marzo para el caso de plantas en floración inicial.(Cuadro 5, Figura 1 y</w:t>
      </w:r>
      <w:r>
        <w:rPr>
          <w:color w:val="231F20"/>
          <w:spacing w:val="-11"/>
        </w:rPr>
        <w:t> </w:t>
      </w:r>
      <w:r>
        <w:rPr>
          <w:color w:val="231F20"/>
        </w:rPr>
        <w:t>2).</w:t>
      </w:r>
    </w:p>
    <w:p>
      <w:pPr>
        <w:spacing w:after="0" w:line="247" w:lineRule="auto"/>
        <w:jc w:val="both"/>
        <w:sectPr>
          <w:pgSz w:w="10920" w:h="13080"/>
          <w:pgMar w:header="0" w:footer="965" w:top="420" w:bottom="1220" w:left="0" w:right="0"/>
        </w:sectPr>
      </w:pPr>
    </w:p>
    <w:p>
      <w:pPr>
        <w:pStyle w:val="BodyText"/>
        <w:rPr>
          <w:sz w:val="20"/>
        </w:rPr>
      </w:pPr>
    </w:p>
    <w:p>
      <w:pPr>
        <w:pStyle w:val="BodyText"/>
        <w:rPr>
          <w:sz w:val="20"/>
        </w:rPr>
      </w:pPr>
    </w:p>
    <w:p>
      <w:pPr>
        <w:pStyle w:val="BodyText"/>
        <w:rPr>
          <w:sz w:val="23"/>
        </w:rPr>
      </w:pPr>
    </w:p>
    <w:p>
      <w:pPr>
        <w:pStyle w:val="BodyText"/>
        <w:spacing w:line="247" w:lineRule="auto" w:before="73"/>
        <w:ind w:left="1270" w:right="1267"/>
        <w:jc w:val="both"/>
      </w:pPr>
      <w:r>
        <w:rPr>
          <w:color w:val="231F20"/>
        </w:rPr>
        <w:t>Liberación de esporas. La liberación de esporas de Mycosphaerellafijiensis presento un comporta- miento diferenciado acorde a condiciones climáticas y al tipo reproducción presente en el</w:t>
      </w:r>
      <w:r>
        <w:rPr>
          <w:color w:val="231F20"/>
          <w:spacing w:val="-14"/>
        </w:rPr>
        <w:t> </w:t>
      </w:r>
      <w:r>
        <w:rPr>
          <w:color w:val="231F20"/>
        </w:rPr>
        <w:t>patógeno. En este sentido, el mayor número de ascosporas se presentó en los meses de julio a septiembre, mientras que la mayor producción de conidios en los meses de julio y octubre. Sin embargo en no- viembre</w:t>
      </w:r>
      <w:r>
        <w:rPr>
          <w:color w:val="231F20"/>
          <w:spacing w:val="-11"/>
        </w:rPr>
        <w:t> </w:t>
      </w:r>
      <w:r>
        <w:rPr>
          <w:color w:val="231F20"/>
        </w:rPr>
        <w:t>y</w:t>
      </w:r>
      <w:r>
        <w:rPr>
          <w:color w:val="231F20"/>
          <w:spacing w:val="-11"/>
        </w:rPr>
        <w:t> </w:t>
      </w:r>
      <w:r>
        <w:rPr>
          <w:color w:val="231F20"/>
        </w:rPr>
        <w:t>diciembre</w:t>
      </w:r>
      <w:r>
        <w:rPr>
          <w:color w:val="231F20"/>
          <w:spacing w:val="-11"/>
        </w:rPr>
        <w:t> </w:t>
      </w:r>
      <w:r>
        <w:rPr>
          <w:color w:val="231F20"/>
        </w:rPr>
        <w:t>hubo</w:t>
      </w:r>
      <w:r>
        <w:rPr>
          <w:color w:val="231F20"/>
          <w:spacing w:val="-11"/>
        </w:rPr>
        <w:t> </w:t>
      </w:r>
      <w:r>
        <w:rPr>
          <w:color w:val="231F20"/>
        </w:rPr>
        <w:t>mayor</w:t>
      </w:r>
      <w:r>
        <w:rPr>
          <w:color w:val="231F20"/>
          <w:spacing w:val="-11"/>
        </w:rPr>
        <w:t> </w:t>
      </w:r>
      <w:r>
        <w:rPr>
          <w:color w:val="231F20"/>
        </w:rPr>
        <w:t>producción</w:t>
      </w:r>
      <w:r>
        <w:rPr>
          <w:color w:val="231F20"/>
          <w:spacing w:val="-11"/>
        </w:rPr>
        <w:t> </w:t>
      </w:r>
      <w:r>
        <w:rPr>
          <w:color w:val="231F20"/>
        </w:rPr>
        <w:t>de</w:t>
      </w:r>
      <w:r>
        <w:rPr>
          <w:color w:val="231F20"/>
          <w:spacing w:val="-11"/>
        </w:rPr>
        <w:t> </w:t>
      </w:r>
      <w:r>
        <w:rPr>
          <w:color w:val="231F20"/>
        </w:rPr>
        <w:t>conidios</w:t>
      </w:r>
      <w:r>
        <w:rPr>
          <w:color w:val="231F20"/>
          <w:spacing w:val="-11"/>
        </w:rPr>
        <w:t> </w:t>
      </w:r>
      <w:r>
        <w:rPr>
          <w:color w:val="231F20"/>
        </w:rPr>
        <w:t>que</w:t>
      </w:r>
      <w:r>
        <w:rPr>
          <w:color w:val="231F20"/>
          <w:spacing w:val="-11"/>
        </w:rPr>
        <w:t> </w:t>
      </w:r>
      <w:r>
        <w:rPr>
          <w:color w:val="231F20"/>
        </w:rPr>
        <w:t>ascosporas,</w:t>
      </w:r>
      <w:r>
        <w:rPr>
          <w:color w:val="231F20"/>
          <w:spacing w:val="-11"/>
        </w:rPr>
        <w:t> </w:t>
      </w:r>
      <w:r>
        <w:rPr>
          <w:color w:val="231F20"/>
        </w:rPr>
        <w:t>lo</w:t>
      </w:r>
      <w:r>
        <w:rPr>
          <w:color w:val="231F20"/>
          <w:spacing w:val="-11"/>
        </w:rPr>
        <w:t> </w:t>
      </w:r>
      <w:r>
        <w:rPr>
          <w:color w:val="231F20"/>
        </w:rPr>
        <w:t>cual</w:t>
      </w:r>
      <w:r>
        <w:rPr>
          <w:color w:val="231F20"/>
          <w:spacing w:val="-11"/>
        </w:rPr>
        <w:t> </w:t>
      </w:r>
      <w:r>
        <w:rPr>
          <w:color w:val="231F20"/>
        </w:rPr>
        <w:t>coincide</w:t>
      </w:r>
      <w:r>
        <w:rPr>
          <w:color w:val="231F20"/>
          <w:spacing w:val="-11"/>
        </w:rPr>
        <w:t> </w:t>
      </w:r>
      <w:r>
        <w:rPr>
          <w:color w:val="231F20"/>
        </w:rPr>
        <w:t>con</w:t>
      </w:r>
      <w:r>
        <w:rPr>
          <w:color w:val="231F20"/>
          <w:spacing w:val="31"/>
        </w:rPr>
        <w:t> </w:t>
      </w:r>
      <w:r>
        <w:rPr>
          <w:color w:val="231F20"/>
        </w:rPr>
        <w:t>lo</w:t>
      </w:r>
      <w:r>
        <w:rPr>
          <w:color w:val="231F20"/>
          <w:spacing w:val="-11"/>
        </w:rPr>
        <w:t> </w:t>
      </w:r>
      <w:r>
        <w:rPr>
          <w:color w:val="231F20"/>
        </w:rPr>
        <w:t>que menciona</w:t>
      </w:r>
      <w:r>
        <w:rPr>
          <w:color w:val="231F20"/>
          <w:spacing w:val="-6"/>
        </w:rPr>
        <w:t> </w:t>
      </w:r>
      <w:r>
        <w:rPr>
          <w:color w:val="231F20"/>
        </w:rPr>
        <w:t>Jácome</w:t>
      </w:r>
      <w:r>
        <w:rPr>
          <w:color w:val="231F20"/>
          <w:spacing w:val="-5"/>
        </w:rPr>
        <w:t> </w:t>
      </w:r>
      <w:r>
        <w:rPr>
          <w:i/>
          <w:color w:val="231F20"/>
        </w:rPr>
        <w:t>et</w:t>
      </w:r>
      <w:r>
        <w:rPr>
          <w:i/>
          <w:color w:val="231F20"/>
          <w:spacing w:val="-5"/>
        </w:rPr>
        <w:t> </w:t>
      </w:r>
      <w:r>
        <w:rPr>
          <w:i/>
          <w:color w:val="231F20"/>
        </w:rPr>
        <w:t>al.</w:t>
      </w:r>
      <w:r>
        <w:rPr>
          <w:color w:val="231F20"/>
        </w:rPr>
        <w:t>,</w:t>
      </w:r>
      <w:r>
        <w:rPr>
          <w:color w:val="231F20"/>
          <w:spacing w:val="-5"/>
        </w:rPr>
        <w:t> </w:t>
      </w:r>
      <w:r>
        <w:rPr>
          <w:color w:val="231F20"/>
        </w:rPr>
        <w:t>(1991),que</w:t>
      </w:r>
      <w:r>
        <w:rPr>
          <w:color w:val="231F20"/>
          <w:spacing w:val="-5"/>
        </w:rPr>
        <w:t> </w:t>
      </w:r>
      <w:r>
        <w:rPr>
          <w:color w:val="231F20"/>
        </w:rPr>
        <w:t>en</w:t>
      </w:r>
      <w:r>
        <w:rPr>
          <w:color w:val="231F20"/>
          <w:spacing w:val="-5"/>
        </w:rPr>
        <w:t> </w:t>
      </w:r>
      <w:r>
        <w:rPr>
          <w:color w:val="231F20"/>
        </w:rPr>
        <w:t>periodos</w:t>
      </w:r>
      <w:r>
        <w:rPr>
          <w:color w:val="231F20"/>
          <w:spacing w:val="-5"/>
        </w:rPr>
        <w:t> </w:t>
      </w:r>
      <w:r>
        <w:rPr>
          <w:color w:val="231F20"/>
        </w:rPr>
        <w:t>secos,</w:t>
      </w:r>
      <w:r>
        <w:rPr>
          <w:color w:val="231F20"/>
          <w:spacing w:val="-5"/>
        </w:rPr>
        <w:t> </w:t>
      </w:r>
      <w:r>
        <w:rPr>
          <w:color w:val="231F20"/>
        </w:rPr>
        <w:t>cuando</w:t>
      </w:r>
      <w:r>
        <w:rPr>
          <w:color w:val="231F20"/>
          <w:spacing w:val="-5"/>
        </w:rPr>
        <w:t> </w:t>
      </w:r>
      <w:r>
        <w:rPr>
          <w:color w:val="231F20"/>
        </w:rPr>
        <w:t>las</w:t>
      </w:r>
      <w:r>
        <w:rPr>
          <w:color w:val="231F20"/>
          <w:spacing w:val="-5"/>
        </w:rPr>
        <w:t> </w:t>
      </w:r>
      <w:r>
        <w:rPr>
          <w:color w:val="231F20"/>
        </w:rPr>
        <w:t>condiciones</w:t>
      </w:r>
      <w:r>
        <w:rPr>
          <w:color w:val="231F20"/>
          <w:spacing w:val="-6"/>
        </w:rPr>
        <w:t> </w:t>
      </w:r>
      <w:r>
        <w:rPr>
          <w:color w:val="231F20"/>
        </w:rPr>
        <w:t>climáticas</w:t>
      </w:r>
      <w:r>
        <w:rPr>
          <w:color w:val="231F20"/>
          <w:spacing w:val="-5"/>
        </w:rPr>
        <w:t> </w:t>
      </w:r>
      <w:r>
        <w:rPr>
          <w:color w:val="231F20"/>
        </w:rPr>
        <w:t>son</w:t>
      </w:r>
      <w:r>
        <w:rPr>
          <w:color w:val="231F20"/>
          <w:spacing w:val="-5"/>
        </w:rPr>
        <w:t> </w:t>
      </w:r>
      <w:r>
        <w:rPr>
          <w:color w:val="231F20"/>
        </w:rPr>
        <w:t>menos favorables para el desarrollo de la enfermedad, los conidios son la principal fuente de</w:t>
      </w:r>
      <w:r>
        <w:rPr>
          <w:color w:val="231F20"/>
          <w:spacing w:val="-5"/>
        </w:rPr>
        <w:t> </w:t>
      </w:r>
      <w:r>
        <w:rPr>
          <w:color w:val="231F20"/>
        </w:rPr>
        <w:t>dispersión.</w:t>
      </w:r>
    </w:p>
    <w:p>
      <w:pPr>
        <w:pStyle w:val="BodyText"/>
        <w:spacing w:before="10"/>
      </w:pPr>
    </w:p>
    <w:p>
      <w:pPr>
        <w:pStyle w:val="BodyText"/>
        <w:spacing w:line="247" w:lineRule="auto"/>
        <w:ind w:left="1270" w:right="1266"/>
        <w:jc w:val="both"/>
      </w:pPr>
      <w:r>
        <w:rPr>
          <w:color w:val="231F20"/>
        </w:rPr>
        <w:t>Influencia climática en la liberación de esporas. La temperatura máxima en el año 2010 se presentó en octubre y noviembre, en el año 2011 en los meses de junio y octubre, y en el año 2012 en el mes de junio. La temperatura mínima en el 2011 y 2012 se presentó en los meses de enero y febrero. Respecto a la precipitación, en el año 2010, el mayor índice pluvial se presentó en agosto, mientras que en el 2011 se presentó en junio, septiembre y octubre.</w:t>
      </w:r>
    </w:p>
    <w:p>
      <w:pPr>
        <w:pStyle w:val="BodyText"/>
        <w:spacing w:before="10"/>
      </w:pPr>
    </w:p>
    <w:p>
      <w:pPr>
        <w:pStyle w:val="BodyText"/>
        <w:spacing w:line="247" w:lineRule="auto"/>
        <w:ind w:left="1270" w:right="1267"/>
        <w:jc w:val="both"/>
      </w:pPr>
      <w:r>
        <w:rPr>
          <w:color w:val="231F20"/>
        </w:rPr>
        <w:t>La mayor captura de esporas y presencia de condiciones climáticas específicas de alta precipitación y temperatura, coinciden en ambos períodos de estudio. Lo cual coincide con lo mencionado por Guzmán,</w:t>
      </w:r>
      <w:r>
        <w:rPr>
          <w:color w:val="231F20"/>
          <w:spacing w:val="-4"/>
        </w:rPr>
        <w:t> </w:t>
      </w:r>
      <w:r>
        <w:rPr>
          <w:color w:val="231F20"/>
        </w:rPr>
        <w:t>(2003)</w:t>
      </w:r>
      <w:r>
        <w:rPr>
          <w:color w:val="231F20"/>
          <w:spacing w:val="-5"/>
        </w:rPr>
        <w:t> </w:t>
      </w:r>
      <w:r>
        <w:rPr>
          <w:color w:val="231F20"/>
        </w:rPr>
        <w:t>que</w:t>
      </w:r>
      <w:r>
        <w:rPr>
          <w:color w:val="231F20"/>
          <w:spacing w:val="-5"/>
        </w:rPr>
        <w:t> </w:t>
      </w:r>
      <w:r>
        <w:rPr>
          <w:color w:val="231F20"/>
        </w:rPr>
        <w:t>en</w:t>
      </w:r>
      <w:r>
        <w:rPr>
          <w:color w:val="231F20"/>
          <w:spacing w:val="-5"/>
        </w:rPr>
        <w:t> </w:t>
      </w:r>
      <w:r>
        <w:rPr>
          <w:color w:val="231F20"/>
        </w:rPr>
        <w:t>estudios</w:t>
      </w:r>
      <w:r>
        <w:rPr>
          <w:color w:val="231F20"/>
          <w:spacing w:val="-5"/>
        </w:rPr>
        <w:t> </w:t>
      </w:r>
      <w:r>
        <w:rPr>
          <w:color w:val="231F20"/>
        </w:rPr>
        <w:t>desarrollados</w:t>
      </w:r>
      <w:r>
        <w:rPr>
          <w:color w:val="231F20"/>
          <w:spacing w:val="-5"/>
        </w:rPr>
        <w:t> </w:t>
      </w:r>
      <w:r>
        <w:rPr>
          <w:color w:val="231F20"/>
        </w:rPr>
        <w:t>en</w:t>
      </w:r>
      <w:r>
        <w:rPr>
          <w:color w:val="231F20"/>
          <w:spacing w:val="-5"/>
        </w:rPr>
        <w:t> </w:t>
      </w:r>
      <w:r>
        <w:rPr>
          <w:color w:val="231F20"/>
        </w:rPr>
        <w:t>Hawaii</w:t>
      </w:r>
      <w:r>
        <w:rPr>
          <w:color w:val="231F20"/>
          <w:spacing w:val="-4"/>
        </w:rPr>
        <w:t> </w:t>
      </w:r>
      <w:r>
        <w:rPr>
          <w:color w:val="231F20"/>
        </w:rPr>
        <w:t>y</w:t>
      </w:r>
      <w:r>
        <w:rPr>
          <w:color w:val="231F20"/>
          <w:spacing w:val="-5"/>
        </w:rPr>
        <w:t> </w:t>
      </w:r>
      <w:r>
        <w:rPr>
          <w:color w:val="231F20"/>
        </w:rPr>
        <w:t>Costa</w:t>
      </w:r>
      <w:r>
        <w:rPr>
          <w:color w:val="231F20"/>
          <w:spacing w:val="-5"/>
        </w:rPr>
        <w:t> </w:t>
      </w:r>
      <w:r>
        <w:rPr>
          <w:color w:val="231F20"/>
        </w:rPr>
        <w:t>Rica,</w:t>
      </w:r>
      <w:r>
        <w:rPr>
          <w:color w:val="231F20"/>
          <w:spacing w:val="-5"/>
        </w:rPr>
        <w:t> </w:t>
      </w:r>
      <w:r>
        <w:rPr>
          <w:color w:val="231F20"/>
        </w:rPr>
        <w:t>se</w:t>
      </w:r>
      <w:r>
        <w:rPr>
          <w:color w:val="231F20"/>
          <w:spacing w:val="-5"/>
        </w:rPr>
        <w:t> </w:t>
      </w:r>
      <w:r>
        <w:rPr>
          <w:color w:val="231F20"/>
        </w:rPr>
        <w:t>encontró</w:t>
      </w:r>
      <w:r>
        <w:rPr>
          <w:color w:val="231F20"/>
          <w:spacing w:val="-5"/>
        </w:rPr>
        <w:t> </w:t>
      </w:r>
      <w:r>
        <w:rPr>
          <w:color w:val="231F20"/>
        </w:rPr>
        <w:t>que</w:t>
      </w:r>
      <w:r>
        <w:rPr>
          <w:color w:val="231F20"/>
          <w:spacing w:val="-5"/>
        </w:rPr>
        <w:t> </w:t>
      </w:r>
      <w:r>
        <w:rPr>
          <w:color w:val="231F20"/>
        </w:rPr>
        <w:t>durante</w:t>
      </w:r>
      <w:r>
        <w:rPr>
          <w:color w:val="231F20"/>
          <w:spacing w:val="-5"/>
        </w:rPr>
        <w:t> </w:t>
      </w:r>
      <w:r>
        <w:rPr>
          <w:color w:val="231F20"/>
        </w:rPr>
        <w:t>días lluviosos</w:t>
      </w:r>
      <w:r>
        <w:rPr>
          <w:color w:val="231F20"/>
          <w:spacing w:val="-7"/>
        </w:rPr>
        <w:t> </w:t>
      </w:r>
      <w:r>
        <w:rPr>
          <w:color w:val="231F20"/>
        </w:rPr>
        <w:t>se</w:t>
      </w:r>
      <w:r>
        <w:rPr>
          <w:color w:val="231F20"/>
          <w:spacing w:val="-6"/>
        </w:rPr>
        <w:t> </w:t>
      </w:r>
      <w:r>
        <w:rPr>
          <w:color w:val="231F20"/>
        </w:rPr>
        <w:t>pueden</w:t>
      </w:r>
      <w:r>
        <w:rPr>
          <w:color w:val="231F20"/>
          <w:spacing w:val="-6"/>
        </w:rPr>
        <w:t> </w:t>
      </w:r>
      <w:r>
        <w:rPr>
          <w:color w:val="231F20"/>
        </w:rPr>
        <w:t>producir</w:t>
      </w:r>
      <w:r>
        <w:rPr>
          <w:color w:val="231F20"/>
          <w:spacing w:val="-6"/>
        </w:rPr>
        <w:t> </w:t>
      </w:r>
      <w:r>
        <w:rPr>
          <w:color w:val="231F20"/>
        </w:rPr>
        <w:t>picos</w:t>
      </w:r>
      <w:r>
        <w:rPr>
          <w:color w:val="231F20"/>
          <w:spacing w:val="-6"/>
        </w:rPr>
        <w:t> </w:t>
      </w:r>
      <w:r>
        <w:rPr>
          <w:color w:val="231F20"/>
        </w:rPr>
        <w:t>cortos</w:t>
      </w:r>
      <w:r>
        <w:rPr>
          <w:color w:val="231F20"/>
          <w:spacing w:val="-7"/>
        </w:rPr>
        <w:t> </w:t>
      </w:r>
      <w:r>
        <w:rPr>
          <w:color w:val="231F20"/>
        </w:rPr>
        <w:t>de</w:t>
      </w:r>
      <w:r>
        <w:rPr>
          <w:color w:val="231F20"/>
          <w:spacing w:val="-6"/>
        </w:rPr>
        <w:t> </w:t>
      </w:r>
      <w:r>
        <w:rPr>
          <w:color w:val="231F20"/>
        </w:rPr>
        <w:t>liberación</w:t>
      </w:r>
      <w:r>
        <w:rPr>
          <w:color w:val="231F20"/>
          <w:spacing w:val="-7"/>
        </w:rPr>
        <w:t> </w:t>
      </w:r>
      <w:r>
        <w:rPr>
          <w:color w:val="231F20"/>
        </w:rPr>
        <w:t>de</w:t>
      </w:r>
      <w:r>
        <w:rPr>
          <w:color w:val="231F20"/>
          <w:spacing w:val="-6"/>
        </w:rPr>
        <w:t> </w:t>
      </w:r>
      <w:r>
        <w:rPr>
          <w:color w:val="231F20"/>
        </w:rPr>
        <w:t>ascosporas</w:t>
      </w:r>
      <w:r>
        <w:rPr>
          <w:color w:val="231F20"/>
          <w:spacing w:val="-7"/>
        </w:rPr>
        <w:t> </w:t>
      </w:r>
      <w:r>
        <w:rPr>
          <w:color w:val="231F20"/>
        </w:rPr>
        <w:t>poco</w:t>
      </w:r>
      <w:r>
        <w:rPr>
          <w:color w:val="231F20"/>
          <w:spacing w:val="-6"/>
        </w:rPr>
        <w:t> </w:t>
      </w:r>
      <w:r>
        <w:rPr>
          <w:color w:val="231F20"/>
        </w:rPr>
        <w:t>después</w:t>
      </w:r>
      <w:r>
        <w:rPr>
          <w:color w:val="231F20"/>
          <w:spacing w:val="-6"/>
        </w:rPr>
        <w:t> </w:t>
      </w:r>
      <w:r>
        <w:rPr>
          <w:color w:val="231F20"/>
        </w:rPr>
        <w:t>de</w:t>
      </w:r>
      <w:r>
        <w:rPr>
          <w:color w:val="231F20"/>
          <w:spacing w:val="-6"/>
        </w:rPr>
        <w:t> </w:t>
      </w:r>
      <w:r>
        <w:rPr>
          <w:color w:val="231F20"/>
        </w:rPr>
        <w:t>que</w:t>
      </w:r>
      <w:r>
        <w:rPr>
          <w:color w:val="231F20"/>
          <w:spacing w:val="-6"/>
        </w:rPr>
        <w:t> </w:t>
      </w:r>
      <w:r>
        <w:rPr>
          <w:color w:val="231F20"/>
        </w:rPr>
        <w:t>ha</w:t>
      </w:r>
      <w:r>
        <w:rPr>
          <w:color w:val="231F20"/>
          <w:spacing w:val="-6"/>
        </w:rPr>
        <w:t> </w:t>
      </w:r>
      <w:r>
        <w:rPr>
          <w:color w:val="231F20"/>
        </w:rPr>
        <w:t>inicia- do</w:t>
      </w:r>
      <w:r>
        <w:rPr>
          <w:color w:val="231F20"/>
          <w:spacing w:val="-6"/>
        </w:rPr>
        <w:t> </w:t>
      </w:r>
      <w:r>
        <w:rPr>
          <w:color w:val="231F20"/>
        </w:rPr>
        <w:t>la</w:t>
      </w:r>
      <w:r>
        <w:rPr>
          <w:color w:val="231F20"/>
          <w:spacing w:val="-6"/>
        </w:rPr>
        <w:t> </w:t>
      </w:r>
      <w:r>
        <w:rPr>
          <w:color w:val="231F20"/>
        </w:rPr>
        <w:t>lluvia.</w:t>
      </w:r>
      <w:r>
        <w:rPr>
          <w:color w:val="231F20"/>
          <w:spacing w:val="-6"/>
        </w:rPr>
        <w:t> </w:t>
      </w:r>
      <w:r>
        <w:rPr>
          <w:color w:val="231F20"/>
        </w:rPr>
        <w:t>De</w:t>
      </w:r>
      <w:r>
        <w:rPr>
          <w:color w:val="231F20"/>
          <w:spacing w:val="-6"/>
        </w:rPr>
        <w:t> </w:t>
      </w:r>
      <w:r>
        <w:rPr>
          <w:color w:val="231F20"/>
        </w:rPr>
        <w:t>igual</w:t>
      </w:r>
      <w:r>
        <w:rPr>
          <w:color w:val="231F20"/>
          <w:spacing w:val="-6"/>
        </w:rPr>
        <w:t> </w:t>
      </w:r>
      <w:r>
        <w:rPr>
          <w:color w:val="231F20"/>
        </w:rPr>
        <w:t>forma,</w:t>
      </w:r>
      <w:r>
        <w:rPr>
          <w:color w:val="231F20"/>
          <w:spacing w:val="-6"/>
        </w:rPr>
        <w:t> </w:t>
      </w:r>
      <w:r>
        <w:rPr>
          <w:color w:val="231F20"/>
        </w:rPr>
        <w:t>Orozco</w:t>
      </w:r>
      <w:r>
        <w:rPr>
          <w:color w:val="231F20"/>
          <w:spacing w:val="-6"/>
        </w:rPr>
        <w:t> </w:t>
      </w:r>
      <w:r>
        <w:rPr>
          <w:i/>
          <w:color w:val="231F20"/>
        </w:rPr>
        <w:t>et</w:t>
      </w:r>
      <w:r>
        <w:rPr>
          <w:i/>
          <w:color w:val="231F20"/>
          <w:spacing w:val="-6"/>
        </w:rPr>
        <w:t> </w:t>
      </w:r>
      <w:r>
        <w:rPr>
          <w:i/>
          <w:color w:val="231F20"/>
        </w:rPr>
        <w:t>al.</w:t>
      </w:r>
      <w:r>
        <w:rPr>
          <w:color w:val="231F20"/>
        </w:rPr>
        <w:t>,(2002)</w:t>
      </w:r>
      <w:r>
        <w:rPr>
          <w:color w:val="231F20"/>
          <w:spacing w:val="-6"/>
        </w:rPr>
        <w:t> </w:t>
      </w:r>
      <w:r>
        <w:rPr>
          <w:color w:val="231F20"/>
        </w:rPr>
        <w:t>en</w:t>
      </w:r>
      <w:r>
        <w:rPr>
          <w:color w:val="231F20"/>
          <w:spacing w:val="-6"/>
        </w:rPr>
        <w:t> </w:t>
      </w:r>
      <w:r>
        <w:rPr>
          <w:color w:val="231F20"/>
        </w:rPr>
        <w:t>estudios</w:t>
      </w:r>
      <w:r>
        <w:rPr>
          <w:color w:val="231F20"/>
          <w:spacing w:val="-6"/>
        </w:rPr>
        <w:t> </w:t>
      </w:r>
      <w:r>
        <w:rPr>
          <w:color w:val="231F20"/>
        </w:rPr>
        <w:t>realizados</w:t>
      </w:r>
      <w:r>
        <w:rPr>
          <w:color w:val="231F20"/>
          <w:spacing w:val="-6"/>
        </w:rPr>
        <w:t> </w:t>
      </w:r>
      <w:r>
        <w:rPr>
          <w:color w:val="231F20"/>
        </w:rPr>
        <w:t>en</w:t>
      </w:r>
      <w:r>
        <w:rPr>
          <w:color w:val="231F20"/>
          <w:spacing w:val="-6"/>
        </w:rPr>
        <w:t> </w:t>
      </w:r>
      <w:r>
        <w:rPr>
          <w:color w:val="231F20"/>
        </w:rPr>
        <w:t>banano</w:t>
      </w:r>
      <w:r>
        <w:rPr>
          <w:color w:val="231F20"/>
          <w:spacing w:val="-6"/>
        </w:rPr>
        <w:t> </w:t>
      </w:r>
      <w:r>
        <w:rPr>
          <w:color w:val="231F20"/>
        </w:rPr>
        <w:t>Gran</w:t>
      </w:r>
      <w:r>
        <w:rPr>
          <w:color w:val="231F20"/>
          <w:spacing w:val="-5"/>
        </w:rPr>
        <w:t> </w:t>
      </w:r>
      <w:r>
        <w:rPr>
          <w:color w:val="231F20"/>
        </w:rPr>
        <w:t>Enano</w:t>
      </w:r>
      <w:r>
        <w:rPr>
          <w:color w:val="231F20"/>
          <w:spacing w:val="-6"/>
        </w:rPr>
        <w:t> </w:t>
      </w:r>
      <w:r>
        <w:rPr>
          <w:color w:val="231F20"/>
        </w:rPr>
        <w:t>en</w:t>
      </w:r>
      <w:r>
        <w:rPr>
          <w:color w:val="231F20"/>
          <w:spacing w:val="-6"/>
        </w:rPr>
        <w:t> </w:t>
      </w:r>
      <w:r>
        <w:rPr>
          <w:color w:val="231F20"/>
        </w:rPr>
        <w:t>el trópico seco señala que la mayor descarga de ascosporas de M. fijiensis estuvo estrechamente rela- cionada con la época de lluvias (junio a octubre) y se extendió hasta noviembre por las condiciones de</w:t>
      </w:r>
      <w:r>
        <w:rPr>
          <w:color w:val="231F20"/>
          <w:spacing w:val="-9"/>
        </w:rPr>
        <w:t> </w:t>
      </w:r>
      <w:r>
        <w:rPr>
          <w:color w:val="231F20"/>
        </w:rPr>
        <w:t>formación</w:t>
      </w:r>
      <w:r>
        <w:rPr>
          <w:color w:val="231F20"/>
          <w:spacing w:val="-9"/>
        </w:rPr>
        <w:t> </w:t>
      </w:r>
      <w:r>
        <w:rPr>
          <w:color w:val="231F20"/>
        </w:rPr>
        <w:t>de</w:t>
      </w:r>
      <w:r>
        <w:rPr>
          <w:color w:val="231F20"/>
          <w:spacing w:val="-9"/>
        </w:rPr>
        <w:t> </w:t>
      </w:r>
      <w:r>
        <w:rPr>
          <w:color w:val="231F20"/>
        </w:rPr>
        <w:t>rocío</w:t>
      </w:r>
      <w:r>
        <w:rPr>
          <w:color w:val="231F20"/>
          <w:spacing w:val="-9"/>
        </w:rPr>
        <w:t> </w:t>
      </w:r>
      <w:r>
        <w:rPr>
          <w:color w:val="231F20"/>
        </w:rPr>
        <w:t>y</w:t>
      </w:r>
      <w:r>
        <w:rPr>
          <w:color w:val="231F20"/>
          <w:spacing w:val="-9"/>
        </w:rPr>
        <w:t> </w:t>
      </w:r>
      <w:r>
        <w:rPr>
          <w:color w:val="231F20"/>
        </w:rPr>
        <w:t>alta</w:t>
      </w:r>
      <w:r>
        <w:rPr>
          <w:color w:val="231F20"/>
          <w:spacing w:val="-10"/>
        </w:rPr>
        <w:t> </w:t>
      </w:r>
      <w:r>
        <w:rPr>
          <w:color w:val="231F20"/>
        </w:rPr>
        <w:t>severidad</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enfermedad</w:t>
      </w:r>
      <w:r>
        <w:rPr>
          <w:color w:val="231F20"/>
          <w:spacing w:val="-10"/>
        </w:rPr>
        <w:t> </w:t>
      </w:r>
      <w:r>
        <w:rPr>
          <w:color w:val="231F20"/>
        </w:rPr>
        <w:t>(Figura</w:t>
      </w:r>
      <w:r>
        <w:rPr>
          <w:color w:val="231F20"/>
          <w:spacing w:val="-9"/>
        </w:rPr>
        <w:t> </w:t>
      </w:r>
      <w:r>
        <w:rPr>
          <w:color w:val="231F20"/>
        </w:rPr>
        <w:t>1).</w:t>
      </w:r>
      <w:r>
        <w:rPr>
          <w:color w:val="231F20"/>
          <w:spacing w:val="-9"/>
        </w:rPr>
        <w:t> </w:t>
      </w:r>
      <w:r>
        <w:rPr>
          <w:color w:val="231F20"/>
        </w:rPr>
        <w:t>La</w:t>
      </w:r>
      <w:r>
        <w:rPr>
          <w:color w:val="231F20"/>
          <w:spacing w:val="-9"/>
        </w:rPr>
        <w:t> </w:t>
      </w:r>
      <w:r>
        <w:rPr>
          <w:color w:val="231F20"/>
        </w:rPr>
        <w:t>humedad</w:t>
      </w:r>
      <w:r>
        <w:rPr>
          <w:color w:val="231F20"/>
          <w:spacing w:val="-9"/>
        </w:rPr>
        <w:t> </w:t>
      </w:r>
      <w:r>
        <w:rPr>
          <w:color w:val="231F20"/>
        </w:rPr>
        <w:t>relativa</w:t>
      </w:r>
      <w:r>
        <w:rPr>
          <w:color w:val="231F20"/>
          <w:spacing w:val="-9"/>
        </w:rPr>
        <w:t> </w:t>
      </w:r>
      <w:r>
        <w:rPr>
          <w:color w:val="231F20"/>
        </w:rPr>
        <w:t>más</w:t>
      </w:r>
      <w:r>
        <w:rPr>
          <w:color w:val="231F20"/>
          <w:spacing w:val="-9"/>
        </w:rPr>
        <w:t> </w:t>
      </w:r>
      <w:r>
        <w:rPr>
          <w:color w:val="231F20"/>
        </w:rPr>
        <w:t>alta</w:t>
      </w:r>
      <w:r>
        <w:rPr>
          <w:color w:val="231F20"/>
          <w:spacing w:val="-10"/>
        </w:rPr>
        <w:t> </w:t>
      </w:r>
      <w:r>
        <w:rPr>
          <w:color w:val="231F20"/>
        </w:rPr>
        <w:t>fue en</w:t>
      </w:r>
      <w:r>
        <w:rPr>
          <w:color w:val="231F20"/>
          <w:spacing w:val="-10"/>
        </w:rPr>
        <w:t> </w:t>
      </w:r>
      <w:r>
        <w:rPr>
          <w:color w:val="231F20"/>
        </w:rPr>
        <w:t>los</w:t>
      </w:r>
      <w:r>
        <w:rPr>
          <w:color w:val="231F20"/>
          <w:spacing w:val="-10"/>
        </w:rPr>
        <w:t> </w:t>
      </w:r>
      <w:r>
        <w:rPr>
          <w:color w:val="231F20"/>
        </w:rPr>
        <w:t>meses</w:t>
      </w:r>
      <w:r>
        <w:rPr>
          <w:color w:val="231F20"/>
          <w:spacing w:val="34"/>
        </w:rPr>
        <w:t> </w:t>
      </w:r>
      <w:r>
        <w:rPr>
          <w:color w:val="231F20"/>
        </w:rPr>
        <w:t>de</w:t>
      </w:r>
      <w:r>
        <w:rPr>
          <w:color w:val="231F20"/>
          <w:spacing w:val="-10"/>
        </w:rPr>
        <w:t> </w:t>
      </w:r>
      <w:r>
        <w:rPr>
          <w:color w:val="231F20"/>
        </w:rPr>
        <w:t>agosto</w:t>
      </w:r>
      <w:r>
        <w:rPr>
          <w:color w:val="231F20"/>
          <w:spacing w:val="-10"/>
        </w:rPr>
        <w:t> </w:t>
      </w:r>
      <w:r>
        <w:rPr>
          <w:color w:val="231F20"/>
        </w:rPr>
        <w:t>con</w:t>
      </w:r>
      <w:r>
        <w:rPr>
          <w:color w:val="231F20"/>
          <w:spacing w:val="34"/>
        </w:rPr>
        <w:t> </w:t>
      </w:r>
      <w:r>
        <w:rPr>
          <w:color w:val="231F20"/>
        </w:rPr>
        <w:t>89%,</w:t>
      </w:r>
      <w:r>
        <w:rPr>
          <w:color w:val="231F20"/>
          <w:spacing w:val="-10"/>
        </w:rPr>
        <w:t> </w:t>
      </w:r>
      <w:r>
        <w:rPr>
          <w:color w:val="231F20"/>
        </w:rPr>
        <w:t>septiembre</w:t>
      </w:r>
      <w:r>
        <w:rPr>
          <w:color w:val="231F20"/>
          <w:spacing w:val="-9"/>
        </w:rPr>
        <w:t> </w:t>
      </w:r>
      <w:r>
        <w:rPr>
          <w:color w:val="231F20"/>
        </w:rPr>
        <w:t>con</w:t>
      </w:r>
      <w:r>
        <w:rPr>
          <w:color w:val="231F20"/>
          <w:spacing w:val="-10"/>
        </w:rPr>
        <w:t> </w:t>
      </w:r>
      <w:r>
        <w:rPr>
          <w:color w:val="231F20"/>
        </w:rPr>
        <w:t>90%</w:t>
      </w:r>
      <w:r>
        <w:rPr>
          <w:color w:val="231F20"/>
          <w:spacing w:val="-10"/>
        </w:rPr>
        <w:t> </w:t>
      </w:r>
      <w:r>
        <w:rPr>
          <w:color w:val="231F20"/>
        </w:rPr>
        <w:t>y</w:t>
      </w:r>
      <w:r>
        <w:rPr>
          <w:color w:val="231F20"/>
          <w:spacing w:val="-10"/>
        </w:rPr>
        <w:t> </w:t>
      </w:r>
      <w:r>
        <w:rPr>
          <w:color w:val="231F20"/>
        </w:rPr>
        <w:t>octubre</w:t>
      </w:r>
      <w:r>
        <w:rPr>
          <w:color w:val="231F20"/>
          <w:spacing w:val="-10"/>
        </w:rPr>
        <w:t> </w:t>
      </w:r>
      <w:r>
        <w:rPr>
          <w:color w:val="231F20"/>
        </w:rPr>
        <w:t>con</w:t>
      </w:r>
      <w:r>
        <w:rPr>
          <w:color w:val="231F20"/>
          <w:spacing w:val="-10"/>
        </w:rPr>
        <w:t> </w:t>
      </w:r>
      <w:r>
        <w:rPr>
          <w:color w:val="231F20"/>
        </w:rPr>
        <w:t>84%</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año</w:t>
      </w:r>
      <w:r>
        <w:rPr>
          <w:color w:val="231F20"/>
          <w:spacing w:val="-10"/>
        </w:rPr>
        <w:t> </w:t>
      </w:r>
      <w:r>
        <w:rPr>
          <w:color w:val="231F20"/>
        </w:rPr>
        <w:t>2010,</w:t>
      </w:r>
      <w:r>
        <w:rPr>
          <w:color w:val="231F20"/>
          <w:spacing w:val="-10"/>
        </w:rPr>
        <w:t> </w:t>
      </w:r>
      <w:r>
        <w:rPr>
          <w:color w:val="231F20"/>
        </w:rPr>
        <w:t>(Figura</w:t>
      </w:r>
      <w:r>
        <w:rPr>
          <w:color w:val="231F20"/>
          <w:spacing w:val="-10"/>
        </w:rPr>
        <w:t> </w:t>
      </w:r>
      <w:r>
        <w:rPr>
          <w:color w:val="231F20"/>
        </w:rPr>
        <w:t>1), condiciones que coinciden con la presencia de las temperaturas medias más altas (27.7°C en</w:t>
      </w:r>
      <w:r>
        <w:rPr>
          <w:color w:val="231F20"/>
          <w:spacing w:val="-28"/>
        </w:rPr>
        <w:t> </w:t>
      </w:r>
      <w:r>
        <w:rPr>
          <w:color w:val="231F20"/>
        </w:rPr>
        <w:t>agosto, 27.3°C</w:t>
      </w:r>
      <w:r>
        <w:rPr>
          <w:color w:val="231F20"/>
          <w:spacing w:val="-7"/>
        </w:rPr>
        <w:t> </w:t>
      </w:r>
      <w:r>
        <w:rPr>
          <w:color w:val="231F20"/>
        </w:rPr>
        <w:t>en</w:t>
      </w:r>
      <w:r>
        <w:rPr>
          <w:color w:val="231F20"/>
          <w:spacing w:val="-7"/>
        </w:rPr>
        <w:t> </w:t>
      </w:r>
      <w:r>
        <w:rPr>
          <w:color w:val="231F20"/>
        </w:rPr>
        <w:t>septiembre</w:t>
      </w:r>
      <w:r>
        <w:rPr>
          <w:color w:val="231F20"/>
          <w:spacing w:val="-7"/>
        </w:rPr>
        <w:t> </w:t>
      </w:r>
      <w:r>
        <w:rPr>
          <w:color w:val="231F20"/>
        </w:rPr>
        <w:t>y</w:t>
      </w:r>
      <w:r>
        <w:rPr>
          <w:color w:val="231F20"/>
          <w:spacing w:val="-7"/>
        </w:rPr>
        <w:t> </w:t>
      </w:r>
      <w:r>
        <w:rPr>
          <w:color w:val="231F20"/>
        </w:rPr>
        <w:t>27</w:t>
      </w:r>
      <w:r>
        <w:rPr>
          <w:color w:val="231F20"/>
          <w:spacing w:val="-7"/>
        </w:rPr>
        <w:t> </w:t>
      </w:r>
      <w:r>
        <w:rPr>
          <w:color w:val="231F20"/>
        </w:rPr>
        <w:t>en</w:t>
      </w:r>
      <w:r>
        <w:rPr>
          <w:color w:val="231F20"/>
          <w:spacing w:val="-7"/>
        </w:rPr>
        <w:t> </w:t>
      </w:r>
      <w:r>
        <w:rPr>
          <w:color w:val="231F20"/>
        </w:rPr>
        <w:t>octubre).</w:t>
      </w:r>
      <w:r>
        <w:rPr>
          <w:color w:val="231F20"/>
          <w:spacing w:val="-7"/>
        </w:rPr>
        <w:t> </w:t>
      </w:r>
      <w:r>
        <w:rPr>
          <w:color w:val="231F20"/>
        </w:rPr>
        <w:t>Lo</w:t>
      </w:r>
      <w:r>
        <w:rPr>
          <w:color w:val="231F20"/>
          <w:spacing w:val="-7"/>
        </w:rPr>
        <w:t> </w:t>
      </w:r>
      <w:r>
        <w:rPr>
          <w:color w:val="231F20"/>
        </w:rPr>
        <w:t>cual</w:t>
      </w:r>
      <w:r>
        <w:rPr>
          <w:color w:val="231F20"/>
          <w:spacing w:val="-7"/>
        </w:rPr>
        <w:t> </w:t>
      </w:r>
      <w:r>
        <w:rPr>
          <w:color w:val="231F20"/>
        </w:rPr>
        <w:t>coincide</w:t>
      </w:r>
      <w:r>
        <w:rPr>
          <w:color w:val="231F20"/>
          <w:spacing w:val="-8"/>
        </w:rPr>
        <w:t> </w:t>
      </w:r>
      <w:r>
        <w:rPr>
          <w:color w:val="231F20"/>
        </w:rPr>
        <w:t>con</w:t>
      </w:r>
      <w:r>
        <w:rPr>
          <w:color w:val="231F20"/>
          <w:spacing w:val="-7"/>
        </w:rPr>
        <w:t> </w:t>
      </w:r>
      <w:r>
        <w:rPr>
          <w:color w:val="231F20"/>
        </w:rPr>
        <w:t>Romero</w:t>
      </w:r>
      <w:r>
        <w:rPr>
          <w:color w:val="231F20"/>
          <w:spacing w:val="-7"/>
        </w:rPr>
        <w:t> </w:t>
      </w:r>
      <w:r>
        <w:rPr>
          <w:color w:val="231F20"/>
        </w:rPr>
        <w:t>(1997)</w:t>
      </w:r>
      <w:r>
        <w:rPr>
          <w:color w:val="231F20"/>
          <w:spacing w:val="-7"/>
        </w:rPr>
        <w:t> </w:t>
      </w:r>
      <w:r>
        <w:rPr>
          <w:color w:val="231F20"/>
        </w:rPr>
        <w:t>quien</w:t>
      </w:r>
      <w:r>
        <w:rPr>
          <w:color w:val="231F20"/>
          <w:spacing w:val="-7"/>
        </w:rPr>
        <w:t> </w:t>
      </w:r>
      <w:r>
        <w:rPr>
          <w:color w:val="231F20"/>
        </w:rPr>
        <w:t>menciona</w:t>
      </w:r>
      <w:r>
        <w:rPr>
          <w:color w:val="231F20"/>
          <w:spacing w:val="-8"/>
        </w:rPr>
        <w:t> </w:t>
      </w:r>
      <w:r>
        <w:rPr>
          <w:color w:val="231F20"/>
        </w:rPr>
        <w:t>que</w:t>
      </w:r>
      <w:r>
        <w:rPr>
          <w:color w:val="231F20"/>
          <w:spacing w:val="-7"/>
        </w:rPr>
        <w:t> </w:t>
      </w:r>
      <w:r>
        <w:rPr>
          <w:color w:val="231F20"/>
        </w:rPr>
        <w:t>las temperaturas</w:t>
      </w:r>
      <w:r>
        <w:rPr>
          <w:color w:val="231F20"/>
          <w:spacing w:val="-8"/>
        </w:rPr>
        <w:t> </w:t>
      </w:r>
      <w:r>
        <w:rPr>
          <w:color w:val="231F20"/>
        </w:rPr>
        <w:t>óptimas</w:t>
      </w:r>
      <w:r>
        <w:rPr>
          <w:color w:val="231F20"/>
          <w:spacing w:val="-7"/>
        </w:rPr>
        <w:t> </w:t>
      </w:r>
      <w:r>
        <w:rPr>
          <w:color w:val="231F20"/>
        </w:rPr>
        <w:t>para</w:t>
      </w:r>
      <w:r>
        <w:rPr>
          <w:color w:val="231F20"/>
          <w:spacing w:val="-7"/>
        </w:rPr>
        <w:t> </w:t>
      </w:r>
      <w:r>
        <w:rPr>
          <w:color w:val="231F20"/>
        </w:rPr>
        <w:t>infecciones</w:t>
      </w:r>
      <w:r>
        <w:rPr>
          <w:color w:val="231F20"/>
          <w:spacing w:val="-8"/>
        </w:rPr>
        <w:t> </w:t>
      </w:r>
      <w:r>
        <w:rPr>
          <w:color w:val="231F20"/>
        </w:rPr>
        <w:t>de</w:t>
      </w:r>
      <w:r>
        <w:rPr>
          <w:color w:val="231F20"/>
          <w:spacing w:val="-7"/>
        </w:rPr>
        <w:t> </w:t>
      </w:r>
      <w:r>
        <w:rPr>
          <w:i/>
          <w:color w:val="231F20"/>
        </w:rPr>
        <w:t>M.</w:t>
      </w:r>
      <w:r>
        <w:rPr>
          <w:i/>
          <w:color w:val="231F20"/>
          <w:spacing w:val="-7"/>
        </w:rPr>
        <w:t> </w:t>
      </w:r>
      <w:r>
        <w:rPr>
          <w:i/>
          <w:color w:val="231F20"/>
        </w:rPr>
        <w:t>fijiensis</w:t>
      </w:r>
      <w:r>
        <w:rPr>
          <w:i/>
          <w:color w:val="231F20"/>
          <w:spacing w:val="-7"/>
        </w:rPr>
        <w:t> </w:t>
      </w:r>
      <w:r>
        <w:rPr>
          <w:color w:val="231F20"/>
        </w:rPr>
        <w:t>oscilan</w:t>
      </w:r>
      <w:r>
        <w:rPr>
          <w:color w:val="231F20"/>
          <w:spacing w:val="-7"/>
        </w:rPr>
        <w:t> </w:t>
      </w:r>
      <w:r>
        <w:rPr>
          <w:color w:val="231F20"/>
        </w:rPr>
        <w:t>entre</w:t>
      </w:r>
      <w:r>
        <w:rPr>
          <w:color w:val="231F20"/>
          <w:spacing w:val="-7"/>
        </w:rPr>
        <w:t> </w:t>
      </w:r>
      <w:r>
        <w:rPr>
          <w:color w:val="231F20"/>
        </w:rPr>
        <w:t>25</w:t>
      </w:r>
      <w:r>
        <w:rPr>
          <w:color w:val="231F20"/>
          <w:spacing w:val="-7"/>
        </w:rPr>
        <w:t> </w:t>
      </w:r>
      <w:r>
        <w:rPr>
          <w:color w:val="231F20"/>
        </w:rPr>
        <w:t>a</w:t>
      </w:r>
      <w:r>
        <w:rPr>
          <w:color w:val="231F20"/>
          <w:spacing w:val="-7"/>
        </w:rPr>
        <w:t> </w:t>
      </w:r>
      <w:r>
        <w:rPr>
          <w:color w:val="231F20"/>
        </w:rPr>
        <w:t>28°C.</w:t>
      </w:r>
      <w:r>
        <w:rPr>
          <w:color w:val="231F20"/>
          <w:spacing w:val="-7"/>
        </w:rPr>
        <w:t> </w:t>
      </w:r>
      <w:r>
        <w:rPr>
          <w:color w:val="231F20"/>
        </w:rPr>
        <w:t>Por</w:t>
      </w:r>
      <w:r>
        <w:rPr>
          <w:color w:val="231F20"/>
          <w:spacing w:val="-7"/>
        </w:rPr>
        <w:t> </w:t>
      </w:r>
      <w:r>
        <w:rPr>
          <w:color w:val="231F20"/>
        </w:rPr>
        <w:t>otra</w:t>
      </w:r>
      <w:r>
        <w:rPr>
          <w:color w:val="231F20"/>
          <w:spacing w:val="-7"/>
        </w:rPr>
        <w:t> </w:t>
      </w:r>
      <w:r>
        <w:rPr>
          <w:color w:val="231F20"/>
        </w:rPr>
        <w:t>parte,</w:t>
      </w:r>
      <w:r>
        <w:rPr>
          <w:color w:val="231F20"/>
          <w:spacing w:val="-7"/>
        </w:rPr>
        <w:t> </w:t>
      </w:r>
      <w:r>
        <w:rPr>
          <w:color w:val="231F20"/>
        </w:rPr>
        <w:t>Jacome y Schuh (1992), señalan que aunado a la temperatura, la presencia de un periodo de humedad en la superficie foliar de 18 h, favorece las infecciones causadas por ascosporas (Figura 1a, 1b y</w:t>
      </w:r>
      <w:r>
        <w:rPr>
          <w:color w:val="231F20"/>
          <w:spacing w:val="-11"/>
        </w:rPr>
        <w:t> </w:t>
      </w:r>
      <w:r>
        <w:rPr>
          <w:color w:val="231F20"/>
        </w:rPr>
        <w:t>2a,2b)</w:t>
      </w:r>
    </w:p>
    <w:p>
      <w:pPr>
        <w:pStyle w:val="BodyText"/>
        <w:spacing w:before="10"/>
        <w:rPr>
          <w:sz w:val="22"/>
        </w:rPr>
      </w:pPr>
    </w:p>
    <w:p>
      <w:pPr>
        <w:pStyle w:val="Heading3"/>
        <w:spacing w:before="1"/>
      </w:pPr>
      <w:r>
        <w:rPr>
          <w:color w:val="010202"/>
        </w:rPr>
        <w:t>Conclusiones</w:t>
      </w:r>
    </w:p>
    <w:p>
      <w:pPr>
        <w:pStyle w:val="BodyText"/>
        <w:spacing w:before="10"/>
        <w:rPr>
          <w:b/>
        </w:rPr>
      </w:pPr>
    </w:p>
    <w:p>
      <w:pPr>
        <w:pStyle w:val="BodyText"/>
        <w:spacing w:line="247" w:lineRule="auto"/>
        <w:ind w:left="1270" w:right="1268"/>
        <w:jc w:val="both"/>
      </w:pPr>
      <w:r>
        <w:rPr>
          <w:color w:val="231F20"/>
        </w:rPr>
        <w:t>La intensidad de la enfermedad estuvo asociada a condiciones climáticas a través del tiempo y con el estado fenológico del cultivo. En los meses con menor temperatura y humedad relativa el daño fue mayor en plantas jóvenes, y en los meses con mayor temperatura y humedad relativa en plantas con</w:t>
      </w:r>
      <w:r>
        <w:rPr>
          <w:color w:val="231F20"/>
          <w:spacing w:val="-5"/>
        </w:rPr>
        <w:t> </w:t>
      </w:r>
      <w:r>
        <w:rPr>
          <w:color w:val="231F20"/>
        </w:rPr>
        <w:t>floración</w:t>
      </w:r>
      <w:r>
        <w:rPr>
          <w:color w:val="231F20"/>
          <w:spacing w:val="-5"/>
        </w:rPr>
        <w:t> </w:t>
      </w:r>
      <w:r>
        <w:rPr>
          <w:color w:val="231F20"/>
        </w:rPr>
        <w:t>inicial.</w:t>
      </w:r>
      <w:r>
        <w:rPr>
          <w:color w:val="231F20"/>
          <w:spacing w:val="-5"/>
        </w:rPr>
        <w:t> </w:t>
      </w:r>
      <w:r>
        <w:rPr>
          <w:color w:val="231F20"/>
        </w:rPr>
        <w:t>El</w:t>
      </w:r>
      <w:r>
        <w:rPr>
          <w:color w:val="231F20"/>
          <w:spacing w:val="-5"/>
        </w:rPr>
        <w:t> </w:t>
      </w:r>
      <w:r>
        <w:rPr>
          <w:color w:val="231F20"/>
        </w:rPr>
        <w:t>mayor</w:t>
      </w:r>
      <w:r>
        <w:rPr>
          <w:color w:val="231F20"/>
          <w:spacing w:val="-5"/>
        </w:rPr>
        <w:t> </w:t>
      </w:r>
      <w:r>
        <w:rPr>
          <w:color w:val="231F20"/>
        </w:rPr>
        <w:t>número</w:t>
      </w:r>
      <w:r>
        <w:rPr>
          <w:color w:val="231F20"/>
          <w:spacing w:val="-5"/>
        </w:rPr>
        <w:t> </w:t>
      </w:r>
      <w:r>
        <w:rPr>
          <w:color w:val="231F20"/>
        </w:rPr>
        <w:t>de</w:t>
      </w:r>
      <w:r>
        <w:rPr>
          <w:color w:val="231F20"/>
          <w:spacing w:val="-5"/>
        </w:rPr>
        <w:t> </w:t>
      </w:r>
      <w:r>
        <w:rPr>
          <w:color w:val="231F20"/>
        </w:rPr>
        <w:t>ascosporas</w:t>
      </w:r>
      <w:r>
        <w:rPr>
          <w:color w:val="231F20"/>
          <w:spacing w:val="-5"/>
        </w:rPr>
        <w:t> </w:t>
      </w:r>
      <w:r>
        <w:rPr>
          <w:color w:val="231F20"/>
        </w:rPr>
        <w:t>se</w:t>
      </w:r>
      <w:r>
        <w:rPr>
          <w:color w:val="231F20"/>
          <w:spacing w:val="-5"/>
        </w:rPr>
        <w:t> </w:t>
      </w:r>
      <w:r>
        <w:rPr>
          <w:color w:val="231F20"/>
        </w:rPr>
        <w:t>presentó</w:t>
      </w:r>
      <w:r>
        <w:rPr>
          <w:color w:val="231F20"/>
          <w:spacing w:val="-5"/>
        </w:rPr>
        <w:t> </w:t>
      </w:r>
      <w:r>
        <w:rPr>
          <w:color w:val="231F20"/>
        </w:rPr>
        <w:t>en</w:t>
      </w:r>
      <w:r>
        <w:rPr>
          <w:color w:val="231F20"/>
          <w:spacing w:val="-5"/>
        </w:rPr>
        <w:t> </w:t>
      </w:r>
      <w:r>
        <w:rPr>
          <w:color w:val="231F20"/>
        </w:rPr>
        <w:t>los</w:t>
      </w:r>
      <w:r>
        <w:rPr>
          <w:color w:val="231F20"/>
          <w:spacing w:val="-5"/>
        </w:rPr>
        <w:t> </w:t>
      </w:r>
      <w:r>
        <w:rPr>
          <w:color w:val="231F20"/>
        </w:rPr>
        <w:t>meses</w:t>
      </w:r>
      <w:r>
        <w:rPr>
          <w:color w:val="231F20"/>
          <w:spacing w:val="-5"/>
        </w:rPr>
        <w:t> </w:t>
      </w:r>
      <w:r>
        <w:rPr>
          <w:color w:val="231F20"/>
        </w:rPr>
        <w:t>de</w:t>
      </w:r>
      <w:r>
        <w:rPr>
          <w:color w:val="231F20"/>
          <w:spacing w:val="-5"/>
        </w:rPr>
        <w:t> </w:t>
      </w:r>
      <w:r>
        <w:rPr>
          <w:color w:val="231F20"/>
        </w:rPr>
        <w:t>julio</w:t>
      </w:r>
      <w:r>
        <w:rPr>
          <w:color w:val="231F20"/>
          <w:spacing w:val="-5"/>
        </w:rPr>
        <w:t> </w:t>
      </w:r>
      <w:r>
        <w:rPr>
          <w:color w:val="231F20"/>
        </w:rPr>
        <w:t>a</w:t>
      </w:r>
      <w:r>
        <w:rPr>
          <w:color w:val="231F20"/>
          <w:spacing w:val="-5"/>
        </w:rPr>
        <w:t> </w:t>
      </w:r>
      <w:r>
        <w:rPr>
          <w:color w:val="231F20"/>
        </w:rPr>
        <w:t>septiembre, mientras que la producción de conidios en los meses de julio y</w:t>
      </w:r>
      <w:r>
        <w:rPr>
          <w:color w:val="231F20"/>
          <w:spacing w:val="-6"/>
        </w:rPr>
        <w:t> </w:t>
      </w:r>
      <w:r>
        <w:rPr>
          <w:color w:val="231F20"/>
        </w:rPr>
        <w:t>octubre</w:t>
      </w:r>
    </w:p>
    <w:p>
      <w:pPr>
        <w:spacing w:after="0" w:line="247" w:lineRule="auto"/>
        <w:jc w:val="both"/>
        <w:sectPr>
          <w:pgSz w:w="10920" w:h="13080"/>
          <w:pgMar w:header="0" w:footer="965" w:top="420" w:bottom="1220" w:left="0" w:right="0"/>
        </w:sectPr>
      </w:pPr>
    </w:p>
    <w:p>
      <w:pPr>
        <w:pStyle w:val="BodyText"/>
        <w:rPr>
          <w:sz w:val="20"/>
        </w:rPr>
      </w:pPr>
    </w:p>
    <w:p>
      <w:pPr>
        <w:pStyle w:val="BodyText"/>
        <w:rPr>
          <w:sz w:val="20"/>
        </w:rPr>
      </w:pPr>
    </w:p>
    <w:p>
      <w:pPr>
        <w:pStyle w:val="BodyText"/>
        <w:spacing w:before="4"/>
        <w:rPr>
          <w:sz w:val="22"/>
        </w:rPr>
      </w:pPr>
    </w:p>
    <w:p>
      <w:pPr>
        <w:pStyle w:val="Heading3"/>
        <w:spacing w:before="69"/>
      </w:pPr>
      <w:r>
        <w:rPr>
          <w:color w:val="010202"/>
        </w:rPr>
        <w:t>Literatura citada</w:t>
      </w:r>
    </w:p>
    <w:p>
      <w:pPr>
        <w:pStyle w:val="BodyText"/>
        <w:spacing w:before="7"/>
        <w:rPr>
          <w:b/>
        </w:rPr>
      </w:pPr>
    </w:p>
    <w:p>
      <w:pPr>
        <w:spacing w:line="249" w:lineRule="auto" w:before="0"/>
        <w:ind w:left="1270" w:right="1268" w:firstLine="0"/>
        <w:jc w:val="both"/>
        <w:rPr>
          <w:sz w:val="19"/>
        </w:rPr>
      </w:pPr>
      <w:r>
        <w:rPr>
          <w:color w:val="231F20"/>
          <w:sz w:val="19"/>
        </w:rPr>
        <w:t>Cuello, J. C.; Sierra O. D.; Torregroza G. 2003. Importancia de la semilla en cultivo de musáceas en los tró- picos. Taller”Manejo convencional cultivo de Musáceas”, Guayaquil, Ecuador.180 p. (Disponible en línea en </w:t>
      </w:r>
      <w:hyperlink r:id="rId128">
        <w:r>
          <w:rPr>
            <w:color w:val="231F20"/>
            <w:sz w:val="19"/>
          </w:rPr>
          <w:t>http://www.musalit.org/pdf/IN050064_es.pdf)</w:t>
        </w:r>
      </w:hyperlink>
      <w:r>
        <w:rPr>
          <w:color w:val="231F20"/>
          <w:sz w:val="19"/>
        </w:rPr>
        <w:t> (Revisado el 22 de agosto de 2012).</w:t>
      </w:r>
    </w:p>
    <w:p>
      <w:pPr>
        <w:pStyle w:val="BodyText"/>
        <w:spacing w:before="10"/>
        <w:rPr>
          <w:sz w:val="19"/>
        </w:rPr>
      </w:pPr>
    </w:p>
    <w:p>
      <w:pPr>
        <w:spacing w:line="249" w:lineRule="auto" w:before="0"/>
        <w:ind w:left="1270" w:right="1268" w:firstLine="0"/>
        <w:jc w:val="both"/>
        <w:rPr>
          <w:sz w:val="19"/>
        </w:rPr>
      </w:pPr>
      <w:r>
        <w:rPr>
          <w:color w:val="231F20"/>
          <w:sz w:val="19"/>
        </w:rPr>
        <w:t>Espinal,</w:t>
      </w:r>
      <w:r>
        <w:rPr>
          <w:color w:val="231F20"/>
          <w:spacing w:val="-6"/>
          <w:sz w:val="19"/>
        </w:rPr>
        <w:t> </w:t>
      </w:r>
      <w:r>
        <w:rPr>
          <w:color w:val="231F20"/>
          <w:sz w:val="19"/>
        </w:rPr>
        <w:t>G.;</w:t>
      </w:r>
      <w:r>
        <w:rPr>
          <w:color w:val="231F20"/>
          <w:spacing w:val="-6"/>
          <w:sz w:val="19"/>
        </w:rPr>
        <w:t> </w:t>
      </w:r>
      <w:r>
        <w:rPr>
          <w:color w:val="231F20"/>
          <w:sz w:val="19"/>
        </w:rPr>
        <w:t>Carlos,</w:t>
      </w:r>
      <w:r>
        <w:rPr>
          <w:color w:val="231F20"/>
          <w:spacing w:val="-6"/>
          <w:sz w:val="19"/>
        </w:rPr>
        <w:t> F.; </w:t>
      </w:r>
      <w:r>
        <w:rPr>
          <w:color w:val="231F20"/>
          <w:sz w:val="19"/>
        </w:rPr>
        <w:t>Martínez,</w:t>
      </w:r>
      <w:r>
        <w:rPr>
          <w:color w:val="231F20"/>
          <w:spacing w:val="-6"/>
          <w:sz w:val="19"/>
        </w:rPr>
        <w:t> </w:t>
      </w:r>
      <w:r>
        <w:rPr>
          <w:color w:val="231F20"/>
          <w:sz w:val="19"/>
        </w:rPr>
        <w:t>C.;</w:t>
      </w:r>
      <w:r>
        <w:rPr>
          <w:color w:val="231F20"/>
          <w:spacing w:val="-6"/>
          <w:sz w:val="19"/>
        </w:rPr>
        <w:t> </w:t>
      </w:r>
      <w:r>
        <w:rPr>
          <w:color w:val="231F20"/>
          <w:sz w:val="19"/>
        </w:rPr>
        <w:t>Héctor,</w:t>
      </w:r>
      <w:r>
        <w:rPr>
          <w:color w:val="231F20"/>
          <w:spacing w:val="-6"/>
          <w:sz w:val="19"/>
        </w:rPr>
        <w:t> </w:t>
      </w:r>
      <w:r>
        <w:rPr>
          <w:color w:val="231F20"/>
          <w:sz w:val="19"/>
        </w:rPr>
        <w:t>J.;</w:t>
      </w:r>
      <w:r>
        <w:rPr>
          <w:color w:val="231F20"/>
          <w:spacing w:val="-6"/>
          <w:sz w:val="19"/>
        </w:rPr>
        <w:t> </w:t>
      </w:r>
      <w:r>
        <w:rPr>
          <w:color w:val="231F20"/>
          <w:sz w:val="19"/>
        </w:rPr>
        <w:t>Marín,</w:t>
      </w:r>
      <w:r>
        <w:rPr>
          <w:color w:val="231F20"/>
          <w:spacing w:val="-13"/>
          <w:sz w:val="19"/>
        </w:rPr>
        <w:t> Y.</w:t>
      </w:r>
      <w:r>
        <w:rPr>
          <w:color w:val="231F20"/>
          <w:spacing w:val="-6"/>
          <w:sz w:val="19"/>
        </w:rPr>
        <w:t> </w:t>
      </w:r>
      <w:r>
        <w:rPr>
          <w:color w:val="231F20"/>
          <w:sz w:val="19"/>
        </w:rPr>
        <w:t>2005.</w:t>
      </w:r>
      <w:r>
        <w:rPr>
          <w:color w:val="231F20"/>
          <w:spacing w:val="36"/>
          <w:sz w:val="19"/>
        </w:rPr>
        <w:t> </w:t>
      </w:r>
      <w:r>
        <w:rPr>
          <w:color w:val="231F20"/>
          <w:sz w:val="19"/>
        </w:rPr>
        <w:t>La</w:t>
      </w:r>
      <w:r>
        <w:rPr>
          <w:color w:val="231F20"/>
          <w:spacing w:val="-6"/>
          <w:sz w:val="19"/>
        </w:rPr>
        <w:t> </w:t>
      </w:r>
      <w:r>
        <w:rPr>
          <w:color w:val="231F20"/>
          <w:sz w:val="19"/>
        </w:rPr>
        <w:t>cadena</w:t>
      </w:r>
      <w:r>
        <w:rPr>
          <w:color w:val="231F20"/>
          <w:spacing w:val="-6"/>
          <w:sz w:val="19"/>
        </w:rPr>
        <w:t> </w:t>
      </w:r>
      <w:r>
        <w:rPr>
          <w:color w:val="231F20"/>
          <w:sz w:val="19"/>
        </w:rPr>
        <w:t>del</w:t>
      </w:r>
      <w:r>
        <w:rPr>
          <w:color w:val="231F20"/>
          <w:spacing w:val="-6"/>
          <w:sz w:val="19"/>
        </w:rPr>
        <w:t> </w:t>
      </w:r>
      <w:r>
        <w:rPr>
          <w:color w:val="231F20"/>
          <w:sz w:val="19"/>
        </w:rPr>
        <w:t>banano</w:t>
      </w:r>
      <w:r>
        <w:rPr>
          <w:color w:val="231F20"/>
          <w:spacing w:val="-6"/>
          <w:sz w:val="19"/>
        </w:rPr>
        <w:t> </w:t>
      </w:r>
      <w:r>
        <w:rPr>
          <w:color w:val="231F20"/>
          <w:sz w:val="19"/>
        </w:rPr>
        <w:t>en</w:t>
      </w:r>
      <w:r>
        <w:rPr>
          <w:color w:val="231F20"/>
          <w:spacing w:val="-6"/>
          <w:sz w:val="19"/>
        </w:rPr>
        <w:t> </w:t>
      </w:r>
      <w:r>
        <w:rPr>
          <w:color w:val="231F20"/>
          <w:sz w:val="19"/>
        </w:rPr>
        <w:t>Colombia,</w:t>
      </w:r>
      <w:r>
        <w:rPr>
          <w:color w:val="231F20"/>
          <w:spacing w:val="-6"/>
          <w:sz w:val="19"/>
        </w:rPr>
        <w:t> </w:t>
      </w:r>
      <w:r>
        <w:rPr>
          <w:color w:val="231F20"/>
          <w:sz w:val="19"/>
        </w:rPr>
        <w:t>una</w:t>
      </w:r>
      <w:r>
        <w:rPr>
          <w:color w:val="231F20"/>
          <w:spacing w:val="-6"/>
          <w:sz w:val="19"/>
        </w:rPr>
        <w:t> </w:t>
      </w:r>
      <w:r>
        <w:rPr>
          <w:color w:val="231F20"/>
          <w:sz w:val="19"/>
        </w:rPr>
        <w:t>mira- da global de su estructura y dinámica, Ministerio de Agricultura y Desarrollo Rural Observatorio</w:t>
      </w:r>
      <w:r>
        <w:rPr>
          <w:color w:val="231F20"/>
          <w:spacing w:val="-35"/>
          <w:sz w:val="19"/>
        </w:rPr>
        <w:t> </w:t>
      </w:r>
      <w:r>
        <w:rPr>
          <w:color w:val="231F20"/>
          <w:sz w:val="19"/>
        </w:rPr>
        <w:t>Agrocadenas Colombia. Documento de Trabajo No.</w:t>
      </w:r>
      <w:r>
        <w:rPr>
          <w:color w:val="231F20"/>
          <w:spacing w:val="-11"/>
          <w:sz w:val="19"/>
        </w:rPr>
        <w:t> </w:t>
      </w:r>
      <w:r>
        <w:rPr>
          <w:color w:val="231F20"/>
          <w:sz w:val="19"/>
        </w:rPr>
        <w:t>60.</w:t>
      </w:r>
    </w:p>
    <w:p>
      <w:pPr>
        <w:pStyle w:val="BodyText"/>
        <w:spacing w:before="10"/>
        <w:rPr>
          <w:sz w:val="19"/>
        </w:rPr>
      </w:pPr>
    </w:p>
    <w:p>
      <w:pPr>
        <w:spacing w:before="0"/>
        <w:ind w:left="1270" w:right="0" w:firstLine="0"/>
        <w:jc w:val="both"/>
        <w:rPr>
          <w:sz w:val="19"/>
        </w:rPr>
      </w:pPr>
      <w:r>
        <w:rPr>
          <w:color w:val="231F20"/>
          <w:sz w:val="19"/>
        </w:rPr>
        <w:t>Food And Agriculture Organization Of The United Nations (FAO).</w:t>
      </w:r>
    </w:p>
    <w:p>
      <w:pPr>
        <w:pStyle w:val="BodyText"/>
        <w:spacing w:before="7"/>
        <w:rPr>
          <w:sz w:val="20"/>
        </w:rPr>
      </w:pPr>
    </w:p>
    <w:p>
      <w:pPr>
        <w:spacing w:before="0"/>
        <w:ind w:left="1270" w:right="0" w:firstLine="0"/>
        <w:jc w:val="both"/>
        <w:rPr>
          <w:sz w:val="19"/>
        </w:rPr>
      </w:pPr>
      <w:r>
        <w:rPr>
          <w:color w:val="231F20"/>
          <w:sz w:val="19"/>
        </w:rPr>
        <w:t>Food and Agricultural Commodities Production. 2012. (Disponible en    </w:t>
      </w:r>
      <w:hyperlink r:id="rId129">
        <w:r>
          <w:rPr>
            <w:color w:val="231F20"/>
            <w:sz w:val="19"/>
          </w:rPr>
          <w:t>http://faostat.fao.org/site/339/default.</w:t>
        </w:r>
      </w:hyperlink>
    </w:p>
    <w:p>
      <w:pPr>
        <w:spacing w:before="9"/>
        <w:ind w:left="1270" w:right="0" w:firstLine="0"/>
        <w:jc w:val="both"/>
        <w:rPr>
          <w:sz w:val="19"/>
        </w:rPr>
      </w:pPr>
      <w:r>
        <w:rPr>
          <w:color w:val="231F20"/>
          <w:sz w:val="19"/>
        </w:rPr>
        <w:t>aspx). (Revisado el 10 de Agosto del 2012).</w:t>
      </w:r>
    </w:p>
    <w:p>
      <w:pPr>
        <w:pStyle w:val="BodyText"/>
        <w:spacing w:before="7"/>
        <w:rPr>
          <w:sz w:val="20"/>
        </w:rPr>
      </w:pPr>
    </w:p>
    <w:p>
      <w:pPr>
        <w:spacing w:line="249" w:lineRule="auto" w:before="0"/>
        <w:ind w:left="1270" w:right="1268" w:firstLine="0"/>
        <w:jc w:val="both"/>
        <w:rPr>
          <w:sz w:val="19"/>
        </w:rPr>
      </w:pPr>
      <w:r>
        <w:rPr>
          <w:color w:val="231F20"/>
          <w:sz w:val="19"/>
        </w:rPr>
        <w:t>Gauhl, </w:t>
      </w:r>
      <w:r>
        <w:rPr>
          <w:color w:val="231F20"/>
          <w:spacing w:val="-8"/>
          <w:sz w:val="19"/>
        </w:rPr>
        <w:t>F. </w:t>
      </w:r>
      <w:r>
        <w:rPr>
          <w:color w:val="231F20"/>
          <w:sz w:val="19"/>
        </w:rPr>
        <w:t>1994. Epidemiology and Ecology of blackSigatoka (MycosphaerellafijiensisMorelet) onPlantain</w:t>
      </w:r>
      <w:r>
        <w:rPr>
          <w:color w:val="231F20"/>
          <w:spacing w:val="-22"/>
          <w:sz w:val="19"/>
        </w:rPr>
        <w:t> </w:t>
      </w:r>
      <w:r>
        <w:rPr>
          <w:color w:val="231F20"/>
          <w:sz w:val="19"/>
        </w:rPr>
        <w:t>and Banana (Musa spp.) in Costa Rica, Central America </w:t>
      </w:r>
      <w:r>
        <w:rPr>
          <w:color w:val="231F20"/>
          <w:spacing w:val="-3"/>
          <w:sz w:val="19"/>
        </w:rPr>
        <w:t>INIBAP, </w:t>
      </w:r>
      <w:r>
        <w:rPr>
          <w:color w:val="231F20"/>
          <w:sz w:val="19"/>
        </w:rPr>
        <w:t>Montpellier, France. (Disponible en línea en </w:t>
      </w:r>
      <w:hyperlink r:id="rId130">
        <w:r>
          <w:rPr>
            <w:color w:val="231F20"/>
            <w:sz w:val="19"/>
          </w:rPr>
          <w:t>http://www.metos.at/tiki/tiki-index.php?page=Black+Sigatoka)</w:t>
        </w:r>
      </w:hyperlink>
      <w:r>
        <w:rPr>
          <w:color w:val="231F20"/>
          <w:sz w:val="19"/>
        </w:rPr>
        <w:t> (Revisado el 14 de agosto de</w:t>
      </w:r>
      <w:r>
        <w:rPr>
          <w:color w:val="231F20"/>
          <w:spacing w:val="-14"/>
          <w:sz w:val="19"/>
        </w:rPr>
        <w:t> </w:t>
      </w:r>
      <w:r>
        <w:rPr>
          <w:color w:val="231F20"/>
          <w:sz w:val="19"/>
        </w:rPr>
        <w:t>2012).</w:t>
      </w:r>
    </w:p>
    <w:p>
      <w:pPr>
        <w:pStyle w:val="BodyText"/>
        <w:spacing w:before="10"/>
        <w:rPr>
          <w:sz w:val="19"/>
        </w:rPr>
      </w:pPr>
    </w:p>
    <w:p>
      <w:pPr>
        <w:spacing w:line="249" w:lineRule="auto" w:before="0"/>
        <w:ind w:left="1270" w:right="1267" w:firstLine="0"/>
        <w:jc w:val="both"/>
        <w:rPr>
          <w:sz w:val="19"/>
        </w:rPr>
      </w:pPr>
      <w:r>
        <w:rPr>
          <w:color w:val="231F20"/>
          <w:sz w:val="19"/>
        </w:rPr>
        <w:t>Guzmán, M. 2003. Epidemiología de la Sigatoka negra y el sistema de preaviso biológico. </w:t>
      </w:r>
      <w:r>
        <w:rPr>
          <w:color w:val="231F20"/>
          <w:spacing w:val="-3"/>
          <w:sz w:val="19"/>
        </w:rPr>
        <w:t>Taller </w:t>
      </w:r>
      <w:r>
        <w:rPr>
          <w:color w:val="231F20"/>
          <w:sz w:val="19"/>
        </w:rPr>
        <w:t>“Manejo convencional</w:t>
      </w:r>
      <w:r>
        <w:rPr>
          <w:color w:val="231F20"/>
          <w:spacing w:val="-4"/>
          <w:sz w:val="19"/>
        </w:rPr>
        <w:t> </w:t>
      </w:r>
      <w:r>
        <w:rPr>
          <w:color w:val="231F20"/>
          <w:sz w:val="19"/>
        </w:rPr>
        <w:t>y</w:t>
      </w:r>
      <w:r>
        <w:rPr>
          <w:color w:val="231F20"/>
          <w:spacing w:val="-3"/>
          <w:sz w:val="19"/>
        </w:rPr>
        <w:t> </w:t>
      </w:r>
      <w:r>
        <w:rPr>
          <w:color w:val="231F20"/>
          <w:sz w:val="19"/>
        </w:rPr>
        <w:t>alternativo</w:t>
      </w:r>
      <w:r>
        <w:rPr>
          <w:color w:val="231F20"/>
          <w:spacing w:val="-4"/>
          <w:sz w:val="19"/>
        </w:rPr>
        <w:t> </w:t>
      </w:r>
      <w:r>
        <w:rPr>
          <w:color w:val="231F20"/>
          <w:sz w:val="19"/>
        </w:rPr>
        <w:t>de</w:t>
      </w:r>
      <w:r>
        <w:rPr>
          <w:color w:val="231F20"/>
          <w:spacing w:val="-3"/>
          <w:sz w:val="19"/>
        </w:rPr>
        <w:t> </w:t>
      </w:r>
      <w:r>
        <w:rPr>
          <w:color w:val="231F20"/>
          <w:sz w:val="19"/>
        </w:rPr>
        <w:t>la</w:t>
      </w:r>
      <w:r>
        <w:rPr>
          <w:color w:val="231F20"/>
          <w:spacing w:val="-3"/>
          <w:sz w:val="19"/>
        </w:rPr>
        <w:t> </w:t>
      </w:r>
      <w:r>
        <w:rPr>
          <w:color w:val="231F20"/>
          <w:sz w:val="19"/>
        </w:rPr>
        <w:t>Sigatoka</w:t>
      </w:r>
      <w:r>
        <w:rPr>
          <w:color w:val="231F20"/>
          <w:spacing w:val="-3"/>
          <w:sz w:val="19"/>
        </w:rPr>
        <w:t> </w:t>
      </w:r>
      <w:r>
        <w:rPr>
          <w:color w:val="231F20"/>
          <w:sz w:val="19"/>
        </w:rPr>
        <w:t>negra,</w:t>
      </w:r>
      <w:r>
        <w:rPr>
          <w:color w:val="231F20"/>
          <w:spacing w:val="-3"/>
          <w:sz w:val="19"/>
        </w:rPr>
        <w:t> </w:t>
      </w:r>
      <w:r>
        <w:rPr>
          <w:color w:val="231F20"/>
          <w:sz w:val="19"/>
        </w:rPr>
        <w:t>nematodos</w:t>
      </w:r>
      <w:r>
        <w:rPr>
          <w:color w:val="231F20"/>
          <w:spacing w:val="-3"/>
          <w:sz w:val="19"/>
        </w:rPr>
        <w:t> </w:t>
      </w:r>
      <w:r>
        <w:rPr>
          <w:color w:val="231F20"/>
          <w:sz w:val="19"/>
        </w:rPr>
        <w:t>y</w:t>
      </w:r>
      <w:r>
        <w:rPr>
          <w:color w:val="231F20"/>
          <w:spacing w:val="-3"/>
          <w:sz w:val="19"/>
        </w:rPr>
        <w:t> </w:t>
      </w:r>
      <w:r>
        <w:rPr>
          <w:color w:val="231F20"/>
          <w:sz w:val="19"/>
        </w:rPr>
        <w:t>otras</w:t>
      </w:r>
      <w:r>
        <w:rPr>
          <w:color w:val="231F20"/>
          <w:spacing w:val="-3"/>
          <w:sz w:val="19"/>
        </w:rPr>
        <w:t> </w:t>
      </w:r>
      <w:r>
        <w:rPr>
          <w:color w:val="231F20"/>
          <w:sz w:val="19"/>
        </w:rPr>
        <w:t>plagas</w:t>
      </w:r>
      <w:r>
        <w:rPr>
          <w:color w:val="231F20"/>
          <w:spacing w:val="-3"/>
          <w:sz w:val="19"/>
        </w:rPr>
        <w:t> </w:t>
      </w:r>
      <w:r>
        <w:rPr>
          <w:color w:val="231F20"/>
          <w:sz w:val="19"/>
        </w:rPr>
        <w:t>asociadas</w:t>
      </w:r>
      <w:r>
        <w:rPr>
          <w:color w:val="231F20"/>
          <w:spacing w:val="-4"/>
          <w:sz w:val="19"/>
        </w:rPr>
        <w:t> </w:t>
      </w:r>
      <w:r>
        <w:rPr>
          <w:color w:val="231F20"/>
          <w:sz w:val="19"/>
        </w:rPr>
        <w:t>al</w:t>
      </w:r>
      <w:r>
        <w:rPr>
          <w:color w:val="231F20"/>
          <w:spacing w:val="-3"/>
          <w:sz w:val="19"/>
        </w:rPr>
        <w:t> </w:t>
      </w:r>
      <w:r>
        <w:rPr>
          <w:color w:val="231F20"/>
          <w:sz w:val="19"/>
        </w:rPr>
        <w:t>cultivo</w:t>
      </w:r>
      <w:r>
        <w:rPr>
          <w:color w:val="231F20"/>
          <w:spacing w:val="-3"/>
          <w:sz w:val="19"/>
        </w:rPr>
        <w:t> </w:t>
      </w:r>
      <w:r>
        <w:rPr>
          <w:color w:val="231F20"/>
          <w:sz w:val="19"/>
        </w:rPr>
        <w:t>de</w:t>
      </w:r>
      <w:r>
        <w:rPr>
          <w:color w:val="231F20"/>
          <w:spacing w:val="-3"/>
          <w:sz w:val="19"/>
        </w:rPr>
        <w:t> </w:t>
      </w:r>
      <w:r>
        <w:rPr>
          <w:color w:val="231F20"/>
          <w:sz w:val="19"/>
        </w:rPr>
        <w:t>Musáceas</w:t>
      </w:r>
      <w:r>
        <w:rPr>
          <w:color w:val="231F20"/>
          <w:spacing w:val="-3"/>
          <w:sz w:val="19"/>
        </w:rPr>
        <w:t> </w:t>
      </w:r>
      <w:r>
        <w:rPr>
          <w:color w:val="231F20"/>
          <w:sz w:val="19"/>
        </w:rPr>
        <w:t>en los trópicos”. MUSALAC- </w:t>
      </w:r>
      <w:r>
        <w:rPr>
          <w:color w:val="231F20"/>
          <w:spacing w:val="-4"/>
          <w:sz w:val="19"/>
        </w:rPr>
        <w:t>INIBAP. </w:t>
      </w:r>
      <w:r>
        <w:rPr>
          <w:color w:val="231F20"/>
          <w:sz w:val="19"/>
        </w:rPr>
        <w:t>Guayaquil, Ecuador. pp.</w:t>
      </w:r>
      <w:r>
        <w:rPr>
          <w:color w:val="231F20"/>
          <w:spacing w:val="-19"/>
          <w:sz w:val="19"/>
        </w:rPr>
        <w:t> </w:t>
      </w:r>
      <w:r>
        <w:rPr>
          <w:color w:val="231F20"/>
          <w:sz w:val="19"/>
        </w:rPr>
        <w:t>25-26.</w:t>
      </w:r>
    </w:p>
    <w:p>
      <w:pPr>
        <w:pStyle w:val="BodyText"/>
        <w:spacing w:before="10"/>
        <w:rPr>
          <w:sz w:val="19"/>
        </w:rPr>
      </w:pPr>
    </w:p>
    <w:p>
      <w:pPr>
        <w:spacing w:before="0"/>
        <w:ind w:left="1270" w:right="0" w:firstLine="0"/>
        <w:jc w:val="both"/>
        <w:rPr>
          <w:sz w:val="19"/>
        </w:rPr>
      </w:pPr>
      <w:r>
        <w:rPr>
          <w:color w:val="231F20"/>
          <w:sz w:val="19"/>
        </w:rPr>
        <w:t>Jácome, l. H.; schuh, W. 1992. Effects of leaf wefness duration and temperature on development of black   si-</w:t>
      </w:r>
    </w:p>
    <w:p>
      <w:pPr>
        <w:spacing w:before="9"/>
        <w:ind w:left="1270" w:right="0" w:firstLine="0"/>
        <w:jc w:val="both"/>
        <w:rPr>
          <w:sz w:val="19"/>
        </w:rPr>
      </w:pPr>
      <w:r>
        <w:rPr>
          <w:color w:val="231F20"/>
          <w:sz w:val="19"/>
        </w:rPr>
        <w:t>gatoka disease on banana infected by Mycosphaerella fijiensis var. difformis. Phytopathology 82(5):515-520.</w:t>
      </w:r>
    </w:p>
    <w:p>
      <w:pPr>
        <w:pStyle w:val="BodyText"/>
        <w:spacing w:before="7"/>
        <w:rPr>
          <w:sz w:val="20"/>
        </w:rPr>
      </w:pPr>
    </w:p>
    <w:p>
      <w:pPr>
        <w:spacing w:before="0"/>
        <w:ind w:left="1270" w:right="0" w:firstLine="0"/>
        <w:jc w:val="both"/>
        <w:rPr>
          <w:sz w:val="19"/>
        </w:rPr>
      </w:pPr>
      <w:r>
        <w:rPr>
          <w:color w:val="231F20"/>
          <w:sz w:val="19"/>
        </w:rPr>
        <w:t>Jacome, L. H.; Schuh, W.; Stevenson, R. E. 1991. Effect of temperature and relative humidity on germination</w:t>
      </w:r>
    </w:p>
    <w:p>
      <w:pPr>
        <w:spacing w:before="9"/>
        <w:ind w:left="1270" w:right="0" w:firstLine="0"/>
        <w:jc w:val="both"/>
        <w:rPr>
          <w:sz w:val="19"/>
        </w:rPr>
      </w:pPr>
      <w:r>
        <w:rPr>
          <w:color w:val="231F20"/>
          <w:sz w:val="19"/>
        </w:rPr>
        <w:t>and germ tube development of Mycosphaerella fijiensis var. difformis. Phytopathology 81:1480-1485.</w:t>
      </w:r>
    </w:p>
    <w:p>
      <w:pPr>
        <w:pStyle w:val="BodyText"/>
        <w:spacing w:before="7"/>
        <w:rPr>
          <w:sz w:val="20"/>
        </w:rPr>
      </w:pPr>
    </w:p>
    <w:p>
      <w:pPr>
        <w:spacing w:line="249" w:lineRule="auto" w:before="0"/>
        <w:ind w:left="1270" w:right="1268" w:firstLine="0"/>
        <w:jc w:val="both"/>
        <w:rPr>
          <w:sz w:val="19"/>
        </w:rPr>
      </w:pPr>
      <w:r>
        <w:rPr>
          <w:color w:val="231F20"/>
          <w:sz w:val="19"/>
        </w:rPr>
        <w:t>Marín, D.; Romero, R.; Guzmán, M.; Sutton, T. 2003. Black Sigatoka and increasing threat to banana cultiva- tion.PlantDisease. 87(3):15.</w:t>
      </w:r>
    </w:p>
    <w:p>
      <w:pPr>
        <w:pStyle w:val="BodyText"/>
        <w:spacing w:before="10"/>
        <w:rPr>
          <w:sz w:val="19"/>
        </w:rPr>
      </w:pPr>
    </w:p>
    <w:p>
      <w:pPr>
        <w:spacing w:before="0"/>
        <w:ind w:left="1270" w:right="0" w:firstLine="0"/>
        <w:jc w:val="both"/>
        <w:rPr>
          <w:sz w:val="19"/>
        </w:rPr>
      </w:pPr>
      <w:r>
        <w:rPr>
          <w:color w:val="231F20"/>
          <w:sz w:val="19"/>
        </w:rPr>
        <w:t>Okole, B. N.; Schulz, E.  A. 1995.   Selection of Mycosphaerellafijiensis-resistantcell lines from   micro-cross</w:t>
      </w:r>
    </w:p>
    <w:p>
      <w:pPr>
        <w:spacing w:before="9"/>
        <w:ind w:left="1270" w:right="0" w:firstLine="0"/>
        <w:jc w:val="both"/>
        <w:rPr>
          <w:sz w:val="19"/>
        </w:rPr>
      </w:pPr>
      <w:r>
        <w:rPr>
          <w:color w:val="231F20"/>
          <w:sz w:val="19"/>
        </w:rPr>
        <w:t>sections of banana and plantain FG Phytomedizin, Plant Cell Reports 16:339-343.</w:t>
      </w:r>
    </w:p>
    <w:p>
      <w:pPr>
        <w:pStyle w:val="BodyText"/>
        <w:spacing w:before="7"/>
        <w:rPr>
          <w:sz w:val="20"/>
        </w:rPr>
      </w:pPr>
    </w:p>
    <w:p>
      <w:pPr>
        <w:spacing w:line="249" w:lineRule="auto" w:before="0"/>
        <w:ind w:left="1270" w:right="1268" w:firstLine="0"/>
        <w:jc w:val="both"/>
        <w:rPr>
          <w:sz w:val="19"/>
        </w:rPr>
      </w:pPr>
      <w:r>
        <w:rPr>
          <w:color w:val="231F20"/>
          <w:sz w:val="19"/>
        </w:rPr>
        <w:t>Orozco, S. M. 1998. Manejo integrado de la sigatoka negra del plátano. SAGARPA, INIFAP, CIPAC. Campo Experimental Tecomán. Tecomán Colima, México. Folleto Técnico No. 1: 95 p.</w:t>
      </w:r>
    </w:p>
    <w:p>
      <w:pPr>
        <w:pStyle w:val="BodyText"/>
        <w:spacing w:before="10"/>
        <w:rPr>
          <w:sz w:val="19"/>
        </w:rPr>
      </w:pPr>
    </w:p>
    <w:p>
      <w:pPr>
        <w:spacing w:line="249" w:lineRule="auto" w:before="0"/>
        <w:ind w:left="1270" w:right="1268" w:firstLine="0"/>
        <w:jc w:val="both"/>
        <w:rPr>
          <w:sz w:val="19"/>
        </w:rPr>
      </w:pPr>
      <w:r>
        <w:rPr>
          <w:color w:val="231F20"/>
          <w:sz w:val="19"/>
        </w:rPr>
        <w:t>Pérez,</w:t>
      </w:r>
      <w:r>
        <w:rPr>
          <w:color w:val="231F20"/>
          <w:spacing w:val="-11"/>
          <w:sz w:val="19"/>
        </w:rPr>
        <w:t> </w:t>
      </w:r>
      <w:r>
        <w:rPr>
          <w:color w:val="231F20"/>
          <w:spacing w:val="-13"/>
          <w:sz w:val="19"/>
        </w:rPr>
        <w:t>V.</w:t>
      </w:r>
      <w:r>
        <w:rPr>
          <w:color w:val="231F20"/>
          <w:spacing w:val="-8"/>
          <w:sz w:val="19"/>
        </w:rPr>
        <w:t> </w:t>
      </w:r>
      <w:r>
        <w:rPr>
          <w:color w:val="231F20"/>
          <w:sz w:val="19"/>
        </w:rPr>
        <w:t>L.;</w:t>
      </w:r>
      <w:r>
        <w:rPr>
          <w:color w:val="231F20"/>
          <w:spacing w:val="-8"/>
          <w:sz w:val="19"/>
        </w:rPr>
        <w:t> </w:t>
      </w:r>
      <w:r>
        <w:rPr>
          <w:color w:val="231F20"/>
          <w:sz w:val="19"/>
        </w:rPr>
        <w:t>Mauri,</w:t>
      </w:r>
      <w:r>
        <w:rPr>
          <w:color w:val="231F20"/>
          <w:spacing w:val="-8"/>
          <w:sz w:val="19"/>
        </w:rPr>
        <w:t> </w:t>
      </w:r>
      <w:r>
        <w:rPr>
          <w:color w:val="231F20"/>
          <w:sz w:val="19"/>
        </w:rPr>
        <w:t>M.</w:t>
      </w:r>
      <w:r>
        <w:rPr>
          <w:color w:val="231F20"/>
          <w:spacing w:val="-8"/>
          <w:sz w:val="19"/>
        </w:rPr>
        <w:t> </w:t>
      </w:r>
      <w:r>
        <w:rPr>
          <w:color w:val="231F20"/>
          <w:spacing w:val="-6"/>
          <w:sz w:val="19"/>
        </w:rPr>
        <w:t>F.;</w:t>
      </w:r>
      <w:r>
        <w:rPr>
          <w:color w:val="231F20"/>
          <w:spacing w:val="-8"/>
          <w:sz w:val="19"/>
        </w:rPr>
        <w:t> </w:t>
      </w:r>
      <w:r>
        <w:rPr>
          <w:color w:val="231F20"/>
          <w:sz w:val="19"/>
        </w:rPr>
        <w:t>Hernádez,</w:t>
      </w:r>
      <w:r>
        <w:rPr>
          <w:color w:val="231F20"/>
          <w:spacing w:val="-8"/>
          <w:sz w:val="19"/>
        </w:rPr>
        <w:t> </w:t>
      </w:r>
      <w:r>
        <w:rPr>
          <w:color w:val="231F20"/>
          <w:sz w:val="19"/>
        </w:rPr>
        <w:t>M.</w:t>
      </w:r>
      <w:r>
        <w:rPr>
          <w:color w:val="231F20"/>
          <w:spacing w:val="-19"/>
          <w:sz w:val="19"/>
        </w:rPr>
        <w:t> </w:t>
      </w:r>
      <w:r>
        <w:rPr>
          <w:color w:val="231F20"/>
          <w:sz w:val="19"/>
        </w:rPr>
        <w:t>A.;</w:t>
      </w:r>
      <w:r>
        <w:rPr>
          <w:color w:val="231F20"/>
          <w:spacing w:val="-19"/>
          <w:sz w:val="19"/>
        </w:rPr>
        <w:t> </w:t>
      </w:r>
      <w:r>
        <w:rPr>
          <w:color w:val="231F20"/>
          <w:sz w:val="19"/>
        </w:rPr>
        <w:t>Abreú,</w:t>
      </w:r>
      <w:r>
        <w:rPr>
          <w:color w:val="231F20"/>
          <w:spacing w:val="-18"/>
          <w:sz w:val="19"/>
        </w:rPr>
        <w:t> </w:t>
      </w:r>
      <w:r>
        <w:rPr>
          <w:color w:val="231F20"/>
          <w:sz w:val="19"/>
        </w:rPr>
        <w:t>A.</w:t>
      </w:r>
      <w:r>
        <w:rPr>
          <w:color w:val="231F20"/>
          <w:spacing w:val="-8"/>
          <w:sz w:val="19"/>
        </w:rPr>
        <w:t> </w:t>
      </w:r>
      <w:r>
        <w:rPr>
          <w:color w:val="231F20"/>
          <w:sz w:val="19"/>
        </w:rPr>
        <w:t>E.;</w:t>
      </w:r>
      <w:r>
        <w:rPr>
          <w:color w:val="231F20"/>
          <w:spacing w:val="-8"/>
          <w:sz w:val="19"/>
        </w:rPr>
        <w:t> </w:t>
      </w:r>
      <w:r>
        <w:rPr>
          <w:color w:val="231F20"/>
          <w:sz w:val="19"/>
        </w:rPr>
        <w:t>Porras,</w:t>
      </w:r>
      <w:r>
        <w:rPr>
          <w:color w:val="231F20"/>
          <w:spacing w:val="-8"/>
          <w:sz w:val="19"/>
        </w:rPr>
        <w:t> </w:t>
      </w:r>
      <w:r>
        <w:rPr>
          <w:color w:val="231F20"/>
          <w:sz w:val="19"/>
        </w:rPr>
        <w:t>G.</w:t>
      </w:r>
      <w:r>
        <w:rPr>
          <w:color w:val="231F20"/>
          <w:spacing w:val="-19"/>
          <w:sz w:val="19"/>
        </w:rPr>
        <w:t> </w:t>
      </w:r>
      <w:r>
        <w:rPr>
          <w:color w:val="231F20"/>
          <w:sz w:val="19"/>
        </w:rPr>
        <w:t>A.</w:t>
      </w:r>
      <w:r>
        <w:rPr>
          <w:color w:val="231F20"/>
          <w:spacing w:val="-8"/>
          <w:sz w:val="19"/>
        </w:rPr>
        <w:t> </w:t>
      </w:r>
      <w:r>
        <w:rPr>
          <w:color w:val="231F20"/>
          <w:sz w:val="19"/>
        </w:rPr>
        <w:t>2000.</w:t>
      </w:r>
      <w:r>
        <w:rPr>
          <w:color w:val="231F20"/>
          <w:spacing w:val="-8"/>
          <w:sz w:val="19"/>
        </w:rPr>
        <w:t> </w:t>
      </w:r>
      <w:r>
        <w:rPr>
          <w:color w:val="231F20"/>
          <w:sz w:val="19"/>
        </w:rPr>
        <w:t>Epidemiología</w:t>
      </w:r>
      <w:r>
        <w:rPr>
          <w:color w:val="231F20"/>
          <w:spacing w:val="-9"/>
          <w:sz w:val="19"/>
        </w:rPr>
        <w:t> </w:t>
      </w:r>
      <w:r>
        <w:rPr>
          <w:color w:val="231F20"/>
          <w:sz w:val="19"/>
        </w:rPr>
        <w:t>de</w:t>
      </w:r>
      <w:r>
        <w:rPr>
          <w:color w:val="231F20"/>
          <w:spacing w:val="-8"/>
          <w:sz w:val="19"/>
        </w:rPr>
        <w:t> </w:t>
      </w:r>
      <w:r>
        <w:rPr>
          <w:color w:val="231F20"/>
          <w:sz w:val="19"/>
        </w:rPr>
        <w:t>la</w:t>
      </w:r>
      <w:r>
        <w:rPr>
          <w:color w:val="231F20"/>
          <w:spacing w:val="-8"/>
          <w:sz w:val="19"/>
        </w:rPr>
        <w:t> </w:t>
      </w:r>
      <w:r>
        <w:rPr>
          <w:color w:val="231F20"/>
          <w:sz w:val="19"/>
        </w:rPr>
        <w:t>Sigatoka</w:t>
      </w:r>
      <w:r>
        <w:rPr>
          <w:color w:val="231F20"/>
          <w:spacing w:val="-8"/>
          <w:sz w:val="19"/>
        </w:rPr>
        <w:t> </w:t>
      </w:r>
      <w:r>
        <w:rPr>
          <w:color w:val="231F20"/>
          <w:sz w:val="19"/>
        </w:rPr>
        <w:t>ne- gra</w:t>
      </w:r>
      <w:r>
        <w:rPr>
          <w:color w:val="231F20"/>
          <w:spacing w:val="-4"/>
          <w:sz w:val="19"/>
        </w:rPr>
        <w:t> </w:t>
      </w:r>
      <w:r>
        <w:rPr>
          <w:color w:val="231F20"/>
          <w:sz w:val="19"/>
        </w:rPr>
        <w:t>(Mycosphaerellafijiensis)</w:t>
      </w:r>
      <w:r>
        <w:rPr>
          <w:color w:val="231F20"/>
          <w:spacing w:val="-4"/>
          <w:sz w:val="19"/>
        </w:rPr>
        <w:t> </w:t>
      </w:r>
      <w:r>
        <w:rPr>
          <w:color w:val="231F20"/>
          <w:sz w:val="19"/>
        </w:rPr>
        <w:t>en</w:t>
      </w:r>
      <w:r>
        <w:rPr>
          <w:color w:val="231F20"/>
          <w:spacing w:val="-4"/>
          <w:sz w:val="19"/>
        </w:rPr>
        <w:t> </w:t>
      </w:r>
      <w:r>
        <w:rPr>
          <w:color w:val="231F20"/>
          <w:sz w:val="19"/>
        </w:rPr>
        <w:t>Cuba.</w:t>
      </w:r>
      <w:r>
        <w:rPr>
          <w:color w:val="231F20"/>
          <w:spacing w:val="-4"/>
          <w:sz w:val="19"/>
        </w:rPr>
        <w:t> </w:t>
      </w:r>
      <w:r>
        <w:rPr>
          <w:color w:val="231F20"/>
          <w:sz w:val="19"/>
        </w:rPr>
        <w:t>I.</w:t>
      </w:r>
      <w:r>
        <w:rPr>
          <w:color w:val="231F20"/>
          <w:spacing w:val="-3"/>
          <w:sz w:val="19"/>
        </w:rPr>
        <w:t> </w:t>
      </w:r>
      <w:r>
        <w:rPr>
          <w:color w:val="231F20"/>
          <w:sz w:val="19"/>
        </w:rPr>
        <w:t>Pronóstico</w:t>
      </w:r>
      <w:r>
        <w:rPr>
          <w:color w:val="231F20"/>
          <w:spacing w:val="-4"/>
          <w:sz w:val="19"/>
        </w:rPr>
        <w:t> </w:t>
      </w:r>
      <w:r>
        <w:rPr>
          <w:color w:val="231F20"/>
          <w:sz w:val="19"/>
        </w:rPr>
        <w:t>bioclimático</w:t>
      </w:r>
      <w:r>
        <w:rPr>
          <w:color w:val="231F20"/>
          <w:spacing w:val="-4"/>
          <w:sz w:val="19"/>
        </w:rPr>
        <w:t> </w:t>
      </w:r>
      <w:r>
        <w:rPr>
          <w:color w:val="231F20"/>
          <w:sz w:val="19"/>
        </w:rPr>
        <w:t>de</w:t>
      </w:r>
      <w:r>
        <w:rPr>
          <w:color w:val="231F20"/>
          <w:spacing w:val="-4"/>
          <w:sz w:val="19"/>
        </w:rPr>
        <w:t> </w:t>
      </w:r>
      <w:r>
        <w:rPr>
          <w:color w:val="231F20"/>
          <w:sz w:val="19"/>
        </w:rPr>
        <w:t>los</w:t>
      </w:r>
      <w:r>
        <w:rPr>
          <w:color w:val="231F20"/>
          <w:spacing w:val="-3"/>
          <w:sz w:val="19"/>
        </w:rPr>
        <w:t> </w:t>
      </w:r>
      <w:r>
        <w:rPr>
          <w:color w:val="231F20"/>
          <w:sz w:val="19"/>
        </w:rPr>
        <w:t>tratamientos</w:t>
      </w:r>
      <w:r>
        <w:rPr>
          <w:color w:val="231F20"/>
          <w:spacing w:val="-4"/>
          <w:sz w:val="19"/>
        </w:rPr>
        <w:t> </w:t>
      </w:r>
      <w:r>
        <w:rPr>
          <w:color w:val="231F20"/>
          <w:sz w:val="19"/>
        </w:rPr>
        <w:t>de</w:t>
      </w:r>
      <w:r>
        <w:rPr>
          <w:color w:val="231F20"/>
          <w:spacing w:val="-4"/>
          <w:sz w:val="19"/>
        </w:rPr>
        <w:t> </w:t>
      </w:r>
      <w:r>
        <w:rPr>
          <w:color w:val="231F20"/>
          <w:sz w:val="19"/>
        </w:rPr>
        <w:t>fungicidas</w:t>
      </w:r>
      <w:r>
        <w:rPr>
          <w:color w:val="231F20"/>
          <w:spacing w:val="-4"/>
          <w:sz w:val="19"/>
        </w:rPr>
        <w:t> </w:t>
      </w:r>
      <w:r>
        <w:rPr>
          <w:color w:val="231F20"/>
          <w:sz w:val="19"/>
        </w:rPr>
        <w:t>en</w:t>
      </w:r>
      <w:r>
        <w:rPr>
          <w:color w:val="231F20"/>
          <w:spacing w:val="-4"/>
          <w:sz w:val="19"/>
        </w:rPr>
        <w:t> </w:t>
      </w:r>
      <w:r>
        <w:rPr>
          <w:color w:val="231F20"/>
          <w:sz w:val="19"/>
        </w:rPr>
        <w:t>bananos (Musa acuminataAAA). Revista Mexicana de Fitopatología</w:t>
      </w:r>
      <w:r>
        <w:rPr>
          <w:color w:val="231F20"/>
          <w:spacing w:val="-21"/>
          <w:sz w:val="19"/>
        </w:rPr>
        <w:t> </w:t>
      </w:r>
      <w:r>
        <w:rPr>
          <w:color w:val="231F20"/>
          <w:sz w:val="19"/>
        </w:rPr>
        <w:t>18(1):15-26.</w:t>
      </w:r>
    </w:p>
    <w:p>
      <w:pPr>
        <w:pStyle w:val="BodyText"/>
        <w:spacing w:before="10"/>
        <w:rPr>
          <w:sz w:val="19"/>
        </w:rPr>
      </w:pPr>
    </w:p>
    <w:p>
      <w:pPr>
        <w:spacing w:before="0"/>
        <w:ind w:left="1270" w:right="0" w:firstLine="0"/>
        <w:jc w:val="both"/>
        <w:rPr>
          <w:sz w:val="19"/>
        </w:rPr>
      </w:pPr>
      <w:r>
        <w:rPr>
          <w:color w:val="231F20"/>
          <w:sz w:val="19"/>
        </w:rPr>
        <w:t>Robinson, J. C.; Saúco V.  2010. Crop production Science in Horticulture Series, Bananas and Plantains,   2nd</w:t>
      </w:r>
    </w:p>
    <w:p>
      <w:pPr>
        <w:spacing w:before="9"/>
        <w:ind w:left="1270" w:right="0" w:firstLine="0"/>
        <w:jc w:val="both"/>
        <w:rPr>
          <w:sz w:val="19"/>
        </w:rPr>
      </w:pPr>
      <w:r>
        <w:rPr>
          <w:color w:val="231F20"/>
          <w:sz w:val="19"/>
        </w:rPr>
        <w:t>Edition.Design. La Laguna, Tenerife, Spain: CAB International.</w:t>
      </w:r>
    </w:p>
    <w:p>
      <w:pPr>
        <w:spacing w:after="0"/>
        <w:jc w:val="both"/>
        <w:rPr>
          <w:sz w:val="19"/>
        </w:rPr>
        <w:sectPr>
          <w:pgSz w:w="10920" w:h="13080"/>
          <w:pgMar w:header="0" w:footer="965" w:top="420" w:bottom="1220" w:left="0" w:right="0"/>
        </w:sectPr>
      </w:pPr>
    </w:p>
    <w:p>
      <w:pPr>
        <w:pStyle w:val="BodyText"/>
        <w:rPr>
          <w:sz w:val="20"/>
        </w:rPr>
      </w:pPr>
    </w:p>
    <w:p>
      <w:pPr>
        <w:pStyle w:val="BodyText"/>
        <w:rPr>
          <w:sz w:val="20"/>
        </w:rPr>
      </w:pPr>
    </w:p>
    <w:p>
      <w:pPr>
        <w:pStyle w:val="BodyText"/>
        <w:spacing w:before="2"/>
        <w:rPr>
          <w:sz w:val="23"/>
        </w:rPr>
      </w:pPr>
    </w:p>
    <w:p>
      <w:pPr>
        <w:spacing w:before="76"/>
        <w:ind w:left="1270" w:right="0" w:firstLine="0"/>
        <w:jc w:val="both"/>
        <w:rPr>
          <w:sz w:val="19"/>
        </w:rPr>
      </w:pPr>
      <w:r>
        <w:rPr>
          <w:color w:val="231F20"/>
          <w:sz w:val="19"/>
        </w:rPr>
        <w:t>Romero,  R. A.;  Sutton,  T. B. 1997. Sensitivity of Mycosphaerella fijiensis, causal agent of black Sigatoka of</w:t>
      </w:r>
    </w:p>
    <w:p>
      <w:pPr>
        <w:spacing w:before="9"/>
        <w:ind w:left="1270" w:right="0" w:firstLine="0"/>
        <w:jc w:val="both"/>
        <w:rPr>
          <w:sz w:val="19"/>
        </w:rPr>
      </w:pPr>
      <w:r>
        <w:rPr>
          <w:color w:val="231F20"/>
          <w:sz w:val="19"/>
        </w:rPr>
        <w:t>banana  to propiconazole. Phytopathology 87:96-100.</w:t>
      </w:r>
    </w:p>
    <w:p>
      <w:pPr>
        <w:pStyle w:val="BodyText"/>
        <w:spacing w:before="7"/>
        <w:rPr>
          <w:sz w:val="20"/>
        </w:rPr>
      </w:pPr>
    </w:p>
    <w:p>
      <w:pPr>
        <w:spacing w:line="249" w:lineRule="auto" w:before="0"/>
        <w:ind w:left="1270" w:right="1267" w:firstLine="0"/>
        <w:jc w:val="both"/>
        <w:rPr>
          <w:sz w:val="19"/>
        </w:rPr>
      </w:pPr>
      <w:r>
        <w:rPr>
          <w:color w:val="231F20"/>
          <w:sz w:val="19"/>
        </w:rPr>
        <w:t>Servicio De Información Agroalimentaria Y Pesquera (SIAP). 2010. Anuario Estadístico de la Producción Agrícola. (Disponible en </w:t>
      </w:r>
      <w:hyperlink r:id="rId131">
        <w:r>
          <w:rPr>
            <w:color w:val="231F20"/>
            <w:sz w:val="19"/>
          </w:rPr>
          <w:t>http://www.siap.gob.mx/index.php?option=com_wrapper&amp;view=wrapper&amp;Item</w:t>
        </w:r>
      </w:hyperlink>
      <w:r>
        <w:rPr>
          <w:color w:val="231F20"/>
          <w:sz w:val="19"/>
        </w:rPr>
        <w:t> id=350) (Revisado el 07 de septiembre del 2012).</w:t>
      </w:r>
    </w:p>
    <w:p>
      <w:pPr>
        <w:pStyle w:val="BodyText"/>
        <w:spacing w:before="10"/>
        <w:rPr>
          <w:sz w:val="19"/>
        </w:rPr>
      </w:pPr>
    </w:p>
    <w:p>
      <w:pPr>
        <w:spacing w:line="249" w:lineRule="auto" w:before="0"/>
        <w:ind w:left="1270" w:right="1267" w:firstLine="0"/>
        <w:jc w:val="both"/>
        <w:rPr>
          <w:sz w:val="19"/>
        </w:rPr>
      </w:pPr>
      <w:r>
        <w:rPr>
          <w:color w:val="231F20"/>
          <w:sz w:val="19"/>
        </w:rPr>
        <w:t>Simmonds, N. W.; Shepherd, K. 1955.Taxonomy and origins of cultivated bananas. Journal of the Linnean Society of London Botany 55:302-312.</w:t>
      </w:r>
    </w:p>
    <w:p>
      <w:pPr>
        <w:pStyle w:val="BodyText"/>
        <w:spacing w:before="10"/>
        <w:rPr>
          <w:sz w:val="19"/>
        </w:rPr>
      </w:pPr>
    </w:p>
    <w:p>
      <w:pPr>
        <w:spacing w:line="249" w:lineRule="auto" w:before="0"/>
        <w:ind w:left="1270" w:right="1268" w:firstLine="0"/>
        <w:jc w:val="both"/>
        <w:rPr>
          <w:sz w:val="19"/>
        </w:rPr>
      </w:pPr>
      <w:r>
        <w:rPr>
          <w:color w:val="231F20"/>
          <w:sz w:val="19"/>
        </w:rPr>
        <w:t>Stover, R. H.; Simmonds, N. </w:t>
      </w:r>
      <w:r>
        <w:rPr>
          <w:color w:val="231F20"/>
          <w:spacing w:val="-9"/>
          <w:sz w:val="19"/>
        </w:rPr>
        <w:t>W. </w:t>
      </w:r>
      <w:r>
        <w:rPr>
          <w:color w:val="231F20"/>
          <w:sz w:val="19"/>
        </w:rPr>
        <w:t>1989.Pests of bananas.Tropical Agricultura Series 3:324-345. (Disponible en línea</w:t>
      </w:r>
      <w:r>
        <w:rPr>
          <w:color w:val="231F20"/>
          <w:spacing w:val="-11"/>
          <w:sz w:val="19"/>
        </w:rPr>
        <w:t> </w:t>
      </w:r>
      <w:r>
        <w:rPr>
          <w:color w:val="231F20"/>
          <w:sz w:val="19"/>
        </w:rPr>
        <w:t>en</w:t>
      </w:r>
      <w:r>
        <w:rPr>
          <w:color w:val="231F20"/>
          <w:spacing w:val="-10"/>
          <w:sz w:val="19"/>
        </w:rPr>
        <w:t> </w:t>
      </w:r>
      <w:r>
        <w:rPr>
          <w:color w:val="231F20"/>
          <w:sz w:val="19"/>
        </w:rPr>
        <w:t>http://www.cabicompendium.org/cpc/report.asp?CCODE=MYCOFI&amp;criteria=T/DI2)</w:t>
      </w:r>
      <w:r>
        <w:rPr>
          <w:color w:val="231F20"/>
          <w:spacing w:val="-11"/>
          <w:sz w:val="19"/>
        </w:rPr>
        <w:t> </w:t>
      </w:r>
      <w:r>
        <w:rPr>
          <w:color w:val="231F20"/>
          <w:sz w:val="19"/>
        </w:rPr>
        <w:t>(Revisado</w:t>
      </w:r>
      <w:r>
        <w:rPr>
          <w:color w:val="231F20"/>
          <w:spacing w:val="-10"/>
          <w:sz w:val="19"/>
        </w:rPr>
        <w:t> </w:t>
      </w:r>
      <w:r>
        <w:rPr>
          <w:color w:val="231F20"/>
          <w:sz w:val="19"/>
        </w:rPr>
        <w:t>el</w:t>
      </w:r>
      <w:r>
        <w:rPr>
          <w:color w:val="231F20"/>
          <w:spacing w:val="-10"/>
          <w:sz w:val="19"/>
        </w:rPr>
        <w:t> </w:t>
      </w:r>
      <w:r>
        <w:rPr>
          <w:color w:val="231F20"/>
          <w:sz w:val="19"/>
        </w:rPr>
        <w:t>31 de julio del</w:t>
      </w:r>
      <w:r>
        <w:rPr>
          <w:color w:val="231F20"/>
          <w:spacing w:val="-1"/>
          <w:sz w:val="19"/>
        </w:rPr>
        <w:t> </w:t>
      </w:r>
      <w:r>
        <w:rPr>
          <w:color w:val="231F20"/>
          <w:sz w:val="19"/>
        </w:rPr>
        <w:t>2012).</w:t>
      </w:r>
    </w:p>
    <w:p>
      <w:pPr>
        <w:pStyle w:val="BodyText"/>
        <w:spacing w:before="10"/>
        <w:rPr>
          <w:sz w:val="19"/>
        </w:rPr>
      </w:pPr>
    </w:p>
    <w:p>
      <w:pPr>
        <w:spacing w:line="249" w:lineRule="auto" w:before="0"/>
        <w:ind w:left="1270" w:right="1268" w:firstLine="0"/>
        <w:jc w:val="both"/>
        <w:rPr>
          <w:sz w:val="19"/>
        </w:rPr>
      </w:pPr>
      <w:r>
        <w:rPr>
          <w:color w:val="231F20"/>
          <w:sz w:val="19"/>
        </w:rPr>
        <w:t>Zuluaga, A. C.; Hoyos, P. F.; Collazos, V. C. 2007. Integración de inducción de resistencia con bacterias quitinolíticas en el Control de la Sigatoka negra (Mycosphaerella fijiensis Morelet) en banano Rev. Fac. Nal. Agr. Medellín. 60; 2: 3891-3905.</w:t>
      </w:r>
    </w:p>
    <w:p>
      <w:pPr>
        <w:spacing w:after="0" w:line="249" w:lineRule="auto"/>
        <w:jc w:val="both"/>
        <w:rPr>
          <w:sz w:val="19"/>
        </w:rPr>
        <w:sectPr>
          <w:pgSz w:w="10920" w:h="13080"/>
          <w:pgMar w:header="0" w:footer="965" w:top="420" w:bottom="1220" w:left="0" w:right="0"/>
        </w:sectPr>
      </w:pPr>
    </w:p>
    <w:p>
      <w:pPr>
        <w:pStyle w:val="BodyText"/>
        <w:rPr>
          <w:sz w:val="20"/>
        </w:rPr>
      </w:pPr>
    </w:p>
    <w:p>
      <w:pPr>
        <w:pStyle w:val="BodyText"/>
        <w:rPr>
          <w:sz w:val="20"/>
        </w:rPr>
      </w:pPr>
    </w:p>
    <w:p>
      <w:pPr>
        <w:pStyle w:val="BodyText"/>
        <w:rPr>
          <w:sz w:val="23"/>
        </w:rPr>
      </w:pPr>
    </w:p>
    <w:p>
      <w:pPr>
        <w:spacing w:before="77"/>
        <w:ind w:left="1637" w:right="1279" w:firstLine="0"/>
        <w:jc w:val="left"/>
        <w:rPr>
          <w:b/>
          <w:sz w:val="18"/>
        </w:rPr>
      </w:pPr>
      <w:r>
        <w:rPr>
          <w:b/>
          <w:color w:val="010202"/>
          <w:sz w:val="18"/>
        </w:rPr>
        <w:t>Cuadro 1. Relación entre edad de la planta y promedio ponderado de infección de la Sigatoka negra</w:t>
      </w:r>
    </w:p>
    <w:p>
      <w:pPr>
        <w:pStyle w:val="BodyText"/>
        <w:spacing w:before="8"/>
        <w:rPr>
          <w:b/>
          <w:sz w:val="11"/>
        </w:rPr>
      </w:pPr>
      <w:r>
        <w:rPr/>
        <w:pict>
          <v:group style="position:absolute;margin-left:63.145pt;margin-top:8.710294pt;width:419.75pt;height:151.85pt;mso-position-horizontal-relative:page;mso-position-vertical-relative:paragraph;z-index:6088;mso-wrap-distance-left:0;mso-wrap-distance-right:0" coordorigin="1263,174" coordsize="8395,3037">
            <v:shape style="position:absolute;left:1270;top:182;width:8379;height:3022" type="#_x0000_t75" stroked="false">
              <v:imagedata r:id="rId132" o:title=""/>
            </v:shape>
            <v:rect style="position:absolute;left:1270;top:182;width:8379;height:3022" filled="false" stroked="true" strokeweight=".75pt" strokecolor="#010202"/>
            <w10:wrap type="topAndBottom"/>
          </v:group>
        </w:pict>
      </w:r>
    </w:p>
    <w:p>
      <w:pPr>
        <w:spacing w:before="62"/>
        <w:ind w:left="1270" w:right="1279" w:firstLine="0"/>
        <w:jc w:val="left"/>
        <w:rPr>
          <w:b/>
          <w:i/>
          <w:sz w:val="17"/>
        </w:rPr>
      </w:pPr>
      <w:r>
        <w:rPr>
          <w:b/>
          <w:i/>
          <w:color w:val="231F20"/>
          <w:sz w:val="17"/>
        </w:rPr>
        <w:t>*Las medias con diferente letra son estadísticamente diferentes (Tukey, ɑ=0.005).</w:t>
      </w:r>
    </w:p>
    <w:p>
      <w:pPr>
        <w:pStyle w:val="BodyText"/>
        <w:rPr>
          <w:b/>
          <w:i/>
          <w:sz w:val="16"/>
        </w:rPr>
      </w:pPr>
    </w:p>
    <w:p>
      <w:pPr>
        <w:pStyle w:val="BodyText"/>
        <w:rPr>
          <w:b/>
          <w:i/>
          <w:sz w:val="16"/>
        </w:rPr>
      </w:pPr>
    </w:p>
    <w:p>
      <w:pPr>
        <w:pStyle w:val="BodyText"/>
        <w:rPr>
          <w:b/>
          <w:i/>
          <w:sz w:val="16"/>
        </w:rPr>
      </w:pPr>
    </w:p>
    <w:p>
      <w:pPr>
        <w:pStyle w:val="BodyText"/>
        <w:rPr>
          <w:b/>
          <w:i/>
          <w:sz w:val="16"/>
        </w:rPr>
      </w:pPr>
    </w:p>
    <w:p>
      <w:pPr>
        <w:pStyle w:val="BodyText"/>
        <w:spacing w:before="10"/>
        <w:rPr>
          <w:b/>
          <w:i/>
          <w:sz w:val="23"/>
        </w:rPr>
      </w:pPr>
    </w:p>
    <w:p>
      <w:pPr>
        <w:spacing w:before="0"/>
        <w:ind w:left="1902" w:right="1279" w:firstLine="0"/>
        <w:jc w:val="left"/>
        <w:rPr>
          <w:b/>
          <w:sz w:val="18"/>
        </w:rPr>
      </w:pPr>
      <w:r>
        <w:rPr>
          <w:b/>
          <w:color w:val="010202"/>
          <w:sz w:val="18"/>
        </w:rPr>
        <w:t>Cuadro 2. Relación entre edad de la planta y promedio de hojas afectadas porSigatoka negra</w:t>
      </w:r>
    </w:p>
    <w:p>
      <w:pPr>
        <w:pStyle w:val="BodyText"/>
        <w:spacing w:before="11"/>
        <w:rPr>
          <w:b/>
          <w:sz w:val="24"/>
        </w:rPr>
      </w:pPr>
      <w:r>
        <w:rPr/>
        <w:drawing>
          <wp:anchor distT="0" distB="0" distL="0" distR="0" allowOverlap="1" layoutInCell="1" locked="0" behindDoc="0" simplePos="0" relativeHeight="6112">
            <wp:simplePos x="0" y="0"/>
            <wp:positionH relativeFrom="page">
              <wp:posOffset>819891</wp:posOffset>
            </wp:positionH>
            <wp:positionV relativeFrom="paragraph">
              <wp:posOffset>207189</wp:posOffset>
            </wp:positionV>
            <wp:extent cx="5305901" cy="2631281"/>
            <wp:effectExtent l="0" t="0" r="0" b="0"/>
            <wp:wrapTopAndBottom/>
            <wp:docPr id="199" name="image84.jpeg" descr=""/>
            <wp:cNvGraphicFramePr>
              <a:graphicFrameLocks noChangeAspect="1"/>
            </wp:cNvGraphicFramePr>
            <a:graphic>
              <a:graphicData uri="http://schemas.openxmlformats.org/drawingml/2006/picture">
                <pic:pic>
                  <pic:nvPicPr>
                    <pic:cNvPr id="200" name="image84.jpeg"/>
                    <pic:cNvPicPr/>
                  </pic:nvPicPr>
                  <pic:blipFill>
                    <a:blip r:embed="rId133" cstate="print"/>
                    <a:stretch>
                      <a:fillRect/>
                    </a:stretch>
                  </pic:blipFill>
                  <pic:spPr>
                    <a:xfrm>
                      <a:off x="0" y="0"/>
                      <a:ext cx="5305901" cy="2631281"/>
                    </a:xfrm>
                    <a:prstGeom prst="rect">
                      <a:avLst/>
                    </a:prstGeom>
                  </pic:spPr>
                </pic:pic>
              </a:graphicData>
            </a:graphic>
          </wp:anchor>
        </w:drawing>
      </w:r>
    </w:p>
    <w:p>
      <w:pPr>
        <w:spacing w:before="53"/>
        <w:ind w:left="1270" w:right="1279" w:firstLine="0"/>
        <w:jc w:val="left"/>
        <w:rPr>
          <w:b/>
          <w:i/>
          <w:sz w:val="17"/>
        </w:rPr>
      </w:pPr>
      <w:r>
        <w:rPr>
          <w:b/>
          <w:i/>
          <w:color w:val="231F20"/>
          <w:sz w:val="17"/>
        </w:rPr>
        <w:t>*Las medias con diferente letra son estadísticamente diferentes (Tukey, ɑ=0.005).</w:t>
      </w:r>
    </w:p>
    <w:p>
      <w:pPr>
        <w:spacing w:after="0"/>
        <w:jc w:val="left"/>
        <w:rPr>
          <w:sz w:val="17"/>
        </w:rPr>
        <w:sectPr>
          <w:pgSz w:w="10920" w:h="13080"/>
          <w:pgMar w:header="0" w:footer="965" w:top="420" w:bottom="1220" w:left="0" w:right="0"/>
        </w:sectPr>
      </w:pPr>
    </w:p>
    <w:p>
      <w:pPr>
        <w:pStyle w:val="BodyText"/>
        <w:rPr>
          <w:b/>
          <w:i/>
          <w:sz w:val="20"/>
        </w:rPr>
      </w:pPr>
    </w:p>
    <w:p>
      <w:pPr>
        <w:pStyle w:val="BodyText"/>
        <w:rPr>
          <w:b/>
          <w:i/>
          <w:sz w:val="20"/>
        </w:rPr>
      </w:pPr>
    </w:p>
    <w:p>
      <w:pPr>
        <w:pStyle w:val="BodyText"/>
        <w:rPr>
          <w:b/>
          <w:i/>
          <w:sz w:val="23"/>
        </w:rPr>
      </w:pPr>
    </w:p>
    <w:p>
      <w:pPr>
        <w:spacing w:before="77"/>
        <w:ind w:left="1489" w:right="1489" w:firstLine="0"/>
        <w:jc w:val="center"/>
        <w:rPr>
          <w:b/>
          <w:sz w:val="18"/>
        </w:rPr>
      </w:pPr>
      <w:r>
        <w:rPr>
          <w:b/>
          <w:color w:val="010202"/>
          <w:sz w:val="18"/>
        </w:rPr>
        <w:t>Cuadro 3. Relación entre edad de la planta y número de hojas funcionales.</w:t>
      </w:r>
    </w:p>
    <w:p>
      <w:pPr>
        <w:pStyle w:val="BodyText"/>
        <w:spacing w:before="10"/>
        <w:rPr>
          <w:b/>
          <w:sz w:val="13"/>
        </w:rPr>
      </w:pPr>
      <w:r>
        <w:rPr/>
        <w:drawing>
          <wp:anchor distT="0" distB="0" distL="0" distR="0" allowOverlap="1" layoutInCell="1" locked="0" behindDoc="0" simplePos="0" relativeHeight="6136">
            <wp:simplePos x="0" y="0"/>
            <wp:positionH relativeFrom="page">
              <wp:posOffset>806700</wp:posOffset>
            </wp:positionH>
            <wp:positionV relativeFrom="paragraph">
              <wp:posOffset>126089</wp:posOffset>
            </wp:positionV>
            <wp:extent cx="5337061" cy="2396490"/>
            <wp:effectExtent l="0" t="0" r="0" b="0"/>
            <wp:wrapTopAndBottom/>
            <wp:docPr id="201" name="image85.jpeg" descr=""/>
            <wp:cNvGraphicFramePr>
              <a:graphicFrameLocks noChangeAspect="1"/>
            </wp:cNvGraphicFramePr>
            <a:graphic>
              <a:graphicData uri="http://schemas.openxmlformats.org/drawingml/2006/picture">
                <pic:pic>
                  <pic:nvPicPr>
                    <pic:cNvPr id="202" name="image85.jpeg"/>
                    <pic:cNvPicPr/>
                  </pic:nvPicPr>
                  <pic:blipFill>
                    <a:blip r:embed="rId134" cstate="print"/>
                    <a:stretch>
                      <a:fillRect/>
                    </a:stretch>
                  </pic:blipFill>
                  <pic:spPr>
                    <a:xfrm>
                      <a:off x="0" y="0"/>
                      <a:ext cx="5337061" cy="2396490"/>
                    </a:xfrm>
                    <a:prstGeom prst="rect">
                      <a:avLst/>
                    </a:prstGeom>
                  </pic:spPr>
                </pic:pic>
              </a:graphicData>
            </a:graphic>
          </wp:anchor>
        </w:drawing>
      </w:r>
    </w:p>
    <w:p>
      <w:pPr>
        <w:spacing w:before="50"/>
        <w:ind w:left="1270" w:right="1279" w:firstLine="0"/>
        <w:jc w:val="left"/>
        <w:rPr>
          <w:b/>
          <w:i/>
          <w:sz w:val="17"/>
        </w:rPr>
      </w:pPr>
      <w:r>
        <w:rPr>
          <w:b/>
          <w:i/>
          <w:color w:val="231F20"/>
          <w:sz w:val="17"/>
        </w:rPr>
        <w:t>*Las medias con diferente letra son estadísticamente diferentes (Tukey, ɑ=0.005).</w:t>
      </w:r>
    </w:p>
    <w:p>
      <w:pPr>
        <w:pStyle w:val="BodyText"/>
        <w:rPr>
          <w:b/>
          <w:i/>
          <w:sz w:val="16"/>
        </w:rPr>
      </w:pPr>
    </w:p>
    <w:p>
      <w:pPr>
        <w:pStyle w:val="BodyText"/>
        <w:rPr>
          <w:b/>
          <w:i/>
          <w:sz w:val="16"/>
        </w:rPr>
      </w:pPr>
    </w:p>
    <w:p>
      <w:pPr>
        <w:spacing w:before="143"/>
        <w:ind w:left="1489" w:right="1489" w:firstLine="0"/>
        <w:jc w:val="center"/>
        <w:rPr>
          <w:b/>
          <w:sz w:val="18"/>
        </w:rPr>
      </w:pPr>
      <w:r>
        <w:rPr>
          <w:b/>
          <w:color w:val="010202"/>
          <w:sz w:val="18"/>
        </w:rPr>
        <w:t>Cuadro 4. Relación entre edad de la planta y hoja más joven con pizca Sigatoka negro</w:t>
      </w:r>
    </w:p>
    <w:p>
      <w:pPr>
        <w:pStyle w:val="BodyText"/>
        <w:spacing w:before="1"/>
        <w:rPr>
          <w:b/>
          <w:sz w:val="15"/>
        </w:rPr>
      </w:pPr>
      <w:r>
        <w:rPr/>
        <w:drawing>
          <wp:anchor distT="0" distB="0" distL="0" distR="0" allowOverlap="1" layoutInCell="1" locked="0" behindDoc="0" simplePos="0" relativeHeight="6160">
            <wp:simplePos x="0" y="0"/>
            <wp:positionH relativeFrom="page">
              <wp:posOffset>792300</wp:posOffset>
            </wp:positionH>
            <wp:positionV relativeFrom="paragraph">
              <wp:posOffset>135296</wp:posOffset>
            </wp:positionV>
            <wp:extent cx="5337238" cy="2326005"/>
            <wp:effectExtent l="0" t="0" r="0" b="0"/>
            <wp:wrapTopAndBottom/>
            <wp:docPr id="203" name="image86.jpeg" descr=""/>
            <wp:cNvGraphicFramePr>
              <a:graphicFrameLocks noChangeAspect="1"/>
            </wp:cNvGraphicFramePr>
            <a:graphic>
              <a:graphicData uri="http://schemas.openxmlformats.org/drawingml/2006/picture">
                <pic:pic>
                  <pic:nvPicPr>
                    <pic:cNvPr id="204" name="image86.jpeg"/>
                    <pic:cNvPicPr/>
                  </pic:nvPicPr>
                  <pic:blipFill>
                    <a:blip r:embed="rId135" cstate="print"/>
                    <a:stretch>
                      <a:fillRect/>
                    </a:stretch>
                  </pic:blipFill>
                  <pic:spPr>
                    <a:xfrm>
                      <a:off x="0" y="0"/>
                      <a:ext cx="5337238" cy="2326005"/>
                    </a:xfrm>
                    <a:prstGeom prst="rect">
                      <a:avLst/>
                    </a:prstGeom>
                  </pic:spPr>
                </pic:pic>
              </a:graphicData>
            </a:graphic>
          </wp:anchor>
        </w:drawing>
      </w:r>
    </w:p>
    <w:p>
      <w:pPr>
        <w:spacing w:before="70"/>
        <w:ind w:left="1270" w:right="1279" w:firstLine="0"/>
        <w:jc w:val="left"/>
        <w:rPr>
          <w:b/>
          <w:i/>
          <w:sz w:val="17"/>
        </w:rPr>
      </w:pPr>
      <w:r>
        <w:rPr>
          <w:b/>
          <w:i/>
          <w:color w:val="231F20"/>
          <w:sz w:val="17"/>
        </w:rPr>
        <w:t>*Las medias con diferente letra son estadísticamente diferentes (Tukey, ɑ=0.005).</w:t>
      </w:r>
    </w:p>
    <w:p>
      <w:pPr>
        <w:spacing w:after="0"/>
        <w:jc w:val="left"/>
        <w:rPr>
          <w:sz w:val="17"/>
        </w:rPr>
        <w:sectPr>
          <w:pgSz w:w="10920" w:h="13080"/>
          <w:pgMar w:header="0" w:footer="965" w:top="420" w:bottom="1220" w:left="0" w:right="0"/>
        </w:sectPr>
      </w:pPr>
    </w:p>
    <w:p>
      <w:pPr>
        <w:pStyle w:val="BodyText"/>
        <w:rPr>
          <w:b/>
          <w:i/>
          <w:sz w:val="20"/>
        </w:rPr>
      </w:pPr>
    </w:p>
    <w:p>
      <w:pPr>
        <w:pStyle w:val="BodyText"/>
        <w:rPr>
          <w:b/>
          <w:i/>
          <w:sz w:val="20"/>
        </w:rPr>
      </w:pPr>
    </w:p>
    <w:p>
      <w:pPr>
        <w:pStyle w:val="BodyText"/>
        <w:rPr>
          <w:b/>
          <w:i/>
          <w:sz w:val="23"/>
        </w:rPr>
      </w:pPr>
    </w:p>
    <w:p>
      <w:pPr>
        <w:spacing w:before="77"/>
        <w:ind w:left="2040" w:right="1279" w:firstLine="0"/>
        <w:jc w:val="left"/>
        <w:rPr>
          <w:b/>
          <w:sz w:val="18"/>
        </w:rPr>
      </w:pPr>
      <w:r>
        <w:rPr>
          <w:b/>
          <w:color w:val="010202"/>
          <w:sz w:val="18"/>
        </w:rPr>
        <w:t>Cuadro 5.Relación entre edad de la planta y hoja más joven con mancha Sigatoka negra.</w:t>
      </w:r>
    </w:p>
    <w:p>
      <w:pPr>
        <w:pStyle w:val="BodyText"/>
        <w:spacing w:before="11"/>
        <w:rPr>
          <w:b/>
          <w:sz w:val="15"/>
        </w:rPr>
      </w:pPr>
      <w:r>
        <w:rPr/>
        <w:drawing>
          <wp:anchor distT="0" distB="0" distL="0" distR="0" allowOverlap="1" layoutInCell="1" locked="0" behindDoc="0" simplePos="0" relativeHeight="6184">
            <wp:simplePos x="0" y="0"/>
            <wp:positionH relativeFrom="page">
              <wp:posOffset>806699</wp:posOffset>
            </wp:positionH>
            <wp:positionV relativeFrom="paragraph">
              <wp:posOffset>141469</wp:posOffset>
            </wp:positionV>
            <wp:extent cx="5299528" cy="2326004"/>
            <wp:effectExtent l="0" t="0" r="0" b="0"/>
            <wp:wrapTopAndBottom/>
            <wp:docPr id="205" name="image87.jpeg" descr=""/>
            <wp:cNvGraphicFramePr>
              <a:graphicFrameLocks noChangeAspect="1"/>
            </wp:cNvGraphicFramePr>
            <a:graphic>
              <a:graphicData uri="http://schemas.openxmlformats.org/drawingml/2006/picture">
                <pic:pic>
                  <pic:nvPicPr>
                    <pic:cNvPr id="206" name="image87.jpeg"/>
                    <pic:cNvPicPr/>
                  </pic:nvPicPr>
                  <pic:blipFill>
                    <a:blip r:embed="rId136" cstate="print"/>
                    <a:stretch>
                      <a:fillRect/>
                    </a:stretch>
                  </pic:blipFill>
                  <pic:spPr>
                    <a:xfrm>
                      <a:off x="0" y="0"/>
                      <a:ext cx="5299528" cy="2326004"/>
                    </a:xfrm>
                    <a:prstGeom prst="rect">
                      <a:avLst/>
                    </a:prstGeom>
                  </pic:spPr>
                </pic:pic>
              </a:graphicData>
            </a:graphic>
          </wp:anchor>
        </w:drawing>
      </w:r>
    </w:p>
    <w:p>
      <w:pPr>
        <w:spacing w:before="86"/>
        <w:ind w:left="1270" w:right="1279" w:firstLine="0"/>
        <w:jc w:val="left"/>
        <w:rPr>
          <w:b/>
          <w:i/>
          <w:sz w:val="17"/>
        </w:rPr>
      </w:pPr>
      <w:r>
        <w:rPr>
          <w:b/>
          <w:i/>
          <w:color w:val="231F20"/>
          <w:sz w:val="17"/>
        </w:rPr>
        <w:t>*Las medias con diferente letra son estadísticamente diferentes (Tukey, ɑ=0.005).</w:t>
      </w:r>
    </w:p>
    <w:p>
      <w:pPr>
        <w:spacing w:after="0"/>
        <w:jc w:val="left"/>
        <w:rPr>
          <w:sz w:val="17"/>
        </w:rPr>
        <w:sectPr>
          <w:pgSz w:w="10920" w:h="13080"/>
          <w:pgMar w:header="0" w:footer="965" w:top="420" w:bottom="1220" w:left="0" w:right="0"/>
        </w:sectPr>
      </w:pPr>
    </w:p>
    <w:p>
      <w:pPr>
        <w:pStyle w:val="BodyText"/>
        <w:rPr>
          <w:sz w:val="20"/>
        </w:rPr>
      </w:pPr>
    </w:p>
    <w:p>
      <w:pPr>
        <w:pStyle w:val="BodyText"/>
        <w:rPr>
          <w:sz w:val="20"/>
        </w:rPr>
      </w:pPr>
    </w:p>
    <w:p>
      <w:pPr>
        <w:pStyle w:val="BodyText"/>
        <w:rPr>
          <w:sz w:val="20"/>
        </w:rPr>
      </w:pPr>
    </w:p>
    <w:p>
      <w:pPr>
        <w:pStyle w:val="BodyText"/>
        <w:spacing w:before="6"/>
        <w:rPr>
          <w:sz w:val="13"/>
        </w:rPr>
      </w:pPr>
    </w:p>
    <w:p>
      <w:pPr>
        <w:pStyle w:val="BodyText"/>
        <w:ind w:left="1738"/>
        <w:rPr>
          <w:sz w:val="20"/>
        </w:rPr>
      </w:pPr>
      <w:r>
        <w:rPr>
          <w:sz w:val="20"/>
        </w:rPr>
        <w:drawing>
          <wp:inline distT="0" distB="0" distL="0" distR="0">
            <wp:extent cx="4585620" cy="6310026"/>
            <wp:effectExtent l="0" t="0" r="0" b="0"/>
            <wp:docPr id="207" name="image88.png" descr=""/>
            <wp:cNvGraphicFramePr>
              <a:graphicFrameLocks noChangeAspect="1"/>
            </wp:cNvGraphicFramePr>
            <a:graphic>
              <a:graphicData uri="http://schemas.openxmlformats.org/drawingml/2006/picture">
                <pic:pic>
                  <pic:nvPicPr>
                    <pic:cNvPr id="208" name="image88.png"/>
                    <pic:cNvPicPr/>
                  </pic:nvPicPr>
                  <pic:blipFill>
                    <a:blip r:embed="rId137" cstate="print"/>
                    <a:stretch>
                      <a:fillRect/>
                    </a:stretch>
                  </pic:blipFill>
                  <pic:spPr>
                    <a:xfrm>
                      <a:off x="0" y="0"/>
                      <a:ext cx="4585620" cy="6310026"/>
                    </a:xfrm>
                    <a:prstGeom prst="rect">
                      <a:avLst/>
                    </a:prstGeom>
                  </pic:spPr>
                </pic:pic>
              </a:graphicData>
            </a:graphic>
          </wp:inline>
        </w:drawing>
      </w:r>
      <w:r>
        <w:rPr>
          <w:sz w:val="20"/>
        </w:rPr>
      </w:r>
    </w:p>
    <w:p>
      <w:pPr>
        <w:spacing w:after="0"/>
        <w:rPr>
          <w:sz w:val="20"/>
        </w:rPr>
        <w:sectPr>
          <w:pgSz w:w="10920" w:h="13080"/>
          <w:pgMar w:header="0" w:footer="965" w:top="420" w:bottom="1160" w:left="0" w:right="0"/>
        </w:sectPr>
      </w:pPr>
    </w:p>
    <w:p>
      <w:pPr>
        <w:pStyle w:val="BodyText"/>
        <w:rPr>
          <w:sz w:val="20"/>
        </w:rPr>
      </w:pPr>
    </w:p>
    <w:p>
      <w:pPr>
        <w:pStyle w:val="BodyText"/>
        <w:rPr>
          <w:sz w:val="20"/>
        </w:rPr>
      </w:pPr>
    </w:p>
    <w:p>
      <w:pPr>
        <w:pStyle w:val="BodyText"/>
        <w:rPr>
          <w:sz w:val="20"/>
        </w:rPr>
      </w:pPr>
    </w:p>
    <w:p>
      <w:pPr>
        <w:pStyle w:val="BodyText"/>
        <w:spacing w:before="5"/>
        <w:rPr>
          <w:sz w:val="16"/>
        </w:rPr>
      </w:pPr>
    </w:p>
    <w:p>
      <w:pPr>
        <w:pStyle w:val="BodyText"/>
        <w:ind w:left="1826"/>
        <w:rPr>
          <w:sz w:val="20"/>
        </w:rPr>
      </w:pPr>
      <w:r>
        <w:rPr>
          <w:sz w:val="20"/>
        </w:rPr>
        <w:drawing>
          <wp:inline distT="0" distB="0" distL="0" distR="0">
            <wp:extent cx="4499989" cy="6289357"/>
            <wp:effectExtent l="0" t="0" r="0" b="0"/>
            <wp:docPr id="209" name="image89.png" descr=""/>
            <wp:cNvGraphicFramePr>
              <a:graphicFrameLocks noChangeAspect="1"/>
            </wp:cNvGraphicFramePr>
            <a:graphic>
              <a:graphicData uri="http://schemas.openxmlformats.org/drawingml/2006/picture">
                <pic:pic>
                  <pic:nvPicPr>
                    <pic:cNvPr id="210" name="image89.png"/>
                    <pic:cNvPicPr/>
                  </pic:nvPicPr>
                  <pic:blipFill>
                    <a:blip r:embed="rId138" cstate="print"/>
                    <a:stretch>
                      <a:fillRect/>
                    </a:stretch>
                  </pic:blipFill>
                  <pic:spPr>
                    <a:xfrm>
                      <a:off x="0" y="0"/>
                      <a:ext cx="4499989" cy="6289357"/>
                    </a:xfrm>
                    <a:prstGeom prst="rect">
                      <a:avLst/>
                    </a:prstGeom>
                  </pic:spPr>
                </pic:pic>
              </a:graphicData>
            </a:graphic>
          </wp:inline>
        </w:drawing>
      </w:r>
      <w:r>
        <w:rPr>
          <w:sz w:val="20"/>
        </w:rPr>
      </w:r>
    </w:p>
    <w:p>
      <w:pPr>
        <w:spacing w:after="0"/>
        <w:rPr>
          <w:sz w:val="20"/>
        </w:rPr>
        <w:sectPr>
          <w:pgSz w:w="10920" w:h="13080"/>
          <w:pgMar w:header="0" w:footer="965" w:top="420" w:bottom="1160" w:left="0" w:right="0"/>
        </w:sectPr>
      </w:pPr>
    </w:p>
    <w:p>
      <w:pPr>
        <w:pStyle w:val="BodyText"/>
        <w:rPr>
          <w:sz w:val="20"/>
        </w:rPr>
      </w:pPr>
    </w:p>
    <w:p>
      <w:pPr>
        <w:pStyle w:val="BodyText"/>
        <w:rPr>
          <w:sz w:val="20"/>
        </w:rPr>
      </w:pPr>
    </w:p>
    <w:p>
      <w:pPr>
        <w:pStyle w:val="BodyText"/>
        <w:spacing w:before="6"/>
        <w:rPr>
          <w:sz w:val="23"/>
        </w:rPr>
      </w:pPr>
    </w:p>
    <w:p>
      <w:pPr>
        <w:spacing w:before="69"/>
        <w:ind w:left="2265" w:right="1279" w:firstLine="0"/>
        <w:jc w:val="left"/>
        <w:rPr>
          <w:rFonts w:ascii="Trebuchet MS" w:hAnsi="Trebuchet MS"/>
          <w:i/>
          <w:sz w:val="24"/>
        </w:rPr>
      </w:pPr>
      <w:r>
        <w:rPr>
          <w:rFonts w:ascii="Trebuchet MS" w:hAnsi="Trebuchet MS"/>
          <w:i/>
          <w:color w:val="010202"/>
          <w:sz w:val="24"/>
        </w:rPr>
        <w:t>María Sol Robledo y Monterrubio</w:t>
      </w:r>
      <w:r>
        <w:rPr>
          <w:rFonts w:ascii="Trebuchet MS" w:hAnsi="Trebuchet MS"/>
          <w:i/>
          <w:color w:val="010202"/>
          <w:position w:val="8"/>
          <w:sz w:val="14"/>
        </w:rPr>
        <w:t>1</w:t>
      </w:r>
      <w:r>
        <w:rPr>
          <w:rFonts w:ascii="Trebuchet MS" w:hAnsi="Trebuchet MS"/>
          <w:i/>
          <w:color w:val="010202"/>
          <w:sz w:val="24"/>
        </w:rPr>
        <w:t>; Eduardo García Miguel</w:t>
      </w:r>
      <w:r>
        <w:rPr>
          <w:rFonts w:ascii="Trebuchet MS" w:hAnsi="Trebuchet MS"/>
          <w:i/>
          <w:color w:val="010202"/>
          <w:position w:val="8"/>
          <w:sz w:val="14"/>
        </w:rPr>
        <w:t>2</w:t>
      </w:r>
      <w:r>
        <w:rPr>
          <w:rFonts w:ascii="Trebuchet MS" w:hAnsi="Trebuchet MS"/>
          <w:i/>
          <w:color w:val="010202"/>
          <w:sz w:val="24"/>
        </w:rPr>
        <w:t>;</w:t>
      </w:r>
    </w:p>
    <w:p>
      <w:pPr>
        <w:spacing w:line="247" w:lineRule="auto" w:before="9"/>
        <w:ind w:left="1747" w:right="1746" w:firstLine="0"/>
        <w:jc w:val="center"/>
        <w:rPr>
          <w:rFonts w:ascii="Trebuchet MS" w:hAnsi="Trebuchet MS"/>
          <w:i/>
          <w:sz w:val="14"/>
        </w:rPr>
      </w:pPr>
      <w:r>
        <w:rPr>
          <w:rFonts w:ascii="Trebuchet MS" w:hAnsi="Trebuchet MS"/>
          <w:i/>
          <w:color w:val="010202"/>
          <w:sz w:val="24"/>
        </w:rPr>
        <w:t>Gerardo Arias Robledo</w:t>
      </w:r>
      <w:r>
        <w:rPr>
          <w:rFonts w:ascii="Trebuchet MS" w:hAnsi="Trebuchet MS"/>
          <w:i/>
          <w:color w:val="010202"/>
          <w:position w:val="8"/>
          <w:sz w:val="14"/>
        </w:rPr>
        <w:t>3</w:t>
      </w:r>
      <w:r>
        <w:rPr>
          <w:rFonts w:ascii="Trebuchet MS" w:hAnsi="Trebuchet MS"/>
          <w:i/>
          <w:color w:val="010202"/>
          <w:sz w:val="24"/>
        </w:rPr>
        <w:t>; Diana Guerra Ramírez</w:t>
      </w:r>
      <w:r>
        <w:rPr>
          <w:rFonts w:ascii="Trebuchet MS" w:hAnsi="Trebuchet MS"/>
          <w:i/>
          <w:color w:val="010202"/>
          <w:position w:val="8"/>
          <w:sz w:val="14"/>
        </w:rPr>
        <w:t>4</w:t>
      </w:r>
      <w:r>
        <w:rPr>
          <w:rFonts w:ascii="Trebuchet MS" w:hAnsi="Trebuchet MS"/>
          <w:i/>
          <w:color w:val="010202"/>
          <w:sz w:val="24"/>
        </w:rPr>
        <w:t>; Benito Reyes Trejo</w:t>
      </w:r>
      <w:r>
        <w:rPr>
          <w:rFonts w:ascii="Trebuchet MS" w:hAnsi="Trebuchet MS"/>
          <w:i/>
          <w:color w:val="010202"/>
          <w:position w:val="8"/>
          <w:sz w:val="14"/>
        </w:rPr>
        <w:t>4 </w:t>
      </w:r>
      <w:r>
        <w:rPr>
          <w:rFonts w:ascii="Trebuchet MS" w:hAnsi="Trebuchet MS"/>
          <w:i/>
          <w:color w:val="010202"/>
          <w:sz w:val="24"/>
        </w:rPr>
        <w:t>e Higinio Francisco Arias Velázquez</w:t>
      </w:r>
      <w:r>
        <w:rPr>
          <w:rFonts w:ascii="Trebuchet MS" w:hAnsi="Trebuchet MS"/>
          <w:i/>
          <w:color w:val="010202"/>
          <w:position w:val="8"/>
          <w:sz w:val="14"/>
        </w:rPr>
        <w:t>1</w:t>
      </w: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spacing w:before="11"/>
        <w:rPr>
          <w:rFonts w:ascii="Trebuchet MS"/>
          <w:i/>
          <w:sz w:val="29"/>
        </w:rPr>
      </w:pPr>
    </w:p>
    <w:p>
      <w:pPr>
        <w:spacing w:before="0"/>
        <w:ind w:left="1489" w:right="1489" w:firstLine="0"/>
        <w:jc w:val="center"/>
        <w:rPr>
          <w:rFonts w:ascii="Trebuchet MS"/>
          <w:b/>
          <w:sz w:val="36"/>
        </w:rPr>
      </w:pPr>
      <w:r>
        <w:rPr>
          <w:rFonts w:ascii="Trebuchet MS"/>
          <w:b/>
          <w:color w:val="010202"/>
          <w:sz w:val="36"/>
        </w:rPr>
        <w:t>EFECTO FUNGICIDA DEL EXTRACTO</w:t>
      </w:r>
    </w:p>
    <w:p>
      <w:pPr>
        <w:spacing w:line="247" w:lineRule="auto" w:before="14"/>
        <w:ind w:left="1490" w:right="1489" w:firstLine="0"/>
        <w:jc w:val="center"/>
        <w:rPr>
          <w:rFonts w:ascii="Trebuchet MS" w:hAnsi="Trebuchet MS"/>
          <w:b/>
          <w:sz w:val="36"/>
        </w:rPr>
      </w:pPr>
      <w:r>
        <w:rPr>
          <w:rFonts w:ascii="Trebuchet MS" w:hAnsi="Trebuchet MS"/>
          <w:b/>
          <w:color w:val="010202"/>
          <w:sz w:val="36"/>
        </w:rPr>
        <w:t>HEXÁNICO DE </w:t>
      </w:r>
      <w:r>
        <w:rPr>
          <w:rFonts w:ascii="Trebuchet MS" w:hAnsi="Trebuchet MS"/>
          <w:b/>
          <w:i/>
          <w:color w:val="010202"/>
          <w:sz w:val="36"/>
        </w:rPr>
        <w:t>Equisetumhy emale </w:t>
      </w:r>
      <w:r>
        <w:rPr>
          <w:rFonts w:ascii="Trebuchet MS" w:hAnsi="Trebuchet MS"/>
          <w:b/>
          <w:color w:val="010202"/>
          <w:sz w:val="36"/>
        </w:rPr>
        <w:t>YE. </w:t>
      </w:r>
      <w:r>
        <w:rPr>
          <w:rFonts w:ascii="Trebuchet MS" w:hAnsi="Trebuchet MS"/>
          <w:b/>
          <w:i/>
          <w:color w:val="010202"/>
          <w:sz w:val="36"/>
        </w:rPr>
        <w:t>Hyemaleaffinemy riochaetum </w:t>
      </w:r>
      <w:r>
        <w:rPr>
          <w:rFonts w:ascii="Trebuchet MS" w:hAnsi="Trebuchet MS"/>
          <w:b/>
          <w:color w:val="010202"/>
          <w:sz w:val="36"/>
        </w:rPr>
        <w:t>EN EL CRECIMIENTO MICELIAL DE</w:t>
      </w:r>
    </w:p>
    <w:p>
      <w:pPr>
        <w:pStyle w:val="Heading2"/>
        <w:rPr>
          <w:i/>
        </w:rPr>
      </w:pPr>
      <w:r>
        <w:rPr>
          <w:i/>
          <w:color w:val="010202"/>
        </w:rPr>
        <w:t>Penicilliumitalicum.</w:t>
      </w:r>
    </w:p>
    <w:p>
      <w:pPr>
        <w:pStyle w:val="BodyText"/>
        <w:rPr>
          <w:rFonts w:ascii="Trebuchet MS"/>
          <w:b/>
          <w:i/>
          <w:sz w:val="36"/>
        </w:rPr>
      </w:pPr>
    </w:p>
    <w:p>
      <w:pPr>
        <w:pStyle w:val="BodyText"/>
        <w:rPr>
          <w:rFonts w:ascii="Trebuchet MS"/>
          <w:b/>
          <w:i/>
          <w:sz w:val="36"/>
        </w:rPr>
      </w:pPr>
    </w:p>
    <w:p>
      <w:pPr>
        <w:pStyle w:val="Heading3"/>
        <w:spacing w:before="300"/>
      </w:pPr>
      <w:r>
        <w:rPr>
          <w:color w:val="010202"/>
        </w:rPr>
        <w:t>Introducción</w:t>
      </w:r>
    </w:p>
    <w:p>
      <w:pPr>
        <w:pStyle w:val="BodyText"/>
        <w:spacing w:before="10"/>
        <w:rPr>
          <w:b/>
        </w:rPr>
      </w:pPr>
    </w:p>
    <w:p>
      <w:pPr>
        <w:pStyle w:val="BodyText"/>
        <w:spacing w:line="247" w:lineRule="auto"/>
        <w:ind w:left="1270" w:right="1267"/>
        <w:jc w:val="both"/>
      </w:pPr>
      <w:r>
        <w:rPr>
          <w:color w:val="231F20"/>
        </w:rPr>
        <w:t>La</w:t>
      </w:r>
      <w:r>
        <w:rPr>
          <w:color w:val="231F20"/>
          <w:spacing w:val="-6"/>
        </w:rPr>
        <w:t> </w:t>
      </w:r>
      <w:r>
        <w:rPr>
          <w:color w:val="231F20"/>
        </w:rPr>
        <w:t>naranja</w:t>
      </w:r>
      <w:r>
        <w:rPr>
          <w:color w:val="231F20"/>
          <w:spacing w:val="41"/>
        </w:rPr>
        <w:t> </w:t>
      </w:r>
      <w:r>
        <w:rPr>
          <w:color w:val="231F20"/>
        </w:rPr>
        <w:t>(</w:t>
      </w:r>
      <w:r>
        <w:rPr>
          <w:i/>
          <w:color w:val="231F20"/>
        </w:rPr>
        <w:t>Citrus</w:t>
      </w:r>
      <w:r>
        <w:rPr>
          <w:i/>
          <w:color w:val="231F20"/>
          <w:spacing w:val="-6"/>
        </w:rPr>
        <w:t> </w:t>
      </w:r>
      <w:r>
        <w:rPr>
          <w:i/>
          <w:color w:val="231F20"/>
        </w:rPr>
        <w:t>sinensis</w:t>
      </w:r>
      <w:r>
        <w:rPr>
          <w:i/>
          <w:color w:val="231F20"/>
          <w:spacing w:val="-6"/>
        </w:rPr>
        <w:t> </w:t>
      </w:r>
      <w:r>
        <w:rPr>
          <w:color w:val="231F20"/>
        </w:rPr>
        <w:t>L.Osbeck)</w:t>
      </w:r>
      <w:r>
        <w:rPr>
          <w:color w:val="231F20"/>
          <w:spacing w:val="-7"/>
        </w:rPr>
        <w:t> </w:t>
      </w:r>
      <w:r>
        <w:rPr>
          <w:color w:val="231F20"/>
        </w:rPr>
        <w:t>es</w:t>
      </w:r>
      <w:r>
        <w:rPr>
          <w:color w:val="231F20"/>
          <w:spacing w:val="-6"/>
        </w:rPr>
        <w:t> </w:t>
      </w:r>
      <w:r>
        <w:rPr>
          <w:color w:val="231F20"/>
        </w:rPr>
        <w:t>la</w:t>
      </w:r>
      <w:r>
        <w:rPr>
          <w:color w:val="231F20"/>
          <w:spacing w:val="-6"/>
        </w:rPr>
        <w:t> </w:t>
      </w:r>
      <w:r>
        <w:rPr>
          <w:color w:val="231F20"/>
        </w:rPr>
        <w:t>fruta</w:t>
      </w:r>
      <w:r>
        <w:rPr>
          <w:color w:val="231F20"/>
          <w:spacing w:val="-6"/>
        </w:rPr>
        <w:t> </w:t>
      </w:r>
      <w:r>
        <w:rPr>
          <w:color w:val="231F20"/>
        </w:rPr>
        <w:t>que</w:t>
      </w:r>
      <w:r>
        <w:rPr>
          <w:color w:val="231F20"/>
          <w:spacing w:val="-6"/>
        </w:rPr>
        <w:t> </w:t>
      </w:r>
      <w:r>
        <w:rPr>
          <w:color w:val="231F20"/>
        </w:rPr>
        <w:t>más</w:t>
      </w:r>
      <w:r>
        <w:rPr>
          <w:color w:val="231F20"/>
          <w:spacing w:val="-6"/>
        </w:rPr>
        <w:t> </w:t>
      </w:r>
      <w:r>
        <w:rPr>
          <w:color w:val="231F20"/>
        </w:rPr>
        <w:t>se</w:t>
      </w:r>
      <w:r>
        <w:rPr>
          <w:color w:val="231F20"/>
          <w:spacing w:val="-6"/>
        </w:rPr>
        <w:t> </w:t>
      </w:r>
      <w:r>
        <w:rPr>
          <w:color w:val="231F20"/>
        </w:rPr>
        <w:t>produce</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mundo,</w:t>
      </w:r>
      <w:r>
        <w:rPr>
          <w:color w:val="231F20"/>
          <w:spacing w:val="-7"/>
        </w:rPr>
        <w:t> </w:t>
      </w:r>
      <w:r>
        <w:rPr>
          <w:color w:val="231F20"/>
        </w:rPr>
        <w:t>alcanzando</w:t>
      </w:r>
      <w:r>
        <w:rPr>
          <w:color w:val="231F20"/>
          <w:spacing w:val="-7"/>
        </w:rPr>
        <w:t> </w:t>
      </w:r>
      <w:r>
        <w:rPr>
          <w:color w:val="231F20"/>
        </w:rPr>
        <w:t>volú- menes</w:t>
      </w:r>
      <w:r>
        <w:rPr>
          <w:color w:val="231F20"/>
          <w:spacing w:val="-9"/>
        </w:rPr>
        <w:t> </w:t>
      </w:r>
      <w:r>
        <w:rPr>
          <w:color w:val="231F20"/>
        </w:rPr>
        <w:t>cercanos</w:t>
      </w:r>
      <w:r>
        <w:rPr>
          <w:color w:val="231F20"/>
          <w:spacing w:val="-9"/>
        </w:rPr>
        <w:t> </w:t>
      </w:r>
      <w:r>
        <w:rPr>
          <w:color w:val="231F20"/>
        </w:rPr>
        <w:t>a</w:t>
      </w:r>
      <w:r>
        <w:rPr>
          <w:color w:val="231F20"/>
          <w:spacing w:val="-9"/>
        </w:rPr>
        <w:t> </w:t>
      </w:r>
      <w:r>
        <w:rPr>
          <w:color w:val="231F20"/>
        </w:rPr>
        <w:t>80,</w:t>
      </w:r>
      <w:r>
        <w:rPr>
          <w:color w:val="231F20"/>
          <w:spacing w:val="-9"/>
        </w:rPr>
        <w:t> </w:t>
      </w:r>
      <w:r>
        <w:rPr>
          <w:color w:val="231F20"/>
        </w:rPr>
        <w:t>000,000</w:t>
      </w:r>
      <w:r>
        <w:rPr>
          <w:color w:val="231F20"/>
          <w:spacing w:val="-9"/>
        </w:rPr>
        <w:t> </w:t>
      </w:r>
      <w:r>
        <w:rPr>
          <w:color w:val="231F20"/>
        </w:rPr>
        <w:t>toneladas,</w:t>
      </w:r>
      <w:r>
        <w:rPr>
          <w:color w:val="231F20"/>
          <w:spacing w:val="-9"/>
        </w:rPr>
        <w:t> </w:t>
      </w:r>
      <w:r>
        <w:rPr>
          <w:color w:val="231F20"/>
        </w:rPr>
        <w:t>ocupa</w:t>
      </w:r>
      <w:r>
        <w:rPr>
          <w:color w:val="231F20"/>
          <w:spacing w:val="-9"/>
        </w:rPr>
        <w:t> </w:t>
      </w:r>
      <w:r>
        <w:rPr>
          <w:color w:val="231F20"/>
        </w:rPr>
        <w:t>el</w:t>
      </w:r>
      <w:r>
        <w:rPr>
          <w:color w:val="231F20"/>
          <w:spacing w:val="-9"/>
        </w:rPr>
        <w:t> </w:t>
      </w:r>
      <w:r>
        <w:rPr>
          <w:color w:val="231F20"/>
        </w:rPr>
        <w:t>quinto</w:t>
      </w:r>
      <w:r>
        <w:rPr>
          <w:color w:val="231F20"/>
          <w:spacing w:val="-9"/>
        </w:rPr>
        <w:t> </w:t>
      </w:r>
      <w:r>
        <w:rPr>
          <w:color w:val="231F20"/>
        </w:rPr>
        <w:t>lugar</w:t>
      </w:r>
      <w:r>
        <w:rPr>
          <w:color w:val="231F20"/>
          <w:spacing w:val="-9"/>
        </w:rPr>
        <w:t> </w:t>
      </w:r>
      <w:r>
        <w:rPr>
          <w:color w:val="231F20"/>
        </w:rPr>
        <w:t>en</w:t>
      </w:r>
      <w:r>
        <w:rPr>
          <w:color w:val="231F20"/>
          <w:spacing w:val="-9"/>
        </w:rPr>
        <w:t> </w:t>
      </w:r>
      <w:r>
        <w:rPr>
          <w:color w:val="231F20"/>
        </w:rPr>
        <w:t>producción</w:t>
      </w:r>
      <w:r>
        <w:rPr>
          <w:color w:val="231F20"/>
          <w:spacing w:val="-9"/>
        </w:rPr>
        <w:t> </w:t>
      </w:r>
      <w:r>
        <w:rPr>
          <w:color w:val="231F20"/>
        </w:rPr>
        <w:t>en</w:t>
      </w:r>
      <w:r>
        <w:rPr>
          <w:color w:val="231F20"/>
          <w:spacing w:val="-9"/>
        </w:rPr>
        <w:t> </w:t>
      </w:r>
      <w:r>
        <w:rPr>
          <w:color w:val="231F20"/>
        </w:rPr>
        <w:t>México,</w:t>
      </w:r>
      <w:r>
        <w:rPr>
          <w:color w:val="231F20"/>
          <w:spacing w:val="-8"/>
        </w:rPr>
        <w:t> </w:t>
      </w:r>
      <w:r>
        <w:rPr>
          <w:color w:val="231F20"/>
        </w:rPr>
        <w:t>ubicándolo en la cuarta posición anivel mundial en producción de dicho cítrico, ya que en 2008 se produjeron 4, 306,633 toneladas </w:t>
      </w:r>
      <w:r>
        <w:rPr>
          <w:color w:val="231F20"/>
          <w:spacing w:val="-3"/>
        </w:rPr>
        <w:t>(Veracruz, </w:t>
      </w:r>
      <w:r>
        <w:rPr>
          <w:color w:val="231F20"/>
          <w:spacing w:val="-5"/>
        </w:rPr>
        <w:t>FAO, </w:t>
      </w:r>
      <w:r>
        <w:rPr>
          <w:color w:val="231F20"/>
        </w:rPr>
        <w:t>2011; Financiera Rural, 2010). Los principales estados pro- ductores de Naranja en orden de importancia: </w:t>
      </w:r>
      <w:r>
        <w:rPr>
          <w:color w:val="231F20"/>
          <w:spacing w:val="-3"/>
        </w:rPr>
        <w:t>Veracruz, </w:t>
      </w:r>
      <w:r>
        <w:rPr>
          <w:color w:val="231F20"/>
        </w:rPr>
        <w:t>que representa una participación de casi el 50% de la producción nacional, San Luis Potosí, Tamaulipas y Puebla. El deterioro ocasionado por hongos en los alimentos causa pérdidas económicas en un rango del 5 al 20% de la producción en países desarrollados y pueden llegar a 50% en los climas tropicales. Se estiman pérdidas en la citri- cultura nacional del 40% de la producción en postcosecha solamente, por lo que el impacto de las enfermedades fúngicas en los cítricos es relevante (Ochoa </w:t>
      </w:r>
      <w:r>
        <w:rPr>
          <w:i/>
          <w:color w:val="231F20"/>
        </w:rPr>
        <w:t>et al.</w:t>
      </w:r>
      <w:r>
        <w:rPr>
          <w:color w:val="231F20"/>
        </w:rPr>
        <w:t>, 2007). Las pérdidas postcosecha en frutos cítricos son provocadas por </w:t>
      </w:r>
      <w:r>
        <w:rPr>
          <w:i/>
          <w:color w:val="231F20"/>
        </w:rPr>
        <w:t>Penicilliumspp</w:t>
      </w:r>
      <w:r>
        <w:rPr>
          <w:color w:val="231F20"/>
        </w:rPr>
        <w:t>, </w:t>
      </w:r>
      <w:r>
        <w:rPr>
          <w:i/>
          <w:color w:val="231F20"/>
        </w:rPr>
        <w:t>Alternariasp</w:t>
      </w:r>
      <w:r>
        <w:rPr>
          <w:color w:val="231F20"/>
        </w:rPr>
        <w:t>., </w:t>
      </w:r>
      <w:r>
        <w:rPr>
          <w:i/>
          <w:color w:val="231F20"/>
        </w:rPr>
        <w:t>Botrytissp.</w:t>
      </w:r>
      <w:r>
        <w:rPr>
          <w:color w:val="231F20"/>
        </w:rPr>
        <w:t>, </w:t>
      </w:r>
      <w:r>
        <w:rPr>
          <w:i/>
          <w:color w:val="231F20"/>
        </w:rPr>
        <w:t>Geotrichumsp Y </w:t>
      </w:r>
      <w:r>
        <w:rPr>
          <w:i/>
          <w:color w:val="231F20"/>
        </w:rPr>
        <w:t>Rhizopussp</w:t>
      </w:r>
      <w:r>
        <w:rPr>
          <w:color w:val="231F20"/>
        </w:rPr>
        <w:t>. Pero las podredumbres más comunes y destructivas son causadas por tres especies de Penicillium responsables del más de 90% de las pérdidas (Hong-Yin Zhang y col., 2004). Dentro</w:t>
      </w:r>
      <w:r>
        <w:rPr>
          <w:color w:val="231F20"/>
          <w:spacing w:val="-27"/>
        </w:rPr>
        <w:t> </w:t>
      </w:r>
      <w:r>
        <w:rPr>
          <w:color w:val="231F20"/>
        </w:rPr>
        <w:t>de</w:t>
      </w:r>
    </w:p>
    <w:p>
      <w:pPr>
        <w:pStyle w:val="BodyText"/>
        <w:spacing w:before="6"/>
        <w:rPr>
          <w:sz w:val="18"/>
        </w:rPr>
      </w:pPr>
    </w:p>
    <w:p>
      <w:pPr>
        <w:spacing w:line="247" w:lineRule="auto" w:before="0"/>
        <w:ind w:left="1270" w:right="1268" w:firstLine="0"/>
        <w:jc w:val="both"/>
        <w:rPr>
          <w:rFonts w:ascii="Trebuchet MS" w:hAnsi="Trebuchet MS"/>
          <w:sz w:val="16"/>
        </w:rPr>
      </w:pPr>
      <w:r>
        <w:rPr>
          <w:rFonts w:ascii="Trebuchet MS" w:hAnsi="Trebuchet MS"/>
          <w:color w:val="231F20"/>
          <w:position w:val="5"/>
          <w:sz w:val="9"/>
        </w:rPr>
        <w:t>1</w:t>
      </w:r>
      <w:r>
        <w:rPr>
          <w:rFonts w:ascii="Trebuchet MS" w:hAnsi="Trebuchet MS"/>
          <w:color w:val="231F20"/>
          <w:sz w:val="16"/>
        </w:rPr>
        <w:t>Laboratorio de Histología y Citología General. Invernadero de Especies Tropicales. Área de Biología. Departamento de</w:t>
      </w:r>
      <w:r>
        <w:rPr>
          <w:rFonts w:ascii="Trebuchet MS" w:hAnsi="Trebuchet MS"/>
          <w:color w:val="231F20"/>
          <w:spacing w:val="-8"/>
          <w:sz w:val="16"/>
        </w:rPr>
        <w:t> </w:t>
      </w:r>
      <w:r>
        <w:rPr>
          <w:rFonts w:ascii="Trebuchet MS" w:hAnsi="Trebuchet MS"/>
          <w:color w:val="231F20"/>
          <w:sz w:val="16"/>
        </w:rPr>
        <w:t>Preparatoria</w:t>
      </w:r>
      <w:r>
        <w:rPr>
          <w:rFonts w:ascii="Trebuchet MS" w:hAnsi="Trebuchet MS"/>
          <w:color w:val="231F20"/>
          <w:spacing w:val="-16"/>
          <w:sz w:val="16"/>
        </w:rPr>
        <w:t> </w:t>
      </w:r>
      <w:r>
        <w:rPr>
          <w:rFonts w:ascii="Trebuchet MS" w:hAnsi="Trebuchet MS"/>
          <w:color w:val="231F20"/>
          <w:sz w:val="16"/>
        </w:rPr>
        <w:t>Agrícola.</w:t>
      </w:r>
      <w:r>
        <w:rPr>
          <w:rFonts w:ascii="Trebuchet MS" w:hAnsi="Trebuchet MS"/>
          <w:color w:val="231F20"/>
          <w:spacing w:val="-9"/>
          <w:sz w:val="16"/>
        </w:rPr>
        <w:t> </w:t>
      </w:r>
      <w:r>
        <w:rPr>
          <w:rFonts w:ascii="Trebuchet MS" w:hAnsi="Trebuchet MS"/>
          <w:color w:val="231F20"/>
          <w:sz w:val="16"/>
        </w:rPr>
        <w:t>Centro</w:t>
      </w:r>
      <w:r>
        <w:rPr>
          <w:rFonts w:ascii="Trebuchet MS" w:hAnsi="Trebuchet MS"/>
          <w:color w:val="231F20"/>
          <w:spacing w:val="-8"/>
          <w:sz w:val="16"/>
        </w:rPr>
        <w:t> </w:t>
      </w:r>
      <w:r>
        <w:rPr>
          <w:rFonts w:ascii="Trebuchet MS" w:hAnsi="Trebuchet MS"/>
          <w:color w:val="231F20"/>
          <w:sz w:val="16"/>
        </w:rPr>
        <w:t>de</w:t>
      </w:r>
      <w:r>
        <w:rPr>
          <w:rFonts w:ascii="Trebuchet MS" w:hAnsi="Trebuchet MS"/>
          <w:color w:val="231F20"/>
          <w:spacing w:val="-8"/>
          <w:sz w:val="16"/>
        </w:rPr>
        <w:t> </w:t>
      </w:r>
      <w:r>
        <w:rPr>
          <w:rFonts w:ascii="Trebuchet MS" w:hAnsi="Trebuchet MS"/>
          <w:color w:val="231F20"/>
          <w:sz w:val="16"/>
        </w:rPr>
        <w:t>Investigación</w:t>
      </w:r>
      <w:r>
        <w:rPr>
          <w:rFonts w:ascii="Trebuchet MS" w:hAnsi="Trebuchet MS"/>
          <w:color w:val="231F20"/>
          <w:spacing w:val="-7"/>
          <w:sz w:val="16"/>
        </w:rPr>
        <w:t> </w:t>
      </w:r>
      <w:r>
        <w:rPr>
          <w:rFonts w:ascii="Trebuchet MS" w:hAnsi="Trebuchet MS"/>
          <w:color w:val="231F20"/>
          <w:sz w:val="16"/>
        </w:rPr>
        <w:t>de</w:t>
      </w:r>
      <w:r>
        <w:rPr>
          <w:rFonts w:ascii="Trebuchet MS" w:hAnsi="Trebuchet MS"/>
          <w:color w:val="231F20"/>
          <w:spacing w:val="-16"/>
          <w:sz w:val="16"/>
        </w:rPr>
        <w:t> </w:t>
      </w:r>
      <w:r>
        <w:rPr>
          <w:rFonts w:ascii="Trebuchet MS" w:hAnsi="Trebuchet MS"/>
          <w:color w:val="231F20"/>
          <w:sz w:val="16"/>
        </w:rPr>
        <w:t>Agricultura</w:t>
      </w:r>
      <w:r>
        <w:rPr>
          <w:rFonts w:ascii="Trebuchet MS" w:hAnsi="Trebuchet MS"/>
          <w:color w:val="231F20"/>
          <w:spacing w:val="-9"/>
          <w:sz w:val="16"/>
        </w:rPr>
        <w:t> </w:t>
      </w:r>
      <w:r>
        <w:rPr>
          <w:rFonts w:ascii="Trebuchet MS" w:hAnsi="Trebuchet MS"/>
          <w:color w:val="231F20"/>
          <w:sz w:val="16"/>
        </w:rPr>
        <w:t>Orgánica</w:t>
      </w:r>
      <w:r>
        <w:rPr>
          <w:rFonts w:ascii="Trebuchet MS" w:hAnsi="Trebuchet MS"/>
          <w:color w:val="231F20"/>
          <w:spacing w:val="-9"/>
          <w:sz w:val="16"/>
        </w:rPr>
        <w:t> </w:t>
      </w:r>
      <w:r>
        <w:rPr>
          <w:rFonts w:ascii="Trebuchet MS" w:hAnsi="Trebuchet MS"/>
          <w:color w:val="231F20"/>
          <w:sz w:val="16"/>
        </w:rPr>
        <w:t>y</w:t>
      </w:r>
      <w:r>
        <w:rPr>
          <w:rFonts w:ascii="Trebuchet MS" w:hAnsi="Trebuchet MS"/>
          <w:color w:val="231F20"/>
          <w:spacing w:val="-16"/>
          <w:sz w:val="16"/>
        </w:rPr>
        <w:t> </w:t>
      </w:r>
      <w:r>
        <w:rPr>
          <w:rFonts w:ascii="Trebuchet MS" w:hAnsi="Trebuchet MS"/>
          <w:color w:val="231F20"/>
          <w:sz w:val="16"/>
        </w:rPr>
        <w:t>Agroecología.</w:t>
      </w:r>
      <w:r>
        <w:rPr>
          <w:rFonts w:ascii="Trebuchet MS" w:hAnsi="Trebuchet MS"/>
          <w:color w:val="231F20"/>
          <w:spacing w:val="-9"/>
          <w:sz w:val="16"/>
        </w:rPr>
        <w:t> </w:t>
      </w:r>
      <w:r>
        <w:rPr>
          <w:rFonts w:ascii="Trebuchet MS" w:hAnsi="Trebuchet MS"/>
          <w:color w:val="231F20"/>
          <w:sz w:val="16"/>
        </w:rPr>
        <w:t>Universidad</w:t>
      </w:r>
      <w:r>
        <w:rPr>
          <w:rFonts w:ascii="Trebuchet MS" w:hAnsi="Trebuchet MS"/>
          <w:color w:val="231F20"/>
          <w:spacing w:val="-15"/>
          <w:sz w:val="16"/>
        </w:rPr>
        <w:t> </w:t>
      </w:r>
      <w:r>
        <w:rPr>
          <w:rFonts w:ascii="Trebuchet MS" w:hAnsi="Trebuchet MS"/>
          <w:color w:val="231F20"/>
          <w:sz w:val="16"/>
        </w:rPr>
        <w:t>Autónoma</w:t>
      </w:r>
      <w:r>
        <w:rPr>
          <w:rFonts w:ascii="Trebuchet MS" w:hAnsi="Trebuchet MS"/>
          <w:color w:val="231F20"/>
          <w:spacing w:val="-9"/>
          <w:sz w:val="16"/>
        </w:rPr>
        <w:t> </w:t>
      </w:r>
      <w:r>
        <w:rPr>
          <w:rFonts w:ascii="Trebuchet MS" w:hAnsi="Trebuchet MS"/>
          <w:color w:val="231F20"/>
          <w:sz w:val="16"/>
        </w:rPr>
        <w:t>Cha- pingo..mrobledoym@yahoo.com.mx;</w:t>
      </w:r>
      <w:r>
        <w:rPr>
          <w:rFonts w:ascii="Trebuchet MS" w:hAnsi="Trebuchet MS"/>
          <w:color w:val="231F20"/>
          <w:spacing w:val="-10"/>
          <w:sz w:val="16"/>
        </w:rPr>
        <w:t> </w:t>
      </w:r>
      <w:r>
        <w:rPr>
          <w:rFonts w:ascii="Trebuchet MS" w:hAnsi="Trebuchet MS"/>
          <w:color w:val="231F20"/>
          <w:position w:val="5"/>
          <w:sz w:val="9"/>
        </w:rPr>
        <w:t>2</w:t>
      </w:r>
      <w:r>
        <w:rPr>
          <w:rFonts w:ascii="Trebuchet MS" w:hAnsi="Trebuchet MS"/>
          <w:color w:val="231F20"/>
          <w:sz w:val="16"/>
        </w:rPr>
        <w:t>Departamento</w:t>
      </w:r>
      <w:r>
        <w:rPr>
          <w:rFonts w:ascii="Trebuchet MS" w:hAnsi="Trebuchet MS"/>
          <w:color w:val="231F20"/>
          <w:spacing w:val="-11"/>
          <w:sz w:val="16"/>
        </w:rPr>
        <w:t> </w:t>
      </w:r>
      <w:r>
        <w:rPr>
          <w:rFonts w:ascii="Trebuchet MS" w:hAnsi="Trebuchet MS"/>
          <w:color w:val="231F20"/>
          <w:sz w:val="16"/>
        </w:rPr>
        <w:t>de</w:t>
      </w:r>
      <w:r>
        <w:rPr>
          <w:rFonts w:ascii="Trebuchet MS" w:hAnsi="Trebuchet MS"/>
          <w:color w:val="231F20"/>
          <w:spacing w:val="-12"/>
          <w:sz w:val="16"/>
        </w:rPr>
        <w:t> </w:t>
      </w:r>
      <w:r>
        <w:rPr>
          <w:rFonts w:ascii="Trebuchet MS" w:hAnsi="Trebuchet MS"/>
          <w:color w:val="231F20"/>
          <w:sz w:val="16"/>
        </w:rPr>
        <w:t>Suelos,</w:t>
      </w:r>
      <w:r>
        <w:rPr>
          <w:rFonts w:ascii="Trebuchet MS" w:hAnsi="Trebuchet MS"/>
          <w:color w:val="231F20"/>
          <w:spacing w:val="-12"/>
          <w:sz w:val="16"/>
        </w:rPr>
        <w:t> </w:t>
      </w:r>
      <w:r>
        <w:rPr>
          <w:rFonts w:ascii="Trebuchet MS" w:hAnsi="Trebuchet MS"/>
          <w:color w:val="231F20"/>
          <w:sz w:val="16"/>
        </w:rPr>
        <w:t>Recursos</w:t>
      </w:r>
      <w:r>
        <w:rPr>
          <w:rFonts w:ascii="Trebuchet MS" w:hAnsi="Trebuchet MS"/>
          <w:color w:val="231F20"/>
          <w:spacing w:val="-11"/>
          <w:sz w:val="16"/>
        </w:rPr>
        <w:t> </w:t>
      </w:r>
      <w:r>
        <w:rPr>
          <w:rFonts w:ascii="Trebuchet MS" w:hAnsi="Trebuchet MS"/>
          <w:color w:val="231F20"/>
          <w:sz w:val="16"/>
        </w:rPr>
        <w:t>Naturales.</w:t>
      </w:r>
      <w:r>
        <w:rPr>
          <w:rFonts w:ascii="Trebuchet MS" w:hAnsi="Trebuchet MS"/>
          <w:color w:val="231F20"/>
          <w:spacing w:val="-11"/>
          <w:sz w:val="16"/>
        </w:rPr>
        <w:t> </w:t>
      </w:r>
      <w:r>
        <w:rPr>
          <w:rFonts w:ascii="Trebuchet MS" w:hAnsi="Trebuchet MS"/>
          <w:color w:val="231F20"/>
          <w:sz w:val="16"/>
        </w:rPr>
        <w:t>Universidad</w:t>
      </w:r>
      <w:r>
        <w:rPr>
          <w:rFonts w:ascii="Trebuchet MS" w:hAnsi="Trebuchet MS"/>
          <w:color w:val="231F20"/>
          <w:spacing w:val="-17"/>
          <w:sz w:val="16"/>
        </w:rPr>
        <w:t> </w:t>
      </w:r>
      <w:r>
        <w:rPr>
          <w:rFonts w:ascii="Trebuchet MS" w:hAnsi="Trebuchet MS"/>
          <w:color w:val="231F20"/>
          <w:sz w:val="16"/>
        </w:rPr>
        <w:t>Autónoma</w:t>
      </w:r>
      <w:r>
        <w:rPr>
          <w:rFonts w:ascii="Trebuchet MS" w:hAnsi="Trebuchet MS"/>
          <w:color w:val="231F20"/>
          <w:spacing w:val="-12"/>
          <w:sz w:val="16"/>
        </w:rPr>
        <w:t> </w:t>
      </w:r>
      <w:r>
        <w:rPr>
          <w:rFonts w:ascii="Trebuchet MS" w:hAnsi="Trebuchet MS"/>
          <w:color w:val="231F20"/>
          <w:sz w:val="16"/>
        </w:rPr>
        <w:t>Chapingo; </w:t>
      </w:r>
      <w:r>
        <w:rPr>
          <w:rFonts w:ascii="Trebuchet MS" w:hAnsi="Trebuchet MS"/>
          <w:color w:val="231F20"/>
          <w:position w:val="5"/>
          <w:sz w:val="9"/>
        </w:rPr>
        <w:t>3</w:t>
      </w:r>
      <w:r>
        <w:rPr>
          <w:rFonts w:ascii="Trebuchet MS" w:hAnsi="Trebuchet MS"/>
          <w:color w:val="231F20"/>
          <w:sz w:val="16"/>
        </w:rPr>
        <w:t>Departamento</w:t>
      </w:r>
      <w:r>
        <w:rPr>
          <w:rFonts w:ascii="Trebuchet MS" w:hAnsi="Trebuchet MS"/>
          <w:color w:val="231F20"/>
          <w:spacing w:val="-9"/>
          <w:sz w:val="16"/>
        </w:rPr>
        <w:t> </w:t>
      </w:r>
      <w:r>
        <w:rPr>
          <w:rFonts w:ascii="Trebuchet MS" w:hAnsi="Trebuchet MS"/>
          <w:color w:val="231F20"/>
          <w:sz w:val="16"/>
        </w:rPr>
        <w:t>de</w:t>
      </w:r>
      <w:r>
        <w:rPr>
          <w:rFonts w:ascii="Trebuchet MS" w:hAnsi="Trebuchet MS"/>
          <w:color w:val="231F20"/>
          <w:spacing w:val="-10"/>
          <w:sz w:val="16"/>
        </w:rPr>
        <w:t> </w:t>
      </w:r>
      <w:r>
        <w:rPr>
          <w:rFonts w:ascii="Trebuchet MS" w:hAnsi="Trebuchet MS"/>
          <w:color w:val="231F20"/>
          <w:sz w:val="16"/>
        </w:rPr>
        <w:t>Parasitología</w:t>
      </w:r>
      <w:r>
        <w:rPr>
          <w:rFonts w:ascii="Trebuchet MS" w:hAnsi="Trebuchet MS"/>
          <w:color w:val="231F20"/>
          <w:spacing w:val="-16"/>
          <w:sz w:val="16"/>
        </w:rPr>
        <w:t> </w:t>
      </w:r>
      <w:r>
        <w:rPr>
          <w:rFonts w:ascii="Trebuchet MS" w:hAnsi="Trebuchet MS"/>
          <w:color w:val="231F20"/>
          <w:sz w:val="16"/>
        </w:rPr>
        <w:t>Agrícola.</w:t>
      </w:r>
      <w:r>
        <w:rPr>
          <w:rFonts w:ascii="Trebuchet MS" w:hAnsi="Trebuchet MS"/>
          <w:color w:val="231F20"/>
          <w:spacing w:val="-10"/>
          <w:sz w:val="16"/>
        </w:rPr>
        <w:t> </w:t>
      </w:r>
      <w:r>
        <w:rPr>
          <w:rFonts w:ascii="Trebuchet MS" w:hAnsi="Trebuchet MS"/>
          <w:color w:val="231F20"/>
          <w:sz w:val="16"/>
        </w:rPr>
        <w:t>Universidad</w:t>
      </w:r>
      <w:r>
        <w:rPr>
          <w:rFonts w:ascii="Trebuchet MS" w:hAnsi="Trebuchet MS"/>
          <w:color w:val="231F20"/>
          <w:spacing w:val="-16"/>
          <w:sz w:val="16"/>
        </w:rPr>
        <w:t> </w:t>
      </w:r>
      <w:r>
        <w:rPr>
          <w:rFonts w:ascii="Trebuchet MS" w:hAnsi="Trebuchet MS"/>
          <w:color w:val="231F20"/>
          <w:sz w:val="16"/>
        </w:rPr>
        <w:t>Autónoma</w:t>
      </w:r>
      <w:r>
        <w:rPr>
          <w:rFonts w:ascii="Trebuchet MS" w:hAnsi="Trebuchet MS"/>
          <w:color w:val="231F20"/>
          <w:spacing w:val="-10"/>
          <w:sz w:val="16"/>
        </w:rPr>
        <w:t> </w:t>
      </w:r>
      <w:r>
        <w:rPr>
          <w:rFonts w:ascii="Trebuchet MS" w:hAnsi="Trebuchet MS"/>
          <w:color w:val="231F20"/>
          <w:sz w:val="16"/>
        </w:rPr>
        <w:t>Chapingo.</w:t>
      </w:r>
      <w:r>
        <w:rPr>
          <w:rFonts w:ascii="Trebuchet MS" w:hAnsi="Trebuchet MS"/>
          <w:color w:val="231F20"/>
          <w:spacing w:val="-10"/>
          <w:sz w:val="16"/>
        </w:rPr>
        <w:t> </w:t>
      </w:r>
      <w:r>
        <w:rPr>
          <w:rFonts w:ascii="Trebuchet MS" w:hAnsi="Trebuchet MS"/>
          <w:color w:val="231F20"/>
          <w:position w:val="5"/>
          <w:sz w:val="9"/>
        </w:rPr>
        <w:t>4</w:t>
      </w:r>
      <w:r>
        <w:rPr>
          <w:rFonts w:ascii="Trebuchet MS" w:hAnsi="Trebuchet MS"/>
          <w:color w:val="231F20"/>
          <w:sz w:val="16"/>
        </w:rPr>
        <w:t>Laboratorio</w:t>
      </w:r>
      <w:r>
        <w:rPr>
          <w:rFonts w:ascii="Trebuchet MS" w:hAnsi="Trebuchet MS"/>
          <w:color w:val="231F20"/>
          <w:spacing w:val="-9"/>
          <w:sz w:val="16"/>
        </w:rPr>
        <w:t> </w:t>
      </w:r>
      <w:r>
        <w:rPr>
          <w:rFonts w:ascii="Trebuchet MS" w:hAnsi="Trebuchet MS"/>
          <w:color w:val="231F20"/>
          <w:sz w:val="16"/>
        </w:rPr>
        <w:t>de</w:t>
      </w:r>
      <w:r>
        <w:rPr>
          <w:rFonts w:ascii="Trebuchet MS" w:hAnsi="Trebuchet MS"/>
          <w:color w:val="231F20"/>
          <w:spacing w:val="-10"/>
          <w:sz w:val="16"/>
        </w:rPr>
        <w:t> </w:t>
      </w:r>
      <w:r>
        <w:rPr>
          <w:rFonts w:ascii="Trebuchet MS" w:hAnsi="Trebuchet MS"/>
          <w:color w:val="231F20"/>
          <w:sz w:val="16"/>
        </w:rPr>
        <w:t>Productos</w:t>
      </w:r>
      <w:r>
        <w:rPr>
          <w:rFonts w:ascii="Trebuchet MS" w:hAnsi="Trebuchet MS"/>
          <w:color w:val="231F20"/>
          <w:spacing w:val="-10"/>
          <w:sz w:val="16"/>
        </w:rPr>
        <w:t> </w:t>
      </w:r>
      <w:r>
        <w:rPr>
          <w:rFonts w:ascii="Trebuchet MS" w:hAnsi="Trebuchet MS"/>
          <w:color w:val="231F20"/>
          <w:sz w:val="16"/>
        </w:rPr>
        <w:t>Naturales.</w:t>
      </w:r>
      <w:r>
        <w:rPr>
          <w:rFonts w:ascii="Trebuchet MS" w:hAnsi="Trebuchet MS"/>
          <w:color w:val="231F20"/>
          <w:spacing w:val="-10"/>
          <w:sz w:val="16"/>
        </w:rPr>
        <w:t> </w:t>
      </w:r>
      <w:r>
        <w:rPr>
          <w:rFonts w:ascii="Trebuchet MS" w:hAnsi="Trebuchet MS"/>
          <w:color w:val="231F20"/>
          <w:sz w:val="16"/>
        </w:rPr>
        <w:t>Área de Química. Universidad Autónoma</w:t>
      </w:r>
      <w:r>
        <w:rPr>
          <w:rFonts w:ascii="Trebuchet MS" w:hAnsi="Trebuchet MS"/>
          <w:color w:val="231F20"/>
          <w:spacing w:val="-30"/>
          <w:sz w:val="16"/>
        </w:rPr>
        <w:t> </w:t>
      </w:r>
      <w:r>
        <w:rPr>
          <w:rFonts w:ascii="Trebuchet MS" w:hAnsi="Trebuchet MS"/>
          <w:color w:val="231F20"/>
          <w:sz w:val="16"/>
        </w:rPr>
        <w:t>Chapingo</w:t>
      </w:r>
    </w:p>
    <w:p>
      <w:pPr>
        <w:spacing w:after="0" w:line="247" w:lineRule="auto"/>
        <w:jc w:val="both"/>
        <w:rPr>
          <w:rFonts w:ascii="Trebuchet MS" w:hAnsi="Trebuchet MS"/>
          <w:sz w:val="16"/>
        </w:rPr>
        <w:sectPr>
          <w:pgSz w:w="10920" w:h="13080"/>
          <w:pgMar w:header="0" w:footer="965" w:top="420" w:bottom="1160" w:left="0" w:right="0"/>
        </w:sectPr>
      </w:pPr>
    </w:p>
    <w:p>
      <w:pPr>
        <w:pStyle w:val="BodyText"/>
        <w:rPr>
          <w:rFonts w:ascii="Trebuchet MS"/>
          <w:sz w:val="20"/>
        </w:rPr>
      </w:pPr>
    </w:p>
    <w:p>
      <w:pPr>
        <w:pStyle w:val="BodyText"/>
        <w:rPr>
          <w:rFonts w:ascii="Trebuchet MS"/>
          <w:sz w:val="20"/>
        </w:rPr>
      </w:pPr>
    </w:p>
    <w:p>
      <w:pPr>
        <w:pStyle w:val="BodyText"/>
        <w:spacing w:before="4"/>
        <w:rPr>
          <w:rFonts w:ascii="Trebuchet MS"/>
          <w:sz w:val="22"/>
        </w:rPr>
      </w:pPr>
    </w:p>
    <w:p>
      <w:pPr>
        <w:pStyle w:val="BodyText"/>
        <w:spacing w:line="247" w:lineRule="auto" w:before="73"/>
        <w:ind w:left="1270" w:right="1267"/>
        <w:jc w:val="both"/>
      </w:pPr>
      <w:r>
        <w:rPr>
          <w:color w:val="231F20"/>
        </w:rPr>
        <w:t>los principales hongos causantes de pudriciones en el caso de naranja destacan: </w:t>
      </w:r>
      <w:r>
        <w:rPr>
          <w:i/>
          <w:color w:val="231F20"/>
        </w:rPr>
        <w:t>Penicillium digita- </w:t>
      </w:r>
      <w:r>
        <w:rPr>
          <w:i/>
          <w:color w:val="231F20"/>
        </w:rPr>
        <w:t>tum </w:t>
      </w:r>
      <w:r>
        <w:rPr>
          <w:color w:val="231F20"/>
        </w:rPr>
        <w:t>y </w:t>
      </w:r>
      <w:r>
        <w:rPr>
          <w:i/>
          <w:color w:val="231F20"/>
          <w:spacing w:val="-14"/>
        </w:rPr>
        <w:t>P. </w:t>
      </w:r>
      <w:r>
        <w:rPr>
          <w:i/>
          <w:color w:val="231F20"/>
        </w:rPr>
        <w:t>Italicum </w:t>
      </w:r>
      <w:r>
        <w:rPr>
          <w:color w:val="231F20"/>
        </w:rPr>
        <w:t>(Altieri </w:t>
      </w:r>
      <w:r>
        <w:rPr>
          <w:i/>
          <w:color w:val="231F20"/>
        </w:rPr>
        <w:t>et al.</w:t>
      </w:r>
      <w:r>
        <w:rPr>
          <w:color w:val="231F20"/>
        </w:rPr>
        <w:t>, 2005). La infección por hongos puede ocurrir durante el cultivo, en el momento de la colecta, durante el procesamiento o empacado, almacenamiento, transporte y</w:t>
      </w:r>
      <w:r>
        <w:rPr>
          <w:color w:val="231F20"/>
          <w:spacing w:val="-36"/>
        </w:rPr>
        <w:t> </w:t>
      </w:r>
      <w:r>
        <w:rPr>
          <w:color w:val="231F20"/>
        </w:rPr>
        <w:t>mer- cado, e incluso después de ser adquirido por el consumidor (Amiri y Bompeix, 2005). Los síntomas de</w:t>
      </w:r>
      <w:r>
        <w:rPr>
          <w:color w:val="231F20"/>
          <w:spacing w:val="-8"/>
        </w:rPr>
        <w:t> </w:t>
      </w:r>
      <w:r>
        <w:rPr>
          <w:color w:val="231F20"/>
        </w:rPr>
        <w:t>deterioro</w:t>
      </w:r>
      <w:r>
        <w:rPr>
          <w:color w:val="231F20"/>
          <w:spacing w:val="-8"/>
        </w:rPr>
        <w:t> </w:t>
      </w:r>
      <w:r>
        <w:rPr>
          <w:color w:val="231F20"/>
        </w:rPr>
        <w:t>se</w:t>
      </w:r>
      <w:r>
        <w:rPr>
          <w:color w:val="231F20"/>
          <w:spacing w:val="-8"/>
        </w:rPr>
        <w:t> </w:t>
      </w:r>
      <w:r>
        <w:rPr>
          <w:color w:val="231F20"/>
        </w:rPr>
        <w:t>manifiestan</w:t>
      </w:r>
      <w:r>
        <w:rPr>
          <w:color w:val="231F20"/>
          <w:spacing w:val="-8"/>
        </w:rPr>
        <w:t> </w:t>
      </w:r>
      <w:r>
        <w:rPr>
          <w:color w:val="231F20"/>
        </w:rPr>
        <w:t>cuando</w:t>
      </w:r>
      <w:r>
        <w:rPr>
          <w:color w:val="231F20"/>
          <w:spacing w:val="-8"/>
        </w:rPr>
        <w:t> </w:t>
      </w:r>
      <w:r>
        <w:rPr>
          <w:color w:val="231F20"/>
        </w:rPr>
        <w:t>el</w:t>
      </w:r>
      <w:r>
        <w:rPr>
          <w:color w:val="231F20"/>
          <w:spacing w:val="-8"/>
        </w:rPr>
        <w:t> </w:t>
      </w:r>
      <w:r>
        <w:rPr>
          <w:color w:val="231F20"/>
        </w:rPr>
        <w:t>hongo</w:t>
      </w:r>
      <w:r>
        <w:rPr>
          <w:color w:val="231F20"/>
          <w:spacing w:val="-8"/>
        </w:rPr>
        <w:t> </w:t>
      </w:r>
      <w:r>
        <w:rPr>
          <w:color w:val="231F20"/>
        </w:rPr>
        <w:t>fitopatógeno</w:t>
      </w:r>
      <w:r>
        <w:rPr>
          <w:color w:val="231F20"/>
          <w:spacing w:val="-8"/>
        </w:rPr>
        <w:t> </w:t>
      </w:r>
      <w:r>
        <w:rPr>
          <w:color w:val="231F20"/>
        </w:rPr>
        <w:t>comienza</w:t>
      </w:r>
      <w:r>
        <w:rPr>
          <w:color w:val="231F20"/>
          <w:spacing w:val="-8"/>
        </w:rPr>
        <w:t> </w:t>
      </w:r>
      <w:r>
        <w:rPr>
          <w:color w:val="231F20"/>
        </w:rPr>
        <w:t>a</w:t>
      </w:r>
      <w:r>
        <w:rPr>
          <w:color w:val="231F20"/>
          <w:spacing w:val="-8"/>
        </w:rPr>
        <w:t> </w:t>
      </w:r>
      <w:r>
        <w:rPr>
          <w:color w:val="231F20"/>
        </w:rPr>
        <w:t>desarrollarse</w:t>
      </w:r>
      <w:r>
        <w:rPr>
          <w:color w:val="231F20"/>
          <w:spacing w:val="-8"/>
        </w:rPr>
        <w:t> </w:t>
      </w:r>
      <w:r>
        <w:rPr>
          <w:color w:val="231F20"/>
        </w:rPr>
        <w:t>activamente</w:t>
      </w:r>
      <w:r>
        <w:rPr>
          <w:color w:val="231F20"/>
          <w:spacing w:val="-8"/>
        </w:rPr>
        <w:t> </w:t>
      </w:r>
      <w:r>
        <w:rPr>
          <w:color w:val="231F20"/>
        </w:rPr>
        <w:t>en</w:t>
      </w:r>
      <w:r>
        <w:rPr>
          <w:color w:val="231F20"/>
          <w:spacing w:val="-8"/>
        </w:rPr>
        <w:t> </w:t>
      </w:r>
      <w:r>
        <w:rPr>
          <w:color w:val="231F20"/>
        </w:rPr>
        <w:t>el fruto. En muchos casos de infección se aprecia un cambio de coloración y la destrucción del tejido con</w:t>
      </w:r>
      <w:r>
        <w:rPr>
          <w:color w:val="231F20"/>
          <w:spacing w:val="-12"/>
        </w:rPr>
        <w:t> </w:t>
      </w:r>
      <w:r>
        <w:rPr>
          <w:color w:val="231F20"/>
        </w:rPr>
        <w:t>la</w:t>
      </w:r>
      <w:r>
        <w:rPr>
          <w:color w:val="231F20"/>
          <w:spacing w:val="-12"/>
        </w:rPr>
        <w:t> </w:t>
      </w:r>
      <w:r>
        <w:rPr>
          <w:color w:val="231F20"/>
        </w:rPr>
        <w:t>aparición</w:t>
      </w:r>
      <w:r>
        <w:rPr>
          <w:color w:val="231F20"/>
          <w:spacing w:val="-12"/>
        </w:rPr>
        <w:t> </w:t>
      </w:r>
      <w:r>
        <w:rPr>
          <w:color w:val="231F20"/>
        </w:rPr>
        <w:t>de</w:t>
      </w:r>
      <w:r>
        <w:rPr>
          <w:color w:val="231F20"/>
          <w:spacing w:val="-12"/>
        </w:rPr>
        <w:t> </w:t>
      </w:r>
      <w:r>
        <w:rPr>
          <w:color w:val="231F20"/>
        </w:rPr>
        <w:t>lesiones</w:t>
      </w:r>
      <w:r>
        <w:rPr>
          <w:color w:val="231F20"/>
          <w:spacing w:val="-12"/>
        </w:rPr>
        <w:t> </w:t>
      </w:r>
      <w:r>
        <w:rPr>
          <w:color w:val="231F20"/>
        </w:rPr>
        <w:t>(Droby</w:t>
      </w:r>
      <w:r>
        <w:rPr>
          <w:color w:val="231F20"/>
          <w:spacing w:val="-12"/>
        </w:rPr>
        <w:t> </w:t>
      </w:r>
      <w:r>
        <w:rPr>
          <w:i/>
          <w:color w:val="231F20"/>
        </w:rPr>
        <w:t>et</w:t>
      </w:r>
      <w:r>
        <w:rPr>
          <w:i/>
          <w:color w:val="231F20"/>
          <w:spacing w:val="-12"/>
        </w:rPr>
        <w:t> </w:t>
      </w:r>
      <w:r>
        <w:rPr>
          <w:i/>
          <w:color w:val="231F20"/>
        </w:rPr>
        <w:t>al.</w:t>
      </w:r>
      <w:r>
        <w:rPr>
          <w:color w:val="231F20"/>
        </w:rPr>
        <w:t>,</w:t>
      </w:r>
      <w:r>
        <w:rPr>
          <w:color w:val="231F20"/>
          <w:spacing w:val="-12"/>
        </w:rPr>
        <w:t> </w:t>
      </w:r>
      <w:r>
        <w:rPr>
          <w:color w:val="231F20"/>
        </w:rPr>
        <w:t>2002).</w:t>
      </w:r>
      <w:r>
        <w:rPr>
          <w:color w:val="231F20"/>
          <w:spacing w:val="-12"/>
        </w:rPr>
        <w:t> </w:t>
      </w:r>
      <w:r>
        <w:rPr>
          <w:color w:val="231F20"/>
        </w:rPr>
        <w:t>Las</w:t>
      </w:r>
      <w:r>
        <w:rPr>
          <w:color w:val="231F20"/>
          <w:spacing w:val="-12"/>
        </w:rPr>
        <w:t> </w:t>
      </w:r>
      <w:r>
        <w:rPr>
          <w:color w:val="231F20"/>
        </w:rPr>
        <w:t>infecciones</w:t>
      </w:r>
      <w:r>
        <w:rPr>
          <w:color w:val="231F20"/>
          <w:spacing w:val="-12"/>
        </w:rPr>
        <w:t> </w:t>
      </w:r>
      <w:r>
        <w:rPr>
          <w:color w:val="231F20"/>
        </w:rPr>
        <w:t>primarias</w:t>
      </w:r>
      <w:r>
        <w:rPr>
          <w:color w:val="231F20"/>
          <w:spacing w:val="-12"/>
        </w:rPr>
        <w:t> </w:t>
      </w:r>
      <w:r>
        <w:rPr>
          <w:color w:val="231F20"/>
        </w:rPr>
        <w:t>se</w:t>
      </w:r>
      <w:r>
        <w:rPr>
          <w:color w:val="231F20"/>
          <w:spacing w:val="-12"/>
        </w:rPr>
        <w:t> </w:t>
      </w:r>
      <w:r>
        <w:rPr>
          <w:color w:val="231F20"/>
        </w:rPr>
        <w:t>inician</w:t>
      </w:r>
      <w:r>
        <w:rPr>
          <w:color w:val="231F20"/>
          <w:spacing w:val="-12"/>
        </w:rPr>
        <w:t> </w:t>
      </w:r>
      <w:r>
        <w:rPr>
          <w:color w:val="231F20"/>
        </w:rPr>
        <w:t>por</w:t>
      </w:r>
      <w:r>
        <w:rPr>
          <w:color w:val="231F20"/>
          <w:spacing w:val="-12"/>
        </w:rPr>
        <w:t> </w:t>
      </w:r>
      <w:r>
        <w:rPr>
          <w:color w:val="231F20"/>
        </w:rPr>
        <w:t>la</w:t>
      </w:r>
      <w:r>
        <w:rPr>
          <w:color w:val="231F20"/>
          <w:spacing w:val="-12"/>
        </w:rPr>
        <w:t> </w:t>
      </w:r>
      <w:r>
        <w:rPr>
          <w:color w:val="231F20"/>
        </w:rPr>
        <w:t>presencia de heridas, producidas por alteraciones de origen fisiológico durante la etapa de crecimiento, o me- cánico</w:t>
      </w:r>
      <w:r>
        <w:rPr>
          <w:color w:val="231F20"/>
          <w:spacing w:val="-6"/>
        </w:rPr>
        <w:t> </w:t>
      </w:r>
      <w:r>
        <w:rPr>
          <w:color w:val="231F20"/>
        </w:rPr>
        <w:t>durante</w:t>
      </w:r>
      <w:r>
        <w:rPr>
          <w:color w:val="231F20"/>
          <w:spacing w:val="-6"/>
        </w:rPr>
        <w:t> </w:t>
      </w:r>
      <w:r>
        <w:rPr>
          <w:color w:val="231F20"/>
        </w:rPr>
        <w:t>la</w:t>
      </w:r>
      <w:r>
        <w:rPr>
          <w:color w:val="231F20"/>
          <w:spacing w:val="-6"/>
        </w:rPr>
        <w:t> </w:t>
      </w:r>
      <w:r>
        <w:rPr>
          <w:color w:val="231F20"/>
        </w:rPr>
        <w:t>cosecha</w:t>
      </w:r>
      <w:r>
        <w:rPr>
          <w:color w:val="231F20"/>
          <w:spacing w:val="-7"/>
        </w:rPr>
        <w:t> </w:t>
      </w:r>
      <w:r>
        <w:rPr>
          <w:color w:val="231F20"/>
        </w:rPr>
        <w:t>o</w:t>
      </w:r>
      <w:r>
        <w:rPr>
          <w:color w:val="231F20"/>
          <w:spacing w:val="-6"/>
        </w:rPr>
        <w:t> </w:t>
      </w:r>
      <w:r>
        <w:rPr>
          <w:color w:val="231F20"/>
        </w:rPr>
        <w:t>por</w:t>
      </w:r>
      <w:r>
        <w:rPr>
          <w:color w:val="231F20"/>
          <w:spacing w:val="-6"/>
        </w:rPr>
        <w:t> </w:t>
      </w:r>
      <w:r>
        <w:rPr>
          <w:color w:val="231F20"/>
        </w:rPr>
        <w:t>el</w:t>
      </w:r>
      <w:r>
        <w:rPr>
          <w:color w:val="231F20"/>
          <w:spacing w:val="-6"/>
        </w:rPr>
        <w:t> </w:t>
      </w:r>
      <w:r>
        <w:rPr>
          <w:color w:val="231F20"/>
        </w:rPr>
        <w:t>posterior</w:t>
      </w:r>
      <w:r>
        <w:rPr>
          <w:color w:val="231F20"/>
          <w:spacing w:val="-6"/>
        </w:rPr>
        <w:t> </w:t>
      </w:r>
      <w:r>
        <w:rPr>
          <w:color w:val="231F20"/>
        </w:rPr>
        <w:t>manipuleo</w:t>
      </w:r>
      <w:r>
        <w:rPr>
          <w:color w:val="231F20"/>
          <w:spacing w:val="-7"/>
        </w:rPr>
        <w:t> </w:t>
      </w:r>
      <w:r>
        <w:rPr>
          <w:color w:val="231F20"/>
        </w:rPr>
        <w:t>de</w:t>
      </w:r>
      <w:r>
        <w:rPr>
          <w:color w:val="231F20"/>
          <w:spacing w:val="-6"/>
        </w:rPr>
        <w:t> </w:t>
      </w:r>
      <w:r>
        <w:rPr>
          <w:color w:val="231F20"/>
        </w:rPr>
        <w:t>las</w:t>
      </w:r>
      <w:r>
        <w:rPr>
          <w:color w:val="231F20"/>
          <w:spacing w:val="-6"/>
        </w:rPr>
        <w:t> </w:t>
      </w:r>
      <w:r>
        <w:rPr>
          <w:color w:val="231F20"/>
        </w:rPr>
        <w:t>frutas</w:t>
      </w:r>
      <w:r>
        <w:rPr>
          <w:color w:val="231F20"/>
          <w:spacing w:val="-6"/>
        </w:rPr>
        <w:t> </w:t>
      </w:r>
      <w:r>
        <w:rPr>
          <w:color w:val="231F20"/>
        </w:rPr>
        <w:t>hasta</w:t>
      </w:r>
      <w:r>
        <w:rPr>
          <w:color w:val="231F20"/>
          <w:spacing w:val="-6"/>
        </w:rPr>
        <w:t> </w:t>
      </w:r>
      <w:r>
        <w:rPr>
          <w:color w:val="231F20"/>
        </w:rPr>
        <w:t>el</w:t>
      </w:r>
      <w:r>
        <w:rPr>
          <w:color w:val="231F20"/>
          <w:spacing w:val="-6"/>
        </w:rPr>
        <w:t> </w:t>
      </w:r>
      <w:r>
        <w:rPr>
          <w:color w:val="231F20"/>
        </w:rPr>
        <w:t>consumo</w:t>
      </w:r>
      <w:r>
        <w:rPr>
          <w:color w:val="231F20"/>
          <w:spacing w:val="-7"/>
        </w:rPr>
        <w:t> </w:t>
      </w:r>
      <w:r>
        <w:rPr>
          <w:color w:val="231F20"/>
        </w:rPr>
        <w:t>(Visintin</w:t>
      </w:r>
      <w:r>
        <w:rPr>
          <w:color w:val="231F20"/>
          <w:spacing w:val="-7"/>
        </w:rPr>
        <w:t> </w:t>
      </w:r>
      <w:r>
        <w:rPr>
          <w:i/>
          <w:color w:val="231F20"/>
        </w:rPr>
        <w:t>et</w:t>
      </w:r>
      <w:r>
        <w:rPr>
          <w:i/>
          <w:color w:val="231F20"/>
          <w:spacing w:val="-6"/>
        </w:rPr>
        <w:t> </w:t>
      </w:r>
      <w:r>
        <w:rPr>
          <w:i/>
          <w:color w:val="231F20"/>
        </w:rPr>
        <w:t>al.</w:t>
      </w:r>
      <w:r>
        <w:rPr>
          <w:color w:val="231F20"/>
        </w:rPr>
        <w:t>, 2007). A partir de la cosecha, prolongados períodos de almacenamiento incrementan la concentra- ción del inóculo asegurando nuevos ciclos de infección. Ciertas especies de </w:t>
      </w:r>
      <w:r>
        <w:rPr>
          <w:i/>
          <w:color w:val="231F20"/>
        </w:rPr>
        <w:t>Penicillium</w:t>
      </w:r>
      <w:r>
        <w:rPr>
          <w:i/>
          <w:color w:val="231F20"/>
          <w:spacing w:val="-32"/>
        </w:rPr>
        <w:t> </w:t>
      </w:r>
      <w:r>
        <w:rPr>
          <w:color w:val="231F20"/>
        </w:rPr>
        <w:t>productoras de</w:t>
      </w:r>
      <w:r>
        <w:rPr>
          <w:color w:val="231F20"/>
          <w:spacing w:val="-5"/>
        </w:rPr>
        <w:t> </w:t>
      </w:r>
      <w:r>
        <w:rPr>
          <w:color w:val="231F20"/>
        </w:rPr>
        <w:t>etileno</w:t>
      </w:r>
      <w:r>
        <w:rPr>
          <w:color w:val="231F20"/>
          <w:spacing w:val="-5"/>
        </w:rPr>
        <w:t> </w:t>
      </w:r>
      <w:r>
        <w:rPr>
          <w:color w:val="231F20"/>
        </w:rPr>
        <w:t>provocan</w:t>
      </w:r>
      <w:r>
        <w:rPr>
          <w:color w:val="231F20"/>
          <w:spacing w:val="-5"/>
        </w:rPr>
        <w:t> </w:t>
      </w:r>
      <w:r>
        <w:rPr>
          <w:color w:val="231F20"/>
        </w:rPr>
        <w:t>un</w:t>
      </w:r>
      <w:r>
        <w:rPr>
          <w:color w:val="231F20"/>
          <w:spacing w:val="-5"/>
        </w:rPr>
        <w:t> </w:t>
      </w:r>
      <w:r>
        <w:rPr>
          <w:color w:val="231F20"/>
        </w:rPr>
        <w:t>aumento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tasa</w:t>
      </w:r>
      <w:r>
        <w:rPr>
          <w:color w:val="231F20"/>
          <w:spacing w:val="-5"/>
        </w:rPr>
        <w:t> </w:t>
      </w:r>
      <w:r>
        <w:rPr>
          <w:color w:val="231F20"/>
        </w:rPr>
        <w:t>respiratoria</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frutos,</w:t>
      </w:r>
      <w:r>
        <w:rPr>
          <w:color w:val="231F20"/>
          <w:spacing w:val="-5"/>
        </w:rPr>
        <w:t> </w:t>
      </w:r>
      <w:r>
        <w:rPr>
          <w:color w:val="231F20"/>
        </w:rPr>
        <w:t>afectando</w:t>
      </w:r>
      <w:r>
        <w:rPr>
          <w:color w:val="231F20"/>
          <w:spacing w:val="-6"/>
        </w:rPr>
        <w:t> </w:t>
      </w:r>
      <w:r>
        <w:rPr>
          <w:color w:val="231F20"/>
        </w:rPr>
        <w:t>su</w:t>
      </w:r>
      <w:r>
        <w:rPr>
          <w:color w:val="231F20"/>
          <w:spacing w:val="-5"/>
        </w:rPr>
        <w:t> </w:t>
      </w:r>
      <w:r>
        <w:rPr>
          <w:color w:val="231F20"/>
        </w:rPr>
        <w:t>coloración</w:t>
      </w:r>
      <w:r>
        <w:rPr>
          <w:color w:val="231F20"/>
          <w:spacing w:val="-6"/>
        </w:rPr>
        <w:t> </w:t>
      </w:r>
      <w:r>
        <w:rPr>
          <w:color w:val="231F20"/>
        </w:rPr>
        <w:t>y</w:t>
      </w:r>
      <w:r>
        <w:rPr>
          <w:color w:val="231F20"/>
          <w:spacing w:val="-5"/>
        </w:rPr>
        <w:t> </w:t>
      </w:r>
      <w:r>
        <w:rPr>
          <w:color w:val="231F20"/>
        </w:rPr>
        <w:t>acele- rando su senescencia. De manera tradicional, su control se basa en el uso de fungicidas sintéticos</w:t>
      </w:r>
      <w:r>
        <w:rPr>
          <w:color w:val="231F20"/>
          <w:spacing w:val="-31"/>
        </w:rPr>
        <w:t> </w:t>
      </w:r>
      <w:r>
        <w:rPr>
          <w:color w:val="231F20"/>
        </w:rPr>
        <w:t>en su mayoría, sin embargo la demanda por parte de los consumidores de productos libres de residuos químicos y la aparición de hongos resistentes a estos compuestos ha dificultado el control de estos patógenos.</w:t>
      </w:r>
      <w:r>
        <w:rPr>
          <w:color w:val="231F20"/>
          <w:spacing w:val="-4"/>
        </w:rPr>
        <w:t> </w:t>
      </w:r>
      <w:r>
        <w:rPr>
          <w:color w:val="231F20"/>
        </w:rPr>
        <w:t>El</w:t>
      </w:r>
      <w:r>
        <w:rPr>
          <w:color w:val="231F20"/>
          <w:spacing w:val="-4"/>
        </w:rPr>
        <w:t> </w:t>
      </w:r>
      <w:r>
        <w:rPr>
          <w:color w:val="231F20"/>
        </w:rPr>
        <w:t>uso</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fungicidas</w:t>
      </w:r>
      <w:r>
        <w:rPr>
          <w:color w:val="231F20"/>
          <w:spacing w:val="-4"/>
        </w:rPr>
        <w:t> </w:t>
      </w:r>
      <w:r>
        <w:rPr>
          <w:color w:val="231F20"/>
        </w:rPr>
        <w:t>ha</w:t>
      </w:r>
      <w:r>
        <w:rPr>
          <w:color w:val="231F20"/>
          <w:spacing w:val="-4"/>
        </w:rPr>
        <w:t> </w:t>
      </w:r>
      <w:r>
        <w:rPr>
          <w:color w:val="231F20"/>
        </w:rPr>
        <w:t>sido</w:t>
      </w:r>
      <w:r>
        <w:rPr>
          <w:color w:val="231F20"/>
          <w:spacing w:val="-4"/>
        </w:rPr>
        <w:t> </w:t>
      </w:r>
      <w:r>
        <w:rPr>
          <w:color w:val="231F20"/>
        </w:rPr>
        <w:t>deficiente</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decremento</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pérdidas</w:t>
      </w:r>
      <w:r>
        <w:rPr>
          <w:color w:val="231F20"/>
          <w:spacing w:val="-4"/>
        </w:rPr>
        <w:t> </w:t>
      </w:r>
      <w:r>
        <w:rPr>
          <w:color w:val="231F20"/>
        </w:rPr>
        <w:t>por</w:t>
      </w:r>
      <w:r>
        <w:rPr>
          <w:color w:val="231F20"/>
          <w:spacing w:val="-4"/>
        </w:rPr>
        <w:t> </w:t>
      </w:r>
      <w:r>
        <w:rPr>
          <w:color w:val="231F20"/>
        </w:rPr>
        <w:t>deterioro de alimentos, pero genera problemas en el ambiente y en la salud debido a que sus compuestos pro- ducen o presentan propiedades teratogénicas o carcinógénicas (Pimenta </w:t>
      </w:r>
      <w:r>
        <w:rPr>
          <w:i/>
          <w:color w:val="231F20"/>
        </w:rPr>
        <w:t>et al.</w:t>
      </w:r>
      <w:r>
        <w:rPr>
          <w:color w:val="231F20"/>
        </w:rPr>
        <w:t>,</w:t>
      </w:r>
      <w:r>
        <w:rPr>
          <w:color w:val="231F20"/>
          <w:spacing w:val="-3"/>
        </w:rPr>
        <w:t> </w:t>
      </w:r>
      <w:r>
        <w:rPr>
          <w:color w:val="231F20"/>
        </w:rPr>
        <w:t>2008).</w:t>
      </w:r>
    </w:p>
    <w:p>
      <w:pPr>
        <w:pStyle w:val="BodyText"/>
        <w:spacing w:before="10"/>
      </w:pPr>
    </w:p>
    <w:p>
      <w:pPr>
        <w:pStyle w:val="BodyText"/>
        <w:spacing w:line="247" w:lineRule="auto"/>
        <w:ind w:left="1270" w:right="1267"/>
        <w:jc w:val="both"/>
      </w:pPr>
      <w:r>
        <w:rPr>
          <w:color w:val="231F20"/>
        </w:rPr>
        <w:t>Por</w:t>
      </w:r>
      <w:r>
        <w:rPr>
          <w:color w:val="231F20"/>
          <w:spacing w:val="-10"/>
        </w:rPr>
        <w:t> </w:t>
      </w:r>
      <w:r>
        <w:rPr>
          <w:color w:val="231F20"/>
        </w:rPr>
        <w:t>lo</w:t>
      </w:r>
      <w:r>
        <w:rPr>
          <w:color w:val="231F20"/>
          <w:spacing w:val="-10"/>
        </w:rPr>
        <w:t> </w:t>
      </w:r>
      <w:r>
        <w:rPr>
          <w:color w:val="231F20"/>
        </w:rPr>
        <w:t>anterior,</w:t>
      </w:r>
      <w:r>
        <w:rPr>
          <w:color w:val="231F20"/>
          <w:spacing w:val="-10"/>
        </w:rPr>
        <w:t> </w:t>
      </w:r>
      <w:r>
        <w:rPr>
          <w:color w:val="231F20"/>
        </w:rPr>
        <w:t>se</w:t>
      </w:r>
      <w:r>
        <w:rPr>
          <w:color w:val="231F20"/>
          <w:spacing w:val="-10"/>
        </w:rPr>
        <w:t> </w:t>
      </w:r>
      <w:r>
        <w:rPr>
          <w:color w:val="231F20"/>
        </w:rPr>
        <w:t>requieren</w:t>
      </w:r>
      <w:r>
        <w:rPr>
          <w:color w:val="231F20"/>
          <w:spacing w:val="-10"/>
        </w:rPr>
        <w:t> </w:t>
      </w:r>
      <w:r>
        <w:rPr>
          <w:color w:val="231F20"/>
        </w:rPr>
        <w:t>alternativas</w:t>
      </w:r>
      <w:r>
        <w:rPr>
          <w:color w:val="231F20"/>
          <w:spacing w:val="-10"/>
        </w:rPr>
        <w:t> </w:t>
      </w:r>
      <w:r>
        <w:rPr>
          <w:color w:val="231F20"/>
        </w:rPr>
        <w:t>de</w:t>
      </w:r>
      <w:r>
        <w:rPr>
          <w:color w:val="231F20"/>
          <w:spacing w:val="-10"/>
        </w:rPr>
        <w:t> </w:t>
      </w:r>
      <w:r>
        <w:rPr>
          <w:color w:val="231F20"/>
        </w:rPr>
        <w:t>manejo</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enfermedades</w:t>
      </w:r>
      <w:r>
        <w:rPr>
          <w:color w:val="231F20"/>
          <w:spacing w:val="-10"/>
        </w:rPr>
        <w:t> </w:t>
      </w:r>
      <w:r>
        <w:rPr>
          <w:color w:val="231F20"/>
        </w:rPr>
        <w:t>ocasionadas</w:t>
      </w:r>
      <w:r>
        <w:rPr>
          <w:color w:val="231F20"/>
          <w:spacing w:val="-10"/>
        </w:rPr>
        <w:t> </w:t>
      </w:r>
      <w:r>
        <w:rPr>
          <w:color w:val="231F20"/>
        </w:rPr>
        <w:t>por</w:t>
      </w:r>
      <w:r>
        <w:rPr>
          <w:color w:val="231F20"/>
          <w:spacing w:val="-10"/>
        </w:rPr>
        <w:t> </w:t>
      </w:r>
      <w:r>
        <w:rPr>
          <w:color w:val="231F20"/>
        </w:rPr>
        <w:t>hongos,</w:t>
      </w:r>
      <w:r>
        <w:rPr>
          <w:color w:val="231F20"/>
          <w:spacing w:val="-10"/>
        </w:rPr>
        <w:t> </w:t>
      </w:r>
      <w:r>
        <w:rPr>
          <w:color w:val="231F20"/>
        </w:rPr>
        <w:t>que reduzcan el uso de agroquímicos para proteger la salud humana y el ambiente, como utilización de organismos antagónicos al patógeno, la incorporación de residuos vegetales, mejoradores orgánicos del suelo, aplicación de extractos vegetales, así como variedades mejoradas. El uso de extractos    de plantas del género </w:t>
      </w:r>
      <w:r>
        <w:rPr>
          <w:i/>
          <w:color w:val="231F20"/>
        </w:rPr>
        <w:t>Equisetum </w:t>
      </w:r>
      <w:r>
        <w:rPr>
          <w:color w:val="231F20"/>
        </w:rPr>
        <w:t>(conocidas comúnmente como “cola de caballo”) podría ser una alternativa para controlar el daño ocasionado por hongos fitopatógenos (Martínez-Villordo, 2007)   y en particular el causado por </w:t>
      </w:r>
      <w:r>
        <w:rPr>
          <w:i/>
          <w:color w:val="231F20"/>
        </w:rPr>
        <w:t>Penicillium italicum </w:t>
      </w:r>
      <w:r>
        <w:rPr>
          <w:color w:val="231F20"/>
        </w:rPr>
        <w:t>y ser un éxito en la agricultura orgánica. En este trabajo</w:t>
      </w:r>
      <w:r>
        <w:rPr>
          <w:color w:val="231F20"/>
          <w:spacing w:val="-7"/>
        </w:rPr>
        <w:t> </w:t>
      </w:r>
      <w:r>
        <w:rPr>
          <w:color w:val="231F20"/>
        </w:rPr>
        <w:t>se</w:t>
      </w:r>
      <w:r>
        <w:rPr>
          <w:color w:val="231F20"/>
          <w:spacing w:val="-6"/>
        </w:rPr>
        <w:t> </w:t>
      </w:r>
      <w:r>
        <w:rPr>
          <w:color w:val="231F20"/>
        </w:rPr>
        <w:t>dan</w:t>
      </w:r>
      <w:r>
        <w:rPr>
          <w:color w:val="231F20"/>
          <w:spacing w:val="-6"/>
        </w:rPr>
        <w:t> </w:t>
      </w:r>
      <w:r>
        <w:rPr>
          <w:color w:val="231F20"/>
        </w:rPr>
        <w:t>a</w:t>
      </w:r>
      <w:r>
        <w:rPr>
          <w:color w:val="231F20"/>
          <w:spacing w:val="-6"/>
        </w:rPr>
        <w:t> </w:t>
      </w:r>
      <w:r>
        <w:rPr>
          <w:color w:val="231F20"/>
        </w:rPr>
        <w:t>conocer</w:t>
      </w:r>
      <w:r>
        <w:rPr>
          <w:color w:val="231F20"/>
          <w:spacing w:val="-7"/>
        </w:rPr>
        <w:t> </w:t>
      </w:r>
      <w:r>
        <w:rPr>
          <w:color w:val="231F20"/>
        </w:rPr>
        <w:t>los</w:t>
      </w:r>
      <w:r>
        <w:rPr>
          <w:color w:val="231F20"/>
          <w:spacing w:val="-6"/>
        </w:rPr>
        <w:t> </w:t>
      </w:r>
      <w:r>
        <w:rPr>
          <w:color w:val="231F20"/>
        </w:rPr>
        <w:t>resultados</w:t>
      </w:r>
      <w:r>
        <w:rPr>
          <w:color w:val="231F20"/>
          <w:spacing w:val="-6"/>
        </w:rPr>
        <w:t> </w:t>
      </w:r>
      <w:r>
        <w:rPr>
          <w:color w:val="231F20"/>
        </w:rPr>
        <w:t>obtenidos</w:t>
      </w:r>
      <w:r>
        <w:rPr>
          <w:color w:val="231F20"/>
          <w:spacing w:val="-6"/>
        </w:rPr>
        <w:t> </w:t>
      </w:r>
      <w:r>
        <w:rPr>
          <w:color w:val="231F20"/>
        </w:rPr>
        <w:t>para</w:t>
      </w:r>
      <w:r>
        <w:rPr>
          <w:color w:val="231F20"/>
          <w:spacing w:val="-6"/>
        </w:rPr>
        <w:t> </w:t>
      </w:r>
      <w:r>
        <w:rPr>
          <w:color w:val="231F20"/>
        </w:rPr>
        <w:t>el</w:t>
      </w:r>
      <w:r>
        <w:rPr>
          <w:color w:val="231F20"/>
          <w:spacing w:val="-6"/>
        </w:rPr>
        <w:t> </w:t>
      </w:r>
      <w:r>
        <w:rPr>
          <w:color w:val="231F20"/>
        </w:rPr>
        <w:t>crecimiento</w:t>
      </w:r>
      <w:r>
        <w:rPr>
          <w:color w:val="231F20"/>
          <w:spacing w:val="-7"/>
        </w:rPr>
        <w:t> </w:t>
      </w:r>
      <w:r>
        <w:rPr>
          <w:color w:val="231F20"/>
        </w:rPr>
        <w:t>de</w:t>
      </w:r>
      <w:r>
        <w:rPr>
          <w:color w:val="231F20"/>
          <w:spacing w:val="-7"/>
        </w:rPr>
        <w:t> </w:t>
      </w:r>
      <w:r>
        <w:rPr>
          <w:i/>
          <w:color w:val="231F20"/>
        </w:rPr>
        <w:t>Penicillium</w:t>
      </w:r>
      <w:r>
        <w:rPr>
          <w:i/>
          <w:color w:val="231F20"/>
          <w:spacing w:val="-7"/>
        </w:rPr>
        <w:t> </w:t>
      </w:r>
      <w:r>
        <w:rPr>
          <w:i/>
          <w:color w:val="231F20"/>
        </w:rPr>
        <w:t>italicum</w:t>
      </w:r>
      <w:r>
        <w:rPr>
          <w:i/>
          <w:color w:val="231F20"/>
          <w:spacing w:val="-6"/>
        </w:rPr>
        <w:t> </w:t>
      </w:r>
      <w:r>
        <w:rPr>
          <w:color w:val="231F20"/>
        </w:rPr>
        <w:t>con</w:t>
      </w:r>
      <w:r>
        <w:rPr>
          <w:color w:val="231F20"/>
          <w:spacing w:val="-6"/>
        </w:rPr>
        <w:t> </w:t>
      </w:r>
      <w:r>
        <w:rPr>
          <w:color w:val="231F20"/>
        </w:rPr>
        <w:t>ex- tractos hexánicos de </w:t>
      </w:r>
      <w:r>
        <w:rPr>
          <w:i/>
          <w:color w:val="231F20"/>
        </w:rPr>
        <w:t>Equisetumhyemale </w:t>
      </w:r>
      <w:r>
        <w:rPr>
          <w:color w:val="231F20"/>
        </w:rPr>
        <w:t>y </w:t>
      </w:r>
      <w:r>
        <w:rPr>
          <w:i/>
          <w:color w:val="231F20"/>
        </w:rPr>
        <w:t>Equisetumhyemaleaffinemyriochaetum </w:t>
      </w:r>
      <w:r>
        <w:rPr>
          <w:color w:val="231F20"/>
        </w:rPr>
        <w:t>como una opción de método de control biológico y así disminuir el uso de agroquímicos. El aprovechamiento de este extracto</w:t>
      </w:r>
      <w:r>
        <w:rPr>
          <w:color w:val="231F20"/>
          <w:spacing w:val="-4"/>
        </w:rPr>
        <w:t> </w:t>
      </w:r>
      <w:r>
        <w:rPr>
          <w:color w:val="231F20"/>
        </w:rPr>
        <w:t>en</w:t>
      </w:r>
      <w:r>
        <w:rPr>
          <w:color w:val="231F20"/>
          <w:spacing w:val="-4"/>
        </w:rPr>
        <w:t> </w:t>
      </w:r>
      <w:r>
        <w:rPr>
          <w:color w:val="231F20"/>
        </w:rPr>
        <w:t>conjunto</w:t>
      </w:r>
      <w:r>
        <w:rPr>
          <w:color w:val="231F20"/>
          <w:spacing w:val="-4"/>
        </w:rPr>
        <w:t> </w:t>
      </w:r>
      <w:r>
        <w:rPr>
          <w:color w:val="231F20"/>
        </w:rPr>
        <w:t>con</w:t>
      </w:r>
      <w:r>
        <w:rPr>
          <w:color w:val="231F20"/>
          <w:spacing w:val="-4"/>
        </w:rPr>
        <w:t> </w:t>
      </w:r>
      <w:r>
        <w:rPr>
          <w:color w:val="231F20"/>
        </w:rPr>
        <w:t>otras</w:t>
      </w:r>
      <w:r>
        <w:rPr>
          <w:color w:val="231F20"/>
          <w:spacing w:val="-4"/>
        </w:rPr>
        <w:t> </w:t>
      </w:r>
      <w:r>
        <w:rPr>
          <w:color w:val="231F20"/>
        </w:rPr>
        <w:t>prácticas</w:t>
      </w:r>
      <w:r>
        <w:rPr>
          <w:color w:val="231F20"/>
          <w:spacing w:val="-4"/>
        </w:rPr>
        <w:t> </w:t>
      </w:r>
      <w:r>
        <w:rPr>
          <w:color w:val="231F20"/>
        </w:rPr>
        <w:t>de</w:t>
      </w:r>
      <w:r>
        <w:rPr>
          <w:color w:val="231F20"/>
          <w:spacing w:val="-4"/>
        </w:rPr>
        <w:t> </w:t>
      </w:r>
      <w:r>
        <w:rPr>
          <w:color w:val="231F20"/>
        </w:rPr>
        <w:t>manejo,</w:t>
      </w:r>
      <w:r>
        <w:rPr>
          <w:color w:val="231F20"/>
          <w:spacing w:val="-4"/>
        </w:rPr>
        <w:t> </w:t>
      </w:r>
      <w:r>
        <w:rPr>
          <w:color w:val="231F20"/>
        </w:rPr>
        <w:t>podrían</w:t>
      </w:r>
      <w:r>
        <w:rPr>
          <w:color w:val="231F20"/>
          <w:spacing w:val="-4"/>
        </w:rPr>
        <w:t> </w:t>
      </w:r>
      <w:r>
        <w:rPr>
          <w:color w:val="231F20"/>
        </w:rPr>
        <w:t>disminuir</w:t>
      </w:r>
      <w:r>
        <w:rPr>
          <w:color w:val="231F20"/>
          <w:spacing w:val="-4"/>
        </w:rPr>
        <w:t> </w:t>
      </w:r>
      <w:r>
        <w:rPr>
          <w:color w:val="231F20"/>
        </w:rPr>
        <w:t>los</w:t>
      </w:r>
      <w:r>
        <w:rPr>
          <w:color w:val="231F20"/>
          <w:spacing w:val="-4"/>
        </w:rPr>
        <w:t> </w:t>
      </w:r>
      <w:r>
        <w:rPr>
          <w:color w:val="231F20"/>
        </w:rPr>
        <w:t>efectos</w:t>
      </w:r>
      <w:r>
        <w:rPr>
          <w:color w:val="231F20"/>
          <w:spacing w:val="-4"/>
        </w:rPr>
        <w:t> </w:t>
      </w:r>
      <w:r>
        <w:rPr>
          <w:color w:val="231F20"/>
        </w:rPr>
        <w:t>desfavorables</w:t>
      </w:r>
      <w:r>
        <w:rPr>
          <w:color w:val="231F20"/>
          <w:spacing w:val="-4"/>
        </w:rPr>
        <w:t> </w:t>
      </w:r>
      <w:r>
        <w:rPr>
          <w:color w:val="231F20"/>
        </w:rPr>
        <w:t>para la salud humana, así como también al impacto ambiental y la aparición de cepas de hongos más re- sistentes.</w:t>
      </w:r>
      <w:r>
        <w:rPr>
          <w:color w:val="231F20"/>
          <w:spacing w:val="-5"/>
        </w:rPr>
        <w:t> </w:t>
      </w:r>
      <w:r>
        <w:rPr>
          <w:color w:val="231F20"/>
        </w:rPr>
        <w:t>Por</w:t>
      </w:r>
      <w:r>
        <w:rPr>
          <w:color w:val="231F20"/>
          <w:spacing w:val="-5"/>
        </w:rPr>
        <w:t> </w:t>
      </w:r>
      <w:r>
        <w:rPr>
          <w:color w:val="231F20"/>
        </w:rPr>
        <w:t>lo</w:t>
      </w:r>
      <w:r>
        <w:rPr>
          <w:color w:val="231F20"/>
          <w:spacing w:val="-5"/>
        </w:rPr>
        <w:t> </w:t>
      </w:r>
      <w:r>
        <w:rPr>
          <w:color w:val="231F20"/>
        </w:rPr>
        <w:t>que</w:t>
      </w:r>
      <w:r>
        <w:rPr>
          <w:color w:val="231F20"/>
          <w:spacing w:val="-5"/>
        </w:rPr>
        <w:t> </w:t>
      </w:r>
      <w:r>
        <w:rPr>
          <w:color w:val="231F20"/>
        </w:rPr>
        <w:t>el</w:t>
      </w:r>
      <w:r>
        <w:rPr>
          <w:color w:val="231F20"/>
          <w:spacing w:val="-5"/>
        </w:rPr>
        <w:t> </w:t>
      </w:r>
      <w:r>
        <w:rPr>
          <w:color w:val="231F20"/>
        </w:rPr>
        <w:t>objetivo</w:t>
      </w:r>
      <w:r>
        <w:rPr>
          <w:color w:val="231F20"/>
          <w:spacing w:val="-5"/>
        </w:rPr>
        <w:t> </w:t>
      </w:r>
      <w:r>
        <w:rPr>
          <w:color w:val="231F20"/>
        </w:rPr>
        <w:t>de</w:t>
      </w:r>
      <w:r>
        <w:rPr>
          <w:color w:val="231F20"/>
          <w:spacing w:val="-5"/>
        </w:rPr>
        <w:t> </w:t>
      </w:r>
      <w:r>
        <w:rPr>
          <w:color w:val="231F20"/>
        </w:rPr>
        <w:t>esta</w:t>
      </w:r>
      <w:r>
        <w:rPr>
          <w:color w:val="231F20"/>
          <w:spacing w:val="-5"/>
        </w:rPr>
        <w:t> </w:t>
      </w:r>
      <w:r>
        <w:rPr>
          <w:color w:val="231F20"/>
        </w:rPr>
        <w:t>investigación</w:t>
      </w:r>
      <w:r>
        <w:rPr>
          <w:color w:val="231F20"/>
          <w:spacing w:val="-6"/>
        </w:rPr>
        <w:t> </w:t>
      </w:r>
      <w:r>
        <w:rPr>
          <w:color w:val="231F20"/>
        </w:rPr>
        <w:t>fue</w:t>
      </w:r>
      <w:r>
        <w:rPr>
          <w:color w:val="231F20"/>
          <w:spacing w:val="-5"/>
        </w:rPr>
        <w:t> </w:t>
      </w:r>
      <w:r>
        <w:rPr>
          <w:color w:val="231F20"/>
        </w:rPr>
        <w:t>evaluar</w:t>
      </w:r>
      <w:r>
        <w:rPr>
          <w:color w:val="231F20"/>
          <w:spacing w:val="-5"/>
        </w:rPr>
        <w:t> </w:t>
      </w:r>
      <w:r>
        <w:rPr>
          <w:color w:val="231F20"/>
        </w:rPr>
        <w:t>el</w:t>
      </w:r>
      <w:r>
        <w:rPr>
          <w:color w:val="231F20"/>
          <w:spacing w:val="-5"/>
        </w:rPr>
        <w:t> </w:t>
      </w:r>
      <w:r>
        <w:rPr>
          <w:color w:val="231F20"/>
        </w:rPr>
        <w:t>efecto</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extractos</w:t>
      </w:r>
      <w:r>
        <w:rPr>
          <w:color w:val="231F20"/>
          <w:spacing w:val="-6"/>
        </w:rPr>
        <w:t> </w:t>
      </w:r>
      <w:r>
        <w:rPr>
          <w:color w:val="231F20"/>
        </w:rPr>
        <w:t>hexánicos de </w:t>
      </w:r>
      <w:r>
        <w:rPr>
          <w:i/>
          <w:color w:val="231F20"/>
        </w:rPr>
        <w:t>E. hyemale </w:t>
      </w:r>
      <w:r>
        <w:rPr>
          <w:color w:val="231F20"/>
        </w:rPr>
        <w:t>y </w:t>
      </w:r>
      <w:r>
        <w:rPr>
          <w:i/>
          <w:color w:val="231F20"/>
        </w:rPr>
        <w:t>E. hyemaleaffinemyriochaetum </w:t>
      </w:r>
      <w:r>
        <w:rPr>
          <w:color w:val="231F20"/>
        </w:rPr>
        <w:t>en el crecimiento micelial de </w:t>
      </w:r>
      <w:r>
        <w:rPr>
          <w:i/>
          <w:color w:val="231F20"/>
          <w:spacing w:val="-14"/>
        </w:rPr>
        <w:t>P. </w:t>
      </w:r>
      <w:r>
        <w:rPr>
          <w:i/>
          <w:color w:val="231F20"/>
        </w:rPr>
        <w:t>italicum</w:t>
      </w:r>
      <w:r>
        <w:rPr>
          <w:color w:val="231F20"/>
        </w:rPr>
        <w:t>. En años anteriores se probaron extractos de </w:t>
      </w:r>
      <w:r>
        <w:rPr>
          <w:i/>
          <w:color w:val="231F20"/>
        </w:rPr>
        <w:t>E. hyemale </w:t>
      </w:r>
      <w:r>
        <w:rPr>
          <w:color w:val="231F20"/>
        </w:rPr>
        <w:t>sobre </w:t>
      </w:r>
      <w:r>
        <w:rPr>
          <w:i/>
          <w:color w:val="231F20"/>
        </w:rPr>
        <w:t>Fusarium solani </w:t>
      </w:r>
      <w:r>
        <w:rPr>
          <w:color w:val="231F20"/>
        </w:rPr>
        <w:t>(Arias-Robledo </w:t>
      </w:r>
      <w:r>
        <w:rPr>
          <w:i/>
          <w:color w:val="231F20"/>
        </w:rPr>
        <w:t>et al.</w:t>
      </w:r>
      <w:r>
        <w:rPr>
          <w:color w:val="231F20"/>
        </w:rPr>
        <w:t>, 2009 y 2010), ahora en el presente trabajo se muestran los resultados con los extractoshexánicos de</w:t>
      </w:r>
      <w:r>
        <w:rPr>
          <w:color w:val="231F20"/>
          <w:spacing w:val="-33"/>
        </w:rPr>
        <w:t> </w:t>
      </w:r>
      <w:r>
        <w:rPr>
          <w:i/>
          <w:color w:val="231F20"/>
        </w:rPr>
        <w:t>Equise- </w:t>
      </w:r>
      <w:r>
        <w:rPr>
          <w:i/>
          <w:color w:val="231F20"/>
        </w:rPr>
        <w:t>tumhyemale </w:t>
      </w:r>
      <w:r>
        <w:rPr>
          <w:color w:val="231F20"/>
        </w:rPr>
        <w:t>y </w:t>
      </w:r>
      <w:r>
        <w:rPr>
          <w:i/>
          <w:color w:val="231F20"/>
        </w:rPr>
        <w:t>Equisetumhyemaleaffinemyriochaetumen </w:t>
      </w:r>
      <w:r>
        <w:rPr>
          <w:color w:val="231F20"/>
        </w:rPr>
        <w:t>el crecimiento micelial de </w:t>
      </w:r>
      <w:r>
        <w:rPr>
          <w:i/>
          <w:color w:val="231F20"/>
          <w:spacing w:val="-14"/>
        </w:rPr>
        <w:t>P.</w:t>
      </w:r>
      <w:r>
        <w:rPr>
          <w:i/>
          <w:color w:val="231F20"/>
          <w:spacing w:val="-18"/>
        </w:rPr>
        <w:t> </w:t>
      </w:r>
      <w:r>
        <w:rPr>
          <w:i/>
          <w:color w:val="231F20"/>
        </w:rPr>
        <w:t>italicum</w:t>
      </w:r>
      <w:r>
        <w:rPr>
          <w:color w:val="231F20"/>
        </w:rPr>
        <w:t>.</w:t>
      </w:r>
    </w:p>
    <w:p>
      <w:pPr>
        <w:pStyle w:val="BodyText"/>
        <w:rPr>
          <w:sz w:val="23"/>
        </w:rPr>
      </w:pPr>
    </w:p>
    <w:p>
      <w:pPr>
        <w:pStyle w:val="Heading3"/>
      </w:pPr>
      <w:r>
        <w:rPr>
          <w:color w:val="010202"/>
        </w:rPr>
        <w:t>Materiales y métodos</w:t>
      </w:r>
    </w:p>
    <w:p>
      <w:pPr>
        <w:pStyle w:val="BodyText"/>
        <w:spacing w:before="10"/>
        <w:rPr>
          <w:b/>
        </w:rPr>
      </w:pPr>
    </w:p>
    <w:p>
      <w:pPr>
        <w:pStyle w:val="BodyText"/>
        <w:spacing w:line="247" w:lineRule="auto"/>
        <w:ind w:left="1270" w:right="1267"/>
        <w:jc w:val="both"/>
      </w:pPr>
      <w:r>
        <w:rPr>
          <w:color w:val="231F20"/>
        </w:rPr>
        <w:t>Cepa</w:t>
      </w:r>
      <w:r>
        <w:rPr>
          <w:color w:val="231F20"/>
          <w:spacing w:val="-7"/>
        </w:rPr>
        <w:t> </w:t>
      </w:r>
      <w:r>
        <w:rPr>
          <w:color w:val="231F20"/>
        </w:rPr>
        <w:t>fúngica.</w:t>
      </w:r>
      <w:r>
        <w:rPr>
          <w:color w:val="231F20"/>
          <w:spacing w:val="-7"/>
        </w:rPr>
        <w:t> </w:t>
      </w:r>
      <w:r>
        <w:rPr>
          <w:color w:val="231F20"/>
        </w:rPr>
        <w:t>Se</w:t>
      </w:r>
      <w:r>
        <w:rPr>
          <w:color w:val="231F20"/>
          <w:spacing w:val="-7"/>
        </w:rPr>
        <w:t> </w:t>
      </w:r>
      <w:r>
        <w:rPr>
          <w:color w:val="231F20"/>
        </w:rPr>
        <w:t>utilizó</w:t>
      </w:r>
      <w:r>
        <w:rPr>
          <w:color w:val="231F20"/>
          <w:spacing w:val="-7"/>
        </w:rPr>
        <w:t> </w:t>
      </w:r>
      <w:r>
        <w:rPr>
          <w:color w:val="231F20"/>
        </w:rPr>
        <w:t>la</w:t>
      </w:r>
      <w:r>
        <w:rPr>
          <w:color w:val="231F20"/>
          <w:spacing w:val="-8"/>
        </w:rPr>
        <w:t> </w:t>
      </w:r>
      <w:r>
        <w:rPr>
          <w:color w:val="231F20"/>
        </w:rPr>
        <w:t>cepa</w:t>
      </w:r>
      <w:r>
        <w:rPr>
          <w:color w:val="231F20"/>
          <w:spacing w:val="-7"/>
        </w:rPr>
        <w:t> </w:t>
      </w:r>
      <w:r>
        <w:rPr>
          <w:color w:val="231F20"/>
        </w:rPr>
        <w:t>de</w:t>
      </w:r>
      <w:r>
        <w:rPr>
          <w:color w:val="231F20"/>
          <w:spacing w:val="-7"/>
        </w:rPr>
        <w:t> </w:t>
      </w:r>
      <w:r>
        <w:rPr>
          <w:i/>
          <w:color w:val="231F20"/>
          <w:spacing w:val="-14"/>
        </w:rPr>
        <w:t>P.</w:t>
      </w:r>
      <w:r>
        <w:rPr>
          <w:i/>
          <w:color w:val="231F20"/>
          <w:spacing w:val="-7"/>
        </w:rPr>
        <w:t> </w:t>
      </w:r>
      <w:r>
        <w:rPr>
          <w:i/>
          <w:color w:val="231F20"/>
        </w:rPr>
        <w:t>italicum</w:t>
      </w:r>
      <w:r>
        <w:rPr>
          <w:i/>
          <w:color w:val="231F20"/>
          <w:spacing w:val="-8"/>
        </w:rPr>
        <w:t> </w:t>
      </w:r>
      <w:r>
        <w:rPr>
          <w:color w:val="231F20"/>
        </w:rPr>
        <w:t>que</w:t>
      </w:r>
      <w:r>
        <w:rPr>
          <w:color w:val="231F20"/>
          <w:spacing w:val="-7"/>
        </w:rPr>
        <w:t> </w:t>
      </w:r>
      <w:r>
        <w:rPr>
          <w:color w:val="231F20"/>
        </w:rPr>
        <w:t>se</w:t>
      </w:r>
      <w:r>
        <w:rPr>
          <w:color w:val="231F20"/>
          <w:spacing w:val="-7"/>
        </w:rPr>
        <w:t> </w:t>
      </w:r>
      <w:r>
        <w:rPr>
          <w:color w:val="231F20"/>
        </w:rPr>
        <w:t>encuentra</w:t>
      </w:r>
      <w:r>
        <w:rPr>
          <w:color w:val="231F20"/>
          <w:spacing w:val="-7"/>
        </w:rPr>
        <w:t> </w:t>
      </w:r>
      <w:r>
        <w:rPr>
          <w:color w:val="231F20"/>
        </w:rPr>
        <w:t>depositada</w:t>
      </w:r>
      <w:r>
        <w:rPr>
          <w:color w:val="231F20"/>
          <w:spacing w:val="-7"/>
        </w:rPr>
        <w:t> </w:t>
      </w:r>
      <w:r>
        <w:rPr>
          <w:color w:val="231F20"/>
        </w:rPr>
        <w:t>en</w:t>
      </w:r>
      <w:r>
        <w:rPr>
          <w:color w:val="231F20"/>
          <w:spacing w:val="-8"/>
        </w:rPr>
        <w:t> </w:t>
      </w:r>
      <w:r>
        <w:rPr>
          <w:color w:val="231F20"/>
        </w:rPr>
        <w:t>la</w:t>
      </w:r>
      <w:r>
        <w:rPr>
          <w:color w:val="231F20"/>
          <w:spacing w:val="-8"/>
        </w:rPr>
        <w:t> </w:t>
      </w:r>
      <w:r>
        <w:rPr>
          <w:color w:val="231F20"/>
        </w:rPr>
        <w:t>colección</w:t>
      </w:r>
      <w:r>
        <w:rPr>
          <w:color w:val="231F20"/>
          <w:spacing w:val="-8"/>
        </w:rPr>
        <w:t> </w:t>
      </w:r>
      <w:r>
        <w:rPr>
          <w:color w:val="231F20"/>
        </w:rPr>
        <w:t>de</w:t>
      </w:r>
      <w:r>
        <w:rPr>
          <w:color w:val="231F20"/>
          <w:spacing w:val="-7"/>
        </w:rPr>
        <w:t> </w:t>
      </w:r>
      <w:r>
        <w:rPr>
          <w:color w:val="231F20"/>
        </w:rPr>
        <w:t>hongos microscópicos</w:t>
      </w:r>
      <w:r>
        <w:rPr>
          <w:color w:val="231F20"/>
          <w:spacing w:val="18"/>
        </w:rPr>
        <w:t> </w:t>
      </w:r>
      <w:r>
        <w:rPr>
          <w:color w:val="231F20"/>
        </w:rPr>
        <w:t>del</w:t>
      </w:r>
      <w:r>
        <w:rPr>
          <w:color w:val="231F20"/>
          <w:spacing w:val="19"/>
        </w:rPr>
        <w:t> </w:t>
      </w:r>
      <w:r>
        <w:rPr>
          <w:color w:val="231F20"/>
        </w:rPr>
        <w:t>Laboratorio</w:t>
      </w:r>
      <w:r>
        <w:rPr>
          <w:color w:val="231F20"/>
          <w:spacing w:val="18"/>
        </w:rPr>
        <w:t> </w:t>
      </w:r>
      <w:r>
        <w:rPr>
          <w:color w:val="231F20"/>
        </w:rPr>
        <w:t>de</w:t>
      </w:r>
      <w:r>
        <w:rPr>
          <w:color w:val="231F20"/>
          <w:spacing w:val="19"/>
        </w:rPr>
        <w:t> </w:t>
      </w:r>
      <w:r>
        <w:rPr>
          <w:color w:val="231F20"/>
        </w:rPr>
        <w:t>Histología</w:t>
      </w:r>
      <w:r>
        <w:rPr>
          <w:color w:val="231F20"/>
          <w:spacing w:val="19"/>
        </w:rPr>
        <w:t> </w:t>
      </w:r>
      <w:r>
        <w:rPr>
          <w:color w:val="231F20"/>
        </w:rPr>
        <w:t>y</w:t>
      </w:r>
      <w:r>
        <w:rPr>
          <w:color w:val="231F20"/>
          <w:spacing w:val="19"/>
        </w:rPr>
        <w:t> </w:t>
      </w:r>
      <w:r>
        <w:rPr>
          <w:color w:val="231F20"/>
        </w:rPr>
        <w:t>Citología</w:t>
      </w:r>
      <w:r>
        <w:rPr>
          <w:color w:val="231F20"/>
          <w:spacing w:val="19"/>
        </w:rPr>
        <w:t> </w:t>
      </w:r>
      <w:r>
        <w:rPr>
          <w:color w:val="231F20"/>
        </w:rPr>
        <w:t>General</w:t>
      </w:r>
      <w:r>
        <w:rPr>
          <w:color w:val="231F20"/>
          <w:spacing w:val="19"/>
        </w:rPr>
        <w:t> </w:t>
      </w:r>
      <w:r>
        <w:rPr>
          <w:color w:val="231F20"/>
        </w:rPr>
        <w:t>del</w:t>
      </w:r>
      <w:r>
        <w:rPr>
          <w:color w:val="231F20"/>
          <w:spacing w:val="19"/>
        </w:rPr>
        <w:t> </w:t>
      </w:r>
      <w:r>
        <w:rPr>
          <w:color w:val="231F20"/>
        </w:rPr>
        <w:t>Área</w:t>
      </w:r>
      <w:r>
        <w:rPr>
          <w:color w:val="231F20"/>
          <w:spacing w:val="19"/>
        </w:rPr>
        <w:t> </w:t>
      </w:r>
      <w:r>
        <w:rPr>
          <w:color w:val="231F20"/>
        </w:rPr>
        <w:t>de</w:t>
      </w:r>
      <w:r>
        <w:rPr>
          <w:color w:val="231F20"/>
          <w:spacing w:val="19"/>
        </w:rPr>
        <w:t> </w:t>
      </w:r>
      <w:r>
        <w:rPr>
          <w:color w:val="231F20"/>
        </w:rPr>
        <w:t>Biología</w:t>
      </w:r>
      <w:r>
        <w:rPr>
          <w:color w:val="231F20"/>
          <w:spacing w:val="19"/>
        </w:rPr>
        <w:t> </w:t>
      </w:r>
      <w:r>
        <w:rPr>
          <w:color w:val="231F20"/>
        </w:rPr>
        <w:t>y</w:t>
      </w:r>
      <w:r>
        <w:rPr>
          <w:color w:val="231F20"/>
          <w:spacing w:val="19"/>
        </w:rPr>
        <w:t> </w:t>
      </w:r>
      <w:r>
        <w:rPr>
          <w:color w:val="231F20"/>
        </w:rPr>
        <w:t>que</w:t>
      </w:r>
      <w:r>
        <w:rPr>
          <w:color w:val="231F20"/>
          <w:spacing w:val="19"/>
        </w:rPr>
        <w:t> </w:t>
      </w:r>
      <w:r>
        <w:rPr>
          <w:color w:val="231F20"/>
        </w:rPr>
        <w:t>fue</w:t>
      </w:r>
    </w:p>
    <w:p>
      <w:pPr>
        <w:spacing w:after="0" w:line="247" w:lineRule="auto"/>
        <w:jc w:val="both"/>
        <w:sectPr>
          <w:pgSz w:w="10920" w:h="13080"/>
          <w:pgMar w:header="0" w:footer="965" w:top="420" w:bottom="1220" w:left="0" w:right="0"/>
        </w:sectPr>
      </w:pPr>
    </w:p>
    <w:p>
      <w:pPr>
        <w:pStyle w:val="BodyText"/>
        <w:rPr>
          <w:sz w:val="20"/>
        </w:rPr>
      </w:pPr>
    </w:p>
    <w:p>
      <w:pPr>
        <w:pStyle w:val="BodyText"/>
        <w:rPr>
          <w:sz w:val="20"/>
        </w:rPr>
      </w:pPr>
    </w:p>
    <w:p>
      <w:pPr>
        <w:pStyle w:val="BodyText"/>
        <w:rPr>
          <w:sz w:val="23"/>
        </w:rPr>
      </w:pPr>
    </w:p>
    <w:p>
      <w:pPr>
        <w:pStyle w:val="BodyText"/>
        <w:spacing w:line="247" w:lineRule="auto" w:before="73"/>
        <w:ind w:left="1270" w:right="1267"/>
        <w:jc w:val="both"/>
      </w:pPr>
      <w:r>
        <w:rPr>
          <w:color w:val="231F20"/>
        </w:rPr>
        <w:t>aislada</w:t>
      </w:r>
      <w:r>
        <w:rPr>
          <w:color w:val="231F20"/>
          <w:spacing w:val="-6"/>
        </w:rPr>
        <w:t> </w:t>
      </w:r>
      <w:r>
        <w:rPr>
          <w:color w:val="231F20"/>
        </w:rPr>
        <w:t>de</w:t>
      </w:r>
      <w:r>
        <w:rPr>
          <w:color w:val="231F20"/>
          <w:spacing w:val="-6"/>
        </w:rPr>
        <w:t> </w:t>
      </w:r>
      <w:r>
        <w:rPr>
          <w:color w:val="231F20"/>
        </w:rPr>
        <w:t>Naranja</w:t>
      </w:r>
      <w:r>
        <w:rPr>
          <w:color w:val="231F20"/>
          <w:spacing w:val="-5"/>
        </w:rPr>
        <w:t> </w:t>
      </w:r>
      <w:r>
        <w:rPr>
          <w:color w:val="231F20"/>
        </w:rPr>
        <w:t>de</w:t>
      </w:r>
      <w:r>
        <w:rPr>
          <w:color w:val="231F20"/>
          <w:spacing w:val="-6"/>
        </w:rPr>
        <w:t> </w:t>
      </w:r>
      <w:r>
        <w:rPr>
          <w:color w:val="231F20"/>
        </w:rPr>
        <w:t>acuerdo</w:t>
      </w:r>
      <w:r>
        <w:rPr>
          <w:color w:val="231F20"/>
          <w:spacing w:val="-6"/>
        </w:rPr>
        <w:t> </w:t>
      </w:r>
      <w:r>
        <w:rPr>
          <w:color w:val="231F20"/>
        </w:rPr>
        <w:t>con</w:t>
      </w:r>
      <w:r>
        <w:rPr>
          <w:color w:val="231F20"/>
          <w:spacing w:val="-6"/>
        </w:rPr>
        <w:t> </w:t>
      </w:r>
      <w:r>
        <w:rPr>
          <w:color w:val="231F20"/>
        </w:rPr>
        <w:t>la</w:t>
      </w:r>
      <w:r>
        <w:rPr>
          <w:color w:val="231F20"/>
          <w:spacing w:val="-6"/>
        </w:rPr>
        <w:t> </w:t>
      </w:r>
      <w:r>
        <w:rPr>
          <w:color w:val="231F20"/>
        </w:rPr>
        <w:t>técnica</w:t>
      </w:r>
      <w:r>
        <w:rPr>
          <w:color w:val="231F20"/>
          <w:spacing w:val="-6"/>
        </w:rPr>
        <w:t> </w:t>
      </w:r>
      <w:r>
        <w:rPr>
          <w:color w:val="231F20"/>
        </w:rPr>
        <w:t>propuesta</w:t>
      </w:r>
      <w:r>
        <w:rPr>
          <w:color w:val="231F20"/>
          <w:spacing w:val="-6"/>
        </w:rPr>
        <w:t> </w:t>
      </w:r>
      <w:r>
        <w:rPr>
          <w:color w:val="231F20"/>
        </w:rPr>
        <w:t>por</w:t>
      </w:r>
      <w:r>
        <w:rPr>
          <w:color w:val="231F20"/>
          <w:spacing w:val="-16"/>
        </w:rPr>
        <w:t> </w:t>
      </w:r>
      <w:r>
        <w:rPr>
          <w:color w:val="231F20"/>
        </w:rPr>
        <w:t>Arias-Robledo</w:t>
      </w:r>
      <w:r>
        <w:rPr>
          <w:color w:val="231F20"/>
          <w:spacing w:val="-5"/>
        </w:rPr>
        <w:t> </w:t>
      </w:r>
      <w:r>
        <w:rPr>
          <w:color w:val="231F20"/>
        </w:rPr>
        <w:t>et</w:t>
      </w:r>
      <w:r>
        <w:rPr>
          <w:color w:val="231F20"/>
          <w:spacing w:val="-6"/>
        </w:rPr>
        <w:t> </w:t>
      </w:r>
      <w:r>
        <w:rPr>
          <w:color w:val="231F20"/>
        </w:rPr>
        <w:t>al.</w:t>
      </w:r>
      <w:r>
        <w:rPr>
          <w:color w:val="231F20"/>
          <w:spacing w:val="-6"/>
        </w:rPr>
        <w:t> </w:t>
      </w:r>
      <w:r>
        <w:rPr>
          <w:color w:val="231F20"/>
        </w:rPr>
        <w:t>(2009).</w:t>
      </w:r>
      <w:r>
        <w:rPr>
          <w:color w:val="231F20"/>
          <w:spacing w:val="-6"/>
        </w:rPr>
        <w:t> </w:t>
      </w:r>
      <w:r>
        <w:rPr>
          <w:color w:val="231F20"/>
        </w:rPr>
        <w:t>Para</w:t>
      </w:r>
      <w:r>
        <w:rPr>
          <w:color w:val="231F20"/>
          <w:spacing w:val="-6"/>
        </w:rPr>
        <w:t> </w:t>
      </w:r>
      <w:r>
        <w:rPr>
          <w:color w:val="231F20"/>
        </w:rPr>
        <w:t>llevar</w:t>
      </w:r>
      <w:r>
        <w:rPr>
          <w:color w:val="231F20"/>
          <w:spacing w:val="-6"/>
        </w:rPr>
        <w:t> </w:t>
      </w:r>
      <w:r>
        <w:rPr>
          <w:color w:val="231F20"/>
        </w:rPr>
        <w:t>a cabo</w:t>
      </w:r>
      <w:r>
        <w:rPr>
          <w:color w:val="231F20"/>
          <w:spacing w:val="-5"/>
        </w:rPr>
        <w:t> </w:t>
      </w:r>
      <w:r>
        <w:rPr>
          <w:color w:val="231F20"/>
        </w:rPr>
        <w:t>el</w:t>
      </w:r>
      <w:r>
        <w:rPr>
          <w:color w:val="231F20"/>
          <w:spacing w:val="-5"/>
        </w:rPr>
        <w:t> </w:t>
      </w:r>
      <w:r>
        <w:rPr>
          <w:color w:val="231F20"/>
        </w:rPr>
        <w:t>experimento,</w:t>
      </w:r>
      <w:r>
        <w:rPr>
          <w:color w:val="231F20"/>
          <w:spacing w:val="-5"/>
        </w:rPr>
        <w:t> </w:t>
      </w:r>
      <w:r>
        <w:rPr>
          <w:color w:val="231F20"/>
        </w:rPr>
        <w:t>la</w:t>
      </w:r>
      <w:r>
        <w:rPr>
          <w:color w:val="231F20"/>
          <w:spacing w:val="-5"/>
        </w:rPr>
        <w:t> </w:t>
      </w:r>
      <w:r>
        <w:rPr>
          <w:color w:val="231F20"/>
        </w:rPr>
        <w:t>cepa</w:t>
      </w:r>
      <w:r>
        <w:rPr>
          <w:color w:val="231F20"/>
          <w:spacing w:val="-5"/>
        </w:rPr>
        <w:t> </w:t>
      </w:r>
      <w:r>
        <w:rPr>
          <w:color w:val="231F20"/>
        </w:rPr>
        <w:t>fue</w:t>
      </w:r>
      <w:r>
        <w:rPr>
          <w:color w:val="231F20"/>
          <w:spacing w:val="-5"/>
        </w:rPr>
        <w:t> </w:t>
      </w:r>
      <w:r>
        <w:rPr>
          <w:color w:val="231F20"/>
        </w:rPr>
        <w:t>vigorizada</w:t>
      </w:r>
      <w:r>
        <w:rPr>
          <w:color w:val="231F20"/>
          <w:spacing w:val="-5"/>
        </w:rPr>
        <w:t> </w:t>
      </w:r>
      <w:r>
        <w:rPr>
          <w:color w:val="231F20"/>
        </w:rPr>
        <w:t>en</w:t>
      </w:r>
      <w:r>
        <w:rPr>
          <w:color w:val="231F20"/>
          <w:spacing w:val="-5"/>
        </w:rPr>
        <w:t> </w:t>
      </w:r>
      <w:r>
        <w:rPr>
          <w:color w:val="231F20"/>
        </w:rPr>
        <w:t>cajas</w:t>
      </w:r>
      <w:r>
        <w:rPr>
          <w:color w:val="231F20"/>
          <w:spacing w:val="-5"/>
        </w:rPr>
        <w:t> </w:t>
      </w:r>
      <w:r>
        <w:rPr>
          <w:color w:val="231F20"/>
        </w:rPr>
        <w:t>de</w:t>
      </w:r>
      <w:r>
        <w:rPr>
          <w:color w:val="231F20"/>
          <w:spacing w:val="-5"/>
        </w:rPr>
        <w:t> </w:t>
      </w:r>
      <w:r>
        <w:rPr>
          <w:color w:val="231F20"/>
        </w:rPr>
        <w:t>petri</w:t>
      </w:r>
      <w:r>
        <w:rPr>
          <w:color w:val="231F20"/>
          <w:spacing w:val="-5"/>
        </w:rPr>
        <w:t> </w:t>
      </w:r>
      <w:r>
        <w:rPr>
          <w:color w:val="231F20"/>
        </w:rPr>
        <w:t>con</w:t>
      </w:r>
      <w:r>
        <w:rPr>
          <w:color w:val="231F20"/>
          <w:spacing w:val="-5"/>
        </w:rPr>
        <w:t> </w:t>
      </w:r>
      <w:r>
        <w:rPr>
          <w:color w:val="231F20"/>
        </w:rPr>
        <w:t>medio</w:t>
      </w:r>
      <w:r>
        <w:rPr>
          <w:color w:val="231F20"/>
          <w:spacing w:val="-5"/>
        </w:rPr>
        <w:t> </w:t>
      </w:r>
      <w:r>
        <w:rPr>
          <w:color w:val="231F20"/>
        </w:rPr>
        <w:t>PDA</w:t>
      </w:r>
      <w:r>
        <w:rPr>
          <w:color w:val="231F20"/>
          <w:spacing w:val="-16"/>
        </w:rPr>
        <w:t> </w:t>
      </w:r>
      <w:r>
        <w:rPr>
          <w:color w:val="231F20"/>
        </w:rPr>
        <w:t>(que</w:t>
      </w:r>
      <w:r>
        <w:rPr>
          <w:color w:val="231F20"/>
          <w:spacing w:val="-5"/>
        </w:rPr>
        <w:t> </w:t>
      </w:r>
      <w:r>
        <w:rPr>
          <w:color w:val="231F20"/>
        </w:rPr>
        <w:t>contiene:</w:t>
      </w:r>
      <w:r>
        <w:rPr>
          <w:color w:val="231F20"/>
          <w:spacing w:val="-5"/>
        </w:rPr>
        <w:t> </w:t>
      </w:r>
      <w:r>
        <w:rPr>
          <w:color w:val="231F20"/>
        </w:rPr>
        <w:t>infusión de</w:t>
      </w:r>
      <w:r>
        <w:rPr>
          <w:color w:val="231F20"/>
          <w:spacing w:val="-6"/>
        </w:rPr>
        <w:t> </w:t>
      </w:r>
      <w:r>
        <w:rPr>
          <w:color w:val="231F20"/>
        </w:rPr>
        <w:t>papa,</w:t>
      </w:r>
      <w:r>
        <w:rPr>
          <w:color w:val="231F20"/>
          <w:spacing w:val="-6"/>
        </w:rPr>
        <w:t> </w:t>
      </w:r>
      <w:r>
        <w:rPr>
          <w:color w:val="231F20"/>
        </w:rPr>
        <w:t>dextrosa</w:t>
      </w:r>
      <w:r>
        <w:rPr>
          <w:color w:val="231F20"/>
          <w:spacing w:val="-6"/>
        </w:rPr>
        <w:t> </w:t>
      </w:r>
      <w:r>
        <w:rPr>
          <w:color w:val="231F20"/>
        </w:rPr>
        <w:t>y</w:t>
      </w:r>
      <w:r>
        <w:rPr>
          <w:color w:val="231F20"/>
          <w:spacing w:val="-6"/>
        </w:rPr>
        <w:t> </w:t>
      </w:r>
      <w:r>
        <w:rPr>
          <w:color w:val="231F20"/>
        </w:rPr>
        <w:t>agar),</w:t>
      </w:r>
      <w:r>
        <w:rPr>
          <w:color w:val="231F20"/>
          <w:spacing w:val="-7"/>
        </w:rPr>
        <w:t> </w:t>
      </w:r>
      <w:r>
        <w:rPr>
          <w:color w:val="231F20"/>
        </w:rPr>
        <w:t>más</w:t>
      </w:r>
      <w:r>
        <w:rPr>
          <w:color w:val="231F20"/>
          <w:spacing w:val="-6"/>
        </w:rPr>
        <w:t> </w:t>
      </w:r>
      <w:r>
        <w:rPr>
          <w:color w:val="231F20"/>
        </w:rPr>
        <w:t>agua</w:t>
      </w:r>
      <w:r>
        <w:rPr>
          <w:color w:val="231F20"/>
          <w:spacing w:val="-7"/>
        </w:rPr>
        <w:t> </w:t>
      </w:r>
      <w:r>
        <w:rPr>
          <w:color w:val="231F20"/>
        </w:rPr>
        <w:t>destilada</w:t>
      </w:r>
      <w:r>
        <w:rPr>
          <w:color w:val="231F20"/>
          <w:spacing w:val="-6"/>
        </w:rPr>
        <w:t> </w:t>
      </w:r>
      <w:r>
        <w:rPr>
          <w:color w:val="231F20"/>
        </w:rPr>
        <w:t>en</w:t>
      </w:r>
      <w:r>
        <w:rPr>
          <w:color w:val="231F20"/>
          <w:spacing w:val="-6"/>
        </w:rPr>
        <w:t> </w:t>
      </w:r>
      <w:r>
        <w:rPr>
          <w:color w:val="231F20"/>
        </w:rPr>
        <w:t>una</w:t>
      </w:r>
      <w:r>
        <w:rPr>
          <w:color w:val="231F20"/>
          <w:spacing w:val="-6"/>
        </w:rPr>
        <w:t> </w:t>
      </w:r>
      <w:r>
        <w:rPr>
          <w:color w:val="231F20"/>
        </w:rPr>
        <w:t>concentración</w:t>
      </w:r>
      <w:r>
        <w:rPr>
          <w:color w:val="231F20"/>
          <w:spacing w:val="-7"/>
        </w:rPr>
        <w:t> </w:t>
      </w:r>
      <w:r>
        <w:rPr>
          <w:color w:val="231F20"/>
        </w:rPr>
        <w:t>de</w:t>
      </w:r>
      <w:r>
        <w:rPr>
          <w:color w:val="231F20"/>
          <w:spacing w:val="-6"/>
        </w:rPr>
        <w:t> </w:t>
      </w:r>
      <w:r>
        <w:rPr>
          <w:color w:val="231F20"/>
        </w:rPr>
        <w:t>39</w:t>
      </w:r>
      <w:r>
        <w:rPr>
          <w:color w:val="231F20"/>
          <w:spacing w:val="-6"/>
        </w:rPr>
        <w:t> </w:t>
      </w:r>
      <w:r>
        <w:rPr>
          <w:color w:val="231F20"/>
        </w:rPr>
        <w:t>g/L;</w:t>
      </w:r>
      <w:r>
        <w:rPr>
          <w:color w:val="231F20"/>
          <w:spacing w:val="-6"/>
        </w:rPr>
        <w:t> </w:t>
      </w:r>
      <w:r>
        <w:rPr>
          <w:color w:val="231F20"/>
        </w:rPr>
        <w:t>se</w:t>
      </w:r>
      <w:r>
        <w:rPr>
          <w:color w:val="231F20"/>
          <w:spacing w:val="-6"/>
        </w:rPr>
        <w:t> </w:t>
      </w:r>
      <w:r>
        <w:rPr>
          <w:color w:val="231F20"/>
        </w:rPr>
        <w:t>distribuye</w:t>
      </w:r>
      <w:r>
        <w:rPr>
          <w:color w:val="231F20"/>
          <w:spacing w:val="-6"/>
        </w:rPr>
        <w:t> </w:t>
      </w:r>
      <w:r>
        <w:rPr>
          <w:color w:val="231F20"/>
        </w:rPr>
        <w:t>bien</w:t>
      </w:r>
      <w:r>
        <w:rPr>
          <w:color w:val="231F20"/>
          <w:spacing w:val="-6"/>
        </w:rPr>
        <w:t> </w:t>
      </w:r>
      <w:r>
        <w:rPr>
          <w:color w:val="231F20"/>
        </w:rPr>
        <w:t>y</w:t>
      </w:r>
      <w:r>
        <w:rPr>
          <w:color w:val="231F20"/>
          <w:spacing w:val="-6"/>
        </w:rPr>
        <w:t> </w:t>
      </w:r>
      <w:r>
        <w:rPr>
          <w:color w:val="231F20"/>
        </w:rPr>
        <w:t>se esteriliza a 121°C durante 15 minutos. Se sembró el hongo en las cajas de petri con el agar solidifi- cado</w:t>
      </w:r>
      <w:r>
        <w:rPr>
          <w:color w:val="231F20"/>
          <w:spacing w:val="-7"/>
        </w:rPr>
        <w:t> </w:t>
      </w:r>
      <w:r>
        <w:rPr>
          <w:color w:val="231F20"/>
        </w:rPr>
        <w:t>dentro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campana</w:t>
      </w:r>
      <w:r>
        <w:rPr>
          <w:color w:val="231F20"/>
          <w:spacing w:val="-8"/>
        </w:rPr>
        <w:t> </w:t>
      </w:r>
      <w:r>
        <w:rPr>
          <w:color w:val="231F20"/>
        </w:rPr>
        <w:t>de</w:t>
      </w:r>
      <w:r>
        <w:rPr>
          <w:color w:val="231F20"/>
          <w:spacing w:val="-7"/>
        </w:rPr>
        <w:t> </w:t>
      </w:r>
      <w:r>
        <w:rPr>
          <w:color w:val="231F20"/>
        </w:rPr>
        <w:t>flujo</w:t>
      </w:r>
      <w:r>
        <w:rPr>
          <w:color w:val="231F20"/>
          <w:spacing w:val="-7"/>
        </w:rPr>
        <w:t> </w:t>
      </w:r>
      <w:r>
        <w:rPr>
          <w:color w:val="231F20"/>
        </w:rPr>
        <w:t>laminar</w:t>
      </w:r>
      <w:r>
        <w:rPr>
          <w:color w:val="231F20"/>
          <w:spacing w:val="-8"/>
        </w:rPr>
        <w:t> </w:t>
      </w:r>
      <w:r>
        <w:rPr>
          <w:color w:val="231F20"/>
        </w:rPr>
        <w:t>y</w:t>
      </w:r>
      <w:r>
        <w:rPr>
          <w:color w:val="231F20"/>
          <w:spacing w:val="-7"/>
        </w:rPr>
        <w:t> </w:t>
      </w:r>
      <w:r>
        <w:rPr>
          <w:color w:val="231F20"/>
        </w:rPr>
        <w:t>se</w:t>
      </w:r>
      <w:r>
        <w:rPr>
          <w:color w:val="231F20"/>
          <w:spacing w:val="-7"/>
        </w:rPr>
        <w:t> </w:t>
      </w:r>
      <w:r>
        <w:rPr>
          <w:color w:val="231F20"/>
        </w:rPr>
        <w:t>dejó</w:t>
      </w:r>
      <w:r>
        <w:rPr>
          <w:color w:val="231F20"/>
          <w:spacing w:val="-8"/>
        </w:rPr>
        <w:t> </w:t>
      </w:r>
      <w:r>
        <w:rPr>
          <w:color w:val="231F20"/>
        </w:rPr>
        <w:t>crecer</w:t>
      </w:r>
      <w:r>
        <w:rPr>
          <w:color w:val="231F20"/>
          <w:spacing w:val="-8"/>
        </w:rPr>
        <w:t> </w:t>
      </w:r>
      <w:r>
        <w:rPr>
          <w:color w:val="231F20"/>
        </w:rPr>
        <w:t>durante</w:t>
      </w:r>
      <w:r>
        <w:rPr>
          <w:color w:val="231F20"/>
          <w:spacing w:val="-8"/>
        </w:rPr>
        <w:t> </w:t>
      </w:r>
      <w:r>
        <w:rPr>
          <w:color w:val="231F20"/>
        </w:rPr>
        <w:t>5</w:t>
      </w:r>
      <w:r>
        <w:rPr>
          <w:color w:val="231F20"/>
          <w:spacing w:val="-7"/>
        </w:rPr>
        <w:t> </w:t>
      </w:r>
      <w:r>
        <w:rPr>
          <w:color w:val="231F20"/>
        </w:rPr>
        <w:t>días</w:t>
      </w:r>
      <w:r>
        <w:rPr>
          <w:color w:val="231F20"/>
          <w:spacing w:val="-7"/>
        </w:rPr>
        <w:t> </w:t>
      </w:r>
      <w:r>
        <w:rPr>
          <w:color w:val="231F20"/>
        </w:rPr>
        <w:t>en</w:t>
      </w:r>
      <w:r>
        <w:rPr>
          <w:color w:val="231F20"/>
          <w:spacing w:val="-7"/>
        </w:rPr>
        <w:t> </w:t>
      </w:r>
      <w:r>
        <w:rPr>
          <w:color w:val="231F20"/>
        </w:rPr>
        <w:t>una</w:t>
      </w:r>
      <w:r>
        <w:rPr>
          <w:color w:val="231F20"/>
          <w:spacing w:val="-7"/>
        </w:rPr>
        <w:t> </w:t>
      </w:r>
      <w:r>
        <w:rPr>
          <w:color w:val="231F20"/>
        </w:rPr>
        <w:t>incubadora</w:t>
      </w:r>
      <w:r>
        <w:rPr>
          <w:color w:val="231F20"/>
          <w:spacing w:val="-8"/>
        </w:rPr>
        <w:t> </w:t>
      </w:r>
      <w:r>
        <w:rPr>
          <w:color w:val="231F20"/>
        </w:rPr>
        <w:t>a</w:t>
      </w:r>
      <w:r>
        <w:rPr>
          <w:color w:val="231F20"/>
          <w:spacing w:val="-7"/>
        </w:rPr>
        <w:t> </w:t>
      </w:r>
      <w:r>
        <w:rPr>
          <w:color w:val="231F20"/>
        </w:rPr>
        <w:t>30°C.</w:t>
      </w:r>
    </w:p>
    <w:p>
      <w:pPr>
        <w:pStyle w:val="BodyText"/>
        <w:spacing w:before="10"/>
      </w:pPr>
    </w:p>
    <w:p>
      <w:pPr>
        <w:pStyle w:val="BodyText"/>
        <w:spacing w:line="247" w:lineRule="auto"/>
        <w:ind w:left="1270" w:right="1267"/>
        <w:jc w:val="both"/>
      </w:pPr>
      <w:r>
        <w:rPr>
          <w:color w:val="231F20"/>
        </w:rPr>
        <w:t>Material Botánico y Determinación. Ejemplares de </w:t>
      </w:r>
      <w:r>
        <w:rPr>
          <w:i/>
          <w:color w:val="231F20"/>
        </w:rPr>
        <w:t>E. hyemale </w:t>
      </w:r>
      <w:r>
        <w:rPr>
          <w:color w:val="231F20"/>
        </w:rPr>
        <w:t>fueron recolectados en Tenancingo, Edo., de México y </w:t>
      </w:r>
      <w:r>
        <w:rPr>
          <w:i/>
          <w:color w:val="231F20"/>
        </w:rPr>
        <w:t>E. hyemaleaffinemyriochaetumse </w:t>
      </w:r>
      <w:r>
        <w:rPr>
          <w:color w:val="231F20"/>
        </w:rPr>
        <w:t>recolectó en el Invernadero de Especies Tropi- cales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Universidad</w:t>
      </w:r>
      <w:r>
        <w:rPr>
          <w:color w:val="231F20"/>
          <w:spacing w:val="-16"/>
        </w:rPr>
        <w:t> </w:t>
      </w:r>
      <w:r>
        <w:rPr>
          <w:color w:val="231F20"/>
        </w:rPr>
        <w:t>Autónoma</w:t>
      </w:r>
      <w:r>
        <w:rPr>
          <w:color w:val="231F20"/>
          <w:spacing w:val="-6"/>
        </w:rPr>
        <w:t> </w:t>
      </w:r>
      <w:r>
        <w:rPr>
          <w:color w:val="231F20"/>
        </w:rPr>
        <w:t>Chapingo</w:t>
      </w:r>
      <w:r>
        <w:rPr>
          <w:color w:val="231F20"/>
          <w:spacing w:val="-7"/>
        </w:rPr>
        <w:t> </w:t>
      </w:r>
      <w:r>
        <w:rPr>
          <w:color w:val="231F20"/>
        </w:rPr>
        <w:t>el</w:t>
      </w:r>
      <w:r>
        <w:rPr>
          <w:color w:val="231F20"/>
          <w:spacing w:val="-7"/>
        </w:rPr>
        <w:t> </w:t>
      </w:r>
      <w:r>
        <w:rPr>
          <w:color w:val="231F20"/>
        </w:rPr>
        <w:t>cual</w:t>
      </w:r>
      <w:r>
        <w:rPr>
          <w:color w:val="231F20"/>
          <w:spacing w:val="-7"/>
        </w:rPr>
        <w:t> </w:t>
      </w:r>
      <w:r>
        <w:rPr>
          <w:color w:val="231F20"/>
        </w:rPr>
        <w:t>proviene</w:t>
      </w:r>
      <w:r>
        <w:rPr>
          <w:color w:val="231F20"/>
          <w:spacing w:val="-7"/>
        </w:rPr>
        <w:t> </w:t>
      </w:r>
      <w:r>
        <w:rPr>
          <w:color w:val="231F20"/>
        </w:rPr>
        <w:t>del</w:t>
      </w:r>
      <w:r>
        <w:rPr>
          <w:color w:val="231F20"/>
          <w:spacing w:val="-7"/>
        </w:rPr>
        <w:t> </w:t>
      </w:r>
      <w:r>
        <w:rPr>
          <w:color w:val="231F20"/>
        </w:rPr>
        <w:t>Río</w:t>
      </w:r>
      <w:r>
        <w:rPr>
          <w:color w:val="231F20"/>
          <w:spacing w:val="-17"/>
        </w:rPr>
        <w:t> </w:t>
      </w:r>
      <w:r>
        <w:rPr>
          <w:color w:val="231F20"/>
        </w:rPr>
        <w:t>Alseseca,</w:t>
      </w:r>
      <w:r>
        <w:rPr>
          <w:color w:val="231F20"/>
          <w:spacing w:val="-6"/>
        </w:rPr>
        <w:t> </w:t>
      </w:r>
      <w:r>
        <w:rPr>
          <w:color w:val="231F20"/>
        </w:rPr>
        <w:t>Municipio</w:t>
      </w:r>
      <w:r>
        <w:rPr>
          <w:color w:val="231F20"/>
          <w:spacing w:val="-6"/>
        </w:rPr>
        <w:t> </w:t>
      </w:r>
      <w:r>
        <w:rPr>
          <w:color w:val="231F20"/>
        </w:rPr>
        <w:t>de</w:t>
      </w:r>
      <w:r>
        <w:rPr>
          <w:color w:val="231F20"/>
          <w:spacing w:val="-10"/>
        </w:rPr>
        <w:t> </w:t>
      </w:r>
      <w:r>
        <w:rPr>
          <w:color w:val="231F20"/>
        </w:rPr>
        <w:t>Tlapa- coyan, Veracruz,este se encuentra ya adaptado a condiciones de invernadero. Los ejemplares</w:t>
      </w:r>
      <w:r>
        <w:rPr>
          <w:color w:val="231F20"/>
          <w:spacing w:val="-35"/>
        </w:rPr>
        <w:t> </w:t>
      </w:r>
      <w:r>
        <w:rPr>
          <w:color w:val="231F20"/>
        </w:rPr>
        <w:t>fueron determinados con base en la obra de Tejero-Diez </w:t>
      </w:r>
      <w:r>
        <w:rPr>
          <w:i/>
          <w:color w:val="231F20"/>
        </w:rPr>
        <w:t>et al. </w:t>
      </w:r>
      <w:r>
        <w:rPr>
          <w:color w:val="231F20"/>
        </w:rPr>
        <w:t>(1998) y fueron depositados en el Herbario Jorge</w:t>
      </w:r>
      <w:r>
        <w:rPr>
          <w:color w:val="231F20"/>
          <w:spacing w:val="-5"/>
        </w:rPr>
        <w:t> </w:t>
      </w:r>
      <w:r>
        <w:rPr>
          <w:color w:val="231F20"/>
        </w:rPr>
        <w:t>Salas</w:t>
      </w:r>
      <w:r>
        <w:rPr>
          <w:color w:val="231F20"/>
          <w:spacing w:val="-5"/>
        </w:rPr>
        <w:t> </w:t>
      </w:r>
      <w:r>
        <w:rPr>
          <w:color w:val="231F20"/>
        </w:rPr>
        <w:t>del</w:t>
      </w:r>
      <w:r>
        <w:rPr>
          <w:color w:val="231F20"/>
          <w:spacing w:val="-5"/>
        </w:rPr>
        <w:t> </w:t>
      </w:r>
      <w:r>
        <w:rPr>
          <w:color w:val="231F20"/>
        </w:rPr>
        <w:t>Departamento</w:t>
      </w:r>
      <w:r>
        <w:rPr>
          <w:color w:val="231F20"/>
          <w:spacing w:val="-5"/>
        </w:rPr>
        <w:t> </w:t>
      </w:r>
      <w:r>
        <w:rPr>
          <w:color w:val="231F20"/>
        </w:rPr>
        <w:t>de</w:t>
      </w:r>
      <w:r>
        <w:rPr>
          <w:color w:val="231F20"/>
          <w:spacing w:val="-5"/>
        </w:rPr>
        <w:t> </w:t>
      </w:r>
      <w:r>
        <w:rPr>
          <w:color w:val="231F20"/>
        </w:rPr>
        <w:t>Preparatoria</w:t>
      </w:r>
      <w:r>
        <w:rPr>
          <w:color w:val="231F20"/>
          <w:spacing w:val="-17"/>
        </w:rPr>
        <w:t> </w:t>
      </w:r>
      <w:r>
        <w:rPr>
          <w:color w:val="231F20"/>
        </w:rPr>
        <w:t>Agrícola.</w:t>
      </w:r>
      <w:r>
        <w:rPr>
          <w:color w:val="231F20"/>
          <w:spacing w:val="-5"/>
        </w:rPr>
        <w:t> </w:t>
      </w:r>
      <w:r>
        <w:rPr>
          <w:color w:val="231F20"/>
        </w:rPr>
        <w:t>Otros</w:t>
      </w:r>
      <w:r>
        <w:rPr>
          <w:color w:val="231F20"/>
          <w:spacing w:val="-5"/>
        </w:rPr>
        <w:t> </w:t>
      </w:r>
      <w:r>
        <w:rPr>
          <w:color w:val="231F20"/>
        </w:rPr>
        <w:t>fueron</w:t>
      </w:r>
      <w:r>
        <w:rPr>
          <w:color w:val="231F20"/>
          <w:spacing w:val="-5"/>
        </w:rPr>
        <w:t> </w:t>
      </w:r>
      <w:r>
        <w:rPr>
          <w:color w:val="231F20"/>
        </w:rPr>
        <w:t>secados</w:t>
      </w:r>
      <w:r>
        <w:rPr>
          <w:color w:val="231F20"/>
          <w:spacing w:val="-5"/>
        </w:rPr>
        <w:t> </w:t>
      </w:r>
      <w:r>
        <w:rPr>
          <w:color w:val="231F20"/>
        </w:rPr>
        <w:t>a</w:t>
      </w:r>
      <w:r>
        <w:rPr>
          <w:color w:val="231F20"/>
          <w:spacing w:val="-5"/>
        </w:rPr>
        <w:t> </w:t>
      </w:r>
      <w:r>
        <w:rPr>
          <w:color w:val="231F20"/>
        </w:rPr>
        <w:t>condiciones</w:t>
      </w:r>
      <w:r>
        <w:rPr>
          <w:color w:val="231F20"/>
          <w:spacing w:val="-5"/>
        </w:rPr>
        <w:t> </w:t>
      </w:r>
      <w:r>
        <w:rPr>
          <w:color w:val="231F20"/>
        </w:rPr>
        <w:t>ambien- tales en el Laboratorio de Histología y Citología</w:t>
      </w:r>
      <w:r>
        <w:rPr>
          <w:color w:val="231F20"/>
          <w:spacing w:val="-20"/>
        </w:rPr>
        <w:t> </w:t>
      </w:r>
      <w:r>
        <w:rPr>
          <w:color w:val="231F20"/>
        </w:rPr>
        <w:t>General.</w:t>
      </w:r>
    </w:p>
    <w:p>
      <w:pPr>
        <w:pStyle w:val="BodyText"/>
        <w:spacing w:before="10"/>
      </w:pPr>
    </w:p>
    <w:p>
      <w:pPr>
        <w:pStyle w:val="BodyText"/>
        <w:spacing w:line="247" w:lineRule="auto"/>
        <w:ind w:left="1270" w:right="1269"/>
        <w:jc w:val="both"/>
      </w:pPr>
      <w:r>
        <w:rPr>
          <w:color w:val="231F20"/>
          <w:spacing w:val="-3"/>
        </w:rPr>
        <w:t>Obtención </w:t>
      </w:r>
      <w:r>
        <w:rPr>
          <w:color w:val="231F20"/>
        </w:rPr>
        <w:t>de los </w:t>
      </w:r>
      <w:r>
        <w:rPr>
          <w:color w:val="231F20"/>
          <w:spacing w:val="-3"/>
        </w:rPr>
        <w:t>extractos. </w:t>
      </w:r>
      <w:r>
        <w:rPr>
          <w:color w:val="231F20"/>
        </w:rPr>
        <w:t>Se </w:t>
      </w:r>
      <w:r>
        <w:rPr>
          <w:color w:val="231F20"/>
          <w:spacing w:val="-3"/>
        </w:rPr>
        <w:t>realizó </w:t>
      </w:r>
      <w:r>
        <w:rPr>
          <w:color w:val="231F20"/>
        </w:rPr>
        <w:t>en el </w:t>
      </w:r>
      <w:r>
        <w:rPr>
          <w:color w:val="231F20"/>
          <w:spacing w:val="-3"/>
        </w:rPr>
        <w:t>Laboratorio </w:t>
      </w:r>
      <w:r>
        <w:rPr>
          <w:color w:val="231F20"/>
        </w:rPr>
        <w:t>de </w:t>
      </w:r>
      <w:r>
        <w:rPr>
          <w:color w:val="231F20"/>
          <w:spacing w:val="-3"/>
        </w:rPr>
        <w:t>Productos Naturales </w:t>
      </w:r>
      <w:r>
        <w:rPr>
          <w:color w:val="231F20"/>
        </w:rPr>
        <w:t>del </w:t>
      </w:r>
      <w:r>
        <w:rPr>
          <w:color w:val="231F20"/>
          <w:spacing w:val="-3"/>
        </w:rPr>
        <w:t>Área </w:t>
      </w:r>
      <w:r>
        <w:rPr>
          <w:color w:val="231F20"/>
        </w:rPr>
        <w:t>de </w:t>
      </w:r>
      <w:r>
        <w:rPr>
          <w:color w:val="231F20"/>
          <w:spacing w:val="-3"/>
        </w:rPr>
        <w:t>Química </w:t>
      </w:r>
      <w:r>
        <w:rPr>
          <w:color w:val="231F20"/>
        </w:rPr>
        <w:t>de la </w:t>
      </w:r>
      <w:r>
        <w:rPr>
          <w:color w:val="231F20"/>
          <w:spacing w:val="-3"/>
        </w:rPr>
        <w:t>Universidad Autónoma Chapingo (Arias </w:t>
      </w:r>
      <w:r>
        <w:rPr>
          <w:i/>
          <w:color w:val="231F20"/>
        </w:rPr>
        <w:t>et </w:t>
      </w:r>
      <w:r>
        <w:rPr>
          <w:i/>
          <w:color w:val="231F20"/>
          <w:spacing w:val="-3"/>
        </w:rPr>
        <w:t>al.</w:t>
      </w:r>
      <w:r>
        <w:rPr>
          <w:color w:val="231F20"/>
          <w:spacing w:val="-3"/>
        </w:rPr>
        <w:t>, 2009). </w:t>
      </w:r>
      <w:r>
        <w:rPr>
          <w:color w:val="231F20"/>
        </w:rPr>
        <w:t>Se </w:t>
      </w:r>
      <w:r>
        <w:rPr>
          <w:color w:val="231F20"/>
          <w:spacing w:val="-3"/>
        </w:rPr>
        <w:t>cortaron </w:t>
      </w:r>
      <w:r>
        <w:rPr>
          <w:color w:val="231F20"/>
        </w:rPr>
        <w:t>los </w:t>
      </w:r>
      <w:r>
        <w:rPr>
          <w:color w:val="231F20"/>
          <w:spacing w:val="-3"/>
        </w:rPr>
        <w:t>tallos secos </w:t>
      </w:r>
      <w:r>
        <w:rPr>
          <w:color w:val="231F20"/>
        </w:rPr>
        <w:t>de </w:t>
      </w:r>
      <w:r>
        <w:rPr>
          <w:color w:val="231F20"/>
          <w:spacing w:val="-3"/>
        </w:rPr>
        <w:t>“cola de caballo” </w:t>
      </w:r>
      <w:r>
        <w:rPr>
          <w:color w:val="231F20"/>
        </w:rPr>
        <w:t>en finos </w:t>
      </w:r>
      <w:r>
        <w:rPr>
          <w:color w:val="231F20"/>
          <w:spacing w:val="-3"/>
        </w:rPr>
        <w:t>trozos, </w:t>
      </w:r>
      <w:r>
        <w:rPr>
          <w:color w:val="231F20"/>
        </w:rPr>
        <w:t>se </w:t>
      </w:r>
      <w:r>
        <w:rPr>
          <w:color w:val="231F20"/>
          <w:spacing w:val="-3"/>
        </w:rPr>
        <w:t>maceraron </w:t>
      </w:r>
      <w:r>
        <w:rPr>
          <w:color w:val="231F20"/>
        </w:rPr>
        <w:t>2 kg </w:t>
      </w:r>
      <w:r>
        <w:rPr>
          <w:color w:val="231F20"/>
          <w:spacing w:val="-3"/>
        </w:rPr>
        <w:t>con10 litros </w:t>
      </w:r>
      <w:r>
        <w:rPr>
          <w:color w:val="231F20"/>
        </w:rPr>
        <w:t>del </w:t>
      </w:r>
      <w:r>
        <w:rPr>
          <w:color w:val="231F20"/>
          <w:spacing w:val="-3"/>
        </w:rPr>
        <w:t>solvente </w:t>
      </w:r>
      <w:r>
        <w:rPr>
          <w:color w:val="231F20"/>
        </w:rPr>
        <w:t>a </w:t>
      </w:r>
      <w:r>
        <w:rPr>
          <w:color w:val="231F20"/>
          <w:spacing w:val="-3"/>
        </w:rPr>
        <w:t>temperatura ambiente 25°C durante </w:t>
      </w:r>
      <w:r>
        <w:rPr>
          <w:color w:val="231F20"/>
        </w:rPr>
        <w:t>3 </w:t>
      </w:r>
      <w:r>
        <w:rPr>
          <w:color w:val="231F20"/>
          <w:spacing w:val="-3"/>
        </w:rPr>
        <w:t>días. Posteriormente, </w:t>
      </w:r>
      <w:r>
        <w:rPr>
          <w:color w:val="231F20"/>
        </w:rPr>
        <w:t>se </w:t>
      </w:r>
      <w:r>
        <w:rPr>
          <w:color w:val="231F20"/>
          <w:spacing w:val="-3"/>
        </w:rPr>
        <w:t>filtró </w:t>
      </w:r>
      <w:r>
        <w:rPr>
          <w:color w:val="231F20"/>
        </w:rPr>
        <w:t>el </w:t>
      </w:r>
      <w:r>
        <w:rPr>
          <w:color w:val="231F20"/>
          <w:spacing w:val="-3"/>
        </w:rPr>
        <w:t>extracto </w:t>
      </w:r>
      <w:r>
        <w:rPr>
          <w:color w:val="231F20"/>
        </w:rPr>
        <w:t>con </w:t>
      </w:r>
      <w:r>
        <w:rPr>
          <w:color w:val="231F20"/>
          <w:spacing w:val="-3"/>
        </w:rPr>
        <w:t>papel filtro para separar </w:t>
      </w:r>
      <w:r>
        <w:rPr>
          <w:color w:val="231F20"/>
        </w:rPr>
        <w:t>la </w:t>
      </w:r>
      <w:r>
        <w:rPr>
          <w:color w:val="231F20"/>
          <w:spacing w:val="-3"/>
        </w:rPr>
        <w:t>substancia vegetal </w:t>
      </w:r>
      <w:r>
        <w:rPr>
          <w:color w:val="231F20"/>
        </w:rPr>
        <w:t>de</w:t>
      </w:r>
      <w:r>
        <w:rPr>
          <w:color w:val="231F20"/>
          <w:spacing w:val="-5"/>
        </w:rPr>
        <w:t> </w:t>
      </w:r>
      <w:r>
        <w:rPr>
          <w:i/>
          <w:color w:val="231F20"/>
          <w:spacing w:val="-3"/>
        </w:rPr>
        <w:t>Equisetum</w:t>
      </w:r>
      <w:r>
        <w:rPr>
          <w:color w:val="231F20"/>
          <w:spacing w:val="-3"/>
        </w:rPr>
        <w:t>.</w:t>
      </w:r>
    </w:p>
    <w:p>
      <w:pPr>
        <w:pStyle w:val="BodyText"/>
        <w:spacing w:before="10"/>
      </w:pPr>
    </w:p>
    <w:p>
      <w:pPr>
        <w:pStyle w:val="BodyText"/>
        <w:spacing w:line="247" w:lineRule="auto"/>
        <w:ind w:left="1270" w:right="1267"/>
        <w:jc w:val="both"/>
      </w:pPr>
      <w:r>
        <w:rPr>
          <w:color w:val="231F20"/>
        </w:rPr>
        <w:t>Preparación de las concentraciones. Una vez con la disolución lista, se hicieron las concentraciones correspondientes: de 250, 500, 1000 y </w:t>
      </w:r>
      <w:r>
        <w:rPr>
          <w:i/>
          <w:color w:val="231F20"/>
        </w:rPr>
        <w:t>0ppmcomo </w:t>
      </w:r>
      <w:r>
        <w:rPr>
          <w:color w:val="231F20"/>
        </w:rPr>
        <w:t>control con </w:t>
      </w:r>
      <w:r>
        <w:rPr>
          <w:i/>
          <w:color w:val="231F20"/>
        </w:rPr>
        <w:t>E. hyemale </w:t>
      </w:r>
      <w:r>
        <w:rPr>
          <w:color w:val="231F20"/>
        </w:rPr>
        <w:t>y 1000, 1500, 2000, 3000 ppm</w:t>
      </w:r>
      <w:r>
        <w:rPr>
          <w:color w:val="231F20"/>
          <w:spacing w:val="-5"/>
        </w:rPr>
        <w:t> </w:t>
      </w:r>
      <w:r>
        <w:rPr>
          <w:color w:val="231F20"/>
        </w:rPr>
        <w:t>y</w:t>
      </w:r>
      <w:r>
        <w:rPr>
          <w:color w:val="231F20"/>
          <w:spacing w:val="-5"/>
        </w:rPr>
        <w:t> </w:t>
      </w:r>
      <w:r>
        <w:rPr>
          <w:color w:val="231F20"/>
        </w:rPr>
        <w:t>el</w:t>
      </w:r>
      <w:r>
        <w:rPr>
          <w:color w:val="231F20"/>
          <w:spacing w:val="-5"/>
        </w:rPr>
        <w:t> </w:t>
      </w:r>
      <w:r>
        <w:rPr>
          <w:color w:val="231F20"/>
        </w:rPr>
        <w:t>control</w:t>
      </w:r>
      <w:r>
        <w:rPr>
          <w:color w:val="231F20"/>
          <w:spacing w:val="-6"/>
        </w:rPr>
        <w:t> </w:t>
      </w:r>
      <w:r>
        <w:rPr>
          <w:color w:val="231F20"/>
        </w:rPr>
        <w:t>a</w:t>
      </w:r>
      <w:r>
        <w:rPr>
          <w:color w:val="231F20"/>
          <w:spacing w:val="-5"/>
        </w:rPr>
        <w:t> </w:t>
      </w:r>
      <w:r>
        <w:rPr>
          <w:color w:val="231F20"/>
        </w:rPr>
        <w:t>base</w:t>
      </w:r>
      <w:r>
        <w:rPr>
          <w:color w:val="231F20"/>
          <w:spacing w:val="-5"/>
        </w:rPr>
        <w:t> </w:t>
      </w:r>
      <w:r>
        <w:rPr>
          <w:color w:val="231F20"/>
        </w:rPr>
        <w:t>de</w:t>
      </w:r>
      <w:r>
        <w:rPr>
          <w:color w:val="231F20"/>
          <w:spacing w:val="-5"/>
        </w:rPr>
        <w:t> </w:t>
      </w:r>
      <w:r>
        <w:rPr>
          <w:i/>
          <w:color w:val="231F20"/>
        </w:rPr>
        <w:t>E.hyemaleaffinemyriochaetum</w:t>
      </w:r>
      <w:r>
        <w:rPr>
          <w:color w:val="231F20"/>
        </w:rPr>
        <w:t>.</w:t>
      </w:r>
      <w:r>
        <w:rPr>
          <w:color w:val="231F20"/>
          <w:spacing w:val="-5"/>
        </w:rPr>
        <w:t> </w:t>
      </w:r>
      <w:r>
        <w:rPr>
          <w:color w:val="231F20"/>
        </w:rPr>
        <w:t>Se</w:t>
      </w:r>
      <w:r>
        <w:rPr>
          <w:color w:val="231F20"/>
          <w:spacing w:val="-5"/>
        </w:rPr>
        <w:t> </w:t>
      </w:r>
      <w:r>
        <w:rPr>
          <w:color w:val="231F20"/>
        </w:rPr>
        <w:t>realizaron</w:t>
      </w:r>
      <w:r>
        <w:rPr>
          <w:color w:val="231F20"/>
          <w:spacing w:val="-5"/>
        </w:rPr>
        <w:t> </w:t>
      </w:r>
      <w:r>
        <w:rPr>
          <w:color w:val="231F20"/>
        </w:rPr>
        <w:t>agregando</w:t>
      </w:r>
      <w:r>
        <w:rPr>
          <w:color w:val="231F20"/>
          <w:spacing w:val="-5"/>
        </w:rPr>
        <w:t> </w:t>
      </w:r>
      <w:r>
        <w:rPr>
          <w:color w:val="231F20"/>
        </w:rPr>
        <w:t>al</w:t>
      </w:r>
      <w:r>
        <w:rPr>
          <w:color w:val="231F20"/>
          <w:spacing w:val="-5"/>
        </w:rPr>
        <w:t> </w:t>
      </w:r>
      <w:r>
        <w:rPr>
          <w:color w:val="231F20"/>
        </w:rPr>
        <w:t>PDA</w:t>
      </w:r>
      <w:r>
        <w:rPr>
          <w:color w:val="231F20"/>
          <w:spacing w:val="-17"/>
        </w:rPr>
        <w:t> </w:t>
      </w:r>
      <w:r>
        <w:rPr>
          <w:color w:val="231F20"/>
        </w:rPr>
        <w:t>ya</w:t>
      </w:r>
      <w:r>
        <w:rPr>
          <w:color w:val="231F20"/>
          <w:spacing w:val="-5"/>
        </w:rPr>
        <w:t> </w:t>
      </w:r>
      <w:r>
        <w:rPr>
          <w:color w:val="231F20"/>
        </w:rPr>
        <w:t>esteri- lizado la cantidad necesaria para ajustar las concentraciones mencionadas. Una vez con las concen- traciones preparadas, se esterilizaron nuevamente y se sirvieron en cajas de petri (3 repeticiones por cada concentración). Posteriormente, en una campana de flujo laminar, se sembraron discos de agar de 5 mm de diámetro con micelio del hongo en el centro de las cajas de Petri tomados del cultivo vigorizado y se dejaron crecer en la incubadora durante 144 horas a</w:t>
      </w:r>
      <w:r>
        <w:rPr>
          <w:color w:val="231F20"/>
          <w:spacing w:val="-4"/>
        </w:rPr>
        <w:t> </w:t>
      </w:r>
      <w:r>
        <w:rPr>
          <w:color w:val="231F20"/>
        </w:rPr>
        <w:t>30°C.</w:t>
      </w:r>
    </w:p>
    <w:p>
      <w:pPr>
        <w:pStyle w:val="BodyText"/>
        <w:spacing w:before="10"/>
      </w:pPr>
    </w:p>
    <w:p>
      <w:pPr>
        <w:pStyle w:val="BodyText"/>
        <w:spacing w:line="247" w:lineRule="auto"/>
        <w:ind w:left="1270" w:right="1268"/>
        <w:jc w:val="both"/>
      </w:pPr>
      <w:r>
        <w:rPr>
          <w:color w:val="231F20"/>
        </w:rPr>
        <w:t>Medición</w:t>
      </w:r>
      <w:r>
        <w:rPr>
          <w:color w:val="231F20"/>
          <w:spacing w:val="-9"/>
        </w:rPr>
        <w:t> </w:t>
      </w:r>
      <w:r>
        <w:rPr>
          <w:color w:val="231F20"/>
        </w:rPr>
        <w:t>de</w:t>
      </w:r>
      <w:r>
        <w:rPr>
          <w:color w:val="231F20"/>
          <w:spacing w:val="-10"/>
        </w:rPr>
        <w:t> </w:t>
      </w:r>
      <w:r>
        <w:rPr>
          <w:color w:val="231F20"/>
        </w:rPr>
        <w:t>los</w:t>
      </w:r>
      <w:r>
        <w:rPr>
          <w:color w:val="231F20"/>
          <w:spacing w:val="-10"/>
        </w:rPr>
        <w:t> </w:t>
      </w:r>
      <w:r>
        <w:rPr>
          <w:color w:val="231F20"/>
        </w:rPr>
        <w:t>cultivos.</w:t>
      </w:r>
      <w:r>
        <w:rPr>
          <w:color w:val="231F20"/>
          <w:spacing w:val="-10"/>
        </w:rPr>
        <w:t> </w:t>
      </w:r>
      <w:r>
        <w:rPr>
          <w:color w:val="231F20"/>
        </w:rPr>
        <w:t>Para</w:t>
      </w:r>
      <w:r>
        <w:rPr>
          <w:color w:val="231F20"/>
          <w:spacing w:val="-10"/>
        </w:rPr>
        <w:t> </w:t>
      </w:r>
      <w:r>
        <w:rPr>
          <w:color w:val="231F20"/>
        </w:rPr>
        <w:t>realizar</w:t>
      </w:r>
      <w:r>
        <w:rPr>
          <w:color w:val="231F20"/>
          <w:spacing w:val="-10"/>
        </w:rPr>
        <w:t> </w:t>
      </w:r>
      <w:r>
        <w:rPr>
          <w:color w:val="231F20"/>
        </w:rPr>
        <w:t>el</w:t>
      </w:r>
      <w:r>
        <w:rPr>
          <w:color w:val="231F20"/>
          <w:spacing w:val="-10"/>
        </w:rPr>
        <w:t> </w:t>
      </w:r>
      <w:r>
        <w:rPr>
          <w:color w:val="231F20"/>
        </w:rPr>
        <w:t>proceso</w:t>
      </w:r>
      <w:r>
        <w:rPr>
          <w:color w:val="231F20"/>
          <w:spacing w:val="-10"/>
        </w:rPr>
        <w:t> </w:t>
      </w:r>
      <w:r>
        <w:rPr>
          <w:color w:val="231F20"/>
        </w:rPr>
        <w:t>de</w:t>
      </w:r>
      <w:r>
        <w:rPr>
          <w:color w:val="231F20"/>
          <w:spacing w:val="-10"/>
        </w:rPr>
        <w:t> </w:t>
      </w:r>
      <w:r>
        <w:rPr>
          <w:color w:val="231F20"/>
        </w:rPr>
        <w:t>medición,</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base</w:t>
      </w:r>
      <w:r>
        <w:rPr>
          <w:color w:val="231F20"/>
          <w:spacing w:val="-10"/>
        </w:rPr>
        <w:t> </w:t>
      </w:r>
      <w:r>
        <w:rPr>
          <w:color w:val="231F20"/>
        </w:rPr>
        <w:t>con</w:t>
      </w:r>
      <w:r>
        <w:rPr>
          <w:color w:val="231F20"/>
          <w:spacing w:val="-10"/>
        </w:rPr>
        <w:t> </w:t>
      </w:r>
      <w:r>
        <w:rPr>
          <w:color w:val="231F20"/>
        </w:rPr>
        <w:t>un</w:t>
      </w:r>
      <w:r>
        <w:rPr>
          <w:color w:val="231F20"/>
          <w:spacing w:val="-10"/>
        </w:rPr>
        <w:t> </w:t>
      </w:r>
      <w:r>
        <w:rPr>
          <w:color w:val="231F20"/>
        </w:rPr>
        <w:t>plumón</w:t>
      </w:r>
      <w:r>
        <w:rPr>
          <w:color w:val="231F20"/>
          <w:spacing w:val="-10"/>
        </w:rPr>
        <w:t> </w:t>
      </w:r>
      <w:r>
        <w:rPr>
          <w:color w:val="231F20"/>
        </w:rPr>
        <w:t>indeleble</w:t>
      </w:r>
      <w:r>
        <w:rPr>
          <w:color w:val="231F20"/>
          <w:spacing w:val="-10"/>
        </w:rPr>
        <w:t> </w:t>
      </w:r>
      <w:r>
        <w:rPr>
          <w:color w:val="231F20"/>
        </w:rPr>
        <w:t>se trazaron 2 ejes perpendiculares a lo largo de la caja de Petri, y se inoculó el hongo en el centro de</w:t>
      </w:r>
      <w:r>
        <w:rPr>
          <w:color w:val="231F20"/>
          <w:spacing w:val="-25"/>
        </w:rPr>
        <w:t> </w:t>
      </w:r>
      <w:r>
        <w:rPr>
          <w:color w:val="231F20"/>
        </w:rPr>
        <w:t>la caja. Posteriormente se midió con una regla, a contraluz, el radio (mm) de la colonia cada 24 horas, durante</w:t>
      </w:r>
      <w:r>
        <w:rPr>
          <w:color w:val="231F20"/>
          <w:spacing w:val="-10"/>
        </w:rPr>
        <w:t> </w:t>
      </w:r>
      <w:r>
        <w:rPr>
          <w:color w:val="231F20"/>
        </w:rPr>
        <w:t>6</w:t>
      </w:r>
      <w:r>
        <w:rPr>
          <w:color w:val="231F20"/>
          <w:spacing w:val="-10"/>
        </w:rPr>
        <w:t> </w:t>
      </w:r>
      <w:r>
        <w:rPr>
          <w:color w:val="231F20"/>
        </w:rPr>
        <w:t>días</w:t>
      </w:r>
      <w:r>
        <w:rPr>
          <w:color w:val="231F20"/>
          <w:spacing w:val="-10"/>
        </w:rPr>
        <w:t> </w:t>
      </w:r>
      <w:r>
        <w:rPr>
          <w:color w:val="231F20"/>
        </w:rPr>
        <w:t>(144</w:t>
      </w:r>
      <w:r>
        <w:rPr>
          <w:color w:val="231F20"/>
          <w:spacing w:val="-10"/>
        </w:rPr>
        <w:t> </w:t>
      </w:r>
      <w:r>
        <w:rPr>
          <w:color w:val="231F20"/>
        </w:rPr>
        <w:t>horas).</w:t>
      </w:r>
      <w:r>
        <w:rPr>
          <w:color w:val="231F20"/>
          <w:spacing w:val="-10"/>
        </w:rPr>
        <w:t> </w:t>
      </w:r>
      <w:r>
        <w:rPr>
          <w:color w:val="231F20"/>
        </w:rPr>
        <w:t>Haciendo</w:t>
      </w:r>
      <w:r>
        <w:rPr>
          <w:color w:val="231F20"/>
          <w:spacing w:val="-10"/>
        </w:rPr>
        <w:t> </w:t>
      </w:r>
      <w:r>
        <w:rPr>
          <w:color w:val="231F20"/>
        </w:rPr>
        <w:t>un</w:t>
      </w:r>
      <w:r>
        <w:rPr>
          <w:color w:val="231F20"/>
          <w:spacing w:val="-10"/>
        </w:rPr>
        <w:t> </w:t>
      </w:r>
      <w:r>
        <w:rPr>
          <w:color w:val="231F20"/>
        </w:rPr>
        <w:t>total</w:t>
      </w:r>
      <w:r>
        <w:rPr>
          <w:color w:val="231F20"/>
          <w:spacing w:val="-10"/>
        </w:rPr>
        <w:t> </w:t>
      </w:r>
      <w:r>
        <w:rPr>
          <w:color w:val="231F20"/>
        </w:rPr>
        <w:t>de</w:t>
      </w:r>
      <w:r>
        <w:rPr>
          <w:color w:val="231F20"/>
          <w:spacing w:val="-10"/>
        </w:rPr>
        <w:t> </w:t>
      </w:r>
      <w:r>
        <w:rPr>
          <w:color w:val="231F20"/>
        </w:rPr>
        <w:t>6</w:t>
      </w:r>
      <w:r>
        <w:rPr>
          <w:color w:val="231F20"/>
          <w:spacing w:val="-10"/>
        </w:rPr>
        <w:t> </w:t>
      </w:r>
      <w:r>
        <w:rPr>
          <w:color w:val="231F20"/>
        </w:rPr>
        <w:t>lecturas</w:t>
      </w:r>
      <w:r>
        <w:rPr>
          <w:color w:val="231F20"/>
          <w:spacing w:val="-11"/>
        </w:rPr>
        <w:t> </w:t>
      </w:r>
      <w:r>
        <w:rPr>
          <w:color w:val="231F20"/>
        </w:rPr>
        <w:t>(2</w:t>
      </w:r>
      <w:r>
        <w:rPr>
          <w:color w:val="231F20"/>
          <w:spacing w:val="-10"/>
        </w:rPr>
        <w:t> </w:t>
      </w:r>
      <w:r>
        <w:rPr>
          <w:color w:val="231F20"/>
        </w:rPr>
        <w:t>por</w:t>
      </w:r>
      <w:r>
        <w:rPr>
          <w:color w:val="231F20"/>
          <w:spacing w:val="-10"/>
        </w:rPr>
        <w:t> </w:t>
      </w:r>
      <w:r>
        <w:rPr>
          <w:color w:val="231F20"/>
        </w:rPr>
        <w:t>caja)</w:t>
      </w:r>
      <w:r>
        <w:rPr>
          <w:color w:val="231F20"/>
          <w:spacing w:val="-10"/>
        </w:rPr>
        <w:t> </w:t>
      </w:r>
      <w:r>
        <w:rPr>
          <w:color w:val="231F20"/>
        </w:rPr>
        <w:t>para</w:t>
      </w:r>
      <w:r>
        <w:rPr>
          <w:color w:val="231F20"/>
          <w:spacing w:val="-10"/>
        </w:rPr>
        <w:t> </w:t>
      </w:r>
      <w:r>
        <w:rPr>
          <w:color w:val="231F20"/>
        </w:rPr>
        <w:t>cada</w:t>
      </w:r>
      <w:r>
        <w:rPr>
          <w:color w:val="231F20"/>
          <w:spacing w:val="-10"/>
        </w:rPr>
        <w:t> </w:t>
      </w:r>
      <w:r>
        <w:rPr>
          <w:color w:val="231F20"/>
        </w:rPr>
        <w:t>experimento,</w:t>
      </w:r>
      <w:r>
        <w:rPr>
          <w:color w:val="231F20"/>
          <w:spacing w:val="-11"/>
        </w:rPr>
        <w:t> </w:t>
      </w:r>
      <w:r>
        <w:rPr>
          <w:color w:val="231F20"/>
        </w:rPr>
        <w:t>el</w:t>
      </w:r>
      <w:r>
        <w:rPr>
          <w:color w:val="231F20"/>
          <w:spacing w:val="-10"/>
        </w:rPr>
        <w:t> </w:t>
      </w:r>
      <w:r>
        <w:rPr>
          <w:color w:val="231F20"/>
        </w:rPr>
        <w:t>cual se hizo por triplicado. Se realizaron gráficas con los promedios del radio obtenido diariamente, así como también las velocidades de crecimiento del hongo para cada concentración del extracto. Los datos fueron sujetos a análisis de varianza </w:t>
      </w:r>
      <w:r>
        <w:rPr>
          <w:color w:val="231F20"/>
          <w:spacing w:val="-4"/>
        </w:rPr>
        <w:t>(ANOVA), </w:t>
      </w:r>
      <w:r>
        <w:rPr>
          <w:color w:val="231F20"/>
        </w:rPr>
        <w:t>y separación de medias usando la prueba de Tukey (p&lt;0.05) (SAS). Usando el software estadístico</w:t>
      </w:r>
      <w:r>
        <w:rPr>
          <w:color w:val="231F20"/>
          <w:spacing w:val="-22"/>
        </w:rPr>
        <w:t> </w:t>
      </w:r>
      <w:r>
        <w:rPr>
          <w:color w:val="231F20"/>
        </w:rPr>
        <w:t>(NCSS).</w:t>
      </w:r>
    </w:p>
    <w:p>
      <w:pPr>
        <w:spacing w:after="0" w:line="247" w:lineRule="auto"/>
        <w:jc w:val="both"/>
        <w:sectPr>
          <w:pgSz w:w="10920" w:h="13080"/>
          <w:pgMar w:header="0" w:footer="965" w:top="420" w:bottom="1220" w:left="0" w:right="0"/>
        </w:sectPr>
      </w:pPr>
    </w:p>
    <w:p>
      <w:pPr>
        <w:pStyle w:val="BodyText"/>
        <w:rPr>
          <w:sz w:val="20"/>
        </w:rPr>
      </w:pPr>
    </w:p>
    <w:p>
      <w:pPr>
        <w:pStyle w:val="BodyText"/>
        <w:rPr>
          <w:sz w:val="20"/>
        </w:rPr>
      </w:pPr>
    </w:p>
    <w:p>
      <w:pPr>
        <w:pStyle w:val="BodyText"/>
        <w:spacing w:before="4"/>
        <w:rPr>
          <w:sz w:val="22"/>
        </w:rPr>
      </w:pPr>
    </w:p>
    <w:p>
      <w:pPr>
        <w:pStyle w:val="Heading3"/>
        <w:spacing w:before="69"/>
      </w:pPr>
      <w:r>
        <w:rPr>
          <w:color w:val="010202"/>
        </w:rPr>
        <w:t>Análisis y discusión de resultados</w:t>
      </w:r>
    </w:p>
    <w:p>
      <w:pPr>
        <w:pStyle w:val="BodyText"/>
        <w:spacing w:before="4"/>
        <w:rPr>
          <w:b/>
        </w:rPr>
      </w:pPr>
    </w:p>
    <w:p>
      <w:pPr>
        <w:spacing w:before="0"/>
        <w:ind w:left="1489" w:right="1489" w:firstLine="0"/>
        <w:jc w:val="center"/>
        <w:rPr>
          <w:b/>
          <w:sz w:val="18"/>
        </w:rPr>
      </w:pPr>
      <w:r>
        <w:rPr>
          <w:b/>
          <w:color w:val="010202"/>
          <w:sz w:val="18"/>
        </w:rPr>
        <w:t>Gráfica 1. Efecto del  extracto hexánico de </w:t>
      </w:r>
      <w:r>
        <w:rPr>
          <w:b/>
          <w:i/>
          <w:color w:val="010202"/>
          <w:sz w:val="18"/>
        </w:rPr>
        <w:t>E. hyemale </w:t>
      </w:r>
      <w:r>
        <w:rPr>
          <w:b/>
          <w:color w:val="010202"/>
          <w:sz w:val="18"/>
        </w:rPr>
        <w:t>en el crecimiento micelial (mm) de</w:t>
      </w:r>
    </w:p>
    <w:p>
      <w:pPr>
        <w:spacing w:before="9"/>
        <w:ind w:left="1489" w:right="1489" w:firstLine="0"/>
        <w:jc w:val="center"/>
        <w:rPr>
          <w:b/>
          <w:sz w:val="18"/>
        </w:rPr>
      </w:pPr>
      <w:r>
        <w:rPr>
          <w:b/>
          <w:i/>
          <w:color w:val="010202"/>
          <w:sz w:val="18"/>
        </w:rPr>
        <w:t>Penicilliumitalicum </w:t>
      </w:r>
      <w:r>
        <w:rPr>
          <w:b/>
          <w:color w:val="010202"/>
          <w:sz w:val="18"/>
        </w:rPr>
        <w:t>a través del tiempo (144hrs). Promedio de tres repeticiones con seis lecturas.</w:t>
      </w:r>
    </w:p>
    <w:p>
      <w:pPr>
        <w:pStyle w:val="BodyText"/>
        <w:spacing w:before="9"/>
        <w:rPr>
          <w:b/>
          <w:sz w:val="18"/>
        </w:rPr>
      </w:pPr>
      <w:r>
        <w:rPr/>
        <w:drawing>
          <wp:anchor distT="0" distB="0" distL="0" distR="0" allowOverlap="1" layoutInCell="1" locked="0" behindDoc="0" simplePos="0" relativeHeight="6208">
            <wp:simplePos x="0" y="0"/>
            <wp:positionH relativeFrom="page">
              <wp:posOffset>1364703</wp:posOffset>
            </wp:positionH>
            <wp:positionV relativeFrom="paragraph">
              <wp:posOffset>161971</wp:posOffset>
            </wp:positionV>
            <wp:extent cx="4238240" cy="2039112"/>
            <wp:effectExtent l="0" t="0" r="0" b="0"/>
            <wp:wrapTopAndBottom/>
            <wp:docPr id="211" name="image90.png" descr=""/>
            <wp:cNvGraphicFramePr>
              <a:graphicFrameLocks noChangeAspect="1"/>
            </wp:cNvGraphicFramePr>
            <a:graphic>
              <a:graphicData uri="http://schemas.openxmlformats.org/drawingml/2006/picture">
                <pic:pic>
                  <pic:nvPicPr>
                    <pic:cNvPr id="212" name="image90.png"/>
                    <pic:cNvPicPr/>
                  </pic:nvPicPr>
                  <pic:blipFill>
                    <a:blip r:embed="rId139" cstate="print"/>
                    <a:stretch>
                      <a:fillRect/>
                    </a:stretch>
                  </pic:blipFill>
                  <pic:spPr>
                    <a:xfrm>
                      <a:off x="0" y="0"/>
                      <a:ext cx="4238240" cy="2039112"/>
                    </a:xfrm>
                    <a:prstGeom prst="rect">
                      <a:avLst/>
                    </a:prstGeom>
                  </pic:spPr>
                </pic:pic>
              </a:graphicData>
            </a:graphic>
          </wp:anchor>
        </w:drawing>
      </w:r>
    </w:p>
    <w:p>
      <w:pPr>
        <w:pStyle w:val="BodyText"/>
        <w:spacing w:before="8"/>
        <w:rPr>
          <w:b/>
        </w:rPr>
      </w:pPr>
    </w:p>
    <w:p>
      <w:pPr>
        <w:pStyle w:val="BodyText"/>
        <w:spacing w:line="247" w:lineRule="auto"/>
        <w:ind w:left="1270" w:right="1268"/>
        <w:jc w:val="both"/>
      </w:pPr>
      <w:r>
        <w:rPr>
          <w:color w:val="231F20"/>
        </w:rPr>
        <w:t>Efecto del extracto hexánico de </w:t>
      </w:r>
      <w:r>
        <w:rPr>
          <w:i/>
          <w:color w:val="231F20"/>
        </w:rPr>
        <w:t>E. hyemale</w:t>
      </w:r>
      <w:r>
        <w:rPr>
          <w:color w:val="231F20"/>
        </w:rPr>
        <w:t>. Los resultados obtenidos por día se encuentran en la gráfica</w:t>
      </w:r>
      <w:r>
        <w:rPr>
          <w:color w:val="231F20"/>
          <w:spacing w:val="-3"/>
        </w:rPr>
        <w:t> </w:t>
      </w:r>
      <w:r>
        <w:rPr>
          <w:color w:val="231F20"/>
        </w:rPr>
        <w:t>1.</w:t>
      </w:r>
      <w:r>
        <w:rPr>
          <w:color w:val="231F20"/>
          <w:spacing w:val="-14"/>
        </w:rPr>
        <w:t> </w:t>
      </w:r>
      <w:r>
        <w:rPr>
          <w:color w:val="231F20"/>
        </w:rPr>
        <w:t>Al</w:t>
      </w:r>
      <w:r>
        <w:rPr>
          <w:color w:val="231F20"/>
          <w:spacing w:val="-3"/>
        </w:rPr>
        <w:t> </w:t>
      </w:r>
      <w:r>
        <w:rPr>
          <w:color w:val="231F20"/>
        </w:rPr>
        <w:t>realizar</w:t>
      </w:r>
      <w:r>
        <w:rPr>
          <w:color w:val="231F20"/>
          <w:spacing w:val="-3"/>
        </w:rPr>
        <w:t> </w:t>
      </w:r>
      <w:r>
        <w:rPr>
          <w:color w:val="231F20"/>
        </w:rPr>
        <w:t>la</w:t>
      </w:r>
      <w:r>
        <w:rPr>
          <w:color w:val="231F20"/>
          <w:spacing w:val="-3"/>
        </w:rPr>
        <w:t> </w:t>
      </w:r>
      <w:r>
        <w:rPr>
          <w:color w:val="231F20"/>
        </w:rPr>
        <w:t>medición</w:t>
      </w:r>
      <w:r>
        <w:rPr>
          <w:color w:val="231F20"/>
          <w:spacing w:val="-3"/>
        </w:rPr>
        <w:t> </w:t>
      </w:r>
      <w:r>
        <w:rPr>
          <w:color w:val="231F20"/>
        </w:rPr>
        <w:t>durante</w:t>
      </w:r>
      <w:r>
        <w:rPr>
          <w:color w:val="231F20"/>
          <w:spacing w:val="-3"/>
        </w:rPr>
        <w:t> </w:t>
      </w:r>
      <w:r>
        <w:rPr>
          <w:color w:val="231F20"/>
        </w:rPr>
        <w:t>144hr</w:t>
      </w:r>
      <w:r>
        <w:rPr>
          <w:color w:val="231F20"/>
          <w:spacing w:val="-3"/>
        </w:rPr>
        <w:t> </w:t>
      </w:r>
      <w:r>
        <w:rPr>
          <w:color w:val="231F20"/>
        </w:rPr>
        <w:t>se</w:t>
      </w:r>
      <w:r>
        <w:rPr>
          <w:color w:val="231F20"/>
          <w:spacing w:val="-3"/>
        </w:rPr>
        <w:t> </w:t>
      </w:r>
      <w:r>
        <w:rPr>
          <w:color w:val="231F20"/>
        </w:rPr>
        <w:t>observa</w:t>
      </w:r>
      <w:r>
        <w:rPr>
          <w:color w:val="231F20"/>
          <w:spacing w:val="-3"/>
        </w:rPr>
        <w:t> </w:t>
      </w:r>
      <w:r>
        <w:rPr>
          <w:color w:val="231F20"/>
        </w:rPr>
        <w:t>que</w:t>
      </w:r>
      <w:r>
        <w:rPr>
          <w:color w:val="231F20"/>
          <w:spacing w:val="-3"/>
        </w:rPr>
        <w:t> </w:t>
      </w:r>
      <w:r>
        <w:rPr>
          <w:color w:val="231F20"/>
        </w:rPr>
        <w:t>el</w:t>
      </w:r>
      <w:r>
        <w:rPr>
          <w:color w:val="231F20"/>
          <w:spacing w:val="-3"/>
        </w:rPr>
        <w:t> </w:t>
      </w:r>
      <w:r>
        <w:rPr>
          <w:color w:val="231F20"/>
        </w:rPr>
        <w:t>hongo</w:t>
      </w:r>
      <w:r>
        <w:rPr>
          <w:color w:val="231F20"/>
          <w:spacing w:val="-3"/>
        </w:rPr>
        <w:t> </w:t>
      </w:r>
      <w:r>
        <w:rPr>
          <w:color w:val="231F20"/>
        </w:rPr>
        <w:t>durante</w:t>
      </w:r>
      <w:r>
        <w:rPr>
          <w:color w:val="231F20"/>
          <w:spacing w:val="-3"/>
        </w:rPr>
        <w:t> </w:t>
      </w:r>
      <w:r>
        <w:rPr>
          <w:color w:val="231F20"/>
        </w:rPr>
        <w:t>las</w:t>
      </w:r>
      <w:r>
        <w:rPr>
          <w:color w:val="231F20"/>
          <w:spacing w:val="-3"/>
        </w:rPr>
        <w:t> </w:t>
      </w:r>
      <w:r>
        <w:rPr>
          <w:color w:val="231F20"/>
        </w:rPr>
        <w:t>primeras</w:t>
      </w:r>
      <w:r>
        <w:rPr>
          <w:color w:val="231F20"/>
          <w:spacing w:val="-3"/>
        </w:rPr>
        <w:t> </w:t>
      </w:r>
      <w:r>
        <w:rPr>
          <w:color w:val="231F20"/>
        </w:rPr>
        <w:t>72</w:t>
      </w:r>
      <w:r>
        <w:rPr>
          <w:color w:val="231F20"/>
          <w:spacing w:val="-3"/>
        </w:rPr>
        <w:t> </w:t>
      </w:r>
      <w:r>
        <w:rPr>
          <w:color w:val="231F20"/>
        </w:rPr>
        <w:t>ho- ras</w:t>
      </w:r>
      <w:r>
        <w:rPr>
          <w:color w:val="231F20"/>
          <w:spacing w:val="-3"/>
        </w:rPr>
        <w:t> </w:t>
      </w:r>
      <w:r>
        <w:rPr>
          <w:color w:val="231F20"/>
        </w:rPr>
        <w:t>no</w:t>
      </w:r>
      <w:r>
        <w:rPr>
          <w:color w:val="231F20"/>
          <w:spacing w:val="-3"/>
        </w:rPr>
        <w:t> </w:t>
      </w:r>
      <w:r>
        <w:rPr>
          <w:color w:val="231F20"/>
        </w:rPr>
        <w:t>mostró</w:t>
      </w:r>
      <w:r>
        <w:rPr>
          <w:color w:val="231F20"/>
          <w:spacing w:val="-3"/>
        </w:rPr>
        <w:t> </w:t>
      </w:r>
      <w:r>
        <w:rPr>
          <w:color w:val="231F20"/>
        </w:rPr>
        <w:t>diferencias</w:t>
      </w:r>
      <w:r>
        <w:rPr>
          <w:color w:val="231F20"/>
          <w:spacing w:val="-4"/>
        </w:rPr>
        <w:t> </w:t>
      </w:r>
      <w:r>
        <w:rPr>
          <w:color w:val="231F20"/>
        </w:rPr>
        <w:t>significativas</w:t>
      </w:r>
      <w:r>
        <w:rPr>
          <w:color w:val="231F20"/>
          <w:spacing w:val="-4"/>
        </w:rPr>
        <w:t> </w:t>
      </w:r>
      <w:r>
        <w:rPr>
          <w:color w:val="231F20"/>
        </w:rPr>
        <w:t>con</w:t>
      </w:r>
      <w:r>
        <w:rPr>
          <w:color w:val="231F20"/>
          <w:spacing w:val="-3"/>
        </w:rPr>
        <w:t> </w:t>
      </w:r>
      <w:r>
        <w:rPr>
          <w:color w:val="231F20"/>
        </w:rPr>
        <w:t>respecto</w:t>
      </w:r>
      <w:r>
        <w:rPr>
          <w:color w:val="231F20"/>
          <w:spacing w:val="-3"/>
        </w:rPr>
        <w:t> </w:t>
      </w:r>
      <w:r>
        <w:rPr>
          <w:color w:val="231F20"/>
        </w:rPr>
        <w:t>a</w:t>
      </w:r>
      <w:r>
        <w:rPr>
          <w:color w:val="231F20"/>
          <w:spacing w:val="-3"/>
        </w:rPr>
        <w:t> </w:t>
      </w:r>
      <w:r>
        <w:rPr>
          <w:color w:val="231F20"/>
        </w:rPr>
        <w:t>control,</w:t>
      </w:r>
      <w:r>
        <w:rPr>
          <w:color w:val="231F20"/>
          <w:spacing w:val="-3"/>
        </w:rPr>
        <w:t> </w:t>
      </w:r>
      <w:r>
        <w:rPr>
          <w:color w:val="231F20"/>
        </w:rPr>
        <w:t>no</w:t>
      </w:r>
      <w:r>
        <w:rPr>
          <w:color w:val="231F20"/>
          <w:spacing w:val="-3"/>
        </w:rPr>
        <w:t> </w:t>
      </w:r>
      <w:r>
        <w:rPr>
          <w:color w:val="231F20"/>
        </w:rPr>
        <w:t>obstante,</w:t>
      </w:r>
      <w:r>
        <w:rPr>
          <w:color w:val="231F20"/>
          <w:spacing w:val="-3"/>
        </w:rPr>
        <w:t> </w:t>
      </w:r>
      <w:r>
        <w:rPr>
          <w:color w:val="231F20"/>
        </w:rPr>
        <w:t>partir</w:t>
      </w:r>
      <w:r>
        <w:rPr>
          <w:color w:val="231F20"/>
          <w:spacing w:val="-3"/>
        </w:rPr>
        <w:t> </w:t>
      </w:r>
      <w:r>
        <w:rPr>
          <w:color w:val="231F20"/>
        </w:rPr>
        <w:t>de</w:t>
      </w:r>
      <w:r>
        <w:rPr>
          <w:color w:val="231F20"/>
          <w:spacing w:val="-3"/>
        </w:rPr>
        <w:t> </w:t>
      </w:r>
      <w:r>
        <w:rPr>
          <w:color w:val="231F20"/>
        </w:rPr>
        <w:t>las</w:t>
      </w:r>
      <w:r>
        <w:rPr>
          <w:color w:val="231F20"/>
          <w:spacing w:val="-3"/>
        </w:rPr>
        <w:t> </w:t>
      </w:r>
      <w:r>
        <w:rPr>
          <w:color w:val="231F20"/>
        </w:rPr>
        <w:t>96</w:t>
      </w:r>
      <w:r>
        <w:rPr>
          <w:color w:val="231F20"/>
          <w:spacing w:val="-3"/>
        </w:rPr>
        <w:t> </w:t>
      </w:r>
      <w:r>
        <w:rPr>
          <w:color w:val="231F20"/>
        </w:rPr>
        <w:t>horas</w:t>
      </w:r>
      <w:r>
        <w:rPr>
          <w:color w:val="231F20"/>
          <w:spacing w:val="-3"/>
        </w:rPr>
        <w:t> </w:t>
      </w:r>
      <w:r>
        <w:rPr>
          <w:color w:val="231F20"/>
        </w:rPr>
        <w:t>los experimentales</w:t>
      </w:r>
      <w:r>
        <w:rPr>
          <w:color w:val="231F20"/>
          <w:spacing w:val="-5"/>
        </w:rPr>
        <w:t> </w:t>
      </w:r>
      <w:r>
        <w:rPr>
          <w:color w:val="231F20"/>
        </w:rPr>
        <w:t>de</w:t>
      </w:r>
      <w:r>
        <w:rPr>
          <w:color w:val="231F20"/>
          <w:spacing w:val="-5"/>
        </w:rPr>
        <w:t> </w:t>
      </w:r>
      <w:r>
        <w:rPr>
          <w:color w:val="231F20"/>
        </w:rPr>
        <w:t>500</w:t>
      </w:r>
      <w:r>
        <w:rPr>
          <w:color w:val="231F20"/>
          <w:spacing w:val="-5"/>
        </w:rPr>
        <w:t> </w:t>
      </w:r>
      <w:r>
        <w:rPr>
          <w:color w:val="231F20"/>
        </w:rPr>
        <w:t>y</w:t>
      </w:r>
      <w:r>
        <w:rPr>
          <w:color w:val="231F20"/>
          <w:spacing w:val="-5"/>
        </w:rPr>
        <w:t> </w:t>
      </w:r>
      <w:r>
        <w:rPr>
          <w:color w:val="231F20"/>
        </w:rPr>
        <w:t>1000</w:t>
      </w:r>
      <w:r>
        <w:rPr>
          <w:color w:val="231F20"/>
          <w:spacing w:val="-5"/>
        </w:rPr>
        <w:t> </w:t>
      </w:r>
      <w:r>
        <w:rPr>
          <w:color w:val="231F20"/>
        </w:rPr>
        <w:t>ppmmostraron</w:t>
      </w:r>
      <w:r>
        <w:rPr>
          <w:color w:val="231F20"/>
          <w:spacing w:val="-5"/>
        </w:rPr>
        <w:t> </w:t>
      </w:r>
      <w:r>
        <w:rPr>
          <w:color w:val="231F20"/>
        </w:rPr>
        <w:t>disminución</w:t>
      </w:r>
      <w:r>
        <w:rPr>
          <w:color w:val="231F20"/>
          <w:spacing w:val="-5"/>
        </w:rPr>
        <w:t> </w:t>
      </w:r>
      <w:r>
        <w:rPr>
          <w:color w:val="231F20"/>
        </w:rPr>
        <w:t>en</w:t>
      </w:r>
      <w:r>
        <w:rPr>
          <w:color w:val="231F20"/>
          <w:spacing w:val="-5"/>
        </w:rPr>
        <w:t> </w:t>
      </w:r>
      <w:r>
        <w:rPr>
          <w:color w:val="231F20"/>
        </w:rPr>
        <w:t>su</w:t>
      </w:r>
      <w:r>
        <w:rPr>
          <w:color w:val="231F20"/>
          <w:spacing w:val="-5"/>
        </w:rPr>
        <w:t> </w:t>
      </w:r>
      <w:r>
        <w:rPr>
          <w:color w:val="231F20"/>
        </w:rPr>
        <w:t>crecimiento</w:t>
      </w:r>
      <w:r>
        <w:rPr>
          <w:color w:val="231F20"/>
          <w:spacing w:val="-5"/>
        </w:rPr>
        <w:t> </w:t>
      </w:r>
      <w:r>
        <w:rPr>
          <w:color w:val="231F20"/>
        </w:rPr>
        <w:t>de</w:t>
      </w:r>
      <w:r>
        <w:rPr>
          <w:color w:val="231F20"/>
          <w:spacing w:val="-5"/>
        </w:rPr>
        <w:t> </w:t>
      </w:r>
      <w:r>
        <w:rPr>
          <w:color w:val="231F20"/>
        </w:rPr>
        <w:t>manera</w:t>
      </w:r>
      <w:r>
        <w:rPr>
          <w:color w:val="231F20"/>
          <w:spacing w:val="-5"/>
        </w:rPr>
        <w:t> </w:t>
      </w:r>
      <w:r>
        <w:rPr>
          <w:color w:val="231F20"/>
        </w:rPr>
        <w:t>significativa con respecto al testigo y a las 120 h ocurrió lo mismo en 250</w:t>
      </w:r>
      <w:r>
        <w:rPr>
          <w:color w:val="231F20"/>
          <w:spacing w:val="-6"/>
        </w:rPr>
        <w:t> </w:t>
      </w:r>
      <w:r>
        <w:rPr>
          <w:color w:val="231F20"/>
        </w:rPr>
        <w:t>ppm.</w:t>
      </w:r>
    </w:p>
    <w:p>
      <w:pPr>
        <w:pStyle w:val="BodyText"/>
        <w:spacing w:before="4"/>
      </w:pPr>
    </w:p>
    <w:p>
      <w:pPr>
        <w:spacing w:line="249" w:lineRule="auto" w:before="0"/>
        <w:ind w:left="1974" w:right="1971" w:firstLine="0"/>
        <w:jc w:val="center"/>
        <w:rPr>
          <w:b/>
          <w:sz w:val="18"/>
        </w:rPr>
      </w:pPr>
      <w:r>
        <w:rPr>
          <w:b/>
          <w:color w:val="010202"/>
          <w:sz w:val="18"/>
        </w:rPr>
        <w:t>Gráfica 2. Efecto del extracto hexánico de </w:t>
      </w:r>
      <w:r>
        <w:rPr>
          <w:b/>
          <w:i/>
          <w:color w:val="010202"/>
          <w:sz w:val="18"/>
        </w:rPr>
        <w:t>E. hyemale </w:t>
      </w:r>
      <w:r>
        <w:rPr>
          <w:b/>
          <w:color w:val="010202"/>
          <w:sz w:val="18"/>
        </w:rPr>
        <w:t>en la velocidad de crecimiento radial del micelio (mm/hr) de </w:t>
      </w:r>
      <w:r>
        <w:rPr>
          <w:b/>
          <w:i/>
          <w:color w:val="010202"/>
          <w:sz w:val="18"/>
        </w:rPr>
        <w:t>P. italicum</w:t>
      </w:r>
      <w:r>
        <w:rPr>
          <w:b/>
          <w:color w:val="010202"/>
          <w:sz w:val="18"/>
        </w:rPr>
        <w:t>. Promedio de tres repeticiones con seis lecturas.</w:t>
      </w:r>
    </w:p>
    <w:p>
      <w:pPr>
        <w:pStyle w:val="BodyText"/>
        <w:spacing w:before="1"/>
        <w:rPr>
          <w:b/>
          <w:sz w:val="18"/>
        </w:rPr>
      </w:pPr>
      <w:r>
        <w:rPr/>
        <w:drawing>
          <wp:anchor distT="0" distB="0" distL="0" distR="0" allowOverlap="1" layoutInCell="1" locked="0" behindDoc="0" simplePos="0" relativeHeight="6232">
            <wp:simplePos x="0" y="0"/>
            <wp:positionH relativeFrom="page">
              <wp:posOffset>1404000</wp:posOffset>
            </wp:positionH>
            <wp:positionV relativeFrom="paragraph">
              <wp:posOffset>156902</wp:posOffset>
            </wp:positionV>
            <wp:extent cx="4118930" cy="2190273"/>
            <wp:effectExtent l="0" t="0" r="0" b="0"/>
            <wp:wrapTopAndBottom/>
            <wp:docPr id="213" name="image91.png" descr=""/>
            <wp:cNvGraphicFramePr>
              <a:graphicFrameLocks noChangeAspect="1"/>
            </wp:cNvGraphicFramePr>
            <a:graphic>
              <a:graphicData uri="http://schemas.openxmlformats.org/drawingml/2006/picture">
                <pic:pic>
                  <pic:nvPicPr>
                    <pic:cNvPr id="214" name="image91.png"/>
                    <pic:cNvPicPr/>
                  </pic:nvPicPr>
                  <pic:blipFill>
                    <a:blip r:embed="rId140" cstate="print"/>
                    <a:stretch>
                      <a:fillRect/>
                    </a:stretch>
                  </pic:blipFill>
                  <pic:spPr>
                    <a:xfrm>
                      <a:off x="0" y="0"/>
                      <a:ext cx="4118930" cy="2190273"/>
                    </a:xfrm>
                    <a:prstGeom prst="rect">
                      <a:avLst/>
                    </a:prstGeom>
                  </pic:spPr>
                </pic:pic>
              </a:graphicData>
            </a:graphic>
          </wp:anchor>
        </w:drawing>
      </w:r>
    </w:p>
    <w:p>
      <w:pPr>
        <w:spacing w:after="0"/>
        <w:rPr>
          <w:sz w:val="18"/>
        </w:rPr>
        <w:sectPr>
          <w:pgSz w:w="10920" w:h="13080"/>
          <w:pgMar w:header="0" w:footer="965" w:top="420" w:bottom="1220" w:left="0" w:right="0"/>
        </w:sectPr>
      </w:pPr>
    </w:p>
    <w:p>
      <w:pPr>
        <w:pStyle w:val="BodyText"/>
        <w:rPr>
          <w:b/>
          <w:sz w:val="20"/>
        </w:rPr>
      </w:pPr>
    </w:p>
    <w:p>
      <w:pPr>
        <w:pStyle w:val="BodyText"/>
        <w:rPr>
          <w:b/>
          <w:sz w:val="20"/>
        </w:rPr>
      </w:pPr>
    </w:p>
    <w:p>
      <w:pPr>
        <w:pStyle w:val="BodyText"/>
        <w:rPr>
          <w:b/>
          <w:sz w:val="23"/>
        </w:rPr>
      </w:pPr>
    </w:p>
    <w:p>
      <w:pPr>
        <w:pStyle w:val="BodyText"/>
        <w:spacing w:line="247" w:lineRule="auto" w:before="73"/>
        <w:ind w:left="1270" w:right="1266"/>
        <w:jc w:val="both"/>
      </w:pPr>
      <w:r>
        <w:rPr>
          <w:color w:val="231F20"/>
        </w:rPr>
        <w:t>En</w:t>
      </w:r>
      <w:r>
        <w:rPr>
          <w:color w:val="231F20"/>
          <w:spacing w:val="-9"/>
        </w:rPr>
        <w:t> </w:t>
      </w:r>
      <w:r>
        <w:rPr>
          <w:color w:val="231F20"/>
        </w:rPr>
        <w:t>la</w:t>
      </w:r>
      <w:r>
        <w:rPr>
          <w:color w:val="231F20"/>
          <w:spacing w:val="-9"/>
        </w:rPr>
        <w:t> </w:t>
      </w:r>
      <w:r>
        <w:rPr>
          <w:color w:val="231F20"/>
          <w:spacing w:val="-3"/>
        </w:rPr>
        <w:t>gráfica</w:t>
      </w:r>
      <w:r>
        <w:rPr>
          <w:color w:val="231F20"/>
          <w:spacing w:val="-9"/>
        </w:rPr>
        <w:t> </w:t>
      </w:r>
      <w:r>
        <w:rPr>
          <w:color w:val="231F20"/>
        </w:rPr>
        <w:t>2</w:t>
      </w:r>
      <w:r>
        <w:rPr>
          <w:color w:val="231F20"/>
          <w:spacing w:val="-9"/>
        </w:rPr>
        <w:t> </w:t>
      </w:r>
      <w:r>
        <w:rPr>
          <w:color w:val="231F20"/>
        </w:rPr>
        <w:t>y</w:t>
      </w:r>
      <w:r>
        <w:rPr>
          <w:color w:val="231F20"/>
          <w:spacing w:val="-9"/>
        </w:rPr>
        <w:t> </w:t>
      </w:r>
      <w:r>
        <w:rPr>
          <w:color w:val="231F20"/>
          <w:spacing w:val="-4"/>
        </w:rPr>
        <w:t>cuadro</w:t>
      </w:r>
      <w:r>
        <w:rPr>
          <w:color w:val="231F20"/>
          <w:spacing w:val="-9"/>
        </w:rPr>
        <w:t> </w:t>
      </w:r>
      <w:r>
        <w:rPr>
          <w:color w:val="231F20"/>
        </w:rPr>
        <w:t>1,</w:t>
      </w:r>
      <w:r>
        <w:rPr>
          <w:color w:val="231F20"/>
          <w:spacing w:val="-9"/>
        </w:rPr>
        <w:t> </w:t>
      </w:r>
      <w:r>
        <w:rPr>
          <w:color w:val="231F20"/>
        </w:rPr>
        <w:t>se</w:t>
      </w:r>
      <w:r>
        <w:rPr>
          <w:color w:val="231F20"/>
          <w:spacing w:val="-9"/>
        </w:rPr>
        <w:t> </w:t>
      </w:r>
      <w:r>
        <w:rPr>
          <w:color w:val="231F20"/>
          <w:spacing w:val="-4"/>
        </w:rPr>
        <w:t>observa</w:t>
      </w:r>
      <w:r>
        <w:rPr>
          <w:color w:val="231F20"/>
          <w:spacing w:val="-9"/>
        </w:rPr>
        <w:t> </w:t>
      </w:r>
      <w:r>
        <w:rPr>
          <w:color w:val="231F20"/>
        </w:rPr>
        <w:t>la</w:t>
      </w:r>
      <w:r>
        <w:rPr>
          <w:color w:val="231F20"/>
          <w:spacing w:val="-9"/>
        </w:rPr>
        <w:t> </w:t>
      </w:r>
      <w:r>
        <w:rPr>
          <w:color w:val="231F20"/>
          <w:spacing w:val="-4"/>
        </w:rPr>
        <w:t>velocidad</w:t>
      </w:r>
      <w:r>
        <w:rPr>
          <w:color w:val="231F20"/>
          <w:spacing w:val="-9"/>
        </w:rPr>
        <w:t> </w:t>
      </w:r>
      <w:r>
        <w:rPr>
          <w:color w:val="231F20"/>
        </w:rPr>
        <w:t>de</w:t>
      </w:r>
      <w:r>
        <w:rPr>
          <w:color w:val="231F20"/>
          <w:spacing w:val="-9"/>
        </w:rPr>
        <w:t> </w:t>
      </w:r>
      <w:r>
        <w:rPr>
          <w:color w:val="231F20"/>
          <w:spacing w:val="-4"/>
        </w:rPr>
        <w:t>crecimiento</w:t>
      </w:r>
      <w:r>
        <w:rPr>
          <w:color w:val="231F20"/>
          <w:spacing w:val="-9"/>
        </w:rPr>
        <w:t> </w:t>
      </w:r>
      <w:r>
        <w:rPr>
          <w:color w:val="231F20"/>
          <w:spacing w:val="-4"/>
        </w:rPr>
        <w:t>(mm/hr)</w:t>
      </w:r>
      <w:r>
        <w:rPr>
          <w:color w:val="231F20"/>
          <w:spacing w:val="-9"/>
        </w:rPr>
        <w:t> </w:t>
      </w:r>
      <w:r>
        <w:rPr>
          <w:color w:val="231F20"/>
          <w:spacing w:val="-3"/>
        </w:rPr>
        <w:t>ante</w:t>
      </w:r>
      <w:r>
        <w:rPr>
          <w:color w:val="231F20"/>
          <w:spacing w:val="-9"/>
        </w:rPr>
        <w:t> </w:t>
      </w:r>
      <w:r>
        <w:rPr>
          <w:color w:val="231F20"/>
          <w:spacing w:val="-3"/>
        </w:rPr>
        <w:t>las</w:t>
      </w:r>
      <w:r>
        <w:rPr>
          <w:color w:val="231F20"/>
          <w:spacing w:val="-9"/>
        </w:rPr>
        <w:t> </w:t>
      </w:r>
      <w:r>
        <w:rPr>
          <w:color w:val="231F20"/>
          <w:spacing w:val="-4"/>
        </w:rPr>
        <w:t>diferentes</w:t>
      </w:r>
      <w:r>
        <w:rPr>
          <w:color w:val="231F20"/>
          <w:spacing w:val="-9"/>
        </w:rPr>
        <w:t> </w:t>
      </w:r>
      <w:r>
        <w:rPr>
          <w:color w:val="231F20"/>
          <w:spacing w:val="-4"/>
        </w:rPr>
        <w:t>concentra- ciones</w:t>
      </w:r>
      <w:r>
        <w:rPr>
          <w:color w:val="231F20"/>
          <w:spacing w:val="-7"/>
        </w:rPr>
        <w:t> </w:t>
      </w:r>
      <w:r>
        <w:rPr>
          <w:color w:val="231F20"/>
          <w:spacing w:val="-3"/>
        </w:rPr>
        <w:t>del</w:t>
      </w:r>
      <w:r>
        <w:rPr>
          <w:color w:val="231F20"/>
          <w:spacing w:val="-7"/>
        </w:rPr>
        <w:t> </w:t>
      </w:r>
      <w:r>
        <w:rPr>
          <w:color w:val="231F20"/>
          <w:spacing w:val="-4"/>
        </w:rPr>
        <w:t>extracto,</w:t>
      </w:r>
      <w:r>
        <w:rPr>
          <w:color w:val="231F20"/>
          <w:spacing w:val="-7"/>
        </w:rPr>
        <w:t> </w:t>
      </w:r>
      <w:r>
        <w:rPr>
          <w:color w:val="231F20"/>
        </w:rPr>
        <w:t>en</w:t>
      </w:r>
      <w:r>
        <w:rPr>
          <w:color w:val="231F20"/>
          <w:spacing w:val="-7"/>
        </w:rPr>
        <w:t> </w:t>
      </w:r>
      <w:r>
        <w:rPr>
          <w:color w:val="231F20"/>
          <w:spacing w:val="-4"/>
        </w:rPr>
        <w:t>ellas</w:t>
      </w:r>
      <w:r>
        <w:rPr>
          <w:color w:val="231F20"/>
          <w:spacing w:val="-7"/>
        </w:rPr>
        <w:t> </w:t>
      </w:r>
      <w:r>
        <w:rPr>
          <w:color w:val="231F20"/>
        </w:rPr>
        <w:t>se</w:t>
      </w:r>
      <w:r>
        <w:rPr>
          <w:color w:val="231F20"/>
          <w:spacing w:val="-7"/>
        </w:rPr>
        <w:t> </w:t>
      </w:r>
      <w:r>
        <w:rPr>
          <w:color w:val="231F20"/>
          <w:spacing w:val="-4"/>
        </w:rPr>
        <w:t>aprecia</w:t>
      </w:r>
      <w:r>
        <w:rPr>
          <w:color w:val="231F20"/>
          <w:spacing w:val="-7"/>
        </w:rPr>
        <w:t> </w:t>
      </w:r>
      <w:r>
        <w:rPr>
          <w:color w:val="231F20"/>
          <w:spacing w:val="-3"/>
        </w:rPr>
        <w:t>que</w:t>
      </w:r>
      <w:r>
        <w:rPr>
          <w:color w:val="231F20"/>
          <w:spacing w:val="-7"/>
        </w:rPr>
        <w:t> </w:t>
      </w:r>
      <w:r>
        <w:rPr>
          <w:color w:val="231F20"/>
          <w:spacing w:val="-4"/>
        </w:rPr>
        <w:t>disminuye</w:t>
      </w:r>
      <w:r>
        <w:rPr>
          <w:color w:val="231F20"/>
          <w:spacing w:val="-7"/>
        </w:rPr>
        <w:t> </w:t>
      </w:r>
      <w:r>
        <w:rPr>
          <w:color w:val="231F20"/>
        </w:rPr>
        <w:t>de</w:t>
      </w:r>
      <w:r>
        <w:rPr>
          <w:color w:val="231F20"/>
          <w:spacing w:val="-7"/>
        </w:rPr>
        <w:t> </w:t>
      </w:r>
      <w:r>
        <w:rPr>
          <w:color w:val="231F20"/>
          <w:spacing w:val="-4"/>
        </w:rPr>
        <w:t>manera</w:t>
      </w:r>
      <w:r>
        <w:rPr>
          <w:color w:val="231F20"/>
          <w:spacing w:val="-7"/>
        </w:rPr>
        <w:t> </w:t>
      </w:r>
      <w:r>
        <w:rPr>
          <w:color w:val="231F20"/>
          <w:spacing w:val="-4"/>
        </w:rPr>
        <w:t>significativa</w:t>
      </w:r>
      <w:r>
        <w:rPr>
          <w:color w:val="231F20"/>
          <w:spacing w:val="-7"/>
        </w:rPr>
        <w:t> </w:t>
      </w:r>
      <w:r>
        <w:rPr>
          <w:color w:val="231F20"/>
          <w:spacing w:val="-4"/>
        </w:rPr>
        <w:t>conforme</w:t>
      </w:r>
      <w:r>
        <w:rPr>
          <w:color w:val="231F20"/>
          <w:spacing w:val="-7"/>
        </w:rPr>
        <w:t> </w:t>
      </w:r>
      <w:r>
        <w:rPr>
          <w:color w:val="231F20"/>
        </w:rPr>
        <w:t>se</w:t>
      </w:r>
      <w:r>
        <w:rPr>
          <w:color w:val="231F20"/>
          <w:spacing w:val="-7"/>
        </w:rPr>
        <w:t> </w:t>
      </w:r>
      <w:r>
        <w:rPr>
          <w:color w:val="231F20"/>
          <w:spacing w:val="-4"/>
        </w:rPr>
        <w:t>incrementa</w:t>
      </w:r>
      <w:r>
        <w:rPr>
          <w:color w:val="231F20"/>
          <w:spacing w:val="-7"/>
        </w:rPr>
        <w:t> </w:t>
      </w:r>
      <w:r>
        <w:rPr>
          <w:color w:val="231F20"/>
          <w:spacing w:val="-4"/>
        </w:rPr>
        <w:t>la concentración,</w:t>
      </w:r>
      <w:r>
        <w:rPr>
          <w:color w:val="231F20"/>
          <w:spacing w:val="-16"/>
        </w:rPr>
        <w:t> </w:t>
      </w:r>
      <w:r>
        <w:rPr>
          <w:color w:val="231F20"/>
          <w:spacing w:val="-3"/>
        </w:rPr>
        <w:t>esto</w:t>
      </w:r>
      <w:r>
        <w:rPr>
          <w:color w:val="231F20"/>
          <w:spacing w:val="-16"/>
        </w:rPr>
        <w:t> </w:t>
      </w:r>
      <w:r>
        <w:rPr>
          <w:color w:val="231F20"/>
        </w:rPr>
        <w:t>es</w:t>
      </w:r>
      <w:r>
        <w:rPr>
          <w:color w:val="231F20"/>
          <w:spacing w:val="-16"/>
        </w:rPr>
        <w:t> </w:t>
      </w:r>
      <w:r>
        <w:rPr>
          <w:color w:val="231F20"/>
          <w:spacing w:val="-3"/>
        </w:rPr>
        <w:t>más</w:t>
      </w:r>
      <w:r>
        <w:rPr>
          <w:color w:val="231F20"/>
          <w:spacing w:val="-16"/>
        </w:rPr>
        <w:t> </w:t>
      </w:r>
      <w:r>
        <w:rPr>
          <w:color w:val="231F20"/>
          <w:spacing w:val="-4"/>
        </w:rPr>
        <w:t>evidente</w:t>
      </w:r>
      <w:r>
        <w:rPr>
          <w:color w:val="231F20"/>
          <w:spacing w:val="-16"/>
        </w:rPr>
        <w:t> </w:t>
      </w:r>
      <w:r>
        <w:rPr>
          <w:color w:val="231F20"/>
        </w:rPr>
        <w:t>en</w:t>
      </w:r>
      <w:r>
        <w:rPr>
          <w:color w:val="231F20"/>
          <w:spacing w:val="-16"/>
        </w:rPr>
        <w:t> </w:t>
      </w:r>
      <w:r>
        <w:rPr>
          <w:color w:val="231F20"/>
          <w:spacing w:val="-3"/>
        </w:rPr>
        <w:t>500</w:t>
      </w:r>
      <w:r>
        <w:rPr>
          <w:color w:val="231F20"/>
          <w:spacing w:val="-16"/>
        </w:rPr>
        <w:t> </w:t>
      </w:r>
      <w:r>
        <w:rPr>
          <w:color w:val="231F20"/>
        </w:rPr>
        <w:t>y</w:t>
      </w:r>
      <w:r>
        <w:rPr>
          <w:color w:val="231F20"/>
          <w:spacing w:val="-16"/>
        </w:rPr>
        <w:t> </w:t>
      </w:r>
      <w:r>
        <w:rPr>
          <w:color w:val="231F20"/>
          <w:spacing w:val="-3"/>
        </w:rPr>
        <w:t>1000</w:t>
      </w:r>
      <w:r>
        <w:rPr>
          <w:color w:val="231F20"/>
          <w:spacing w:val="-16"/>
        </w:rPr>
        <w:t> </w:t>
      </w:r>
      <w:r>
        <w:rPr>
          <w:color w:val="231F20"/>
          <w:spacing w:val="-3"/>
        </w:rPr>
        <w:t>ppm.</w:t>
      </w:r>
      <w:r>
        <w:rPr>
          <w:color w:val="231F20"/>
          <w:spacing w:val="-16"/>
        </w:rPr>
        <w:t> </w:t>
      </w:r>
      <w:r>
        <w:rPr>
          <w:color w:val="231F20"/>
        </w:rPr>
        <w:t>La</w:t>
      </w:r>
      <w:r>
        <w:rPr>
          <w:color w:val="231F20"/>
          <w:spacing w:val="-16"/>
        </w:rPr>
        <w:t> </w:t>
      </w:r>
      <w:r>
        <w:rPr>
          <w:color w:val="231F20"/>
          <w:spacing w:val="-4"/>
        </w:rPr>
        <w:t>reducción</w:t>
      </w:r>
      <w:r>
        <w:rPr>
          <w:color w:val="231F20"/>
          <w:spacing w:val="-16"/>
        </w:rPr>
        <w:t> </w:t>
      </w:r>
      <w:r>
        <w:rPr>
          <w:color w:val="231F20"/>
        </w:rPr>
        <w:t>en</w:t>
      </w:r>
      <w:r>
        <w:rPr>
          <w:color w:val="231F20"/>
          <w:spacing w:val="-16"/>
        </w:rPr>
        <w:t> </w:t>
      </w:r>
      <w:r>
        <w:rPr>
          <w:color w:val="231F20"/>
        </w:rPr>
        <w:t>la</w:t>
      </w:r>
      <w:r>
        <w:rPr>
          <w:color w:val="231F20"/>
          <w:spacing w:val="-20"/>
        </w:rPr>
        <w:t> </w:t>
      </w:r>
      <w:r>
        <w:rPr>
          <w:color w:val="231F20"/>
          <w:spacing w:val="-10"/>
        </w:rPr>
        <w:t>V.C.</w:t>
      </w:r>
      <w:r>
        <w:rPr>
          <w:color w:val="231F20"/>
          <w:spacing w:val="-16"/>
        </w:rPr>
        <w:t> </w:t>
      </w:r>
      <w:r>
        <w:rPr>
          <w:color w:val="231F20"/>
          <w:spacing w:val="-4"/>
        </w:rPr>
        <w:t>(velocidad</w:t>
      </w:r>
      <w:r>
        <w:rPr>
          <w:color w:val="231F20"/>
          <w:spacing w:val="-16"/>
        </w:rPr>
        <w:t> </w:t>
      </w:r>
      <w:r>
        <w:rPr>
          <w:color w:val="231F20"/>
        </w:rPr>
        <w:t>de</w:t>
      </w:r>
      <w:r>
        <w:rPr>
          <w:color w:val="231F20"/>
          <w:spacing w:val="-16"/>
        </w:rPr>
        <w:t> </w:t>
      </w:r>
      <w:r>
        <w:rPr>
          <w:color w:val="231F20"/>
          <w:spacing w:val="-4"/>
        </w:rPr>
        <w:t>crecimien- </w:t>
      </w:r>
      <w:r>
        <w:rPr>
          <w:color w:val="231F20"/>
          <w:spacing w:val="-3"/>
        </w:rPr>
        <w:t>to)</w:t>
      </w:r>
      <w:r>
        <w:rPr>
          <w:color w:val="231F20"/>
          <w:spacing w:val="-6"/>
        </w:rPr>
        <w:t> </w:t>
      </w:r>
      <w:r>
        <w:rPr>
          <w:color w:val="231F20"/>
        </w:rPr>
        <w:t>en</w:t>
      </w:r>
      <w:r>
        <w:rPr>
          <w:color w:val="231F20"/>
          <w:spacing w:val="-6"/>
        </w:rPr>
        <w:t> </w:t>
      </w:r>
      <w:r>
        <w:rPr>
          <w:color w:val="231F20"/>
          <w:spacing w:val="-4"/>
        </w:rPr>
        <w:t>comparación</w:t>
      </w:r>
      <w:r>
        <w:rPr>
          <w:color w:val="231F20"/>
          <w:spacing w:val="-6"/>
        </w:rPr>
        <w:t> </w:t>
      </w:r>
      <w:r>
        <w:rPr>
          <w:color w:val="231F20"/>
          <w:spacing w:val="-3"/>
        </w:rPr>
        <w:t>con</w:t>
      </w:r>
      <w:r>
        <w:rPr>
          <w:color w:val="231F20"/>
          <w:spacing w:val="-6"/>
        </w:rPr>
        <w:t> </w:t>
      </w:r>
      <w:r>
        <w:rPr>
          <w:color w:val="231F20"/>
        </w:rPr>
        <w:t>el</w:t>
      </w:r>
      <w:r>
        <w:rPr>
          <w:color w:val="231F20"/>
          <w:spacing w:val="-6"/>
        </w:rPr>
        <w:t> </w:t>
      </w:r>
      <w:r>
        <w:rPr>
          <w:color w:val="231F20"/>
          <w:spacing w:val="-4"/>
        </w:rPr>
        <w:t>control</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spacing w:val="-4"/>
        </w:rPr>
        <w:t>concentración</w:t>
      </w:r>
      <w:r>
        <w:rPr>
          <w:color w:val="231F20"/>
          <w:spacing w:val="-6"/>
        </w:rPr>
        <w:t> </w:t>
      </w:r>
      <w:r>
        <w:rPr>
          <w:color w:val="231F20"/>
        </w:rPr>
        <w:t>de</w:t>
      </w:r>
      <w:r>
        <w:rPr>
          <w:color w:val="231F20"/>
          <w:spacing w:val="-6"/>
        </w:rPr>
        <w:t> </w:t>
      </w:r>
      <w:r>
        <w:rPr>
          <w:color w:val="231F20"/>
          <w:spacing w:val="-3"/>
        </w:rPr>
        <w:t>250</w:t>
      </w:r>
      <w:r>
        <w:rPr>
          <w:color w:val="231F20"/>
          <w:spacing w:val="-6"/>
        </w:rPr>
        <w:t> </w:t>
      </w:r>
      <w:r>
        <w:rPr>
          <w:color w:val="231F20"/>
          <w:spacing w:val="-3"/>
        </w:rPr>
        <w:t>ppm</w:t>
      </w:r>
      <w:r>
        <w:rPr>
          <w:color w:val="231F20"/>
          <w:spacing w:val="-6"/>
        </w:rPr>
        <w:t> </w:t>
      </w:r>
      <w:r>
        <w:rPr>
          <w:color w:val="231F20"/>
          <w:spacing w:val="-3"/>
        </w:rPr>
        <w:t>fue</w:t>
      </w:r>
      <w:r>
        <w:rPr>
          <w:color w:val="231F20"/>
          <w:spacing w:val="-6"/>
        </w:rPr>
        <w:t> </w:t>
      </w:r>
      <w:r>
        <w:rPr>
          <w:color w:val="231F20"/>
        </w:rPr>
        <w:t>de</w:t>
      </w:r>
      <w:r>
        <w:rPr>
          <w:color w:val="231F20"/>
          <w:spacing w:val="-6"/>
        </w:rPr>
        <w:t> </w:t>
      </w:r>
      <w:r>
        <w:rPr>
          <w:color w:val="231F20"/>
          <w:spacing w:val="-3"/>
        </w:rPr>
        <w:t>18%,</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de</w:t>
      </w:r>
      <w:r>
        <w:rPr>
          <w:color w:val="231F20"/>
          <w:spacing w:val="-6"/>
        </w:rPr>
        <w:t> </w:t>
      </w:r>
      <w:r>
        <w:rPr>
          <w:color w:val="231F20"/>
          <w:spacing w:val="-3"/>
        </w:rPr>
        <w:t>500</w:t>
      </w:r>
      <w:r>
        <w:rPr>
          <w:color w:val="231F20"/>
          <w:spacing w:val="-6"/>
        </w:rPr>
        <w:t> </w:t>
      </w:r>
      <w:r>
        <w:rPr>
          <w:color w:val="231F20"/>
          <w:spacing w:val="-3"/>
        </w:rPr>
        <w:t>ppm</w:t>
      </w:r>
      <w:r>
        <w:rPr>
          <w:color w:val="231F20"/>
          <w:spacing w:val="-6"/>
        </w:rPr>
        <w:t> </w:t>
      </w:r>
      <w:r>
        <w:rPr>
          <w:color w:val="231F20"/>
          <w:spacing w:val="-3"/>
        </w:rPr>
        <w:t>fue</w:t>
      </w:r>
      <w:r>
        <w:rPr>
          <w:color w:val="231F20"/>
          <w:spacing w:val="-6"/>
        </w:rPr>
        <w:t> </w:t>
      </w:r>
      <w:r>
        <w:rPr>
          <w:color w:val="231F20"/>
          <w:spacing w:val="-4"/>
        </w:rPr>
        <w:t>de </w:t>
      </w:r>
      <w:r>
        <w:rPr>
          <w:color w:val="231F20"/>
          <w:spacing w:val="-3"/>
        </w:rPr>
        <w:t>46% </w:t>
      </w:r>
      <w:r>
        <w:rPr>
          <w:color w:val="231F20"/>
        </w:rPr>
        <w:t>y en la de </w:t>
      </w:r>
      <w:r>
        <w:rPr>
          <w:color w:val="231F20"/>
          <w:spacing w:val="-3"/>
        </w:rPr>
        <w:t>1000 ppm fue </w:t>
      </w:r>
      <w:r>
        <w:rPr>
          <w:color w:val="231F20"/>
        </w:rPr>
        <w:t>de </w:t>
      </w:r>
      <w:r>
        <w:rPr>
          <w:color w:val="231F20"/>
          <w:spacing w:val="-3"/>
        </w:rPr>
        <w:t>57%. </w:t>
      </w:r>
      <w:r>
        <w:rPr>
          <w:color w:val="231F20"/>
          <w:spacing w:val="-4"/>
        </w:rPr>
        <w:t>Entre </w:t>
      </w:r>
      <w:r>
        <w:rPr>
          <w:color w:val="231F20"/>
          <w:spacing w:val="-3"/>
        </w:rPr>
        <w:t>las </w:t>
      </w:r>
      <w:r>
        <w:rPr>
          <w:color w:val="231F20"/>
          <w:spacing w:val="-4"/>
        </w:rPr>
        <w:t>concentraciones </w:t>
      </w:r>
      <w:r>
        <w:rPr>
          <w:color w:val="231F20"/>
        </w:rPr>
        <w:t>de </w:t>
      </w:r>
      <w:r>
        <w:rPr>
          <w:color w:val="231F20"/>
          <w:spacing w:val="-3"/>
        </w:rPr>
        <w:t>500 </w:t>
      </w:r>
      <w:r>
        <w:rPr>
          <w:color w:val="231F20"/>
        </w:rPr>
        <w:t>y </w:t>
      </w:r>
      <w:r>
        <w:rPr>
          <w:color w:val="231F20"/>
          <w:spacing w:val="-3"/>
        </w:rPr>
        <w:t>1000 ppm </w:t>
      </w:r>
      <w:r>
        <w:rPr>
          <w:color w:val="231F20"/>
        </w:rPr>
        <w:t>no se </w:t>
      </w:r>
      <w:r>
        <w:rPr>
          <w:color w:val="231F20"/>
          <w:spacing w:val="-4"/>
        </w:rPr>
        <w:t>presentaron diferencias significativas, </w:t>
      </w:r>
      <w:r>
        <w:rPr>
          <w:color w:val="231F20"/>
          <w:spacing w:val="-3"/>
        </w:rPr>
        <w:t>por </w:t>
      </w:r>
      <w:r>
        <w:rPr>
          <w:color w:val="231F20"/>
        </w:rPr>
        <w:t>lo </w:t>
      </w:r>
      <w:r>
        <w:rPr>
          <w:color w:val="231F20"/>
          <w:spacing w:val="-3"/>
        </w:rPr>
        <w:t>que fue </w:t>
      </w:r>
      <w:r>
        <w:rPr>
          <w:color w:val="231F20"/>
          <w:spacing w:val="-4"/>
        </w:rPr>
        <w:t>necesario incrementar </w:t>
      </w:r>
      <w:r>
        <w:rPr>
          <w:color w:val="231F20"/>
          <w:spacing w:val="-3"/>
        </w:rPr>
        <w:t>las </w:t>
      </w:r>
      <w:r>
        <w:rPr>
          <w:color w:val="231F20"/>
          <w:spacing w:val="-4"/>
        </w:rPr>
        <w:t>concentraciones </w:t>
      </w:r>
      <w:r>
        <w:rPr>
          <w:color w:val="231F20"/>
          <w:spacing w:val="-3"/>
        </w:rPr>
        <w:t>para </w:t>
      </w:r>
      <w:r>
        <w:rPr>
          <w:color w:val="231F20"/>
          <w:spacing w:val="-4"/>
        </w:rPr>
        <w:t>encontrar la dosis inhibitoria </w:t>
      </w:r>
      <w:r>
        <w:rPr>
          <w:color w:val="231F20"/>
          <w:spacing w:val="-3"/>
        </w:rPr>
        <w:t>del </w:t>
      </w:r>
      <w:r>
        <w:rPr>
          <w:color w:val="231F20"/>
          <w:spacing w:val="-4"/>
        </w:rPr>
        <w:t>crecimiento </w:t>
      </w:r>
      <w:r>
        <w:rPr>
          <w:color w:val="231F20"/>
          <w:spacing w:val="-3"/>
        </w:rPr>
        <w:t>del </w:t>
      </w:r>
      <w:r>
        <w:rPr>
          <w:color w:val="231F20"/>
          <w:spacing w:val="-4"/>
        </w:rPr>
        <w:t>hongo, </w:t>
      </w:r>
      <w:r>
        <w:rPr>
          <w:color w:val="231F20"/>
        </w:rPr>
        <w:t>lo </w:t>
      </w:r>
      <w:r>
        <w:rPr>
          <w:color w:val="231F20"/>
          <w:spacing w:val="-3"/>
        </w:rPr>
        <w:t>cual </w:t>
      </w:r>
      <w:r>
        <w:rPr>
          <w:color w:val="231F20"/>
        </w:rPr>
        <w:t>se </w:t>
      </w:r>
      <w:r>
        <w:rPr>
          <w:color w:val="231F20"/>
          <w:spacing w:val="-4"/>
        </w:rPr>
        <w:t>realizó </w:t>
      </w:r>
      <w:r>
        <w:rPr>
          <w:color w:val="231F20"/>
          <w:spacing w:val="-3"/>
        </w:rPr>
        <w:t>con </w:t>
      </w:r>
      <w:r>
        <w:rPr>
          <w:color w:val="231F20"/>
        </w:rPr>
        <w:t>E</w:t>
      </w:r>
      <w:r>
        <w:rPr>
          <w:i/>
          <w:color w:val="231F20"/>
        </w:rPr>
        <w:t>. </w:t>
      </w:r>
      <w:r>
        <w:rPr>
          <w:i/>
          <w:color w:val="231F20"/>
          <w:spacing w:val="-4"/>
        </w:rPr>
        <w:t>hyemaleaffinemyriochaetum</w:t>
      </w:r>
      <w:r>
        <w:rPr>
          <w:color w:val="231F20"/>
          <w:spacing w:val="-4"/>
        </w:rPr>
        <w:t>. </w:t>
      </w:r>
      <w:r>
        <w:rPr>
          <w:color w:val="231F20"/>
        </w:rPr>
        <w:t>En </w:t>
      </w:r>
      <w:r>
        <w:rPr>
          <w:color w:val="231F20"/>
          <w:spacing w:val="-4"/>
        </w:rPr>
        <w:t>lo referente </w:t>
      </w:r>
      <w:r>
        <w:rPr>
          <w:color w:val="231F20"/>
        </w:rPr>
        <w:t>al </w:t>
      </w:r>
      <w:r>
        <w:rPr>
          <w:color w:val="231F20"/>
          <w:spacing w:val="-3"/>
        </w:rPr>
        <w:t>R.C. </w:t>
      </w:r>
      <w:r>
        <w:rPr>
          <w:color w:val="231F20"/>
          <w:spacing w:val="-4"/>
        </w:rPr>
        <w:t>(radio </w:t>
      </w:r>
      <w:r>
        <w:rPr>
          <w:color w:val="231F20"/>
        </w:rPr>
        <w:t>de la </w:t>
      </w:r>
      <w:r>
        <w:rPr>
          <w:color w:val="231F20"/>
          <w:spacing w:val="-4"/>
        </w:rPr>
        <w:t>colonia) </w:t>
      </w:r>
      <w:r>
        <w:rPr>
          <w:color w:val="231F20"/>
        </w:rPr>
        <w:t>el </w:t>
      </w:r>
      <w:r>
        <w:rPr>
          <w:color w:val="231F20"/>
          <w:spacing w:val="-4"/>
        </w:rPr>
        <w:t>comportamiento </w:t>
      </w:r>
      <w:r>
        <w:rPr>
          <w:color w:val="231F20"/>
          <w:spacing w:val="-3"/>
        </w:rPr>
        <w:t>que </w:t>
      </w:r>
      <w:r>
        <w:rPr>
          <w:color w:val="231F20"/>
          <w:spacing w:val="-4"/>
        </w:rPr>
        <w:t>presentó </w:t>
      </w:r>
      <w:r>
        <w:rPr>
          <w:color w:val="231F20"/>
          <w:spacing w:val="-3"/>
        </w:rPr>
        <w:t>fue muy </w:t>
      </w:r>
      <w:r>
        <w:rPr>
          <w:color w:val="231F20"/>
          <w:spacing w:val="-4"/>
        </w:rPr>
        <w:t>similar </w:t>
      </w:r>
      <w:r>
        <w:rPr>
          <w:color w:val="231F20"/>
        </w:rPr>
        <w:t>a la </w:t>
      </w:r>
      <w:r>
        <w:rPr>
          <w:color w:val="231F20"/>
          <w:spacing w:val="-10"/>
        </w:rPr>
        <w:t>V.C. </w:t>
      </w:r>
      <w:r>
        <w:rPr>
          <w:color w:val="231F20"/>
        </w:rPr>
        <w:t>ya </w:t>
      </w:r>
      <w:r>
        <w:rPr>
          <w:color w:val="231F20"/>
          <w:spacing w:val="-4"/>
        </w:rPr>
        <w:t>que mostró</w:t>
      </w:r>
      <w:r>
        <w:rPr>
          <w:color w:val="231F20"/>
          <w:spacing w:val="-11"/>
        </w:rPr>
        <w:t> </w:t>
      </w:r>
      <w:r>
        <w:rPr>
          <w:color w:val="231F20"/>
          <w:spacing w:val="-3"/>
        </w:rPr>
        <w:t>una</w:t>
      </w:r>
      <w:r>
        <w:rPr>
          <w:color w:val="231F20"/>
          <w:spacing w:val="-11"/>
        </w:rPr>
        <w:t> </w:t>
      </w:r>
      <w:r>
        <w:rPr>
          <w:color w:val="231F20"/>
          <w:spacing w:val="-4"/>
        </w:rPr>
        <w:t>disminución</w:t>
      </w:r>
      <w:r>
        <w:rPr>
          <w:color w:val="231F20"/>
          <w:spacing w:val="-11"/>
        </w:rPr>
        <w:t> </w:t>
      </w:r>
      <w:r>
        <w:rPr>
          <w:color w:val="231F20"/>
          <w:spacing w:val="-3"/>
        </w:rPr>
        <w:t>del</w:t>
      </w:r>
      <w:r>
        <w:rPr>
          <w:color w:val="231F20"/>
          <w:spacing w:val="-11"/>
        </w:rPr>
        <w:t> </w:t>
      </w:r>
      <w:r>
        <w:rPr>
          <w:color w:val="231F20"/>
          <w:spacing w:val="-3"/>
        </w:rPr>
        <w:t>21%,</w:t>
      </w:r>
      <w:r>
        <w:rPr>
          <w:color w:val="231F20"/>
          <w:spacing w:val="-11"/>
        </w:rPr>
        <w:t> </w:t>
      </w:r>
      <w:r>
        <w:rPr>
          <w:color w:val="231F20"/>
          <w:spacing w:val="-3"/>
        </w:rPr>
        <w:t>39%</w:t>
      </w:r>
      <w:r>
        <w:rPr>
          <w:color w:val="231F20"/>
          <w:spacing w:val="-11"/>
        </w:rPr>
        <w:t> </w:t>
      </w:r>
      <w:r>
        <w:rPr>
          <w:color w:val="231F20"/>
        </w:rPr>
        <w:t>y</w:t>
      </w:r>
      <w:r>
        <w:rPr>
          <w:color w:val="231F20"/>
          <w:spacing w:val="-11"/>
        </w:rPr>
        <w:t> </w:t>
      </w:r>
      <w:r>
        <w:rPr>
          <w:color w:val="231F20"/>
          <w:spacing w:val="-3"/>
        </w:rPr>
        <w:t>52%</w:t>
      </w:r>
      <w:r>
        <w:rPr>
          <w:color w:val="231F20"/>
          <w:spacing w:val="-11"/>
        </w:rPr>
        <w:t> </w:t>
      </w:r>
      <w:r>
        <w:rPr>
          <w:color w:val="231F20"/>
          <w:spacing w:val="-3"/>
        </w:rPr>
        <w:t>con</w:t>
      </w:r>
      <w:r>
        <w:rPr>
          <w:color w:val="231F20"/>
          <w:spacing w:val="-11"/>
        </w:rPr>
        <w:t> </w:t>
      </w:r>
      <w:r>
        <w:rPr>
          <w:color w:val="231F20"/>
          <w:spacing w:val="-4"/>
        </w:rPr>
        <w:t>respecto</w:t>
      </w:r>
      <w:r>
        <w:rPr>
          <w:color w:val="231F20"/>
          <w:spacing w:val="-11"/>
        </w:rPr>
        <w:t> </w:t>
      </w:r>
      <w:r>
        <w:rPr>
          <w:color w:val="231F20"/>
        </w:rPr>
        <w:t>al</w:t>
      </w:r>
      <w:r>
        <w:rPr>
          <w:color w:val="231F20"/>
          <w:spacing w:val="-11"/>
        </w:rPr>
        <w:t> </w:t>
      </w:r>
      <w:r>
        <w:rPr>
          <w:color w:val="231F20"/>
          <w:spacing w:val="-4"/>
        </w:rPr>
        <w:t>control</w:t>
      </w:r>
      <w:r>
        <w:rPr>
          <w:color w:val="231F20"/>
          <w:spacing w:val="-11"/>
        </w:rPr>
        <w:t> </w:t>
      </w:r>
      <w:r>
        <w:rPr>
          <w:color w:val="231F20"/>
        </w:rPr>
        <w:t>en</w:t>
      </w:r>
      <w:r>
        <w:rPr>
          <w:color w:val="231F20"/>
          <w:spacing w:val="-11"/>
        </w:rPr>
        <w:t> </w:t>
      </w:r>
      <w:r>
        <w:rPr>
          <w:color w:val="231F20"/>
          <w:spacing w:val="-3"/>
        </w:rPr>
        <w:t>las</w:t>
      </w:r>
      <w:r>
        <w:rPr>
          <w:color w:val="231F20"/>
          <w:spacing w:val="-11"/>
        </w:rPr>
        <w:t> </w:t>
      </w:r>
      <w:r>
        <w:rPr>
          <w:color w:val="231F20"/>
          <w:spacing w:val="-4"/>
        </w:rPr>
        <w:t>concentraciones</w:t>
      </w:r>
      <w:r>
        <w:rPr>
          <w:color w:val="231F20"/>
          <w:spacing w:val="-11"/>
        </w:rPr>
        <w:t> </w:t>
      </w:r>
      <w:r>
        <w:rPr>
          <w:color w:val="231F20"/>
        </w:rPr>
        <w:t>de</w:t>
      </w:r>
      <w:r>
        <w:rPr>
          <w:color w:val="231F20"/>
          <w:spacing w:val="-11"/>
        </w:rPr>
        <w:t> </w:t>
      </w:r>
      <w:r>
        <w:rPr>
          <w:color w:val="231F20"/>
          <w:spacing w:val="-3"/>
        </w:rPr>
        <w:t>250,</w:t>
      </w:r>
      <w:r>
        <w:rPr>
          <w:color w:val="231F20"/>
          <w:spacing w:val="-11"/>
        </w:rPr>
        <w:t> </w:t>
      </w:r>
      <w:r>
        <w:rPr>
          <w:color w:val="231F20"/>
          <w:spacing w:val="-4"/>
        </w:rPr>
        <w:t>500 </w:t>
      </w:r>
      <w:r>
        <w:rPr>
          <w:color w:val="231F20"/>
        </w:rPr>
        <w:t>y </w:t>
      </w:r>
      <w:r>
        <w:rPr>
          <w:color w:val="231F20"/>
          <w:spacing w:val="-3"/>
        </w:rPr>
        <w:t>1000 ppm </w:t>
      </w:r>
      <w:r>
        <w:rPr>
          <w:color w:val="231F20"/>
          <w:spacing w:val="-4"/>
        </w:rPr>
        <w:t>respectivamente, </w:t>
      </w:r>
      <w:r>
        <w:rPr>
          <w:color w:val="231F20"/>
        </w:rPr>
        <w:t>al </w:t>
      </w:r>
      <w:r>
        <w:rPr>
          <w:color w:val="231F20"/>
          <w:spacing w:val="-3"/>
        </w:rPr>
        <w:t>final del </w:t>
      </w:r>
      <w:r>
        <w:rPr>
          <w:color w:val="231F20"/>
          <w:spacing w:val="-4"/>
        </w:rPr>
        <w:t>experimento. </w:t>
      </w:r>
      <w:r>
        <w:rPr>
          <w:color w:val="231F20"/>
        </w:rPr>
        <w:t>El </w:t>
      </w:r>
      <w:r>
        <w:rPr>
          <w:color w:val="231F20"/>
          <w:spacing w:val="-4"/>
        </w:rPr>
        <w:t>extracto </w:t>
      </w:r>
      <w:r>
        <w:rPr>
          <w:color w:val="231F20"/>
        </w:rPr>
        <w:t>de </w:t>
      </w:r>
      <w:r>
        <w:rPr>
          <w:i/>
          <w:color w:val="231F20"/>
        </w:rPr>
        <w:t>E. </w:t>
      </w:r>
      <w:r>
        <w:rPr>
          <w:i/>
          <w:color w:val="231F20"/>
          <w:spacing w:val="-4"/>
        </w:rPr>
        <w:t>hyemale </w:t>
      </w:r>
      <w:r>
        <w:rPr>
          <w:color w:val="231F20"/>
        </w:rPr>
        <w:t>es </w:t>
      </w:r>
      <w:r>
        <w:rPr>
          <w:color w:val="231F20"/>
          <w:spacing w:val="-4"/>
        </w:rPr>
        <w:t>candidato </w:t>
      </w:r>
      <w:r>
        <w:rPr>
          <w:color w:val="231F20"/>
          <w:spacing w:val="-3"/>
        </w:rPr>
        <w:t>para </w:t>
      </w:r>
      <w:r>
        <w:rPr>
          <w:color w:val="231F20"/>
          <w:spacing w:val="-4"/>
        </w:rPr>
        <w:t>el control</w:t>
      </w:r>
      <w:r>
        <w:rPr>
          <w:color w:val="231F20"/>
          <w:spacing w:val="-7"/>
        </w:rPr>
        <w:t> </w:t>
      </w:r>
      <w:r>
        <w:rPr>
          <w:color w:val="231F20"/>
          <w:spacing w:val="-3"/>
        </w:rPr>
        <w:t>del</w:t>
      </w:r>
      <w:r>
        <w:rPr>
          <w:color w:val="231F20"/>
          <w:spacing w:val="-7"/>
        </w:rPr>
        <w:t> </w:t>
      </w:r>
      <w:r>
        <w:rPr>
          <w:color w:val="231F20"/>
          <w:spacing w:val="-3"/>
        </w:rPr>
        <w:t>moho</w:t>
      </w:r>
      <w:r>
        <w:rPr>
          <w:color w:val="231F20"/>
          <w:spacing w:val="-7"/>
        </w:rPr>
        <w:t> </w:t>
      </w:r>
      <w:r>
        <w:rPr>
          <w:color w:val="231F20"/>
          <w:spacing w:val="-3"/>
        </w:rPr>
        <w:t>azul</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spacing w:val="-4"/>
        </w:rPr>
        <w:t>naranja</w:t>
      </w:r>
      <w:r>
        <w:rPr>
          <w:color w:val="231F20"/>
          <w:spacing w:val="-7"/>
        </w:rPr>
        <w:t> </w:t>
      </w:r>
      <w:r>
        <w:rPr>
          <w:i/>
          <w:color w:val="231F20"/>
          <w:spacing w:val="-16"/>
        </w:rPr>
        <w:t>P.</w:t>
      </w:r>
      <w:r>
        <w:rPr>
          <w:i/>
          <w:color w:val="231F20"/>
          <w:spacing w:val="-7"/>
        </w:rPr>
        <w:t> </w:t>
      </w:r>
      <w:r>
        <w:rPr>
          <w:i/>
          <w:color w:val="231F20"/>
          <w:spacing w:val="-4"/>
        </w:rPr>
        <w:t>italicum</w:t>
      </w:r>
      <w:r>
        <w:rPr>
          <w:color w:val="231F20"/>
          <w:spacing w:val="-4"/>
        </w:rPr>
        <w:t>,</w:t>
      </w:r>
      <w:r>
        <w:rPr>
          <w:color w:val="231F20"/>
          <w:spacing w:val="-7"/>
        </w:rPr>
        <w:t> </w:t>
      </w:r>
      <w:r>
        <w:rPr>
          <w:color w:val="231F20"/>
        </w:rPr>
        <w:t>es</w:t>
      </w:r>
      <w:r>
        <w:rPr>
          <w:color w:val="231F20"/>
          <w:spacing w:val="-7"/>
        </w:rPr>
        <w:t> </w:t>
      </w:r>
      <w:r>
        <w:rPr>
          <w:color w:val="231F20"/>
          <w:spacing w:val="-4"/>
        </w:rPr>
        <w:t>necesario</w:t>
      </w:r>
      <w:r>
        <w:rPr>
          <w:color w:val="231F20"/>
          <w:spacing w:val="-7"/>
        </w:rPr>
        <w:t> </w:t>
      </w:r>
      <w:r>
        <w:rPr>
          <w:color w:val="231F20"/>
          <w:spacing w:val="-4"/>
        </w:rPr>
        <w:t>probar</w:t>
      </w:r>
      <w:r>
        <w:rPr>
          <w:color w:val="231F20"/>
          <w:spacing w:val="-7"/>
        </w:rPr>
        <w:t> </w:t>
      </w:r>
      <w:r>
        <w:rPr>
          <w:color w:val="231F20"/>
          <w:spacing w:val="-4"/>
        </w:rPr>
        <w:t>extractos</w:t>
      </w:r>
      <w:r>
        <w:rPr>
          <w:color w:val="231F20"/>
          <w:spacing w:val="-7"/>
        </w:rPr>
        <w:t> </w:t>
      </w:r>
      <w:r>
        <w:rPr>
          <w:color w:val="231F20"/>
        </w:rPr>
        <w:t>a</w:t>
      </w:r>
      <w:r>
        <w:rPr>
          <w:color w:val="231F20"/>
          <w:spacing w:val="-7"/>
        </w:rPr>
        <w:t> </w:t>
      </w:r>
      <w:r>
        <w:rPr>
          <w:color w:val="231F20"/>
          <w:spacing w:val="-4"/>
        </w:rPr>
        <w:t>partir</w:t>
      </w:r>
      <w:r>
        <w:rPr>
          <w:color w:val="231F20"/>
          <w:spacing w:val="-7"/>
        </w:rPr>
        <w:t> </w:t>
      </w:r>
      <w:r>
        <w:rPr>
          <w:color w:val="231F20"/>
        </w:rPr>
        <w:t>de</w:t>
      </w:r>
      <w:r>
        <w:rPr>
          <w:color w:val="231F20"/>
          <w:spacing w:val="-7"/>
        </w:rPr>
        <w:t> </w:t>
      </w:r>
      <w:r>
        <w:rPr>
          <w:color w:val="231F20"/>
          <w:spacing w:val="-4"/>
        </w:rPr>
        <w:t>otros</w:t>
      </w:r>
      <w:r>
        <w:rPr>
          <w:color w:val="231F20"/>
          <w:spacing w:val="-7"/>
        </w:rPr>
        <w:t> </w:t>
      </w:r>
      <w:r>
        <w:rPr>
          <w:color w:val="231F20"/>
          <w:spacing w:val="-4"/>
        </w:rPr>
        <w:t>solventes.</w:t>
      </w:r>
    </w:p>
    <w:p>
      <w:pPr>
        <w:pStyle w:val="BodyText"/>
        <w:spacing w:before="5"/>
      </w:pPr>
    </w:p>
    <w:p>
      <w:pPr>
        <w:spacing w:before="0"/>
        <w:ind w:left="1489" w:right="1489" w:firstLine="0"/>
        <w:jc w:val="center"/>
        <w:rPr>
          <w:b/>
          <w:i/>
          <w:sz w:val="18"/>
        </w:rPr>
      </w:pPr>
      <w:r>
        <w:rPr>
          <w:b/>
          <w:color w:val="010202"/>
          <w:sz w:val="18"/>
        </w:rPr>
        <w:t>Cuadro 1. Radio de la colonia (R.C.) y velocidad de crecimiento (V.C.) de </w:t>
      </w:r>
      <w:r>
        <w:rPr>
          <w:b/>
          <w:i/>
          <w:color w:val="010202"/>
          <w:sz w:val="18"/>
        </w:rPr>
        <w:t>Penicilliumitalicum</w:t>
      </w:r>
    </w:p>
    <w:p>
      <w:pPr>
        <w:spacing w:before="9"/>
        <w:ind w:left="1489" w:right="1489" w:firstLine="0"/>
        <w:jc w:val="center"/>
        <w:rPr>
          <w:b/>
          <w:sz w:val="18"/>
        </w:rPr>
      </w:pPr>
      <w:r>
        <w:rPr>
          <w:b/>
          <w:color w:val="010202"/>
          <w:sz w:val="18"/>
        </w:rPr>
        <w:t>ante diferentes concentraciones del extracto hexánico de </w:t>
      </w:r>
      <w:r>
        <w:rPr>
          <w:b/>
          <w:i/>
          <w:color w:val="010202"/>
          <w:sz w:val="18"/>
        </w:rPr>
        <w:t>E. hyemale </w:t>
      </w:r>
      <w:r>
        <w:rPr>
          <w:b/>
          <w:color w:val="010202"/>
          <w:sz w:val="18"/>
        </w:rPr>
        <w:t>a las 144 h</w:t>
      </w:r>
    </w:p>
    <w:p>
      <w:pPr>
        <w:pStyle w:val="BodyText"/>
        <w:spacing w:before="5"/>
        <w:rPr>
          <w:b/>
          <w:sz w:val="18"/>
        </w:rPr>
      </w:pPr>
    </w:p>
    <w:tbl>
      <w:tblPr>
        <w:tblW w:w="0" w:type="auto"/>
        <w:jc w:val="left"/>
        <w:tblInd w:w="123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535"/>
        <w:gridCol w:w="1724"/>
        <w:gridCol w:w="1340"/>
        <w:gridCol w:w="1457"/>
        <w:gridCol w:w="1359"/>
      </w:tblGrid>
      <w:tr>
        <w:trPr>
          <w:trHeight w:val="387" w:hRule="exact"/>
        </w:trPr>
        <w:tc>
          <w:tcPr>
            <w:tcW w:w="2535" w:type="dxa"/>
            <w:tcBorders>
              <w:top w:val="single" w:sz="6" w:space="0" w:color="010202"/>
              <w:bottom w:val="single" w:sz="6" w:space="0" w:color="010202"/>
            </w:tcBorders>
          </w:tcPr>
          <w:p>
            <w:pPr>
              <w:pStyle w:val="TableParagraph"/>
              <w:spacing w:before="73"/>
              <w:ind w:left="35"/>
              <w:rPr>
                <w:b/>
                <w:sz w:val="18"/>
              </w:rPr>
            </w:pPr>
            <w:r>
              <w:rPr>
                <w:b/>
                <w:color w:val="231F20"/>
                <w:sz w:val="18"/>
              </w:rPr>
              <w:t>Concentración del Extracto</w:t>
            </w:r>
          </w:p>
        </w:tc>
        <w:tc>
          <w:tcPr>
            <w:tcW w:w="1724" w:type="dxa"/>
            <w:tcBorders>
              <w:top w:val="single" w:sz="6" w:space="0" w:color="010202"/>
              <w:bottom w:val="single" w:sz="6" w:space="0" w:color="010202"/>
            </w:tcBorders>
          </w:tcPr>
          <w:p>
            <w:pPr>
              <w:pStyle w:val="TableParagraph"/>
              <w:spacing w:before="73"/>
              <w:ind w:left="380"/>
              <w:rPr>
                <w:b/>
                <w:sz w:val="18"/>
              </w:rPr>
            </w:pPr>
            <w:r>
              <w:rPr>
                <w:b/>
                <w:color w:val="231F20"/>
                <w:sz w:val="18"/>
              </w:rPr>
              <w:t>Control (0 ppm)</w:t>
            </w:r>
          </w:p>
        </w:tc>
        <w:tc>
          <w:tcPr>
            <w:tcW w:w="1340" w:type="dxa"/>
            <w:tcBorders>
              <w:top w:val="single" w:sz="6" w:space="0" w:color="010202"/>
              <w:bottom w:val="single" w:sz="6" w:space="0" w:color="010202"/>
            </w:tcBorders>
          </w:tcPr>
          <w:p>
            <w:pPr>
              <w:pStyle w:val="TableParagraph"/>
              <w:spacing w:before="73"/>
              <w:ind w:left="96"/>
              <w:rPr>
                <w:b/>
                <w:sz w:val="18"/>
              </w:rPr>
            </w:pPr>
            <w:r>
              <w:rPr>
                <w:b/>
                <w:color w:val="231F20"/>
                <w:sz w:val="18"/>
              </w:rPr>
              <w:t>250 ppm</w:t>
            </w:r>
          </w:p>
        </w:tc>
        <w:tc>
          <w:tcPr>
            <w:tcW w:w="1457" w:type="dxa"/>
            <w:tcBorders>
              <w:top w:val="single" w:sz="6" w:space="0" w:color="010202"/>
              <w:bottom w:val="single" w:sz="6" w:space="0" w:color="010202"/>
            </w:tcBorders>
          </w:tcPr>
          <w:p>
            <w:pPr>
              <w:pStyle w:val="TableParagraph"/>
              <w:spacing w:before="73"/>
              <w:ind w:left="196"/>
              <w:rPr>
                <w:b/>
                <w:sz w:val="18"/>
              </w:rPr>
            </w:pPr>
            <w:r>
              <w:rPr>
                <w:b/>
                <w:color w:val="231F20"/>
                <w:sz w:val="18"/>
              </w:rPr>
              <w:t>500 ppm</w:t>
            </w:r>
          </w:p>
        </w:tc>
        <w:tc>
          <w:tcPr>
            <w:tcW w:w="1359" w:type="dxa"/>
            <w:tcBorders>
              <w:top w:val="single" w:sz="6" w:space="0" w:color="010202"/>
              <w:bottom w:val="single" w:sz="6" w:space="0" w:color="010202"/>
            </w:tcBorders>
          </w:tcPr>
          <w:p>
            <w:pPr>
              <w:pStyle w:val="TableParagraph"/>
              <w:spacing w:before="73"/>
              <w:ind w:left="179"/>
              <w:rPr>
                <w:b/>
                <w:sz w:val="18"/>
              </w:rPr>
            </w:pPr>
            <w:r>
              <w:rPr>
                <w:b/>
                <w:color w:val="231F20"/>
                <w:sz w:val="18"/>
              </w:rPr>
              <w:t>1000 ppm</w:t>
            </w:r>
          </w:p>
        </w:tc>
      </w:tr>
      <w:tr>
        <w:trPr>
          <w:trHeight w:val="432" w:hRule="exact"/>
        </w:trPr>
        <w:tc>
          <w:tcPr>
            <w:tcW w:w="2535" w:type="dxa"/>
            <w:tcBorders>
              <w:top w:val="single" w:sz="6" w:space="0" w:color="010202"/>
            </w:tcBorders>
          </w:tcPr>
          <w:p>
            <w:pPr>
              <w:pStyle w:val="TableParagraph"/>
              <w:spacing w:before="1"/>
              <w:ind w:left="0"/>
              <w:rPr>
                <w:b/>
                <w:sz w:val="16"/>
              </w:rPr>
            </w:pPr>
          </w:p>
          <w:p>
            <w:pPr>
              <w:pStyle w:val="TableParagraph"/>
              <w:spacing w:before="1"/>
              <w:ind w:left="35"/>
              <w:rPr>
                <w:sz w:val="18"/>
              </w:rPr>
            </w:pPr>
            <w:r>
              <w:rPr>
                <w:color w:val="231F20"/>
                <w:sz w:val="18"/>
              </w:rPr>
              <w:t>R.C. (mm)</w:t>
            </w:r>
          </w:p>
        </w:tc>
        <w:tc>
          <w:tcPr>
            <w:tcW w:w="1724" w:type="dxa"/>
            <w:tcBorders>
              <w:top w:val="single" w:sz="6" w:space="0" w:color="010202"/>
            </w:tcBorders>
          </w:tcPr>
          <w:p>
            <w:pPr>
              <w:pStyle w:val="TableParagraph"/>
              <w:spacing w:before="1"/>
              <w:ind w:left="0"/>
              <w:rPr>
                <w:b/>
                <w:sz w:val="16"/>
              </w:rPr>
            </w:pPr>
          </w:p>
          <w:p>
            <w:pPr>
              <w:pStyle w:val="TableParagraph"/>
              <w:spacing w:before="1"/>
              <w:ind w:left="380"/>
              <w:rPr>
                <w:sz w:val="18"/>
              </w:rPr>
            </w:pPr>
            <w:r>
              <w:rPr>
                <w:color w:val="231F20"/>
                <w:sz w:val="18"/>
              </w:rPr>
              <w:t>23.67 +1.75 a</w:t>
            </w:r>
          </w:p>
        </w:tc>
        <w:tc>
          <w:tcPr>
            <w:tcW w:w="1340" w:type="dxa"/>
            <w:tcBorders>
              <w:top w:val="single" w:sz="6" w:space="0" w:color="010202"/>
            </w:tcBorders>
          </w:tcPr>
          <w:p>
            <w:pPr>
              <w:pStyle w:val="TableParagraph"/>
              <w:spacing w:before="1"/>
              <w:ind w:left="0"/>
              <w:rPr>
                <w:b/>
                <w:sz w:val="16"/>
              </w:rPr>
            </w:pPr>
          </w:p>
          <w:p>
            <w:pPr>
              <w:pStyle w:val="TableParagraph"/>
              <w:spacing w:before="1"/>
              <w:ind w:left="96"/>
              <w:rPr>
                <w:sz w:val="18"/>
              </w:rPr>
            </w:pPr>
            <w:r>
              <w:rPr>
                <w:color w:val="231F20"/>
                <w:sz w:val="18"/>
              </w:rPr>
              <w:t>18.75+ 1.44 b</w:t>
            </w:r>
          </w:p>
        </w:tc>
        <w:tc>
          <w:tcPr>
            <w:tcW w:w="1457" w:type="dxa"/>
            <w:tcBorders>
              <w:top w:val="single" w:sz="6" w:space="0" w:color="010202"/>
            </w:tcBorders>
          </w:tcPr>
          <w:p>
            <w:pPr>
              <w:pStyle w:val="TableParagraph"/>
              <w:spacing w:before="1"/>
              <w:ind w:left="0"/>
              <w:rPr>
                <w:b/>
                <w:sz w:val="16"/>
              </w:rPr>
            </w:pPr>
          </w:p>
          <w:p>
            <w:pPr>
              <w:pStyle w:val="TableParagraph"/>
              <w:spacing w:before="1"/>
              <w:ind w:left="196"/>
              <w:rPr>
                <w:sz w:val="18"/>
              </w:rPr>
            </w:pPr>
            <w:r>
              <w:rPr>
                <w:color w:val="231F20"/>
                <w:sz w:val="18"/>
              </w:rPr>
              <w:t>14.4 + 2.7 c</w:t>
            </w:r>
          </w:p>
        </w:tc>
        <w:tc>
          <w:tcPr>
            <w:tcW w:w="1359" w:type="dxa"/>
            <w:tcBorders>
              <w:top w:val="single" w:sz="6" w:space="0" w:color="010202"/>
            </w:tcBorders>
          </w:tcPr>
          <w:p>
            <w:pPr>
              <w:pStyle w:val="TableParagraph"/>
              <w:spacing w:before="1"/>
              <w:ind w:left="0"/>
              <w:rPr>
                <w:b/>
                <w:sz w:val="16"/>
              </w:rPr>
            </w:pPr>
          </w:p>
          <w:p>
            <w:pPr>
              <w:pStyle w:val="TableParagraph"/>
              <w:spacing w:before="1"/>
              <w:ind w:left="179"/>
              <w:rPr>
                <w:sz w:val="18"/>
              </w:rPr>
            </w:pPr>
            <w:r>
              <w:rPr>
                <w:color w:val="231F20"/>
                <w:sz w:val="18"/>
              </w:rPr>
              <w:t>11.33 +1.99 cd</w:t>
            </w:r>
          </w:p>
        </w:tc>
      </w:tr>
      <w:tr>
        <w:trPr>
          <w:trHeight w:val="248" w:hRule="exact"/>
        </w:trPr>
        <w:tc>
          <w:tcPr>
            <w:tcW w:w="2535" w:type="dxa"/>
            <w:tcBorders>
              <w:bottom w:val="single" w:sz="6" w:space="0" w:color="010202"/>
            </w:tcBorders>
          </w:tcPr>
          <w:p>
            <w:pPr>
              <w:pStyle w:val="TableParagraph"/>
              <w:spacing w:before="12"/>
              <w:ind w:left="35"/>
              <w:rPr>
                <w:sz w:val="18"/>
              </w:rPr>
            </w:pPr>
            <w:r>
              <w:rPr>
                <w:color w:val="231F20"/>
                <w:sz w:val="18"/>
              </w:rPr>
              <w:t>V.C. (mm/hr)</w:t>
            </w:r>
          </w:p>
        </w:tc>
        <w:tc>
          <w:tcPr>
            <w:tcW w:w="1724" w:type="dxa"/>
            <w:tcBorders>
              <w:bottom w:val="single" w:sz="6" w:space="0" w:color="010202"/>
            </w:tcBorders>
          </w:tcPr>
          <w:p>
            <w:pPr>
              <w:pStyle w:val="TableParagraph"/>
              <w:spacing w:before="12"/>
              <w:ind w:left="380"/>
              <w:rPr>
                <w:sz w:val="18"/>
              </w:rPr>
            </w:pPr>
            <w:r>
              <w:rPr>
                <w:color w:val="231F20"/>
                <w:sz w:val="18"/>
              </w:rPr>
              <w:t>0.17+0.011 a</w:t>
            </w:r>
          </w:p>
        </w:tc>
        <w:tc>
          <w:tcPr>
            <w:tcW w:w="1340" w:type="dxa"/>
            <w:tcBorders>
              <w:bottom w:val="single" w:sz="6" w:space="0" w:color="010202"/>
            </w:tcBorders>
          </w:tcPr>
          <w:p>
            <w:pPr>
              <w:pStyle w:val="TableParagraph"/>
              <w:spacing w:before="12"/>
              <w:ind w:left="96"/>
              <w:rPr>
                <w:sz w:val="18"/>
              </w:rPr>
            </w:pPr>
            <w:r>
              <w:rPr>
                <w:color w:val="231F20"/>
                <w:sz w:val="18"/>
              </w:rPr>
              <w:t>0.141+0.014 b</w:t>
            </w:r>
          </w:p>
        </w:tc>
        <w:tc>
          <w:tcPr>
            <w:tcW w:w="1457" w:type="dxa"/>
            <w:tcBorders>
              <w:bottom w:val="single" w:sz="6" w:space="0" w:color="010202"/>
            </w:tcBorders>
          </w:tcPr>
          <w:p>
            <w:pPr>
              <w:pStyle w:val="TableParagraph"/>
              <w:spacing w:before="12"/>
              <w:ind w:left="196"/>
              <w:rPr>
                <w:sz w:val="18"/>
              </w:rPr>
            </w:pPr>
            <w:r>
              <w:rPr>
                <w:color w:val="231F20"/>
                <w:sz w:val="18"/>
              </w:rPr>
              <w:t>0.091+0.022bc</w:t>
            </w:r>
          </w:p>
        </w:tc>
        <w:tc>
          <w:tcPr>
            <w:tcW w:w="1359" w:type="dxa"/>
            <w:tcBorders>
              <w:bottom w:val="single" w:sz="6" w:space="0" w:color="010202"/>
            </w:tcBorders>
          </w:tcPr>
          <w:p>
            <w:pPr>
              <w:pStyle w:val="TableParagraph"/>
              <w:spacing w:before="12"/>
              <w:ind w:left="179"/>
              <w:rPr>
                <w:sz w:val="18"/>
              </w:rPr>
            </w:pPr>
            <w:r>
              <w:rPr>
                <w:color w:val="231F20"/>
                <w:sz w:val="18"/>
              </w:rPr>
              <w:t>0.073+0.021 c</w:t>
            </w:r>
          </w:p>
        </w:tc>
      </w:tr>
    </w:tbl>
    <w:p>
      <w:pPr>
        <w:spacing w:before="8"/>
        <w:ind w:left="1270" w:right="1279" w:firstLine="0"/>
        <w:jc w:val="left"/>
        <w:rPr>
          <w:b/>
          <w:i/>
          <w:sz w:val="17"/>
        </w:rPr>
      </w:pPr>
      <w:r>
        <w:rPr>
          <w:b/>
          <w:i/>
          <w:color w:val="231F20"/>
          <w:sz w:val="17"/>
        </w:rPr>
        <w:t>Promedios con letras iguales no presentan diferencias significativas (p&lt;0.05, Tukey).</w:t>
      </w:r>
    </w:p>
    <w:p>
      <w:pPr>
        <w:pStyle w:val="BodyText"/>
        <w:spacing w:before="2"/>
        <w:rPr>
          <w:b/>
          <w:i/>
          <w:sz w:val="23"/>
        </w:rPr>
      </w:pPr>
    </w:p>
    <w:p>
      <w:pPr>
        <w:pStyle w:val="BodyText"/>
        <w:spacing w:line="247" w:lineRule="auto"/>
        <w:ind w:left="1270" w:right="1266"/>
        <w:jc w:val="center"/>
      </w:pPr>
      <w:r>
        <w:rPr>
          <w:color w:val="231F20"/>
          <w:spacing w:val="-4"/>
        </w:rPr>
        <w:t>Efecto</w:t>
      </w:r>
      <w:r>
        <w:rPr>
          <w:color w:val="231F20"/>
          <w:spacing w:val="-18"/>
        </w:rPr>
        <w:t> </w:t>
      </w:r>
      <w:r>
        <w:rPr>
          <w:color w:val="231F20"/>
          <w:spacing w:val="-3"/>
        </w:rPr>
        <w:t>del</w:t>
      </w:r>
      <w:r>
        <w:rPr>
          <w:color w:val="231F20"/>
          <w:spacing w:val="-18"/>
        </w:rPr>
        <w:t> </w:t>
      </w:r>
      <w:r>
        <w:rPr>
          <w:color w:val="231F20"/>
          <w:spacing w:val="-4"/>
        </w:rPr>
        <w:t>extracto</w:t>
      </w:r>
      <w:r>
        <w:rPr>
          <w:color w:val="231F20"/>
          <w:spacing w:val="-18"/>
        </w:rPr>
        <w:t> </w:t>
      </w:r>
      <w:r>
        <w:rPr>
          <w:color w:val="231F20"/>
          <w:spacing w:val="-4"/>
        </w:rPr>
        <w:t>hexánico</w:t>
      </w:r>
      <w:r>
        <w:rPr>
          <w:color w:val="231F20"/>
          <w:spacing w:val="-18"/>
        </w:rPr>
        <w:t> </w:t>
      </w:r>
      <w:r>
        <w:rPr>
          <w:color w:val="231F20"/>
        </w:rPr>
        <w:t>de</w:t>
      </w:r>
      <w:r>
        <w:rPr>
          <w:color w:val="231F20"/>
          <w:spacing w:val="-18"/>
        </w:rPr>
        <w:t> </w:t>
      </w:r>
      <w:r>
        <w:rPr>
          <w:i/>
          <w:color w:val="231F20"/>
        </w:rPr>
        <w:t>E.</w:t>
      </w:r>
      <w:r>
        <w:rPr>
          <w:i/>
          <w:color w:val="231F20"/>
          <w:spacing w:val="-18"/>
        </w:rPr>
        <w:t> </w:t>
      </w:r>
      <w:r>
        <w:rPr>
          <w:i/>
          <w:color w:val="231F20"/>
          <w:spacing w:val="-4"/>
        </w:rPr>
        <w:t>hyemaleaffinemyriochaetum</w:t>
      </w:r>
      <w:r>
        <w:rPr>
          <w:color w:val="231F20"/>
          <w:spacing w:val="-4"/>
        </w:rPr>
        <w:t>.</w:t>
      </w:r>
      <w:r>
        <w:rPr>
          <w:color w:val="231F20"/>
          <w:spacing w:val="-18"/>
        </w:rPr>
        <w:t> </w:t>
      </w:r>
      <w:r>
        <w:rPr>
          <w:color w:val="231F20"/>
          <w:spacing w:val="-3"/>
        </w:rPr>
        <w:t>Los</w:t>
      </w:r>
      <w:r>
        <w:rPr>
          <w:color w:val="231F20"/>
          <w:spacing w:val="-18"/>
        </w:rPr>
        <w:t> </w:t>
      </w:r>
      <w:r>
        <w:rPr>
          <w:color w:val="231F20"/>
          <w:spacing w:val="-4"/>
        </w:rPr>
        <w:t>resultados</w:t>
      </w:r>
      <w:r>
        <w:rPr>
          <w:color w:val="231F20"/>
          <w:spacing w:val="-18"/>
        </w:rPr>
        <w:t> </w:t>
      </w:r>
      <w:r>
        <w:rPr>
          <w:color w:val="231F20"/>
          <w:spacing w:val="-4"/>
        </w:rPr>
        <w:t>obtenidos</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spacing w:val="-4"/>
        </w:rPr>
        <w:t>crecimien- </w:t>
      </w:r>
      <w:r>
        <w:rPr>
          <w:color w:val="231F20"/>
        </w:rPr>
        <w:t>to </w:t>
      </w:r>
      <w:r>
        <w:rPr>
          <w:color w:val="231F20"/>
          <w:spacing w:val="-3"/>
        </w:rPr>
        <w:t>del </w:t>
      </w:r>
      <w:r>
        <w:rPr>
          <w:color w:val="231F20"/>
          <w:spacing w:val="-4"/>
        </w:rPr>
        <w:t>radio </w:t>
      </w:r>
      <w:r>
        <w:rPr>
          <w:color w:val="231F20"/>
        </w:rPr>
        <w:t>de la </w:t>
      </w:r>
      <w:r>
        <w:rPr>
          <w:color w:val="231F20"/>
          <w:spacing w:val="-4"/>
        </w:rPr>
        <w:t>colonia </w:t>
      </w:r>
      <w:r>
        <w:rPr>
          <w:color w:val="231F20"/>
        </w:rPr>
        <w:t>se </w:t>
      </w:r>
      <w:r>
        <w:rPr>
          <w:color w:val="231F20"/>
          <w:spacing w:val="-4"/>
        </w:rPr>
        <w:t>observa </w:t>
      </w:r>
      <w:r>
        <w:rPr>
          <w:color w:val="231F20"/>
        </w:rPr>
        <w:t>en la </w:t>
      </w:r>
      <w:r>
        <w:rPr>
          <w:color w:val="231F20"/>
          <w:spacing w:val="-3"/>
        </w:rPr>
        <w:t>gráfica </w:t>
      </w:r>
      <w:r>
        <w:rPr>
          <w:color w:val="231F20"/>
        </w:rPr>
        <w:t>3, </w:t>
      </w:r>
      <w:r>
        <w:rPr>
          <w:color w:val="231F20"/>
          <w:spacing w:val="-4"/>
        </w:rPr>
        <w:t>estos fueron contrastantes </w:t>
      </w:r>
      <w:r>
        <w:rPr>
          <w:color w:val="231F20"/>
        </w:rPr>
        <w:t>en </w:t>
      </w:r>
      <w:r>
        <w:rPr>
          <w:color w:val="231F20"/>
          <w:spacing w:val="-4"/>
        </w:rPr>
        <w:t>comparación </w:t>
      </w:r>
      <w:r>
        <w:rPr>
          <w:color w:val="231F20"/>
          <w:spacing w:val="-3"/>
        </w:rPr>
        <w:t>con </w:t>
      </w:r>
      <w:r>
        <w:rPr>
          <w:color w:val="231F20"/>
          <w:spacing w:val="-4"/>
        </w:rPr>
        <w:t>los extractos</w:t>
      </w:r>
      <w:r>
        <w:rPr>
          <w:color w:val="231F20"/>
          <w:spacing w:val="-5"/>
        </w:rPr>
        <w:t> </w:t>
      </w:r>
      <w:r>
        <w:rPr>
          <w:color w:val="231F20"/>
        </w:rPr>
        <w:t>de</w:t>
      </w:r>
      <w:r>
        <w:rPr>
          <w:color w:val="231F20"/>
          <w:spacing w:val="-5"/>
        </w:rPr>
        <w:t> </w:t>
      </w:r>
      <w:r>
        <w:rPr>
          <w:i/>
          <w:color w:val="231F20"/>
        </w:rPr>
        <w:t>E.</w:t>
      </w:r>
      <w:r>
        <w:rPr>
          <w:i/>
          <w:color w:val="231F20"/>
          <w:spacing w:val="-5"/>
        </w:rPr>
        <w:t> </w:t>
      </w:r>
      <w:r>
        <w:rPr>
          <w:i/>
          <w:color w:val="231F20"/>
          <w:spacing w:val="-4"/>
        </w:rPr>
        <w:t>hyemale</w:t>
      </w:r>
      <w:r>
        <w:rPr>
          <w:color w:val="231F20"/>
          <w:spacing w:val="-4"/>
        </w:rPr>
        <w:t>,</w:t>
      </w:r>
      <w:r>
        <w:rPr>
          <w:color w:val="231F20"/>
          <w:spacing w:val="-5"/>
        </w:rPr>
        <w:t> </w:t>
      </w:r>
      <w:r>
        <w:rPr>
          <w:color w:val="231F20"/>
        </w:rPr>
        <w:t>ya</w:t>
      </w:r>
      <w:r>
        <w:rPr>
          <w:color w:val="231F20"/>
          <w:spacing w:val="-5"/>
        </w:rPr>
        <w:t> </w:t>
      </w:r>
      <w:r>
        <w:rPr>
          <w:color w:val="231F20"/>
          <w:spacing w:val="-4"/>
        </w:rPr>
        <w:t>quesolamente</w:t>
      </w:r>
      <w:r>
        <w:rPr>
          <w:color w:val="231F20"/>
          <w:spacing w:val="-5"/>
        </w:rPr>
        <w:t> </w:t>
      </w:r>
      <w:r>
        <w:rPr>
          <w:color w:val="231F20"/>
        </w:rPr>
        <w:t>en</w:t>
      </w:r>
      <w:r>
        <w:rPr>
          <w:color w:val="231F20"/>
          <w:spacing w:val="-5"/>
        </w:rPr>
        <w:t> </w:t>
      </w:r>
      <w:r>
        <w:rPr>
          <w:color w:val="231F20"/>
          <w:spacing w:val="-3"/>
        </w:rPr>
        <w:t>los</w:t>
      </w:r>
      <w:r>
        <w:rPr>
          <w:color w:val="231F20"/>
          <w:spacing w:val="-5"/>
        </w:rPr>
        <w:t> </w:t>
      </w:r>
      <w:r>
        <w:rPr>
          <w:color w:val="231F20"/>
          <w:spacing w:val="-4"/>
        </w:rPr>
        <w:t>experimentales</w:t>
      </w:r>
      <w:r>
        <w:rPr>
          <w:color w:val="231F20"/>
          <w:spacing w:val="-5"/>
        </w:rPr>
        <w:t> </w:t>
      </w:r>
      <w:r>
        <w:rPr>
          <w:color w:val="231F20"/>
        </w:rPr>
        <w:t>de</w:t>
      </w:r>
      <w:r>
        <w:rPr>
          <w:color w:val="231F20"/>
          <w:spacing w:val="-5"/>
        </w:rPr>
        <w:t> </w:t>
      </w:r>
      <w:r>
        <w:rPr>
          <w:color w:val="231F20"/>
          <w:spacing w:val="-3"/>
        </w:rPr>
        <w:t>2000</w:t>
      </w:r>
      <w:r>
        <w:rPr>
          <w:color w:val="231F20"/>
          <w:spacing w:val="-5"/>
        </w:rPr>
        <w:t> </w:t>
      </w:r>
      <w:r>
        <w:rPr>
          <w:color w:val="231F20"/>
        </w:rPr>
        <w:t>y</w:t>
      </w:r>
      <w:r>
        <w:rPr>
          <w:color w:val="231F20"/>
          <w:spacing w:val="-5"/>
        </w:rPr>
        <w:t> </w:t>
      </w:r>
      <w:r>
        <w:rPr>
          <w:color w:val="231F20"/>
          <w:spacing w:val="-3"/>
        </w:rPr>
        <w:t>3000</w:t>
      </w:r>
      <w:r>
        <w:rPr>
          <w:color w:val="231F20"/>
          <w:spacing w:val="-5"/>
        </w:rPr>
        <w:t> </w:t>
      </w:r>
      <w:r>
        <w:rPr>
          <w:color w:val="231F20"/>
          <w:spacing w:val="-3"/>
        </w:rPr>
        <w:t>ppm</w:t>
      </w:r>
      <w:r>
        <w:rPr>
          <w:color w:val="231F20"/>
          <w:spacing w:val="-5"/>
        </w:rPr>
        <w:t> </w:t>
      </w:r>
      <w:r>
        <w:rPr>
          <w:color w:val="231F20"/>
        </w:rPr>
        <w:t>a</w:t>
      </w:r>
      <w:r>
        <w:rPr>
          <w:color w:val="231F20"/>
          <w:spacing w:val="-5"/>
        </w:rPr>
        <w:t> </w:t>
      </w:r>
      <w:r>
        <w:rPr>
          <w:color w:val="231F20"/>
          <w:spacing w:val="-4"/>
        </w:rPr>
        <w:t>partir</w:t>
      </w:r>
      <w:r>
        <w:rPr>
          <w:color w:val="231F20"/>
          <w:spacing w:val="-5"/>
        </w:rPr>
        <w:t> </w:t>
      </w:r>
      <w:r>
        <w:rPr>
          <w:color w:val="231F20"/>
        </w:rPr>
        <w:t>de</w:t>
      </w:r>
      <w:r>
        <w:rPr>
          <w:color w:val="231F20"/>
          <w:spacing w:val="-5"/>
        </w:rPr>
        <w:t> </w:t>
      </w:r>
      <w:r>
        <w:rPr>
          <w:color w:val="231F20"/>
          <w:spacing w:val="-3"/>
        </w:rPr>
        <w:t>las</w:t>
      </w:r>
      <w:r>
        <w:rPr>
          <w:color w:val="231F20"/>
          <w:spacing w:val="-5"/>
        </w:rPr>
        <w:t> </w:t>
      </w:r>
      <w:r>
        <w:rPr>
          <w:color w:val="231F20"/>
          <w:spacing w:val="-4"/>
        </w:rPr>
        <w:t>144 horas,el</w:t>
      </w:r>
      <w:r>
        <w:rPr>
          <w:color w:val="231F20"/>
          <w:spacing w:val="-12"/>
        </w:rPr>
        <w:t> </w:t>
      </w:r>
      <w:r>
        <w:rPr>
          <w:color w:val="231F20"/>
          <w:spacing w:val="-4"/>
        </w:rPr>
        <w:t>hongo</w:t>
      </w:r>
      <w:r>
        <w:rPr>
          <w:color w:val="231F20"/>
          <w:spacing w:val="-12"/>
        </w:rPr>
        <w:t> </w:t>
      </w:r>
      <w:r>
        <w:rPr>
          <w:color w:val="231F20"/>
          <w:spacing w:val="-4"/>
        </w:rPr>
        <w:t>mostró</w:t>
      </w:r>
      <w:r>
        <w:rPr>
          <w:color w:val="231F20"/>
          <w:spacing w:val="-12"/>
        </w:rPr>
        <w:t> </w:t>
      </w:r>
      <w:r>
        <w:rPr>
          <w:color w:val="231F20"/>
          <w:spacing w:val="-3"/>
        </w:rPr>
        <w:t>una</w:t>
      </w:r>
      <w:r>
        <w:rPr>
          <w:color w:val="231F20"/>
          <w:spacing w:val="-12"/>
        </w:rPr>
        <w:t> </w:t>
      </w:r>
      <w:r>
        <w:rPr>
          <w:color w:val="231F20"/>
          <w:spacing w:val="-4"/>
        </w:rPr>
        <w:t>disminución</w:t>
      </w:r>
      <w:r>
        <w:rPr>
          <w:color w:val="231F20"/>
          <w:spacing w:val="-12"/>
        </w:rPr>
        <w:t> </w:t>
      </w:r>
      <w:r>
        <w:rPr>
          <w:color w:val="231F20"/>
        </w:rPr>
        <w:t>en</w:t>
      </w:r>
      <w:r>
        <w:rPr>
          <w:color w:val="231F20"/>
          <w:spacing w:val="-12"/>
        </w:rPr>
        <w:t> </w:t>
      </w:r>
      <w:r>
        <w:rPr>
          <w:color w:val="231F20"/>
        </w:rPr>
        <w:t>su</w:t>
      </w:r>
      <w:r>
        <w:rPr>
          <w:color w:val="231F20"/>
          <w:spacing w:val="-12"/>
        </w:rPr>
        <w:t> </w:t>
      </w:r>
      <w:r>
        <w:rPr>
          <w:color w:val="231F20"/>
          <w:spacing w:val="-4"/>
        </w:rPr>
        <w:t>crecimiento</w:t>
      </w:r>
      <w:r>
        <w:rPr>
          <w:color w:val="231F20"/>
          <w:spacing w:val="-12"/>
        </w:rPr>
        <w:t> </w:t>
      </w:r>
      <w:r>
        <w:rPr>
          <w:color w:val="231F20"/>
        </w:rPr>
        <w:t>de</w:t>
      </w:r>
      <w:r>
        <w:rPr>
          <w:color w:val="231F20"/>
          <w:spacing w:val="-12"/>
        </w:rPr>
        <w:t> </w:t>
      </w:r>
      <w:r>
        <w:rPr>
          <w:color w:val="231F20"/>
          <w:spacing w:val="-4"/>
        </w:rPr>
        <w:t>manera</w:t>
      </w:r>
      <w:r>
        <w:rPr>
          <w:color w:val="231F20"/>
          <w:spacing w:val="-12"/>
        </w:rPr>
        <w:t> </w:t>
      </w:r>
      <w:r>
        <w:rPr>
          <w:color w:val="231F20"/>
          <w:spacing w:val="-4"/>
        </w:rPr>
        <w:t>significativa</w:t>
      </w:r>
      <w:r>
        <w:rPr>
          <w:color w:val="231F20"/>
          <w:spacing w:val="-12"/>
        </w:rPr>
        <w:t> </w:t>
      </w:r>
      <w:r>
        <w:rPr>
          <w:color w:val="231F20"/>
          <w:spacing w:val="-3"/>
        </w:rPr>
        <w:t>con</w:t>
      </w:r>
      <w:r>
        <w:rPr>
          <w:color w:val="231F20"/>
          <w:spacing w:val="-12"/>
        </w:rPr>
        <w:t> </w:t>
      </w:r>
      <w:r>
        <w:rPr>
          <w:color w:val="231F20"/>
          <w:spacing w:val="-4"/>
        </w:rPr>
        <w:t>respecto</w:t>
      </w:r>
      <w:r>
        <w:rPr>
          <w:color w:val="231F20"/>
          <w:spacing w:val="-12"/>
        </w:rPr>
        <w:t> </w:t>
      </w:r>
      <w:r>
        <w:rPr>
          <w:color w:val="231F20"/>
        </w:rPr>
        <w:t>al</w:t>
      </w:r>
      <w:r>
        <w:rPr>
          <w:color w:val="231F20"/>
          <w:spacing w:val="-12"/>
        </w:rPr>
        <w:t> </w:t>
      </w:r>
      <w:r>
        <w:rPr>
          <w:color w:val="231F20"/>
          <w:spacing w:val="-4"/>
        </w:rPr>
        <w:t>testigo.</w:t>
      </w:r>
    </w:p>
    <w:p>
      <w:pPr>
        <w:pStyle w:val="BodyText"/>
        <w:spacing w:before="4"/>
      </w:pPr>
    </w:p>
    <w:p>
      <w:pPr>
        <w:spacing w:line="249" w:lineRule="auto" w:before="0"/>
        <w:ind w:left="1450" w:right="1447" w:firstLine="0"/>
        <w:jc w:val="center"/>
        <w:rPr>
          <w:b/>
          <w:sz w:val="18"/>
        </w:rPr>
      </w:pPr>
      <w:r>
        <w:rPr>
          <w:b/>
          <w:color w:val="010202"/>
          <w:sz w:val="18"/>
        </w:rPr>
        <w:t>Gráfica 3. Efecto del extracto hexánico de </w:t>
      </w:r>
      <w:r>
        <w:rPr>
          <w:b/>
          <w:i/>
          <w:color w:val="010202"/>
          <w:sz w:val="18"/>
        </w:rPr>
        <w:t>E.hyemaleaffinemyriochaetum </w:t>
      </w:r>
      <w:r>
        <w:rPr>
          <w:b/>
          <w:color w:val="010202"/>
          <w:sz w:val="18"/>
        </w:rPr>
        <w:t>en el crecimiento micelial (mm) de </w:t>
      </w:r>
      <w:r>
        <w:rPr>
          <w:b/>
          <w:i/>
          <w:color w:val="010202"/>
          <w:sz w:val="18"/>
        </w:rPr>
        <w:t>Penicilliumitalicuma </w:t>
      </w:r>
      <w:r>
        <w:rPr>
          <w:b/>
          <w:color w:val="010202"/>
          <w:sz w:val="18"/>
        </w:rPr>
        <w:t>través del tiempo (144hrs). Promedio de tres repeticiones con seis lecturas</w:t>
      </w:r>
    </w:p>
    <w:p>
      <w:pPr>
        <w:pStyle w:val="BodyText"/>
        <w:spacing w:before="1"/>
        <w:rPr>
          <w:b/>
          <w:sz w:val="18"/>
        </w:rPr>
      </w:pPr>
      <w:r>
        <w:rPr/>
        <w:drawing>
          <wp:anchor distT="0" distB="0" distL="0" distR="0" allowOverlap="1" layoutInCell="1" locked="0" behindDoc="0" simplePos="0" relativeHeight="6256">
            <wp:simplePos x="0" y="0"/>
            <wp:positionH relativeFrom="page">
              <wp:posOffset>1536629</wp:posOffset>
            </wp:positionH>
            <wp:positionV relativeFrom="paragraph">
              <wp:posOffset>156904</wp:posOffset>
            </wp:positionV>
            <wp:extent cx="3841822" cy="2023300"/>
            <wp:effectExtent l="0" t="0" r="0" b="0"/>
            <wp:wrapTopAndBottom/>
            <wp:docPr id="215" name="image92.png" descr=""/>
            <wp:cNvGraphicFramePr>
              <a:graphicFrameLocks noChangeAspect="1"/>
            </wp:cNvGraphicFramePr>
            <a:graphic>
              <a:graphicData uri="http://schemas.openxmlformats.org/drawingml/2006/picture">
                <pic:pic>
                  <pic:nvPicPr>
                    <pic:cNvPr id="216" name="image92.png"/>
                    <pic:cNvPicPr/>
                  </pic:nvPicPr>
                  <pic:blipFill>
                    <a:blip r:embed="rId141" cstate="print"/>
                    <a:stretch>
                      <a:fillRect/>
                    </a:stretch>
                  </pic:blipFill>
                  <pic:spPr>
                    <a:xfrm>
                      <a:off x="0" y="0"/>
                      <a:ext cx="3841822" cy="2023300"/>
                    </a:xfrm>
                    <a:prstGeom prst="rect">
                      <a:avLst/>
                    </a:prstGeom>
                  </pic:spPr>
                </pic:pic>
              </a:graphicData>
            </a:graphic>
          </wp:anchor>
        </w:drawing>
      </w:r>
    </w:p>
    <w:p>
      <w:pPr>
        <w:spacing w:after="0"/>
        <w:rPr>
          <w:sz w:val="18"/>
        </w:rPr>
        <w:sectPr>
          <w:pgSz w:w="10920" w:h="13080"/>
          <w:pgMar w:header="0" w:footer="965" w:top="420" w:bottom="1220" w:left="0" w:right="0"/>
        </w:sectPr>
      </w:pPr>
    </w:p>
    <w:p>
      <w:pPr>
        <w:pStyle w:val="BodyText"/>
        <w:rPr>
          <w:b/>
          <w:sz w:val="20"/>
        </w:rPr>
      </w:pPr>
    </w:p>
    <w:p>
      <w:pPr>
        <w:pStyle w:val="BodyText"/>
        <w:rPr>
          <w:b/>
          <w:sz w:val="20"/>
        </w:rPr>
      </w:pPr>
    </w:p>
    <w:p>
      <w:pPr>
        <w:pStyle w:val="BodyText"/>
        <w:rPr>
          <w:b/>
          <w:sz w:val="23"/>
        </w:rPr>
      </w:pPr>
    </w:p>
    <w:p>
      <w:pPr>
        <w:pStyle w:val="BodyText"/>
        <w:spacing w:line="247" w:lineRule="auto" w:before="73"/>
        <w:ind w:left="1270" w:right="1267"/>
        <w:jc w:val="both"/>
      </w:pPr>
      <w:r>
        <w:rPr>
          <w:color w:val="231F20"/>
        </w:rPr>
        <w:t>En la gráfica 4 y cuadro 2, se observa la velocidad de crecimiento (mm/hr) ante las diferentes con- centraciones del extracto, en ellas se aprecia que no hay reducción significativa en las primeras </w:t>
      </w:r>
      <w:r>
        <w:rPr>
          <w:color w:val="231F20"/>
          <w:spacing w:val="-2"/>
        </w:rPr>
        <w:t>dos </w:t>
      </w:r>
      <w:r>
        <w:rPr>
          <w:color w:val="231F20"/>
        </w:rPr>
        <w:t>concentraciones (1,000 y 1,500 ppm), sin embargo, a partir de las concentraciones de 2,000 y 3,000 ppm la reducción ya hay inhibición con respecto al control. La reducción en la </w:t>
      </w:r>
      <w:r>
        <w:rPr>
          <w:color w:val="231F20"/>
          <w:spacing w:val="-9"/>
        </w:rPr>
        <w:t>V.C. </w:t>
      </w:r>
      <w:r>
        <w:rPr>
          <w:color w:val="231F20"/>
        </w:rPr>
        <w:t>(velocidad de crecimiento)</w:t>
      </w:r>
      <w:r>
        <w:rPr>
          <w:color w:val="231F20"/>
          <w:spacing w:val="-16"/>
        </w:rPr>
        <w:t> </w:t>
      </w:r>
      <w:r>
        <w:rPr>
          <w:color w:val="231F20"/>
        </w:rPr>
        <w:t>en</w:t>
      </w:r>
      <w:r>
        <w:rPr>
          <w:color w:val="231F20"/>
          <w:spacing w:val="-15"/>
        </w:rPr>
        <w:t> </w:t>
      </w:r>
      <w:r>
        <w:rPr>
          <w:color w:val="231F20"/>
        </w:rPr>
        <w:t>comparación</w:t>
      </w:r>
      <w:r>
        <w:rPr>
          <w:color w:val="231F20"/>
          <w:spacing w:val="-16"/>
        </w:rPr>
        <w:t> </w:t>
      </w:r>
      <w:r>
        <w:rPr>
          <w:color w:val="231F20"/>
        </w:rPr>
        <w:t>con</w:t>
      </w:r>
      <w:r>
        <w:rPr>
          <w:color w:val="231F20"/>
          <w:spacing w:val="-16"/>
        </w:rPr>
        <w:t> </w:t>
      </w:r>
      <w:r>
        <w:rPr>
          <w:color w:val="231F20"/>
        </w:rPr>
        <w:t>el</w:t>
      </w:r>
      <w:r>
        <w:rPr>
          <w:color w:val="231F20"/>
          <w:spacing w:val="-15"/>
        </w:rPr>
        <w:t> </w:t>
      </w:r>
      <w:r>
        <w:rPr>
          <w:color w:val="231F20"/>
        </w:rPr>
        <w:t>control</w:t>
      </w:r>
      <w:r>
        <w:rPr>
          <w:color w:val="231F20"/>
          <w:spacing w:val="-16"/>
        </w:rPr>
        <w:t> </w:t>
      </w:r>
      <w:r>
        <w:rPr>
          <w:color w:val="231F20"/>
        </w:rPr>
        <w:t>en</w:t>
      </w:r>
      <w:r>
        <w:rPr>
          <w:color w:val="231F20"/>
          <w:spacing w:val="-16"/>
        </w:rPr>
        <w:t> </w:t>
      </w:r>
      <w:r>
        <w:rPr>
          <w:color w:val="231F20"/>
        </w:rPr>
        <w:t>la</w:t>
      </w:r>
      <w:r>
        <w:rPr>
          <w:color w:val="231F20"/>
          <w:spacing w:val="-15"/>
        </w:rPr>
        <w:t> </w:t>
      </w:r>
      <w:r>
        <w:rPr>
          <w:color w:val="231F20"/>
        </w:rPr>
        <w:t>concentración</w:t>
      </w:r>
      <w:r>
        <w:rPr>
          <w:color w:val="231F20"/>
          <w:spacing w:val="-16"/>
        </w:rPr>
        <w:t> </w:t>
      </w:r>
      <w:r>
        <w:rPr>
          <w:color w:val="231F20"/>
        </w:rPr>
        <w:t>de</w:t>
      </w:r>
      <w:r>
        <w:rPr>
          <w:color w:val="231F20"/>
          <w:spacing w:val="-15"/>
        </w:rPr>
        <w:t> </w:t>
      </w:r>
      <w:r>
        <w:rPr>
          <w:color w:val="231F20"/>
        </w:rPr>
        <w:t>1000</w:t>
      </w:r>
      <w:r>
        <w:rPr>
          <w:color w:val="231F20"/>
          <w:spacing w:val="-15"/>
        </w:rPr>
        <w:t> </w:t>
      </w:r>
      <w:r>
        <w:rPr>
          <w:color w:val="231F20"/>
        </w:rPr>
        <w:t>ppm</w:t>
      </w:r>
      <w:r>
        <w:rPr>
          <w:color w:val="231F20"/>
          <w:spacing w:val="-15"/>
        </w:rPr>
        <w:t> </w:t>
      </w:r>
      <w:r>
        <w:rPr>
          <w:color w:val="231F20"/>
        </w:rPr>
        <w:t>fue</w:t>
      </w:r>
      <w:r>
        <w:rPr>
          <w:color w:val="231F20"/>
          <w:spacing w:val="-15"/>
        </w:rPr>
        <w:t> </w:t>
      </w:r>
      <w:r>
        <w:rPr>
          <w:color w:val="231F20"/>
        </w:rPr>
        <w:t>de</w:t>
      </w:r>
      <w:r>
        <w:rPr>
          <w:color w:val="231F20"/>
          <w:spacing w:val="-15"/>
        </w:rPr>
        <w:t> </w:t>
      </w:r>
      <w:r>
        <w:rPr>
          <w:color w:val="231F20"/>
        </w:rPr>
        <w:t>1%,</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de</w:t>
      </w:r>
      <w:r>
        <w:rPr>
          <w:color w:val="231F20"/>
          <w:spacing w:val="-15"/>
        </w:rPr>
        <w:t> </w:t>
      </w:r>
      <w:r>
        <w:rPr>
          <w:color w:val="231F20"/>
        </w:rPr>
        <w:t>1500 ppm fue de 6%, en la de 2000 ppm fue de 19% y en la de 3,000 fue de 41%. Solamente las concen- traciones de 1000 y 2000 ppm presentaron diferencias significativas con respecto al control, a pesar de haber incrementado las concentraciones de manera drástico en comparación con E. hyemale, los resultados</w:t>
      </w:r>
      <w:r>
        <w:rPr>
          <w:color w:val="231F20"/>
          <w:spacing w:val="-8"/>
        </w:rPr>
        <w:t> </w:t>
      </w:r>
      <w:r>
        <w:rPr>
          <w:color w:val="231F20"/>
        </w:rPr>
        <w:t>fueron</w:t>
      </w:r>
      <w:r>
        <w:rPr>
          <w:color w:val="231F20"/>
          <w:spacing w:val="-8"/>
        </w:rPr>
        <w:t> </w:t>
      </w:r>
      <w:r>
        <w:rPr>
          <w:color w:val="231F20"/>
        </w:rPr>
        <w:t>muy</w:t>
      </w:r>
      <w:r>
        <w:rPr>
          <w:color w:val="231F20"/>
          <w:spacing w:val="-8"/>
        </w:rPr>
        <w:t> </w:t>
      </w:r>
      <w:r>
        <w:rPr>
          <w:color w:val="231F20"/>
        </w:rPr>
        <w:t>diferentes</w:t>
      </w:r>
      <w:r>
        <w:rPr>
          <w:color w:val="231F20"/>
          <w:spacing w:val="-8"/>
        </w:rPr>
        <w:t> </w:t>
      </w:r>
      <w:r>
        <w:rPr>
          <w:color w:val="231F20"/>
        </w:rPr>
        <w:t>a</w:t>
      </w:r>
      <w:r>
        <w:rPr>
          <w:color w:val="231F20"/>
          <w:spacing w:val="-8"/>
        </w:rPr>
        <w:t> </w:t>
      </w:r>
      <w:r>
        <w:rPr>
          <w:color w:val="231F20"/>
        </w:rPr>
        <w:t>lo</w:t>
      </w:r>
      <w:r>
        <w:rPr>
          <w:color w:val="231F20"/>
          <w:spacing w:val="-8"/>
        </w:rPr>
        <w:t> </w:t>
      </w:r>
      <w:r>
        <w:rPr>
          <w:color w:val="231F20"/>
        </w:rPr>
        <w:t>esperado,</w:t>
      </w:r>
      <w:r>
        <w:rPr>
          <w:color w:val="231F20"/>
          <w:spacing w:val="-9"/>
        </w:rPr>
        <w:t> </w:t>
      </w:r>
      <w:r>
        <w:rPr>
          <w:color w:val="231F20"/>
        </w:rPr>
        <w:t>ya</w:t>
      </w:r>
      <w:r>
        <w:rPr>
          <w:color w:val="231F20"/>
          <w:spacing w:val="-8"/>
        </w:rPr>
        <w:t> </w:t>
      </w:r>
      <w:r>
        <w:rPr>
          <w:color w:val="231F20"/>
        </w:rPr>
        <w:t>que</w:t>
      </w:r>
      <w:r>
        <w:rPr>
          <w:color w:val="231F20"/>
          <w:spacing w:val="-8"/>
        </w:rPr>
        <w:t> </w:t>
      </w:r>
      <w:r>
        <w:rPr>
          <w:color w:val="231F20"/>
        </w:rPr>
        <w:t>este</w:t>
      </w:r>
      <w:r>
        <w:rPr>
          <w:color w:val="231F20"/>
          <w:spacing w:val="-8"/>
        </w:rPr>
        <w:t> </w:t>
      </w:r>
      <w:r>
        <w:rPr>
          <w:color w:val="231F20"/>
        </w:rPr>
        <w:t>híbrido</w:t>
      </w:r>
      <w:r>
        <w:rPr>
          <w:color w:val="231F20"/>
          <w:spacing w:val="-8"/>
        </w:rPr>
        <w:t> </w:t>
      </w:r>
      <w:r>
        <w:rPr>
          <w:color w:val="231F20"/>
        </w:rPr>
        <w:t>tiene</w:t>
      </w:r>
      <w:r>
        <w:rPr>
          <w:color w:val="231F20"/>
          <w:spacing w:val="-8"/>
        </w:rPr>
        <w:t> </w:t>
      </w:r>
      <w:r>
        <w:rPr>
          <w:color w:val="231F20"/>
        </w:rPr>
        <w:t>un</w:t>
      </w:r>
      <w:r>
        <w:rPr>
          <w:color w:val="231F20"/>
          <w:spacing w:val="-8"/>
        </w:rPr>
        <w:t> </w:t>
      </w:r>
      <w:r>
        <w:rPr>
          <w:color w:val="231F20"/>
        </w:rPr>
        <w:t>menor</w:t>
      </w:r>
      <w:r>
        <w:rPr>
          <w:color w:val="231F20"/>
          <w:spacing w:val="-8"/>
        </w:rPr>
        <w:t> </w:t>
      </w:r>
      <w:r>
        <w:rPr>
          <w:color w:val="231F20"/>
        </w:rPr>
        <w:t>efecto</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creci- miento</w:t>
      </w:r>
      <w:r>
        <w:rPr>
          <w:color w:val="231F20"/>
          <w:spacing w:val="-14"/>
        </w:rPr>
        <w:t> </w:t>
      </w:r>
      <w:r>
        <w:rPr>
          <w:color w:val="231F20"/>
        </w:rPr>
        <w:t>de</w:t>
      </w:r>
      <w:r>
        <w:rPr>
          <w:color w:val="231F20"/>
          <w:spacing w:val="-14"/>
        </w:rPr>
        <w:t> </w:t>
      </w:r>
      <w:r>
        <w:rPr>
          <w:color w:val="231F20"/>
          <w:spacing w:val="-13"/>
        </w:rPr>
        <w:t>P.</w:t>
      </w:r>
      <w:r>
        <w:rPr>
          <w:color w:val="231F20"/>
          <w:spacing w:val="-14"/>
        </w:rPr>
        <w:t> </w:t>
      </w:r>
      <w:r>
        <w:rPr>
          <w:color w:val="231F20"/>
        </w:rPr>
        <w:t>italicum.</w:t>
      </w:r>
      <w:r>
        <w:rPr>
          <w:color w:val="231F20"/>
          <w:spacing w:val="-14"/>
        </w:rPr>
        <w:t> </w:t>
      </w:r>
      <w:r>
        <w:rPr>
          <w:color w:val="231F20"/>
        </w:rPr>
        <w:t>En</w:t>
      </w:r>
      <w:r>
        <w:rPr>
          <w:color w:val="231F20"/>
          <w:spacing w:val="-14"/>
        </w:rPr>
        <w:t> </w:t>
      </w:r>
      <w:r>
        <w:rPr>
          <w:color w:val="231F20"/>
        </w:rPr>
        <w:t>lo</w:t>
      </w:r>
      <w:r>
        <w:rPr>
          <w:color w:val="231F20"/>
          <w:spacing w:val="-14"/>
        </w:rPr>
        <w:t> </w:t>
      </w:r>
      <w:r>
        <w:rPr>
          <w:color w:val="231F20"/>
        </w:rPr>
        <w:t>referente</w:t>
      </w:r>
      <w:r>
        <w:rPr>
          <w:color w:val="231F20"/>
          <w:spacing w:val="-14"/>
        </w:rPr>
        <w:t> </w:t>
      </w:r>
      <w:r>
        <w:rPr>
          <w:color w:val="231F20"/>
        </w:rPr>
        <w:t>al</w:t>
      </w:r>
      <w:r>
        <w:rPr>
          <w:color w:val="231F20"/>
          <w:spacing w:val="-14"/>
        </w:rPr>
        <w:t> </w:t>
      </w:r>
      <w:r>
        <w:rPr>
          <w:color w:val="231F20"/>
        </w:rPr>
        <w:t>R.C.</w:t>
      </w:r>
      <w:r>
        <w:rPr>
          <w:color w:val="231F20"/>
          <w:spacing w:val="-14"/>
        </w:rPr>
        <w:t> </w:t>
      </w:r>
      <w:r>
        <w:rPr>
          <w:color w:val="231F20"/>
        </w:rPr>
        <w:t>(radio</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colonia)</w:t>
      </w:r>
      <w:r>
        <w:rPr>
          <w:color w:val="231F20"/>
          <w:spacing w:val="-14"/>
        </w:rPr>
        <w:t> </w:t>
      </w:r>
      <w:r>
        <w:rPr>
          <w:color w:val="231F20"/>
        </w:rPr>
        <w:t>el</w:t>
      </w:r>
      <w:r>
        <w:rPr>
          <w:color w:val="231F20"/>
          <w:spacing w:val="-14"/>
        </w:rPr>
        <w:t> </w:t>
      </w:r>
      <w:r>
        <w:rPr>
          <w:color w:val="231F20"/>
        </w:rPr>
        <w:t>comportamiento</w:t>
      </w:r>
      <w:r>
        <w:rPr>
          <w:color w:val="231F20"/>
          <w:spacing w:val="-14"/>
        </w:rPr>
        <w:t> </w:t>
      </w:r>
      <w:r>
        <w:rPr>
          <w:color w:val="231F20"/>
        </w:rPr>
        <w:t>que</w:t>
      </w:r>
      <w:r>
        <w:rPr>
          <w:color w:val="231F20"/>
          <w:spacing w:val="-14"/>
        </w:rPr>
        <w:t> </w:t>
      </w:r>
      <w:r>
        <w:rPr>
          <w:color w:val="231F20"/>
        </w:rPr>
        <w:t>presentó</w:t>
      </w:r>
      <w:r>
        <w:rPr>
          <w:color w:val="231F20"/>
          <w:spacing w:val="-14"/>
        </w:rPr>
        <w:t> </w:t>
      </w:r>
      <w:r>
        <w:rPr>
          <w:color w:val="231F20"/>
          <w:spacing w:val="-2"/>
        </w:rPr>
        <w:t>fue </w:t>
      </w:r>
      <w:r>
        <w:rPr>
          <w:color w:val="231F20"/>
        </w:rPr>
        <w:t>muy</w:t>
      </w:r>
      <w:r>
        <w:rPr>
          <w:color w:val="231F20"/>
          <w:spacing w:val="-11"/>
        </w:rPr>
        <w:t> </w:t>
      </w:r>
      <w:r>
        <w:rPr>
          <w:color w:val="231F20"/>
        </w:rPr>
        <w:t>similar</w:t>
      </w:r>
      <w:r>
        <w:rPr>
          <w:color w:val="231F20"/>
          <w:spacing w:val="-10"/>
        </w:rPr>
        <w:t> </w:t>
      </w:r>
      <w:r>
        <w:rPr>
          <w:color w:val="231F20"/>
        </w:rPr>
        <w:t>a</w:t>
      </w:r>
      <w:r>
        <w:rPr>
          <w:color w:val="231F20"/>
          <w:spacing w:val="-10"/>
        </w:rPr>
        <w:t> </w:t>
      </w:r>
      <w:r>
        <w:rPr>
          <w:color w:val="231F20"/>
        </w:rPr>
        <w:t>la</w:t>
      </w:r>
      <w:r>
        <w:rPr>
          <w:color w:val="231F20"/>
          <w:spacing w:val="-14"/>
        </w:rPr>
        <w:t> </w:t>
      </w:r>
      <w:r>
        <w:rPr>
          <w:color w:val="231F20"/>
          <w:spacing w:val="-9"/>
        </w:rPr>
        <w:t>V.C.</w:t>
      </w:r>
      <w:r>
        <w:rPr>
          <w:color w:val="231F20"/>
          <w:spacing w:val="-11"/>
        </w:rPr>
        <w:t> </w:t>
      </w:r>
      <w:r>
        <w:rPr>
          <w:color w:val="231F20"/>
        </w:rPr>
        <w:t>ya</w:t>
      </w:r>
      <w:r>
        <w:rPr>
          <w:color w:val="231F20"/>
          <w:spacing w:val="-10"/>
        </w:rPr>
        <w:t> </w:t>
      </w:r>
      <w:r>
        <w:rPr>
          <w:color w:val="231F20"/>
        </w:rPr>
        <w:t>que</w:t>
      </w:r>
      <w:r>
        <w:rPr>
          <w:color w:val="231F20"/>
          <w:spacing w:val="-10"/>
        </w:rPr>
        <w:t> </w:t>
      </w:r>
      <w:r>
        <w:rPr>
          <w:color w:val="231F20"/>
        </w:rPr>
        <w:t>mostró</w:t>
      </w:r>
      <w:r>
        <w:rPr>
          <w:color w:val="231F20"/>
          <w:spacing w:val="-11"/>
        </w:rPr>
        <w:t> </w:t>
      </w:r>
      <w:r>
        <w:rPr>
          <w:color w:val="231F20"/>
        </w:rPr>
        <w:t>una</w:t>
      </w:r>
      <w:r>
        <w:rPr>
          <w:color w:val="231F20"/>
          <w:spacing w:val="-10"/>
        </w:rPr>
        <w:t> </w:t>
      </w:r>
      <w:r>
        <w:rPr>
          <w:color w:val="231F20"/>
        </w:rPr>
        <w:t>disminución</w:t>
      </w:r>
      <w:r>
        <w:rPr>
          <w:color w:val="231F20"/>
          <w:spacing w:val="-10"/>
        </w:rPr>
        <w:t> </w:t>
      </w:r>
      <w:r>
        <w:rPr>
          <w:color w:val="231F20"/>
        </w:rPr>
        <w:t>del</w:t>
      </w:r>
      <w:r>
        <w:rPr>
          <w:color w:val="231F20"/>
          <w:spacing w:val="-10"/>
        </w:rPr>
        <w:t> </w:t>
      </w:r>
      <w:r>
        <w:rPr>
          <w:color w:val="231F20"/>
        </w:rPr>
        <w:t>6%,</w:t>
      </w:r>
      <w:r>
        <w:rPr>
          <w:color w:val="231F20"/>
          <w:spacing w:val="-11"/>
        </w:rPr>
        <w:t> </w:t>
      </w:r>
      <w:r>
        <w:rPr>
          <w:color w:val="231F20"/>
        </w:rPr>
        <w:t>5%,</w:t>
      </w:r>
      <w:r>
        <w:rPr>
          <w:color w:val="231F20"/>
          <w:spacing w:val="-11"/>
        </w:rPr>
        <w:t> </w:t>
      </w:r>
      <w:r>
        <w:rPr>
          <w:color w:val="231F20"/>
        </w:rPr>
        <w:t>21%</w:t>
      </w:r>
      <w:r>
        <w:rPr>
          <w:color w:val="231F20"/>
          <w:spacing w:val="-11"/>
        </w:rPr>
        <w:t> </w:t>
      </w:r>
      <w:r>
        <w:rPr>
          <w:color w:val="231F20"/>
        </w:rPr>
        <w:t>y</w:t>
      </w:r>
      <w:r>
        <w:rPr>
          <w:color w:val="231F20"/>
          <w:spacing w:val="-11"/>
        </w:rPr>
        <w:t> </w:t>
      </w:r>
      <w:r>
        <w:rPr>
          <w:color w:val="231F20"/>
        </w:rPr>
        <w:t>45%</w:t>
      </w:r>
      <w:r>
        <w:rPr>
          <w:color w:val="231F20"/>
          <w:spacing w:val="-11"/>
        </w:rPr>
        <w:t> </w:t>
      </w:r>
      <w:r>
        <w:rPr>
          <w:color w:val="231F20"/>
        </w:rPr>
        <w:t>con</w:t>
      </w:r>
      <w:r>
        <w:rPr>
          <w:color w:val="231F20"/>
          <w:spacing w:val="-11"/>
        </w:rPr>
        <w:t> </w:t>
      </w:r>
      <w:r>
        <w:rPr>
          <w:color w:val="231F20"/>
        </w:rPr>
        <w:t>respecto</w:t>
      </w:r>
      <w:r>
        <w:rPr>
          <w:color w:val="231F20"/>
          <w:spacing w:val="-10"/>
        </w:rPr>
        <w:t> </w:t>
      </w:r>
      <w:r>
        <w:rPr>
          <w:color w:val="231F20"/>
        </w:rPr>
        <w:t>al</w:t>
      </w:r>
      <w:r>
        <w:rPr>
          <w:color w:val="231F20"/>
          <w:spacing w:val="-11"/>
        </w:rPr>
        <w:t> </w:t>
      </w:r>
      <w:r>
        <w:rPr>
          <w:color w:val="231F20"/>
        </w:rPr>
        <w:t>control en</w:t>
      </w:r>
      <w:r>
        <w:rPr>
          <w:color w:val="231F20"/>
          <w:spacing w:val="-12"/>
        </w:rPr>
        <w:t> </w:t>
      </w:r>
      <w:r>
        <w:rPr>
          <w:color w:val="231F20"/>
        </w:rPr>
        <w:t>las</w:t>
      </w:r>
      <w:r>
        <w:rPr>
          <w:color w:val="231F20"/>
          <w:spacing w:val="-12"/>
        </w:rPr>
        <w:t> </w:t>
      </w:r>
      <w:r>
        <w:rPr>
          <w:color w:val="231F20"/>
        </w:rPr>
        <w:t>concentraciones</w:t>
      </w:r>
      <w:r>
        <w:rPr>
          <w:color w:val="231F20"/>
          <w:spacing w:val="-12"/>
        </w:rPr>
        <w:t> </w:t>
      </w:r>
      <w:r>
        <w:rPr>
          <w:color w:val="231F20"/>
        </w:rPr>
        <w:t>de</w:t>
      </w:r>
      <w:r>
        <w:rPr>
          <w:color w:val="231F20"/>
          <w:spacing w:val="-12"/>
        </w:rPr>
        <w:t> </w:t>
      </w:r>
      <w:r>
        <w:rPr>
          <w:color w:val="231F20"/>
        </w:rPr>
        <w:t>1000,</w:t>
      </w:r>
      <w:r>
        <w:rPr>
          <w:color w:val="231F20"/>
          <w:spacing w:val="-12"/>
        </w:rPr>
        <w:t> </w:t>
      </w:r>
      <w:r>
        <w:rPr>
          <w:color w:val="231F20"/>
        </w:rPr>
        <w:t>1500,</w:t>
      </w:r>
      <w:r>
        <w:rPr>
          <w:color w:val="231F20"/>
          <w:spacing w:val="-12"/>
        </w:rPr>
        <w:t> </w:t>
      </w:r>
      <w:r>
        <w:rPr>
          <w:color w:val="231F20"/>
        </w:rPr>
        <w:t>2000</w:t>
      </w:r>
      <w:r>
        <w:rPr>
          <w:color w:val="231F20"/>
          <w:spacing w:val="-12"/>
        </w:rPr>
        <w:t> </w:t>
      </w:r>
      <w:r>
        <w:rPr>
          <w:color w:val="231F20"/>
        </w:rPr>
        <w:t>y</w:t>
      </w:r>
      <w:r>
        <w:rPr>
          <w:color w:val="231F20"/>
          <w:spacing w:val="-12"/>
        </w:rPr>
        <w:t> </w:t>
      </w:r>
      <w:r>
        <w:rPr>
          <w:color w:val="231F20"/>
        </w:rPr>
        <w:t>3000</w:t>
      </w:r>
      <w:r>
        <w:rPr>
          <w:color w:val="231F20"/>
          <w:spacing w:val="-12"/>
        </w:rPr>
        <w:t> </w:t>
      </w:r>
      <w:r>
        <w:rPr>
          <w:color w:val="231F20"/>
        </w:rPr>
        <w:t>ppm</w:t>
      </w:r>
      <w:r>
        <w:rPr>
          <w:color w:val="231F20"/>
          <w:spacing w:val="-12"/>
        </w:rPr>
        <w:t> </w:t>
      </w:r>
      <w:r>
        <w:rPr>
          <w:color w:val="231F20"/>
        </w:rPr>
        <w:t>respectivamente,</w:t>
      </w:r>
      <w:r>
        <w:rPr>
          <w:color w:val="231F20"/>
          <w:spacing w:val="-12"/>
        </w:rPr>
        <w:t> </w:t>
      </w:r>
      <w:r>
        <w:rPr>
          <w:color w:val="231F20"/>
        </w:rPr>
        <w:t>al</w:t>
      </w:r>
      <w:r>
        <w:rPr>
          <w:color w:val="231F20"/>
          <w:spacing w:val="-12"/>
        </w:rPr>
        <w:t> </w:t>
      </w:r>
      <w:r>
        <w:rPr>
          <w:color w:val="231F20"/>
        </w:rPr>
        <w:t>final</w:t>
      </w:r>
      <w:r>
        <w:rPr>
          <w:color w:val="231F20"/>
          <w:spacing w:val="-12"/>
        </w:rPr>
        <w:t> </w:t>
      </w:r>
      <w:r>
        <w:rPr>
          <w:color w:val="231F20"/>
        </w:rPr>
        <w:t>del</w:t>
      </w:r>
      <w:r>
        <w:rPr>
          <w:color w:val="231F20"/>
          <w:spacing w:val="-12"/>
        </w:rPr>
        <w:t> </w:t>
      </w:r>
      <w:r>
        <w:rPr>
          <w:color w:val="231F20"/>
          <w:spacing w:val="-2"/>
        </w:rPr>
        <w:t>experimento.</w:t>
      </w:r>
    </w:p>
    <w:p>
      <w:pPr>
        <w:pStyle w:val="BodyText"/>
        <w:spacing w:before="5"/>
      </w:pPr>
    </w:p>
    <w:p>
      <w:pPr>
        <w:spacing w:before="0"/>
        <w:ind w:left="1266" w:right="1266" w:firstLine="0"/>
        <w:jc w:val="center"/>
        <w:rPr>
          <w:b/>
          <w:sz w:val="18"/>
        </w:rPr>
      </w:pPr>
      <w:r>
        <w:rPr>
          <w:b/>
          <w:color w:val="010202"/>
          <w:sz w:val="18"/>
        </w:rPr>
        <w:t>Gráfica 4. Efecto del extracto hexánico de E. hyemaleaffinemyriochaetum en la velocidad de crecimiento</w:t>
      </w:r>
    </w:p>
    <w:p>
      <w:pPr>
        <w:spacing w:before="9"/>
        <w:ind w:left="1489" w:right="1489" w:firstLine="0"/>
        <w:jc w:val="center"/>
        <w:rPr>
          <w:b/>
          <w:sz w:val="18"/>
        </w:rPr>
      </w:pPr>
      <w:r>
        <w:rPr>
          <w:b/>
          <w:color w:val="010202"/>
          <w:sz w:val="18"/>
        </w:rPr>
        <w:t>radial del micelio (mm/hr) de P. italicum., promedio de tres repeticiones con seis lecturas</w:t>
      </w:r>
    </w:p>
    <w:p>
      <w:pPr>
        <w:pStyle w:val="BodyText"/>
        <w:spacing w:before="9"/>
        <w:rPr>
          <w:b/>
          <w:sz w:val="18"/>
        </w:rPr>
      </w:pPr>
      <w:r>
        <w:rPr/>
        <w:drawing>
          <wp:anchor distT="0" distB="0" distL="0" distR="0" allowOverlap="1" layoutInCell="1" locked="0" behindDoc="0" simplePos="0" relativeHeight="6280">
            <wp:simplePos x="0" y="0"/>
            <wp:positionH relativeFrom="page">
              <wp:posOffset>1112700</wp:posOffset>
            </wp:positionH>
            <wp:positionV relativeFrom="paragraph">
              <wp:posOffset>161967</wp:posOffset>
            </wp:positionV>
            <wp:extent cx="4682553" cy="2278284"/>
            <wp:effectExtent l="0" t="0" r="0" b="0"/>
            <wp:wrapTopAndBottom/>
            <wp:docPr id="217" name="image93.png" descr=""/>
            <wp:cNvGraphicFramePr>
              <a:graphicFrameLocks noChangeAspect="1"/>
            </wp:cNvGraphicFramePr>
            <a:graphic>
              <a:graphicData uri="http://schemas.openxmlformats.org/drawingml/2006/picture">
                <pic:pic>
                  <pic:nvPicPr>
                    <pic:cNvPr id="218" name="image93.png"/>
                    <pic:cNvPicPr/>
                  </pic:nvPicPr>
                  <pic:blipFill>
                    <a:blip r:embed="rId142" cstate="print"/>
                    <a:stretch>
                      <a:fillRect/>
                    </a:stretch>
                  </pic:blipFill>
                  <pic:spPr>
                    <a:xfrm>
                      <a:off x="0" y="0"/>
                      <a:ext cx="4682553" cy="2278284"/>
                    </a:xfrm>
                    <a:prstGeom prst="rect">
                      <a:avLst/>
                    </a:prstGeom>
                  </pic:spPr>
                </pic:pic>
              </a:graphicData>
            </a:graphic>
          </wp:anchor>
        </w:drawing>
      </w:r>
    </w:p>
    <w:p>
      <w:pPr>
        <w:pStyle w:val="BodyText"/>
        <w:spacing w:before="7"/>
        <w:rPr>
          <w:b/>
          <w:sz w:val="25"/>
        </w:rPr>
      </w:pPr>
    </w:p>
    <w:p>
      <w:pPr>
        <w:pStyle w:val="BodyText"/>
        <w:spacing w:line="247" w:lineRule="auto"/>
        <w:ind w:left="1270" w:right="1268"/>
        <w:jc w:val="both"/>
      </w:pPr>
      <w:r>
        <w:rPr>
          <w:color w:val="231F20"/>
        </w:rPr>
        <w:t>Es necesario con este híbrido, incrementar la concentración del extracto hasta obtener la dosis le- tal, así como también probar otros extractos obtenidos de diferentes solventes. Es probable que</w:t>
      </w:r>
    </w:p>
    <w:p>
      <w:pPr>
        <w:pStyle w:val="BodyText"/>
        <w:spacing w:line="247" w:lineRule="auto" w:before="1"/>
        <w:ind w:left="1270" w:right="1267"/>
        <w:jc w:val="both"/>
      </w:pPr>
      <w:r>
        <w:rPr>
          <w:color w:val="231F20"/>
        </w:rPr>
        <w:t>E. hyemaleaffinemyriochaetumno tenga efectos inhibitorios tan evidentes como E. hyemale en el crecimiento de P. italicum debido a que es un híbrido domesticado, ya que se encuentra propagado- formando grandes colonias en el Invernadero de Especies Tropicales de la UACh y al encontrarse en condiciones óptimas, los metabolitos secundarios que produce no son tan tóxicos para el hongo. No obstante, es una buena alternativa, ya que podría ser cultivado en invernadero para el aprove- chamiento del mismo a pesar de que se necesiten altas concentraciones para el control del moho de la naranja. Para ello sería necesario hacer una valoración de costos, así como también de efectos secundarios para la salud humana.</w:t>
      </w:r>
    </w:p>
    <w:p>
      <w:pPr>
        <w:spacing w:after="0" w:line="247" w:lineRule="auto"/>
        <w:jc w:val="both"/>
        <w:sectPr>
          <w:pgSz w:w="10920" w:h="13080"/>
          <w:pgMar w:header="0" w:footer="965" w:top="420" w:bottom="1220" w:left="0" w:right="0"/>
        </w:sectPr>
      </w:pPr>
    </w:p>
    <w:p>
      <w:pPr>
        <w:pStyle w:val="BodyText"/>
        <w:rPr>
          <w:sz w:val="20"/>
        </w:rPr>
      </w:pPr>
    </w:p>
    <w:p>
      <w:pPr>
        <w:pStyle w:val="BodyText"/>
        <w:rPr>
          <w:sz w:val="20"/>
        </w:rPr>
      </w:pPr>
    </w:p>
    <w:p>
      <w:pPr>
        <w:pStyle w:val="BodyText"/>
        <w:rPr>
          <w:sz w:val="23"/>
        </w:rPr>
      </w:pPr>
    </w:p>
    <w:p>
      <w:pPr>
        <w:spacing w:line="290" w:lineRule="auto" w:before="77"/>
        <w:ind w:left="1882" w:right="1618" w:hanging="195"/>
        <w:jc w:val="left"/>
        <w:rPr>
          <w:b/>
          <w:sz w:val="18"/>
        </w:rPr>
      </w:pPr>
      <w:r>
        <w:rPr>
          <w:b/>
          <w:color w:val="010202"/>
          <w:sz w:val="18"/>
        </w:rPr>
        <w:t>Cuadro 2. Radio de la colonia (R.C.) y Velocidad de Crecimiento (V.C.) de </w:t>
      </w:r>
      <w:r>
        <w:rPr>
          <w:b/>
          <w:i/>
          <w:color w:val="010202"/>
          <w:sz w:val="18"/>
        </w:rPr>
        <w:t>Penicilliumitalicum </w:t>
      </w:r>
      <w:r>
        <w:rPr>
          <w:b/>
          <w:color w:val="010202"/>
          <w:sz w:val="18"/>
        </w:rPr>
        <w:t>ante diferentes concentraciones del extracto hexánico de </w:t>
      </w:r>
      <w:r>
        <w:rPr>
          <w:b/>
          <w:i/>
          <w:color w:val="010202"/>
          <w:sz w:val="18"/>
        </w:rPr>
        <w:t>E. hyemaleaffinemyriochaetum </w:t>
      </w:r>
      <w:r>
        <w:rPr>
          <w:b/>
          <w:color w:val="010202"/>
          <w:sz w:val="18"/>
        </w:rPr>
        <w:t>a las 144 h</w:t>
      </w:r>
    </w:p>
    <w:p>
      <w:pPr>
        <w:pStyle w:val="BodyText"/>
        <w:spacing w:before="1" w:after="1"/>
        <w:rPr>
          <w:b/>
          <w:sz w:val="12"/>
        </w:rPr>
      </w:pPr>
    </w:p>
    <w:tbl>
      <w:tblPr>
        <w:tblW w:w="0" w:type="auto"/>
        <w:jc w:val="left"/>
        <w:tblInd w:w="123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90"/>
        <w:gridCol w:w="1494"/>
        <w:gridCol w:w="1423"/>
        <w:gridCol w:w="1420"/>
        <w:gridCol w:w="1420"/>
        <w:gridCol w:w="1368"/>
      </w:tblGrid>
      <w:tr>
        <w:trPr>
          <w:trHeight w:val="625" w:hRule="exact"/>
        </w:trPr>
        <w:tc>
          <w:tcPr>
            <w:tcW w:w="1290" w:type="dxa"/>
            <w:tcBorders>
              <w:top w:val="single" w:sz="6" w:space="0" w:color="010202"/>
              <w:bottom w:val="single" w:sz="6" w:space="0" w:color="010202"/>
            </w:tcBorders>
          </w:tcPr>
          <w:p>
            <w:pPr>
              <w:pStyle w:val="TableParagraph"/>
              <w:spacing w:line="249" w:lineRule="auto" w:before="70"/>
              <w:ind w:left="35" w:right="105"/>
              <w:rPr>
                <w:b/>
                <w:sz w:val="18"/>
              </w:rPr>
            </w:pPr>
            <w:r>
              <w:rPr>
                <w:b/>
                <w:color w:val="231F20"/>
                <w:sz w:val="18"/>
              </w:rPr>
              <w:t>Concentración del Extracto</w:t>
            </w:r>
          </w:p>
        </w:tc>
        <w:tc>
          <w:tcPr>
            <w:tcW w:w="1494" w:type="dxa"/>
            <w:tcBorders>
              <w:top w:val="single" w:sz="6" w:space="0" w:color="010202"/>
              <w:bottom w:val="single" w:sz="6" w:space="0" w:color="010202"/>
            </w:tcBorders>
          </w:tcPr>
          <w:p>
            <w:pPr>
              <w:pStyle w:val="TableParagraph"/>
              <w:spacing w:before="70"/>
              <w:ind w:left="184"/>
              <w:rPr>
                <w:b/>
                <w:sz w:val="18"/>
              </w:rPr>
            </w:pPr>
            <w:r>
              <w:rPr>
                <w:b/>
                <w:color w:val="231F20"/>
                <w:sz w:val="18"/>
              </w:rPr>
              <w:t>Control (0 ppm)</w:t>
            </w:r>
          </w:p>
        </w:tc>
        <w:tc>
          <w:tcPr>
            <w:tcW w:w="1423" w:type="dxa"/>
            <w:tcBorders>
              <w:top w:val="single" w:sz="6" w:space="0" w:color="010202"/>
              <w:bottom w:val="single" w:sz="6" w:space="0" w:color="010202"/>
            </w:tcBorders>
          </w:tcPr>
          <w:p>
            <w:pPr>
              <w:pStyle w:val="TableParagraph"/>
              <w:spacing w:before="70"/>
              <w:ind w:left="130"/>
              <w:rPr>
                <w:b/>
                <w:sz w:val="18"/>
              </w:rPr>
            </w:pPr>
            <w:r>
              <w:rPr>
                <w:b/>
                <w:color w:val="231F20"/>
                <w:sz w:val="18"/>
              </w:rPr>
              <w:t>1000 ppm</w:t>
            </w:r>
          </w:p>
        </w:tc>
        <w:tc>
          <w:tcPr>
            <w:tcW w:w="1420" w:type="dxa"/>
            <w:tcBorders>
              <w:top w:val="single" w:sz="6" w:space="0" w:color="010202"/>
              <w:bottom w:val="single" w:sz="6" w:space="0" w:color="010202"/>
            </w:tcBorders>
          </w:tcPr>
          <w:p>
            <w:pPr>
              <w:pStyle w:val="TableParagraph"/>
              <w:spacing w:before="70"/>
              <w:ind w:left="228"/>
              <w:rPr>
                <w:b/>
                <w:sz w:val="18"/>
              </w:rPr>
            </w:pPr>
            <w:r>
              <w:rPr>
                <w:b/>
                <w:color w:val="231F20"/>
                <w:sz w:val="18"/>
              </w:rPr>
              <w:t>1500 ppm</w:t>
            </w:r>
          </w:p>
        </w:tc>
        <w:tc>
          <w:tcPr>
            <w:tcW w:w="1420" w:type="dxa"/>
            <w:tcBorders>
              <w:top w:val="single" w:sz="6" w:space="0" w:color="010202"/>
              <w:bottom w:val="single" w:sz="6" w:space="0" w:color="010202"/>
            </w:tcBorders>
          </w:tcPr>
          <w:p>
            <w:pPr>
              <w:pStyle w:val="TableParagraph"/>
              <w:spacing w:before="70"/>
              <w:ind w:left="168"/>
              <w:rPr>
                <w:b/>
                <w:sz w:val="18"/>
              </w:rPr>
            </w:pPr>
            <w:r>
              <w:rPr>
                <w:b/>
                <w:color w:val="231F20"/>
                <w:sz w:val="18"/>
              </w:rPr>
              <w:t>2000 ppm</w:t>
            </w:r>
          </w:p>
        </w:tc>
        <w:tc>
          <w:tcPr>
            <w:tcW w:w="1368" w:type="dxa"/>
            <w:tcBorders>
              <w:top w:val="single" w:sz="6" w:space="0" w:color="010202"/>
              <w:bottom w:val="single" w:sz="6" w:space="0" w:color="010202"/>
            </w:tcBorders>
          </w:tcPr>
          <w:p>
            <w:pPr>
              <w:pStyle w:val="TableParagraph"/>
              <w:spacing w:before="70"/>
              <w:ind w:left="188"/>
              <w:rPr>
                <w:b/>
                <w:sz w:val="18"/>
              </w:rPr>
            </w:pPr>
            <w:r>
              <w:rPr>
                <w:b/>
                <w:color w:val="231F20"/>
                <w:sz w:val="18"/>
              </w:rPr>
              <w:t>3000 ppm</w:t>
            </w:r>
          </w:p>
        </w:tc>
      </w:tr>
      <w:tr>
        <w:trPr>
          <w:trHeight w:val="339" w:hRule="exact"/>
        </w:trPr>
        <w:tc>
          <w:tcPr>
            <w:tcW w:w="1290" w:type="dxa"/>
            <w:tcBorders>
              <w:top w:val="single" w:sz="6" w:space="0" w:color="010202"/>
            </w:tcBorders>
          </w:tcPr>
          <w:p>
            <w:pPr>
              <w:pStyle w:val="TableParagraph"/>
              <w:spacing w:before="92"/>
              <w:ind w:left="35" w:right="105"/>
              <w:rPr>
                <w:sz w:val="18"/>
              </w:rPr>
            </w:pPr>
            <w:r>
              <w:rPr>
                <w:color w:val="231F20"/>
                <w:sz w:val="18"/>
              </w:rPr>
              <w:t>R.C. (mm)</w:t>
            </w:r>
          </w:p>
        </w:tc>
        <w:tc>
          <w:tcPr>
            <w:tcW w:w="1494" w:type="dxa"/>
            <w:tcBorders>
              <w:top w:val="single" w:sz="6" w:space="0" w:color="010202"/>
            </w:tcBorders>
          </w:tcPr>
          <w:p>
            <w:pPr>
              <w:pStyle w:val="TableParagraph"/>
              <w:spacing w:before="92"/>
              <w:ind w:left="184"/>
              <w:rPr>
                <w:sz w:val="18"/>
              </w:rPr>
            </w:pPr>
            <w:r>
              <w:rPr>
                <w:color w:val="231F20"/>
                <w:sz w:val="18"/>
              </w:rPr>
              <w:t>17.38+0.25 a</w:t>
            </w:r>
          </w:p>
        </w:tc>
        <w:tc>
          <w:tcPr>
            <w:tcW w:w="1423" w:type="dxa"/>
            <w:tcBorders>
              <w:top w:val="single" w:sz="6" w:space="0" w:color="010202"/>
            </w:tcBorders>
          </w:tcPr>
          <w:p>
            <w:pPr>
              <w:pStyle w:val="TableParagraph"/>
              <w:spacing w:before="92"/>
              <w:ind w:left="130"/>
              <w:rPr>
                <w:sz w:val="18"/>
              </w:rPr>
            </w:pPr>
            <w:r>
              <w:rPr>
                <w:color w:val="231F20"/>
                <w:sz w:val="18"/>
              </w:rPr>
              <w:t>16.33+ 1.5ab</w:t>
            </w:r>
          </w:p>
        </w:tc>
        <w:tc>
          <w:tcPr>
            <w:tcW w:w="1420" w:type="dxa"/>
            <w:tcBorders>
              <w:top w:val="single" w:sz="6" w:space="0" w:color="010202"/>
            </w:tcBorders>
          </w:tcPr>
          <w:p>
            <w:pPr>
              <w:pStyle w:val="TableParagraph"/>
              <w:spacing w:before="92"/>
              <w:ind w:left="188"/>
              <w:rPr>
                <w:sz w:val="18"/>
              </w:rPr>
            </w:pPr>
            <w:r>
              <w:rPr>
                <w:color w:val="231F20"/>
                <w:sz w:val="18"/>
              </w:rPr>
              <w:t>16.5+0.58ab</w:t>
            </w:r>
          </w:p>
        </w:tc>
        <w:tc>
          <w:tcPr>
            <w:tcW w:w="1420" w:type="dxa"/>
            <w:tcBorders>
              <w:top w:val="single" w:sz="6" w:space="0" w:color="010202"/>
            </w:tcBorders>
          </w:tcPr>
          <w:p>
            <w:pPr>
              <w:pStyle w:val="TableParagraph"/>
              <w:spacing w:before="92"/>
              <w:ind w:left="168"/>
              <w:rPr>
                <w:sz w:val="18"/>
              </w:rPr>
            </w:pPr>
            <w:r>
              <w:rPr>
                <w:color w:val="231F20"/>
                <w:sz w:val="18"/>
              </w:rPr>
              <w:t>13.67+ 2.34bc</w:t>
            </w:r>
          </w:p>
        </w:tc>
        <w:tc>
          <w:tcPr>
            <w:tcW w:w="1368" w:type="dxa"/>
            <w:tcBorders>
              <w:top w:val="single" w:sz="6" w:space="0" w:color="010202"/>
            </w:tcBorders>
          </w:tcPr>
          <w:p>
            <w:pPr>
              <w:pStyle w:val="TableParagraph"/>
              <w:spacing w:before="92"/>
              <w:ind w:left="188"/>
              <w:rPr>
                <w:sz w:val="18"/>
              </w:rPr>
            </w:pPr>
            <w:r>
              <w:rPr>
                <w:color w:val="231F20"/>
                <w:sz w:val="18"/>
              </w:rPr>
              <w:t>9.63 + 0.75 c</w:t>
            </w:r>
          </w:p>
        </w:tc>
      </w:tr>
      <w:tr>
        <w:trPr>
          <w:trHeight w:val="316" w:hRule="exact"/>
        </w:trPr>
        <w:tc>
          <w:tcPr>
            <w:tcW w:w="1290" w:type="dxa"/>
          </w:tcPr>
          <w:p>
            <w:pPr>
              <w:pStyle w:val="TableParagraph"/>
              <w:spacing w:before="12"/>
              <w:ind w:left="35" w:right="105"/>
              <w:rPr>
                <w:sz w:val="18"/>
              </w:rPr>
            </w:pPr>
            <w:r>
              <w:rPr>
                <w:color w:val="231F20"/>
                <w:sz w:val="18"/>
              </w:rPr>
              <w:t>V.C. (mm/hr)</w:t>
            </w:r>
          </w:p>
        </w:tc>
        <w:tc>
          <w:tcPr>
            <w:tcW w:w="1494" w:type="dxa"/>
          </w:tcPr>
          <w:p>
            <w:pPr>
              <w:pStyle w:val="TableParagraph"/>
              <w:spacing w:before="12"/>
              <w:ind w:left="184"/>
              <w:rPr>
                <w:sz w:val="18"/>
              </w:rPr>
            </w:pPr>
            <w:r>
              <w:rPr>
                <w:color w:val="231F20"/>
                <w:sz w:val="18"/>
              </w:rPr>
              <w:t>0.133+ 0.004 a</w:t>
            </w:r>
          </w:p>
        </w:tc>
        <w:tc>
          <w:tcPr>
            <w:tcW w:w="1423" w:type="dxa"/>
          </w:tcPr>
          <w:p>
            <w:pPr>
              <w:pStyle w:val="TableParagraph"/>
              <w:spacing w:before="12"/>
              <w:ind w:left="130"/>
              <w:rPr>
                <w:sz w:val="18"/>
              </w:rPr>
            </w:pPr>
            <w:r>
              <w:rPr>
                <w:color w:val="231F20"/>
                <w:sz w:val="18"/>
              </w:rPr>
              <w:t>0.131+  0.012ab</w:t>
            </w:r>
          </w:p>
        </w:tc>
        <w:tc>
          <w:tcPr>
            <w:tcW w:w="1420" w:type="dxa"/>
          </w:tcPr>
          <w:p>
            <w:pPr>
              <w:pStyle w:val="TableParagraph"/>
              <w:spacing w:before="12"/>
              <w:ind w:left="188"/>
              <w:rPr>
                <w:sz w:val="18"/>
              </w:rPr>
            </w:pPr>
            <w:r>
              <w:rPr>
                <w:color w:val="231F20"/>
                <w:sz w:val="18"/>
              </w:rPr>
              <w:t>0.125+ 0.008ab</w:t>
            </w:r>
          </w:p>
        </w:tc>
        <w:tc>
          <w:tcPr>
            <w:tcW w:w="1420" w:type="dxa"/>
          </w:tcPr>
          <w:p>
            <w:pPr>
              <w:pStyle w:val="TableParagraph"/>
              <w:spacing w:before="12"/>
              <w:ind w:left="168"/>
              <w:rPr>
                <w:sz w:val="18"/>
              </w:rPr>
            </w:pPr>
            <w:r>
              <w:rPr>
                <w:color w:val="231F20"/>
                <w:sz w:val="18"/>
              </w:rPr>
              <w:t>0.108+ 0.015bc</w:t>
            </w:r>
          </w:p>
        </w:tc>
        <w:tc>
          <w:tcPr>
            <w:tcW w:w="1368" w:type="dxa"/>
          </w:tcPr>
          <w:p>
            <w:pPr>
              <w:pStyle w:val="TableParagraph"/>
              <w:spacing w:before="12"/>
              <w:ind w:left="188"/>
              <w:rPr>
                <w:sz w:val="18"/>
              </w:rPr>
            </w:pPr>
            <w:r>
              <w:rPr>
                <w:color w:val="231F20"/>
                <w:sz w:val="18"/>
              </w:rPr>
              <w:t>0.079 +0.011c</w:t>
            </w:r>
          </w:p>
        </w:tc>
      </w:tr>
    </w:tbl>
    <w:p>
      <w:pPr>
        <w:pStyle w:val="BodyText"/>
        <w:spacing w:before="6"/>
        <w:rPr>
          <w:b/>
          <w:sz w:val="7"/>
        </w:rPr>
      </w:pPr>
    </w:p>
    <w:p>
      <w:pPr>
        <w:pStyle w:val="BodyText"/>
        <w:spacing w:line="20" w:lineRule="exact"/>
        <w:ind w:left="1262"/>
        <w:rPr>
          <w:sz w:val="2"/>
        </w:rPr>
      </w:pPr>
      <w:r>
        <w:rPr>
          <w:sz w:val="2"/>
        </w:rPr>
        <w:pict>
          <v:group style="width:419.75pt;height:.75pt;mso-position-horizontal-relative:char;mso-position-vertical-relative:line" coordorigin="0,0" coordsize="8395,15">
            <v:line style="position:absolute" from="8,8" to="8387,8" stroked="true" strokeweight=".75pt" strokecolor="#010202"/>
          </v:group>
        </w:pict>
      </w:r>
      <w:r>
        <w:rPr>
          <w:sz w:val="2"/>
        </w:rPr>
      </w:r>
    </w:p>
    <w:p>
      <w:pPr>
        <w:spacing w:before="99"/>
        <w:ind w:left="1270" w:right="0" w:firstLine="0"/>
        <w:jc w:val="both"/>
        <w:rPr>
          <w:b/>
          <w:i/>
          <w:sz w:val="17"/>
        </w:rPr>
      </w:pPr>
      <w:r>
        <w:rPr>
          <w:b/>
          <w:i/>
          <w:color w:val="231F20"/>
          <w:sz w:val="17"/>
        </w:rPr>
        <w:t>Promedios con letras iguales no presentan diferencias significativas (p&lt;0.05, Tukey).</w:t>
      </w:r>
    </w:p>
    <w:p>
      <w:pPr>
        <w:pStyle w:val="BodyText"/>
        <w:rPr>
          <w:b/>
          <w:i/>
          <w:sz w:val="16"/>
        </w:rPr>
      </w:pPr>
    </w:p>
    <w:p>
      <w:pPr>
        <w:pStyle w:val="Heading3"/>
        <w:spacing w:before="93"/>
      </w:pPr>
      <w:r>
        <w:rPr>
          <w:color w:val="010202"/>
        </w:rPr>
        <w:t>Conclusiones</w:t>
      </w:r>
    </w:p>
    <w:p>
      <w:pPr>
        <w:pStyle w:val="BodyText"/>
        <w:spacing w:before="10"/>
        <w:rPr>
          <w:b/>
        </w:rPr>
      </w:pPr>
    </w:p>
    <w:p>
      <w:pPr>
        <w:pStyle w:val="BodyText"/>
        <w:spacing w:line="247" w:lineRule="auto"/>
        <w:ind w:left="1270" w:right="1267"/>
        <w:jc w:val="both"/>
      </w:pPr>
      <w:r>
        <w:rPr>
          <w:color w:val="231F20"/>
        </w:rPr>
        <w:t>Equisetumhyemale redujo proporcionalmente la velocidad de crecimiento radial del micelio de </w:t>
      </w:r>
      <w:r>
        <w:rPr>
          <w:i/>
          <w:color w:val="231F20"/>
          <w:spacing w:val="-28"/>
        </w:rPr>
        <w:t>P. </w:t>
      </w:r>
      <w:r>
        <w:rPr>
          <w:i/>
          <w:color w:val="231F20"/>
        </w:rPr>
        <w:t>italicum </w:t>
      </w:r>
      <w:r>
        <w:rPr>
          <w:color w:val="231F20"/>
        </w:rPr>
        <w:t>de acuerdo con el incremento en la concentración del extracto, disminuyendo un 57% en  el más alto (1,000 ppm) con respecto al control, por lo que es un buen candidato como control de la enfermedad</w:t>
      </w:r>
      <w:r>
        <w:rPr>
          <w:color w:val="231F20"/>
          <w:spacing w:val="-1"/>
        </w:rPr>
        <w:t> </w:t>
      </w:r>
      <w:r>
        <w:rPr>
          <w:color w:val="231F20"/>
        </w:rPr>
        <w:t>postcosecha.</w:t>
      </w:r>
    </w:p>
    <w:p>
      <w:pPr>
        <w:pStyle w:val="BodyText"/>
        <w:spacing w:before="10"/>
      </w:pPr>
    </w:p>
    <w:p>
      <w:pPr>
        <w:pStyle w:val="ListParagraph"/>
        <w:numPr>
          <w:ilvl w:val="0"/>
          <w:numId w:val="12"/>
        </w:numPr>
        <w:tabs>
          <w:tab w:pos="1503" w:val="left" w:leader="none"/>
        </w:tabs>
        <w:spacing w:line="247" w:lineRule="auto" w:before="0" w:after="0"/>
        <w:ind w:left="1270" w:right="1267" w:firstLine="0"/>
        <w:jc w:val="both"/>
        <w:rPr>
          <w:sz w:val="21"/>
        </w:rPr>
      </w:pPr>
      <w:r>
        <w:rPr>
          <w:color w:val="231F20"/>
          <w:sz w:val="21"/>
        </w:rPr>
        <w:t>hyemaleaffinemyriochaetumprovocó una respuesta menos evidente, ya que la velocidad de</w:t>
      </w:r>
      <w:r>
        <w:rPr>
          <w:color w:val="231F20"/>
          <w:spacing w:val="-33"/>
          <w:sz w:val="21"/>
        </w:rPr>
        <w:t> </w:t>
      </w:r>
      <w:r>
        <w:rPr>
          <w:color w:val="231F20"/>
          <w:sz w:val="21"/>
        </w:rPr>
        <w:t>creci- miento</w:t>
      </w:r>
      <w:r>
        <w:rPr>
          <w:color w:val="231F20"/>
          <w:spacing w:val="-4"/>
          <w:sz w:val="21"/>
        </w:rPr>
        <w:t> </w:t>
      </w:r>
      <w:r>
        <w:rPr>
          <w:color w:val="231F20"/>
          <w:sz w:val="21"/>
        </w:rPr>
        <w:t>radial</w:t>
      </w:r>
      <w:r>
        <w:rPr>
          <w:color w:val="231F20"/>
          <w:spacing w:val="-4"/>
          <w:sz w:val="21"/>
        </w:rPr>
        <w:t> </w:t>
      </w:r>
      <w:r>
        <w:rPr>
          <w:color w:val="231F20"/>
          <w:sz w:val="21"/>
        </w:rPr>
        <w:t>de</w:t>
      </w:r>
      <w:r>
        <w:rPr>
          <w:color w:val="231F20"/>
          <w:spacing w:val="-4"/>
          <w:sz w:val="21"/>
        </w:rPr>
        <w:t> </w:t>
      </w:r>
      <w:r>
        <w:rPr>
          <w:color w:val="231F20"/>
          <w:spacing w:val="-12"/>
          <w:sz w:val="21"/>
        </w:rPr>
        <w:t>P.</w:t>
      </w:r>
      <w:r>
        <w:rPr>
          <w:color w:val="231F20"/>
          <w:spacing w:val="-4"/>
          <w:sz w:val="21"/>
        </w:rPr>
        <w:t> </w:t>
      </w:r>
      <w:r>
        <w:rPr>
          <w:color w:val="231F20"/>
          <w:sz w:val="21"/>
        </w:rPr>
        <w:t>italicumfue</w:t>
      </w:r>
      <w:r>
        <w:rPr>
          <w:color w:val="231F20"/>
          <w:spacing w:val="-5"/>
          <w:sz w:val="21"/>
        </w:rPr>
        <w:t> </w:t>
      </w:r>
      <w:r>
        <w:rPr>
          <w:color w:val="231F20"/>
          <w:sz w:val="21"/>
        </w:rPr>
        <w:t>45%</w:t>
      </w:r>
      <w:r>
        <w:rPr>
          <w:color w:val="231F20"/>
          <w:spacing w:val="-4"/>
          <w:sz w:val="21"/>
        </w:rPr>
        <w:t> </w:t>
      </w:r>
      <w:r>
        <w:rPr>
          <w:color w:val="231F20"/>
          <w:sz w:val="21"/>
        </w:rPr>
        <w:t>menor</w:t>
      </w:r>
      <w:r>
        <w:rPr>
          <w:color w:val="231F20"/>
          <w:spacing w:val="-4"/>
          <w:sz w:val="21"/>
        </w:rPr>
        <w:t> </w:t>
      </w:r>
      <w:r>
        <w:rPr>
          <w:color w:val="231F20"/>
          <w:sz w:val="21"/>
        </w:rPr>
        <w:t>en</w:t>
      </w:r>
      <w:r>
        <w:rPr>
          <w:color w:val="231F20"/>
          <w:spacing w:val="-4"/>
          <w:sz w:val="21"/>
        </w:rPr>
        <w:t> </w:t>
      </w:r>
      <w:r>
        <w:rPr>
          <w:color w:val="231F20"/>
          <w:sz w:val="21"/>
        </w:rPr>
        <w:t>la</w:t>
      </w:r>
      <w:r>
        <w:rPr>
          <w:color w:val="231F20"/>
          <w:spacing w:val="-4"/>
          <w:sz w:val="21"/>
        </w:rPr>
        <w:t> </w:t>
      </w:r>
      <w:r>
        <w:rPr>
          <w:color w:val="231F20"/>
          <w:sz w:val="21"/>
        </w:rPr>
        <w:t>concentración</w:t>
      </w:r>
      <w:r>
        <w:rPr>
          <w:color w:val="231F20"/>
          <w:spacing w:val="-5"/>
          <w:sz w:val="21"/>
        </w:rPr>
        <w:t> </w:t>
      </w:r>
      <w:r>
        <w:rPr>
          <w:color w:val="231F20"/>
          <w:sz w:val="21"/>
        </w:rPr>
        <w:t>de</w:t>
      </w:r>
      <w:r>
        <w:rPr>
          <w:color w:val="231F20"/>
          <w:spacing w:val="-4"/>
          <w:sz w:val="21"/>
        </w:rPr>
        <w:t> </w:t>
      </w:r>
      <w:r>
        <w:rPr>
          <w:color w:val="231F20"/>
          <w:sz w:val="21"/>
        </w:rPr>
        <w:t>3,000</w:t>
      </w:r>
      <w:r>
        <w:rPr>
          <w:color w:val="231F20"/>
          <w:spacing w:val="-4"/>
          <w:sz w:val="21"/>
        </w:rPr>
        <w:t> </w:t>
      </w:r>
      <w:r>
        <w:rPr>
          <w:color w:val="231F20"/>
          <w:sz w:val="21"/>
        </w:rPr>
        <w:t>ppm</w:t>
      </w:r>
      <w:r>
        <w:rPr>
          <w:color w:val="231F20"/>
          <w:spacing w:val="-4"/>
          <w:sz w:val="21"/>
        </w:rPr>
        <w:t> </w:t>
      </w:r>
      <w:r>
        <w:rPr>
          <w:color w:val="231F20"/>
          <w:sz w:val="21"/>
        </w:rPr>
        <w:t>en</w:t>
      </w:r>
      <w:r>
        <w:rPr>
          <w:color w:val="231F20"/>
          <w:spacing w:val="-4"/>
          <w:sz w:val="21"/>
        </w:rPr>
        <w:t> </w:t>
      </w:r>
      <w:r>
        <w:rPr>
          <w:color w:val="231F20"/>
          <w:sz w:val="21"/>
        </w:rPr>
        <w:t>comparación</w:t>
      </w:r>
      <w:r>
        <w:rPr>
          <w:color w:val="231F20"/>
          <w:spacing w:val="-4"/>
          <w:sz w:val="21"/>
        </w:rPr>
        <w:t> </w:t>
      </w:r>
      <w:r>
        <w:rPr>
          <w:color w:val="231F20"/>
          <w:sz w:val="21"/>
        </w:rPr>
        <w:t>con</w:t>
      </w:r>
      <w:r>
        <w:rPr>
          <w:color w:val="231F20"/>
          <w:spacing w:val="-4"/>
          <w:sz w:val="21"/>
        </w:rPr>
        <w:t> </w:t>
      </w:r>
      <w:r>
        <w:rPr>
          <w:color w:val="231F20"/>
          <w:sz w:val="21"/>
        </w:rPr>
        <w:t>el testigo. Sin embargo, al encontrarse ya domesticado y propagado, facilita la producción y</w:t>
      </w:r>
      <w:r>
        <w:rPr>
          <w:color w:val="231F20"/>
          <w:spacing w:val="-29"/>
          <w:sz w:val="21"/>
        </w:rPr>
        <w:t> </w:t>
      </w:r>
      <w:r>
        <w:rPr>
          <w:color w:val="231F20"/>
          <w:sz w:val="21"/>
        </w:rPr>
        <w:t>obtención del compuesto.</w:t>
      </w:r>
    </w:p>
    <w:p>
      <w:pPr>
        <w:pStyle w:val="BodyText"/>
        <w:spacing w:before="10"/>
      </w:pPr>
    </w:p>
    <w:p>
      <w:pPr>
        <w:pStyle w:val="BodyText"/>
        <w:spacing w:line="247" w:lineRule="auto"/>
        <w:ind w:left="1270" w:right="1267"/>
        <w:jc w:val="both"/>
      </w:pPr>
      <w:r>
        <w:rPr>
          <w:color w:val="231F20"/>
        </w:rPr>
        <w:t>Es</w:t>
      </w:r>
      <w:r>
        <w:rPr>
          <w:color w:val="231F20"/>
          <w:spacing w:val="-5"/>
        </w:rPr>
        <w:t> </w:t>
      </w:r>
      <w:r>
        <w:rPr>
          <w:color w:val="231F20"/>
        </w:rPr>
        <w:t>necesario</w:t>
      </w:r>
      <w:r>
        <w:rPr>
          <w:color w:val="231F20"/>
          <w:spacing w:val="-5"/>
        </w:rPr>
        <w:t> </w:t>
      </w:r>
      <w:r>
        <w:rPr>
          <w:color w:val="231F20"/>
        </w:rPr>
        <w:t>realizar</w:t>
      </w:r>
      <w:r>
        <w:rPr>
          <w:color w:val="231F20"/>
          <w:spacing w:val="-5"/>
        </w:rPr>
        <w:t> </w:t>
      </w:r>
      <w:r>
        <w:rPr>
          <w:color w:val="231F20"/>
        </w:rPr>
        <w:t>más</w:t>
      </w:r>
      <w:r>
        <w:rPr>
          <w:color w:val="231F20"/>
          <w:spacing w:val="-5"/>
        </w:rPr>
        <w:t> </w:t>
      </w:r>
      <w:r>
        <w:rPr>
          <w:color w:val="231F20"/>
        </w:rPr>
        <w:t>pruebas</w:t>
      </w:r>
      <w:r>
        <w:rPr>
          <w:color w:val="231F20"/>
          <w:spacing w:val="-5"/>
        </w:rPr>
        <w:t> </w:t>
      </w:r>
      <w:r>
        <w:rPr>
          <w:color w:val="231F20"/>
        </w:rPr>
        <w:t>incrementando</w:t>
      </w:r>
      <w:r>
        <w:rPr>
          <w:color w:val="231F20"/>
          <w:spacing w:val="-6"/>
        </w:rPr>
        <w:t> </w:t>
      </w:r>
      <w:r>
        <w:rPr>
          <w:color w:val="231F20"/>
        </w:rPr>
        <w:t>la</w:t>
      </w:r>
      <w:r>
        <w:rPr>
          <w:color w:val="231F20"/>
          <w:spacing w:val="-5"/>
        </w:rPr>
        <w:t> </w:t>
      </w:r>
      <w:r>
        <w:rPr>
          <w:color w:val="231F20"/>
        </w:rPr>
        <w:t>concentración</w:t>
      </w:r>
      <w:r>
        <w:rPr>
          <w:color w:val="231F20"/>
          <w:spacing w:val="-6"/>
        </w:rPr>
        <w:t> </w:t>
      </w:r>
      <w:r>
        <w:rPr>
          <w:color w:val="231F20"/>
        </w:rPr>
        <w:t>del</w:t>
      </w:r>
      <w:r>
        <w:rPr>
          <w:color w:val="231F20"/>
          <w:spacing w:val="-5"/>
        </w:rPr>
        <w:t> </w:t>
      </w:r>
      <w:r>
        <w:rPr>
          <w:color w:val="231F20"/>
        </w:rPr>
        <w:t>extracto</w:t>
      </w:r>
      <w:r>
        <w:rPr>
          <w:color w:val="231F20"/>
          <w:spacing w:val="-5"/>
        </w:rPr>
        <w:t> </w:t>
      </w:r>
      <w:r>
        <w:rPr>
          <w:color w:val="231F20"/>
        </w:rPr>
        <w:t>de</w:t>
      </w:r>
      <w:r>
        <w:rPr>
          <w:color w:val="231F20"/>
          <w:spacing w:val="-5"/>
        </w:rPr>
        <w:t> </w:t>
      </w:r>
      <w:r>
        <w:rPr>
          <w:color w:val="231F20"/>
        </w:rPr>
        <w:t>ambos</w:t>
      </w:r>
      <w:r>
        <w:rPr>
          <w:color w:val="231F20"/>
          <w:spacing w:val="-5"/>
        </w:rPr>
        <w:t> </w:t>
      </w:r>
      <w:r>
        <w:rPr>
          <w:color w:val="231F20"/>
        </w:rPr>
        <w:t>ejemplares y con extractos a partir de otros</w:t>
      </w:r>
      <w:r>
        <w:rPr>
          <w:color w:val="231F20"/>
          <w:spacing w:val="-12"/>
        </w:rPr>
        <w:t> </w:t>
      </w:r>
      <w:r>
        <w:rPr>
          <w:color w:val="231F20"/>
        </w:rPr>
        <w:t>solventes.</w:t>
      </w:r>
    </w:p>
    <w:p>
      <w:pPr>
        <w:pStyle w:val="BodyText"/>
        <w:spacing w:before="9"/>
        <w:rPr>
          <w:sz w:val="22"/>
        </w:rPr>
      </w:pPr>
    </w:p>
    <w:p>
      <w:pPr>
        <w:pStyle w:val="Heading3"/>
      </w:pPr>
      <w:r>
        <w:rPr>
          <w:color w:val="010202"/>
        </w:rPr>
        <w:t>Literatura citada</w:t>
      </w:r>
    </w:p>
    <w:p>
      <w:pPr>
        <w:pStyle w:val="BodyText"/>
        <w:spacing w:before="7"/>
        <w:rPr>
          <w:b/>
        </w:rPr>
      </w:pPr>
    </w:p>
    <w:p>
      <w:pPr>
        <w:spacing w:before="0"/>
        <w:ind w:left="1270" w:right="0" w:firstLine="0"/>
        <w:jc w:val="both"/>
        <w:rPr>
          <w:sz w:val="19"/>
        </w:rPr>
      </w:pPr>
      <w:r>
        <w:rPr>
          <w:color w:val="231F20"/>
          <w:sz w:val="19"/>
        </w:rPr>
        <w:t>Agrios, G. N. 1995. Fitopatología. 2ª. Ed. UTEHA. ISBN: 9681851846, 9789681851842. 838 pp.</w:t>
      </w:r>
    </w:p>
    <w:p>
      <w:pPr>
        <w:pStyle w:val="BodyText"/>
        <w:spacing w:before="7"/>
        <w:rPr>
          <w:sz w:val="20"/>
        </w:rPr>
      </w:pPr>
    </w:p>
    <w:p>
      <w:pPr>
        <w:spacing w:line="249" w:lineRule="auto" w:before="0"/>
        <w:ind w:left="1270" w:right="1268" w:firstLine="0"/>
        <w:jc w:val="both"/>
        <w:rPr>
          <w:sz w:val="19"/>
        </w:rPr>
      </w:pPr>
      <w:r>
        <w:rPr>
          <w:color w:val="231F20"/>
          <w:sz w:val="19"/>
        </w:rPr>
        <w:t>Altieri</w:t>
      </w:r>
      <w:r>
        <w:rPr>
          <w:color w:val="231F20"/>
          <w:spacing w:val="-6"/>
          <w:sz w:val="19"/>
        </w:rPr>
        <w:t> </w:t>
      </w:r>
      <w:r>
        <w:rPr>
          <w:color w:val="231F20"/>
          <w:sz w:val="19"/>
        </w:rPr>
        <w:t>G.;</w:t>
      </w:r>
      <w:r>
        <w:rPr>
          <w:color w:val="231F20"/>
          <w:spacing w:val="-6"/>
          <w:sz w:val="19"/>
        </w:rPr>
        <w:t> </w:t>
      </w:r>
      <w:r>
        <w:rPr>
          <w:color w:val="231F20"/>
          <w:sz w:val="19"/>
        </w:rPr>
        <w:t>Renzo</w:t>
      </w:r>
      <w:r>
        <w:rPr>
          <w:color w:val="231F20"/>
          <w:spacing w:val="-6"/>
          <w:sz w:val="19"/>
        </w:rPr>
        <w:t> </w:t>
      </w:r>
      <w:r>
        <w:rPr>
          <w:color w:val="231F20"/>
          <w:sz w:val="19"/>
        </w:rPr>
        <w:t>G.</w:t>
      </w:r>
      <w:r>
        <w:rPr>
          <w:color w:val="231F20"/>
          <w:spacing w:val="-6"/>
          <w:sz w:val="19"/>
        </w:rPr>
        <w:t> </w:t>
      </w:r>
      <w:r>
        <w:rPr>
          <w:color w:val="231F20"/>
          <w:sz w:val="19"/>
        </w:rPr>
        <w:t>C.</w:t>
      </w:r>
      <w:r>
        <w:rPr>
          <w:color w:val="231F20"/>
          <w:spacing w:val="-6"/>
          <w:sz w:val="19"/>
        </w:rPr>
        <w:t> </w:t>
      </w:r>
      <w:r>
        <w:rPr>
          <w:color w:val="231F20"/>
          <w:sz w:val="19"/>
        </w:rPr>
        <w:t>y</w:t>
      </w:r>
      <w:r>
        <w:rPr>
          <w:color w:val="231F20"/>
          <w:spacing w:val="-6"/>
          <w:sz w:val="19"/>
        </w:rPr>
        <w:t> </w:t>
      </w:r>
      <w:r>
        <w:rPr>
          <w:color w:val="231F20"/>
          <w:sz w:val="19"/>
        </w:rPr>
        <w:t>G.</w:t>
      </w:r>
      <w:r>
        <w:rPr>
          <w:color w:val="231F20"/>
          <w:spacing w:val="-6"/>
          <w:sz w:val="19"/>
        </w:rPr>
        <w:t> </w:t>
      </w:r>
      <w:r>
        <w:rPr>
          <w:color w:val="231F20"/>
          <w:sz w:val="19"/>
        </w:rPr>
        <w:t>Lanza.2005.</w:t>
      </w:r>
      <w:r>
        <w:rPr>
          <w:color w:val="231F20"/>
          <w:spacing w:val="-7"/>
          <w:sz w:val="19"/>
        </w:rPr>
        <w:t> </w:t>
      </w:r>
      <w:r>
        <w:rPr>
          <w:color w:val="231F20"/>
          <w:sz w:val="19"/>
        </w:rPr>
        <w:t>Imazalilon.line</w:t>
      </w:r>
      <w:r>
        <w:rPr>
          <w:color w:val="231F20"/>
          <w:spacing w:val="-6"/>
          <w:sz w:val="19"/>
        </w:rPr>
        <w:t> </w:t>
      </w:r>
      <w:r>
        <w:rPr>
          <w:color w:val="231F20"/>
          <w:sz w:val="19"/>
        </w:rPr>
        <w:t>control</w:t>
      </w:r>
      <w:r>
        <w:rPr>
          <w:color w:val="231F20"/>
          <w:spacing w:val="-6"/>
          <w:sz w:val="19"/>
        </w:rPr>
        <w:t> </w:t>
      </w:r>
      <w:r>
        <w:rPr>
          <w:color w:val="231F20"/>
          <w:sz w:val="19"/>
        </w:rPr>
        <w:t>in</w:t>
      </w:r>
      <w:r>
        <w:rPr>
          <w:color w:val="231F20"/>
          <w:spacing w:val="-6"/>
          <w:sz w:val="19"/>
        </w:rPr>
        <w:t> </w:t>
      </w:r>
      <w:r>
        <w:rPr>
          <w:color w:val="231F20"/>
          <w:sz w:val="19"/>
        </w:rPr>
        <w:t>post-harvest</w:t>
      </w:r>
      <w:r>
        <w:rPr>
          <w:color w:val="231F20"/>
          <w:spacing w:val="-6"/>
          <w:sz w:val="19"/>
        </w:rPr>
        <w:t> </w:t>
      </w:r>
      <w:r>
        <w:rPr>
          <w:color w:val="231F20"/>
          <w:sz w:val="19"/>
        </w:rPr>
        <w:t>treatments</w:t>
      </w:r>
      <w:r>
        <w:rPr>
          <w:color w:val="231F20"/>
          <w:spacing w:val="-7"/>
          <w:sz w:val="19"/>
        </w:rPr>
        <w:t> </w:t>
      </w:r>
      <w:r>
        <w:rPr>
          <w:color w:val="231F20"/>
          <w:sz w:val="19"/>
        </w:rPr>
        <w:t>of</w:t>
      </w:r>
      <w:r>
        <w:rPr>
          <w:color w:val="231F20"/>
          <w:spacing w:val="-6"/>
          <w:sz w:val="19"/>
        </w:rPr>
        <w:t> </w:t>
      </w:r>
      <w:r>
        <w:rPr>
          <w:color w:val="231F20"/>
          <w:sz w:val="19"/>
        </w:rPr>
        <w:t>Citrus</w:t>
      </w:r>
      <w:r>
        <w:rPr>
          <w:color w:val="231F20"/>
          <w:spacing w:val="-6"/>
          <w:sz w:val="19"/>
        </w:rPr>
        <w:t> </w:t>
      </w:r>
      <w:r>
        <w:rPr>
          <w:color w:val="231F20"/>
          <w:sz w:val="19"/>
        </w:rPr>
        <w:t>fruit.</w:t>
      </w:r>
      <w:r>
        <w:rPr>
          <w:color w:val="231F20"/>
          <w:spacing w:val="-17"/>
          <w:sz w:val="19"/>
        </w:rPr>
        <w:t> </w:t>
      </w:r>
      <w:r>
        <w:rPr>
          <w:color w:val="231F20"/>
          <w:sz w:val="19"/>
        </w:rPr>
        <w:t>Acta Horticulture 682:</w:t>
      </w:r>
      <w:r>
        <w:rPr>
          <w:color w:val="231F20"/>
          <w:spacing w:val="-11"/>
          <w:sz w:val="19"/>
        </w:rPr>
        <w:t> </w:t>
      </w:r>
      <w:r>
        <w:rPr>
          <w:color w:val="231F20"/>
          <w:sz w:val="19"/>
        </w:rPr>
        <w:t>1773-1780.</w:t>
      </w:r>
    </w:p>
    <w:p>
      <w:pPr>
        <w:pStyle w:val="BodyText"/>
        <w:spacing w:before="10"/>
        <w:rPr>
          <w:sz w:val="19"/>
        </w:rPr>
      </w:pPr>
    </w:p>
    <w:p>
      <w:pPr>
        <w:spacing w:before="0"/>
        <w:ind w:left="1270" w:right="0" w:firstLine="0"/>
        <w:jc w:val="both"/>
        <w:rPr>
          <w:sz w:val="19"/>
        </w:rPr>
      </w:pPr>
      <w:r>
        <w:rPr>
          <w:color w:val="231F20"/>
          <w:sz w:val="19"/>
        </w:rPr>
        <w:t>Amiri A. y G. Bompeix. 2005. Diversity and population dynamics of Penicillium spp. on apples in pre-and</w:t>
      </w:r>
    </w:p>
    <w:p>
      <w:pPr>
        <w:spacing w:before="9"/>
        <w:ind w:left="1270" w:right="0" w:firstLine="0"/>
        <w:jc w:val="both"/>
        <w:rPr>
          <w:sz w:val="19"/>
        </w:rPr>
      </w:pPr>
      <w:r>
        <w:rPr>
          <w:color w:val="231F20"/>
          <w:sz w:val="19"/>
        </w:rPr>
        <w:t>postharvest environments: Consequences for decay development. PlantPathology54:74-81.</w:t>
      </w:r>
    </w:p>
    <w:p>
      <w:pPr>
        <w:pStyle w:val="BodyText"/>
        <w:spacing w:before="7"/>
        <w:rPr>
          <w:sz w:val="20"/>
        </w:rPr>
      </w:pPr>
    </w:p>
    <w:p>
      <w:pPr>
        <w:spacing w:line="249" w:lineRule="auto" w:before="0"/>
        <w:ind w:left="1270" w:right="1267" w:firstLine="0"/>
        <w:jc w:val="both"/>
        <w:rPr>
          <w:sz w:val="19"/>
        </w:rPr>
      </w:pPr>
      <w:r>
        <w:rPr>
          <w:color w:val="231F20"/>
          <w:spacing w:val="-3"/>
          <w:sz w:val="19"/>
        </w:rPr>
        <w:t>Arias-Robledo </w:t>
      </w:r>
      <w:r>
        <w:rPr>
          <w:color w:val="231F20"/>
          <w:sz w:val="19"/>
        </w:rPr>
        <w:t>G.; </w:t>
      </w:r>
      <w:r>
        <w:rPr>
          <w:color w:val="231F20"/>
          <w:spacing w:val="-3"/>
          <w:sz w:val="19"/>
        </w:rPr>
        <w:t>García-Miguel </w:t>
      </w:r>
      <w:r>
        <w:rPr>
          <w:color w:val="231F20"/>
          <w:sz w:val="19"/>
        </w:rPr>
        <w:t>E.; </w:t>
      </w:r>
      <w:r>
        <w:rPr>
          <w:color w:val="231F20"/>
          <w:spacing w:val="-5"/>
          <w:sz w:val="19"/>
        </w:rPr>
        <w:t>Godínez-Vargas </w:t>
      </w:r>
      <w:r>
        <w:rPr>
          <w:color w:val="231F20"/>
          <w:sz w:val="19"/>
        </w:rPr>
        <w:t>S.; </w:t>
      </w:r>
      <w:r>
        <w:rPr>
          <w:color w:val="231F20"/>
          <w:spacing w:val="-3"/>
          <w:sz w:val="19"/>
        </w:rPr>
        <w:t>Guerra-Ramírez </w:t>
      </w:r>
      <w:r>
        <w:rPr>
          <w:color w:val="231F20"/>
          <w:sz w:val="19"/>
        </w:rPr>
        <w:t>D.; </w:t>
      </w:r>
      <w:r>
        <w:rPr>
          <w:color w:val="231F20"/>
          <w:spacing w:val="-4"/>
          <w:sz w:val="19"/>
        </w:rPr>
        <w:t>Reyes-Trejo </w:t>
      </w:r>
      <w:r>
        <w:rPr>
          <w:color w:val="231F20"/>
          <w:sz w:val="19"/>
        </w:rPr>
        <w:t>B. y M. </w:t>
      </w:r>
      <w:r>
        <w:rPr>
          <w:color w:val="231F20"/>
          <w:spacing w:val="-3"/>
          <w:sz w:val="19"/>
        </w:rPr>
        <w:t>Robledo </w:t>
      </w:r>
      <w:r>
        <w:rPr>
          <w:color w:val="231F20"/>
          <w:sz w:val="19"/>
        </w:rPr>
        <w:t>y </w:t>
      </w:r>
      <w:r>
        <w:rPr>
          <w:color w:val="231F20"/>
          <w:spacing w:val="-3"/>
          <w:sz w:val="19"/>
        </w:rPr>
        <w:t>Monterrubio.</w:t>
      </w:r>
      <w:r>
        <w:rPr>
          <w:color w:val="231F20"/>
          <w:spacing w:val="-8"/>
          <w:sz w:val="19"/>
        </w:rPr>
        <w:t> </w:t>
      </w:r>
      <w:r>
        <w:rPr>
          <w:color w:val="231F20"/>
          <w:spacing w:val="-3"/>
          <w:sz w:val="19"/>
        </w:rPr>
        <w:t>2009.</w:t>
      </w:r>
      <w:r>
        <w:rPr>
          <w:color w:val="231F20"/>
          <w:spacing w:val="-9"/>
          <w:sz w:val="19"/>
        </w:rPr>
        <w:t> </w:t>
      </w:r>
      <w:r>
        <w:rPr>
          <w:color w:val="231F20"/>
          <w:spacing w:val="-3"/>
          <w:sz w:val="19"/>
        </w:rPr>
        <w:t>Efecto</w:t>
      </w:r>
      <w:r>
        <w:rPr>
          <w:color w:val="231F20"/>
          <w:spacing w:val="-9"/>
          <w:sz w:val="19"/>
        </w:rPr>
        <w:t> </w:t>
      </w:r>
      <w:r>
        <w:rPr>
          <w:color w:val="231F20"/>
          <w:spacing w:val="-3"/>
          <w:sz w:val="19"/>
        </w:rPr>
        <w:t>fungicida</w:t>
      </w:r>
      <w:r>
        <w:rPr>
          <w:color w:val="231F20"/>
          <w:spacing w:val="-9"/>
          <w:sz w:val="19"/>
        </w:rPr>
        <w:t> </w:t>
      </w:r>
      <w:r>
        <w:rPr>
          <w:color w:val="231F20"/>
          <w:sz w:val="19"/>
        </w:rPr>
        <w:t>de</w:t>
      </w:r>
      <w:r>
        <w:rPr>
          <w:color w:val="231F20"/>
          <w:spacing w:val="-9"/>
          <w:sz w:val="19"/>
        </w:rPr>
        <w:t> </w:t>
      </w:r>
      <w:r>
        <w:rPr>
          <w:color w:val="231F20"/>
          <w:spacing w:val="-3"/>
          <w:sz w:val="19"/>
        </w:rPr>
        <w:t>extracto</w:t>
      </w:r>
      <w:r>
        <w:rPr>
          <w:color w:val="231F20"/>
          <w:spacing w:val="-9"/>
          <w:sz w:val="19"/>
        </w:rPr>
        <w:t> </w:t>
      </w:r>
      <w:r>
        <w:rPr>
          <w:color w:val="231F20"/>
          <w:spacing w:val="-3"/>
          <w:sz w:val="19"/>
        </w:rPr>
        <w:t>hexánico</w:t>
      </w:r>
      <w:r>
        <w:rPr>
          <w:color w:val="231F20"/>
          <w:spacing w:val="-9"/>
          <w:sz w:val="19"/>
        </w:rPr>
        <w:t> </w:t>
      </w:r>
      <w:r>
        <w:rPr>
          <w:color w:val="231F20"/>
          <w:sz w:val="19"/>
        </w:rPr>
        <w:t>de</w:t>
      </w:r>
      <w:r>
        <w:rPr>
          <w:color w:val="231F20"/>
          <w:spacing w:val="-9"/>
          <w:sz w:val="19"/>
        </w:rPr>
        <w:t> </w:t>
      </w:r>
      <w:r>
        <w:rPr>
          <w:color w:val="231F20"/>
          <w:spacing w:val="-3"/>
          <w:sz w:val="19"/>
        </w:rPr>
        <w:t>Equisetumgiganteum</w:t>
      </w:r>
      <w:r>
        <w:rPr>
          <w:color w:val="231F20"/>
          <w:spacing w:val="-10"/>
          <w:sz w:val="19"/>
        </w:rPr>
        <w:t> </w:t>
      </w:r>
      <w:r>
        <w:rPr>
          <w:color w:val="231F20"/>
          <w:sz w:val="19"/>
        </w:rPr>
        <w:t>en</w:t>
      </w:r>
      <w:r>
        <w:rPr>
          <w:color w:val="231F20"/>
          <w:spacing w:val="-9"/>
          <w:sz w:val="19"/>
        </w:rPr>
        <w:t> </w:t>
      </w:r>
      <w:r>
        <w:rPr>
          <w:color w:val="231F20"/>
          <w:spacing w:val="-3"/>
          <w:sz w:val="19"/>
        </w:rPr>
        <w:t>Fusarium</w:t>
      </w:r>
      <w:r>
        <w:rPr>
          <w:color w:val="231F20"/>
          <w:spacing w:val="-8"/>
          <w:sz w:val="19"/>
        </w:rPr>
        <w:t> </w:t>
      </w:r>
      <w:r>
        <w:rPr>
          <w:color w:val="231F20"/>
          <w:spacing w:val="-3"/>
          <w:sz w:val="19"/>
        </w:rPr>
        <w:t>solani.</w:t>
      </w:r>
      <w:r>
        <w:rPr>
          <w:color w:val="231F20"/>
          <w:spacing w:val="-8"/>
          <w:sz w:val="19"/>
        </w:rPr>
        <w:t> </w:t>
      </w:r>
      <w:r>
        <w:rPr>
          <w:color w:val="231F20"/>
          <w:spacing w:val="-3"/>
          <w:sz w:val="19"/>
        </w:rPr>
        <w:t>Memorias: </w:t>
      </w:r>
      <w:r>
        <w:rPr>
          <w:color w:val="231F20"/>
          <w:sz w:val="19"/>
        </w:rPr>
        <w:t>las XX </w:t>
      </w:r>
      <w:r>
        <w:rPr>
          <w:color w:val="231F20"/>
          <w:spacing w:val="-3"/>
          <w:sz w:val="19"/>
        </w:rPr>
        <w:t>Jornadas </w:t>
      </w:r>
      <w:r>
        <w:rPr>
          <w:color w:val="231F20"/>
          <w:sz w:val="19"/>
        </w:rPr>
        <w:t>de </w:t>
      </w:r>
      <w:r>
        <w:rPr>
          <w:color w:val="231F20"/>
          <w:spacing w:val="-3"/>
          <w:sz w:val="19"/>
        </w:rPr>
        <w:t>Investigación Difusión </w:t>
      </w:r>
      <w:r>
        <w:rPr>
          <w:color w:val="231F20"/>
          <w:sz w:val="19"/>
        </w:rPr>
        <w:t>de la </w:t>
      </w:r>
      <w:r>
        <w:rPr>
          <w:color w:val="231F20"/>
          <w:spacing w:val="-3"/>
          <w:sz w:val="19"/>
        </w:rPr>
        <w:t>Ciencia </w:t>
      </w:r>
      <w:r>
        <w:rPr>
          <w:color w:val="231F20"/>
          <w:sz w:val="19"/>
        </w:rPr>
        <w:t>y las </w:t>
      </w:r>
      <w:r>
        <w:rPr>
          <w:color w:val="231F20"/>
          <w:spacing w:val="-3"/>
          <w:sz w:val="19"/>
        </w:rPr>
        <w:t>Humanidades. 16º. Encuentro </w:t>
      </w:r>
      <w:r>
        <w:rPr>
          <w:color w:val="231F20"/>
          <w:sz w:val="19"/>
        </w:rPr>
        <w:t>de </w:t>
      </w:r>
      <w:r>
        <w:rPr>
          <w:color w:val="231F20"/>
          <w:spacing w:val="-3"/>
          <w:sz w:val="19"/>
        </w:rPr>
        <w:t>Investigadores </w:t>
      </w:r>
      <w:r>
        <w:rPr>
          <w:color w:val="231F20"/>
          <w:sz w:val="19"/>
        </w:rPr>
        <w:t>del</w:t>
      </w:r>
      <w:r>
        <w:rPr>
          <w:color w:val="231F20"/>
          <w:spacing w:val="-5"/>
          <w:sz w:val="19"/>
        </w:rPr>
        <w:t> </w:t>
      </w:r>
      <w:r>
        <w:rPr>
          <w:color w:val="231F20"/>
          <w:spacing w:val="-3"/>
          <w:sz w:val="19"/>
        </w:rPr>
        <w:t>Departamento</w:t>
      </w:r>
      <w:r>
        <w:rPr>
          <w:color w:val="231F20"/>
          <w:spacing w:val="-5"/>
          <w:sz w:val="19"/>
        </w:rPr>
        <w:t> </w:t>
      </w:r>
      <w:r>
        <w:rPr>
          <w:color w:val="231F20"/>
          <w:sz w:val="19"/>
        </w:rPr>
        <w:t>de</w:t>
      </w:r>
      <w:r>
        <w:rPr>
          <w:color w:val="231F20"/>
          <w:spacing w:val="-5"/>
          <w:sz w:val="19"/>
        </w:rPr>
        <w:t> </w:t>
      </w:r>
      <w:r>
        <w:rPr>
          <w:color w:val="231F20"/>
          <w:spacing w:val="-3"/>
          <w:sz w:val="19"/>
        </w:rPr>
        <w:t>Preparatoria</w:t>
      </w:r>
      <w:r>
        <w:rPr>
          <w:color w:val="231F20"/>
          <w:spacing w:val="-15"/>
          <w:sz w:val="19"/>
        </w:rPr>
        <w:t> </w:t>
      </w:r>
      <w:r>
        <w:rPr>
          <w:color w:val="231F20"/>
          <w:spacing w:val="-3"/>
          <w:sz w:val="19"/>
        </w:rPr>
        <w:t>Agrícola.</w:t>
      </w:r>
      <w:r>
        <w:rPr>
          <w:color w:val="231F20"/>
          <w:spacing w:val="-5"/>
          <w:sz w:val="19"/>
        </w:rPr>
        <w:t> </w:t>
      </w:r>
      <w:r>
        <w:rPr>
          <w:color w:val="231F20"/>
          <w:spacing w:val="-3"/>
          <w:sz w:val="19"/>
        </w:rPr>
        <w:t>Universidad</w:t>
      </w:r>
      <w:r>
        <w:rPr>
          <w:color w:val="231F20"/>
          <w:spacing w:val="-15"/>
          <w:sz w:val="19"/>
        </w:rPr>
        <w:t> </w:t>
      </w:r>
      <w:r>
        <w:rPr>
          <w:color w:val="231F20"/>
          <w:spacing w:val="-3"/>
          <w:sz w:val="19"/>
        </w:rPr>
        <w:t>Autónoma</w:t>
      </w:r>
      <w:r>
        <w:rPr>
          <w:color w:val="231F20"/>
          <w:spacing w:val="-5"/>
          <w:sz w:val="19"/>
        </w:rPr>
        <w:t> </w:t>
      </w:r>
      <w:r>
        <w:rPr>
          <w:color w:val="231F20"/>
          <w:spacing w:val="-3"/>
          <w:sz w:val="19"/>
        </w:rPr>
        <w:t>Chapingo.</w:t>
      </w:r>
      <w:r>
        <w:rPr>
          <w:color w:val="231F20"/>
          <w:spacing w:val="-5"/>
          <w:sz w:val="19"/>
        </w:rPr>
        <w:t> </w:t>
      </w:r>
      <w:r>
        <w:rPr>
          <w:color w:val="231F20"/>
          <w:sz w:val="19"/>
        </w:rPr>
        <w:t>La</w:t>
      </w:r>
      <w:r>
        <w:rPr>
          <w:color w:val="231F20"/>
          <w:spacing w:val="-8"/>
          <w:sz w:val="19"/>
        </w:rPr>
        <w:t> </w:t>
      </w:r>
      <w:r>
        <w:rPr>
          <w:color w:val="231F20"/>
          <w:spacing w:val="-4"/>
          <w:sz w:val="19"/>
        </w:rPr>
        <w:t>Trinidad,</w:t>
      </w:r>
      <w:r>
        <w:rPr>
          <w:color w:val="231F20"/>
          <w:spacing w:val="-8"/>
          <w:sz w:val="19"/>
        </w:rPr>
        <w:t> </w:t>
      </w:r>
      <w:r>
        <w:rPr>
          <w:color w:val="231F20"/>
          <w:spacing w:val="-3"/>
          <w:sz w:val="19"/>
        </w:rPr>
        <w:t>Tlaxcala.</w:t>
      </w:r>
      <w:r>
        <w:rPr>
          <w:color w:val="231F20"/>
          <w:spacing w:val="-5"/>
          <w:sz w:val="19"/>
        </w:rPr>
        <w:t> </w:t>
      </w:r>
      <w:r>
        <w:rPr>
          <w:color w:val="231F20"/>
          <w:spacing w:val="-3"/>
          <w:sz w:val="19"/>
        </w:rPr>
        <w:t>Pag.</w:t>
      </w:r>
      <w:r>
        <w:rPr>
          <w:color w:val="231F20"/>
          <w:spacing w:val="-5"/>
          <w:sz w:val="19"/>
        </w:rPr>
        <w:t> </w:t>
      </w:r>
      <w:r>
        <w:rPr>
          <w:color w:val="231F20"/>
          <w:spacing w:val="-3"/>
          <w:sz w:val="19"/>
        </w:rPr>
        <w:t>16-30.</w:t>
      </w:r>
    </w:p>
    <w:p>
      <w:pPr>
        <w:pStyle w:val="BodyText"/>
        <w:spacing w:before="10"/>
        <w:rPr>
          <w:sz w:val="19"/>
        </w:rPr>
      </w:pPr>
    </w:p>
    <w:p>
      <w:pPr>
        <w:spacing w:before="0"/>
        <w:ind w:left="1270" w:right="0" w:firstLine="0"/>
        <w:jc w:val="both"/>
        <w:rPr>
          <w:sz w:val="19"/>
        </w:rPr>
      </w:pPr>
      <w:r>
        <w:rPr>
          <w:color w:val="231F20"/>
          <w:sz w:val="19"/>
        </w:rPr>
        <w:t>Arias-Robledo G.; Robledo y Monterrubio M.; García-Miguel E.; Godínez-Vargas S.; Guerra-Ramírez D. y B.</w:t>
      </w:r>
    </w:p>
    <w:p>
      <w:pPr>
        <w:spacing w:before="9"/>
        <w:ind w:left="1270" w:right="0" w:firstLine="0"/>
        <w:jc w:val="both"/>
        <w:rPr>
          <w:sz w:val="19"/>
        </w:rPr>
      </w:pPr>
      <w:r>
        <w:rPr>
          <w:color w:val="231F20"/>
          <w:sz w:val="19"/>
        </w:rPr>
        <w:t>Reyes-Trejo. 2010. Efecto fungicida de los extractos metanólico y de cloruro de metileno de Equisetumhye-</w:t>
      </w:r>
    </w:p>
    <w:p>
      <w:pPr>
        <w:spacing w:after="0"/>
        <w:jc w:val="both"/>
        <w:rPr>
          <w:sz w:val="19"/>
        </w:rPr>
        <w:sectPr>
          <w:pgSz w:w="10920" w:h="13080"/>
          <w:pgMar w:header="0" w:footer="965" w:top="420" w:bottom="1220" w:left="0" w:right="0"/>
        </w:sectPr>
      </w:pPr>
    </w:p>
    <w:p>
      <w:pPr>
        <w:pStyle w:val="BodyText"/>
        <w:rPr>
          <w:sz w:val="20"/>
        </w:rPr>
      </w:pPr>
    </w:p>
    <w:p>
      <w:pPr>
        <w:pStyle w:val="BodyText"/>
        <w:rPr>
          <w:sz w:val="20"/>
        </w:rPr>
      </w:pPr>
    </w:p>
    <w:p>
      <w:pPr>
        <w:pStyle w:val="BodyText"/>
        <w:spacing w:before="2"/>
        <w:rPr>
          <w:sz w:val="23"/>
        </w:rPr>
      </w:pPr>
    </w:p>
    <w:p>
      <w:pPr>
        <w:spacing w:line="249" w:lineRule="auto" w:before="76"/>
        <w:ind w:left="1270" w:right="1268" w:firstLine="0"/>
        <w:jc w:val="both"/>
        <w:rPr>
          <w:sz w:val="19"/>
        </w:rPr>
      </w:pPr>
      <w:r>
        <w:rPr>
          <w:color w:val="231F20"/>
          <w:sz w:val="19"/>
        </w:rPr>
        <w:t>male L. en Fusarium solani (Mart.) Sacc.Memorias: las XXI Jornadas de Investigación Difusión de la Ciencia y las Humanidades. 17º. Encuentro de Investigadores del Departamento de Preparatoria Agrícola.</w:t>
      </w:r>
      <w:r>
        <w:rPr>
          <w:color w:val="231F20"/>
          <w:spacing w:val="-16"/>
          <w:sz w:val="19"/>
        </w:rPr>
        <w:t> </w:t>
      </w:r>
      <w:r>
        <w:rPr>
          <w:color w:val="231F20"/>
          <w:sz w:val="19"/>
        </w:rPr>
        <w:t>Universidad Autónoma Chapingo. Oaxtepec,</w:t>
      </w:r>
      <w:r>
        <w:rPr>
          <w:color w:val="231F20"/>
          <w:spacing w:val="-12"/>
          <w:sz w:val="19"/>
        </w:rPr>
        <w:t> </w:t>
      </w:r>
      <w:r>
        <w:rPr>
          <w:color w:val="231F20"/>
          <w:spacing w:val="-4"/>
          <w:sz w:val="19"/>
        </w:rPr>
        <w:t>Mor.</w:t>
      </w:r>
    </w:p>
    <w:p>
      <w:pPr>
        <w:pStyle w:val="BodyText"/>
        <w:spacing w:before="10"/>
        <w:rPr>
          <w:sz w:val="19"/>
        </w:rPr>
      </w:pPr>
    </w:p>
    <w:p>
      <w:pPr>
        <w:spacing w:before="0"/>
        <w:ind w:left="1270" w:right="0" w:firstLine="0"/>
        <w:jc w:val="both"/>
        <w:rPr>
          <w:sz w:val="19"/>
        </w:rPr>
      </w:pPr>
      <w:r>
        <w:rPr>
          <w:color w:val="231F20"/>
          <w:sz w:val="19"/>
        </w:rPr>
        <w:t>Droby S.: Vinokur V.; Weiss B.; Cohen L.; Daus A.; Goldschmidt E.; y R. Porat. 2002. Induction of resistance</w:t>
      </w:r>
    </w:p>
    <w:p>
      <w:pPr>
        <w:spacing w:before="9"/>
        <w:ind w:left="1270" w:right="0" w:firstLine="0"/>
        <w:jc w:val="both"/>
        <w:rPr>
          <w:sz w:val="19"/>
        </w:rPr>
      </w:pPr>
      <w:r>
        <w:rPr>
          <w:color w:val="231F20"/>
          <w:sz w:val="19"/>
        </w:rPr>
        <w:t>to Penicilliumdigitatum in grapefruit by the yeast agent Candida oleophila. Phytopathology 92: 393-394.</w:t>
      </w:r>
    </w:p>
    <w:p>
      <w:pPr>
        <w:pStyle w:val="BodyText"/>
        <w:spacing w:before="7"/>
        <w:rPr>
          <w:sz w:val="20"/>
        </w:rPr>
      </w:pPr>
    </w:p>
    <w:p>
      <w:pPr>
        <w:spacing w:line="249" w:lineRule="auto" w:before="0"/>
        <w:ind w:left="1270" w:right="1268" w:firstLine="0"/>
        <w:jc w:val="both"/>
        <w:rPr>
          <w:sz w:val="19"/>
        </w:rPr>
      </w:pPr>
      <w:r>
        <w:rPr>
          <w:color w:val="231F20"/>
          <w:sz w:val="19"/>
        </w:rPr>
        <w:t>Hong-Yin Zhang; Cheng-Xin Fu; Xiao-Dong Zheng; Dan HE; Li-Jun Shan; Xi Zhan. 2004. Effects of Cryp- tococcus laurentii (Kufferath) Skinner in combination with sodium bicarbonate on biocontrol of postharvest green mold decay of citrus fruit, In: Botanical Bulletin of Academia Sinica45: 159-164.</w:t>
      </w:r>
    </w:p>
    <w:p>
      <w:pPr>
        <w:pStyle w:val="BodyText"/>
        <w:spacing w:before="10"/>
        <w:rPr>
          <w:sz w:val="19"/>
        </w:rPr>
      </w:pPr>
    </w:p>
    <w:p>
      <w:pPr>
        <w:spacing w:line="249" w:lineRule="auto" w:before="0"/>
        <w:ind w:left="1270" w:right="1268" w:firstLine="0"/>
        <w:jc w:val="both"/>
        <w:rPr>
          <w:sz w:val="19"/>
        </w:rPr>
      </w:pPr>
      <w:r>
        <w:rPr>
          <w:color w:val="231F20"/>
          <w:sz w:val="19"/>
        </w:rPr>
        <w:t>Martínez-Villordo, </w:t>
      </w:r>
      <w:r>
        <w:rPr>
          <w:color w:val="231F20"/>
          <w:spacing w:val="-13"/>
          <w:sz w:val="19"/>
        </w:rPr>
        <w:t>Y. </w:t>
      </w:r>
      <w:r>
        <w:rPr>
          <w:color w:val="231F20"/>
          <w:sz w:val="19"/>
        </w:rPr>
        <w:t>2007. Actividad fungicida de extractos de tres especies del género Equisetum sobre Pythiumaphanidermatum.</w:t>
      </w:r>
      <w:r>
        <w:rPr>
          <w:color w:val="231F20"/>
          <w:spacing w:val="-7"/>
          <w:sz w:val="19"/>
        </w:rPr>
        <w:t> </w:t>
      </w:r>
      <w:r>
        <w:rPr>
          <w:color w:val="231F20"/>
          <w:spacing w:val="-3"/>
          <w:sz w:val="19"/>
        </w:rPr>
        <w:t>Tesis </w:t>
      </w:r>
      <w:r>
        <w:rPr>
          <w:color w:val="231F20"/>
          <w:sz w:val="19"/>
        </w:rPr>
        <w:t>Profesional</w:t>
      </w:r>
      <w:r>
        <w:rPr>
          <w:color w:val="231F20"/>
          <w:spacing w:val="-3"/>
          <w:sz w:val="19"/>
        </w:rPr>
        <w:t> </w:t>
      </w:r>
      <w:r>
        <w:rPr>
          <w:color w:val="231F20"/>
          <w:sz w:val="19"/>
        </w:rPr>
        <w:t>para</w:t>
      </w:r>
      <w:r>
        <w:rPr>
          <w:color w:val="231F20"/>
          <w:spacing w:val="-3"/>
          <w:sz w:val="19"/>
        </w:rPr>
        <w:t> </w:t>
      </w:r>
      <w:r>
        <w:rPr>
          <w:color w:val="231F20"/>
          <w:sz w:val="19"/>
        </w:rPr>
        <w:t>obtener</w:t>
      </w:r>
      <w:r>
        <w:rPr>
          <w:color w:val="231F20"/>
          <w:spacing w:val="-3"/>
          <w:sz w:val="19"/>
        </w:rPr>
        <w:t> </w:t>
      </w:r>
      <w:r>
        <w:rPr>
          <w:color w:val="231F20"/>
          <w:sz w:val="19"/>
        </w:rPr>
        <w:t>el</w:t>
      </w:r>
      <w:r>
        <w:rPr>
          <w:color w:val="231F20"/>
          <w:spacing w:val="-3"/>
          <w:sz w:val="19"/>
        </w:rPr>
        <w:t> </w:t>
      </w:r>
      <w:r>
        <w:rPr>
          <w:color w:val="231F20"/>
          <w:sz w:val="19"/>
        </w:rPr>
        <w:t>título</w:t>
      </w:r>
      <w:r>
        <w:rPr>
          <w:color w:val="231F20"/>
          <w:spacing w:val="-3"/>
          <w:sz w:val="19"/>
        </w:rPr>
        <w:t> </w:t>
      </w:r>
      <w:r>
        <w:rPr>
          <w:color w:val="231F20"/>
          <w:sz w:val="19"/>
        </w:rPr>
        <w:t>de</w:t>
      </w:r>
      <w:r>
        <w:rPr>
          <w:color w:val="231F20"/>
          <w:spacing w:val="-3"/>
          <w:sz w:val="19"/>
        </w:rPr>
        <w:t> </w:t>
      </w:r>
      <w:r>
        <w:rPr>
          <w:color w:val="231F20"/>
          <w:sz w:val="19"/>
        </w:rPr>
        <w:t>Ingeniero</w:t>
      </w:r>
      <w:r>
        <w:rPr>
          <w:color w:val="231F20"/>
          <w:spacing w:val="-3"/>
          <w:sz w:val="19"/>
        </w:rPr>
        <w:t> </w:t>
      </w:r>
      <w:r>
        <w:rPr>
          <w:color w:val="231F20"/>
          <w:sz w:val="19"/>
        </w:rPr>
        <w:t>en</w:t>
      </w:r>
      <w:r>
        <w:rPr>
          <w:color w:val="231F20"/>
          <w:spacing w:val="-14"/>
          <w:sz w:val="19"/>
        </w:rPr>
        <w:t> </w:t>
      </w:r>
      <w:r>
        <w:rPr>
          <w:color w:val="231F20"/>
          <w:sz w:val="19"/>
        </w:rPr>
        <w:t>Agroecología.</w:t>
      </w:r>
      <w:r>
        <w:rPr>
          <w:color w:val="231F20"/>
          <w:spacing w:val="-3"/>
          <w:sz w:val="19"/>
        </w:rPr>
        <w:t> </w:t>
      </w:r>
      <w:r>
        <w:rPr>
          <w:color w:val="231F20"/>
          <w:sz w:val="19"/>
        </w:rPr>
        <w:t>Departamento de</w:t>
      </w:r>
      <w:r>
        <w:rPr>
          <w:color w:val="231F20"/>
          <w:spacing w:val="-15"/>
          <w:sz w:val="19"/>
        </w:rPr>
        <w:t> </w:t>
      </w:r>
      <w:r>
        <w:rPr>
          <w:color w:val="231F20"/>
          <w:sz w:val="19"/>
        </w:rPr>
        <w:t>Agroecología.</w:t>
      </w:r>
      <w:r>
        <w:rPr>
          <w:color w:val="231F20"/>
          <w:spacing w:val="-5"/>
          <w:sz w:val="19"/>
        </w:rPr>
        <w:t> </w:t>
      </w:r>
      <w:r>
        <w:rPr>
          <w:color w:val="231F20"/>
          <w:sz w:val="19"/>
        </w:rPr>
        <w:t>Universidad</w:t>
      </w:r>
      <w:r>
        <w:rPr>
          <w:color w:val="231F20"/>
          <w:spacing w:val="-14"/>
          <w:sz w:val="19"/>
        </w:rPr>
        <w:t> </w:t>
      </w:r>
      <w:r>
        <w:rPr>
          <w:color w:val="231F20"/>
          <w:sz w:val="19"/>
        </w:rPr>
        <w:t>Autóoma</w:t>
      </w:r>
      <w:r>
        <w:rPr>
          <w:color w:val="231F20"/>
          <w:spacing w:val="-5"/>
          <w:sz w:val="19"/>
        </w:rPr>
        <w:t> </w:t>
      </w:r>
      <w:r>
        <w:rPr>
          <w:color w:val="231F20"/>
          <w:sz w:val="19"/>
        </w:rPr>
        <w:t>Chapingo.</w:t>
      </w:r>
      <w:r>
        <w:rPr>
          <w:color w:val="231F20"/>
          <w:spacing w:val="-5"/>
          <w:sz w:val="19"/>
        </w:rPr>
        <w:t> </w:t>
      </w:r>
      <w:r>
        <w:rPr>
          <w:color w:val="231F20"/>
          <w:sz w:val="19"/>
        </w:rPr>
        <w:t>48</w:t>
      </w:r>
      <w:r>
        <w:rPr>
          <w:color w:val="231F20"/>
          <w:spacing w:val="-5"/>
          <w:sz w:val="19"/>
        </w:rPr>
        <w:t> </w:t>
      </w:r>
      <w:r>
        <w:rPr>
          <w:color w:val="231F20"/>
          <w:sz w:val="19"/>
        </w:rPr>
        <w:t>pp.</w:t>
      </w:r>
    </w:p>
    <w:p>
      <w:pPr>
        <w:pStyle w:val="BodyText"/>
        <w:spacing w:before="10"/>
        <w:rPr>
          <w:sz w:val="19"/>
        </w:rPr>
      </w:pPr>
    </w:p>
    <w:p>
      <w:pPr>
        <w:spacing w:line="249" w:lineRule="auto" w:before="0"/>
        <w:ind w:left="1270" w:right="1268" w:firstLine="0"/>
        <w:jc w:val="both"/>
        <w:rPr>
          <w:sz w:val="19"/>
        </w:rPr>
      </w:pPr>
      <w:r>
        <w:rPr>
          <w:color w:val="231F20"/>
          <w:sz w:val="19"/>
        </w:rPr>
        <w:t>Ochoa J. L.; Hernández-Montiel L. G.; Lastinere-Barragán H.; León de la Luz J. L. y C. </w:t>
      </w:r>
      <w:r>
        <w:rPr>
          <w:color w:val="231F20"/>
          <w:spacing w:val="-11"/>
          <w:sz w:val="19"/>
        </w:rPr>
        <w:t>P. </w:t>
      </w:r>
      <w:r>
        <w:rPr>
          <w:color w:val="231F20"/>
          <w:sz w:val="19"/>
        </w:rPr>
        <w:t>Larralde-Corona. 2007.</w:t>
      </w:r>
      <w:r>
        <w:rPr>
          <w:color w:val="231F20"/>
          <w:spacing w:val="-17"/>
          <w:sz w:val="19"/>
        </w:rPr>
        <w:t> </w:t>
      </w:r>
      <w:r>
        <w:rPr>
          <w:color w:val="231F20"/>
          <w:sz w:val="19"/>
        </w:rPr>
        <w:t>Aislamiento</w:t>
      </w:r>
      <w:r>
        <w:rPr>
          <w:color w:val="231F20"/>
          <w:spacing w:val="-6"/>
          <w:sz w:val="19"/>
        </w:rPr>
        <w:t> </w:t>
      </w:r>
      <w:r>
        <w:rPr>
          <w:color w:val="231F20"/>
          <w:sz w:val="19"/>
        </w:rPr>
        <w:t>e</w:t>
      </w:r>
      <w:r>
        <w:rPr>
          <w:color w:val="231F20"/>
          <w:spacing w:val="-6"/>
          <w:sz w:val="19"/>
        </w:rPr>
        <w:t> </w:t>
      </w:r>
      <w:r>
        <w:rPr>
          <w:color w:val="231F20"/>
          <w:sz w:val="19"/>
        </w:rPr>
        <w:t>Identificación</w:t>
      </w:r>
      <w:r>
        <w:rPr>
          <w:color w:val="231F20"/>
          <w:spacing w:val="-6"/>
          <w:sz w:val="19"/>
        </w:rPr>
        <w:t> </w:t>
      </w:r>
      <w:r>
        <w:rPr>
          <w:color w:val="231F20"/>
          <w:sz w:val="19"/>
        </w:rPr>
        <w:t>de</w:t>
      </w:r>
      <w:r>
        <w:rPr>
          <w:color w:val="231F20"/>
          <w:spacing w:val="-6"/>
          <w:sz w:val="19"/>
        </w:rPr>
        <w:t> </w:t>
      </w:r>
      <w:r>
        <w:rPr>
          <w:color w:val="231F20"/>
          <w:sz w:val="19"/>
        </w:rPr>
        <w:t>hongos</w:t>
      </w:r>
      <w:r>
        <w:rPr>
          <w:color w:val="231F20"/>
          <w:spacing w:val="-6"/>
          <w:sz w:val="19"/>
        </w:rPr>
        <w:t> </w:t>
      </w:r>
      <w:r>
        <w:rPr>
          <w:color w:val="231F20"/>
          <w:sz w:val="19"/>
        </w:rPr>
        <w:t>patógenos</w:t>
      </w:r>
      <w:r>
        <w:rPr>
          <w:color w:val="231F20"/>
          <w:spacing w:val="-6"/>
          <w:sz w:val="19"/>
        </w:rPr>
        <w:t> </w:t>
      </w:r>
      <w:r>
        <w:rPr>
          <w:color w:val="231F20"/>
          <w:sz w:val="19"/>
        </w:rPr>
        <w:t>de</w:t>
      </w:r>
      <w:r>
        <w:rPr>
          <w:color w:val="231F20"/>
          <w:spacing w:val="-6"/>
          <w:sz w:val="19"/>
        </w:rPr>
        <w:t> </w:t>
      </w:r>
      <w:r>
        <w:rPr>
          <w:color w:val="231F20"/>
          <w:sz w:val="19"/>
        </w:rPr>
        <w:t>naranja</w:t>
      </w:r>
      <w:r>
        <w:rPr>
          <w:color w:val="231F20"/>
          <w:spacing w:val="-6"/>
          <w:sz w:val="19"/>
        </w:rPr>
        <w:t> </w:t>
      </w:r>
      <w:r>
        <w:rPr>
          <w:color w:val="231F20"/>
          <w:sz w:val="19"/>
        </w:rPr>
        <w:t>Citrus</w:t>
      </w:r>
      <w:r>
        <w:rPr>
          <w:color w:val="231F20"/>
          <w:spacing w:val="-6"/>
          <w:sz w:val="19"/>
        </w:rPr>
        <w:t> </w:t>
      </w:r>
      <w:r>
        <w:rPr>
          <w:color w:val="231F20"/>
          <w:sz w:val="19"/>
        </w:rPr>
        <w:t>sinensis</w:t>
      </w:r>
      <w:r>
        <w:rPr>
          <w:color w:val="231F20"/>
          <w:spacing w:val="-6"/>
          <w:sz w:val="19"/>
        </w:rPr>
        <w:t> </w:t>
      </w:r>
      <w:r>
        <w:rPr>
          <w:color w:val="231F20"/>
          <w:sz w:val="19"/>
        </w:rPr>
        <w:t>L.</w:t>
      </w:r>
      <w:r>
        <w:rPr>
          <w:color w:val="231F20"/>
          <w:spacing w:val="-6"/>
          <w:sz w:val="19"/>
        </w:rPr>
        <w:t> </w:t>
      </w:r>
      <w:r>
        <w:rPr>
          <w:color w:val="231F20"/>
          <w:sz w:val="19"/>
        </w:rPr>
        <w:t>Osbeck</w:t>
      </w:r>
      <w:r>
        <w:rPr>
          <w:color w:val="231F20"/>
          <w:spacing w:val="-6"/>
          <w:sz w:val="19"/>
        </w:rPr>
        <w:t> </w:t>
      </w:r>
      <w:r>
        <w:rPr>
          <w:color w:val="231F20"/>
          <w:sz w:val="19"/>
        </w:rPr>
        <w:t>cultivada</w:t>
      </w:r>
      <w:r>
        <w:rPr>
          <w:color w:val="231F20"/>
          <w:spacing w:val="-6"/>
          <w:sz w:val="19"/>
        </w:rPr>
        <w:t> </w:t>
      </w:r>
      <w:r>
        <w:rPr>
          <w:color w:val="231F20"/>
          <w:sz w:val="19"/>
        </w:rPr>
        <w:t>en</w:t>
      </w:r>
      <w:r>
        <w:rPr>
          <w:color w:val="231F20"/>
          <w:spacing w:val="-6"/>
          <w:sz w:val="19"/>
        </w:rPr>
        <w:t> </w:t>
      </w:r>
      <w:r>
        <w:rPr>
          <w:color w:val="231F20"/>
          <w:sz w:val="19"/>
        </w:rPr>
        <w:t>Baja California </w:t>
      </w:r>
      <w:r>
        <w:rPr>
          <w:color w:val="231F20"/>
          <w:spacing w:val="-3"/>
          <w:sz w:val="19"/>
        </w:rPr>
        <w:t>Sur, </w:t>
      </w:r>
      <w:r>
        <w:rPr>
          <w:color w:val="231F20"/>
          <w:sz w:val="19"/>
        </w:rPr>
        <w:t>México.  Cienc.Tecnol. Aliment.</w:t>
      </w:r>
      <w:r>
        <w:rPr>
          <w:color w:val="231F20"/>
          <w:spacing w:val="-33"/>
          <w:sz w:val="19"/>
        </w:rPr>
        <w:t> </w:t>
      </w:r>
      <w:r>
        <w:rPr>
          <w:color w:val="231F20"/>
          <w:sz w:val="19"/>
        </w:rPr>
        <w:t>5(5):352-359.</w:t>
      </w:r>
    </w:p>
    <w:p>
      <w:pPr>
        <w:pStyle w:val="BodyText"/>
        <w:spacing w:before="10"/>
        <w:rPr>
          <w:sz w:val="19"/>
        </w:rPr>
      </w:pPr>
    </w:p>
    <w:p>
      <w:pPr>
        <w:spacing w:line="249" w:lineRule="auto" w:before="0"/>
        <w:ind w:left="1270" w:right="1268" w:firstLine="0"/>
        <w:jc w:val="both"/>
        <w:rPr>
          <w:sz w:val="19"/>
        </w:rPr>
      </w:pPr>
      <w:r>
        <w:rPr>
          <w:color w:val="231F20"/>
          <w:sz w:val="19"/>
        </w:rPr>
        <w:t>Pimenta R. S.; Silva F. L.; Silva J.F.M.; Morais B. P.; Braga T. D.; Rosa A. C. y A. Correa.2008. Biological control ofPenicilliumitalicum, P. digitatum y P. expansum by the predacious yeast Saccharomycopsisschoenii en oranges. BrazilianJournal of Microbiology39: 85-90.</w:t>
      </w:r>
    </w:p>
    <w:p>
      <w:pPr>
        <w:pStyle w:val="BodyText"/>
        <w:spacing w:before="10"/>
        <w:rPr>
          <w:sz w:val="19"/>
        </w:rPr>
      </w:pPr>
    </w:p>
    <w:p>
      <w:pPr>
        <w:spacing w:before="0"/>
        <w:ind w:left="1270" w:right="0" w:firstLine="0"/>
        <w:jc w:val="both"/>
        <w:rPr>
          <w:sz w:val="19"/>
        </w:rPr>
      </w:pPr>
      <w:r>
        <w:rPr>
          <w:color w:val="231F20"/>
          <w:sz w:val="19"/>
        </w:rPr>
        <w:t>Tejero-Diez D.; Aguilar-Rodríguez S. y S. Flores-Maya. 1998. El género Equisetum L. en el Occidente del</w:t>
      </w:r>
    </w:p>
    <w:p>
      <w:pPr>
        <w:spacing w:before="9"/>
        <w:ind w:left="1270" w:right="0" w:firstLine="0"/>
        <w:jc w:val="both"/>
        <w:rPr>
          <w:sz w:val="19"/>
        </w:rPr>
      </w:pPr>
      <w:r>
        <w:rPr>
          <w:color w:val="231F20"/>
          <w:sz w:val="19"/>
        </w:rPr>
        <w:t>Estado de México. Acta Botánica 44:7-23.</w:t>
      </w:r>
    </w:p>
    <w:p>
      <w:pPr>
        <w:pStyle w:val="BodyText"/>
        <w:spacing w:before="7"/>
        <w:rPr>
          <w:sz w:val="20"/>
        </w:rPr>
      </w:pPr>
    </w:p>
    <w:p>
      <w:pPr>
        <w:spacing w:line="249" w:lineRule="auto" w:before="0"/>
        <w:ind w:left="1270" w:right="1265" w:firstLine="0"/>
        <w:jc w:val="both"/>
        <w:rPr>
          <w:sz w:val="19"/>
        </w:rPr>
      </w:pPr>
      <w:r>
        <w:rPr>
          <w:color w:val="231F20"/>
          <w:sz w:val="19"/>
        </w:rPr>
        <w:t>Visintin</w:t>
      </w:r>
      <w:r>
        <w:rPr>
          <w:color w:val="231F20"/>
          <w:spacing w:val="-4"/>
          <w:sz w:val="19"/>
        </w:rPr>
        <w:t> </w:t>
      </w:r>
      <w:r>
        <w:rPr>
          <w:color w:val="231F20"/>
          <w:sz w:val="19"/>
        </w:rPr>
        <w:t>G.;Gieco</w:t>
      </w:r>
      <w:r>
        <w:rPr>
          <w:color w:val="231F20"/>
          <w:spacing w:val="-3"/>
          <w:sz w:val="19"/>
        </w:rPr>
        <w:t> </w:t>
      </w:r>
      <w:r>
        <w:rPr>
          <w:color w:val="231F20"/>
          <w:sz w:val="19"/>
        </w:rPr>
        <w:t>I.;</w:t>
      </w:r>
      <w:r>
        <w:rPr>
          <w:color w:val="231F20"/>
          <w:spacing w:val="-3"/>
          <w:sz w:val="19"/>
        </w:rPr>
        <w:t> </w:t>
      </w:r>
      <w:r>
        <w:rPr>
          <w:color w:val="231F20"/>
          <w:sz w:val="19"/>
        </w:rPr>
        <w:t>García</w:t>
      </w:r>
      <w:r>
        <w:rPr>
          <w:color w:val="231F20"/>
          <w:spacing w:val="-3"/>
          <w:sz w:val="19"/>
        </w:rPr>
        <w:t> </w:t>
      </w:r>
      <w:r>
        <w:rPr>
          <w:color w:val="231F20"/>
          <w:sz w:val="19"/>
        </w:rPr>
        <w:t>B.;</w:t>
      </w:r>
      <w:r>
        <w:rPr>
          <w:color w:val="231F20"/>
          <w:spacing w:val="-3"/>
          <w:sz w:val="19"/>
        </w:rPr>
        <w:t> </w:t>
      </w:r>
      <w:r>
        <w:rPr>
          <w:color w:val="231F20"/>
          <w:sz w:val="19"/>
        </w:rPr>
        <w:t>y</w:t>
      </w:r>
      <w:r>
        <w:rPr>
          <w:color w:val="231F20"/>
          <w:spacing w:val="-3"/>
          <w:sz w:val="19"/>
        </w:rPr>
        <w:t> </w:t>
      </w:r>
      <w:r>
        <w:rPr>
          <w:color w:val="231F20"/>
          <w:sz w:val="19"/>
        </w:rPr>
        <w:t>L.</w:t>
      </w:r>
      <w:r>
        <w:rPr>
          <w:color w:val="231F20"/>
          <w:spacing w:val="-3"/>
          <w:sz w:val="19"/>
        </w:rPr>
        <w:t> </w:t>
      </w:r>
      <w:r>
        <w:rPr>
          <w:color w:val="231F20"/>
          <w:sz w:val="19"/>
        </w:rPr>
        <w:t>Fálico.</w:t>
      </w:r>
      <w:r>
        <w:rPr>
          <w:color w:val="231F20"/>
          <w:spacing w:val="-3"/>
          <w:sz w:val="19"/>
        </w:rPr>
        <w:t> </w:t>
      </w:r>
      <w:r>
        <w:rPr>
          <w:color w:val="231F20"/>
          <w:sz w:val="19"/>
        </w:rPr>
        <w:t>2007.</w:t>
      </w:r>
      <w:r>
        <w:rPr>
          <w:color w:val="231F20"/>
          <w:spacing w:val="-3"/>
          <w:sz w:val="19"/>
        </w:rPr>
        <w:t> </w:t>
      </w:r>
      <w:r>
        <w:rPr>
          <w:color w:val="231F20"/>
          <w:sz w:val="19"/>
        </w:rPr>
        <w:t>Bioactividad</w:t>
      </w:r>
      <w:r>
        <w:rPr>
          <w:color w:val="231F20"/>
          <w:spacing w:val="-3"/>
          <w:sz w:val="19"/>
        </w:rPr>
        <w:t> </w:t>
      </w:r>
      <w:r>
        <w:rPr>
          <w:color w:val="231F20"/>
          <w:sz w:val="19"/>
        </w:rPr>
        <w:t>de</w:t>
      </w:r>
      <w:r>
        <w:rPr>
          <w:color w:val="231F20"/>
          <w:spacing w:val="-3"/>
          <w:sz w:val="19"/>
        </w:rPr>
        <w:t> </w:t>
      </w:r>
      <w:r>
        <w:rPr>
          <w:color w:val="231F20"/>
          <w:sz w:val="19"/>
        </w:rPr>
        <w:t>Microorganismos</w:t>
      </w:r>
      <w:r>
        <w:rPr>
          <w:color w:val="231F20"/>
          <w:spacing w:val="-3"/>
          <w:sz w:val="19"/>
        </w:rPr>
        <w:t> </w:t>
      </w:r>
      <w:r>
        <w:rPr>
          <w:color w:val="231F20"/>
          <w:sz w:val="19"/>
        </w:rPr>
        <w:t>nativos</w:t>
      </w:r>
      <w:r>
        <w:rPr>
          <w:color w:val="231F20"/>
          <w:spacing w:val="-3"/>
          <w:sz w:val="19"/>
        </w:rPr>
        <w:t> </w:t>
      </w:r>
      <w:r>
        <w:rPr>
          <w:color w:val="231F20"/>
          <w:sz w:val="19"/>
        </w:rPr>
        <w:t>sobre</w:t>
      </w:r>
      <w:r>
        <w:rPr>
          <w:color w:val="231F20"/>
          <w:spacing w:val="-3"/>
          <w:sz w:val="19"/>
        </w:rPr>
        <w:t> </w:t>
      </w:r>
      <w:r>
        <w:rPr>
          <w:color w:val="231F20"/>
          <w:sz w:val="19"/>
        </w:rPr>
        <w:t>infecciones en naranjas de Penicilliumdigitatum resistente y sensible a fungicidas concentración de carotenoides. Ciencia, Docencia y Tecnología XVIII (34):</w:t>
      </w:r>
      <w:r>
        <w:rPr>
          <w:color w:val="231F20"/>
          <w:spacing w:val="-18"/>
          <w:sz w:val="19"/>
        </w:rPr>
        <w:t> </w:t>
      </w:r>
      <w:r>
        <w:rPr>
          <w:color w:val="231F20"/>
          <w:sz w:val="19"/>
        </w:rPr>
        <w:t>229-242.</w:t>
      </w:r>
    </w:p>
    <w:p>
      <w:pPr>
        <w:pStyle w:val="BodyText"/>
        <w:spacing w:before="10"/>
        <w:rPr>
          <w:sz w:val="19"/>
        </w:rPr>
      </w:pPr>
    </w:p>
    <w:p>
      <w:pPr>
        <w:spacing w:before="0"/>
        <w:ind w:left="1270" w:right="0" w:firstLine="0"/>
        <w:jc w:val="both"/>
        <w:rPr>
          <w:sz w:val="19"/>
        </w:rPr>
      </w:pPr>
      <w:hyperlink r:id="rId143">
        <w:r>
          <w:rPr>
            <w:color w:val="231F20"/>
            <w:sz w:val="19"/>
          </w:rPr>
          <w:t>http://portal.veracruz.gob.mx/pls/portal/docs/PAGE/COVECAINICIO/IMAGENES/ARCHIVOSPDF/AR-</w:t>
        </w:r>
      </w:hyperlink>
    </w:p>
    <w:p>
      <w:pPr>
        <w:spacing w:before="9"/>
        <w:ind w:left="1270" w:right="0" w:firstLine="0"/>
        <w:jc w:val="both"/>
        <w:rPr>
          <w:sz w:val="19"/>
        </w:rPr>
      </w:pPr>
      <w:r>
        <w:rPr>
          <w:color w:val="231F20"/>
          <w:sz w:val="19"/>
        </w:rPr>
        <w:t>CHIVOSDIFUSION/TAB4003236/MONOGRAFIA%20NARANJA2011.PDF</w:t>
      </w:r>
    </w:p>
    <w:p>
      <w:pPr>
        <w:spacing w:line="249" w:lineRule="auto" w:before="9"/>
        <w:ind w:left="1270" w:right="1242" w:firstLine="0"/>
        <w:jc w:val="both"/>
        <w:rPr>
          <w:sz w:val="19"/>
        </w:rPr>
      </w:pPr>
      <w:r>
        <w:rPr>
          <w:color w:val="231F20"/>
          <w:sz w:val="19"/>
        </w:rPr>
        <w:t>h</w:t>
      </w:r>
      <w:r>
        <w:rPr>
          <w:color w:val="231F20"/>
          <w:spacing w:val="-23"/>
          <w:sz w:val="19"/>
        </w:rPr>
        <w:t> </w:t>
      </w:r>
      <w:r>
        <w:rPr>
          <w:color w:val="231F20"/>
          <w:sz w:val="19"/>
        </w:rPr>
        <w:t>t</w:t>
      </w:r>
      <w:r>
        <w:rPr>
          <w:color w:val="231F20"/>
          <w:spacing w:val="-23"/>
          <w:sz w:val="19"/>
        </w:rPr>
        <w:t> </w:t>
      </w:r>
      <w:r>
        <w:rPr>
          <w:color w:val="231F20"/>
          <w:sz w:val="19"/>
        </w:rPr>
        <w:t>t</w:t>
      </w:r>
      <w:r>
        <w:rPr>
          <w:color w:val="231F20"/>
          <w:spacing w:val="-23"/>
          <w:sz w:val="19"/>
        </w:rPr>
        <w:t> </w:t>
      </w:r>
      <w:r>
        <w:rPr>
          <w:color w:val="231F20"/>
          <w:spacing w:val="12"/>
          <w:sz w:val="19"/>
        </w:rPr>
        <w:t>p:</w:t>
      </w:r>
      <w:r>
        <w:rPr>
          <w:color w:val="231F20"/>
          <w:spacing w:val="-23"/>
          <w:sz w:val="19"/>
        </w:rPr>
        <w:t> </w:t>
      </w:r>
      <w:r>
        <w:rPr>
          <w:color w:val="231F20"/>
          <w:sz w:val="19"/>
        </w:rPr>
        <w:t>/</w:t>
      </w:r>
      <w:r>
        <w:rPr>
          <w:color w:val="231F20"/>
          <w:spacing w:val="-23"/>
          <w:sz w:val="19"/>
        </w:rPr>
        <w:t> </w:t>
      </w:r>
      <w:r>
        <w:rPr>
          <w:color w:val="231F20"/>
          <w:sz w:val="19"/>
        </w:rPr>
        <w:t>/</w:t>
      </w:r>
      <w:r>
        <w:rPr>
          <w:color w:val="231F20"/>
          <w:spacing w:val="-23"/>
          <w:sz w:val="19"/>
        </w:rPr>
        <w:t> </w:t>
      </w:r>
      <w:hyperlink r:id="rId144">
        <w:r>
          <w:rPr>
            <w:color w:val="231F20"/>
            <w:spacing w:val="15"/>
            <w:sz w:val="19"/>
          </w:rPr>
          <w:t>www.</w:t>
        </w:r>
      </w:hyperlink>
      <w:r>
        <w:rPr>
          <w:color w:val="231F20"/>
          <w:spacing w:val="-23"/>
          <w:sz w:val="19"/>
        </w:rPr>
        <w:t> </w:t>
      </w:r>
      <w:r>
        <w:rPr>
          <w:color w:val="231F20"/>
          <w:sz w:val="19"/>
        </w:rPr>
        <w:t>f</w:t>
      </w:r>
      <w:r>
        <w:rPr>
          <w:color w:val="231F20"/>
          <w:spacing w:val="-23"/>
          <w:sz w:val="19"/>
        </w:rPr>
        <w:t> </w:t>
      </w:r>
      <w:r>
        <w:rPr>
          <w:color w:val="231F20"/>
          <w:sz w:val="19"/>
        </w:rPr>
        <w:t>i</w:t>
      </w:r>
      <w:r>
        <w:rPr>
          <w:color w:val="231F20"/>
          <w:spacing w:val="-23"/>
          <w:sz w:val="19"/>
        </w:rPr>
        <w:t> </w:t>
      </w:r>
      <w:r>
        <w:rPr>
          <w:color w:val="231F20"/>
          <w:sz w:val="19"/>
        </w:rPr>
        <w:t>n</w:t>
      </w:r>
      <w:r>
        <w:rPr>
          <w:color w:val="231F20"/>
          <w:spacing w:val="-23"/>
          <w:sz w:val="19"/>
        </w:rPr>
        <w:t> </w:t>
      </w:r>
      <w:r>
        <w:rPr>
          <w:color w:val="231F20"/>
          <w:sz w:val="19"/>
        </w:rPr>
        <w:t>a</w:t>
      </w:r>
      <w:r>
        <w:rPr>
          <w:color w:val="231F20"/>
          <w:spacing w:val="-23"/>
          <w:sz w:val="19"/>
        </w:rPr>
        <w:t> </w:t>
      </w:r>
      <w:r>
        <w:rPr>
          <w:color w:val="231F20"/>
          <w:sz w:val="19"/>
        </w:rPr>
        <w:t>n</w:t>
      </w:r>
      <w:r>
        <w:rPr>
          <w:color w:val="231F20"/>
          <w:spacing w:val="-23"/>
          <w:sz w:val="19"/>
        </w:rPr>
        <w:t> </w:t>
      </w:r>
      <w:r>
        <w:rPr>
          <w:color w:val="231F20"/>
          <w:sz w:val="19"/>
        </w:rPr>
        <w:t>c</w:t>
      </w:r>
      <w:r>
        <w:rPr>
          <w:color w:val="231F20"/>
          <w:spacing w:val="-23"/>
          <w:sz w:val="19"/>
        </w:rPr>
        <w:t> </w:t>
      </w:r>
      <w:r>
        <w:rPr>
          <w:color w:val="231F20"/>
          <w:sz w:val="19"/>
        </w:rPr>
        <w:t>i</w:t>
      </w:r>
      <w:r>
        <w:rPr>
          <w:color w:val="231F20"/>
          <w:spacing w:val="-23"/>
          <w:sz w:val="19"/>
        </w:rPr>
        <w:t> </w:t>
      </w:r>
      <w:r>
        <w:rPr>
          <w:color w:val="231F20"/>
          <w:sz w:val="19"/>
        </w:rPr>
        <w:t>e</w:t>
      </w:r>
      <w:r>
        <w:rPr>
          <w:color w:val="231F20"/>
          <w:spacing w:val="-23"/>
          <w:sz w:val="19"/>
        </w:rPr>
        <w:t> </w:t>
      </w:r>
      <w:r>
        <w:rPr>
          <w:color w:val="231F20"/>
          <w:spacing w:val="12"/>
          <w:sz w:val="19"/>
        </w:rPr>
        <w:t>ra</w:t>
      </w:r>
      <w:r>
        <w:rPr>
          <w:color w:val="231F20"/>
          <w:spacing w:val="-23"/>
          <w:sz w:val="19"/>
        </w:rPr>
        <w:t> </w:t>
      </w:r>
      <w:r>
        <w:rPr>
          <w:color w:val="231F20"/>
          <w:spacing w:val="12"/>
          <w:sz w:val="19"/>
        </w:rPr>
        <w:t>ru</w:t>
      </w:r>
      <w:r>
        <w:rPr>
          <w:color w:val="231F20"/>
          <w:spacing w:val="-23"/>
          <w:sz w:val="19"/>
        </w:rPr>
        <w:t> </w:t>
      </w:r>
      <w:r>
        <w:rPr>
          <w:color w:val="231F20"/>
          <w:sz w:val="19"/>
        </w:rPr>
        <w:t>r</w:t>
      </w:r>
      <w:r>
        <w:rPr>
          <w:color w:val="231F20"/>
          <w:spacing w:val="-23"/>
          <w:sz w:val="19"/>
        </w:rPr>
        <w:t> </w:t>
      </w:r>
      <w:r>
        <w:rPr>
          <w:color w:val="231F20"/>
          <w:sz w:val="19"/>
        </w:rPr>
        <w:t>a</w:t>
      </w:r>
      <w:r>
        <w:rPr>
          <w:color w:val="231F20"/>
          <w:spacing w:val="-23"/>
          <w:sz w:val="19"/>
        </w:rPr>
        <w:t> </w:t>
      </w:r>
      <w:r>
        <w:rPr>
          <w:color w:val="231F20"/>
          <w:sz w:val="19"/>
        </w:rPr>
        <w:t>l</w:t>
      </w:r>
      <w:r>
        <w:rPr>
          <w:color w:val="231F20"/>
          <w:spacing w:val="-23"/>
          <w:sz w:val="19"/>
        </w:rPr>
        <w:t> </w:t>
      </w:r>
      <w:r>
        <w:rPr>
          <w:color w:val="231F20"/>
          <w:sz w:val="19"/>
        </w:rPr>
        <w:t>.</w:t>
      </w:r>
      <w:r>
        <w:rPr>
          <w:color w:val="231F20"/>
          <w:spacing w:val="-23"/>
          <w:sz w:val="19"/>
        </w:rPr>
        <w:t> </w:t>
      </w:r>
      <w:r>
        <w:rPr>
          <w:color w:val="231F20"/>
          <w:sz w:val="19"/>
        </w:rPr>
        <w:t>g</w:t>
      </w:r>
      <w:r>
        <w:rPr>
          <w:color w:val="231F20"/>
          <w:spacing w:val="-23"/>
          <w:sz w:val="19"/>
        </w:rPr>
        <w:t> </w:t>
      </w:r>
      <w:r>
        <w:rPr>
          <w:color w:val="231F20"/>
          <w:sz w:val="19"/>
        </w:rPr>
        <w:t>o</w:t>
      </w:r>
      <w:r>
        <w:rPr>
          <w:color w:val="231F20"/>
          <w:spacing w:val="-23"/>
          <w:sz w:val="19"/>
        </w:rPr>
        <w:t> </w:t>
      </w:r>
      <w:r>
        <w:rPr>
          <w:color w:val="231F20"/>
          <w:spacing w:val="12"/>
          <w:sz w:val="19"/>
        </w:rPr>
        <w:t>b.</w:t>
      </w:r>
      <w:r>
        <w:rPr>
          <w:color w:val="231F20"/>
          <w:spacing w:val="-23"/>
          <w:sz w:val="19"/>
        </w:rPr>
        <w:t> </w:t>
      </w:r>
      <w:r>
        <w:rPr>
          <w:color w:val="231F20"/>
          <w:sz w:val="19"/>
        </w:rPr>
        <w:t>m</w:t>
      </w:r>
      <w:r>
        <w:rPr>
          <w:color w:val="231F20"/>
          <w:spacing w:val="-23"/>
          <w:sz w:val="19"/>
        </w:rPr>
        <w:t> </w:t>
      </w:r>
      <w:r>
        <w:rPr>
          <w:color w:val="231F20"/>
          <w:spacing w:val="12"/>
          <w:sz w:val="19"/>
        </w:rPr>
        <w:t>x/</w:t>
      </w:r>
      <w:r>
        <w:rPr>
          <w:color w:val="231F20"/>
          <w:spacing w:val="-23"/>
          <w:sz w:val="19"/>
        </w:rPr>
        <w:t> </w:t>
      </w:r>
      <w:r>
        <w:rPr>
          <w:color w:val="231F20"/>
          <w:sz w:val="19"/>
        </w:rPr>
        <w:t>i</w:t>
      </w:r>
      <w:r>
        <w:rPr>
          <w:color w:val="231F20"/>
          <w:spacing w:val="-23"/>
          <w:sz w:val="19"/>
        </w:rPr>
        <w:t> </w:t>
      </w:r>
      <w:r>
        <w:rPr>
          <w:color w:val="231F20"/>
          <w:sz w:val="19"/>
        </w:rPr>
        <w:t>n</w:t>
      </w:r>
      <w:r>
        <w:rPr>
          <w:color w:val="231F20"/>
          <w:spacing w:val="-23"/>
          <w:sz w:val="19"/>
        </w:rPr>
        <w:t> </w:t>
      </w:r>
      <w:r>
        <w:rPr>
          <w:color w:val="231F20"/>
          <w:sz w:val="19"/>
        </w:rPr>
        <w:t>f</w:t>
      </w:r>
      <w:r>
        <w:rPr>
          <w:color w:val="231F20"/>
          <w:spacing w:val="-23"/>
          <w:sz w:val="19"/>
        </w:rPr>
        <w:t> </w:t>
      </w:r>
      <w:r>
        <w:rPr>
          <w:color w:val="231F20"/>
          <w:spacing w:val="12"/>
          <w:sz w:val="19"/>
        </w:rPr>
        <w:t>or</w:t>
      </w:r>
      <w:r>
        <w:rPr>
          <w:color w:val="231F20"/>
          <w:spacing w:val="-23"/>
          <w:sz w:val="19"/>
        </w:rPr>
        <w:t> </w:t>
      </w:r>
      <w:r>
        <w:rPr>
          <w:color w:val="231F20"/>
          <w:sz w:val="19"/>
        </w:rPr>
        <w:t>m</w:t>
      </w:r>
      <w:r>
        <w:rPr>
          <w:color w:val="231F20"/>
          <w:spacing w:val="-23"/>
          <w:sz w:val="19"/>
        </w:rPr>
        <w:t> </w:t>
      </w:r>
      <w:r>
        <w:rPr>
          <w:color w:val="231F20"/>
          <w:sz w:val="19"/>
        </w:rPr>
        <w:t>a</w:t>
      </w:r>
      <w:r>
        <w:rPr>
          <w:color w:val="231F20"/>
          <w:spacing w:val="-23"/>
          <w:sz w:val="19"/>
        </w:rPr>
        <w:t> </w:t>
      </w:r>
      <w:r>
        <w:rPr>
          <w:color w:val="231F20"/>
          <w:sz w:val="19"/>
        </w:rPr>
        <w:t>c</w:t>
      </w:r>
      <w:r>
        <w:rPr>
          <w:color w:val="231F20"/>
          <w:spacing w:val="-23"/>
          <w:sz w:val="19"/>
        </w:rPr>
        <w:t> </w:t>
      </w:r>
      <w:r>
        <w:rPr>
          <w:color w:val="231F20"/>
          <w:sz w:val="19"/>
        </w:rPr>
        <w:t>i</w:t>
      </w:r>
      <w:r>
        <w:rPr>
          <w:color w:val="231F20"/>
          <w:spacing w:val="-23"/>
          <w:sz w:val="19"/>
        </w:rPr>
        <w:t> </w:t>
      </w:r>
      <w:r>
        <w:rPr>
          <w:color w:val="231F20"/>
          <w:sz w:val="19"/>
        </w:rPr>
        <w:t>o</w:t>
      </w:r>
      <w:r>
        <w:rPr>
          <w:color w:val="231F20"/>
          <w:spacing w:val="-23"/>
          <w:sz w:val="19"/>
        </w:rPr>
        <w:t> </w:t>
      </w:r>
      <w:r>
        <w:rPr>
          <w:color w:val="231F20"/>
          <w:sz w:val="19"/>
        </w:rPr>
        <w:t>n</w:t>
      </w:r>
      <w:r>
        <w:rPr>
          <w:color w:val="231F20"/>
          <w:spacing w:val="-23"/>
          <w:sz w:val="19"/>
        </w:rPr>
        <w:t> </w:t>
      </w:r>
      <w:r>
        <w:rPr>
          <w:color w:val="231F20"/>
          <w:spacing w:val="12"/>
          <w:sz w:val="19"/>
        </w:rPr>
        <w:t>se</w:t>
      </w:r>
      <w:r>
        <w:rPr>
          <w:color w:val="231F20"/>
          <w:spacing w:val="-23"/>
          <w:sz w:val="19"/>
        </w:rPr>
        <w:t> </w:t>
      </w:r>
      <w:r>
        <w:rPr>
          <w:color w:val="231F20"/>
          <w:sz w:val="19"/>
        </w:rPr>
        <w:t>c</w:t>
      </w:r>
      <w:r>
        <w:rPr>
          <w:color w:val="231F20"/>
          <w:spacing w:val="-23"/>
          <w:sz w:val="19"/>
        </w:rPr>
        <w:t> </w:t>
      </w:r>
      <w:r>
        <w:rPr>
          <w:color w:val="231F20"/>
          <w:sz w:val="19"/>
        </w:rPr>
        <w:t>t</w:t>
      </w:r>
      <w:r>
        <w:rPr>
          <w:color w:val="231F20"/>
          <w:spacing w:val="-23"/>
          <w:sz w:val="19"/>
        </w:rPr>
        <w:t> </w:t>
      </w:r>
      <w:r>
        <w:rPr>
          <w:color w:val="231F20"/>
          <w:sz w:val="19"/>
        </w:rPr>
        <w:t>o</w:t>
      </w:r>
      <w:r>
        <w:rPr>
          <w:color w:val="231F20"/>
          <w:spacing w:val="-23"/>
          <w:sz w:val="19"/>
        </w:rPr>
        <w:t> </w:t>
      </w:r>
      <w:r>
        <w:rPr>
          <w:color w:val="231F20"/>
          <w:spacing w:val="12"/>
          <w:sz w:val="19"/>
        </w:rPr>
        <w:t>rr</w:t>
      </w:r>
      <w:r>
        <w:rPr>
          <w:color w:val="231F20"/>
          <w:spacing w:val="-23"/>
          <w:sz w:val="19"/>
        </w:rPr>
        <w:t> </w:t>
      </w:r>
      <w:r>
        <w:rPr>
          <w:color w:val="231F20"/>
          <w:sz w:val="19"/>
        </w:rPr>
        <w:t>u</w:t>
      </w:r>
      <w:r>
        <w:rPr>
          <w:color w:val="231F20"/>
          <w:spacing w:val="-23"/>
          <w:sz w:val="19"/>
        </w:rPr>
        <w:t> </w:t>
      </w:r>
      <w:r>
        <w:rPr>
          <w:color w:val="231F20"/>
          <w:spacing w:val="12"/>
          <w:sz w:val="19"/>
        </w:rPr>
        <w:t>ra</w:t>
      </w:r>
      <w:r>
        <w:rPr>
          <w:color w:val="231F20"/>
          <w:spacing w:val="-23"/>
          <w:sz w:val="19"/>
        </w:rPr>
        <w:t> </w:t>
      </w:r>
      <w:r>
        <w:rPr>
          <w:color w:val="231F20"/>
          <w:sz w:val="19"/>
        </w:rPr>
        <w:t>l</w:t>
      </w:r>
      <w:r>
        <w:rPr>
          <w:color w:val="231F20"/>
          <w:spacing w:val="-23"/>
          <w:sz w:val="19"/>
        </w:rPr>
        <w:t> </w:t>
      </w:r>
      <w:r>
        <w:rPr>
          <w:color w:val="231F20"/>
          <w:sz w:val="19"/>
        </w:rPr>
        <w:t>/</w:t>
      </w:r>
      <w:r>
        <w:rPr>
          <w:color w:val="231F20"/>
          <w:spacing w:val="-23"/>
          <w:sz w:val="19"/>
        </w:rPr>
        <w:t> </w:t>
      </w:r>
      <w:r>
        <w:rPr>
          <w:color w:val="231F20"/>
          <w:spacing w:val="12"/>
          <w:sz w:val="19"/>
        </w:rPr>
        <w:t>Do</w:t>
      </w:r>
      <w:r>
        <w:rPr>
          <w:color w:val="231F20"/>
          <w:spacing w:val="-23"/>
          <w:sz w:val="19"/>
        </w:rPr>
        <w:t> </w:t>
      </w:r>
      <w:r>
        <w:rPr>
          <w:color w:val="231F20"/>
          <w:sz w:val="19"/>
        </w:rPr>
        <w:t>c</w:t>
      </w:r>
      <w:r>
        <w:rPr>
          <w:color w:val="231F20"/>
          <w:spacing w:val="-23"/>
          <w:sz w:val="19"/>
        </w:rPr>
        <w:t> </w:t>
      </w:r>
      <w:r>
        <w:rPr>
          <w:color w:val="231F20"/>
          <w:spacing w:val="12"/>
          <w:sz w:val="19"/>
        </w:rPr>
        <w:t>um</w:t>
      </w:r>
      <w:r>
        <w:rPr>
          <w:color w:val="231F20"/>
          <w:spacing w:val="-23"/>
          <w:sz w:val="19"/>
        </w:rPr>
        <w:t> </w:t>
      </w:r>
      <w:r>
        <w:rPr>
          <w:color w:val="231F20"/>
          <w:sz w:val="19"/>
        </w:rPr>
        <w:t>e</w:t>
      </w:r>
      <w:r>
        <w:rPr>
          <w:color w:val="231F20"/>
          <w:spacing w:val="-23"/>
          <w:sz w:val="19"/>
        </w:rPr>
        <w:t> </w:t>
      </w:r>
      <w:r>
        <w:rPr>
          <w:color w:val="231F20"/>
          <w:sz w:val="19"/>
        </w:rPr>
        <w:t>n</w:t>
      </w:r>
      <w:r>
        <w:rPr>
          <w:color w:val="231F20"/>
          <w:spacing w:val="-23"/>
          <w:sz w:val="19"/>
        </w:rPr>
        <w:t> </w:t>
      </w:r>
      <w:r>
        <w:rPr>
          <w:color w:val="231F20"/>
          <w:sz w:val="19"/>
        </w:rPr>
        <w:t>t</w:t>
      </w:r>
      <w:r>
        <w:rPr>
          <w:color w:val="231F20"/>
          <w:spacing w:val="-23"/>
          <w:sz w:val="19"/>
        </w:rPr>
        <w:t> </w:t>
      </w:r>
      <w:r>
        <w:rPr>
          <w:color w:val="231F20"/>
          <w:spacing w:val="12"/>
          <w:sz w:val="19"/>
        </w:rPr>
        <w:t>s/</w:t>
      </w:r>
      <w:r>
        <w:rPr>
          <w:color w:val="231F20"/>
          <w:spacing w:val="-23"/>
          <w:sz w:val="19"/>
        </w:rPr>
        <w:t> </w:t>
      </w:r>
      <w:r>
        <w:rPr>
          <w:color w:val="231F20"/>
          <w:spacing w:val="16"/>
          <w:sz w:val="19"/>
        </w:rPr>
        <w:t>Mon</w:t>
      </w:r>
      <w:r>
        <w:rPr>
          <w:color w:val="231F20"/>
          <w:spacing w:val="-23"/>
          <w:sz w:val="19"/>
        </w:rPr>
        <w:t> </w:t>
      </w:r>
      <w:r>
        <w:rPr>
          <w:color w:val="231F20"/>
          <w:sz w:val="19"/>
        </w:rPr>
        <w:t>o</w:t>
      </w:r>
      <w:r>
        <w:rPr>
          <w:color w:val="231F20"/>
          <w:spacing w:val="-23"/>
          <w:sz w:val="19"/>
        </w:rPr>
        <w:t> </w:t>
      </w:r>
      <w:r>
        <w:rPr>
          <w:color w:val="231F20"/>
          <w:sz w:val="19"/>
        </w:rPr>
        <w:t>g</w:t>
      </w:r>
      <w:r>
        <w:rPr>
          <w:color w:val="231F20"/>
          <w:spacing w:val="-23"/>
          <w:sz w:val="19"/>
        </w:rPr>
        <w:t> </w:t>
      </w:r>
      <w:r>
        <w:rPr>
          <w:color w:val="231F20"/>
          <w:spacing w:val="12"/>
          <w:sz w:val="19"/>
        </w:rPr>
        <w:t>ra</w:t>
      </w:r>
      <w:r>
        <w:rPr>
          <w:color w:val="231F20"/>
          <w:spacing w:val="-23"/>
          <w:sz w:val="19"/>
        </w:rPr>
        <w:t> </w:t>
      </w:r>
      <w:r>
        <w:rPr>
          <w:color w:val="231F20"/>
          <w:spacing w:val="12"/>
          <w:sz w:val="19"/>
        </w:rPr>
        <w:t>fi</w:t>
      </w:r>
      <w:r>
        <w:rPr>
          <w:color w:val="231F20"/>
          <w:spacing w:val="-23"/>
          <w:sz w:val="19"/>
        </w:rPr>
        <w:t> </w:t>
      </w:r>
      <w:r>
        <w:rPr>
          <w:color w:val="231F20"/>
          <w:sz w:val="19"/>
        </w:rPr>
        <w:t>a</w:t>
      </w:r>
      <w:r>
        <w:rPr>
          <w:color w:val="231F20"/>
          <w:spacing w:val="-23"/>
          <w:sz w:val="19"/>
        </w:rPr>
        <w:t> </w:t>
      </w:r>
      <w:r>
        <w:rPr>
          <w:color w:val="231F20"/>
          <w:spacing w:val="12"/>
          <w:sz w:val="19"/>
        </w:rPr>
        <w:t>s/ </w:t>
      </w:r>
      <w:r>
        <w:rPr>
          <w:color w:val="231F20"/>
          <w:sz w:val="19"/>
        </w:rPr>
        <w:t>Monograf%C3%ADa%20de%20Jugo%20de%20Naranja%20(oct%2010)%20vf.pdf</w:t>
      </w:r>
    </w:p>
    <w:p>
      <w:pPr>
        <w:spacing w:after="0" w:line="249" w:lineRule="auto"/>
        <w:jc w:val="both"/>
        <w:rPr>
          <w:sz w:val="19"/>
        </w:rPr>
        <w:sectPr>
          <w:pgSz w:w="10920" w:h="13080"/>
          <w:pgMar w:header="0" w:footer="965" w:top="420" w:bottom="1220" w:left="0" w:right="0"/>
        </w:sectPr>
      </w:pPr>
    </w:p>
    <w:p>
      <w:pPr>
        <w:pStyle w:val="BodyText"/>
        <w:rPr>
          <w:sz w:val="20"/>
        </w:rPr>
      </w:pPr>
    </w:p>
    <w:p>
      <w:pPr>
        <w:pStyle w:val="BodyText"/>
        <w:rPr>
          <w:sz w:val="20"/>
        </w:rPr>
      </w:pPr>
    </w:p>
    <w:p>
      <w:pPr>
        <w:pStyle w:val="BodyText"/>
        <w:spacing w:before="6"/>
        <w:rPr>
          <w:sz w:val="23"/>
        </w:rPr>
      </w:pPr>
    </w:p>
    <w:p>
      <w:pPr>
        <w:spacing w:line="247" w:lineRule="auto" w:before="69"/>
        <w:ind w:left="2966" w:right="2964" w:firstLine="0"/>
        <w:jc w:val="center"/>
        <w:rPr>
          <w:rFonts w:ascii="Trebuchet MS" w:hAnsi="Trebuchet MS"/>
          <w:i/>
          <w:sz w:val="14"/>
        </w:rPr>
      </w:pPr>
      <w:r>
        <w:rPr>
          <w:rFonts w:ascii="Trebuchet MS" w:hAnsi="Trebuchet MS"/>
          <w:i/>
          <w:color w:val="010202"/>
          <w:sz w:val="24"/>
        </w:rPr>
        <w:t>José Luis Ríos Flores</w:t>
      </w:r>
      <w:r>
        <w:rPr>
          <w:rFonts w:ascii="Trebuchet MS" w:hAnsi="Trebuchet MS"/>
          <w:i/>
          <w:color w:val="010202"/>
          <w:position w:val="8"/>
          <w:sz w:val="14"/>
        </w:rPr>
        <w:t>1*</w:t>
      </w:r>
      <w:r>
        <w:rPr>
          <w:rFonts w:ascii="Trebuchet MS" w:hAnsi="Trebuchet MS"/>
          <w:i/>
          <w:color w:val="010202"/>
          <w:sz w:val="24"/>
        </w:rPr>
        <w:t>; Miriam Torres Moreno</w:t>
      </w:r>
      <w:r>
        <w:rPr>
          <w:rFonts w:ascii="Trebuchet MS" w:hAnsi="Trebuchet MS"/>
          <w:i/>
          <w:color w:val="010202"/>
          <w:position w:val="8"/>
          <w:sz w:val="14"/>
        </w:rPr>
        <w:t>2 </w:t>
      </w:r>
      <w:r>
        <w:rPr>
          <w:rFonts w:ascii="Trebuchet MS" w:hAnsi="Trebuchet MS"/>
          <w:i/>
          <w:color w:val="010202"/>
          <w:sz w:val="24"/>
        </w:rPr>
        <w:t>y José Ruiz Torres</w:t>
      </w:r>
      <w:r>
        <w:rPr>
          <w:rFonts w:ascii="Trebuchet MS" w:hAnsi="Trebuchet MS"/>
          <w:i/>
          <w:color w:val="010202"/>
          <w:position w:val="8"/>
          <w:sz w:val="14"/>
        </w:rPr>
        <w:t>1</w:t>
      </w: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spacing w:before="7"/>
        <w:rPr>
          <w:rFonts w:ascii="Trebuchet MS"/>
          <w:i/>
          <w:sz w:val="31"/>
        </w:rPr>
      </w:pPr>
    </w:p>
    <w:p>
      <w:pPr>
        <w:spacing w:line="247" w:lineRule="auto" w:before="0"/>
        <w:ind w:left="1505" w:right="1483" w:firstLine="0"/>
        <w:jc w:val="center"/>
        <w:rPr>
          <w:rFonts w:ascii="Trebuchet MS" w:hAnsi="Trebuchet MS"/>
          <w:b/>
          <w:sz w:val="36"/>
        </w:rPr>
      </w:pPr>
      <w:r>
        <w:rPr>
          <w:rFonts w:ascii="Trebuchet MS" w:hAnsi="Trebuchet MS"/>
          <w:b/>
          <w:color w:val="010202"/>
          <w:sz w:val="36"/>
        </w:rPr>
        <w:t>EFICIENCIA</w:t>
      </w:r>
      <w:r>
        <w:rPr>
          <w:rFonts w:ascii="Trebuchet MS" w:hAnsi="Trebuchet MS"/>
          <w:b/>
          <w:color w:val="010202"/>
          <w:spacing w:val="-24"/>
          <w:sz w:val="36"/>
        </w:rPr>
        <w:t> </w:t>
      </w:r>
      <w:r>
        <w:rPr>
          <w:rFonts w:ascii="Trebuchet MS" w:hAnsi="Trebuchet MS"/>
          <w:b/>
          <w:color w:val="010202"/>
          <w:sz w:val="36"/>
        </w:rPr>
        <w:t>DEL</w:t>
      </w:r>
      <w:r>
        <w:rPr>
          <w:rFonts w:ascii="Trebuchet MS" w:hAnsi="Trebuchet MS"/>
          <w:b/>
          <w:color w:val="010202"/>
          <w:spacing w:val="-37"/>
          <w:sz w:val="36"/>
        </w:rPr>
        <w:t> </w:t>
      </w:r>
      <w:r>
        <w:rPr>
          <w:rFonts w:ascii="Trebuchet MS" w:hAnsi="Trebuchet MS"/>
          <w:b/>
          <w:color w:val="010202"/>
          <w:sz w:val="36"/>
        </w:rPr>
        <w:t>AGUA</w:t>
      </w:r>
      <w:r>
        <w:rPr>
          <w:rFonts w:ascii="Trebuchet MS" w:hAnsi="Trebuchet MS"/>
          <w:b/>
          <w:color w:val="010202"/>
          <w:spacing w:val="-23"/>
          <w:sz w:val="36"/>
        </w:rPr>
        <w:t> </w:t>
      </w:r>
      <w:r>
        <w:rPr>
          <w:rFonts w:ascii="Trebuchet MS" w:hAnsi="Trebuchet MS"/>
          <w:b/>
          <w:color w:val="010202"/>
          <w:sz w:val="36"/>
        </w:rPr>
        <w:t>SUBTERRÁNEA</w:t>
      </w:r>
      <w:r>
        <w:rPr>
          <w:rFonts w:ascii="Trebuchet MS" w:hAnsi="Trebuchet MS"/>
          <w:b/>
          <w:color w:val="010202"/>
          <w:spacing w:val="-23"/>
          <w:sz w:val="36"/>
        </w:rPr>
        <w:t> </w:t>
      </w:r>
      <w:r>
        <w:rPr>
          <w:rFonts w:ascii="Trebuchet MS" w:hAnsi="Trebuchet MS"/>
          <w:b/>
          <w:color w:val="010202"/>
          <w:spacing w:val="-8"/>
          <w:sz w:val="36"/>
        </w:rPr>
        <w:t>PARA </w:t>
      </w:r>
      <w:r>
        <w:rPr>
          <w:rFonts w:ascii="Trebuchet MS" w:hAnsi="Trebuchet MS"/>
          <w:b/>
          <w:color w:val="010202"/>
          <w:sz w:val="36"/>
        </w:rPr>
        <w:t>RIEGO EN </w:t>
      </w:r>
      <w:r>
        <w:rPr>
          <w:rFonts w:ascii="Trebuchet MS" w:hAnsi="Trebuchet MS"/>
          <w:b/>
          <w:color w:val="010202"/>
          <w:spacing w:val="-8"/>
          <w:sz w:val="36"/>
        </w:rPr>
        <w:t>RYE </w:t>
      </w:r>
      <w:r>
        <w:rPr>
          <w:rFonts w:ascii="Trebuchet MS" w:hAnsi="Trebuchet MS"/>
          <w:b/>
          <w:color w:val="010202"/>
          <w:sz w:val="36"/>
        </w:rPr>
        <w:t>GRASS VERSUS</w:t>
      </w:r>
      <w:r>
        <w:rPr>
          <w:rFonts w:ascii="Trebuchet MS" w:hAnsi="Trebuchet MS"/>
          <w:b/>
          <w:color w:val="010202"/>
          <w:spacing w:val="-14"/>
          <w:sz w:val="36"/>
        </w:rPr>
        <w:t> </w:t>
      </w:r>
      <w:r>
        <w:rPr>
          <w:rFonts w:ascii="Trebuchet MS" w:hAnsi="Trebuchet MS"/>
          <w:b/>
          <w:color w:val="010202"/>
          <w:spacing w:val="-7"/>
          <w:sz w:val="36"/>
        </w:rPr>
        <w:t>ALFALFA</w:t>
      </w:r>
    </w:p>
    <w:p>
      <w:pPr>
        <w:spacing w:before="1"/>
        <w:ind w:left="1489" w:right="1489" w:firstLine="0"/>
        <w:jc w:val="center"/>
        <w:rPr>
          <w:rFonts w:ascii="Trebuchet MS"/>
          <w:b/>
          <w:sz w:val="36"/>
        </w:rPr>
      </w:pPr>
      <w:r>
        <w:rPr>
          <w:rFonts w:ascii="Trebuchet MS"/>
          <w:b/>
          <w:color w:val="010202"/>
          <w:sz w:val="36"/>
        </w:rPr>
        <w:t>EN EL DR017, COMARCA LAGUNERA</w:t>
      </w:r>
    </w:p>
    <w:p>
      <w:pPr>
        <w:pStyle w:val="BodyText"/>
        <w:rPr>
          <w:rFonts w:ascii="Trebuchet MS"/>
          <w:b/>
          <w:sz w:val="36"/>
        </w:rPr>
      </w:pPr>
    </w:p>
    <w:p>
      <w:pPr>
        <w:pStyle w:val="BodyText"/>
        <w:rPr>
          <w:rFonts w:ascii="Trebuchet MS"/>
          <w:b/>
          <w:sz w:val="36"/>
        </w:rPr>
      </w:pPr>
    </w:p>
    <w:p>
      <w:pPr>
        <w:pStyle w:val="BodyText"/>
        <w:rPr>
          <w:rFonts w:ascii="Trebuchet MS"/>
          <w:b/>
          <w:sz w:val="36"/>
        </w:rPr>
      </w:pPr>
    </w:p>
    <w:p>
      <w:pPr>
        <w:pStyle w:val="BodyText"/>
        <w:spacing w:before="3"/>
        <w:rPr>
          <w:rFonts w:ascii="Trebuchet MS"/>
          <w:b/>
          <w:sz w:val="36"/>
        </w:rPr>
      </w:pPr>
    </w:p>
    <w:p>
      <w:pPr>
        <w:spacing w:before="1"/>
        <w:ind w:left="1270" w:right="0" w:firstLine="0"/>
        <w:jc w:val="both"/>
        <w:rPr>
          <w:b/>
          <w:sz w:val="24"/>
        </w:rPr>
      </w:pPr>
      <w:r>
        <w:rPr>
          <w:b/>
          <w:color w:val="010202"/>
          <w:sz w:val="24"/>
        </w:rPr>
        <w:t>Introducción</w:t>
      </w:r>
    </w:p>
    <w:p>
      <w:pPr>
        <w:pStyle w:val="BodyText"/>
        <w:spacing w:before="10"/>
        <w:rPr>
          <w:b/>
        </w:rPr>
      </w:pPr>
    </w:p>
    <w:p>
      <w:pPr>
        <w:pStyle w:val="BodyText"/>
        <w:spacing w:line="247" w:lineRule="auto"/>
        <w:ind w:left="1270" w:right="1267"/>
        <w:jc w:val="both"/>
      </w:pPr>
      <w:r>
        <w:rPr>
          <w:color w:val="231F20"/>
        </w:rPr>
        <w:t>La agricultura es el mayor usuario de agua, lo que representa casi el 70% de las extracciones a</w:t>
      </w:r>
      <w:r>
        <w:rPr>
          <w:color w:val="231F20"/>
          <w:spacing w:val="-20"/>
        </w:rPr>
        <w:t> </w:t>
      </w:r>
      <w:r>
        <w:rPr>
          <w:color w:val="231F20"/>
        </w:rPr>
        <w:t>nivel mundial, y hasta un 95% en los países en desarrollo. Aproximadamente se requiere entre 1,000 y 3, 000 m</w:t>
      </w:r>
      <w:r>
        <w:rPr>
          <w:color w:val="231F20"/>
          <w:position w:val="7"/>
          <w:sz w:val="12"/>
        </w:rPr>
        <w:t>3</w:t>
      </w:r>
      <w:r>
        <w:rPr>
          <w:color w:val="231F20"/>
        </w:rPr>
        <w:t>/ton de cereal que se cosecha en el mundo (Hoekstra y Hung, 2005). De acuerdo con la </w:t>
      </w:r>
      <w:r>
        <w:rPr>
          <w:color w:val="231F20"/>
          <w:spacing w:val="-6"/>
        </w:rPr>
        <w:t>FAO </w:t>
      </w:r>
      <w:r>
        <w:rPr>
          <w:color w:val="231F20"/>
        </w:rPr>
        <w:t>(2002),</w:t>
      </w:r>
      <w:r>
        <w:rPr>
          <w:color w:val="231F20"/>
          <w:spacing w:val="-4"/>
        </w:rPr>
        <w:t> </w:t>
      </w:r>
      <w:r>
        <w:rPr>
          <w:color w:val="231F20"/>
        </w:rPr>
        <w:t>la</w:t>
      </w:r>
      <w:r>
        <w:rPr>
          <w:color w:val="231F20"/>
          <w:spacing w:val="-4"/>
        </w:rPr>
        <w:t> </w:t>
      </w:r>
      <w:r>
        <w:rPr>
          <w:color w:val="231F20"/>
        </w:rPr>
        <w:t>productividad</w:t>
      </w:r>
      <w:r>
        <w:rPr>
          <w:color w:val="231F20"/>
          <w:spacing w:val="-5"/>
        </w:rPr>
        <w:t> </w:t>
      </w:r>
      <w:r>
        <w:rPr>
          <w:color w:val="231F20"/>
        </w:rPr>
        <w:t>del</w:t>
      </w:r>
      <w:r>
        <w:rPr>
          <w:color w:val="231F20"/>
          <w:spacing w:val="-4"/>
        </w:rPr>
        <w:t> </w:t>
      </w:r>
      <w:r>
        <w:rPr>
          <w:color w:val="231F20"/>
        </w:rPr>
        <w:t>agua</w:t>
      </w:r>
      <w:r>
        <w:rPr>
          <w:color w:val="231F20"/>
          <w:spacing w:val="-4"/>
        </w:rPr>
        <w:t> </w:t>
      </w:r>
      <w:r>
        <w:rPr>
          <w:color w:val="231F20"/>
        </w:rPr>
        <w:t>se</w:t>
      </w:r>
      <w:r>
        <w:rPr>
          <w:color w:val="231F20"/>
          <w:spacing w:val="-4"/>
        </w:rPr>
        <w:t> </w:t>
      </w:r>
      <w:r>
        <w:rPr>
          <w:color w:val="231F20"/>
        </w:rPr>
        <w:t>denomina</w:t>
      </w:r>
      <w:r>
        <w:rPr>
          <w:color w:val="231F20"/>
          <w:spacing w:val="-5"/>
        </w:rPr>
        <w:t> </w:t>
      </w:r>
      <w:r>
        <w:rPr>
          <w:color w:val="231F20"/>
        </w:rPr>
        <w:t>eficiencia</w:t>
      </w:r>
      <w:r>
        <w:rPr>
          <w:color w:val="231F20"/>
          <w:spacing w:val="-5"/>
        </w:rPr>
        <w:t> </w:t>
      </w:r>
      <w:r>
        <w:rPr>
          <w:color w:val="231F20"/>
        </w:rPr>
        <w:t>y</w:t>
      </w:r>
      <w:r>
        <w:rPr>
          <w:color w:val="231F20"/>
          <w:spacing w:val="-4"/>
        </w:rPr>
        <w:t> </w:t>
      </w:r>
      <w:r>
        <w:rPr>
          <w:color w:val="231F20"/>
        </w:rPr>
        <w:t>esta</w:t>
      </w:r>
      <w:r>
        <w:rPr>
          <w:color w:val="231F20"/>
          <w:spacing w:val="-4"/>
        </w:rPr>
        <w:t> </w:t>
      </w:r>
      <w:r>
        <w:rPr>
          <w:color w:val="231F20"/>
        </w:rPr>
        <w:t>es</w:t>
      </w:r>
      <w:r>
        <w:rPr>
          <w:color w:val="231F20"/>
          <w:spacing w:val="-4"/>
        </w:rPr>
        <w:t> </w:t>
      </w:r>
      <w:r>
        <w:rPr>
          <w:color w:val="231F20"/>
        </w:rPr>
        <w:t>la</w:t>
      </w:r>
      <w:r>
        <w:rPr>
          <w:color w:val="231F20"/>
          <w:spacing w:val="-4"/>
        </w:rPr>
        <w:t> </w:t>
      </w:r>
      <w:r>
        <w:rPr>
          <w:color w:val="231F20"/>
        </w:rPr>
        <w:t>cantidad</w:t>
      </w:r>
      <w:r>
        <w:rPr>
          <w:color w:val="231F20"/>
          <w:spacing w:val="-5"/>
        </w:rPr>
        <w:t> </w:t>
      </w:r>
      <w:r>
        <w:rPr>
          <w:color w:val="231F20"/>
        </w:rPr>
        <w:t>o</w:t>
      </w:r>
      <w:r>
        <w:rPr>
          <w:color w:val="231F20"/>
          <w:spacing w:val="-4"/>
        </w:rPr>
        <w:t> </w:t>
      </w:r>
      <w:r>
        <w:rPr>
          <w:color w:val="231F20"/>
        </w:rPr>
        <w:t>relación</w:t>
      </w:r>
      <w:r>
        <w:rPr>
          <w:color w:val="231F20"/>
          <w:spacing w:val="-5"/>
        </w:rPr>
        <w:t> </w:t>
      </w:r>
      <w:r>
        <w:rPr>
          <w:color w:val="231F20"/>
        </w:rPr>
        <w:t>de</w:t>
      </w:r>
      <w:r>
        <w:rPr>
          <w:color w:val="231F20"/>
          <w:spacing w:val="-4"/>
        </w:rPr>
        <w:t> </w:t>
      </w:r>
      <w:r>
        <w:rPr>
          <w:color w:val="231F20"/>
        </w:rPr>
        <w:t>producto obtenido</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genera</w:t>
      </w:r>
      <w:r>
        <w:rPr>
          <w:color w:val="231F20"/>
          <w:spacing w:val="-4"/>
        </w:rPr>
        <w:t> </w:t>
      </w:r>
      <w:r>
        <w:rPr>
          <w:color w:val="231F20"/>
        </w:rPr>
        <w:t>o</w:t>
      </w:r>
      <w:r>
        <w:rPr>
          <w:color w:val="231F20"/>
          <w:spacing w:val="-4"/>
        </w:rPr>
        <w:t> </w:t>
      </w:r>
      <w:r>
        <w:rPr>
          <w:color w:val="231F20"/>
        </w:rPr>
        <w:t>“salidas”</w:t>
      </w:r>
      <w:r>
        <w:rPr>
          <w:color w:val="231F20"/>
          <w:spacing w:val="-4"/>
        </w:rPr>
        <w:t> </w:t>
      </w:r>
      <w:r>
        <w:rPr>
          <w:color w:val="231F20"/>
        </w:rPr>
        <w:t>y</w:t>
      </w:r>
      <w:r>
        <w:rPr>
          <w:color w:val="231F20"/>
          <w:spacing w:val="-4"/>
        </w:rPr>
        <w:t> </w:t>
      </w:r>
      <w:r>
        <w:rPr>
          <w:color w:val="231F20"/>
        </w:rPr>
        <w:t>la</w:t>
      </w:r>
      <w:r>
        <w:rPr>
          <w:color w:val="231F20"/>
          <w:spacing w:val="-4"/>
        </w:rPr>
        <w:t> </w:t>
      </w:r>
      <w:r>
        <w:rPr>
          <w:color w:val="231F20"/>
        </w:rPr>
        <w:t>cantidad</w:t>
      </w:r>
      <w:r>
        <w:rPr>
          <w:color w:val="231F20"/>
          <w:spacing w:val="-4"/>
        </w:rPr>
        <w:t> </w:t>
      </w:r>
      <w:r>
        <w:rPr>
          <w:color w:val="231F20"/>
        </w:rPr>
        <w:t>de</w:t>
      </w:r>
      <w:r>
        <w:rPr>
          <w:color w:val="231F20"/>
          <w:spacing w:val="-4"/>
        </w:rPr>
        <w:t> </w:t>
      </w:r>
      <w:r>
        <w:rPr>
          <w:color w:val="231F20"/>
        </w:rPr>
        <w:t>agua</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utiliza</w:t>
      </w:r>
      <w:r>
        <w:rPr>
          <w:color w:val="231F20"/>
          <w:spacing w:val="-4"/>
        </w:rPr>
        <w:t> </w:t>
      </w:r>
      <w:r>
        <w:rPr>
          <w:color w:val="231F20"/>
        </w:rPr>
        <w:t>o</w:t>
      </w:r>
      <w:r>
        <w:rPr>
          <w:color w:val="231F20"/>
          <w:spacing w:val="-4"/>
        </w:rPr>
        <w:t> </w:t>
      </w:r>
      <w:r>
        <w:rPr>
          <w:color w:val="231F20"/>
        </w:rPr>
        <w:t>“entradas”</w:t>
      </w:r>
      <w:r>
        <w:rPr>
          <w:color w:val="231F20"/>
          <w:spacing w:val="-4"/>
        </w:rPr>
        <w:t> </w:t>
      </w:r>
      <w:r>
        <w:rPr>
          <w:color w:val="231F20"/>
        </w:rPr>
        <w:t>para</w:t>
      </w:r>
      <w:r>
        <w:rPr>
          <w:color w:val="231F20"/>
          <w:spacing w:val="-4"/>
        </w:rPr>
        <w:t> </w:t>
      </w:r>
      <w:r>
        <w:rPr>
          <w:color w:val="231F20"/>
        </w:rPr>
        <w:t>producir</w:t>
      </w:r>
      <w:r>
        <w:rPr>
          <w:color w:val="231F20"/>
          <w:spacing w:val="-4"/>
        </w:rPr>
        <w:t> </w:t>
      </w:r>
      <w:r>
        <w:rPr>
          <w:color w:val="231F20"/>
        </w:rPr>
        <w:t>tal producto.</w:t>
      </w:r>
      <w:r>
        <w:rPr>
          <w:color w:val="231F20"/>
          <w:spacing w:val="-9"/>
        </w:rPr>
        <w:t> </w:t>
      </w:r>
      <w:r>
        <w:rPr>
          <w:color w:val="231F20"/>
        </w:rPr>
        <w:t>Las</w:t>
      </w:r>
      <w:r>
        <w:rPr>
          <w:color w:val="231F20"/>
          <w:spacing w:val="-9"/>
        </w:rPr>
        <w:t> </w:t>
      </w:r>
      <w:r>
        <w:rPr>
          <w:color w:val="231F20"/>
        </w:rPr>
        <w:t>“salidas”</w:t>
      </w:r>
      <w:r>
        <w:rPr>
          <w:color w:val="231F20"/>
          <w:spacing w:val="-10"/>
        </w:rPr>
        <w:t> </w:t>
      </w:r>
      <w:r>
        <w:rPr>
          <w:color w:val="231F20"/>
        </w:rPr>
        <w:t>pueden</w:t>
      </w:r>
      <w:r>
        <w:rPr>
          <w:color w:val="231F20"/>
          <w:spacing w:val="-9"/>
        </w:rPr>
        <w:t> </w:t>
      </w:r>
      <w:r>
        <w:rPr>
          <w:color w:val="231F20"/>
        </w:rPr>
        <w:t>ser</w:t>
      </w:r>
      <w:r>
        <w:rPr>
          <w:color w:val="231F20"/>
          <w:spacing w:val="-9"/>
        </w:rPr>
        <w:t> </w:t>
      </w:r>
      <w:r>
        <w:rPr>
          <w:color w:val="231F20"/>
        </w:rPr>
        <w:t>a</w:t>
      </w:r>
      <w:r>
        <w:rPr>
          <w:color w:val="231F20"/>
          <w:spacing w:val="-9"/>
        </w:rPr>
        <w:t> </w:t>
      </w:r>
      <w:r>
        <w:rPr>
          <w:color w:val="231F20"/>
        </w:rPr>
        <w:t>través</w:t>
      </w:r>
      <w:r>
        <w:rPr>
          <w:color w:val="231F20"/>
          <w:spacing w:val="-10"/>
        </w:rPr>
        <w:t> </w:t>
      </w:r>
      <w:r>
        <w:rPr>
          <w:color w:val="231F20"/>
        </w:rPr>
        <w:t>de</w:t>
      </w:r>
      <w:r>
        <w:rPr>
          <w:color w:val="231F20"/>
          <w:spacing w:val="-9"/>
        </w:rPr>
        <w:t> </w:t>
      </w:r>
      <w:r>
        <w:rPr>
          <w:color w:val="231F20"/>
        </w:rPr>
        <w:t>cultivos</w:t>
      </w:r>
      <w:r>
        <w:rPr>
          <w:color w:val="231F20"/>
          <w:spacing w:val="-10"/>
        </w:rPr>
        <w:t> </w:t>
      </w:r>
      <w:r>
        <w:rPr>
          <w:color w:val="231F20"/>
        </w:rPr>
        <w:t>(granos,</w:t>
      </w:r>
      <w:r>
        <w:rPr>
          <w:color w:val="231F20"/>
          <w:spacing w:val="-9"/>
        </w:rPr>
        <w:t> </w:t>
      </w:r>
      <w:r>
        <w:rPr>
          <w:color w:val="231F20"/>
        </w:rPr>
        <w:t>frutas</w:t>
      </w:r>
      <w:r>
        <w:rPr>
          <w:color w:val="231F20"/>
          <w:spacing w:val="-9"/>
        </w:rPr>
        <w:t> </w:t>
      </w:r>
      <w:r>
        <w:rPr>
          <w:color w:val="231F20"/>
        </w:rPr>
        <w:t>o</w:t>
      </w:r>
      <w:r>
        <w:rPr>
          <w:color w:val="231F20"/>
          <w:spacing w:val="-9"/>
        </w:rPr>
        <w:t> </w:t>
      </w:r>
      <w:r>
        <w:rPr>
          <w:color w:val="231F20"/>
        </w:rPr>
        <w:t>verduras),</w:t>
      </w:r>
      <w:r>
        <w:rPr>
          <w:color w:val="231F20"/>
          <w:spacing w:val="-9"/>
        </w:rPr>
        <w:t> </w:t>
      </w:r>
      <w:r>
        <w:rPr>
          <w:color w:val="231F20"/>
        </w:rPr>
        <w:t>o</w:t>
      </w:r>
      <w:r>
        <w:rPr>
          <w:color w:val="231F20"/>
          <w:spacing w:val="-9"/>
        </w:rPr>
        <w:t> </w:t>
      </w:r>
      <w:r>
        <w:rPr>
          <w:color w:val="231F20"/>
        </w:rPr>
        <w:t>animales</w:t>
      </w:r>
      <w:r>
        <w:rPr>
          <w:color w:val="231F20"/>
          <w:spacing w:val="-10"/>
        </w:rPr>
        <w:t> </w:t>
      </w:r>
      <w:r>
        <w:rPr>
          <w:color w:val="231F20"/>
        </w:rPr>
        <w:t>(carne, leche, huevo, piel, o lana) y se puede expresar en términos de rendimiento productivo o nutricional, o valor económico. En la Comarca Lagunera se ha duplicado en los últimos años la producción de forraje</w:t>
      </w:r>
      <w:r>
        <w:rPr>
          <w:color w:val="231F20"/>
          <w:spacing w:val="-4"/>
        </w:rPr>
        <w:t> </w:t>
      </w:r>
      <w:r>
        <w:rPr>
          <w:color w:val="231F20"/>
        </w:rPr>
        <w:t>debido</w:t>
      </w:r>
      <w:r>
        <w:rPr>
          <w:color w:val="231F20"/>
          <w:spacing w:val="-4"/>
        </w:rPr>
        <w:t> </w:t>
      </w:r>
      <w:r>
        <w:rPr>
          <w:color w:val="231F20"/>
        </w:rPr>
        <w:t>al</w:t>
      </w:r>
      <w:r>
        <w:rPr>
          <w:color w:val="231F20"/>
          <w:spacing w:val="-4"/>
        </w:rPr>
        <w:t> </w:t>
      </w:r>
      <w:r>
        <w:rPr>
          <w:color w:val="231F20"/>
        </w:rPr>
        <w:t>crecimiento</w:t>
      </w:r>
      <w:r>
        <w:rPr>
          <w:color w:val="231F20"/>
          <w:spacing w:val="-5"/>
        </w:rPr>
        <w:t> </w:t>
      </w:r>
      <w:r>
        <w:rPr>
          <w:color w:val="231F20"/>
        </w:rPr>
        <w:t>de</w:t>
      </w:r>
      <w:r>
        <w:rPr>
          <w:color w:val="231F20"/>
          <w:spacing w:val="-4"/>
        </w:rPr>
        <w:t> </w:t>
      </w:r>
      <w:r>
        <w:rPr>
          <w:color w:val="231F20"/>
        </w:rPr>
        <w:t>la</w:t>
      </w:r>
      <w:r>
        <w:rPr>
          <w:color w:val="231F20"/>
          <w:spacing w:val="-4"/>
        </w:rPr>
        <w:t> </w:t>
      </w:r>
      <w:r>
        <w:rPr>
          <w:color w:val="231F20"/>
        </w:rPr>
        <w:t>industria</w:t>
      </w:r>
      <w:r>
        <w:rPr>
          <w:color w:val="231F20"/>
          <w:spacing w:val="-5"/>
        </w:rPr>
        <w:t> </w:t>
      </w:r>
      <w:r>
        <w:rPr>
          <w:color w:val="231F20"/>
        </w:rPr>
        <w:t>lechera</w:t>
      </w:r>
      <w:r>
        <w:rPr>
          <w:color w:val="231F20"/>
          <w:spacing w:val="-4"/>
        </w:rPr>
        <w:t> </w:t>
      </w:r>
      <w:r>
        <w:rPr>
          <w:color w:val="231F20"/>
        </w:rPr>
        <w:t>especialmente</w:t>
      </w:r>
      <w:r>
        <w:rPr>
          <w:color w:val="231F20"/>
          <w:spacing w:val="-4"/>
        </w:rPr>
        <w:t> </w:t>
      </w:r>
      <w:r>
        <w:rPr>
          <w:color w:val="231F20"/>
        </w:rPr>
        <w:t>durante</w:t>
      </w:r>
      <w:r>
        <w:rPr>
          <w:color w:val="231F20"/>
          <w:spacing w:val="-4"/>
        </w:rPr>
        <w:t> </w:t>
      </w:r>
      <w:r>
        <w:rPr>
          <w:color w:val="231F20"/>
        </w:rPr>
        <w:t>el</w:t>
      </w:r>
      <w:r>
        <w:rPr>
          <w:color w:val="231F20"/>
          <w:spacing w:val="-4"/>
        </w:rPr>
        <w:t> </w:t>
      </w:r>
      <w:r>
        <w:rPr>
          <w:color w:val="231F20"/>
        </w:rPr>
        <w:t>periodo</w:t>
      </w:r>
      <w:r>
        <w:rPr>
          <w:color w:val="231F20"/>
          <w:spacing w:val="-4"/>
        </w:rPr>
        <w:t> </w:t>
      </w:r>
      <w:r>
        <w:rPr>
          <w:color w:val="231F20"/>
        </w:rPr>
        <w:t>invernal</w:t>
      </w:r>
      <w:r>
        <w:rPr>
          <w:color w:val="231F20"/>
          <w:spacing w:val="-5"/>
        </w:rPr>
        <w:t> </w:t>
      </w:r>
      <w:r>
        <w:rPr>
          <w:color w:val="231F20"/>
        </w:rPr>
        <w:t>cuan- do</w:t>
      </w:r>
      <w:r>
        <w:rPr>
          <w:color w:val="231F20"/>
          <w:spacing w:val="-8"/>
        </w:rPr>
        <w:t> </w:t>
      </w:r>
      <w:r>
        <w:rPr>
          <w:color w:val="231F20"/>
        </w:rPr>
        <w:t>el</w:t>
      </w:r>
      <w:r>
        <w:rPr>
          <w:color w:val="231F20"/>
          <w:spacing w:val="-8"/>
        </w:rPr>
        <w:t> </w:t>
      </w:r>
      <w:r>
        <w:rPr>
          <w:color w:val="231F20"/>
        </w:rPr>
        <w:t>descenso</w:t>
      </w:r>
      <w:r>
        <w:rPr>
          <w:color w:val="231F20"/>
          <w:spacing w:val="-8"/>
        </w:rPr>
        <w:t> </w:t>
      </w:r>
      <w:r>
        <w:rPr>
          <w:color w:val="231F20"/>
        </w:rPr>
        <w:t>de</w:t>
      </w:r>
      <w:r>
        <w:rPr>
          <w:color w:val="231F20"/>
          <w:spacing w:val="-8"/>
        </w:rPr>
        <w:t> </w:t>
      </w:r>
      <w:r>
        <w:rPr>
          <w:color w:val="231F20"/>
        </w:rPr>
        <w:t>temperatura</w:t>
      </w:r>
      <w:r>
        <w:rPr>
          <w:color w:val="231F20"/>
          <w:spacing w:val="-9"/>
        </w:rPr>
        <w:t> </w:t>
      </w:r>
      <w:r>
        <w:rPr>
          <w:color w:val="231F20"/>
        </w:rPr>
        <w:t>hace</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reduzca</w:t>
      </w:r>
      <w:r>
        <w:rPr>
          <w:color w:val="231F20"/>
          <w:spacing w:val="-8"/>
        </w:rPr>
        <w:t> </w:t>
      </w:r>
      <w:r>
        <w:rPr>
          <w:color w:val="231F20"/>
        </w:rPr>
        <w:t>la</w:t>
      </w:r>
      <w:r>
        <w:rPr>
          <w:color w:val="231F20"/>
          <w:spacing w:val="-8"/>
        </w:rPr>
        <w:t> </w:t>
      </w:r>
      <w:r>
        <w:rPr>
          <w:color w:val="231F20"/>
        </w:rPr>
        <w:t>producción</w:t>
      </w:r>
      <w:r>
        <w:rPr>
          <w:color w:val="231F20"/>
          <w:spacing w:val="-8"/>
        </w:rPr>
        <w:t> </w:t>
      </w:r>
      <w:r>
        <w:rPr>
          <w:color w:val="231F20"/>
        </w:rPr>
        <w:t>de</w:t>
      </w:r>
      <w:r>
        <w:rPr>
          <w:color w:val="231F20"/>
          <w:spacing w:val="-8"/>
        </w:rPr>
        <w:t> </w:t>
      </w:r>
      <w:r>
        <w:rPr>
          <w:color w:val="231F20"/>
        </w:rPr>
        <w:t>otros</w:t>
      </w:r>
      <w:r>
        <w:rPr>
          <w:color w:val="231F20"/>
          <w:spacing w:val="-8"/>
        </w:rPr>
        <w:t> </w:t>
      </w:r>
      <w:r>
        <w:rPr>
          <w:color w:val="231F20"/>
        </w:rPr>
        <w:t>cultivos</w:t>
      </w:r>
      <w:r>
        <w:rPr>
          <w:color w:val="231F20"/>
          <w:spacing w:val="-9"/>
        </w:rPr>
        <w:t> </w:t>
      </w:r>
      <w:r>
        <w:rPr>
          <w:color w:val="231F20"/>
        </w:rPr>
        <w:t>forrajeros</w:t>
      </w:r>
      <w:r>
        <w:rPr>
          <w:color w:val="231F20"/>
          <w:spacing w:val="-8"/>
        </w:rPr>
        <w:t> </w:t>
      </w:r>
      <w:r>
        <w:rPr>
          <w:color w:val="231F20"/>
        </w:rPr>
        <w:t>como</w:t>
      </w:r>
      <w:r>
        <w:rPr>
          <w:color w:val="231F20"/>
          <w:spacing w:val="-9"/>
        </w:rPr>
        <w:t> </w:t>
      </w:r>
      <w:r>
        <w:rPr>
          <w:color w:val="231F20"/>
        </w:rPr>
        <w:t>la alfalfa</w:t>
      </w:r>
      <w:r>
        <w:rPr>
          <w:color w:val="231F20"/>
          <w:spacing w:val="-3"/>
        </w:rPr>
        <w:t> </w:t>
      </w:r>
      <w:r>
        <w:rPr>
          <w:color w:val="231F20"/>
        </w:rPr>
        <w:t>y</w:t>
      </w:r>
      <w:r>
        <w:rPr>
          <w:color w:val="231F20"/>
          <w:spacing w:val="-3"/>
        </w:rPr>
        <w:t> </w:t>
      </w:r>
      <w:r>
        <w:rPr>
          <w:color w:val="231F20"/>
        </w:rPr>
        <w:t>el</w:t>
      </w:r>
      <w:r>
        <w:rPr>
          <w:color w:val="231F20"/>
          <w:spacing w:val="-3"/>
        </w:rPr>
        <w:t> </w:t>
      </w:r>
      <w:r>
        <w:rPr>
          <w:color w:val="231F20"/>
        </w:rPr>
        <w:t>sorgo</w:t>
      </w:r>
      <w:r>
        <w:rPr>
          <w:color w:val="231F20"/>
          <w:spacing w:val="-3"/>
        </w:rPr>
        <w:t> </w:t>
      </w:r>
      <w:r>
        <w:rPr>
          <w:color w:val="231F20"/>
        </w:rPr>
        <w:t>forrajero.</w:t>
      </w:r>
      <w:r>
        <w:rPr>
          <w:color w:val="231F20"/>
          <w:spacing w:val="-3"/>
        </w:rPr>
        <w:t> </w:t>
      </w:r>
      <w:r>
        <w:rPr>
          <w:color w:val="231F20"/>
        </w:rPr>
        <w:t>Una</w:t>
      </w:r>
      <w:r>
        <w:rPr>
          <w:color w:val="231F20"/>
          <w:spacing w:val="-3"/>
        </w:rPr>
        <w:t> </w:t>
      </w:r>
      <w:r>
        <w:rPr>
          <w:color w:val="231F20"/>
        </w:rPr>
        <w:t>de</w:t>
      </w:r>
      <w:r>
        <w:rPr>
          <w:color w:val="231F20"/>
          <w:spacing w:val="-3"/>
        </w:rPr>
        <w:t> </w:t>
      </w:r>
      <w:r>
        <w:rPr>
          <w:color w:val="231F20"/>
        </w:rPr>
        <w:t>los</w:t>
      </w:r>
      <w:r>
        <w:rPr>
          <w:color w:val="231F20"/>
          <w:spacing w:val="-3"/>
        </w:rPr>
        <w:t> </w:t>
      </w:r>
      <w:r>
        <w:rPr>
          <w:color w:val="231F20"/>
        </w:rPr>
        <w:t>cultivos</w:t>
      </w:r>
      <w:r>
        <w:rPr>
          <w:color w:val="231F20"/>
          <w:spacing w:val="-4"/>
        </w:rPr>
        <w:t> </w:t>
      </w:r>
      <w:r>
        <w:rPr>
          <w:color w:val="231F20"/>
        </w:rPr>
        <w:t>utilizados</w:t>
      </w:r>
      <w:r>
        <w:rPr>
          <w:color w:val="231F20"/>
          <w:spacing w:val="-3"/>
        </w:rPr>
        <w:t> </w:t>
      </w:r>
      <w:r>
        <w:rPr>
          <w:color w:val="231F20"/>
        </w:rPr>
        <w:t>es</w:t>
      </w:r>
      <w:r>
        <w:rPr>
          <w:color w:val="231F20"/>
          <w:spacing w:val="-3"/>
        </w:rPr>
        <w:t> </w:t>
      </w:r>
      <w:r>
        <w:rPr>
          <w:color w:val="231F20"/>
        </w:rPr>
        <w:t>el</w:t>
      </w:r>
      <w:r>
        <w:rPr>
          <w:color w:val="231F20"/>
          <w:spacing w:val="-3"/>
        </w:rPr>
        <w:t> Rye </w:t>
      </w:r>
      <w:r>
        <w:rPr>
          <w:color w:val="231F20"/>
        </w:rPr>
        <w:t>grass,</w:t>
      </w:r>
      <w:r>
        <w:rPr>
          <w:color w:val="231F20"/>
          <w:spacing w:val="-3"/>
        </w:rPr>
        <w:t> </w:t>
      </w:r>
      <w:r>
        <w:rPr>
          <w:color w:val="231F20"/>
        </w:rPr>
        <w:t>ya</w:t>
      </w:r>
      <w:r>
        <w:rPr>
          <w:color w:val="231F20"/>
          <w:spacing w:val="-3"/>
        </w:rPr>
        <w:t> </w:t>
      </w:r>
      <w:r>
        <w:rPr>
          <w:color w:val="231F20"/>
        </w:rPr>
        <w:t>que</w:t>
      </w:r>
      <w:r>
        <w:rPr>
          <w:color w:val="231F20"/>
          <w:spacing w:val="-3"/>
        </w:rPr>
        <w:t> </w:t>
      </w:r>
      <w:r>
        <w:rPr>
          <w:color w:val="231F20"/>
        </w:rPr>
        <w:t>tiene</w:t>
      </w:r>
      <w:r>
        <w:rPr>
          <w:color w:val="231F20"/>
          <w:spacing w:val="-3"/>
        </w:rPr>
        <w:t> </w:t>
      </w:r>
      <w:r>
        <w:rPr>
          <w:color w:val="231F20"/>
        </w:rPr>
        <w:t>buenos</w:t>
      </w:r>
      <w:r>
        <w:rPr>
          <w:color w:val="231F20"/>
          <w:spacing w:val="-3"/>
        </w:rPr>
        <w:t> </w:t>
      </w:r>
      <w:r>
        <w:rPr>
          <w:color w:val="231F20"/>
        </w:rPr>
        <w:t>rendi- mientos</w:t>
      </w:r>
      <w:r>
        <w:rPr>
          <w:color w:val="231F20"/>
          <w:spacing w:val="-11"/>
        </w:rPr>
        <w:t> </w:t>
      </w:r>
      <w:r>
        <w:rPr>
          <w:color w:val="231F20"/>
        </w:rPr>
        <w:t>y</w:t>
      </w:r>
      <w:r>
        <w:rPr>
          <w:color w:val="231F20"/>
          <w:spacing w:val="-10"/>
        </w:rPr>
        <w:t> </w:t>
      </w:r>
      <w:r>
        <w:rPr>
          <w:color w:val="231F20"/>
        </w:rPr>
        <w:t>calidad</w:t>
      </w:r>
      <w:r>
        <w:rPr>
          <w:color w:val="231F20"/>
          <w:spacing w:val="-11"/>
        </w:rPr>
        <w:t> </w:t>
      </w:r>
      <w:r>
        <w:rPr>
          <w:color w:val="231F20"/>
        </w:rPr>
        <w:t>en</w:t>
      </w:r>
      <w:r>
        <w:rPr>
          <w:color w:val="231F20"/>
          <w:spacing w:val="-10"/>
        </w:rPr>
        <w:t> </w:t>
      </w:r>
      <w:r>
        <w:rPr>
          <w:color w:val="231F20"/>
        </w:rPr>
        <w:t>esta</w:t>
      </w:r>
      <w:r>
        <w:rPr>
          <w:color w:val="231F20"/>
          <w:spacing w:val="-10"/>
        </w:rPr>
        <w:t> </w:t>
      </w:r>
      <w:r>
        <w:rPr>
          <w:color w:val="231F20"/>
        </w:rPr>
        <w:t>época</w:t>
      </w:r>
      <w:r>
        <w:rPr>
          <w:color w:val="231F20"/>
          <w:spacing w:val="-10"/>
        </w:rPr>
        <w:t> </w:t>
      </w:r>
      <w:r>
        <w:rPr>
          <w:color w:val="231F20"/>
        </w:rPr>
        <w:t>del</w:t>
      </w:r>
      <w:r>
        <w:rPr>
          <w:color w:val="231F20"/>
          <w:spacing w:val="-10"/>
        </w:rPr>
        <w:t> </w:t>
      </w:r>
      <w:r>
        <w:rPr>
          <w:color w:val="231F20"/>
        </w:rPr>
        <w:t>año,</w:t>
      </w:r>
      <w:r>
        <w:rPr>
          <w:color w:val="231F20"/>
          <w:spacing w:val="-10"/>
        </w:rPr>
        <w:t> </w:t>
      </w:r>
      <w:r>
        <w:rPr>
          <w:color w:val="231F20"/>
        </w:rPr>
        <w:t>presenta</w:t>
      </w:r>
      <w:r>
        <w:rPr>
          <w:color w:val="231F20"/>
          <w:spacing w:val="-10"/>
        </w:rPr>
        <w:t> </w:t>
      </w:r>
      <w:r>
        <w:rPr>
          <w:color w:val="231F20"/>
        </w:rPr>
        <w:t>bajo</w:t>
      </w:r>
      <w:r>
        <w:rPr>
          <w:color w:val="231F20"/>
          <w:spacing w:val="-10"/>
        </w:rPr>
        <w:t> </w:t>
      </w:r>
      <w:r>
        <w:rPr>
          <w:color w:val="231F20"/>
        </w:rPr>
        <w:t>consumo</w:t>
      </w:r>
      <w:r>
        <w:rPr>
          <w:color w:val="231F20"/>
          <w:spacing w:val="-11"/>
        </w:rPr>
        <w:t> </w:t>
      </w:r>
      <w:r>
        <w:rPr>
          <w:color w:val="231F20"/>
        </w:rPr>
        <w:t>de</w:t>
      </w:r>
      <w:r>
        <w:rPr>
          <w:color w:val="231F20"/>
          <w:spacing w:val="-10"/>
        </w:rPr>
        <w:t> </w:t>
      </w:r>
      <w:r>
        <w:rPr>
          <w:color w:val="231F20"/>
        </w:rPr>
        <w:t>agua</w:t>
      </w:r>
      <w:r>
        <w:rPr>
          <w:color w:val="231F20"/>
          <w:spacing w:val="-10"/>
        </w:rPr>
        <w:t> </w:t>
      </w:r>
      <w:r>
        <w:rPr>
          <w:color w:val="231F20"/>
        </w:rPr>
        <w:t>(Esquivel,</w:t>
      </w:r>
      <w:r>
        <w:rPr>
          <w:color w:val="231F20"/>
          <w:spacing w:val="-22"/>
        </w:rPr>
        <w:t> </w:t>
      </w:r>
      <w:r>
        <w:rPr>
          <w:color w:val="231F20"/>
        </w:rPr>
        <w:t>Arévalo</w:t>
      </w:r>
      <w:r>
        <w:rPr>
          <w:color w:val="231F20"/>
          <w:spacing w:val="-10"/>
        </w:rPr>
        <w:t> </w:t>
      </w:r>
      <w:r>
        <w:rPr>
          <w:color w:val="231F20"/>
        </w:rPr>
        <w:t>y</w:t>
      </w:r>
      <w:r>
        <w:rPr>
          <w:color w:val="231F20"/>
          <w:spacing w:val="-10"/>
        </w:rPr>
        <w:t> </w:t>
      </w:r>
      <w:r>
        <w:rPr>
          <w:color w:val="231F20"/>
        </w:rPr>
        <w:t>Padilla, 2000). Por ello el objetivo de este trabajo fue la determinación de la productividad física, monetaria y social del rye grass en el Distrito de Riego – 017, producido a escala comercial.</w:t>
      </w:r>
    </w:p>
    <w:p>
      <w:pPr>
        <w:pStyle w:val="BodyText"/>
        <w:rPr>
          <w:sz w:val="20"/>
        </w:rPr>
      </w:pPr>
    </w:p>
    <w:p>
      <w:pPr>
        <w:pStyle w:val="BodyText"/>
        <w:spacing w:before="7"/>
        <w:rPr>
          <w:sz w:val="17"/>
        </w:rPr>
      </w:pPr>
    </w:p>
    <w:p>
      <w:pPr>
        <w:spacing w:line="247" w:lineRule="auto" w:before="0"/>
        <w:ind w:left="1270" w:right="1267" w:firstLine="0"/>
        <w:jc w:val="both"/>
        <w:rPr>
          <w:rFonts w:ascii="Trebuchet MS" w:hAnsi="Trebuchet MS"/>
          <w:sz w:val="16"/>
        </w:rPr>
      </w:pPr>
      <w:r>
        <w:rPr>
          <w:rFonts w:ascii="Trebuchet MS" w:hAnsi="Trebuchet MS"/>
          <w:color w:val="231F20"/>
          <w:position w:val="5"/>
          <w:sz w:val="9"/>
        </w:rPr>
        <w:t>1</w:t>
      </w:r>
      <w:r>
        <w:rPr>
          <w:rFonts w:ascii="Trebuchet MS" w:hAnsi="Trebuchet MS"/>
          <w:color w:val="231F20"/>
          <w:sz w:val="16"/>
        </w:rPr>
        <w:t>Unidad Regional Universitaria de Zonas Áridas, Universidad Autónoma Chapingo. Bermejillo, Durango. E-mail: </w:t>
      </w:r>
      <w:hyperlink r:id="rId68">
        <w:r>
          <w:rPr>
            <w:rFonts w:ascii="Trebuchet MS" w:hAnsi="Trebuchet MS"/>
            <w:color w:val="231F20"/>
            <w:sz w:val="16"/>
          </w:rPr>
          <w:t>j.rf2005@hotmail.com</w:t>
        </w:r>
      </w:hyperlink>
      <w:r>
        <w:rPr>
          <w:rFonts w:ascii="Trebuchet MS" w:hAnsi="Trebuchet MS"/>
          <w:color w:val="231F20"/>
          <w:sz w:val="16"/>
        </w:rPr>
        <w:t> </w:t>
      </w:r>
      <w:r>
        <w:rPr>
          <w:rFonts w:ascii="Trebuchet MS" w:hAnsi="Trebuchet MS"/>
          <w:color w:val="231F20"/>
          <w:position w:val="5"/>
          <w:sz w:val="9"/>
        </w:rPr>
        <w:t>2</w:t>
      </w:r>
      <w:r>
        <w:rPr>
          <w:rFonts w:ascii="Trebuchet MS" w:hAnsi="Trebuchet MS"/>
          <w:color w:val="231F20"/>
          <w:sz w:val="16"/>
        </w:rPr>
        <w:t>SAGARPA, Delegación-Región Lagunera-Subdelegación de Planeación y Desarrollo Rural, Cd. Lerdo, Dgo., México.</w:t>
      </w:r>
    </w:p>
    <w:p>
      <w:pPr>
        <w:spacing w:after="0" w:line="247" w:lineRule="auto"/>
        <w:jc w:val="both"/>
        <w:rPr>
          <w:rFonts w:ascii="Trebuchet MS" w:hAnsi="Trebuchet MS"/>
          <w:sz w:val="16"/>
        </w:rPr>
        <w:sectPr>
          <w:pgSz w:w="10920" w:h="13080"/>
          <w:pgMar w:header="0" w:footer="965" w:top="420" w:bottom="1220" w:left="0" w:right="0"/>
        </w:sectPr>
      </w:pPr>
    </w:p>
    <w:p>
      <w:pPr>
        <w:pStyle w:val="BodyText"/>
        <w:rPr>
          <w:rFonts w:ascii="Trebuchet MS"/>
          <w:sz w:val="20"/>
        </w:rPr>
      </w:pPr>
    </w:p>
    <w:p>
      <w:pPr>
        <w:pStyle w:val="BodyText"/>
        <w:rPr>
          <w:rFonts w:ascii="Trebuchet MS"/>
          <w:sz w:val="20"/>
        </w:rPr>
      </w:pPr>
    </w:p>
    <w:p>
      <w:pPr>
        <w:pStyle w:val="BodyText"/>
        <w:spacing w:before="9"/>
        <w:rPr>
          <w:rFonts w:ascii="Trebuchet MS"/>
        </w:rPr>
      </w:pPr>
    </w:p>
    <w:p>
      <w:pPr>
        <w:pStyle w:val="Heading3"/>
        <w:spacing w:before="69"/>
      </w:pPr>
      <w:r>
        <w:rPr>
          <w:color w:val="010202"/>
        </w:rPr>
        <w:t>Materiales y métodos</w:t>
      </w:r>
    </w:p>
    <w:p>
      <w:pPr>
        <w:pStyle w:val="BodyText"/>
        <w:spacing w:before="10"/>
        <w:rPr>
          <w:b/>
        </w:rPr>
      </w:pPr>
    </w:p>
    <w:p>
      <w:pPr>
        <w:pStyle w:val="BodyText"/>
        <w:spacing w:line="247" w:lineRule="auto"/>
        <w:ind w:left="1270" w:right="1268"/>
        <w:jc w:val="both"/>
      </w:pPr>
      <w:r>
        <w:rPr>
          <w:color w:val="231F20"/>
        </w:rPr>
        <w:t>Para</w:t>
      </w:r>
      <w:r>
        <w:rPr>
          <w:color w:val="231F20"/>
          <w:spacing w:val="-7"/>
        </w:rPr>
        <w:t> </w:t>
      </w:r>
      <w:r>
        <w:rPr>
          <w:color w:val="231F20"/>
        </w:rPr>
        <w:t>el</w:t>
      </w:r>
      <w:r>
        <w:rPr>
          <w:color w:val="231F20"/>
          <w:spacing w:val="-7"/>
        </w:rPr>
        <w:t> </w:t>
      </w:r>
      <w:r>
        <w:rPr>
          <w:color w:val="231F20"/>
        </w:rPr>
        <w:t>Distrito</w:t>
      </w:r>
      <w:r>
        <w:rPr>
          <w:color w:val="231F20"/>
          <w:spacing w:val="-7"/>
        </w:rPr>
        <w:t> </w:t>
      </w:r>
      <w:r>
        <w:rPr>
          <w:color w:val="231F20"/>
        </w:rPr>
        <w:t>de</w:t>
      </w:r>
      <w:r>
        <w:rPr>
          <w:color w:val="231F20"/>
          <w:spacing w:val="-7"/>
        </w:rPr>
        <w:t> </w:t>
      </w:r>
      <w:r>
        <w:rPr>
          <w:color w:val="231F20"/>
        </w:rPr>
        <w:t>Riego</w:t>
      </w:r>
      <w:r>
        <w:rPr>
          <w:color w:val="231F20"/>
          <w:spacing w:val="-7"/>
        </w:rPr>
        <w:t> </w:t>
      </w:r>
      <w:r>
        <w:rPr>
          <w:color w:val="231F20"/>
        </w:rPr>
        <w:t>(DR)</w:t>
      </w:r>
      <w:r>
        <w:rPr>
          <w:color w:val="231F20"/>
          <w:spacing w:val="-7"/>
        </w:rPr>
        <w:t> </w:t>
      </w:r>
      <w:r>
        <w:rPr>
          <w:color w:val="231F20"/>
        </w:rPr>
        <w:t>017</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Comarca</w:t>
      </w:r>
      <w:r>
        <w:rPr>
          <w:color w:val="231F20"/>
          <w:spacing w:val="-7"/>
        </w:rPr>
        <w:t> </w:t>
      </w:r>
      <w:r>
        <w:rPr>
          <w:color w:val="231F20"/>
        </w:rPr>
        <w:t>Lagunera,</w:t>
      </w:r>
      <w:r>
        <w:rPr>
          <w:color w:val="231F20"/>
          <w:spacing w:val="-7"/>
        </w:rPr>
        <w:t> </w:t>
      </w:r>
      <w:r>
        <w:rPr>
          <w:color w:val="231F20"/>
        </w:rPr>
        <w:t>se</w:t>
      </w:r>
      <w:r>
        <w:rPr>
          <w:color w:val="231F20"/>
          <w:spacing w:val="-7"/>
        </w:rPr>
        <w:t> </w:t>
      </w:r>
      <w:r>
        <w:rPr>
          <w:color w:val="231F20"/>
        </w:rPr>
        <w:t>utilizaron</w:t>
      </w:r>
      <w:r>
        <w:rPr>
          <w:color w:val="231F20"/>
          <w:spacing w:val="-7"/>
        </w:rPr>
        <w:t> </w:t>
      </w:r>
      <w:r>
        <w:rPr>
          <w:color w:val="231F20"/>
        </w:rPr>
        <w:t>como</w:t>
      </w:r>
      <w:r>
        <w:rPr>
          <w:color w:val="231F20"/>
          <w:spacing w:val="-7"/>
        </w:rPr>
        <w:t> </w:t>
      </w:r>
      <w:r>
        <w:rPr>
          <w:color w:val="231F20"/>
        </w:rPr>
        <w:t>datos</w:t>
      </w:r>
      <w:r>
        <w:rPr>
          <w:color w:val="231F20"/>
          <w:spacing w:val="-7"/>
        </w:rPr>
        <w:t> </w:t>
      </w:r>
      <w:r>
        <w:rPr>
          <w:color w:val="231F20"/>
        </w:rPr>
        <w:t>base,</w:t>
      </w:r>
      <w:r>
        <w:rPr>
          <w:color w:val="231F20"/>
          <w:spacing w:val="-7"/>
        </w:rPr>
        <w:t> </w:t>
      </w:r>
      <w:r>
        <w:rPr>
          <w:color w:val="231F20"/>
        </w:rPr>
        <w:t>median- te</w:t>
      </w:r>
      <w:r>
        <w:rPr>
          <w:color w:val="231F20"/>
          <w:spacing w:val="-8"/>
        </w:rPr>
        <w:t> </w:t>
      </w:r>
      <w:r>
        <w:rPr>
          <w:color w:val="231F20"/>
        </w:rPr>
        <w:t>los</w:t>
      </w:r>
      <w:r>
        <w:rPr>
          <w:color w:val="231F20"/>
          <w:spacing w:val="-8"/>
        </w:rPr>
        <w:t> </w:t>
      </w:r>
      <w:r>
        <w:rPr>
          <w:color w:val="231F20"/>
        </w:rPr>
        <w:t>cuales</w:t>
      </w:r>
      <w:r>
        <w:rPr>
          <w:color w:val="231F20"/>
          <w:spacing w:val="-8"/>
        </w:rPr>
        <w:t> </w:t>
      </w:r>
      <w:r>
        <w:rPr>
          <w:color w:val="231F20"/>
        </w:rPr>
        <w:t>se</w:t>
      </w:r>
      <w:r>
        <w:rPr>
          <w:color w:val="231F20"/>
          <w:spacing w:val="-8"/>
        </w:rPr>
        <w:t> </w:t>
      </w:r>
      <w:r>
        <w:rPr>
          <w:color w:val="231F20"/>
        </w:rPr>
        <w:t>obtuvieron</w:t>
      </w:r>
      <w:r>
        <w:rPr>
          <w:color w:val="231F20"/>
          <w:spacing w:val="-8"/>
        </w:rPr>
        <w:t> </w:t>
      </w:r>
      <w:r>
        <w:rPr>
          <w:color w:val="231F20"/>
        </w:rPr>
        <w:t>todas</w:t>
      </w:r>
      <w:r>
        <w:rPr>
          <w:color w:val="231F20"/>
          <w:spacing w:val="-8"/>
        </w:rPr>
        <w:t> </w:t>
      </w:r>
      <w:r>
        <w:rPr>
          <w:color w:val="231F20"/>
        </w:rPr>
        <w:t>y</w:t>
      </w:r>
      <w:r>
        <w:rPr>
          <w:color w:val="231F20"/>
          <w:spacing w:val="-8"/>
        </w:rPr>
        <w:t> </w:t>
      </w:r>
      <w:r>
        <w:rPr>
          <w:color w:val="231F20"/>
        </w:rPr>
        <w:t>cada</w:t>
      </w:r>
      <w:r>
        <w:rPr>
          <w:color w:val="231F20"/>
          <w:spacing w:val="-8"/>
        </w:rPr>
        <w:t> </w:t>
      </w:r>
      <w:r>
        <w:rPr>
          <w:color w:val="231F20"/>
        </w:rPr>
        <w:t>una</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demás</w:t>
      </w:r>
      <w:r>
        <w:rPr>
          <w:color w:val="231F20"/>
          <w:spacing w:val="-8"/>
        </w:rPr>
        <w:t> </w:t>
      </w:r>
      <w:r>
        <w:rPr>
          <w:color w:val="231F20"/>
        </w:rPr>
        <w:t>variables,</w:t>
      </w:r>
      <w:r>
        <w:rPr>
          <w:color w:val="231F20"/>
          <w:spacing w:val="-8"/>
        </w:rPr>
        <w:t> </w:t>
      </w:r>
      <w:r>
        <w:rPr>
          <w:color w:val="231F20"/>
        </w:rPr>
        <w:t>fueron</w:t>
      </w:r>
      <w:r>
        <w:rPr>
          <w:color w:val="231F20"/>
          <w:spacing w:val="-8"/>
        </w:rPr>
        <w:t> </w:t>
      </w:r>
      <w:r>
        <w:rPr>
          <w:color w:val="231F20"/>
        </w:rPr>
        <w:t>las</w:t>
      </w:r>
      <w:r>
        <w:rPr>
          <w:color w:val="231F20"/>
          <w:spacing w:val="-8"/>
        </w:rPr>
        <w:t> </w:t>
      </w:r>
      <w:r>
        <w:rPr>
          <w:color w:val="231F20"/>
        </w:rPr>
        <w:t>cifras</w:t>
      </w:r>
      <w:r>
        <w:rPr>
          <w:color w:val="231F20"/>
          <w:spacing w:val="-8"/>
        </w:rPr>
        <w:t> </w:t>
      </w:r>
      <w:r>
        <w:rPr>
          <w:color w:val="231F20"/>
        </w:rPr>
        <w:t>de</w:t>
      </w:r>
      <w:r>
        <w:rPr>
          <w:color w:val="231F20"/>
          <w:spacing w:val="-8"/>
        </w:rPr>
        <w:t> </w:t>
      </w:r>
      <w:r>
        <w:rPr>
          <w:color w:val="231F20"/>
        </w:rPr>
        <w:t>superficie</w:t>
      </w:r>
      <w:r>
        <w:rPr>
          <w:color w:val="231F20"/>
          <w:spacing w:val="-8"/>
        </w:rPr>
        <w:t> </w:t>
      </w:r>
      <w:r>
        <w:rPr>
          <w:color w:val="231F20"/>
        </w:rPr>
        <w:t>co- sechada,</w:t>
      </w:r>
      <w:r>
        <w:rPr>
          <w:color w:val="231F20"/>
          <w:spacing w:val="-7"/>
        </w:rPr>
        <w:t> </w:t>
      </w:r>
      <w:r>
        <w:rPr>
          <w:color w:val="231F20"/>
        </w:rPr>
        <w:t>producción</w:t>
      </w:r>
      <w:r>
        <w:rPr>
          <w:color w:val="231F20"/>
          <w:spacing w:val="-7"/>
        </w:rPr>
        <w:t> </w:t>
      </w:r>
      <w:r>
        <w:rPr>
          <w:color w:val="231F20"/>
        </w:rPr>
        <w:t>física</w:t>
      </w:r>
      <w:r>
        <w:rPr>
          <w:color w:val="231F20"/>
          <w:spacing w:val="-7"/>
        </w:rPr>
        <w:t> </w:t>
      </w:r>
      <w:r>
        <w:rPr>
          <w:color w:val="231F20"/>
        </w:rPr>
        <w:t>anual,</w:t>
      </w:r>
      <w:r>
        <w:rPr>
          <w:color w:val="231F20"/>
          <w:spacing w:val="-10"/>
        </w:rPr>
        <w:t> </w:t>
      </w:r>
      <w:r>
        <w:rPr>
          <w:color w:val="231F20"/>
          <w:spacing w:val="-5"/>
        </w:rPr>
        <w:t>Valor</w:t>
      </w:r>
      <w:r>
        <w:rPr>
          <w:color w:val="231F20"/>
          <w:spacing w:val="-7"/>
        </w:rPr>
        <w:t> </w:t>
      </w:r>
      <w:r>
        <w:rPr>
          <w:color w:val="231F20"/>
        </w:rPr>
        <w:t>Bruto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Producción</w:t>
      </w:r>
      <w:r>
        <w:rPr>
          <w:color w:val="231F20"/>
          <w:spacing w:val="-7"/>
        </w:rPr>
        <w:t> </w:t>
      </w:r>
      <w:r>
        <w:rPr>
          <w:color w:val="231F20"/>
        </w:rPr>
        <w:t>(VBP),</w:t>
      </w:r>
      <w:r>
        <w:rPr>
          <w:color w:val="231F20"/>
          <w:spacing w:val="-7"/>
        </w:rPr>
        <w:t> </w:t>
      </w:r>
      <w:r>
        <w:rPr>
          <w:color w:val="231F20"/>
        </w:rPr>
        <w:t>costos</w:t>
      </w:r>
      <w:r>
        <w:rPr>
          <w:color w:val="231F20"/>
          <w:spacing w:val="-7"/>
        </w:rPr>
        <w:t> </w:t>
      </w:r>
      <w:r>
        <w:rPr>
          <w:color w:val="231F20"/>
        </w:rPr>
        <w:t>por</w:t>
      </w:r>
      <w:r>
        <w:rPr>
          <w:color w:val="231F20"/>
          <w:spacing w:val="-7"/>
        </w:rPr>
        <w:t> </w:t>
      </w:r>
      <w:r>
        <w:rPr>
          <w:color w:val="231F20"/>
        </w:rPr>
        <w:t>hectárea</w:t>
      </w:r>
      <w:r>
        <w:rPr>
          <w:color w:val="231F20"/>
          <w:spacing w:val="-7"/>
        </w:rPr>
        <w:t> </w:t>
      </w:r>
      <w:r>
        <w:rPr>
          <w:color w:val="231F20"/>
        </w:rPr>
        <w:t>y</w:t>
      </w:r>
      <w:r>
        <w:rPr>
          <w:color w:val="231F20"/>
          <w:spacing w:val="-7"/>
        </w:rPr>
        <w:t> </w:t>
      </w:r>
      <w:r>
        <w:rPr>
          <w:color w:val="231F20"/>
        </w:rPr>
        <w:t>número de jornales por hectárea reportados por los Anuarios Estadísticos de la Producción Agropecuaria   de </w:t>
      </w:r>
      <w:r>
        <w:rPr>
          <w:color w:val="231F20"/>
          <w:spacing w:val="-3"/>
        </w:rPr>
        <w:t>SAGARPA, </w:t>
      </w:r>
      <w:r>
        <w:rPr>
          <w:color w:val="231F20"/>
        </w:rPr>
        <w:t>Delegación La Laguna, Ciudad Lerdo, Durango, México. Como segunda fuente de información, se obtuvieron las láminas de riego usuales para el productor regional, en el CENID- </w:t>
      </w:r>
      <w:r>
        <w:rPr>
          <w:color w:val="231F20"/>
          <w:spacing w:val="-5"/>
        </w:rPr>
        <w:t>RASPA-INIFAP. </w:t>
      </w:r>
      <w:r>
        <w:rPr>
          <w:color w:val="231F20"/>
        </w:rPr>
        <w:t>Centro Nacional de Investigación Disciplinaria en Relación Agua, Suelo, Planta, Atmósfera.</w:t>
      </w:r>
    </w:p>
    <w:p>
      <w:pPr>
        <w:pStyle w:val="BodyText"/>
        <w:spacing w:before="10"/>
      </w:pPr>
    </w:p>
    <w:p>
      <w:pPr>
        <w:pStyle w:val="BodyText"/>
        <w:ind w:left="1270"/>
        <w:jc w:val="both"/>
      </w:pPr>
      <w:r>
        <w:rPr>
          <w:color w:val="231F20"/>
        </w:rPr>
        <w:t>Se evaluaron once variables independientes:</w:t>
      </w:r>
    </w:p>
    <w:p>
      <w:pPr>
        <w:pStyle w:val="ListParagraph"/>
        <w:numPr>
          <w:ilvl w:val="1"/>
          <w:numId w:val="12"/>
        </w:numPr>
        <w:tabs>
          <w:tab w:pos="1991" w:val="left" w:leader="none"/>
        </w:tabs>
        <w:spacing w:line="240" w:lineRule="auto" w:before="9" w:after="0"/>
        <w:ind w:left="1990" w:right="0" w:hanging="340"/>
        <w:jc w:val="left"/>
        <w:rPr>
          <w:sz w:val="21"/>
        </w:rPr>
      </w:pPr>
      <w:r>
        <w:rPr/>
        <w:pict>
          <v:shape style="position:absolute;margin-left:423.312286pt;margin-top:8.823418pt;width:3.1pt;height:6.15pt;mso-position-horizontal-relative:page;mso-position-vertical-relative:paragraph;z-index:-206488" type="#_x0000_t202" filled="false" stroked="false">
            <v:textbox inset="0,0,0,0">
              <w:txbxContent>
                <w:p>
                  <w:pPr>
                    <w:spacing w:line="122" w:lineRule="exact" w:before="0"/>
                    <w:ind w:left="0" w:right="0" w:firstLine="0"/>
                    <w:jc w:val="left"/>
                    <w:rPr>
                      <w:sz w:val="12"/>
                    </w:rPr>
                  </w:pPr>
                  <w:r>
                    <w:rPr>
                      <w:color w:val="231F20"/>
                      <w:w w:val="102"/>
                      <w:sz w:val="12"/>
                    </w:rPr>
                    <w:t>1</w:t>
                  </w:r>
                </w:p>
              </w:txbxContent>
            </v:textbox>
            <w10:wrap type="none"/>
          </v:shape>
        </w:pict>
      </w:r>
      <w:r>
        <w:rPr>
          <w:color w:val="231F20"/>
          <w:sz w:val="21"/>
        </w:rPr>
        <w:t>M</w:t>
      </w:r>
      <w:r>
        <w:rPr>
          <w:color w:val="231F20"/>
          <w:position w:val="7"/>
          <w:sz w:val="12"/>
        </w:rPr>
        <w:t>3  </w:t>
      </w:r>
      <w:r>
        <w:rPr>
          <w:color w:val="231F20"/>
          <w:sz w:val="21"/>
        </w:rPr>
        <w:t>de agua utilizados, necesarios para producir un kilogramo de producto (Y</w:t>
      </w:r>
      <w:r>
        <w:rPr>
          <w:color w:val="231F20"/>
          <w:spacing w:val="-4"/>
          <w:sz w:val="21"/>
        </w:rPr>
        <w:t> </w:t>
      </w:r>
      <w:r>
        <w:rPr>
          <w:color w:val="231F20"/>
          <w:sz w:val="21"/>
        </w:rPr>
        <w:t>)</w:t>
      </w:r>
    </w:p>
    <w:p>
      <w:pPr>
        <w:pStyle w:val="ListParagraph"/>
        <w:numPr>
          <w:ilvl w:val="1"/>
          <w:numId w:val="12"/>
        </w:numPr>
        <w:tabs>
          <w:tab w:pos="1991" w:val="left" w:leader="none"/>
        </w:tabs>
        <w:spacing w:line="240" w:lineRule="auto" w:before="8" w:after="0"/>
        <w:ind w:left="1990" w:right="0" w:hanging="340"/>
        <w:jc w:val="left"/>
        <w:rPr>
          <w:sz w:val="21"/>
        </w:rPr>
      </w:pPr>
      <w:r>
        <w:rPr/>
        <w:pict>
          <v:shape style="position:absolute;margin-left:447.808899pt;margin-top:8.778422pt;width:3.1pt;height:6.15pt;mso-position-horizontal-relative:page;mso-position-vertical-relative:paragraph;z-index:-206464" type="#_x0000_t202" filled="false" stroked="false">
            <v:textbox inset="0,0,0,0">
              <w:txbxContent>
                <w:p>
                  <w:pPr>
                    <w:spacing w:line="122" w:lineRule="exact" w:before="0"/>
                    <w:ind w:left="0" w:right="0" w:firstLine="0"/>
                    <w:jc w:val="left"/>
                    <w:rPr>
                      <w:sz w:val="12"/>
                    </w:rPr>
                  </w:pPr>
                  <w:r>
                    <w:rPr>
                      <w:color w:val="231F20"/>
                      <w:w w:val="102"/>
                      <w:sz w:val="12"/>
                    </w:rPr>
                    <w:t>2</w:t>
                  </w:r>
                </w:p>
              </w:txbxContent>
            </v:textbox>
            <w10:wrap type="none"/>
          </v:shape>
        </w:pict>
      </w:r>
      <w:r>
        <w:rPr>
          <w:color w:val="231F20"/>
          <w:sz w:val="21"/>
        </w:rPr>
        <w:t>Kilogramos de producto físico producido por cada m</w:t>
      </w:r>
      <w:r>
        <w:rPr>
          <w:color w:val="231F20"/>
          <w:position w:val="7"/>
          <w:sz w:val="12"/>
        </w:rPr>
        <w:t>3  </w:t>
      </w:r>
      <w:r>
        <w:rPr>
          <w:color w:val="231F20"/>
          <w:sz w:val="21"/>
        </w:rPr>
        <w:t>de agua usado en el riego (Y</w:t>
      </w:r>
      <w:r>
        <w:rPr>
          <w:color w:val="231F20"/>
          <w:spacing w:val="-12"/>
          <w:sz w:val="21"/>
        </w:rPr>
        <w:t> </w:t>
      </w:r>
      <w:r>
        <w:rPr>
          <w:color w:val="231F20"/>
          <w:sz w:val="21"/>
        </w:rPr>
        <w:t>)</w:t>
      </w:r>
    </w:p>
    <w:p>
      <w:pPr>
        <w:pStyle w:val="ListParagraph"/>
        <w:numPr>
          <w:ilvl w:val="1"/>
          <w:numId w:val="12"/>
        </w:numPr>
        <w:tabs>
          <w:tab w:pos="1991" w:val="left" w:leader="none"/>
        </w:tabs>
        <w:spacing w:line="240" w:lineRule="auto" w:before="8" w:after="0"/>
        <w:ind w:left="1990" w:right="0" w:hanging="340"/>
        <w:jc w:val="left"/>
        <w:rPr>
          <w:sz w:val="21"/>
        </w:rPr>
      </w:pPr>
      <w:r>
        <w:rPr/>
        <w:pict>
          <v:shape style="position:absolute;margin-left:428.552094pt;margin-top:8.778422pt;width:3.1pt;height:6.15pt;mso-position-horizontal-relative:page;mso-position-vertical-relative:paragraph;z-index:-206440" type="#_x0000_t202" filled="false" stroked="false">
            <v:textbox inset="0,0,0,0">
              <w:txbxContent>
                <w:p>
                  <w:pPr>
                    <w:spacing w:line="122" w:lineRule="exact" w:before="0"/>
                    <w:ind w:left="0" w:right="0" w:firstLine="0"/>
                    <w:jc w:val="left"/>
                    <w:rPr>
                      <w:sz w:val="12"/>
                    </w:rPr>
                  </w:pPr>
                  <w:r>
                    <w:rPr>
                      <w:color w:val="231F20"/>
                      <w:w w:val="102"/>
                      <w:sz w:val="12"/>
                    </w:rPr>
                    <w:t>3</w:t>
                  </w:r>
                </w:p>
              </w:txbxContent>
            </v:textbox>
            <w10:wrap type="none"/>
          </v:shape>
        </w:pict>
      </w:r>
      <w:r>
        <w:rPr>
          <w:color w:val="231F20"/>
          <w:sz w:val="21"/>
        </w:rPr>
        <w:t>M</w:t>
      </w:r>
      <w:r>
        <w:rPr>
          <w:color w:val="231F20"/>
          <w:position w:val="7"/>
          <w:sz w:val="12"/>
        </w:rPr>
        <w:t>3  </w:t>
      </w:r>
      <w:r>
        <w:rPr>
          <w:color w:val="231F20"/>
          <w:sz w:val="21"/>
        </w:rPr>
        <w:t>de agua usados en el riego necesarios para producir $1 de Ingreso bruto (Y</w:t>
      </w:r>
      <w:r>
        <w:rPr>
          <w:color w:val="231F20"/>
          <w:spacing w:val="-3"/>
          <w:sz w:val="21"/>
        </w:rPr>
        <w:t> </w:t>
      </w:r>
      <w:r>
        <w:rPr>
          <w:color w:val="231F20"/>
          <w:sz w:val="21"/>
        </w:rPr>
        <w:t>)</w:t>
      </w:r>
    </w:p>
    <w:p>
      <w:pPr>
        <w:pStyle w:val="ListParagraph"/>
        <w:numPr>
          <w:ilvl w:val="1"/>
          <w:numId w:val="12"/>
        </w:numPr>
        <w:tabs>
          <w:tab w:pos="1991" w:val="left" w:leader="none"/>
        </w:tabs>
        <w:spacing w:line="240" w:lineRule="auto" w:before="8" w:after="0"/>
        <w:ind w:left="1990" w:right="0" w:hanging="340"/>
        <w:jc w:val="left"/>
        <w:rPr>
          <w:sz w:val="21"/>
        </w:rPr>
      </w:pPr>
      <w:r>
        <w:rPr/>
        <w:pict>
          <v:shape style="position:absolute;margin-left:325.331085pt;margin-top:8.778422pt;width:3.1pt;height:6.15pt;mso-position-horizontal-relative:page;mso-position-vertical-relative:paragraph;z-index:-206416" type="#_x0000_t202" filled="false" stroked="false">
            <v:textbox inset="0,0,0,0">
              <w:txbxContent>
                <w:p>
                  <w:pPr>
                    <w:spacing w:line="122" w:lineRule="exact" w:before="0"/>
                    <w:ind w:left="0" w:right="0" w:firstLine="0"/>
                    <w:jc w:val="left"/>
                    <w:rPr>
                      <w:sz w:val="12"/>
                    </w:rPr>
                  </w:pPr>
                  <w:r>
                    <w:rPr>
                      <w:color w:val="231F20"/>
                      <w:w w:val="102"/>
                      <w:sz w:val="12"/>
                    </w:rPr>
                    <w:t>4</w:t>
                  </w:r>
                </w:p>
              </w:txbxContent>
            </v:textbox>
            <w10:wrap type="none"/>
          </v:shape>
        </w:pict>
      </w:r>
      <w:r>
        <w:rPr>
          <w:color w:val="231F20"/>
          <w:sz w:val="21"/>
        </w:rPr>
        <w:t>Ingreso generado por m</w:t>
      </w:r>
      <w:r>
        <w:rPr>
          <w:color w:val="231F20"/>
          <w:position w:val="7"/>
          <w:sz w:val="12"/>
        </w:rPr>
        <w:t>3  </w:t>
      </w:r>
      <w:r>
        <w:rPr>
          <w:color w:val="231F20"/>
          <w:sz w:val="21"/>
        </w:rPr>
        <w:t>de agua usado en el riego (Y</w:t>
      </w:r>
      <w:r>
        <w:rPr>
          <w:color w:val="231F20"/>
          <w:spacing w:val="-2"/>
          <w:sz w:val="21"/>
        </w:rPr>
        <w:t> </w:t>
      </w:r>
      <w:r>
        <w:rPr>
          <w:color w:val="231F20"/>
          <w:sz w:val="21"/>
        </w:rPr>
        <w:t>).</w:t>
      </w:r>
    </w:p>
    <w:p>
      <w:pPr>
        <w:pStyle w:val="ListParagraph"/>
        <w:numPr>
          <w:ilvl w:val="1"/>
          <w:numId w:val="12"/>
        </w:numPr>
        <w:tabs>
          <w:tab w:pos="1991" w:val="left" w:leader="none"/>
        </w:tabs>
        <w:spacing w:line="240" w:lineRule="auto" w:before="8" w:after="0"/>
        <w:ind w:left="1990" w:right="0" w:hanging="340"/>
        <w:jc w:val="left"/>
        <w:rPr>
          <w:sz w:val="21"/>
        </w:rPr>
      </w:pPr>
      <w:r>
        <w:rPr/>
        <w:pict>
          <v:shape style="position:absolute;margin-left:404.358002pt;margin-top:8.778422pt;width:3.1pt;height:6.15pt;mso-position-horizontal-relative:page;mso-position-vertical-relative:paragraph;z-index:-206392" type="#_x0000_t202" filled="false" stroked="false">
            <v:textbox inset="0,0,0,0">
              <w:txbxContent>
                <w:p>
                  <w:pPr>
                    <w:spacing w:line="122" w:lineRule="exact" w:before="0"/>
                    <w:ind w:left="0" w:right="0" w:firstLine="0"/>
                    <w:jc w:val="left"/>
                    <w:rPr>
                      <w:sz w:val="12"/>
                    </w:rPr>
                  </w:pPr>
                  <w:r>
                    <w:rPr>
                      <w:color w:val="231F20"/>
                      <w:w w:val="102"/>
                      <w:sz w:val="12"/>
                    </w:rPr>
                    <w:t>5</w:t>
                  </w:r>
                </w:p>
              </w:txbxContent>
            </v:textbox>
            <w10:wrap type="none"/>
          </v:shape>
        </w:pict>
      </w:r>
      <w:r>
        <w:rPr>
          <w:color w:val="231F20"/>
          <w:sz w:val="21"/>
        </w:rPr>
        <w:t>Utilidad bruta producida por m</w:t>
      </w:r>
      <w:r>
        <w:rPr>
          <w:color w:val="231F20"/>
          <w:position w:val="7"/>
          <w:sz w:val="12"/>
        </w:rPr>
        <w:t>3  </w:t>
      </w:r>
      <w:r>
        <w:rPr>
          <w:color w:val="231F20"/>
          <w:sz w:val="21"/>
        </w:rPr>
        <w:t>de agua de bombeo usada en el riego (Y</w:t>
      </w:r>
      <w:r>
        <w:rPr>
          <w:color w:val="231F20"/>
          <w:spacing w:val="-10"/>
          <w:sz w:val="21"/>
        </w:rPr>
        <w:t> </w:t>
      </w:r>
      <w:r>
        <w:rPr>
          <w:color w:val="231F20"/>
          <w:sz w:val="21"/>
        </w:rPr>
        <w:t>)</w:t>
      </w:r>
    </w:p>
    <w:p>
      <w:pPr>
        <w:pStyle w:val="ListParagraph"/>
        <w:numPr>
          <w:ilvl w:val="1"/>
          <w:numId w:val="12"/>
        </w:numPr>
        <w:tabs>
          <w:tab w:pos="1990" w:val="left" w:leader="none"/>
          <w:tab w:pos="1991" w:val="left" w:leader="none"/>
        </w:tabs>
        <w:spacing w:line="240" w:lineRule="auto" w:before="8" w:after="0"/>
        <w:ind w:left="1990" w:right="0" w:hanging="340"/>
        <w:jc w:val="left"/>
        <w:rPr>
          <w:sz w:val="21"/>
        </w:rPr>
      </w:pPr>
      <w:r>
        <w:rPr/>
        <w:pict>
          <v:shape style="position:absolute;margin-left:412.535492pt;margin-top:8.778422pt;width:3.1pt;height:6.15pt;mso-position-horizontal-relative:page;mso-position-vertical-relative:paragraph;z-index:-206368" type="#_x0000_t202" filled="false" stroked="false">
            <v:textbox inset="0,0,0,0">
              <w:txbxContent>
                <w:p>
                  <w:pPr>
                    <w:spacing w:line="122" w:lineRule="exact" w:before="0"/>
                    <w:ind w:left="0" w:right="0" w:firstLine="0"/>
                    <w:jc w:val="left"/>
                    <w:rPr>
                      <w:sz w:val="12"/>
                    </w:rPr>
                  </w:pPr>
                  <w:r>
                    <w:rPr>
                      <w:color w:val="231F20"/>
                      <w:w w:val="102"/>
                      <w:sz w:val="12"/>
                    </w:rPr>
                    <w:t>6</w:t>
                  </w:r>
                </w:p>
              </w:txbxContent>
            </v:textbox>
            <w10:wrap type="none"/>
          </v:shape>
        </w:pict>
      </w:r>
      <w:r>
        <w:rPr>
          <w:color w:val="231F20"/>
          <w:sz w:val="21"/>
        </w:rPr>
        <w:t>M</w:t>
      </w:r>
      <w:r>
        <w:rPr>
          <w:color w:val="231F20"/>
          <w:position w:val="7"/>
          <w:sz w:val="12"/>
        </w:rPr>
        <w:t>3  </w:t>
      </w:r>
      <w:r>
        <w:rPr>
          <w:color w:val="231F20"/>
          <w:sz w:val="21"/>
        </w:rPr>
        <w:t>utilizados en el riego por bombeo para producir $1 de utilidad bruta (Y</w:t>
      </w:r>
      <w:r>
        <w:rPr>
          <w:color w:val="231F20"/>
          <w:spacing w:val="-1"/>
          <w:sz w:val="21"/>
        </w:rPr>
        <w:t> </w:t>
      </w:r>
      <w:r>
        <w:rPr>
          <w:color w:val="231F20"/>
          <w:sz w:val="21"/>
        </w:rPr>
        <w:t>).</w:t>
      </w:r>
    </w:p>
    <w:p>
      <w:pPr>
        <w:pStyle w:val="ListParagraph"/>
        <w:numPr>
          <w:ilvl w:val="1"/>
          <w:numId w:val="12"/>
        </w:numPr>
        <w:tabs>
          <w:tab w:pos="1991" w:val="left" w:leader="none"/>
        </w:tabs>
        <w:spacing w:line="240" w:lineRule="auto" w:before="8" w:after="0"/>
        <w:ind w:left="1990" w:right="0" w:hanging="340"/>
        <w:jc w:val="left"/>
        <w:rPr>
          <w:sz w:val="21"/>
        </w:rPr>
      </w:pPr>
      <w:r>
        <w:rPr/>
        <w:pict>
          <v:shape style="position:absolute;margin-left:361.911896pt;margin-top:8.778422pt;width:3.1pt;height:6.15pt;mso-position-horizontal-relative:page;mso-position-vertical-relative:paragraph;z-index:-206344" type="#_x0000_t202" filled="false" stroked="false">
            <v:textbox inset="0,0,0,0">
              <w:txbxContent>
                <w:p>
                  <w:pPr>
                    <w:spacing w:line="122" w:lineRule="exact" w:before="0"/>
                    <w:ind w:left="0" w:right="0" w:firstLine="0"/>
                    <w:jc w:val="left"/>
                    <w:rPr>
                      <w:sz w:val="12"/>
                    </w:rPr>
                  </w:pPr>
                  <w:r>
                    <w:rPr>
                      <w:color w:val="231F20"/>
                      <w:w w:val="102"/>
                      <w:sz w:val="12"/>
                    </w:rPr>
                    <w:t>7</w:t>
                  </w:r>
                </w:p>
              </w:txbxContent>
            </v:textbox>
            <w10:wrap type="none"/>
          </v:shape>
        </w:pict>
      </w:r>
      <w:r>
        <w:rPr>
          <w:color w:val="231F20"/>
          <w:sz w:val="21"/>
        </w:rPr>
        <w:t>La utilidad bruta/ m</w:t>
      </w:r>
      <w:r>
        <w:rPr>
          <w:color w:val="231F20"/>
          <w:position w:val="7"/>
          <w:sz w:val="12"/>
        </w:rPr>
        <w:t>3  </w:t>
      </w:r>
      <w:r>
        <w:rPr>
          <w:color w:val="231F20"/>
          <w:sz w:val="21"/>
        </w:rPr>
        <w:t>de agua entre el precio del m</w:t>
      </w:r>
      <w:r>
        <w:rPr>
          <w:color w:val="231F20"/>
          <w:position w:val="7"/>
          <w:sz w:val="12"/>
        </w:rPr>
        <w:t>3  </w:t>
      </w:r>
      <w:r>
        <w:rPr>
          <w:color w:val="231F20"/>
          <w:sz w:val="21"/>
        </w:rPr>
        <w:t>de agua (Y</w:t>
      </w:r>
      <w:r>
        <w:rPr>
          <w:color w:val="231F20"/>
          <w:spacing w:val="-11"/>
          <w:sz w:val="21"/>
        </w:rPr>
        <w:t> </w:t>
      </w:r>
      <w:r>
        <w:rPr>
          <w:color w:val="231F20"/>
          <w:sz w:val="21"/>
        </w:rPr>
        <w:t>).</w:t>
      </w:r>
    </w:p>
    <w:p>
      <w:pPr>
        <w:pStyle w:val="ListParagraph"/>
        <w:numPr>
          <w:ilvl w:val="1"/>
          <w:numId w:val="12"/>
        </w:numPr>
        <w:tabs>
          <w:tab w:pos="1991" w:val="left" w:leader="none"/>
        </w:tabs>
        <w:spacing w:line="240" w:lineRule="auto" w:before="8" w:after="0"/>
        <w:ind w:left="1990" w:right="0" w:hanging="340"/>
        <w:jc w:val="left"/>
        <w:rPr>
          <w:sz w:val="21"/>
        </w:rPr>
      </w:pPr>
      <w:r>
        <w:rPr/>
        <w:pict>
          <v:shape style="position:absolute;margin-left:414.5401pt;margin-top:8.778422pt;width:3.1pt;height:6.15pt;mso-position-horizontal-relative:page;mso-position-vertical-relative:paragraph;z-index:-206320" type="#_x0000_t202" filled="false" stroked="false">
            <v:textbox inset="0,0,0,0">
              <w:txbxContent>
                <w:p>
                  <w:pPr>
                    <w:spacing w:line="122" w:lineRule="exact" w:before="0"/>
                    <w:ind w:left="0" w:right="0" w:firstLine="0"/>
                    <w:jc w:val="left"/>
                    <w:rPr>
                      <w:sz w:val="12"/>
                    </w:rPr>
                  </w:pPr>
                  <w:r>
                    <w:rPr>
                      <w:color w:val="231F20"/>
                      <w:w w:val="102"/>
                      <w:sz w:val="12"/>
                    </w:rPr>
                    <w:t>8</w:t>
                  </w:r>
                </w:p>
              </w:txbxContent>
            </v:textbox>
            <w10:wrap type="none"/>
          </v:shape>
        </w:pict>
      </w:r>
      <w:r>
        <w:rPr>
          <w:color w:val="231F20"/>
          <w:sz w:val="21"/>
        </w:rPr>
        <w:t>La cantidad de empleos generados por cada 100,000m</w:t>
      </w:r>
      <w:r>
        <w:rPr>
          <w:color w:val="231F20"/>
          <w:position w:val="7"/>
          <w:sz w:val="12"/>
        </w:rPr>
        <w:t>3  </w:t>
      </w:r>
      <w:r>
        <w:rPr>
          <w:color w:val="231F20"/>
          <w:sz w:val="21"/>
        </w:rPr>
        <w:t>de agua irrigada (Y</w:t>
      </w:r>
      <w:r>
        <w:rPr>
          <w:color w:val="231F20"/>
          <w:spacing w:val="-5"/>
          <w:sz w:val="21"/>
        </w:rPr>
        <w:t> </w:t>
      </w:r>
      <w:r>
        <w:rPr>
          <w:color w:val="231F20"/>
          <w:sz w:val="21"/>
        </w:rPr>
        <w:t>)</w:t>
      </w:r>
    </w:p>
    <w:p>
      <w:pPr>
        <w:pStyle w:val="ListParagraph"/>
        <w:numPr>
          <w:ilvl w:val="1"/>
          <w:numId w:val="12"/>
        </w:numPr>
        <w:tabs>
          <w:tab w:pos="1990" w:val="left" w:leader="none"/>
          <w:tab w:pos="1991" w:val="left" w:leader="none"/>
        </w:tabs>
        <w:spacing w:line="240" w:lineRule="auto" w:before="8" w:after="0"/>
        <w:ind w:left="1990" w:right="0" w:hanging="340"/>
        <w:jc w:val="left"/>
        <w:rPr>
          <w:sz w:val="21"/>
        </w:rPr>
      </w:pPr>
      <w:r>
        <w:rPr/>
        <w:pict>
          <v:shape style="position:absolute;margin-left:281.454712pt;margin-top:8.778422pt;width:3.1pt;height:6.15pt;mso-position-horizontal-relative:page;mso-position-vertical-relative:paragraph;z-index:-206296" type="#_x0000_t202" filled="false" stroked="false">
            <v:textbox inset="0,0,0,0">
              <w:txbxContent>
                <w:p>
                  <w:pPr>
                    <w:spacing w:line="122" w:lineRule="exact" w:before="0"/>
                    <w:ind w:left="0" w:right="0" w:firstLine="0"/>
                    <w:jc w:val="left"/>
                    <w:rPr>
                      <w:sz w:val="12"/>
                    </w:rPr>
                  </w:pPr>
                  <w:r>
                    <w:rPr>
                      <w:color w:val="231F20"/>
                      <w:w w:val="102"/>
                      <w:sz w:val="12"/>
                    </w:rPr>
                    <w:t>9</w:t>
                  </w:r>
                </w:p>
              </w:txbxContent>
            </v:textbox>
            <w10:wrap type="none"/>
          </v:shape>
        </w:pict>
      </w:r>
      <w:r>
        <w:rPr>
          <w:color w:val="231F20"/>
          <w:sz w:val="21"/>
        </w:rPr>
        <w:t>Horas de trabajo invertidas por tonelada (Y</w:t>
      </w:r>
      <w:r>
        <w:rPr>
          <w:color w:val="231F20"/>
          <w:spacing w:val="1"/>
          <w:sz w:val="21"/>
        </w:rPr>
        <w:t> </w:t>
      </w:r>
      <w:r>
        <w:rPr>
          <w:color w:val="231F20"/>
          <w:sz w:val="21"/>
        </w:rPr>
        <w:t>)</w:t>
      </w:r>
    </w:p>
    <w:p>
      <w:pPr>
        <w:pStyle w:val="ListParagraph"/>
        <w:numPr>
          <w:ilvl w:val="1"/>
          <w:numId w:val="12"/>
        </w:numPr>
        <w:tabs>
          <w:tab w:pos="1990" w:val="left" w:leader="none"/>
          <w:tab w:pos="1991" w:val="left" w:leader="none"/>
        </w:tabs>
        <w:spacing w:line="168" w:lineRule="exact" w:before="8" w:after="0"/>
        <w:ind w:left="1990" w:right="0" w:hanging="340"/>
        <w:jc w:val="left"/>
        <w:rPr>
          <w:sz w:val="21"/>
        </w:rPr>
      </w:pPr>
      <w:r>
        <w:rPr>
          <w:color w:val="231F20"/>
          <w:sz w:val="21"/>
        </w:rPr>
        <w:t>Ganancia a nivel regional por trabajador (Y </w:t>
      </w:r>
      <w:r>
        <w:rPr>
          <w:color w:val="231F20"/>
          <w:spacing w:val="8"/>
          <w:sz w:val="21"/>
        </w:rPr>
        <w:t> </w:t>
      </w:r>
      <w:r>
        <w:rPr>
          <w:color w:val="231F20"/>
          <w:sz w:val="21"/>
        </w:rPr>
        <w:t>)</w:t>
      </w:r>
    </w:p>
    <w:p>
      <w:pPr>
        <w:spacing w:line="103" w:lineRule="exact" w:before="0"/>
        <w:ind w:left="1505" w:right="999" w:firstLine="0"/>
        <w:jc w:val="center"/>
        <w:rPr>
          <w:sz w:val="12"/>
        </w:rPr>
      </w:pPr>
      <w:r>
        <w:rPr>
          <w:color w:val="231F20"/>
          <w:sz w:val="12"/>
        </w:rPr>
        <w:t>10</w:t>
      </w:r>
    </w:p>
    <w:p>
      <w:pPr>
        <w:pStyle w:val="ListParagraph"/>
        <w:numPr>
          <w:ilvl w:val="1"/>
          <w:numId w:val="12"/>
        </w:numPr>
        <w:tabs>
          <w:tab w:pos="1991" w:val="left" w:leader="none"/>
        </w:tabs>
        <w:spacing w:line="220" w:lineRule="exact" w:before="0" w:after="0"/>
        <w:ind w:left="1990" w:right="0" w:hanging="340"/>
        <w:jc w:val="left"/>
        <w:rPr>
          <w:sz w:val="21"/>
        </w:rPr>
      </w:pPr>
      <w:r>
        <w:rPr/>
        <w:pict>
          <v:shape style="position:absolute;margin-left:275.025604pt;margin-top:7.327382pt;width:5.7pt;height:6.15pt;mso-position-horizontal-relative:page;mso-position-vertical-relative:paragraph;z-index:-206272" type="#_x0000_t202" filled="false" stroked="false">
            <v:textbox inset="0,0,0,0">
              <w:txbxContent>
                <w:p>
                  <w:pPr>
                    <w:spacing w:line="122" w:lineRule="exact" w:before="0"/>
                    <w:ind w:left="0" w:right="-16" w:firstLine="0"/>
                    <w:jc w:val="left"/>
                    <w:rPr>
                      <w:sz w:val="12"/>
                    </w:rPr>
                  </w:pPr>
                  <w:r>
                    <w:rPr>
                      <w:color w:val="231F20"/>
                      <w:spacing w:val="-5"/>
                      <w:sz w:val="12"/>
                    </w:rPr>
                    <w:t>11</w:t>
                  </w:r>
                </w:p>
              </w:txbxContent>
            </v:textbox>
            <w10:wrap type="none"/>
          </v:shape>
        </w:pict>
      </w:r>
      <w:r>
        <w:rPr>
          <w:color w:val="231F20"/>
          <w:sz w:val="21"/>
        </w:rPr>
        <w:t>Ganancia por hora invertida de trabajo (Y </w:t>
      </w:r>
      <w:r>
        <w:rPr>
          <w:color w:val="231F20"/>
          <w:spacing w:val="3"/>
          <w:sz w:val="21"/>
        </w:rPr>
        <w:t> </w:t>
      </w:r>
      <w:r>
        <w:rPr>
          <w:color w:val="231F20"/>
          <w:sz w:val="21"/>
        </w:rPr>
        <w:t>)</w:t>
      </w:r>
    </w:p>
    <w:p>
      <w:pPr>
        <w:pStyle w:val="BodyText"/>
        <w:spacing w:before="1"/>
        <w:rPr>
          <w:sz w:val="16"/>
        </w:rPr>
      </w:pPr>
    </w:p>
    <w:p>
      <w:pPr>
        <w:pStyle w:val="BodyText"/>
        <w:spacing w:line="247" w:lineRule="auto" w:before="73"/>
        <w:ind w:left="1270" w:right="1267"/>
        <w:jc w:val="both"/>
      </w:pPr>
      <w:r>
        <w:rPr>
          <w:color w:val="231F20"/>
        </w:rPr>
        <w:t>El</w:t>
      </w:r>
      <w:r>
        <w:rPr>
          <w:color w:val="231F20"/>
          <w:spacing w:val="-9"/>
        </w:rPr>
        <w:t> </w:t>
      </w:r>
      <w:r>
        <w:rPr>
          <w:color w:val="231F20"/>
        </w:rPr>
        <w:t>estudio</w:t>
      </w:r>
      <w:r>
        <w:rPr>
          <w:color w:val="231F20"/>
          <w:spacing w:val="-9"/>
        </w:rPr>
        <w:t> </w:t>
      </w:r>
      <w:r>
        <w:rPr>
          <w:color w:val="231F20"/>
        </w:rPr>
        <w:t>se</w:t>
      </w:r>
      <w:r>
        <w:rPr>
          <w:color w:val="231F20"/>
          <w:spacing w:val="-9"/>
        </w:rPr>
        <w:t> </w:t>
      </w:r>
      <w:r>
        <w:rPr>
          <w:color w:val="231F20"/>
        </w:rPr>
        <w:t>delimitó</w:t>
      </w:r>
      <w:r>
        <w:rPr>
          <w:color w:val="231F20"/>
          <w:spacing w:val="-9"/>
        </w:rPr>
        <w:t> </w:t>
      </w:r>
      <w:r>
        <w:rPr>
          <w:color w:val="231F20"/>
        </w:rPr>
        <w:t>al</w:t>
      </w:r>
      <w:r>
        <w:rPr>
          <w:color w:val="231F20"/>
          <w:spacing w:val="-9"/>
        </w:rPr>
        <w:t> </w:t>
      </w:r>
      <w:r>
        <w:rPr>
          <w:color w:val="231F20"/>
        </w:rPr>
        <w:t>cultivo</w:t>
      </w:r>
      <w:r>
        <w:rPr>
          <w:color w:val="231F20"/>
          <w:spacing w:val="-9"/>
        </w:rPr>
        <w:t> </w:t>
      </w:r>
      <w:r>
        <w:rPr>
          <w:color w:val="231F20"/>
        </w:rPr>
        <w:t>del</w:t>
      </w:r>
      <w:r>
        <w:rPr>
          <w:color w:val="231F20"/>
          <w:spacing w:val="-9"/>
        </w:rPr>
        <w:t> </w:t>
      </w:r>
      <w:r>
        <w:rPr>
          <w:color w:val="231F20"/>
        </w:rPr>
        <w:t>zacate</w:t>
      </w:r>
      <w:r>
        <w:rPr>
          <w:color w:val="231F20"/>
          <w:spacing w:val="-9"/>
        </w:rPr>
        <w:t> </w:t>
      </w:r>
      <w:r>
        <w:rPr>
          <w:color w:val="231F20"/>
        </w:rPr>
        <w:t>ballico</w:t>
      </w:r>
      <w:r>
        <w:rPr>
          <w:color w:val="231F20"/>
          <w:spacing w:val="-9"/>
        </w:rPr>
        <w:t> </w:t>
      </w:r>
      <w:r>
        <w:rPr>
          <w:color w:val="231F20"/>
        </w:rPr>
        <w:t>(</w:t>
      </w:r>
      <w:r>
        <w:rPr>
          <w:i/>
          <w:color w:val="231F20"/>
        </w:rPr>
        <w:t>Lolium</w:t>
      </w:r>
      <w:r>
        <w:rPr>
          <w:i/>
          <w:color w:val="231F20"/>
          <w:spacing w:val="-9"/>
        </w:rPr>
        <w:t> </w:t>
      </w:r>
      <w:r>
        <w:rPr>
          <w:i/>
          <w:color w:val="231F20"/>
        </w:rPr>
        <w:t>multiflorum</w:t>
      </w:r>
      <w:r>
        <w:rPr>
          <w:color w:val="231F20"/>
        </w:rPr>
        <w:t>)</w:t>
      </w:r>
      <w:r>
        <w:rPr>
          <w:color w:val="231F20"/>
          <w:spacing w:val="-9"/>
        </w:rPr>
        <w:t> </w:t>
      </w:r>
      <w:r>
        <w:rPr>
          <w:color w:val="231F20"/>
        </w:rPr>
        <w:t>y</w:t>
      </w:r>
      <w:r>
        <w:rPr>
          <w:color w:val="231F20"/>
          <w:spacing w:val="-9"/>
        </w:rPr>
        <w:t> </w:t>
      </w:r>
      <w:r>
        <w:rPr>
          <w:color w:val="231F20"/>
        </w:rPr>
        <w:t>se</w:t>
      </w:r>
      <w:r>
        <w:rPr>
          <w:color w:val="231F20"/>
          <w:spacing w:val="-9"/>
        </w:rPr>
        <w:t> </w:t>
      </w:r>
      <w:r>
        <w:rPr>
          <w:color w:val="231F20"/>
        </w:rPr>
        <w:t>le</w:t>
      </w:r>
      <w:r>
        <w:rPr>
          <w:color w:val="231F20"/>
          <w:spacing w:val="-9"/>
        </w:rPr>
        <w:t> </w:t>
      </w:r>
      <w:r>
        <w:rPr>
          <w:color w:val="231F20"/>
        </w:rPr>
        <w:t>comparó</w:t>
      </w:r>
      <w:r>
        <w:rPr>
          <w:color w:val="231F20"/>
          <w:spacing w:val="-9"/>
        </w:rPr>
        <w:t> </w:t>
      </w:r>
      <w:r>
        <w:rPr>
          <w:color w:val="231F20"/>
        </w:rPr>
        <w:t>en</w:t>
      </w:r>
      <w:r>
        <w:rPr>
          <w:color w:val="231F20"/>
          <w:spacing w:val="-9"/>
        </w:rPr>
        <w:t> </w:t>
      </w:r>
      <w:r>
        <w:rPr>
          <w:color w:val="231F20"/>
        </w:rPr>
        <w:t>contra</w:t>
      </w:r>
      <w:r>
        <w:rPr>
          <w:color w:val="231F20"/>
          <w:spacing w:val="-9"/>
        </w:rPr>
        <w:t> </w:t>
      </w:r>
      <w:r>
        <w:rPr>
          <w:color w:val="231F20"/>
        </w:rPr>
        <w:t>del alfalfa forrajera (</w:t>
      </w:r>
      <w:r>
        <w:rPr>
          <w:i/>
          <w:color w:val="231F20"/>
        </w:rPr>
        <w:t>Medicago sativa</w:t>
      </w:r>
      <w:r>
        <w:rPr>
          <w:color w:val="231F20"/>
        </w:rPr>
        <w:t>), irrigados ambos con agua subterránea mediante bombeo tradi- cional</w:t>
      </w:r>
      <w:r>
        <w:rPr>
          <w:color w:val="231F20"/>
          <w:spacing w:val="-9"/>
        </w:rPr>
        <w:t> </w:t>
      </w:r>
      <w:r>
        <w:rPr>
          <w:color w:val="231F20"/>
        </w:rPr>
        <w:t>“BT”</w:t>
      </w:r>
      <w:r>
        <w:rPr>
          <w:color w:val="231F20"/>
          <w:spacing w:val="-9"/>
        </w:rPr>
        <w:t> </w:t>
      </w:r>
      <w:r>
        <w:rPr>
          <w:color w:val="231F20"/>
        </w:rPr>
        <w:t>(sin</w:t>
      </w:r>
      <w:r>
        <w:rPr>
          <w:color w:val="231F20"/>
          <w:spacing w:val="-9"/>
        </w:rPr>
        <w:t> </w:t>
      </w:r>
      <w:r>
        <w:rPr>
          <w:color w:val="231F20"/>
        </w:rPr>
        <w:t>desagregarle</w:t>
      </w:r>
      <w:r>
        <w:rPr>
          <w:color w:val="231F20"/>
          <w:spacing w:val="-9"/>
        </w:rPr>
        <w:t> </w:t>
      </w:r>
      <w:r>
        <w:rPr>
          <w:color w:val="231F20"/>
        </w:rPr>
        <w:t>en</w:t>
      </w:r>
      <w:r>
        <w:rPr>
          <w:color w:val="231F20"/>
          <w:spacing w:val="-9"/>
        </w:rPr>
        <w:t> </w:t>
      </w:r>
      <w:r>
        <w:rPr>
          <w:color w:val="231F20"/>
        </w:rPr>
        <w:t>riegos</w:t>
      </w:r>
      <w:r>
        <w:rPr>
          <w:color w:val="231F20"/>
          <w:spacing w:val="-9"/>
        </w:rPr>
        <w:t> </w:t>
      </w:r>
      <w:r>
        <w:rPr>
          <w:color w:val="231F20"/>
        </w:rPr>
        <w:t>específicos</w:t>
      </w:r>
      <w:r>
        <w:rPr>
          <w:color w:val="231F20"/>
          <w:spacing w:val="-9"/>
        </w:rPr>
        <w:t> </w:t>
      </w:r>
      <w:r>
        <w:rPr>
          <w:color w:val="231F20"/>
        </w:rPr>
        <w:t>de</w:t>
      </w:r>
      <w:r>
        <w:rPr>
          <w:color w:val="231F20"/>
          <w:spacing w:val="-9"/>
        </w:rPr>
        <w:t> </w:t>
      </w:r>
      <w:r>
        <w:rPr>
          <w:color w:val="231F20"/>
        </w:rPr>
        <w:t>bombeo</w:t>
      </w:r>
      <w:r>
        <w:rPr>
          <w:color w:val="231F20"/>
          <w:spacing w:val="-9"/>
        </w:rPr>
        <w:t> </w:t>
      </w:r>
      <w:r>
        <w:rPr>
          <w:color w:val="231F20"/>
        </w:rPr>
        <w:t>como</w:t>
      </w:r>
      <w:r>
        <w:rPr>
          <w:color w:val="231F20"/>
          <w:spacing w:val="-9"/>
        </w:rPr>
        <w:t> </w:t>
      </w:r>
      <w:r>
        <w:rPr>
          <w:color w:val="231F20"/>
        </w:rPr>
        <w:t>cintillas,</w:t>
      </w:r>
      <w:r>
        <w:rPr>
          <w:color w:val="231F20"/>
          <w:spacing w:val="-9"/>
        </w:rPr>
        <w:t> </w:t>
      </w:r>
      <w:r>
        <w:rPr>
          <w:color w:val="231F20"/>
        </w:rPr>
        <w:t>compuertas</w:t>
      </w:r>
      <w:r>
        <w:rPr>
          <w:color w:val="231F20"/>
          <w:spacing w:val="-9"/>
        </w:rPr>
        <w:t> </w:t>
      </w:r>
      <w:r>
        <w:rPr>
          <w:color w:val="231F20"/>
        </w:rPr>
        <w:t>múltiples, cañón, pivote, microaspersión) ambos cultivos a un nivel de agregación general, es decir, conside- rando</w:t>
      </w:r>
      <w:r>
        <w:rPr>
          <w:color w:val="231F20"/>
          <w:spacing w:val="-7"/>
        </w:rPr>
        <w:t> </w:t>
      </w:r>
      <w:r>
        <w:rPr>
          <w:color w:val="231F20"/>
        </w:rPr>
        <w:t>ambos</w:t>
      </w:r>
      <w:r>
        <w:rPr>
          <w:color w:val="231F20"/>
          <w:spacing w:val="-7"/>
        </w:rPr>
        <w:t> </w:t>
      </w:r>
      <w:r>
        <w:rPr>
          <w:color w:val="231F20"/>
        </w:rPr>
        <w:t>tipos</w:t>
      </w:r>
      <w:r>
        <w:rPr>
          <w:color w:val="231F20"/>
          <w:spacing w:val="-7"/>
        </w:rPr>
        <w:t> </w:t>
      </w:r>
      <w:r>
        <w:rPr>
          <w:color w:val="231F20"/>
        </w:rPr>
        <w:t>de</w:t>
      </w:r>
      <w:r>
        <w:rPr>
          <w:color w:val="231F20"/>
          <w:spacing w:val="-7"/>
        </w:rPr>
        <w:t> </w:t>
      </w:r>
      <w:r>
        <w:rPr>
          <w:color w:val="231F20"/>
        </w:rPr>
        <w:t>tenencia</w:t>
      </w:r>
      <w:r>
        <w:rPr>
          <w:color w:val="231F20"/>
          <w:spacing w:val="-7"/>
        </w:rPr>
        <w:t> </w:t>
      </w:r>
      <w:r>
        <w:rPr>
          <w:color w:val="231F20"/>
        </w:rPr>
        <w:t>del</w:t>
      </w:r>
      <w:r>
        <w:rPr>
          <w:color w:val="231F20"/>
          <w:spacing w:val="-7"/>
        </w:rPr>
        <w:t> </w:t>
      </w:r>
      <w:r>
        <w:rPr>
          <w:color w:val="231F20"/>
        </w:rPr>
        <w:t>suelo:</w:t>
      </w:r>
      <w:r>
        <w:rPr>
          <w:color w:val="231F20"/>
          <w:spacing w:val="-6"/>
        </w:rPr>
        <w:t> </w:t>
      </w:r>
      <w:r>
        <w:rPr>
          <w:color w:val="231F20"/>
        </w:rPr>
        <w:t>Ejido</w:t>
      </w:r>
      <w:r>
        <w:rPr>
          <w:color w:val="231F20"/>
          <w:spacing w:val="-7"/>
        </w:rPr>
        <w:t> </w:t>
      </w:r>
      <w:r>
        <w:rPr>
          <w:color w:val="231F20"/>
        </w:rPr>
        <w:t>y</w:t>
      </w:r>
      <w:r>
        <w:rPr>
          <w:color w:val="231F20"/>
          <w:spacing w:val="-7"/>
        </w:rPr>
        <w:t> </w:t>
      </w:r>
      <w:r>
        <w:rPr>
          <w:color w:val="231F20"/>
        </w:rPr>
        <w:t>Pequeña</w:t>
      </w:r>
      <w:r>
        <w:rPr>
          <w:color w:val="231F20"/>
          <w:spacing w:val="-6"/>
        </w:rPr>
        <w:t> </w:t>
      </w:r>
      <w:r>
        <w:rPr>
          <w:color w:val="231F20"/>
        </w:rPr>
        <w:t>Propiedad</w:t>
      </w:r>
      <w:r>
        <w:rPr>
          <w:color w:val="231F20"/>
          <w:spacing w:val="-6"/>
        </w:rPr>
        <w:t> </w:t>
      </w:r>
      <w:r>
        <w:rPr>
          <w:color w:val="231F20"/>
        </w:rPr>
        <w:t>en</w:t>
      </w:r>
      <w:r>
        <w:rPr>
          <w:color w:val="231F20"/>
          <w:spacing w:val="-7"/>
        </w:rPr>
        <w:t> </w:t>
      </w:r>
      <w:r>
        <w:rPr>
          <w:color w:val="231F20"/>
        </w:rPr>
        <w:t>La</w:t>
      </w:r>
      <w:r>
        <w:rPr>
          <w:color w:val="231F20"/>
          <w:spacing w:val="-7"/>
        </w:rPr>
        <w:t> </w:t>
      </w:r>
      <w:r>
        <w:rPr>
          <w:color w:val="231F20"/>
        </w:rPr>
        <w:t>Comarca</w:t>
      </w:r>
      <w:r>
        <w:rPr>
          <w:color w:val="231F20"/>
          <w:spacing w:val="-7"/>
        </w:rPr>
        <w:t> </w:t>
      </w:r>
      <w:r>
        <w:rPr>
          <w:color w:val="231F20"/>
        </w:rPr>
        <w:t>lagunera,</w:t>
      </w:r>
      <w:r>
        <w:rPr>
          <w:color w:val="231F20"/>
          <w:spacing w:val="-7"/>
        </w:rPr>
        <w:t> </w:t>
      </w:r>
      <w:r>
        <w:rPr>
          <w:color w:val="231F20"/>
        </w:rPr>
        <w:t>en</w:t>
      </w:r>
      <w:r>
        <w:rPr>
          <w:color w:val="231F20"/>
          <w:spacing w:val="-7"/>
        </w:rPr>
        <w:t> </w:t>
      </w:r>
      <w:r>
        <w:rPr>
          <w:color w:val="231F20"/>
        </w:rPr>
        <w:t>los Distritos de Riego 017.</w:t>
      </w:r>
    </w:p>
    <w:p>
      <w:pPr>
        <w:pStyle w:val="BodyText"/>
        <w:spacing w:before="10"/>
      </w:pPr>
    </w:p>
    <w:p>
      <w:pPr>
        <w:pStyle w:val="BodyText"/>
        <w:spacing w:line="247" w:lineRule="auto"/>
        <w:ind w:left="1270" w:right="1267"/>
        <w:jc w:val="both"/>
      </w:pPr>
      <w:r>
        <w:rPr>
          <w:color w:val="231F20"/>
        </w:rPr>
        <w:t>Al analizarse un solo año agrícola y comparar en el a dos cultivos diferentes, se aplicó el enfoque económico</w:t>
      </w:r>
      <w:r>
        <w:rPr>
          <w:color w:val="231F20"/>
          <w:spacing w:val="-6"/>
        </w:rPr>
        <w:t> </w:t>
      </w:r>
      <w:r>
        <w:rPr>
          <w:color w:val="231F20"/>
        </w:rPr>
        <w:t>estático-comparativo</w:t>
      </w:r>
      <w:r>
        <w:rPr>
          <w:color w:val="231F20"/>
          <w:spacing w:val="-6"/>
        </w:rPr>
        <w:t> </w:t>
      </w:r>
      <w:r>
        <w:rPr>
          <w:color w:val="231F20"/>
        </w:rPr>
        <w:t>de</w:t>
      </w:r>
      <w:r>
        <w:rPr>
          <w:color w:val="231F20"/>
          <w:spacing w:val="-18"/>
        </w:rPr>
        <w:t> </w:t>
      </w:r>
      <w:r>
        <w:rPr>
          <w:color w:val="231F20"/>
        </w:rPr>
        <w:t>Astori</w:t>
      </w:r>
      <w:r>
        <w:rPr>
          <w:color w:val="231F20"/>
          <w:spacing w:val="-6"/>
        </w:rPr>
        <w:t> </w:t>
      </w:r>
      <w:r>
        <w:rPr>
          <w:color w:val="231F20"/>
        </w:rPr>
        <w:t>(1984)</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metodología</w:t>
      </w:r>
      <w:r>
        <w:rPr>
          <w:color w:val="231F20"/>
          <w:spacing w:val="-6"/>
        </w:rPr>
        <w:t> </w:t>
      </w:r>
      <w:r>
        <w:rPr>
          <w:color w:val="231F20"/>
        </w:rPr>
        <w:t>para</w:t>
      </w:r>
      <w:r>
        <w:rPr>
          <w:color w:val="231F20"/>
          <w:spacing w:val="-6"/>
        </w:rPr>
        <w:t> </w:t>
      </w:r>
      <w:r>
        <w:rPr>
          <w:color w:val="231F20"/>
        </w:rPr>
        <w:t>eficiencia</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uso</w:t>
      </w:r>
      <w:r>
        <w:rPr>
          <w:color w:val="231F20"/>
          <w:spacing w:val="-6"/>
        </w:rPr>
        <w:t> </w:t>
      </w:r>
      <w:r>
        <w:rPr>
          <w:color w:val="231F20"/>
        </w:rPr>
        <w:t>del</w:t>
      </w:r>
      <w:r>
        <w:rPr>
          <w:color w:val="231F20"/>
          <w:spacing w:val="-6"/>
        </w:rPr>
        <w:t> </w:t>
      </w:r>
      <w:r>
        <w:rPr>
          <w:color w:val="231F20"/>
        </w:rPr>
        <w:t>agua de riego propuesta por el Instituto Internacional de Manejo del</w:t>
      </w:r>
      <w:r>
        <w:rPr>
          <w:color w:val="231F20"/>
          <w:spacing w:val="-23"/>
        </w:rPr>
        <w:t> </w:t>
      </w:r>
      <w:r>
        <w:rPr>
          <w:color w:val="231F20"/>
        </w:rPr>
        <w:t>Agua.</w:t>
      </w:r>
    </w:p>
    <w:p>
      <w:pPr>
        <w:pStyle w:val="BodyText"/>
        <w:spacing w:before="10"/>
      </w:pPr>
    </w:p>
    <w:p>
      <w:pPr>
        <w:pStyle w:val="BodyText"/>
        <w:spacing w:line="249" w:lineRule="auto"/>
        <w:ind w:left="1270" w:right="1268"/>
        <w:jc w:val="both"/>
      </w:pPr>
      <w:r>
        <w:rPr>
          <w:color w:val="231F20"/>
        </w:rPr>
        <w:t>Lamina de riego (LR): Se utilizaron las láminas de riego más usuales en la región, se les multiplicó por</w:t>
      </w:r>
      <w:r>
        <w:rPr>
          <w:color w:val="231F20"/>
          <w:spacing w:val="-8"/>
        </w:rPr>
        <w:t> </w:t>
      </w:r>
      <w:r>
        <w:rPr>
          <w:color w:val="231F20"/>
        </w:rPr>
        <w:t>10,000</w:t>
      </w:r>
      <w:r>
        <w:rPr>
          <w:color w:val="231F20"/>
          <w:spacing w:val="-8"/>
        </w:rPr>
        <w:t> </w:t>
      </w:r>
      <w:r>
        <w:rPr>
          <w:color w:val="231F20"/>
        </w:rPr>
        <w:t>(área</w:t>
      </w:r>
      <w:r>
        <w:rPr>
          <w:color w:val="231F20"/>
          <w:spacing w:val="-8"/>
        </w:rPr>
        <w:t> </w:t>
      </w:r>
      <w:r>
        <w:rPr>
          <w:color w:val="231F20"/>
        </w:rPr>
        <w:t>en</w:t>
      </w:r>
      <w:r>
        <w:rPr>
          <w:color w:val="231F20"/>
          <w:spacing w:val="-8"/>
        </w:rPr>
        <w:t> </w:t>
      </w:r>
      <w:r>
        <w:rPr>
          <w:color w:val="231F20"/>
        </w:rPr>
        <w:t>m</w:t>
      </w:r>
      <w:r>
        <w:rPr>
          <w:color w:val="231F20"/>
          <w:position w:val="7"/>
          <w:sz w:val="12"/>
        </w:rPr>
        <w:t>2</w:t>
      </w:r>
      <w:r>
        <w:rPr>
          <w:color w:val="231F20"/>
          <w:spacing w:val="13"/>
          <w:position w:val="7"/>
          <w:sz w:val="12"/>
        </w:rPr>
        <w:t> </w:t>
      </w:r>
      <w:r>
        <w:rPr>
          <w:color w:val="231F20"/>
        </w:rPr>
        <w:t>de</w:t>
      </w:r>
      <w:r>
        <w:rPr>
          <w:color w:val="231F20"/>
          <w:spacing w:val="-8"/>
        </w:rPr>
        <w:t> </w:t>
      </w:r>
      <w:r>
        <w:rPr>
          <w:color w:val="231F20"/>
        </w:rPr>
        <w:t>una</w:t>
      </w:r>
      <w:r>
        <w:rPr>
          <w:color w:val="231F20"/>
          <w:spacing w:val="-8"/>
        </w:rPr>
        <w:t> </w:t>
      </w:r>
      <w:r>
        <w:rPr>
          <w:color w:val="231F20"/>
        </w:rPr>
        <w:t>hectárea),</w:t>
      </w:r>
      <w:r>
        <w:rPr>
          <w:color w:val="231F20"/>
          <w:spacing w:val="-8"/>
        </w:rPr>
        <w:t> </w:t>
      </w:r>
      <w:r>
        <w:rPr>
          <w:color w:val="231F20"/>
        </w:rPr>
        <w:t>de</w:t>
      </w:r>
      <w:r>
        <w:rPr>
          <w:color w:val="231F20"/>
          <w:spacing w:val="-8"/>
        </w:rPr>
        <w:t> </w:t>
      </w:r>
      <w:r>
        <w:rPr>
          <w:color w:val="231F20"/>
        </w:rPr>
        <w:t>esa</w:t>
      </w:r>
      <w:r>
        <w:rPr>
          <w:color w:val="231F20"/>
          <w:spacing w:val="-8"/>
        </w:rPr>
        <w:t> </w:t>
      </w:r>
      <w:r>
        <w:rPr>
          <w:color w:val="231F20"/>
        </w:rPr>
        <w:t>manera</w:t>
      </w:r>
      <w:r>
        <w:rPr>
          <w:color w:val="231F20"/>
          <w:spacing w:val="-8"/>
        </w:rPr>
        <w:t> </w:t>
      </w:r>
      <w:r>
        <w:rPr>
          <w:color w:val="231F20"/>
        </w:rPr>
        <w:t>se</w:t>
      </w:r>
      <w:r>
        <w:rPr>
          <w:color w:val="231F20"/>
          <w:spacing w:val="-8"/>
        </w:rPr>
        <w:t> </w:t>
      </w:r>
      <w:r>
        <w:rPr>
          <w:color w:val="231F20"/>
        </w:rPr>
        <w:t>obtuvo</w:t>
      </w:r>
      <w:r>
        <w:rPr>
          <w:color w:val="231F20"/>
          <w:spacing w:val="-8"/>
        </w:rPr>
        <w:t> </w:t>
      </w:r>
      <w:r>
        <w:rPr>
          <w:color w:val="231F20"/>
        </w:rPr>
        <w:t>el</w:t>
      </w:r>
      <w:r>
        <w:rPr>
          <w:color w:val="231F20"/>
          <w:spacing w:val="-8"/>
        </w:rPr>
        <w:t> </w:t>
      </w:r>
      <w:r>
        <w:rPr>
          <w:color w:val="231F20"/>
        </w:rPr>
        <w:t>volumen</w:t>
      </w:r>
      <w:r>
        <w:rPr>
          <w:color w:val="231F20"/>
          <w:spacing w:val="-8"/>
        </w:rPr>
        <w:t> </w:t>
      </w:r>
      <w:r>
        <w:rPr>
          <w:color w:val="231F20"/>
        </w:rPr>
        <w:t>total</w:t>
      </w:r>
      <w:r>
        <w:rPr>
          <w:color w:val="231F20"/>
          <w:spacing w:val="-8"/>
        </w:rPr>
        <w:t> </w:t>
      </w:r>
      <w:r>
        <w:rPr>
          <w:color w:val="231F20"/>
        </w:rPr>
        <w:t>“V”</w:t>
      </w:r>
      <w:r>
        <w:rPr>
          <w:color w:val="231F20"/>
          <w:spacing w:val="-8"/>
        </w:rPr>
        <w:t> </w:t>
      </w:r>
      <w:r>
        <w:rPr>
          <w:color w:val="231F20"/>
        </w:rPr>
        <w:t>de</w:t>
      </w:r>
      <w:r>
        <w:rPr>
          <w:color w:val="231F20"/>
          <w:spacing w:val="-8"/>
        </w:rPr>
        <w:t> </w:t>
      </w:r>
      <w:r>
        <w:rPr>
          <w:color w:val="231F20"/>
        </w:rPr>
        <w:t>m</w:t>
      </w:r>
      <w:r>
        <w:rPr>
          <w:color w:val="231F20"/>
          <w:position w:val="7"/>
          <w:sz w:val="12"/>
        </w:rPr>
        <w:t>3</w:t>
      </w:r>
      <w:r>
        <w:rPr>
          <w:color w:val="231F20"/>
          <w:spacing w:val="13"/>
          <w:position w:val="7"/>
          <w:sz w:val="12"/>
        </w:rPr>
        <w:t> </w:t>
      </w:r>
      <w:r>
        <w:rPr>
          <w:color w:val="231F20"/>
        </w:rPr>
        <w:t>de</w:t>
      </w:r>
      <w:r>
        <w:rPr>
          <w:color w:val="231F20"/>
          <w:spacing w:val="-8"/>
        </w:rPr>
        <w:t> </w:t>
      </w:r>
      <w:r>
        <w:rPr>
          <w:color w:val="231F20"/>
        </w:rPr>
        <w:t>agua</w:t>
      </w:r>
    </w:p>
    <w:p>
      <w:pPr>
        <w:spacing w:line="282" w:lineRule="exact" w:before="0"/>
        <w:ind w:left="1270" w:right="5337" w:firstLine="0"/>
        <w:jc w:val="left"/>
        <w:rPr>
          <w:sz w:val="21"/>
        </w:rPr>
      </w:pPr>
      <w:r>
        <w:rPr>
          <w:color w:val="231F20"/>
          <w:sz w:val="21"/>
        </w:rPr>
        <w:t>demandada por el cultivo,</w:t>
      </w:r>
      <w:r>
        <w:rPr>
          <w:color w:val="231F20"/>
          <w:spacing w:val="-1"/>
          <w:sz w:val="21"/>
        </w:rPr>
        <w:t> </w:t>
      </w:r>
      <w:r>
        <w:rPr>
          <w:color w:val="231F20"/>
          <w:sz w:val="21"/>
        </w:rPr>
        <w:t>es</w:t>
      </w:r>
      <w:r>
        <w:rPr>
          <w:color w:val="231F20"/>
          <w:spacing w:val="-1"/>
          <w:sz w:val="21"/>
        </w:rPr>
        <w:t> </w:t>
      </w:r>
      <w:r>
        <w:rPr>
          <w:color w:val="231F20"/>
          <w:sz w:val="21"/>
        </w:rPr>
        <w:t>decir;</w:t>
      </w:r>
      <w:r>
        <w:rPr>
          <w:color w:val="231F20"/>
          <w:spacing w:val="9"/>
          <w:sz w:val="21"/>
        </w:rPr>
        <w:t> </w:t>
      </w:r>
      <w:r>
        <w:rPr>
          <w:i/>
          <w:color w:val="010202"/>
          <w:w w:val="98"/>
          <w:position w:val="8"/>
          <w:sz w:val="18"/>
        </w:rPr>
        <w:t>V</w:t>
      </w:r>
      <w:r>
        <w:rPr>
          <w:i/>
          <w:color w:val="010202"/>
          <w:position w:val="8"/>
          <w:sz w:val="18"/>
        </w:rPr>
        <w:t> </w:t>
      </w:r>
      <w:r>
        <w:rPr>
          <w:i/>
          <w:color w:val="010202"/>
          <w:spacing w:val="-18"/>
          <w:position w:val="8"/>
          <w:sz w:val="18"/>
        </w:rPr>
        <w:t> </w:t>
      </w:r>
      <w:r>
        <w:rPr>
          <w:rFonts w:ascii="Symbol" w:hAnsi="Symbol"/>
          <w:color w:val="010202"/>
          <w:w w:val="98"/>
          <w:position w:val="8"/>
          <w:sz w:val="18"/>
        </w:rPr>
        <w:t></w:t>
      </w:r>
      <w:r>
        <w:rPr>
          <w:color w:val="010202"/>
          <w:spacing w:val="-18"/>
          <w:position w:val="8"/>
          <w:sz w:val="18"/>
        </w:rPr>
        <w:t> </w:t>
      </w:r>
      <w:r>
        <w:rPr>
          <w:color w:val="010202"/>
          <w:w w:val="98"/>
          <w:position w:val="8"/>
          <w:sz w:val="18"/>
        </w:rPr>
        <w:t>10000</w:t>
      </w:r>
      <w:r>
        <w:rPr>
          <w:color w:val="010202"/>
          <w:spacing w:val="5"/>
          <w:position w:val="8"/>
          <w:sz w:val="18"/>
        </w:rPr>
        <w:t> </w:t>
      </w:r>
      <w:r>
        <w:rPr>
          <w:i/>
          <w:color w:val="010202"/>
          <w:spacing w:val="-96"/>
          <w:w w:val="98"/>
          <w:position w:val="8"/>
          <w:sz w:val="18"/>
        </w:rPr>
        <w:t>L</w:t>
      </w:r>
      <w:r>
        <w:rPr>
          <w:i/>
          <w:color w:val="010202"/>
          <w:w w:val="98"/>
          <w:position w:val="8"/>
          <w:sz w:val="18"/>
        </w:rPr>
        <w:t>R</w:t>
      </w:r>
      <w:r>
        <w:rPr>
          <w:i/>
          <w:color w:val="010202"/>
          <w:position w:val="8"/>
          <w:sz w:val="18"/>
        </w:rPr>
        <w:t>  </w:t>
      </w:r>
      <w:r>
        <w:rPr>
          <w:i/>
          <w:color w:val="010202"/>
          <w:spacing w:val="-6"/>
          <w:position w:val="8"/>
          <w:sz w:val="18"/>
        </w:rPr>
        <w:t> </w:t>
      </w:r>
      <w:r>
        <w:rPr>
          <w:color w:val="231F20"/>
          <w:sz w:val="21"/>
        </w:rPr>
        <w:t>.</w:t>
      </w:r>
    </w:p>
    <w:p>
      <w:pPr>
        <w:pStyle w:val="BodyText"/>
        <w:spacing w:before="1"/>
        <w:rPr>
          <w:sz w:val="16"/>
        </w:rPr>
      </w:pPr>
    </w:p>
    <w:p>
      <w:pPr>
        <w:pStyle w:val="BodyText"/>
        <w:tabs>
          <w:tab w:pos="6438" w:val="left" w:leader="none"/>
        </w:tabs>
        <w:spacing w:before="73"/>
        <w:ind w:left="1270"/>
      </w:pPr>
      <w:r>
        <w:rPr/>
        <w:pict>
          <v:shape style="position:absolute;margin-left:295.631287pt;margin-top:12.022923pt;width:3.1pt;height:6.15pt;mso-position-horizontal-relative:page;mso-position-vertical-relative:paragraph;z-index:-206248" type="#_x0000_t202" filled="false" stroked="false">
            <v:textbox inset="0,0,0,0">
              <w:txbxContent>
                <w:p>
                  <w:pPr>
                    <w:spacing w:line="122" w:lineRule="exact" w:before="0"/>
                    <w:ind w:left="0" w:right="0" w:firstLine="0"/>
                    <w:jc w:val="left"/>
                    <w:rPr>
                      <w:sz w:val="12"/>
                    </w:rPr>
                  </w:pPr>
                  <w:r>
                    <w:rPr>
                      <w:color w:val="231F20"/>
                      <w:w w:val="102"/>
                      <w:sz w:val="12"/>
                    </w:rPr>
                    <w:t>1</w:t>
                  </w:r>
                </w:p>
              </w:txbxContent>
            </v:textbox>
            <w10:wrap type="none"/>
          </v:shape>
        </w:pict>
      </w:r>
      <w:r>
        <w:rPr/>
        <w:pict>
          <v:shape style="position:absolute;margin-left:301.445099pt;margin-top:5.00316pt;width:14.65pt;height:10.5pt;mso-position-horizontal-relative:page;mso-position-vertical-relative:paragraph;z-index:-206224" type="#_x0000_t202" filled="false" stroked="false">
            <v:textbox inset="0,0,0,0">
              <w:txbxContent>
                <w:p>
                  <w:pPr>
                    <w:pStyle w:val="BodyText"/>
                    <w:spacing w:line="210" w:lineRule="exact"/>
                    <w:ind w:right="-19"/>
                  </w:pPr>
                  <w:r>
                    <w:rPr>
                      <w:color w:val="231F20"/>
                    </w:rPr>
                    <w:t>a</w:t>
                  </w:r>
                  <w:r>
                    <w:rPr>
                      <w:color w:val="231F20"/>
                      <w:spacing w:val="-6"/>
                    </w:rPr>
                    <w:t> </w:t>
                  </w:r>
                  <w:r>
                    <w:rPr>
                      <w:color w:val="231F20"/>
                    </w:rPr>
                    <w:t>Y</w:t>
                  </w:r>
                </w:p>
              </w:txbxContent>
            </v:textbox>
            <w10:wrap type="none"/>
          </v:shape>
        </w:pict>
      </w:r>
      <w:r>
        <w:rPr/>
        <w:pict>
          <v:shape style="position:absolute;margin-left:316.051605pt;margin-top:12.022923pt;width:5.7pt;height:6.15pt;mso-position-horizontal-relative:page;mso-position-vertical-relative:paragraph;z-index:-206200" type="#_x0000_t202" filled="false" stroked="false">
            <v:textbox inset="0,0,0,0">
              <w:txbxContent>
                <w:p>
                  <w:pPr>
                    <w:spacing w:line="122" w:lineRule="exact" w:before="0"/>
                    <w:ind w:left="0" w:right="-16" w:firstLine="0"/>
                    <w:jc w:val="left"/>
                    <w:rPr>
                      <w:sz w:val="12"/>
                    </w:rPr>
                  </w:pPr>
                  <w:r>
                    <w:rPr>
                      <w:color w:val="231F20"/>
                      <w:spacing w:val="-5"/>
                      <w:sz w:val="12"/>
                    </w:rPr>
                    <w:t>11</w:t>
                  </w:r>
                </w:p>
              </w:txbxContent>
            </v:textbox>
            <w10:wrap type="none"/>
          </v:shape>
        </w:pict>
      </w:r>
      <w:r>
        <w:rPr>
          <w:color w:val="231F20"/>
        </w:rPr>
        <w:t>Las once ecuaciones matemáticas de las variables</w:t>
      </w:r>
      <w:r>
        <w:rPr>
          <w:color w:val="231F20"/>
          <w:spacing w:val="12"/>
        </w:rPr>
        <w:t> </w:t>
      </w:r>
      <w:r>
        <w:rPr>
          <w:color w:val="231F20"/>
        </w:rPr>
        <w:t>de</w:t>
      </w:r>
      <w:r>
        <w:rPr>
          <w:color w:val="231F20"/>
          <w:spacing w:val="-6"/>
        </w:rPr>
        <w:t> </w:t>
      </w:r>
      <w:r>
        <w:rPr>
          <w:color w:val="231F20"/>
        </w:rPr>
        <w:t>Y</w:t>
        <w:tab/>
        <w:t>, y señaladas a continuación, se</w:t>
      </w:r>
      <w:r>
        <w:rPr>
          <w:color w:val="231F20"/>
          <w:spacing w:val="2"/>
        </w:rPr>
        <w:t> </w:t>
      </w:r>
      <w:r>
        <w:rPr>
          <w:color w:val="231F20"/>
        </w:rPr>
        <w:t>calcu-</w:t>
      </w:r>
    </w:p>
    <w:p>
      <w:pPr>
        <w:pStyle w:val="BodyText"/>
        <w:spacing w:before="8"/>
        <w:ind w:left="1270" w:right="1279"/>
      </w:pPr>
      <w:r>
        <w:rPr>
          <w:color w:val="231F20"/>
        </w:rPr>
        <w:t>laron para ambos cultivos en el Distrito de Riego 017 de La Comarca lagunera:</w:t>
      </w:r>
    </w:p>
    <w:p>
      <w:pPr>
        <w:spacing w:after="0"/>
        <w:sectPr>
          <w:pgSz w:w="10920" w:h="13080"/>
          <w:pgMar w:header="0" w:footer="965" w:top="420" w:bottom="1220" w:left="0" w:right="0"/>
        </w:sectPr>
      </w:pPr>
    </w:p>
    <w:p>
      <w:pPr>
        <w:pStyle w:val="BodyText"/>
        <w:rPr>
          <w:sz w:val="20"/>
        </w:rPr>
      </w:pPr>
    </w:p>
    <w:p>
      <w:pPr>
        <w:pStyle w:val="BodyText"/>
        <w:rPr>
          <w:sz w:val="20"/>
        </w:rPr>
      </w:pPr>
    </w:p>
    <w:p>
      <w:pPr>
        <w:pStyle w:val="BodyText"/>
        <w:rPr>
          <w:sz w:val="20"/>
        </w:rPr>
      </w:pPr>
    </w:p>
    <w:p>
      <w:pPr>
        <w:pStyle w:val="BodyText"/>
        <w:spacing w:before="8"/>
        <w:rPr>
          <w:sz w:val="13"/>
        </w:rPr>
      </w:pPr>
    </w:p>
    <w:p>
      <w:pPr>
        <w:pStyle w:val="BodyText"/>
        <w:ind w:left="1270"/>
        <w:rPr>
          <w:sz w:val="20"/>
        </w:rPr>
      </w:pPr>
      <w:r>
        <w:rPr>
          <w:sz w:val="20"/>
        </w:rPr>
        <w:drawing>
          <wp:inline distT="0" distB="0" distL="0" distR="0">
            <wp:extent cx="1185873" cy="271462"/>
            <wp:effectExtent l="0" t="0" r="0" b="0"/>
            <wp:docPr id="219" name="image45.jpeg" descr=""/>
            <wp:cNvGraphicFramePr>
              <a:graphicFrameLocks noChangeAspect="1"/>
            </wp:cNvGraphicFramePr>
            <a:graphic>
              <a:graphicData uri="http://schemas.openxmlformats.org/drawingml/2006/picture">
                <pic:pic>
                  <pic:nvPicPr>
                    <pic:cNvPr id="220" name="image45.jpeg"/>
                    <pic:cNvPicPr/>
                  </pic:nvPicPr>
                  <pic:blipFill>
                    <a:blip r:embed="rId69" cstate="print"/>
                    <a:stretch>
                      <a:fillRect/>
                    </a:stretch>
                  </pic:blipFill>
                  <pic:spPr>
                    <a:xfrm>
                      <a:off x="0" y="0"/>
                      <a:ext cx="1185873" cy="271462"/>
                    </a:xfrm>
                    <a:prstGeom prst="rect">
                      <a:avLst/>
                    </a:prstGeom>
                  </pic:spPr>
                </pic:pic>
              </a:graphicData>
            </a:graphic>
          </wp:inline>
        </w:drawing>
      </w:r>
      <w:r>
        <w:rPr>
          <w:sz w:val="20"/>
        </w:rPr>
      </w:r>
    </w:p>
    <w:p>
      <w:pPr>
        <w:pStyle w:val="BodyText"/>
        <w:spacing w:before="5"/>
        <w:rPr>
          <w:sz w:val="17"/>
        </w:rPr>
      </w:pPr>
      <w:r>
        <w:rPr/>
        <w:pict>
          <v:group style="position:absolute;margin-left:63.519684pt;margin-top:11.985579pt;width:130.5pt;height:46.65pt;mso-position-horizontal-relative:page;mso-position-vertical-relative:paragraph;z-index:6640;mso-wrap-distance-left:0;mso-wrap-distance-right:0" coordorigin="1270,240" coordsize="2610,933">
            <v:shape style="position:absolute;left:1270;top:240;width:2036;height:450" type="#_x0000_t75" stroked="false">
              <v:imagedata r:id="rId70" o:title=""/>
            </v:shape>
            <v:shape style="position:absolute;left:1270;top:734;width:2610;height:439" type="#_x0000_t75" stroked="false">
              <v:imagedata r:id="rId71" o:title=""/>
            </v:shape>
            <w10:wrap type="topAndBottom"/>
          </v:group>
        </w:pict>
      </w:r>
      <w:r>
        <w:rPr/>
        <w:drawing>
          <wp:anchor distT="0" distB="0" distL="0" distR="0" allowOverlap="1" layoutInCell="1" locked="0" behindDoc="0" simplePos="0" relativeHeight="6664">
            <wp:simplePos x="0" y="0"/>
            <wp:positionH relativeFrom="page">
              <wp:posOffset>806699</wp:posOffset>
            </wp:positionH>
            <wp:positionV relativeFrom="paragraph">
              <wp:posOffset>848664</wp:posOffset>
            </wp:positionV>
            <wp:extent cx="2028888" cy="321468"/>
            <wp:effectExtent l="0" t="0" r="0" b="0"/>
            <wp:wrapTopAndBottom/>
            <wp:docPr id="221" name="image94.jpeg" descr=""/>
            <wp:cNvGraphicFramePr>
              <a:graphicFrameLocks noChangeAspect="1"/>
            </wp:cNvGraphicFramePr>
            <a:graphic>
              <a:graphicData uri="http://schemas.openxmlformats.org/drawingml/2006/picture">
                <pic:pic>
                  <pic:nvPicPr>
                    <pic:cNvPr id="222" name="image94.jpeg"/>
                    <pic:cNvPicPr/>
                  </pic:nvPicPr>
                  <pic:blipFill>
                    <a:blip r:embed="rId145" cstate="print"/>
                    <a:stretch>
                      <a:fillRect/>
                    </a:stretch>
                  </pic:blipFill>
                  <pic:spPr>
                    <a:xfrm>
                      <a:off x="0" y="0"/>
                      <a:ext cx="2028888" cy="321468"/>
                    </a:xfrm>
                    <a:prstGeom prst="rect">
                      <a:avLst/>
                    </a:prstGeom>
                  </pic:spPr>
                </pic:pic>
              </a:graphicData>
            </a:graphic>
          </wp:anchor>
        </w:drawing>
      </w:r>
      <w:r>
        <w:rPr/>
        <w:drawing>
          <wp:anchor distT="0" distB="0" distL="0" distR="0" allowOverlap="1" layoutInCell="1" locked="0" behindDoc="0" simplePos="0" relativeHeight="6688">
            <wp:simplePos x="0" y="0"/>
            <wp:positionH relativeFrom="page">
              <wp:posOffset>806699</wp:posOffset>
            </wp:positionH>
            <wp:positionV relativeFrom="paragraph">
              <wp:posOffset>1274267</wp:posOffset>
            </wp:positionV>
            <wp:extent cx="1678806" cy="264318"/>
            <wp:effectExtent l="0" t="0" r="0" b="0"/>
            <wp:wrapTopAndBottom/>
            <wp:docPr id="223" name="image95.jpeg" descr=""/>
            <wp:cNvGraphicFramePr>
              <a:graphicFrameLocks noChangeAspect="1"/>
            </wp:cNvGraphicFramePr>
            <a:graphic>
              <a:graphicData uri="http://schemas.openxmlformats.org/drawingml/2006/picture">
                <pic:pic>
                  <pic:nvPicPr>
                    <pic:cNvPr id="224" name="image95.jpeg"/>
                    <pic:cNvPicPr/>
                  </pic:nvPicPr>
                  <pic:blipFill>
                    <a:blip r:embed="rId146" cstate="print"/>
                    <a:stretch>
                      <a:fillRect/>
                    </a:stretch>
                  </pic:blipFill>
                  <pic:spPr>
                    <a:xfrm>
                      <a:off x="0" y="0"/>
                      <a:ext cx="1678806" cy="264318"/>
                    </a:xfrm>
                    <a:prstGeom prst="rect">
                      <a:avLst/>
                    </a:prstGeom>
                  </pic:spPr>
                </pic:pic>
              </a:graphicData>
            </a:graphic>
          </wp:anchor>
        </w:drawing>
      </w:r>
      <w:r>
        <w:rPr/>
        <w:drawing>
          <wp:anchor distT="0" distB="0" distL="0" distR="0" allowOverlap="1" layoutInCell="1" locked="0" behindDoc="0" simplePos="0" relativeHeight="6712">
            <wp:simplePos x="0" y="0"/>
            <wp:positionH relativeFrom="page">
              <wp:posOffset>806699</wp:posOffset>
            </wp:positionH>
            <wp:positionV relativeFrom="paragraph">
              <wp:posOffset>1642732</wp:posOffset>
            </wp:positionV>
            <wp:extent cx="1185898" cy="307181"/>
            <wp:effectExtent l="0" t="0" r="0" b="0"/>
            <wp:wrapTopAndBottom/>
            <wp:docPr id="225" name="image96.jpeg" descr=""/>
            <wp:cNvGraphicFramePr>
              <a:graphicFrameLocks noChangeAspect="1"/>
            </wp:cNvGraphicFramePr>
            <a:graphic>
              <a:graphicData uri="http://schemas.openxmlformats.org/drawingml/2006/picture">
                <pic:pic>
                  <pic:nvPicPr>
                    <pic:cNvPr id="226" name="image96.jpeg"/>
                    <pic:cNvPicPr/>
                  </pic:nvPicPr>
                  <pic:blipFill>
                    <a:blip r:embed="rId147" cstate="print"/>
                    <a:stretch>
                      <a:fillRect/>
                    </a:stretch>
                  </pic:blipFill>
                  <pic:spPr>
                    <a:xfrm>
                      <a:off x="0" y="0"/>
                      <a:ext cx="1185898" cy="307181"/>
                    </a:xfrm>
                    <a:prstGeom prst="rect">
                      <a:avLst/>
                    </a:prstGeom>
                  </pic:spPr>
                </pic:pic>
              </a:graphicData>
            </a:graphic>
          </wp:anchor>
        </w:drawing>
      </w:r>
      <w:r>
        <w:rPr/>
        <w:drawing>
          <wp:anchor distT="0" distB="0" distL="0" distR="0" allowOverlap="1" layoutInCell="1" locked="0" behindDoc="0" simplePos="0" relativeHeight="6736">
            <wp:simplePos x="0" y="0"/>
            <wp:positionH relativeFrom="page">
              <wp:posOffset>806699</wp:posOffset>
            </wp:positionH>
            <wp:positionV relativeFrom="paragraph">
              <wp:posOffset>2054047</wp:posOffset>
            </wp:positionV>
            <wp:extent cx="1293041" cy="321468"/>
            <wp:effectExtent l="0" t="0" r="0" b="0"/>
            <wp:wrapTopAndBottom/>
            <wp:docPr id="227" name="image51.jpeg" descr=""/>
            <wp:cNvGraphicFramePr>
              <a:graphicFrameLocks noChangeAspect="1"/>
            </wp:cNvGraphicFramePr>
            <a:graphic>
              <a:graphicData uri="http://schemas.openxmlformats.org/drawingml/2006/picture">
                <pic:pic>
                  <pic:nvPicPr>
                    <pic:cNvPr id="228" name="image51.jpeg"/>
                    <pic:cNvPicPr/>
                  </pic:nvPicPr>
                  <pic:blipFill>
                    <a:blip r:embed="rId75" cstate="print"/>
                    <a:stretch>
                      <a:fillRect/>
                    </a:stretch>
                  </pic:blipFill>
                  <pic:spPr>
                    <a:xfrm>
                      <a:off x="0" y="0"/>
                      <a:ext cx="1293041" cy="321468"/>
                    </a:xfrm>
                    <a:prstGeom prst="rect">
                      <a:avLst/>
                    </a:prstGeom>
                  </pic:spPr>
                </pic:pic>
              </a:graphicData>
            </a:graphic>
          </wp:anchor>
        </w:drawing>
      </w:r>
      <w:r>
        <w:rPr/>
        <w:drawing>
          <wp:anchor distT="0" distB="0" distL="0" distR="0" allowOverlap="1" layoutInCell="1" locked="0" behindDoc="0" simplePos="0" relativeHeight="6760">
            <wp:simplePos x="0" y="0"/>
            <wp:positionH relativeFrom="page">
              <wp:posOffset>806699</wp:posOffset>
            </wp:positionH>
            <wp:positionV relativeFrom="paragraph">
              <wp:posOffset>2479650</wp:posOffset>
            </wp:positionV>
            <wp:extent cx="1371620" cy="350043"/>
            <wp:effectExtent l="0" t="0" r="0" b="0"/>
            <wp:wrapTopAndBottom/>
            <wp:docPr id="229" name="image97.jpeg" descr=""/>
            <wp:cNvGraphicFramePr>
              <a:graphicFrameLocks noChangeAspect="1"/>
            </wp:cNvGraphicFramePr>
            <a:graphic>
              <a:graphicData uri="http://schemas.openxmlformats.org/drawingml/2006/picture">
                <pic:pic>
                  <pic:nvPicPr>
                    <pic:cNvPr id="230" name="image97.jpeg"/>
                    <pic:cNvPicPr/>
                  </pic:nvPicPr>
                  <pic:blipFill>
                    <a:blip r:embed="rId148" cstate="print"/>
                    <a:stretch>
                      <a:fillRect/>
                    </a:stretch>
                  </pic:blipFill>
                  <pic:spPr>
                    <a:xfrm>
                      <a:off x="0" y="0"/>
                      <a:ext cx="1371620" cy="350043"/>
                    </a:xfrm>
                    <a:prstGeom prst="rect">
                      <a:avLst/>
                    </a:prstGeom>
                  </pic:spPr>
                </pic:pic>
              </a:graphicData>
            </a:graphic>
          </wp:anchor>
        </w:drawing>
      </w:r>
      <w:r>
        <w:rPr/>
        <w:drawing>
          <wp:anchor distT="0" distB="0" distL="0" distR="0" allowOverlap="1" layoutInCell="1" locked="0" behindDoc="0" simplePos="0" relativeHeight="6784">
            <wp:simplePos x="0" y="0"/>
            <wp:positionH relativeFrom="page">
              <wp:posOffset>806699</wp:posOffset>
            </wp:positionH>
            <wp:positionV relativeFrom="paragraph">
              <wp:posOffset>2933834</wp:posOffset>
            </wp:positionV>
            <wp:extent cx="507216" cy="300037"/>
            <wp:effectExtent l="0" t="0" r="0" b="0"/>
            <wp:wrapTopAndBottom/>
            <wp:docPr id="231" name="image53.jpeg" descr=""/>
            <wp:cNvGraphicFramePr>
              <a:graphicFrameLocks noChangeAspect="1"/>
            </wp:cNvGraphicFramePr>
            <a:graphic>
              <a:graphicData uri="http://schemas.openxmlformats.org/drawingml/2006/picture">
                <pic:pic>
                  <pic:nvPicPr>
                    <pic:cNvPr id="232" name="image53.jpeg"/>
                    <pic:cNvPicPr/>
                  </pic:nvPicPr>
                  <pic:blipFill>
                    <a:blip r:embed="rId77" cstate="print"/>
                    <a:stretch>
                      <a:fillRect/>
                    </a:stretch>
                  </pic:blipFill>
                  <pic:spPr>
                    <a:xfrm>
                      <a:off x="0" y="0"/>
                      <a:ext cx="507216" cy="300037"/>
                    </a:xfrm>
                    <a:prstGeom prst="rect">
                      <a:avLst/>
                    </a:prstGeom>
                  </pic:spPr>
                </pic:pic>
              </a:graphicData>
            </a:graphic>
          </wp:anchor>
        </w:drawing>
      </w:r>
      <w:r>
        <w:rPr/>
        <w:drawing>
          <wp:anchor distT="0" distB="0" distL="0" distR="0" allowOverlap="1" layoutInCell="1" locked="0" behindDoc="0" simplePos="0" relativeHeight="6808">
            <wp:simplePos x="0" y="0"/>
            <wp:positionH relativeFrom="page">
              <wp:posOffset>806699</wp:posOffset>
            </wp:positionH>
            <wp:positionV relativeFrom="paragraph">
              <wp:posOffset>3338017</wp:posOffset>
            </wp:positionV>
            <wp:extent cx="2043144" cy="321468"/>
            <wp:effectExtent l="0" t="0" r="0" b="0"/>
            <wp:wrapTopAndBottom/>
            <wp:docPr id="233" name="image98.jpeg" descr=""/>
            <wp:cNvGraphicFramePr>
              <a:graphicFrameLocks noChangeAspect="1"/>
            </wp:cNvGraphicFramePr>
            <a:graphic>
              <a:graphicData uri="http://schemas.openxmlformats.org/drawingml/2006/picture">
                <pic:pic>
                  <pic:nvPicPr>
                    <pic:cNvPr id="234" name="image98.jpeg"/>
                    <pic:cNvPicPr/>
                  </pic:nvPicPr>
                  <pic:blipFill>
                    <a:blip r:embed="rId149" cstate="print"/>
                    <a:stretch>
                      <a:fillRect/>
                    </a:stretch>
                  </pic:blipFill>
                  <pic:spPr>
                    <a:xfrm>
                      <a:off x="0" y="0"/>
                      <a:ext cx="2043144" cy="321468"/>
                    </a:xfrm>
                    <a:prstGeom prst="rect">
                      <a:avLst/>
                    </a:prstGeom>
                  </pic:spPr>
                </pic:pic>
              </a:graphicData>
            </a:graphic>
          </wp:anchor>
        </w:drawing>
      </w:r>
      <w:r>
        <w:rPr/>
        <w:drawing>
          <wp:anchor distT="0" distB="0" distL="0" distR="0" allowOverlap="1" layoutInCell="1" locked="0" behindDoc="0" simplePos="0" relativeHeight="6832">
            <wp:simplePos x="0" y="0"/>
            <wp:positionH relativeFrom="page">
              <wp:posOffset>806699</wp:posOffset>
            </wp:positionH>
            <wp:positionV relativeFrom="paragraph">
              <wp:posOffset>3763632</wp:posOffset>
            </wp:positionV>
            <wp:extent cx="528648" cy="314325"/>
            <wp:effectExtent l="0" t="0" r="0" b="0"/>
            <wp:wrapTopAndBottom/>
            <wp:docPr id="235" name="image99.jpeg" descr=""/>
            <wp:cNvGraphicFramePr>
              <a:graphicFrameLocks noChangeAspect="1"/>
            </wp:cNvGraphicFramePr>
            <a:graphic>
              <a:graphicData uri="http://schemas.openxmlformats.org/drawingml/2006/picture">
                <pic:pic>
                  <pic:nvPicPr>
                    <pic:cNvPr id="236" name="image99.jpeg"/>
                    <pic:cNvPicPr/>
                  </pic:nvPicPr>
                  <pic:blipFill>
                    <a:blip r:embed="rId150" cstate="print"/>
                    <a:stretch>
                      <a:fillRect/>
                    </a:stretch>
                  </pic:blipFill>
                  <pic:spPr>
                    <a:xfrm>
                      <a:off x="0" y="0"/>
                      <a:ext cx="528648" cy="314325"/>
                    </a:xfrm>
                    <a:prstGeom prst="rect">
                      <a:avLst/>
                    </a:prstGeom>
                  </pic:spPr>
                </pic:pic>
              </a:graphicData>
            </a:graphic>
          </wp:anchor>
        </w:drawing>
      </w:r>
    </w:p>
    <w:p>
      <w:pPr>
        <w:pStyle w:val="BodyText"/>
        <w:spacing w:before="4"/>
        <w:rPr>
          <w:sz w:val="8"/>
        </w:rPr>
      </w:pPr>
    </w:p>
    <w:p>
      <w:pPr>
        <w:pStyle w:val="BodyText"/>
        <w:spacing w:before="4"/>
        <w:rPr>
          <w:sz w:val="8"/>
        </w:rPr>
      </w:pPr>
    </w:p>
    <w:p>
      <w:pPr>
        <w:pStyle w:val="BodyText"/>
        <w:spacing w:before="4"/>
        <w:rPr>
          <w:sz w:val="8"/>
        </w:rPr>
      </w:pPr>
    </w:p>
    <w:p>
      <w:pPr>
        <w:pStyle w:val="BodyText"/>
        <w:spacing w:before="4"/>
        <w:rPr>
          <w:sz w:val="8"/>
        </w:rPr>
      </w:pPr>
    </w:p>
    <w:p>
      <w:pPr>
        <w:pStyle w:val="BodyText"/>
        <w:spacing w:before="4"/>
        <w:rPr>
          <w:sz w:val="8"/>
        </w:rPr>
      </w:pPr>
    </w:p>
    <w:p>
      <w:pPr>
        <w:pStyle w:val="BodyText"/>
        <w:spacing w:before="4"/>
        <w:rPr>
          <w:sz w:val="8"/>
        </w:rPr>
      </w:pPr>
    </w:p>
    <w:p>
      <w:pPr>
        <w:pStyle w:val="BodyText"/>
        <w:spacing w:before="4"/>
        <w:rPr>
          <w:sz w:val="8"/>
        </w:rPr>
      </w:pPr>
    </w:p>
    <w:p>
      <w:pPr>
        <w:pStyle w:val="BodyText"/>
        <w:spacing w:before="4"/>
        <w:rPr>
          <w:sz w:val="8"/>
        </w:rPr>
      </w:pPr>
    </w:p>
    <w:p>
      <w:pPr>
        <w:pStyle w:val="BodyText"/>
        <w:spacing w:before="25"/>
        <w:ind w:left="1270" w:right="5337"/>
      </w:pPr>
      <w:r>
        <w:rPr>
          <w:color w:val="231F20"/>
        </w:rPr>
        <w:t>Donde:</w:t>
      </w:r>
    </w:p>
    <w:p>
      <w:pPr>
        <w:pStyle w:val="BodyText"/>
        <w:spacing w:before="8"/>
        <w:ind w:left="1270" w:right="5337"/>
      </w:pPr>
      <w:r>
        <w:rPr>
          <w:i/>
          <w:color w:val="231F20"/>
        </w:rPr>
        <w:t>LR </w:t>
      </w:r>
      <w:r>
        <w:rPr>
          <w:color w:val="231F20"/>
        </w:rPr>
        <w:t>= Lámina de riego (m)</w:t>
      </w:r>
    </w:p>
    <w:p>
      <w:pPr>
        <w:pStyle w:val="BodyText"/>
        <w:spacing w:before="8"/>
        <w:ind w:left="1270" w:right="5337"/>
      </w:pPr>
      <w:r>
        <w:rPr>
          <w:i/>
          <w:color w:val="231F20"/>
        </w:rPr>
        <w:t>V</w:t>
      </w:r>
      <w:r>
        <w:rPr>
          <w:color w:val="231F20"/>
        </w:rPr>
        <w:t>= Volumen de agua utilizado (m</w:t>
      </w:r>
      <w:r>
        <w:rPr>
          <w:color w:val="231F20"/>
          <w:position w:val="7"/>
          <w:sz w:val="12"/>
        </w:rPr>
        <w:t>3</w:t>
      </w:r>
      <w:r>
        <w:rPr>
          <w:color w:val="231F20"/>
        </w:rPr>
        <w:t>) = LR</w:t>
      </w:r>
      <w:r>
        <w:rPr>
          <w:color w:val="231F20"/>
          <w:position w:val="7"/>
          <w:sz w:val="12"/>
        </w:rPr>
        <w:t>*</w:t>
      </w:r>
      <w:r>
        <w:rPr>
          <w:color w:val="231F20"/>
        </w:rPr>
        <w:t>10000</w:t>
      </w:r>
    </w:p>
    <w:p>
      <w:pPr>
        <w:pStyle w:val="BodyText"/>
        <w:spacing w:before="8"/>
        <w:ind w:left="1270" w:right="5337"/>
      </w:pPr>
      <w:r>
        <w:rPr>
          <w:i/>
          <w:color w:val="231F20"/>
        </w:rPr>
        <w:t>RF</w:t>
      </w:r>
      <w:r>
        <w:rPr>
          <w:color w:val="231F20"/>
        </w:rPr>
        <w:t>= Rendimiento físico por hectárea (ton/ha)</w:t>
      </w:r>
    </w:p>
    <w:p>
      <w:pPr>
        <w:pStyle w:val="BodyText"/>
        <w:spacing w:before="8"/>
        <w:ind w:left="1270" w:right="1279"/>
      </w:pPr>
      <w:r>
        <w:rPr>
          <w:i/>
          <w:color w:val="231F20"/>
        </w:rPr>
        <w:t>I</w:t>
      </w:r>
      <w:r>
        <w:rPr>
          <w:color w:val="231F20"/>
        </w:rPr>
        <w:t>= </w:t>
      </w:r>
      <w:r>
        <w:rPr>
          <w:i/>
          <w:color w:val="231F20"/>
        </w:rPr>
        <w:t>RM</w:t>
      </w:r>
      <w:r>
        <w:rPr>
          <w:color w:val="231F20"/>
        </w:rPr>
        <w:t>= Ingreso o rendimiento monetario por hectárea (en pesos de 2009)</w:t>
      </w:r>
    </w:p>
    <w:p>
      <w:pPr>
        <w:pStyle w:val="BodyText"/>
        <w:spacing w:before="8"/>
        <w:ind w:left="1270" w:right="5337"/>
      </w:pPr>
      <w:r>
        <w:rPr>
          <w:i/>
          <w:color w:val="231F20"/>
        </w:rPr>
        <w:t>C </w:t>
      </w:r>
      <w:r>
        <w:rPr>
          <w:color w:val="231F20"/>
        </w:rPr>
        <w:t>= Costo por hectárea (en pesos de 2009)</w:t>
      </w:r>
    </w:p>
    <w:p>
      <w:pPr>
        <w:pStyle w:val="BodyText"/>
        <w:spacing w:before="8"/>
        <w:ind w:left="1270" w:right="1279"/>
      </w:pPr>
      <w:r>
        <w:rPr>
          <w:i/>
          <w:color w:val="231F20"/>
        </w:rPr>
        <w:t>U </w:t>
      </w:r>
      <w:r>
        <w:rPr>
          <w:color w:val="231F20"/>
        </w:rPr>
        <w:t>= Utilidad o ganancia bruta por hectárea (en pesos de 2009) = I - C</w:t>
      </w:r>
    </w:p>
    <w:p>
      <w:pPr>
        <w:pStyle w:val="BodyText"/>
        <w:spacing w:before="8"/>
        <w:ind w:left="1270" w:right="5337"/>
      </w:pPr>
      <w:r>
        <w:rPr>
          <w:i/>
          <w:color w:val="231F20"/>
        </w:rPr>
        <w:t>Pr </w:t>
      </w:r>
      <w:r>
        <w:rPr>
          <w:color w:val="231F20"/>
        </w:rPr>
        <w:t>= Precio real por tonelada (en pesos de 2009)</w:t>
      </w:r>
    </w:p>
    <w:p>
      <w:pPr>
        <w:pStyle w:val="BodyText"/>
        <w:spacing w:before="9"/>
        <w:ind w:left="1270" w:right="1279"/>
      </w:pPr>
      <w:r>
        <w:rPr>
          <w:i/>
          <w:color w:val="231F20"/>
        </w:rPr>
        <w:t>E </w:t>
      </w:r>
      <w:r>
        <w:rPr>
          <w:color w:val="231F20"/>
        </w:rPr>
        <w:t>= Número de empleos generados al año = S</w:t>
      </w:r>
      <w:r>
        <w:rPr>
          <w:color w:val="231F20"/>
          <w:position w:val="7"/>
          <w:sz w:val="12"/>
        </w:rPr>
        <w:t>*</w:t>
      </w:r>
      <w:r>
        <w:rPr>
          <w:color w:val="231F20"/>
        </w:rPr>
        <w:t>J/288.</w:t>
      </w:r>
    </w:p>
    <w:p>
      <w:pPr>
        <w:pStyle w:val="BodyText"/>
        <w:spacing w:before="8"/>
        <w:ind w:left="1270" w:right="5337"/>
      </w:pPr>
      <w:r>
        <w:rPr>
          <w:i/>
          <w:color w:val="231F20"/>
        </w:rPr>
        <w:t>S </w:t>
      </w:r>
      <w:r>
        <w:rPr>
          <w:color w:val="231F20"/>
        </w:rPr>
        <w:t>= Superficie cosechada (ha).</w:t>
      </w:r>
    </w:p>
    <w:p>
      <w:pPr>
        <w:pStyle w:val="BodyText"/>
        <w:spacing w:before="8"/>
        <w:ind w:left="1270" w:right="5337"/>
      </w:pPr>
      <w:r>
        <w:rPr>
          <w:i/>
          <w:color w:val="231F20"/>
        </w:rPr>
        <w:t>J </w:t>
      </w:r>
      <w:r>
        <w:rPr>
          <w:color w:val="231F20"/>
        </w:rPr>
        <w:t>= Numero de jornales por hectárea.</w:t>
      </w:r>
    </w:p>
    <w:p>
      <w:pPr>
        <w:pStyle w:val="BodyText"/>
        <w:spacing w:line="247" w:lineRule="auto" w:before="8"/>
        <w:ind w:left="1270" w:right="1279"/>
      </w:pPr>
      <w:r>
        <w:rPr>
          <w:color w:val="231F20"/>
        </w:rPr>
        <w:t>288 = Número de jornadas de trabajo al año por trabajador = 6 jornadas de trabajo por semana por 48 semanas al año.</w:t>
      </w:r>
    </w:p>
    <w:p>
      <w:pPr>
        <w:spacing w:after="0" w:line="247" w:lineRule="auto"/>
        <w:sectPr>
          <w:pgSz w:w="10920" w:h="13080"/>
          <w:pgMar w:header="0" w:footer="965" w:top="420" w:bottom="1220" w:left="0" w:right="0"/>
        </w:sectPr>
      </w:pPr>
    </w:p>
    <w:p>
      <w:pPr>
        <w:pStyle w:val="BodyText"/>
        <w:rPr>
          <w:sz w:val="20"/>
        </w:rPr>
      </w:pPr>
    </w:p>
    <w:p>
      <w:pPr>
        <w:pStyle w:val="BodyText"/>
        <w:rPr>
          <w:sz w:val="20"/>
        </w:rPr>
      </w:pPr>
    </w:p>
    <w:p>
      <w:pPr>
        <w:pStyle w:val="BodyText"/>
        <w:spacing w:before="4"/>
        <w:rPr>
          <w:sz w:val="22"/>
        </w:rPr>
      </w:pPr>
    </w:p>
    <w:p>
      <w:pPr>
        <w:pStyle w:val="Heading3"/>
        <w:spacing w:before="69"/>
      </w:pPr>
      <w:r>
        <w:rPr>
          <w:color w:val="010202"/>
        </w:rPr>
        <w:t>Análisis y discusión de resultados</w:t>
      </w:r>
    </w:p>
    <w:p>
      <w:pPr>
        <w:pStyle w:val="BodyText"/>
        <w:spacing w:before="10"/>
        <w:rPr>
          <w:b/>
        </w:rPr>
      </w:pPr>
    </w:p>
    <w:p>
      <w:pPr>
        <w:pStyle w:val="BodyText"/>
        <w:spacing w:line="247" w:lineRule="auto"/>
        <w:ind w:left="1270" w:right="1266"/>
        <w:jc w:val="both"/>
      </w:pPr>
      <w:r>
        <w:rPr>
          <w:color w:val="231F20"/>
          <w:spacing w:val="-5"/>
        </w:rPr>
        <w:t>Entorno</w:t>
      </w:r>
      <w:r>
        <w:rPr>
          <w:color w:val="231F20"/>
          <w:spacing w:val="-17"/>
        </w:rPr>
        <w:t> </w:t>
      </w:r>
      <w:r>
        <w:rPr>
          <w:color w:val="231F20"/>
          <w:spacing w:val="-5"/>
        </w:rPr>
        <w:t>macroeconómico</w:t>
      </w:r>
      <w:r>
        <w:rPr>
          <w:color w:val="231F20"/>
          <w:spacing w:val="-17"/>
        </w:rPr>
        <w:t> </w:t>
      </w:r>
      <w:r>
        <w:rPr>
          <w:color w:val="231F20"/>
          <w:spacing w:val="-3"/>
        </w:rPr>
        <w:t>de</w:t>
      </w:r>
      <w:r>
        <w:rPr>
          <w:color w:val="231F20"/>
          <w:spacing w:val="-17"/>
        </w:rPr>
        <w:t> </w:t>
      </w:r>
      <w:r>
        <w:rPr>
          <w:color w:val="231F20"/>
          <w:spacing w:val="-3"/>
        </w:rPr>
        <w:t>la</w:t>
      </w:r>
      <w:r>
        <w:rPr>
          <w:color w:val="231F20"/>
          <w:spacing w:val="-17"/>
        </w:rPr>
        <w:t> </w:t>
      </w:r>
      <w:r>
        <w:rPr>
          <w:color w:val="231F20"/>
          <w:spacing w:val="-5"/>
        </w:rPr>
        <w:t>eficiencia</w:t>
      </w:r>
      <w:r>
        <w:rPr>
          <w:color w:val="231F20"/>
          <w:spacing w:val="-17"/>
        </w:rPr>
        <w:t> </w:t>
      </w:r>
      <w:r>
        <w:rPr>
          <w:color w:val="231F20"/>
          <w:spacing w:val="-4"/>
        </w:rPr>
        <w:t>del</w:t>
      </w:r>
      <w:r>
        <w:rPr>
          <w:color w:val="231F20"/>
          <w:spacing w:val="-17"/>
        </w:rPr>
        <w:t> </w:t>
      </w:r>
      <w:r>
        <w:rPr>
          <w:color w:val="231F20"/>
          <w:spacing w:val="-4"/>
        </w:rPr>
        <w:t>uso</w:t>
      </w:r>
      <w:r>
        <w:rPr>
          <w:color w:val="231F20"/>
          <w:spacing w:val="-17"/>
        </w:rPr>
        <w:t> </w:t>
      </w:r>
      <w:r>
        <w:rPr>
          <w:color w:val="231F20"/>
          <w:spacing w:val="-4"/>
        </w:rPr>
        <w:t>del</w:t>
      </w:r>
      <w:r>
        <w:rPr>
          <w:color w:val="231F20"/>
          <w:spacing w:val="-17"/>
        </w:rPr>
        <w:t> </w:t>
      </w:r>
      <w:r>
        <w:rPr>
          <w:color w:val="231F20"/>
          <w:spacing w:val="-4"/>
        </w:rPr>
        <w:t>agua</w:t>
      </w:r>
      <w:r>
        <w:rPr>
          <w:color w:val="231F20"/>
          <w:spacing w:val="-17"/>
        </w:rPr>
        <w:t> </w:t>
      </w:r>
      <w:r>
        <w:rPr>
          <w:color w:val="231F20"/>
        </w:rPr>
        <w:t>y</w:t>
      </w:r>
      <w:r>
        <w:rPr>
          <w:color w:val="231F20"/>
          <w:spacing w:val="-17"/>
        </w:rPr>
        <w:t> </w:t>
      </w:r>
      <w:r>
        <w:rPr>
          <w:color w:val="231F20"/>
          <w:spacing w:val="-5"/>
        </w:rPr>
        <w:t>precio</w:t>
      </w:r>
      <w:r>
        <w:rPr>
          <w:color w:val="231F20"/>
          <w:spacing w:val="-17"/>
        </w:rPr>
        <w:t> </w:t>
      </w:r>
      <w:r>
        <w:rPr>
          <w:color w:val="231F20"/>
          <w:spacing w:val="-4"/>
        </w:rPr>
        <w:t>del</w:t>
      </w:r>
      <w:r>
        <w:rPr>
          <w:color w:val="231F20"/>
          <w:spacing w:val="-17"/>
        </w:rPr>
        <w:t> </w:t>
      </w:r>
      <w:r>
        <w:rPr>
          <w:color w:val="231F20"/>
          <w:spacing w:val="-4"/>
        </w:rPr>
        <w:t>agua</w:t>
      </w:r>
      <w:r>
        <w:rPr>
          <w:color w:val="231F20"/>
          <w:spacing w:val="-17"/>
        </w:rPr>
        <w:t> </w:t>
      </w:r>
      <w:r>
        <w:rPr>
          <w:color w:val="231F20"/>
          <w:spacing w:val="-3"/>
        </w:rPr>
        <w:t>en</w:t>
      </w:r>
      <w:r>
        <w:rPr>
          <w:color w:val="231F20"/>
          <w:spacing w:val="-17"/>
        </w:rPr>
        <w:t> </w:t>
      </w:r>
      <w:r>
        <w:rPr>
          <w:color w:val="231F20"/>
          <w:spacing w:val="-3"/>
        </w:rPr>
        <w:t>la</w:t>
      </w:r>
      <w:r>
        <w:rPr>
          <w:color w:val="231F20"/>
          <w:spacing w:val="-17"/>
        </w:rPr>
        <w:t> </w:t>
      </w:r>
      <w:r>
        <w:rPr>
          <w:color w:val="231F20"/>
          <w:spacing w:val="-5"/>
        </w:rPr>
        <w:t>producción</w:t>
      </w:r>
      <w:r>
        <w:rPr>
          <w:color w:val="231F20"/>
          <w:spacing w:val="-17"/>
        </w:rPr>
        <w:t> </w:t>
      </w:r>
      <w:r>
        <w:rPr>
          <w:color w:val="231F20"/>
          <w:spacing w:val="-3"/>
        </w:rPr>
        <w:t>de</w:t>
      </w:r>
      <w:r>
        <w:rPr>
          <w:color w:val="231F20"/>
          <w:spacing w:val="-17"/>
        </w:rPr>
        <w:t> </w:t>
      </w:r>
      <w:r>
        <w:rPr>
          <w:color w:val="231F20"/>
          <w:spacing w:val="-5"/>
        </w:rPr>
        <w:t>zacate</w:t>
      </w:r>
      <w:r>
        <w:rPr>
          <w:color w:val="231F20"/>
          <w:spacing w:val="-17"/>
        </w:rPr>
        <w:t> </w:t>
      </w:r>
      <w:r>
        <w:rPr>
          <w:color w:val="231F20"/>
          <w:spacing w:val="-4"/>
        </w:rPr>
        <w:t>ba- llico</w:t>
      </w:r>
      <w:r>
        <w:rPr>
          <w:color w:val="231F20"/>
          <w:spacing w:val="-15"/>
        </w:rPr>
        <w:t> </w:t>
      </w:r>
      <w:r>
        <w:rPr>
          <w:color w:val="231F20"/>
        </w:rPr>
        <w:t>y</w:t>
      </w:r>
      <w:r>
        <w:rPr>
          <w:color w:val="231F20"/>
          <w:spacing w:val="-27"/>
        </w:rPr>
        <w:t> </w:t>
      </w:r>
      <w:r>
        <w:rPr>
          <w:color w:val="231F20"/>
          <w:spacing w:val="-5"/>
        </w:rPr>
        <w:t>Alfalfa</w:t>
      </w:r>
      <w:r>
        <w:rPr>
          <w:color w:val="231F20"/>
          <w:spacing w:val="-15"/>
        </w:rPr>
        <w:t> </w:t>
      </w:r>
      <w:r>
        <w:rPr>
          <w:color w:val="231F20"/>
          <w:spacing w:val="-3"/>
        </w:rPr>
        <w:t>en</w:t>
      </w:r>
      <w:r>
        <w:rPr>
          <w:color w:val="231F20"/>
          <w:spacing w:val="-15"/>
        </w:rPr>
        <w:t> </w:t>
      </w:r>
      <w:r>
        <w:rPr>
          <w:color w:val="231F20"/>
          <w:spacing w:val="-3"/>
        </w:rPr>
        <w:t>el</w:t>
      </w:r>
      <w:r>
        <w:rPr>
          <w:color w:val="231F20"/>
          <w:spacing w:val="-15"/>
        </w:rPr>
        <w:t> </w:t>
      </w:r>
      <w:r>
        <w:rPr>
          <w:color w:val="231F20"/>
          <w:spacing w:val="-5"/>
        </w:rPr>
        <w:t>DR-017</w:t>
      </w:r>
      <w:r>
        <w:rPr>
          <w:color w:val="231F20"/>
          <w:spacing w:val="-15"/>
        </w:rPr>
        <w:t> </w:t>
      </w:r>
      <w:r>
        <w:rPr>
          <w:color w:val="231F20"/>
          <w:spacing w:val="-3"/>
        </w:rPr>
        <w:t>en</w:t>
      </w:r>
      <w:r>
        <w:rPr>
          <w:color w:val="231F20"/>
          <w:spacing w:val="-14"/>
        </w:rPr>
        <w:t> </w:t>
      </w:r>
      <w:r>
        <w:rPr>
          <w:color w:val="231F20"/>
          <w:spacing w:val="-3"/>
        </w:rPr>
        <w:t>La</w:t>
      </w:r>
      <w:r>
        <w:rPr>
          <w:color w:val="231F20"/>
          <w:spacing w:val="-15"/>
        </w:rPr>
        <w:t> </w:t>
      </w:r>
      <w:r>
        <w:rPr>
          <w:color w:val="231F20"/>
          <w:spacing w:val="-5"/>
        </w:rPr>
        <w:t>Comarca</w:t>
      </w:r>
      <w:r>
        <w:rPr>
          <w:color w:val="231F20"/>
          <w:spacing w:val="-15"/>
        </w:rPr>
        <w:t> </w:t>
      </w:r>
      <w:r>
        <w:rPr>
          <w:color w:val="231F20"/>
          <w:spacing w:val="-5"/>
        </w:rPr>
        <w:t>Lagunera.</w:t>
      </w:r>
      <w:r>
        <w:rPr>
          <w:color w:val="231F20"/>
          <w:spacing w:val="-15"/>
        </w:rPr>
        <w:t> </w:t>
      </w:r>
      <w:r>
        <w:rPr>
          <w:color w:val="231F20"/>
          <w:spacing w:val="-3"/>
        </w:rPr>
        <w:t>El</w:t>
      </w:r>
      <w:r>
        <w:rPr>
          <w:color w:val="231F20"/>
          <w:spacing w:val="-15"/>
        </w:rPr>
        <w:t> </w:t>
      </w:r>
      <w:r>
        <w:rPr>
          <w:color w:val="231F20"/>
          <w:spacing w:val="-4"/>
        </w:rPr>
        <w:t>nivel</w:t>
      </w:r>
      <w:r>
        <w:rPr>
          <w:color w:val="231F20"/>
          <w:spacing w:val="-15"/>
        </w:rPr>
        <w:t> </w:t>
      </w:r>
      <w:r>
        <w:rPr>
          <w:color w:val="231F20"/>
          <w:spacing w:val="-3"/>
        </w:rPr>
        <w:t>de</w:t>
      </w:r>
      <w:r>
        <w:rPr>
          <w:color w:val="231F20"/>
          <w:spacing w:val="-15"/>
        </w:rPr>
        <w:t> </w:t>
      </w:r>
      <w:r>
        <w:rPr>
          <w:color w:val="231F20"/>
          <w:spacing w:val="-5"/>
        </w:rPr>
        <w:t>agregación</w:t>
      </w:r>
      <w:r>
        <w:rPr>
          <w:color w:val="231F20"/>
          <w:spacing w:val="-15"/>
        </w:rPr>
        <w:t> </w:t>
      </w:r>
      <w:r>
        <w:rPr>
          <w:color w:val="231F20"/>
          <w:spacing w:val="-3"/>
        </w:rPr>
        <w:t>de</w:t>
      </w:r>
      <w:r>
        <w:rPr>
          <w:color w:val="231F20"/>
          <w:spacing w:val="-15"/>
        </w:rPr>
        <w:t> </w:t>
      </w:r>
      <w:r>
        <w:rPr>
          <w:color w:val="231F20"/>
          <w:spacing w:val="-4"/>
        </w:rPr>
        <w:t>este</w:t>
      </w:r>
      <w:r>
        <w:rPr>
          <w:color w:val="231F20"/>
          <w:spacing w:val="-15"/>
        </w:rPr>
        <w:t> </w:t>
      </w:r>
      <w:r>
        <w:rPr>
          <w:color w:val="231F20"/>
          <w:spacing w:val="-5"/>
        </w:rPr>
        <w:t>estudio,</w:t>
      </w:r>
      <w:r>
        <w:rPr>
          <w:color w:val="231F20"/>
          <w:spacing w:val="-15"/>
        </w:rPr>
        <w:t> </w:t>
      </w:r>
      <w:r>
        <w:rPr>
          <w:color w:val="231F20"/>
          <w:spacing w:val="-3"/>
        </w:rPr>
        <w:t>La</w:t>
      </w:r>
      <w:r>
        <w:rPr>
          <w:color w:val="231F20"/>
          <w:spacing w:val="-15"/>
        </w:rPr>
        <w:t> </w:t>
      </w:r>
      <w:r>
        <w:rPr>
          <w:color w:val="231F20"/>
          <w:spacing w:val="-5"/>
        </w:rPr>
        <w:t>Comarca Lagunera,</w:t>
      </w:r>
      <w:r>
        <w:rPr>
          <w:color w:val="231F20"/>
          <w:spacing w:val="-14"/>
        </w:rPr>
        <w:t> </w:t>
      </w:r>
      <w:r>
        <w:rPr>
          <w:color w:val="231F20"/>
          <w:spacing w:val="-4"/>
        </w:rPr>
        <w:t>sin</w:t>
      </w:r>
      <w:r>
        <w:rPr>
          <w:color w:val="231F20"/>
          <w:spacing w:val="-13"/>
        </w:rPr>
        <w:t> </w:t>
      </w:r>
      <w:r>
        <w:rPr>
          <w:color w:val="231F20"/>
          <w:spacing w:val="-5"/>
        </w:rPr>
        <w:t>desagregar</w:t>
      </w:r>
      <w:r>
        <w:rPr>
          <w:color w:val="231F20"/>
          <w:spacing w:val="-14"/>
        </w:rPr>
        <w:t> </w:t>
      </w:r>
      <w:r>
        <w:rPr>
          <w:color w:val="231F20"/>
          <w:spacing w:val="-3"/>
        </w:rPr>
        <w:t>en</w:t>
      </w:r>
      <w:r>
        <w:rPr>
          <w:color w:val="231F20"/>
          <w:spacing w:val="-14"/>
        </w:rPr>
        <w:t> </w:t>
      </w:r>
      <w:r>
        <w:rPr>
          <w:color w:val="231F20"/>
          <w:spacing w:val="-4"/>
        </w:rPr>
        <w:t>tipos</w:t>
      </w:r>
      <w:r>
        <w:rPr>
          <w:color w:val="231F20"/>
          <w:spacing w:val="-14"/>
        </w:rPr>
        <w:t> </w:t>
      </w:r>
      <w:r>
        <w:rPr>
          <w:color w:val="231F20"/>
          <w:spacing w:val="-3"/>
        </w:rPr>
        <w:t>de</w:t>
      </w:r>
      <w:r>
        <w:rPr>
          <w:color w:val="231F20"/>
          <w:spacing w:val="-14"/>
        </w:rPr>
        <w:t> </w:t>
      </w:r>
      <w:r>
        <w:rPr>
          <w:color w:val="231F20"/>
          <w:spacing w:val="-5"/>
        </w:rPr>
        <w:t>tenencia</w:t>
      </w:r>
      <w:r>
        <w:rPr>
          <w:color w:val="231F20"/>
          <w:spacing w:val="-14"/>
        </w:rPr>
        <w:t> </w:t>
      </w:r>
      <w:r>
        <w:rPr>
          <w:color w:val="231F20"/>
          <w:spacing w:val="-4"/>
        </w:rPr>
        <w:t>del</w:t>
      </w:r>
      <w:r>
        <w:rPr>
          <w:color w:val="231F20"/>
          <w:spacing w:val="-14"/>
        </w:rPr>
        <w:t> </w:t>
      </w:r>
      <w:r>
        <w:rPr>
          <w:color w:val="231F20"/>
          <w:spacing w:val="-4"/>
        </w:rPr>
        <w:t>suelo</w:t>
      </w:r>
      <w:r>
        <w:rPr>
          <w:color w:val="231F20"/>
          <w:spacing w:val="-13"/>
        </w:rPr>
        <w:t> </w:t>
      </w:r>
      <w:r>
        <w:rPr>
          <w:color w:val="231F20"/>
          <w:spacing w:val="-5"/>
        </w:rPr>
        <w:t>(Ejido</w:t>
      </w:r>
      <w:r>
        <w:rPr>
          <w:color w:val="231F20"/>
          <w:spacing w:val="-13"/>
        </w:rPr>
        <w:t> </w:t>
      </w:r>
      <w:r>
        <w:rPr>
          <w:color w:val="231F20"/>
          <w:spacing w:val="-4"/>
        </w:rPr>
        <w:t>y/o</w:t>
      </w:r>
      <w:r>
        <w:rPr>
          <w:color w:val="231F20"/>
          <w:spacing w:val="-14"/>
        </w:rPr>
        <w:t> </w:t>
      </w:r>
      <w:r>
        <w:rPr>
          <w:color w:val="231F20"/>
          <w:spacing w:val="-5"/>
        </w:rPr>
        <w:t>Pequeña</w:t>
      </w:r>
      <w:r>
        <w:rPr>
          <w:color w:val="231F20"/>
          <w:spacing w:val="-13"/>
        </w:rPr>
        <w:t> </w:t>
      </w:r>
      <w:r>
        <w:rPr>
          <w:color w:val="231F20"/>
          <w:spacing w:val="-5"/>
        </w:rPr>
        <w:t>Propiedad),</w:t>
      </w:r>
      <w:r>
        <w:rPr>
          <w:color w:val="231F20"/>
          <w:spacing w:val="-13"/>
        </w:rPr>
        <w:t> </w:t>
      </w:r>
      <w:r>
        <w:rPr>
          <w:color w:val="231F20"/>
          <w:spacing w:val="-4"/>
        </w:rPr>
        <w:t>fue</w:t>
      </w:r>
      <w:r>
        <w:rPr>
          <w:color w:val="231F20"/>
          <w:spacing w:val="-14"/>
        </w:rPr>
        <w:t> </w:t>
      </w:r>
      <w:r>
        <w:rPr>
          <w:color w:val="231F20"/>
          <w:spacing w:val="-5"/>
        </w:rPr>
        <w:t>efectuado</w:t>
      </w:r>
      <w:r>
        <w:rPr>
          <w:color w:val="231F20"/>
          <w:spacing w:val="-14"/>
        </w:rPr>
        <w:t> </w:t>
      </w:r>
      <w:r>
        <w:rPr>
          <w:color w:val="231F20"/>
          <w:spacing w:val="-5"/>
        </w:rPr>
        <w:t>para </w:t>
      </w:r>
      <w:r>
        <w:rPr>
          <w:color w:val="231F20"/>
          <w:spacing w:val="-4"/>
        </w:rPr>
        <w:t>los</w:t>
      </w:r>
      <w:r>
        <w:rPr>
          <w:color w:val="231F20"/>
          <w:spacing w:val="-7"/>
        </w:rPr>
        <w:t> </w:t>
      </w:r>
      <w:r>
        <w:rPr>
          <w:color w:val="231F20"/>
          <w:spacing w:val="-5"/>
        </w:rPr>
        <w:t>cultivo</w:t>
      </w:r>
      <w:r>
        <w:rPr>
          <w:color w:val="231F20"/>
          <w:spacing w:val="-8"/>
        </w:rPr>
        <w:t> </w:t>
      </w:r>
      <w:r>
        <w:rPr>
          <w:color w:val="231F20"/>
          <w:spacing w:val="-3"/>
        </w:rPr>
        <w:t>de</w:t>
      </w:r>
      <w:r>
        <w:rPr>
          <w:color w:val="231F20"/>
          <w:spacing w:val="-7"/>
        </w:rPr>
        <w:t> </w:t>
      </w:r>
      <w:r>
        <w:rPr>
          <w:color w:val="231F20"/>
          <w:spacing w:val="-5"/>
        </w:rPr>
        <w:t>Ballico</w:t>
      </w:r>
      <w:r>
        <w:rPr>
          <w:color w:val="231F20"/>
          <w:spacing w:val="-7"/>
        </w:rPr>
        <w:t> </w:t>
      </w:r>
      <w:r>
        <w:rPr>
          <w:color w:val="231F20"/>
        </w:rPr>
        <w:t>y</w:t>
      </w:r>
      <w:r>
        <w:rPr>
          <w:color w:val="231F20"/>
          <w:spacing w:val="-20"/>
        </w:rPr>
        <w:t> </w:t>
      </w:r>
      <w:r>
        <w:rPr>
          <w:color w:val="231F20"/>
          <w:spacing w:val="-5"/>
        </w:rPr>
        <w:t>Alfalfa,</w:t>
      </w:r>
      <w:r>
        <w:rPr>
          <w:color w:val="231F20"/>
          <w:spacing w:val="-7"/>
        </w:rPr>
        <w:t> </w:t>
      </w:r>
      <w:r>
        <w:rPr>
          <w:color w:val="231F20"/>
          <w:spacing w:val="-4"/>
        </w:rPr>
        <w:t>donde</w:t>
      </w:r>
      <w:r>
        <w:rPr>
          <w:color w:val="231F20"/>
          <w:spacing w:val="-7"/>
        </w:rPr>
        <w:t> </w:t>
      </w:r>
      <w:r>
        <w:rPr>
          <w:color w:val="231F20"/>
          <w:spacing w:val="-3"/>
        </w:rPr>
        <w:t>el</w:t>
      </w:r>
      <w:r>
        <w:rPr>
          <w:color w:val="231F20"/>
          <w:spacing w:val="-7"/>
        </w:rPr>
        <w:t> </w:t>
      </w:r>
      <w:r>
        <w:rPr>
          <w:color w:val="231F20"/>
          <w:spacing w:val="-5"/>
        </w:rPr>
        <w:t>primer</w:t>
      </w:r>
      <w:r>
        <w:rPr>
          <w:color w:val="231F20"/>
          <w:spacing w:val="-7"/>
        </w:rPr>
        <w:t> </w:t>
      </w:r>
      <w:r>
        <w:rPr>
          <w:color w:val="231F20"/>
          <w:spacing w:val="-5"/>
        </w:rPr>
        <w:t>cultivo</w:t>
      </w:r>
      <w:r>
        <w:rPr>
          <w:color w:val="231F20"/>
          <w:spacing w:val="-8"/>
        </w:rPr>
        <w:t> </w:t>
      </w:r>
      <w:r>
        <w:rPr>
          <w:color w:val="231F20"/>
          <w:spacing w:val="-3"/>
        </w:rPr>
        <w:t>es</w:t>
      </w:r>
      <w:r>
        <w:rPr>
          <w:color w:val="231F20"/>
          <w:spacing w:val="-7"/>
        </w:rPr>
        <w:t> </w:t>
      </w:r>
      <w:r>
        <w:rPr>
          <w:color w:val="231F20"/>
          <w:spacing w:val="-4"/>
        </w:rPr>
        <w:t>quien</w:t>
      </w:r>
      <w:r>
        <w:rPr>
          <w:color w:val="231F20"/>
          <w:spacing w:val="-7"/>
        </w:rPr>
        <w:t> </w:t>
      </w:r>
      <w:r>
        <w:rPr>
          <w:color w:val="231F20"/>
          <w:spacing w:val="-3"/>
        </w:rPr>
        <w:t>se</w:t>
      </w:r>
      <w:r>
        <w:rPr>
          <w:color w:val="231F20"/>
          <w:spacing w:val="-7"/>
        </w:rPr>
        <w:t> </w:t>
      </w:r>
      <w:r>
        <w:rPr>
          <w:color w:val="231F20"/>
          <w:spacing w:val="-5"/>
        </w:rPr>
        <w:t>compara,</w:t>
      </w:r>
      <w:r>
        <w:rPr>
          <w:color w:val="231F20"/>
          <w:spacing w:val="-8"/>
        </w:rPr>
        <w:t> </w:t>
      </w:r>
      <w:r>
        <w:rPr>
          <w:color w:val="231F20"/>
        </w:rPr>
        <w:t>y</w:t>
      </w:r>
      <w:r>
        <w:rPr>
          <w:color w:val="231F20"/>
          <w:spacing w:val="-7"/>
        </w:rPr>
        <w:t> </w:t>
      </w:r>
      <w:r>
        <w:rPr>
          <w:color w:val="231F20"/>
          <w:spacing w:val="-3"/>
        </w:rPr>
        <w:t>el</w:t>
      </w:r>
      <w:r>
        <w:rPr>
          <w:color w:val="231F20"/>
          <w:spacing w:val="-7"/>
        </w:rPr>
        <w:t> </w:t>
      </w:r>
      <w:r>
        <w:rPr>
          <w:color w:val="231F20"/>
          <w:spacing w:val="-5"/>
        </w:rPr>
        <w:t>segundo,</w:t>
      </w:r>
      <w:r>
        <w:rPr>
          <w:color w:val="231F20"/>
          <w:spacing w:val="-7"/>
        </w:rPr>
        <w:t> </w:t>
      </w:r>
      <w:r>
        <w:rPr>
          <w:color w:val="231F20"/>
          <w:spacing w:val="-3"/>
        </w:rPr>
        <w:t>la</w:t>
      </w:r>
      <w:r>
        <w:rPr>
          <w:color w:val="231F20"/>
          <w:spacing w:val="-20"/>
        </w:rPr>
        <w:t> </w:t>
      </w:r>
      <w:r>
        <w:rPr>
          <w:color w:val="231F20"/>
          <w:spacing w:val="-5"/>
        </w:rPr>
        <w:t>Alfalfa,</w:t>
      </w:r>
      <w:r>
        <w:rPr>
          <w:color w:val="231F20"/>
          <w:spacing w:val="-7"/>
        </w:rPr>
        <w:t> </w:t>
      </w:r>
      <w:r>
        <w:rPr>
          <w:color w:val="231F20"/>
          <w:spacing w:val="-5"/>
        </w:rPr>
        <w:t>fue considerado solamente </w:t>
      </w:r>
      <w:r>
        <w:rPr>
          <w:color w:val="231F20"/>
          <w:spacing w:val="-4"/>
        </w:rPr>
        <w:t>como </w:t>
      </w:r>
      <w:r>
        <w:rPr>
          <w:color w:val="231F20"/>
          <w:spacing w:val="-5"/>
        </w:rPr>
        <w:t>parámetro </w:t>
      </w:r>
      <w:r>
        <w:rPr>
          <w:color w:val="231F20"/>
          <w:spacing w:val="-3"/>
        </w:rPr>
        <w:t>de </w:t>
      </w:r>
      <w:r>
        <w:rPr>
          <w:color w:val="231F20"/>
          <w:spacing w:val="-5"/>
        </w:rPr>
        <w:t>referencia, irrigados </w:t>
      </w:r>
      <w:r>
        <w:rPr>
          <w:color w:val="231F20"/>
          <w:spacing w:val="-4"/>
        </w:rPr>
        <w:t>con agua </w:t>
      </w:r>
      <w:r>
        <w:rPr>
          <w:color w:val="231F20"/>
          <w:spacing w:val="-3"/>
        </w:rPr>
        <w:t>de </w:t>
      </w:r>
      <w:r>
        <w:rPr>
          <w:color w:val="231F20"/>
          <w:spacing w:val="-4"/>
        </w:rPr>
        <w:t>pozo </w:t>
      </w:r>
      <w:r>
        <w:rPr>
          <w:color w:val="231F20"/>
          <w:spacing w:val="-5"/>
        </w:rPr>
        <w:t>profundo mediante bombeo</w:t>
      </w:r>
      <w:r>
        <w:rPr>
          <w:color w:val="231F20"/>
          <w:spacing w:val="-10"/>
        </w:rPr>
        <w:t> </w:t>
      </w:r>
      <w:r>
        <w:rPr>
          <w:color w:val="231F20"/>
          <w:spacing w:val="-5"/>
        </w:rPr>
        <w:t>tradicional</w:t>
      </w:r>
      <w:r>
        <w:rPr>
          <w:color w:val="231F20"/>
          <w:spacing w:val="-10"/>
        </w:rPr>
        <w:t> </w:t>
      </w:r>
      <w:r>
        <w:rPr>
          <w:color w:val="231F20"/>
          <w:spacing w:val="-4"/>
        </w:rPr>
        <w:t>(en</w:t>
      </w:r>
      <w:r>
        <w:rPr>
          <w:color w:val="231F20"/>
          <w:spacing w:val="-10"/>
        </w:rPr>
        <w:t> </w:t>
      </w:r>
      <w:r>
        <w:rPr>
          <w:color w:val="231F20"/>
          <w:spacing w:val="-3"/>
        </w:rPr>
        <w:t>lo</w:t>
      </w:r>
      <w:r>
        <w:rPr>
          <w:color w:val="231F20"/>
          <w:spacing w:val="-10"/>
        </w:rPr>
        <w:t> </w:t>
      </w:r>
      <w:r>
        <w:rPr>
          <w:color w:val="231F20"/>
          <w:spacing w:val="-5"/>
        </w:rPr>
        <w:t>sucesivo</w:t>
      </w:r>
      <w:r>
        <w:rPr>
          <w:color w:val="231F20"/>
          <w:spacing w:val="-9"/>
        </w:rPr>
        <w:t> </w:t>
      </w:r>
      <w:r>
        <w:rPr>
          <w:color w:val="231F20"/>
          <w:spacing w:val="-4"/>
        </w:rPr>
        <w:t>BT),</w:t>
      </w:r>
      <w:r>
        <w:rPr>
          <w:color w:val="231F20"/>
          <w:spacing w:val="-10"/>
        </w:rPr>
        <w:t> </w:t>
      </w:r>
      <w:r>
        <w:rPr>
          <w:color w:val="231F20"/>
          <w:spacing w:val="-3"/>
        </w:rPr>
        <w:t>es</w:t>
      </w:r>
      <w:r>
        <w:rPr>
          <w:color w:val="231F20"/>
          <w:spacing w:val="-10"/>
        </w:rPr>
        <w:t> </w:t>
      </w:r>
      <w:r>
        <w:rPr>
          <w:color w:val="231F20"/>
          <w:spacing w:val="-6"/>
        </w:rPr>
        <w:t>decir,</w:t>
      </w:r>
      <w:r>
        <w:rPr>
          <w:color w:val="231F20"/>
          <w:spacing w:val="-10"/>
        </w:rPr>
        <w:t> </w:t>
      </w:r>
      <w:r>
        <w:rPr>
          <w:color w:val="231F20"/>
          <w:spacing w:val="-3"/>
        </w:rPr>
        <w:t>no</w:t>
      </w:r>
      <w:r>
        <w:rPr>
          <w:color w:val="231F20"/>
          <w:spacing w:val="-10"/>
        </w:rPr>
        <w:t> </w:t>
      </w:r>
      <w:r>
        <w:rPr>
          <w:color w:val="231F20"/>
          <w:spacing w:val="-5"/>
        </w:rPr>
        <w:t>desagregado</w:t>
      </w:r>
      <w:r>
        <w:rPr>
          <w:color w:val="231F20"/>
          <w:spacing w:val="-10"/>
        </w:rPr>
        <w:t> </w:t>
      </w:r>
      <w:r>
        <w:rPr>
          <w:color w:val="231F20"/>
          <w:spacing w:val="-3"/>
        </w:rPr>
        <w:t>el</w:t>
      </w:r>
      <w:r>
        <w:rPr>
          <w:color w:val="231F20"/>
          <w:spacing w:val="-10"/>
        </w:rPr>
        <w:t> </w:t>
      </w:r>
      <w:r>
        <w:rPr>
          <w:color w:val="231F20"/>
          <w:spacing w:val="-5"/>
        </w:rPr>
        <w:t>bombeo</w:t>
      </w:r>
      <w:r>
        <w:rPr>
          <w:color w:val="231F20"/>
          <w:spacing w:val="-10"/>
        </w:rPr>
        <w:t> </w:t>
      </w:r>
      <w:r>
        <w:rPr>
          <w:color w:val="231F20"/>
          <w:spacing w:val="-3"/>
        </w:rPr>
        <w:t>en</w:t>
      </w:r>
      <w:r>
        <w:rPr>
          <w:color w:val="231F20"/>
          <w:spacing w:val="-10"/>
        </w:rPr>
        <w:t> </w:t>
      </w:r>
      <w:r>
        <w:rPr>
          <w:color w:val="231F20"/>
          <w:spacing w:val="-4"/>
        </w:rPr>
        <w:t>sus</w:t>
      </w:r>
      <w:r>
        <w:rPr>
          <w:color w:val="231F20"/>
          <w:spacing w:val="-10"/>
        </w:rPr>
        <w:t> </w:t>
      </w:r>
      <w:r>
        <w:rPr>
          <w:color w:val="231F20"/>
          <w:spacing w:val="-5"/>
        </w:rPr>
        <w:t>diferentes</w:t>
      </w:r>
      <w:r>
        <w:rPr>
          <w:color w:val="231F20"/>
          <w:spacing w:val="-10"/>
        </w:rPr>
        <w:t> </w:t>
      </w:r>
      <w:r>
        <w:rPr>
          <w:color w:val="231F20"/>
          <w:spacing w:val="-4"/>
        </w:rPr>
        <w:t>tipos</w:t>
      </w:r>
      <w:r>
        <w:rPr>
          <w:color w:val="231F20"/>
          <w:spacing w:val="-10"/>
        </w:rPr>
        <w:t> </w:t>
      </w:r>
      <w:r>
        <w:rPr>
          <w:color w:val="231F20"/>
          <w:spacing w:val="-5"/>
        </w:rPr>
        <w:t>como </w:t>
      </w:r>
      <w:r>
        <w:rPr>
          <w:color w:val="231F20"/>
          <w:spacing w:val="-4"/>
        </w:rPr>
        <w:t>riego </w:t>
      </w:r>
      <w:r>
        <w:rPr>
          <w:color w:val="231F20"/>
          <w:spacing w:val="-5"/>
        </w:rPr>
        <w:t>presurizado, multicompuertas, </w:t>
      </w:r>
      <w:r>
        <w:rPr>
          <w:color w:val="231F20"/>
          <w:spacing w:val="-4"/>
        </w:rPr>
        <w:t>y/o </w:t>
      </w:r>
      <w:r>
        <w:rPr>
          <w:color w:val="231F20"/>
          <w:spacing w:val="-5"/>
        </w:rPr>
        <w:t>microaspersión. </w:t>
      </w:r>
      <w:r>
        <w:rPr>
          <w:color w:val="231F20"/>
          <w:spacing w:val="-4"/>
        </w:rPr>
        <w:t>Los </w:t>
      </w:r>
      <w:r>
        <w:rPr>
          <w:color w:val="231F20"/>
          <w:spacing w:val="-5"/>
        </w:rPr>
        <w:t>cultivos </w:t>
      </w:r>
      <w:r>
        <w:rPr>
          <w:color w:val="231F20"/>
          <w:spacing w:val="-3"/>
        </w:rPr>
        <w:t>de </w:t>
      </w:r>
      <w:r>
        <w:rPr>
          <w:color w:val="231F20"/>
          <w:spacing w:val="-5"/>
        </w:rPr>
        <w:t>Ballico </w:t>
      </w:r>
      <w:r>
        <w:rPr>
          <w:color w:val="231F20"/>
          <w:spacing w:val="-3"/>
        </w:rPr>
        <w:t>BT </w:t>
      </w:r>
      <w:r>
        <w:rPr>
          <w:color w:val="231F20"/>
        </w:rPr>
        <w:t>y </w:t>
      </w:r>
      <w:r>
        <w:rPr>
          <w:color w:val="231F20"/>
          <w:spacing w:val="-5"/>
        </w:rPr>
        <w:t>Alfalfa </w:t>
      </w:r>
      <w:r>
        <w:rPr>
          <w:color w:val="231F20"/>
          <w:spacing w:val="-9"/>
        </w:rPr>
        <w:t>BT, </w:t>
      </w:r>
      <w:r>
        <w:rPr>
          <w:color w:val="231F20"/>
          <w:spacing w:val="-3"/>
        </w:rPr>
        <w:t>en </w:t>
      </w:r>
      <w:r>
        <w:rPr>
          <w:color w:val="231F20"/>
          <w:spacing w:val="-5"/>
        </w:rPr>
        <w:t>el Distrito</w:t>
      </w:r>
      <w:r>
        <w:rPr>
          <w:color w:val="231F20"/>
          <w:spacing w:val="-12"/>
        </w:rPr>
        <w:t> </w:t>
      </w:r>
      <w:r>
        <w:rPr>
          <w:color w:val="231F20"/>
          <w:spacing w:val="-3"/>
        </w:rPr>
        <w:t>de</w:t>
      </w:r>
      <w:r>
        <w:rPr>
          <w:color w:val="231F20"/>
          <w:spacing w:val="-12"/>
        </w:rPr>
        <w:t> </w:t>
      </w:r>
      <w:r>
        <w:rPr>
          <w:color w:val="231F20"/>
          <w:spacing w:val="-4"/>
        </w:rPr>
        <w:t>Riego</w:t>
      </w:r>
      <w:r>
        <w:rPr>
          <w:color w:val="231F20"/>
          <w:spacing w:val="-12"/>
        </w:rPr>
        <w:t> </w:t>
      </w:r>
      <w:r>
        <w:rPr>
          <w:color w:val="231F20"/>
          <w:spacing w:val="-4"/>
        </w:rPr>
        <w:t>017</w:t>
      </w:r>
      <w:r>
        <w:rPr>
          <w:color w:val="231F20"/>
          <w:spacing w:val="-12"/>
        </w:rPr>
        <w:t> </w:t>
      </w:r>
      <w:r>
        <w:rPr>
          <w:color w:val="231F20"/>
          <w:spacing w:val="-4"/>
        </w:rPr>
        <w:t>(DR</w:t>
      </w:r>
      <w:r>
        <w:rPr>
          <w:color w:val="231F20"/>
          <w:spacing w:val="-12"/>
        </w:rPr>
        <w:t> </w:t>
      </w:r>
      <w:r>
        <w:rPr>
          <w:color w:val="231F20"/>
          <w:spacing w:val="-4"/>
        </w:rPr>
        <w:t>017</w:t>
      </w:r>
      <w:r>
        <w:rPr>
          <w:color w:val="231F20"/>
          <w:spacing w:val="-12"/>
        </w:rPr>
        <w:t> </w:t>
      </w:r>
      <w:r>
        <w:rPr>
          <w:color w:val="231F20"/>
          <w:spacing w:val="-3"/>
        </w:rPr>
        <w:t>en</w:t>
      </w:r>
      <w:r>
        <w:rPr>
          <w:color w:val="231F20"/>
          <w:spacing w:val="-12"/>
        </w:rPr>
        <w:t> </w:t>
      </w:r>
      <w:r>
        <w:rPr>
          <w:color w:val="231F20"/>
          <w:spacing w:val="-3"/>
        </w:rPr>
        <w:t>lo</w:t>
      </w:r>
      <w:r>
        <w:rPr>
          <w:color w:val="231F20"/>
          <w:spacing w:val="-12"/>
        </w:rPr>
        <w:t> </w:t>
      </w:r>
      <w:r>
        <w:rPr>
          <w:color w:val="231F20"/>
          <w:spacing w:val="-5"/>
        </w:rPr>
        <w:t>sucesivo),</w:t>
      </w:r>
      <w:r>
        <w:rPr>
          <w:color w:val="231F20"/>
          <w:spacing w:val="-12"/>
        </w:rPr>
        <w:t> </w:t>
      </w:r>
      <w:r>
        <w:rPr>
          <w:color w:val="231F20"/>
          <w:spacing w:val="-5"/>
        </w:rPr>
        <w:t>tuvieron</w:t>
      </w:r>
      <w:r>
        <w:rPr>
          <w:color w:val="231F20"/>
          <w:spacing w:val="-12"/>
        </w:rPr>
        <w:t> </w:t>
      </w:r>
      <w:r>
        <w:rPr>
          <w:color w:val="231F20"/>
          <w:spacing w:val="-5"/>
        </w:rPr>
        <w:t>diferente</w:t>
      </w:r>
      <w:r>
        <w:rPr>
          <w:color w:val="231F20"/>
          <w:spacing w:val="-12"/>
        </w:rPr>
        <w:t> </w:t>
      </w:r>
      <w:r>
        <w:rPr>
          <w:color w:val="231F20"/>
          <w:spacing w:val="-5"/>
        </w:rPr>
        <w:t>extensión</w:t>
      </w:r>
      <w:r>
        <w:rPr>
          <w:color w:val="231F20"/>
          <w:spacing w:val="-12"/>
        </w:rPr>
        <w:t> </w:t>
      </w:r>
      <w:r>
        <w:rPr>
          <w:color w:val="231F20"/>
          <w:spacing w:val="-5"/>
        </w:rPr>
        <w:t>territorial</w:t>
      </w:r>
      <w:r>
        <w:rPr>
          <w:color w:val="231F20"/>
          <w:spacing w:val="-12"/>
        </w:rPr>
        <w:t> </w:t>
      </w:r>
      <w:r>
        <w:rPr>
          <w:color w:val="231F20"/>
          <w:spacing w:val="-3"/>
        </w:rPr>
        <w:t>el</w:t>
      </w:r>
      <w:r>
        <w:rPr>
          <w:color w:val="231F20"/>
          <w:spacing w:val="-12"/>
        </w:rPr>
        <w:t> </w:t>
      </w:r>
      <w:r>
        <w:rPr>
          <w:color w:val="231F20"/>
          <w:spacing w:val="-4"/>
        </w:rPr>
        <w:t>uno</w:t>
      </w:r>
      <w:r>
        <w:rPr>
          <w:color w:val="231F20"/>
          <w:spacing w:val="-12"/>
        </w:rPr>
        <w:t> </w:t>
      </w:r>
      <w:r>
        <w:rPr>
          <w:color w:val="231F20"/>
          <w:spacing w:val="-4"/>
        </w:rPr>
        <w:t>del</w:t>
      </w:r>
      <w:r>
        <w:rPr>
          <w:color w:val="231F20"/>
          <w:spacing w:val="-12"/>
        </w:rPr>
        <w:t> </w:t>
      </w:r>
      <w:r>
        <w:rPr>
          <w:color w:val="231F20"/>
          <w:spacing w:val="-4"/>
        </w:rPr>
        <w:t>otro:</w:t>
      </w:r>
      <w:r>
        <w:rPr>
          <w:color w:val="231F20"/>
          <w:spacing w:val="-12"/>
        </w:rPr>
        <w:t> </w:t>
      </w:r>
      <w:r>
        <w:rPr>
          <w:color w:val="231F20"/>
          <w:spacing w:val="-5"/>
        </w:rPr>
        <w:t>485 </w:t>
      </w:r>
      <w:r>
        <w:rPr>
          <w:color w:val="231F20"/>
        </w:rPr>
        <w:t>y </w:t>
      </w:r>
      <w:r>
        <w:rPr>
          <w:color w:val="231F20"/>
          <w:spacing w:val="-5"/>
        </w:rPr>
        <w:t>33,471ha respectivamente. Correspondiéndoles producciones físicas anuales </w:t>
      </w:r>
      <w:r>
        <w:rPr>
          <w:color w:val="231F20"/>
          <w:spacing w:val="-3"/>
        </w:rPr>
        <w:t>de </w:t>
      </w:r>
      <w:r>
        <w:rPr>
          <w:color w:val="231F20"/>
          <w:spacing w:val="-5"/>
        </w:rPr>
        <w:t>18,273 </w:t>
      </w:r>
      <w:r>
        <w:rPr>
          <w:color w:val="231F20"/>
        </w:rPr>
        <w:t>y </w:t>
      </w:r>
      <w:r>
        <w:rPr>
          <w:color w:val="231F20"/>
          <w:spacing w:val="-5"/>
        </w:rPr>
        <w:t>2,805,298 ton respectivamente.</w:t>
      </w:r>
      <w:r>
        <w:rPr>
          <w:color w:val="231F20"/>
          <w:spacing w:val="-16"/>
        </w:rPr>
        <w:t> </w:t>
      </w:r>
      <w:r>
        <w:rPr>
          <w:color w:val="231F20"/>
          <w:spacing w:val="-4"/>
        </w:rPr>
        <w:t>Sus</w:t>
      </w:r>
      <w:r>
        <w:rPr>
          <w:color w:val="231F20"/>
          <w:spacing w:val="-16"/>
        </w:rPr>
        <w:t> </w:t>
      </w:r>
      <w:r>
        <w:rPr>
          <w:color w:val="231F20"/>
          <w:spacing w:val="-5"/>
        </w:rPr>
        <w:t>precios</w:t>
      </w:r>
      <w:r>
        <w:rPr>
          <w:color w:val="231F20"/>
          <w:spacing w:val="-16"/>
        </w:rPr>
        <w:t> </w:t>
      </w:r>
      <w:r>
        <w:rPr>
          <w:color w:val="231F20"/>
          <w:spacing w:val="-5"/>
        </w:rPr>
        <w:t>nominales</w:t>
      </w:r>
      <w:r>
        <w:rPr>
          <w:color w:val="231F20"/>
          <w:spacing w:val="-16"/>
        </w:rPr>
        <w:t> </w:t>
      </w:r>
      <w:r>
        <w:rPr>
          <w:color w:val="231F20"/>
          <w:spacing w:val="-5"/>
        </w:rPr>
        <w:t>promedio</w:t>
      </w:r>
      <w:r>
        <w:rPr>
          <w:color w:val="231F20"/>
          <w:spacing w:val="-16"/>
        </w:rPr>
        <w:t> </w:t>
      </w:r>
      <w:r>
        <w:rPr>
          <w:color w:val="231F20"/>
          <w:spacing w:val="-4"/>
        </w:rPr>
        <w:t>por</w:t>
      </w:r>
      <w:r>
        <w:rPr>
          <w:color w:val="231F20"/>
          <w:spacing w:val="-17"/>
        </w:rPr>
        <w:t> </w:t>
      </w:r>
      <w:r>
        <w:rPr>
          <w:color w:val="231F20"/>
          <w:spacing w:val="-4"/>
        </w:rPr>
        <w:t>ton,</w:t>
      </w:r>
      <w:r>
        <w:rPr>
          <w:color w:val="231F20"/>
          <w:spacing w:val="-17"/>
        </w:rPr>
        <w:t> </w:t>
      </w:r>
      <w:r>
        <w:rPr>
          <w:color w:val="231F20"/>
          <w:spacing w:val="-3"/>
        </w:rPr>
        <w:t>en</w:t>
      </w:r>
      <w:r>
        <w:rPr>
          <w:color w:val="231F20"/>
          <w:spacing w:val="-17"/>
        </w:rPr>
        <w:t> </w:t>
      </w:r>
      <w:r>
        <w:rPr>
          <w:color w:val="231F20"/>
          <w:spacing w:val="-4"/>
        </w:rPr>
        <w:t>2010,</w:t>
      </w:r>
      <w:r>
        <w:rPr>
          <w:color w:val="231F20"/>
          <w:spacing w:val="-17"/>
        </w:rPr>
        <w:t> </w:t>
      </w:r>
      <w:r>
        <w:rPr>
          <w:color w:val="231F20"/>
          <w:spacing w:val="-5"/>
        </w:rPr>
        <w:t>fueron</w:t>
      </w:r>
      <w:r>
        <w:rPr>
          <w:color w:val="231F20"/>
          <w:spacing w:val="-16"/>
        </w:rPr>
        <w:t> </w:t>
      </w:r>
      <w:r>
        <w:rPr>
          <w:color w:val="231F20"/>
          <w:spacing w:val="-4"/>
        </w:rPr>
        <w:t>del</w:t>
      </w:r>
      <w:r>
        <w:rPr>
          <w:color w:val="231F20"/>
          <w:spacing w:val="-16"/>
        </w:rPr>
        <w:t> </w:t>
      </w:r>
      <w:r>
        <w:rPr>
          <w:color w:val="231F20"/>
          <w:spacing w:val="-4"/>
        </w:rPr>
        <w:t>orden</w:t>
      </w:r>
      <w:r>
        <w:rPr>
          <w:color w:val="231F20"/>
          <w:spacing w:val="-17"/>
        </w:rPr>
        <w:t> </w:t>
      </w:r>
      <w:r>
        <w:rPr>
          <w:color w:val="231F20"/>
          <w:spacing w:val="-3"/>
        </w:rPr>
        <w:t>de</w:t>
      </w:r>
      <w:r>
        <w:rPr>
          <w:color w:val="231F20"/>
          <w:spacing w:val="-17"/>
        </w:rPr>
        <w:t> </w:t>
      </w:r>
      <w:r>
        <w:rPr>
          <w:color w:val="231F20"/>
          <w:spacing w:val="-5"/>
        </w:rPr>
        <w:t>$366.37</w:t>
      </w:r>
      <w:r>
        <w:rPr>
          <w:color w:val="231F20"/>
          <w:spacing w:val="-17"/>
        </w:rPr>
        <w:t> </w:t>
      </w:r>
      <w:r>
        <w:rPr>
          <w:color w:val="231F20"/>
        </w:rPr>
        <w:t>y</w:t>
      </w:r>
      <w:r>
        <w:rPr>
          <w:color w:val="231F20"/>
          <w:spacing w:val="-17"/>
        </w:rPr>
        <w:t> </w:t>
      </w:r>
      <w:r>
        <w:rPr>
          <w:color w:val="231F20"/>
          <w:spacing w:val="-5"/>
        </w:rPr>
        <w:t>$368.2, correspondiéndoles rendimientos físicos </w:t>
      </w:r>
      <w:r>
        <w:rPr>
          <w:color w:val="231F20"/>
          <w:spacing w:val="-4"/>
        </w:rPr>
        <w:t>del orden </w:t>
      </w:r>
      <w:r>
        <w:rPr>
          <w:color w:val="231F20"/>
          <w:spacing w:val="-3"/>
        </w:rPr>
        <w:t>de </w:t>
      </w:r>
      <w:r>
        <w:rPr>
          <w:color w:val="231F20"/>
          <w:spacing w:val="-4"/>
        </w:rPr>
        <w:t>37.68 </w:t>
      </w:r>
      <w:r>
        <w:rPr>
          <w:color w:val="231F20"/>
        </w:rPr>
        <w:t>y </w:t>
      </w:r>
      <w:r>
        <w:rPr>
          <w:color w:val="231F20"/>
          <w:spacing w:val="-4"/>
        </w:rPr>
        <w:t>83.81 </w:t>
      </w:r>
      <w:r>
        <w:rPr>
          <w:color w:val="231F20"/>
          <w:spacing w:val="-5"/>
        </w:rPr>
        <w:t>ton/ha respectivamente (Cuadro</w:t>
      </w:r>
      <w:r>
        <w:rPr>
          <w:color w:val="231F20"/>
          <w:spacing w:val="-32"/>
        </w:rPr>
        <w:t> </w:t>
      </w:r>
      <w:r>
        <w:rPr>
          <w:color w:val="231F20"/>
          <w:spacing w:val="-5"/>
        </w:rPr>
        <w:t>1).</w:t>
      </w:r>
    </w:p>
    <w:p>
      <w:pPr>
        <w:pStyle w:val="BodyText"/>
        <w:spacing w:before="5"/>
      </w:pPr>
    </w:p>
    <w:p>
      <w:pPr>
        <w:spacing w:line="249" w:lineRule="auto" w:before="0"/>
        <w:ind w:left="1267" w:right="1266" w:firstLine="0"/>
        <w:jc w:val="center"/>
        <w:rPr>
          <w:b/>
          <w:sz w:val="18"/>
        </w:rPr>
      </w:pPr>
      <w:r>
        <w:rPr>
          <w:b/>
          <w:color w:val="010202"/>
          <w:spacing w:val="-3"/>
          <w:sz w:val="18"/>
        </w:rPr>
        <w:t>Cuadro</w:t>
      </w:r>
      <w:r>
        <w:rPr>
          <w:b/>
          <w:color w:val="010202"/>
          <w:spacing w:val="-13"/>
          <w:sz w:val="18"/>
        </w:rPr>
        <w:t> </w:t>
      </w:r>
      <w:r>
        <w:rPr>
          <w:b/>
          <w:color w:val="010202"/>
          <w:sz w:val="18"/>
        </w:rPr>
        <w:t>1.</w:t>
      </w:r>
      <w:r>
        <w:rPr>
          <w:b/>
          <w:color w:val="010202"/>
          <w:spacing w:val="-13"/>
          <w:sz w:val="18"/>
        </w:rPr>
        <w:t> </w:t>
      </w:r>
      <w:r>
        <w:rPr>
          <w:b/>
          <w:color w:val="010202"/>
          <w:sz w:val="18"/>
        </w:rPr>
        <w:t>Relación</w:t>
      </w:r>
      <w:r>
        <w:rPr>
          <w:b/>
          <w:color w:val="010202"/>
          <w:spacing w:val="-13"/>
          <w:sz w:val="18"/>
        </w:rPr>
        <w:t> </w:t>
      </w:r>
      <w:r>
        <w:rPr>
          <w:b/>
          <w:color w:val="010202"/>
          <w:sz w:val="18"/>
        </w:rPr>
        <w:t>Beneficio-Costo</w:t>
      </w:r>
      <w:r>
        <w:rPr>
          <w:b/>
          <w:color w:val="010202"/>
          <w:spacing w:val="-13"/>
          <w:sz w:val="18"/>
        </w:rPr>
        <w:t> </w:t>
      </w:r>
      <w:r>
        <w:rPr>
          <w:b/>
          <w:color w:val="010202"/>
          <w:sz w:val="18"/>
        </w:rPr>
        <w:t>(R</w:t>
      </w:r>
      <w:r>
        <w:rPr>
          <w:b/>
          <w:color w:val="010202"/>
          <w:spacing w:val="-13"/>
          <w:sz w:val="18"/>
        </w:rPr>
        <w:t> </w:t>
      </w:r>
      <w:r>
        <w:rPr>
          <w:b/>
          <w:color w:val="010202"/>
          <w:sz w:val="18"/>
        </w:rPr>
        <w:t>B/C),</w:t>
      </w:r>
      <w:r>
        <w:rPr>
          <w:b/>
          <w:color w:val="010202"/>
          <w:spacing w:val="-13"/>
          <w:sz w:val="18"/>
        </w:rPr>
        <w:t> </w:t>
      </w:r>
      <w:r>
        <w:rPr>
          <w:b/>
          <w:color w:val="010202"/>
          <w:sz w:val="18"/>
        </w:rPr>
        <w:t>horas</w:t>
      </w:r>
      <w:r>
        <w:rPr>
          <w:b/>
          <w:color w:val="010202"/>
          <w:spacing w:val="-13"/>
          <w:sz w:val="18"/>
        </w:rPr>
        <w:t> </w:t>
      </w:r>
      <w:r>
        <w:rPr>
          <w:b/>
          <w:color w:val="010202"/>
          <w:sz w:val="18"/>
        </w:rPr>
        <w:t>de</w:t>
      </w:r>
      <w:r>
        <w:rPr>
          <w:b/>
          <w:color w:val="010202"/>
          <w:spacing w:val="-13"/>
          <w:sz w:val="18"/>
        </w:rPr>
        <w:t> </w:t>
      </w:r>
      <w:r>
        <w:rPr>
          <w:b/>
          <w:color w:val="010202"/>
          <w:sz w:val="18"/>
        </w:rPr>
        <w:t>trabajo</w:t>
      </w:r>
      <w:r>
        <w:rPr>
          <w:b/>
          <w:color w:val="010202"/>
          <w:spacing w:val="-13"/>
          <w:sz w:val="18"/>
        </w:rPr>
        <w:t> </w:t>
      </w:r>
      <w:r>
        <w:rPr>
          <w:b/>
          <w:color w:val="010202"/>
          <w:sz w:val="18"/>
        </w:rPr>
        <w:t>por</w:t>
      </w:r>
      <w:r>
        <w:rPr>
          <w:b/>
          <w:color w:val="010202"/>
          <w:spacing w:val="-16"/>
          <w:sz w:val="18"/>
        </w:rPr>
        <w:t> </w:t>
      </w:r>
      <w:r>
        <w:rPr>
          <w:b/>
          <w:color w:val="010202"/>
          <w:sz w:val="18"/>
        </w:rPr>
        <w:t>tonelada,</w:t>
      </w:r>
      <w:r>
        <w:rPr>
          <w:b/>
          <w:color w:val="010202"/>
          <w:spacing w:val="-13"/>
          <w:sz w:val="18"/>
        </w:rPr>
        <w:t> </w:t>
      </w:r>
      <w:r>
        <w:rPr>
          <w:b/>
          <w:color w:val="010202"/>
          <w:sz w:val="18"/>
        </w:rPr>
        <w:t>empleo</w:t>
      </w:r>
      <w:r>
        <w:rPr>
          <w:b/>
          <w:color w:val="010202"/>
          <w:spacing w:val="-13"/>
          <w:sz w:val="18"/>
        </w:rPr>
        <w:t> </w:t>
      </w:r>
      <w:r>
        <w:rPr>
          <w:b/>
          <w:color w:val="010202"/>
          <w:sz w:val="18"/>
        </w:rPr>
        <w:t>generado</w:t>
      </w:r>
      <w:r>
        <w:rPr>
          <w:b/>
          <w:color w:val="010202"/>
          <w:spacing w:val="-13"/>
          <w:sz w:val="18"/>
        </w:rPr>
        <w:t> </w:t>
      </w:r>
      <w:r>
        <w:rPr>
          <w:b/>
          <w:color w:val="010202"/>
          <w:sz w:val="18"/>
        </w:rPr>
        <w:t>y</w:t>
      </w:r>
      <w:r>
        <w:rPr>
          <w:b/>
          <w:color w:val="010202"/>
          <w:spacing w:val="-13"/>
          <w:sz w:val="18"/>
        </w:rPr>
        <w:t> </w:t>
      </w:r>
      <w:r>
        <w:rPr>
          <w:b/>
          <w:color w:val="010202"/>
          <w:sz w:val="18"/>
        </w:rPr>
        <w:t>eficiencia</w:t>
      </w:r>
      <w:r>
        <w:rPr>
          <w:b/>
          <w:color w:val="010202"/>
          <w:spacing w:val="-13"/>
          <w:sz w:val="18"/>
        </w:rPr>
        <w:t> </w:t>
      </w:r>
      <w:r>
        <w:rPr>
          <w:b/>
          <w:color w:val="010202"/>
          <w:sz w:val="18"/>
        </w:rPr>
        <w:t>ma- </w:t>
      </w:r>
      <w:r>
        <w:rPr>
          <w:b/>
          <w:color w:val="010202"/>
          <w:spacing w:val="-3"/>
          <w:sz w:val="18"/>
        </w:rPr>
        <w:t>croeconómica</w:t>
      </w:r>
      <w:r>
        <w:rPr>
          <w:b/>
          <w:color w:val="010202"/>
          <w:spacing w:val="-13"/>
          <w:sz w:val="18"/>
        </w:rPr>
        <w:t> </w:t>
      </w:r>
      <w:r>
        <w:rPr>
          <w:b/>
          <w:color w:val="010202"/>
          <w:sz w:val="18"/>
        </w:rPr>
        <w:t>del</w:t>
      </w:r>
      <w:r>
        <w:rPr>
          <w:b/>
          <w:color w:val="010202"/>
          <w:spacing w:val="-13"/>
          <w:sz w:val="18"/>
        </w:rPr>
        <w:t> </w:t>
      </w:r>
      <w:r>
        <w:rPr>
          <w:b/>
          <w:color w:val="010202"/>
          <w:sz w:val="18"/>
        </w:rPr>
        <w:t>uso</w:t>
      </w:r>
      <w:r>
        <w:rPr>
          <w:b/>
          <w:color w:val="010202"/>
          <w:spacing w:val="-13"/>
          <w:sz w:val="18"/>
        </w:rPr>
        <w:t> </w:t>
      </w:r>
      <w:r>
        <w:rPr>
          <w:b/>
          <w:color w:val="010202"/>
          <w:sz w:val="18"/>
        </w:rPr>
        <w:t>del</w:t>
      </w:r>
      <w:r>
        <w:rPr>
          <w:b/>
          <w:color w:val="010202"/>
          <w:spacing w:val="-13"/>
          <w:sz w:val="18"/>
        </w:rPr>
        <w:t> </w:t>
      </w:r>
      <w:r>
        <w:rPr>
          <w:b/>
          <w:color w:val="010202"/>
          <w:sz w:val="18"/>
        </w:rPr>
        <w:t>agua</w:t>
      </w:r>
      <w:r>
        <w:rPr>
          <w:b/>
          <w:color w:val="010202"/>
          <w:spacing w:val="-13"/>
          <w:sz w:val="18"/>
        </w:rPr>
        <w:t> </w:t>
      </w:r>
      <w:r>
        <w:rPr>
          <w:b/>
          <w:color w:val="010202"/>
          <w:sz w:val="18"/>
        </w:rPr>
        <w:t>de</w:t>
      </w:r>
      <w:r>
        <w:rPr>
          <w:b/>
          <w:color w:val="010202"/>
          <w:spacing w:val="-13"/>
          <w:sz w:val="18"/>
        </w:rPr>
        <w:t> </w:t>
      </w:r>
      <w:r>
        <w:rPr>
          <w:b/>
          <w:color w:val="010202"/>
          <w:sz w:val="18"/>
        </w:rPr>
        <w:t>riego</w:t>
      </w:r>
      <w:r>
        <w:rPr>
          <w:b/>
          <w:color w:val="010202"/>
          <w:spacing w:val="-13"/>
          <w:sz w:val="18"/>
        </w:rPr>
        <w:t> </w:t>
      </w:r>
      <w:r>
        <w:rPr>
          <w:b/>
          <w:color w:val="010202"/>
          <w:sz w:val="18"/>
        </w:rPr>
        <w:t>por</w:t>
      </w:r>
      <w:r>
        <w:rPr>
          <w:b/>
          <w:color w:val="010202"/>
          <w:spacing w:val="-15"/>
          <w:sz w:val="18"/>
        </w:rPr>
        <w:t> </w:t>
      </w:r>
      <w:r>
        <w:rPr>
          <w:b/>
          <w:color w:val="010202"/>
          <w:sz w:val="18"/>
        </w:rPr>
        <w:t>bombeo</w:t>
      </w:r>
      <w:r>
        <w:rPr>
          <w:b/>
          <w:color w:val="010202"/>
          <w:spacing w:val="-13"/>
          <w:sz w:val="18"/>
        </w:rPr>
        <w:t> </w:t>
      </w:r>
      <w:r>
        <w:rPr>
          <w:b/>
          <w:color w:val="010202"/>
          <w:sz w:val="18"/>
        </w:rPr>
        <w:t>en</w:t>
      </w:r>
      <w:r>
        <w:rPr>
          <w:b/>
          <w:color w:val="010202"/>
          <w:spacing w:val="-13"/>
          <w:sz w:val="18"/>
        </w:rPr>
        <w:t> </w:t>
      </w:r>
      <w:r>
        <w:rPr>
          <w:b/>
          <w:color w:val="010202"/>
          <w:sz w:val="18"/>
        </w:rPr>
        <w:t>Zacate</w:t>
      </w:r>
      <w:r>
        <w:rPr>
          <w:b/>
          <w:color w:val="010202"/>
          <w:spacing w:val="-13"/>
          <w:sz w:val="18"/>
        </w:rPr>
        <w:t> </w:t>
      </w:r>
      <w:r>
        <w:rPr>
          <w:b/>
          <w:color w:val="010202"/>
          <w:sz w:val="18"/>
        </w:rPr>
        <w:t>ballico</w:t>
      </w:r>
      <w:r>
        <w:rPr>
          <w:b/>
          <w:color w:val="010202"/>
          <w:spacing w:val="-13"/>
          <w:sz w:val="18"/>
        </w:rPr>
        <w:t> </w:t>
      </w:r>
      <w:r>
        <w:rPr>
          <w:b/>
          <w:color w:val="010202"/>
          <w:sz w:val="18"/>
        </w:rPr>
        <w:t>(</w:t>
      </w:r>
      <w:r>
        <w:rPr>
          <w:b/>
          <w:i/>
          <w:color w:val="010202"/>
          <w:sz w:val="18"/>
        </w:rPr>
        <w:t>Lolium</w:t>
      </w:r>
      <w:r>
        <w:rPr>
          <w:b/>
          <w:i/>
          <w:color w:val="010202"/>
          <w:spacing w:val="-13"/>
          <w:sz w:val="18"/>
        </w:rPr>
        <w:t> </w:t>
      </w:r>
      <w:r>
        <w:rPr>
          <w:b/>
          <w:i/>
          <w:color w:val="010202"/>
          <w:sz w:val="18"/>
        </w:rPr>
        <w:t>multiflorum</w:t>
      </w:r>
      <w:r>
        <w:rPr>
          <w:b/>
          <w:color w:val="010202"/>
          <w:sz w:val="18"/>
        </w:rPr>
        <w:t>)</w:t>
      </w:r>
      <w:r>
        <w:rPr>
          <w:b/>
          <w:color w:val="010202"/>
          <w:spacing w:val="-13"/>
          <w:sz w:val="18"/>
        </w:rPr>
        <w:t> </w:t>
      </w:r>
      <w:r>
        <w:rPr>
          <w:b/>
          <w:i/>
          <w:color w:val="010202"/>
          <w:sz w:val="18"/>
        </w:rPr>
        <w:t>versus</w:t>
      </w:r>
      <w:r>
        <w:rPr>
          <w:b/>
          <w:i/>
          <w:color w:val="010202"/>
          <w:spacing w:val="-18"/>
          <w:sz w:val="18"/>
        </w:rPr>
        <w:t> </w:t>
      </w:r>
      <w:r>
        <w:rPr>
          <w:b/>
          <w:i/>
          <w:color w:val="010202"/>
          <w:sz w:val="18"/>
        </w:rPr>
        <w:t>Alfalfa</w:t>
      </w:r>
      <w:r>
        <w:rPr>
          <w:b/>
          <w:i/>
          <w:color w:val="010202"/>
          <w:spacing w:val="-13"/>
          <w:sz w:val="18"/>
        </w:rPr>
        <w:t> </w:t>
      </w:r>
      <w:r>
        <w:rPr>
          <w:b/>
          <w:color w:val="010202"/>
          <w:sz w:val="18"/>
        </w:rPr>
        <w:t>(</w:t>
      </w:r>
      <w:r>
        <w:rPr>
          <w:b/>
          <w:i/>
          <w:color w:val="010202"/>
          <w:sz w:val="18"/>
        </w:rPr>
        <w:t>Medi- </w:t>
      </w:r>
      <w:r>
        <w:rPr>
          <w:b/>
          <w:i/>
          <w:color w:val="010202"/>
          <w:sz w:val="18"/>
        </w:rPr>
        <w:t>cago</w:t>
      </w:r>
      <w:r>
        <w:rPr>
          <w:b/>
          <w:i/>
          <w:color w:val="010202"/>
          <w:spacing w:val="-9"/>
          <w:sz w:val="18"/>
        </w:rPr>
        <w:t> </w:t>
      </w:r>
      <w:r>
        <w:rPr>
          <w:b/>
          <w:i/>
          <w:color w:val="010202"/>
          <w:sz w:val="18"/>
        </w:rPr>
        <w:t>sativa</w:t>
      </w:r>
      <w:r>
        <w:rPr>
          <w:b/>
          <w:color w:val="010202"/>
          <w:sz w:val="18"/>
        </w:rPr>
        <w:t>)</w:t>
      </w:r>
      <w:r>
        <w:rPr>
          <w:b/>
          <w:color w:val="010202"/>
          <w:spacing w:val="-9"/>
          <w:sz w:val="18"/>
        </w:rPr>
        <w:t> </w:t>
      </w:r>
      <w:r>
        <w:rPr>
          <w:b/>
          <w:color w:val="010202"/>
          <w:sz w:val="18"/>
        </w:rPr>
        <w:t>en</w:t>
      </w:r>
      <w:r>
        <w:rPr>
          <w:b/>
          <w:color w:val="010202"/>
          <w:spacing w:val="-9"/>
          <w:sz w:val="18"/>
        </w:rPr>
        <w:t> </w:t>
      </w:r>
      <w:r>
        <w:rPr>
          <w:b/>
          <w:color w:val="010202"/>
          <w:sz w:val="18"/>
        </w:rPr>
        <w:t>La</w:t>
      </w:r>
      <w:r>
        <w:rPr>
          <w:b/>
          <w:color w:val="010202"/>
          <w:spacing w:val="-9"/>
          <w:sz w:val="18"/>
        </w:rPr>
        <w:t> </w:t>
      </w:r>
      <w:r>
        <w:rPr>
          <w:b/>
          <w:color w:val="010202"/>
          <w:spacing w:val="-3"/>
          <w:sz w:val="18"/>
        </w:rPr>
        <w:t>Comarca</w:t>
      </w:r>
      <w:r>
        <w:rPr>
          <w:b/>
          <w:color w:val="010202"/>
          <w:spacing w:val="-9"/>
          <w:sz w:val="18"/>
        </w:rPr>
        <w:t> </w:t>
      </w:r>
      <w:r>
        <w:rPr>
          <w:b/>
          <w:color w:val="010202"/>
          <w:sz w:val="18"/>
        </w:rPr>
        <w:t>Lagunera</w:t>
      </w:r>
      <w:r>
        <w:rPr>
          <w:b/>
          <w:color w:val="010202"/>
          <w:spacing w:val="-9"/>
          <w:sz w:val="18"/>
        </w:rPr>
        <w:t> </w:t>
      </w:r>
      <w:r>
        <w:rPr>
          <w:b/>
          <w:color w:val="010202"/>
          <w:sz w:val="18"/>
        </w:rPr>
        <w:t>en</w:t>
      </w:r>
      <w:r>
        <w:rPr>
          <w:b/>
          <w:color w:val="010202"/>
          <w:spacing w:val="-9"/>
          <w:sz w:val="18"/>
        </w:rPr>
        <w:t> </w:t>
      </w:r>
      <w:r>
        <w:rPr>
          <w:b/>
          <w:color w:val="010202"/>
          <w:sz w:val="18"/>
        </w:rPr>
        <w:t>2010.</w:t>
      </w:r>
      <w:r>
        <w:rPr>
          <w:b/>
          <w:color w:val="010202"/>
          <w:spacing w:val="-9"/>
          <w:sz w:val="18"/>
        </w:rPr>
        <w:t> </w:t>
      </w:r>
      <w:r>
        <w:rPr>
          <w:b/>
          <w:color w:val="010202"/>
          <w:sz w:val="18"/>
        </w:rPr>
        <w:t>Nivel</w:t>
      </w:r>
      <w:r>
        <w:rPr>
          <w:b/>
          <w:color w:val="010202"/>
          <w:spacing w:val="-9"/>
          <w:sz w:val="18"/>
        </w:rPr>
        <w:t> </w:t>
      </w:r>
      <w:r>
        <w:rPr>
          <w:b/>
          <w:color w:val="010202"/>
          <w:sz w:val="18"/>
        </w:rPr>
        <w:t>de</w:t>
      </w:r>
      <w:r>
        <w:rPr>
          <w:b/>
          <w:color w:val="010202"/>
          <w:spacing w:val="-9"/>
          <w:sz w:val="18"/>
        </w:rPr>
        <w:t> </w:t>
      </w:r>
      <w:r>
        <w:rPr>
          <w:b/>
          <w:color w:val="010202"/>
          <w:spacing w:val="-3"/>
          <w:sz w:val="18"/>
        </w:rPr>
        <w:t>agregación:</w:t>
      </w:r>
      <w:r>
        <w:rPr>
          <w:b/>
          <w:color w:val="010202"/>
          <w:spacing w:val="-9"/>
          <w:sz w:val="18"/>
        </w:rPr>
        <w:t> </w:t>
      </w:r>
      <w:r>
        <w:rPr>
          <w:b/>
          <w:color w:val="010202"/>
          <w:sz w:val="18"/>
        </w:rPr>
        <w:t>Ejido</w:t>
      </w:r>
      <w:r>
        <w:rPr>
          <w:b/>
          <w:color w:val="010202"/>
          <w:spacing w:val="-9"/>
          <w:sz w:val="18"/>
        </w:rPr>
        <w:t> </w:t>
      </w:r>
      <w:r>
        <w:rPr>
          <w:b/>
          <w:color w:val="010202"/>
          <w:sz w:val="18"/>
        </w:rPr>
        <w:t>(E)</w:t>
      </w:r>
      <w:r>
        <w:rPr>
          <w:b/>
          <w:color w:val="010202"/>
          <w:spacing w:val="-9"/>
          <w:sz w:val="18"/>
        </w:rPr>
        <w:t> </w:t>
      </w:r>
      <w:r>
        <w:rPr>
          <w:b/>
          <w:color w:val="010202"/>
          <w:sz w:val="18"/>
        </w:rPr>
        <w:t>más</w:t>
      </w:r>
      <w:r>
        <w:rPr>
          <w:b/>
          <w:color w:val="010202"/>
          <w:spacing w:val="-9"/>
          <w:sz w:val="18"/>
        </w:rPr>
        <w:t> </w:t>
      </w:r>
      <w:r>
        <w:rPr>
          <w:b/>
          <w:color w:val="010202"/>
          <w:sz w:val="18"/>
        </w:rPr>
        <w:t>Pequeña</w:t>
      </w:r>
      <w:r>
        <w:rPr>
          <w:b/>
          <w:color w:val="010202"/>
          <w:spacing w:val="-9"/>
          <w:sz w:val="18"/>
        </w:rPr>
        <w:t> </w:t>
      </w:r>
      <w:r>
        <w:rPr>
          <w:b/>
          <w:color w:val="010202"/>
          <w:spacing w:val="-3"/>
          <w:sz w:val="18"/>
        </w:rPr>
        <w:t>Propiedad</w:t>
      </w:r>
      <w:r>
        <w:rPr>
          <w:b/>
          <w:color w:val="010202"/>
          <w:spacing w:val="-9"/>
          <w:sz w:val="18"/>
        </w:rPr>
        <w:t> </w:t>
      </w:r>
      <w:r>
        <w:rPr>
          <w:b/>
          <w:color w:val="010202"/>
          <w:sz w:val="18"/>
        </w:rPr>
        <w:t>(PP).</w:t>
      </w:r>
    </w:p>
    <w:p>
      <w:pPr>
        <w:pStyle w:val="BodyText"/>
        <w:spacing w:before="7"/>
        <w:rPr>
          <w:b/>
          <w:sz w:val="24"/>
        </w:rPr>
      </w:pPr>
    </w:p>
    <w:tbl>
      <w:tblPr>
        <w:tblW w:w="0" w:type="auto"/>
        <w:jc w:val="left"/>
        <w:tblInd w:w="1276"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top w:w="0" w:type="dxa"/>
          <w:left w:w="0" w:type="dxa"/>
          <w:bottom w:w="0" w:type="dxa"/>
          <w:right w:w="0" w:type="dxa"/>
        </w:tblCellMar>
        <w:tblLook w:val="01E0"/>
      </w:tblPr>
      <w:tblGrid>
        <w:gridCol w:w="5199"/>
        <w:gridCol w:w="1821"/>
        <w:gridCol w:w="1325"/>
      </w:tblGrid>
      <w:tr>
        <w:trPr>
          <w:trHeight w:val="268" w:hRule="exact"/>
        </w:trPr>
        <w:tc>
          <w:tcPr>
            <w:tcW w:w="5199" w:type="dxa"/>
          </w:tcPr>
          <w:p>
            <w:pPr>
              <w:pStyle w:val="TableParagraph"/>
              <w:spacing w:before="29"/>
              <w:ind w:left="1703"/>
              <w:rPr>
                <w:b/>
                <w:sz w:val="16"/>
              </w:rPr>
            </w:pPr>
            <w:r>
              <w:rPr>
                <w:b/>
                <w:color w:val="231F20"/>
                <w:sz w:val="16"/>
              </w:rPr>
              <w:t>Variable macroeconómica</w:t>
            </w:r>
          </w:p>
        </w:tc>
        <w:tc>
          <w:tcPr>
            <w:tcW w:w="1821" w:type="dxa"/>
          </w:tcPr>
          <w:p>
            <w:pPr>
              <w:pStyle w:val="TableParagraph"/>
              <w:spacing w:before="29"/>
              <w:ind w:left="176"/>
              <w:rPr>
                <w:b/>
                <w:sz w:val="16"/>
              </w:rPr>
            </w:pPr>
            <w:r>
              <w:rPr>
                <w:b/>
                <w:color w:val="231F20"/>
                <w:sz w:val="16"/>
              </w:rPr>
              <w:t>Zacate ballico E y PP</w:t>
            </w:r>
          </w:p>
        </w:tc>
        <w:tc>
          <w:tcPr>
            <w:tcW w:w="1325" w:type="dxa"/>
          </w:tcPr>
          <w:p>
            <w:pPr>
              <w:pStyle w:val="TableParagraph"/>
              <w:spacing w:before="29"/>
              <w:ind w:left="417"/>
              <w:rPr>
                <w:b/>
                <w:sz w:val="16"/>
              </w:rPr>
            </w:pPr>
            <w:r>
              <w:rPr>
                <w:b/>
                <w:color w:val="231F20"/>
                <w:sz w:val="16"/>
              </w:rPr>
              <w:t>Alfalfa</w:t>
            </w:r>
          </w:p>
        </w:tc>
      </w:tr>
      <w:tr>
        <w:trPr>
          <w:trHeight w:val="271" w:hRule="exact"/>
        </w:trPr>
        <w:tc>
          <w:tcPr>
            <w:tcW w:w="5199" w:type="dxa"/>
          </w:tcPr>
          <w:p>
            <w:pPr>
              <w:pStyle w:val="TableParagraph"/>
              <w:spacing w:before="31"/>
              <w:rPr>
                <w:sz w:val="16"/>
              </w:rPr>
            </w:pPr>
            <w:r>
              <w:rPr>
                <w:color w:val="231F20"/>
                <w:sz w:val="16"/>
              </w:rPr>
              <w:t>Superficie cosechada (ha)</w:t>
            </w:r>
          </w:p>
        </w:tc>
        <w:tc>
          <w:tcPr>
            <w:tcW w:w="1821" w:type="dxa"/>
          </w:tcPr>
          <w:p>
            <w:pPr>
              <w:pStyle w:val="TableParagraph"/>
              <w:spacing w:before="31"/>
              <w:rPr>
                <w:sz w:val="16"/>
              </w:rPr>
            </w:pPr>
            <w:r>
              <w:rPr>
                <w:color w:val="231F20"/>
                <w:sz w:val="16"/>
              </w:rPr>
              <w:t>485</w:t>
            </w:r>
          </w:p>
        </w:tc>
        <w:tc>
          <w:tcPr>
            <w:tcW w:w="1325" w:type="dxa"/>
          </w:tcPr>
          <w:p>
            <w:pPr>
              <w:pStyle w:val="TableParagraph"/>
              <w:spacing w:before="31"/>
              <w:rPr>
                <w:sz w:val="16"/>
              </w:rPr>
            </w:pPr>
            <w:r>
              <w:rPr>
                <w:color w:val="231F20"/>
                <w:sz w:val="16"/>
              </w:rPr>
              <w:t>33,471.0</w:t>
            </w:r>
          </w:p>
        </w:tc>
      </w:tr>
      <w:tr>
        <w:trPr>
          <w:trHeight w:val="271" w:hRule="exact"/>
        </w:trPr>
        <w:tc>
          <w:tcPr>
            <w:tcW w:w="5199" w:type="dxa"/>
          </w:tcPr>
          <w:p>
            <w:pPr>
              <w:pStyle w:val="TableParagraph"/>
              <w:spacing w:before="31"/>
              <w:rPr>
                <w:sz w:val="16"/>
              </w:rPr>
            </w:pPr>
            <w:r>
              <w:rPr>
                <w:color w:val="231F20"/>
                <w:sz w:val="16"/>
              </w:rPr>
              <w:t>Producción anual (ton)</w:t>
            </w:r>
          </w:p>
        </w:tc>
        <w:tc>
          <w:tcPr>
            <w:tcW w:w="1821" w:type="dxa"/>
          </w:tcPr>
          <w:p>
            <w:pPr>
              <w:pStyle w:val="TableParagraph"/>
              <w:spacing w:before="31"/>
              <w:rPr>
                <w:sz w:val="16"/>
              </w:rPr>
            </w:pPr>
            <w:r>
              <w:rPr>
                <w:color w:val="231F20"/>
                <w:sz w:val="16"/>
              </w:rPr>
              <w:t>18,273</w:t>
            </w:r>
          </w:p>
        </w:tc>
        <w:tc>
          <w:tcPr>
            <w:tcW w:w="1325" w:type="dxa"/>
          </w:tcPr>
          <w:p>
            <w:pPr>
              <w:pStyle w:val="TableParagraph"/>
              <w:spacing w:before="31"/>
              <w:rPr>
                <w:sz w:val="16"/>
              </w:rPr>
            </w:pPr>
            <w:r>
              <w:rPr>
                <w:color w:val="231F20"/>
                <w:sz w:val="16"/>
              </w:rPr>
              <w:t>2,805,298.0</w:t>
            </w:r>
          </w:p>
        </w:tc>
      </w:tr>
      <w:tr>
        <w:trPr>
          <w:trHeight w:val="271" w:hRule="exact"/>
        </w:trPr>
        <w:tc>
          <w:tcPr>
            <w:tcW w:w="5199" w:type="dxa"/>
          </w:tcPr>
          <w:p>
            <w:pPr>
              <w:pStyle w:val="TableParagraph"/>
              <w:spacing w:before="31"/>
              <w:rPr>
                <w:sz w:val="16"/>
              </w:rPr>
            </w:pPr>
            <w:r>
              <w:rPr>
                <w:color w:val="231F20"/>
                <w:sz w:val="16"/>
              </w:rPr>
              <w:t>Ton/ha</w:t>
            </w:r>
          </w:p>
        </w:tc>
        <w:tc>
          <w:tcPr>
            <w:tcW w:w="1821" w:type="dxa"/>
          </w:tcPr>
          <w:p>
            <w:pPr>
              <w:pStyle w:val="TableParagraph"/>
              <w:spacing w:before="31"/>
              <w:rPr>
                <w:sz w:val="16"/>
              </w:rPr>
            </w:pPr>
            <w:r>
              <w:rPr>
                <w:color w:val="231F20"/>
                <w:sz w:val="16"/>
              </w:rPr>
              <w:t>37.68</w:t>
            </w:r>
          </w:p>
        </w:tc>
        <w:tc>
          <w:tcPr>
            <w:tcW w:w="1325" w:type="dxa"/>
          </w:tcPr>
          <w:p>
            <w:pPr>
              <w:pStyle w:val="TableParagraph"/>
              <w:spacing w:before="31"/>
              <w:rPr>
                <w:sz w:val="16"/>
              </w:rPr>
            </w:pPr>
            <w:r>
              <w:rPr>
                <w:color w:val="231F20"/>
                <w:sz w:val="16"/>
              </w:rPr>
              <w:t>83.81</w:t>
            </w:r>
          </w:p>
        </w:tc>
      </w:tr>
      <w:tr>
        <w:trPr>
          <w:trHeight w:val="271" w:hRule="exact"/>
        </w:trPr>
        <w:tc>
          <w:tcPr>
            <w:tcW w:w="5199" w:type="dxa"/>
          </w:tcPr>
          <w:p>
            <w:pPr>
              <w:pStyle w:val="TableParagraph"/>
              <w:spacing w:before="31"/>
              <w:rPr>
                <w:sz w:val="16"/>
              </w:rPr>
            </w:pPr>
            <w:r>
              <w:rPr>
                <w:color w:val="231F20"/>
                <w:sz w:val="16"/>
              </w:rPr>
              <w:t>Precio/ton</w:t>
            </w:r>
          </w:p>
        </w:tc>
        <w:tc>
          <w:tcPr>
            <w:tcW w:w="1821" w:type="dxa"/>
          </w:tcPr>
          <w:p>
            <w:pPr>
              <w:pStyle w:val="TableParagraph"/>
              <w:spacing w:before="31"/>
              <w:rPr>
                <w:sz w:val="16"/>
              </w:rPr>
            </w:pPr>
            <w:r>
              <w:rPr>
                <w:color w:val="231F20"/>
                <w:sz w:val="16"/>
              </w:rPr>
              <w:t>366.37</w:t>
            </w:r>
          </w:p>
        </w:tc>
        <w:tc>
          <w:tcPr>
            <w:tcW w:w="1325" w:type="dxa"/>
          </w:tcPr>
          <w:p>
            <w:pPr>
              <w:pStyle w:val="TableParagraph"/>
              <w:spacing w:before="31"/>
              <w:rPr>
                <w:sz w:val="16"/>
              </w:rPr>
            </w:pPr>
            <w:r>
              <w:rPr>
                <w:color w:val="231F20"/>
                <w:sz w:val="16"/>
              </w:rPr>
              <w:t>368.2</w:t>
            </w:r>
          </w:p>
        </w:tc>
      </w:tr>
      <w:tr>
        <w:trPr>
          <w:trHeight w:val="271" w:hRule="exact"/>
        </w:trPr>
        <w:tc>
          <w:tcPr>
            <w:tcW w:w="5199" w:type="dxa"/>
          </w:tcPr>
          <w:p>
            <w:pPr>
              <w:pStyle w:val="TableParagraph"/>
              <w:spacing w:before="31"/>
              <w:rPr>
                <w:sz w:val="16"/>
              </w:rPr>
            </w:pPr>
            <w:r>
              <w:rPr>
                <w:color w:val="231F20"/>
                <w:sz w:val="16"/>
              </w:rPr>
              <w:t>Ingreso/ha</w:t>
            </w:r>
          </w:p>
        </w:tc>
        <w:tc>
          <w:tcPr>
            <w:tcW w:w="1821" w:type="dxa"/>
          </w:tcPr>
          <w:p>
            <w:pPr>
              <w:pStyle w:val="TableParagraph"/>
              <w:spacing w:before="31"/>
              <w:rPr>
                <w:sz w:val="16"/>
              </w:rPr>
            </w:pPr>
            <w:r>
              <w:rPr>
                <w:color w:val="231F20"/>
                <w:sz w:val="16"/>
              </w:rPr>
              <w:t>13,803.41</w:t>
            </w:r>
          </w:p>
        </w:tc>
        <w:tc>
          <w:tcPr>
            <w:tcW w:w="1325" w:type="dxa"/>
          </w:tcPr>
          <w:p>
            <w:pPr>
              <w:pStyle w:val="TableParagraph"/>
              <w:spacing w:before="31"/>
              <w:rPr>
                <w:sz w:val="16"/>
              </w:rPr>
            </w:pPr>
            <w:r>
              <w:rPr>
                <w:color w:val="231F20"/>
                <w:sz w:val="16"/>
              </w:rPr>
              <w:t>30,857.97</w:t>
            </w:r>
          </w:p>
        </w:tc>
      </w:tr>
      <w:tr>
        <w:trPr>
          <w:trHeight w:val="334" w:hRule="exact"/>
        </w:trPr>
        <w:tc>
          <w:tcPr>
            <w:tcW w:w="5199" w:type="dxa"/>
          </w:tcPr>
          <w:p>
            <w:pPr>
              <w:pStyle w:val="TableParagraph"/>
              <w:spacing w:before="31"/>
              <w:rPr>
                <w:sz w:val="16"/>
              </w:rPr>
            </w:pPr>
            <w:r>
              <w:rPr>
                <w:color w:val="231F20"/>
                <w:sz w:val="16"/>
              </w:rPr>
              <w:t>Costo/ha</w:t>
            </w:r>
          </w:p>
        </w:tc>
        <w:tc>
          <w:tcPr>
            <w:tcW w:w="1821" w:type="dxa"/>
          </w:tcPr>
          <w:p>
            <w:pPr>
              <w:pStyle w:val="TableParagraph"/>
              <w:spacing w:before="31"/>
              <w:rPr>
                <w:sz w:val="16"/>
              </w:rPr>
            </w:pPr>
            <w:r>
              <w:rPr>
                <w:color w:val="231F20"/>
                <w:sz w:val="16"/>
              </w:rPr>
              <w:t>16,813.91</w:t>
            </w:r>
          </w:p>
        </w:tc>
        <w:tc>
          <w:tcPr>
            <w:tcW w:w="1325" w:type="dxa"/>
          </w:tcPr>
          <w:p>
            <w:pPr>
              <w:pStyle w:val="TableParagraph"/>
              <w:spacing w:before="31"/>
              <w:rPr>
                <w:sz w:val="16"/>
              </w:rPr>
            </w:pPr>
            <w:r>
              <w:rPr>
                <w:color w:val="231F20"/>
                <w:sz w:val="16"/>
              </w:rPr>
              <w:t>14,712.40</w:t>
            </w:r>
          </w:p>
        </w:tc>
      </w:tr>
      <w:tr>
        <w:trPr>
          <w:trHeight w:val="271" w:hRule="exact"/>
        </w:trPr>
        <w:tc>
          <w:tcPr>
            <w:tcW w:w="5199" w:type="dxa"/>
          </w:tcPr>
          <w:p>
            <w:pPr>
              <w:pStyle w:val="TableParagraph"/>
              <w:spacing w:before="31"/>
              <w:rPr>
                <w:sz w:val="16"/>
              </w:rPr>
            </w:pPr>
            <w:r>
              <w:rPr>
                <w:color w:val="231F20"/>
                <w:sz w:val="16"/>
              </w:rPr>
              <w:t>Ganancia/ha</w:t>
            </w:r>
          </w:p>
        </w:tc>
        <w:tc>
          <w:tcPr>
            <w:tcW w:w="1821" w:type="dxa"/>
          </w:tcPr>
          <w:p>
            <w:pPr>
              <w:pStyle w:val="TableParagraph"/>
              <w:spacing w:before="31"/>
              <w:rPr>
                <w:sz w:val="16"/>
              </w:rPr>
            </w:pPr>
            <w:r>
              <w:rPr>
                <w:color w:val="231F20"/>
                <w:sz w:val="16"/>
              </w:rPr>
              <w:t>-3,010.50</w:t>
            </w:r>
          </w:p>
        </w:tc>
        <w:tc>
          <w:tcPr>
            <w:tcW w:w="1325" w:type="dxa"/>
          </w:tcPr>
          <w:p>
            <w:pPr>
              <w:pStyle w:val="TableParagraph"/>
              <w:spacing w:before="31"/>
              <w:rPr>
                <w:sz w:val="16"/>
              </w:rPr>
            </w:pPr>
            <w:r>
              <w:rPr>
                <w:color w:val="231F20"/>
                <w:sz w:val="16"/>
              </w:rPr>
              <w:t>16,145.57</w:t>
            </w:r>
          </w:p>
        </w:tc>
      </w:tr>
      <w:tr>
        <w:trPr>
          <w:trHeight w:val="271" w:hRule="exact"/>
        </w:trPr>
        <w:tc>
          <w:tcPr>
            <w:tcW w:w="5199" w:type="dxa"/>
          </w:tcPr>
          <w:p>
            <w:pPr>
              <w:pStyle w:val="TableParagraph"/>
              <w:spacing w:before="31"/>
              <w:rPr>
                <w:sz w:val="16"/>
              </w:rPr>
            </w:pPr>
            <w:r>
              <w:rPr>
                <w:color w:val="231F20"/>
                <w:sz w:val="16"/>
              </w:rPr>
              <w:t>Relación Beneficio/Costo</w:t>
            </w:r>
          </w:p>
        </w:tc>
        <w:tc>
          <w:tcPr>
            <w:tcW w:w="1821" w:type="dxa"/>
          </w:tcPr>
          <w:p>
            <w:pPr>
              <w:pStyle w:val="TableParagraph"/>
              <w:spacing w:before="31"/>
              <w:rPr>
                <w:sz w:val="16"/>
              </w:rPr>
            </w:pPr>
            <w:r>
              <w:rPr>
                <w:color w:val="231F20"/>
                <w:sz w:val="16"/>
              </w:rPr>
              <w:t>0.82</w:t>
            </w:r>
          </w:p>
        </w:tc>
        <w:tc>
          <w:tcPr>
            <w:tcW w:w="1325" w:type="dxa"/>
          </w:tcPr>
          <w:p>
            <w:pPr>
              <w:pStyle w:val="TableParagraph"/>
              <w:spacing w:before="31"/>
              <w:rPr>
                <w:sz w:val="16"/>
              </w:rPr>
            </w:pPr>
            <w:r>
              <w:rPr>
                <w:color w:val="231F20"/>
                <w:sz w:val="16"/>
              </w:rPr>
              <w:t>2.10</w:t>
            </w:r>
          </w:p>
        </w:tc>
      </w:tr>
      <w:tr>
        <w:trPr>
          <w:trHeight w:val="271" w:hRule="exact"/>
        </w:trPr>
        <w:tc>
          <w:tcPr>
            <w:tcW w:w="5199" w:type="dxa"/>
          </w:tcPr>
          <w:p>
            <w:pPr>
              <w:pStyle w:val="TableParagraph"/>
              <w:spacing w:before="31"/>
              <w:rPr>
                <w:sz w:val="16"/>
              </w:rPr>
            </w:pPr>
            <w:r>
              <w:rPr>
                <w:color w:val="231F20"/>
                <w:sz w:val="16"/>
              </w:rPr>
              <w:t># de jornales/ha</w:t>
            </w:r>
          </w:p>
        </w:tc>
        <w:tc>
          <w:tcPr>
            <w:tcW w:w="1821" w:type="dxa"/>
          </w:tcPr>
          <w:p>
            <w:pPr>
              <w:pStyle w:val="TableParagraph"/>
              <w:spacing w:before="31"/>
              <w:rPr>
                <w:sz w:val="16"/>
              </w:rPr>
            </w:pPr>
            <w:r>
              <w:rPr>
                <w:color w:val="231F20"/>
                <w:sz w:val="16"/>
              </w:rPr>
              <w:t>18.20</w:t>
            </w:r>
          </w:p>
        </w:tc>
        <w:tc>
          <w:tcPr>
            <w:tcW w:w="1325" w:type="dxa"/>
          </w:tcPr>
          <w:p>
            <w:pPr>
              <w:pStyle w:val="TableParagraph"/>
              <w:spacing w:before="31"/>
              <w:rPr>
                <w:sz w:val="16"/>
              </w:rPr>
            </w:pPr>
            <w:r>
              <w:rPr>
                <w:color w:val="231F20"/>
                <w:sz w:val="16"/>
              </w:rPr>
              <w:t>22.27</w:t>
            </w:r>
          </w:p>
        </w:tc>
      </w:tr>
      <w:tr>
        <w:trPr>
          <w:trHeight w:val="271" w:hRule="exact"/>
        </w:trPr>
        <w:tc>
          <w:tcPr>
            <w:tcW w:w="5199" w:type="dxa"/>
          </w:tcPr>
          <w:p>
            <w:pPr>
              <w:pStyle w:val="TableParagraph"/>
              <w:spacing w:before="31"/>
              <w:rPr>
                <w:sz w:val="16"/>
              </w:rPr>
            </w:pPr>
            <w:r>
              <w:rPr>
                <w:color w:val="231F20"/>
                <w:sz w:val="16"/>
              </w:rPr>
              <w:t>Ton / jornada</w:t>
            </w:r>
          </w:p>
        </w:tc>
        <w:tc>
          <w:tcPr>
            <w:tcW w:w="1821" w:type="dxa"/>
          </w:tcPr>
          <w:p>
            <w:pPr>
              <w:pStyle w:val="TableParagraph"/>
              <w:spacing w:before="31"/>
              <w:rPr>
                <w:sz w:val="16"/>
              </w:rPr>
            </w:pPr>
            <w:r>
              <w:rPr>
                <w:color w:val="231F20"/>
                <w:sz w:val="16"/>
              </w:rPr>
              <w:t>2.070</w:t>
            </w:r>
          </w:p>
        </w:tc>
        <w:tc>
          <w:tcPr>
            <w:tcW w:w="1325" w:type="dxa"/>
          </w:tcPr>
          <w:p>
            <w:pPr>
              <w:pStyle w:val="TableParagraph"/>
              <w:spacing w:before="31"/>
              <w:rPr>
                <w:sz w:val="16"/>
              </w:rPr>
            </w:pPr>
            <w:r>
              <w:rPr>
                <w:color w:val="231F20"/>
                <w:sz w:val="16"/>
              </w:rPr>
              <w:t>3.763</w:t>
            </w:r>
          </w:p>
        </w:tc>
      </w:tr>
      <w:tr>
        <w:trPr>
          <w:trHeight w:val="271" w:hRule="exact"/>
        </w:trPr>
        <w:tc>
          <w:tcPr>
            <w:tcW w:w="5199" w:type="dxa"/>
          </w:tcPr>
          <w:p>
            <w:pPr>
              <w:pStyle w:val="TableParagraph"/>
              <w:spacing w:before="31"/>
              <w:rPr>
                <w:sz w:val="16"/>
              </w:rPr>
            </w:pPr>
            <w:r>
              <w:rPr>
                <w:color w:val="231F20"/>
                <w:sz w:val="16"/>
              </w:rPr>
              <w:t>Costo/ton</w:t>
            </w:r>
          </w:p>
        </w:tc>
        <w:tc>
          <w:tcPr>
            <w:tcW w:w="1821" w:type="dxa"/>
          </w:tcPr>
          <w:p>
            <w:pPr>
              <w:pStyle w:val="TableParagraph"/>
              <w:spacing w:before="31"/>
              <w:rPr>
                <w:sz w:val="16"/>
              </w:rPr>
            </w:pPr>
            <w:r>
              <w:rPr>
                <w:color w:val="231F20"/>
                <w:sz w:val="16"/>
              </w:rPr>
              <w:t>446.3</w:t>
            </w:r>
          </w:p>
        </w:tc>
        <w:tc>
          <w:tcPr>
            <w:tcW w:w="1325" w:type="dxa"/>
          </w:tcPr>
          <w:p>
            <w:pPr>
              <w:pStyle w:val="TableParagraph"/>
              <w:spacing w:before="31"/>
              <w:rPr>
                <w:sz w:val="16"/>
              </w:rPr>
            </w:pPr>
            <w:r>
              <w:rPr>
                <w:color w:val="231F20"/>
                <w:sz w:val="16"/>
              </w:rPr>
              <w:t>175.5</w:t>
            </w:r>
          </w:p>
        </w:tc>
      </w:tr>
      <w:tr>
        <w:trPr>
          <w:trHeight w:val="271" w:hRule="exact"/>
        </w:trPr>
        <w:tc>
          <w:tcPr>
            <w:tcW w:w="5199" w:type="dxa"/>
          </w:tcPr>
          <w:p>
            <w:pPr>
              <w:pStyle w:val="TableParagraph"/>
              <w:spacing w:before="31"/>
              <w:rPr>
                <w:sz w:val="16"/>
              </w:rPr>
            </w:pPr>
            <w:r>
              <w:rPr>
                <w:color w:val="231F20"/>
                <w:sz w:val="16"/>
              </w:rPr>
              <w:t>Ganancia monetaria/jornada</w:t>
            </w:r>
          </w:p>
        </w:tc>
        <w:tc>
          <w:tcPr>
            <w:tcW w:w="1821" w:type="dxa"/>
          </w:tcPr>
          <w:p>
            <w:pPr>
              <w:pStyle w:val="TableParagraph"/>
              <w:spacing w:before="31"/>
              <w:rPr>
                <w:sz w:val="16"/>
              </w:rPr>
            </w:pPr>
            <w:r>
              <w:rPr>
                <w:color w:val="231F20"/>
                <w:sz w:val="16"/>
              </w:rPr>
              <w:t>- 165.4</w:t>
            </w:r>
          </w:p>
        </w:tc>
        <w:tc>
          <w:tcPr>
            <w:tcW w:w="1325" w:type="dxa"/>
          </w:tcPr>
          <w:p>
            <w:pPr>
              <w:pStyle w:val="TableParagraph"/>
              <w:spacing w:before="31"/>
              <w:rPr>
                <w:sz w:val="16"/>
              </w:rPr>
            </w:pPr>
            <w:r>
              <w:rPr>
                <w:color w:val="231F20"/>
                <w:sz w:val="16"/>
              </w:rPr>
              <w:t>725.0</w:t>
            </w:r>
          </w:p>
        </w:tc>
      </w:tr>
      <w:tr>
        <w:trPr>
          <w:trHeight w:val="271" w:hRule="exact"/>
        </w:trPr>
        <w:tc>
          <w:tcPr>
            <w:tcW w:w="5199" w:type="dxa"/>
          </w:tcPr>
          <w:p>
            <w:pPr>
              <w:pStyle w:val="TableParagraph"/>
              <w:spacing w:before="30"/>
              <w:rPr>
                <w:sz w:val="16"/>
              </w:rPr>
            </w:pPr>
            <w:r>
              <w:rPr>
                <w:color w:val="231F20"/>
                <w:sz w:val="16"/>
              </w:rPr>
              <w:t>Lámina neta de Riego (LR) en m</w:t>
            </w:r>
          </w:p>
        </w:tc>
        <w:tc>
          <w:tcPr>
            <w:tcW w:w="1821" w:type="dxa"/>
          </w:tcPr>
          <w:p>
            <w:pPr>
              <w:pStyle w:val="TableParagraph"/>
              <w:spacing w:before="30"/>
              <w:rPr>
                <w:sz w:val="16"/>
              </w:rPr>
            </w:pPr>
            <w:r>
              <w:rPr>
                <w:color w:val="231F20"/>
                <w:sz w:val="16"/>
              </w:rPr>
              <w:t>1.45</w:t>
            </w:r>
          </w:p>
        </w:tc>
        <w:tc>
          <w:tcPr>
            <w:tcW w:w="1325" w:type="dxa"/>
          </w:tcPr>
          <w:p>
            <w:pPr>
              <w:pStyle w:val="TableParagraph"/>
              <w:spacing w:before="30"/>
              <w:rPr>
                <w:sz w:val="16"/>
              </w:rPr>
            </w:pPr>
            <w:r>
              <w:rPr>
                <w:color w:val="231F20"/>
                <w:sz w:val="16"/>
              </w:rPr>
              <w:t>1.800</w:t>
            </w:r>
          </w:p>
        </w:tc>
      </w:tr>
      <w:tr>
        <w:trPr>
          <w:trHeight w:val="271" w:hRule="exact"/>
        </w:trPr>
        <w:tc>
          <w:tcPr>
            <w:tcW w:w="5199" w:type="dxa"/>
          </w:tcPr>
          <w:p>
            <w:pPr>
              <w:pStyle w:val="TableParagraph"/>
              <w:spacing w:before="30"/>
              <w:rPr>
                <w:sz w:val="16"/>
              </w:rPr>
            </w:pPr>
            <w:r>
              <w:rPr>
                <w:color w:val="231F20"/>
                <w:sz w:val="16"/>
              </w:rPr>
              <w:t>Volumen de agua usado (millones de m³)</w:t>
            </w:r>
          </w:p>
        </w:tc>
        <w:tc>
          <w:tcPr>
            <w:tcW w:w="1821" w:type="dxa"/>
          </w:tcPr>
          <w:p>
            <w:pPr>
              <w:pStyle w:val="TableParagraph"/>
              <w:spacing w:before="30"/>
              <w:rPr>
                <w:sz w:val="16"/>
              </w:rPr>
            </w:pPr>
            <w:r>
              <w:rPr>
                <w:color w:val="231F20"/>
                <w:sz w:val="16"/>
              </w:rPr>
              <w:t>7.02</w:t>
            </w:r>
          </w:p>
        </w:tc>
        <w:tc>
          <w:tcPr>
            <w:tcW w:w="1325" w:type="dxa"/>
          </w:tcPr>
          <w:p>
            <w:pPr>
              <w:pStyle w:val="TableParagraph"/>
              <w:spacing w:before="30"/>
              <w:rPr>
                <w:sz w:val="16"/>
              </w:rPr>
            </w:pPr>
            <w:r>
              <w:rPr>
                <w:color w:val="231F20"/>
                <w:sz w:val="16"/>
              </w:rPr>
              <w:t>602.48</w:t>
            </w:r>
          </w:p>
        </w:tc>
      </w:tr>
      <w:tr>
        <w:trPr>
          <w:trHeight w:val="271" w:hRule="exact"/>
        </w:trPr>
        <w:tc>
          <w:tcPr>
            <w:tcW w:w="5199" w:type="dxa"/>
          </w:tcPr>
          <w:p>
            <w:pPr>
              <w:pStyle w:val="TableParagraph"/>
              <w:spacing w:before="30"/>
              <w:rPr>
                <w:sz w:val="16"/>
              </w:rPr>
            </w:pPr>
            <w:r>
              <w:rPr>
                <w:color w:val="231F20"/>
                <w:sz w:val="16"/>
              </w:rPr>
              <w:t>Ganancia monetaria total (Millones de pesos de 2009)</w:t>
            </w:r>
          </w:p>
        </w:tc>
        <w:tc>
          <w:tcPr>
            <w:tcW w:w="1821" w:type="dxa"/>
          </w:tcPr>
          <w:p>
            <w:pPr>
              <w:pStyle w:val="TableParagraph"/>
              <w:spacing w:before="30"/>
              <w:rPr>
                <w:sz w:val="16"/>
              </w:rPr>
            </w:pPr>
            <w:r>
              <w:rPr>
                <w:color w:val="231F20"/>
                <w:sz w:val="16"/>
              </w:rPr>
              <w:t>-1.5</w:t>
            </w:r>
          </w:p>
        </w:tc>
        <w:tc>
          <w:tcPr>
            <w:tcW w:w="1325" w:type="dxa"/>
          </w:tcPr>
          <w:p>
            <w:pPr>
              <w:pStyle w:val="TableParagraph"/>
              <w:spacing w:before="30"/>
              <w:rPr>
                <w:sz w:val="16"/>
              </w:rPr>
            </w:pPr>
            <w:r>
              <w:rPr>
                <w:color w:val="231F20"/>
                <w:sz w:val="16"/>
              </w:rPr>
              <w:t>540.4</w:t>
            </w:r>
          </w:p>
        </w:tc>
      </w:tr>
      <w:tr>
        <w:trPr>
          <w:trHeight w:val="271" w:hRule="exact"/>
        </w:trPr>
        <w:tc>
          <w:tcPr>
            <w:tcW w:w="5199" w:type="dxa"/>
          </w:tcPr>
          <w:p>
            <w:pPr>
              <w:pStyle w:val="TableParagraph"/>
              <w:spacing w:before="30"/>
              <w:rPr>
                <w:sz w:val="16"/>
              </w:rPr>
            </w:pPr>
            <w:r>
              <w:rPr>
                <w:color w:val="231F20"/>
                <w:sz w:val="16"/>
              </w:rPr>
              <w:t>Total de jornales al año</w:t>
            </w:r>
          </w:p>
        </w:tc>
        <w:tc>
          <w:tcPr>
            <w:tcW w:w="1821" w:type="dxa"/>
          </w:tcPr>
          <w:p>
            <w:pPr>
              <w:pStyle w:val="TableParagraph"/>
              <w:spacing w:before="30"/>
              <w:rPr>
                <w:sz w:val="16"/>
              </w:rPr>
            </w:pPr>
            <w:r>
              <w:rPr>
                <w:color w:val="231F20"/>
                <w:sz w:val="16"/>
              </w:rPr>
              <w:t>8,827</w:t>
            </w:r>
          </w:p>
        </w:tc>
        <w:tc>
          <w:tcPr>
            <w:tcW w:w="1325" w:type="dxa"/>
          </w:tcPr>
          <w:p>
            <w:pPr>
              <w:pStyle w:val="TableParagraph"/>
              <w:spacing w:before="30"/>
              <w:rPr>
                <w:sz w:val="16"/>
              </w:rPr>
            </w:pPr>
            <w:r>
              <w:rPr>
                <w:color w:val="231F20"/>
                <w:sz w:val="16"/>
              </w:rPr>
              <w:t>745,399</w:t>
            </w:r>
          </w:p>
        </w:tc>
      </w:tr>
      <w:tr>
        <w:trPr>
          <w:trHeight w:val="463" w:hRule="exact"/>
        </w:trPr>
        <w:tc>
          <w:tcPr>
            <w:tcW w:w="5199" w:type="dxa"/>
          </w:tcPr>
          <w:p>
            <w:pPr>
              <w:pStyle w:val="TableParagraph"/>
              <w:spacing w:line="249" w:lineRule="auto" w:before="30"/>
              <w:rPr>
                <w:sz w:val="16"/>
              </w:rPr>
            </w:pPr>
            <w:r>
              <w:rPr>
                <w:color w:val="231F20"/>
                <w:spacing w:val="-5"/>
                <w:sz w:val="16"/>
              </w:rPr>
              <w:t>Número </w:t>
            </w:r>
            <w:r>
              <w:rPr>
                <w:color w:val="231F20"/>
                <w:sz w:val="16"/>
              </w:rPr>
              <w:t>de </w:t>
            </w:r>
            <w:r>
              <w:rPr>
                <w:color w:val="231F20"/>
                <w:spacing w:val="-4"/>
                <w:sz w:val="16"/>
              </w:rPr>
              <w:t>empleos permanentes/año </w:t>
            </w:r>
            <w:r>
              <w:rPr>
                <w:color w:val="231F20"/>
                <w:sz w:val="16"/>
              </w:rPr>
              <w:t>(1 </w:t>
            </w:r>
            <w:r>
              <w:rPr>
                <w:color w:val="231F20"/>
                <w:spacing w:val="-4"/>
                <w:sz w:val="16"/>
              </w:rPr>
              <w:t>empleo permanente </w:t>
            </w:r>
            <w:r>
              <w:rPr>
                <w:color w:val="231F20"/>
                <w:sz w:val="16"/>
              </w:rPr>
              <w:t>= 6 </w:t>
            </w:r>
            <w:r>
              <w:rPr>
                <w:color w:val="231F20"/>
                <w:spacing w:val="-4"/>
                <w:sz w:val="16"/>
              </w:rPr>
              <w:t>jornadas/semana </w:t>
            </w:r>
            <w:r>
              <w:rPr>
                <w:color w:val="231F20"/>
                <w:spacing w:val="-3"/>
                <w:sz w:val="16"/>
              </w:rPr>
              <w:t>por </w:t>
            </w:r>
            <w:r>
              <w:rPr>
                <w:color w:val="231F20"/>
                <w:sz w:val="16"/>
              </w:rPr>
              <w:t>48 </w:t>
            </w:r>
            <w:r>
              <w:rPr>
                <w:color w:val="231F20"/>
                <w:spacing w:val="-5"/>
                <w:sz w:val="16"/>
              </w:rPr>
              <w:t>semanas </w:t>
            </w:r>
            <w:r>
              <w:rPr>
                <w:color w:val="231F20"/>
                <w:sz w:val="16"/>
              </w:rPr>
              <w:t>al </w:t>
            </w:r>
            <w:r>
              <w:rPr>
                <w:color w:val="231F20"/>
                <w:spacing w:val="-4"/>
                <w:sz w:val="16"/>
              </w:rPr>
              <w:t>año)</w:t>
            </w:r>
          </w:p>
        </w:tc>
        <w:tc>
          <w:tcPr>
            <w:tcW w:w="1821" w:type="dxa"/>
          </w:tcPr>
          <w:p>
            <w:pPr>
              <w:pStyle w:val="TableParagraph"/>
              <w:spacing w:before="30"/>
              <w:rPr>
                <w:sz w:val="16"/>
              </w:rPr>
            </w:pPr>
            <w:r>
              <w:rPr>
                <w:color w:val="231F20"/>
                <w:sz w:val="16"/>
              </w:rPr>
              <w:t>31</w:t>
            </w:r>
          </w:p>
        </w:tc>
        <w:tc>
          <w:tcPr>
            <w:tcW w:w="1325" w:type="dxa"/>
          </w:tcPr>
          <w:p>
            <w:pPr>
              <w:pStyle w:val="TableParagraph"/>
              <w:spacing w:before="30"/>
              <w:rPr>
                <w:sz w:val="16"/>
              </w:rPr>
            </w:pPr>
            <w:r>
              <w:rPr>
                <w:color w:val="231F20"/>
                <w:sz w:val="16"/>
              </w:rPr>
              <w:t>2,588</w:t>
            </w:r>
          </w:p>
        </w:tc>
      </w:tr>
      <w:tr>
        <w:trPr>
          <w:trHeight w:val="271" w:hRule="exact"/>
        </w:trPr>
        <w:tc>
          <w:tcPr>
            <w:tcW w:w="5199" w:type="dxa"/>
          </w:tcPr>
          <w:p>
            <w:pPr>
              <w:pStyle w:val="TableParagraph"/>
              <w:spacing w:before="30"/>
              <w:rPr>
                <w:sz w:val="16"/>
              </w:rPr>
            </w:pPr>
            <w:r>
              <w:rPr>
                <w:color w:val="231F20"/>
                <w:sz w:val="16"/>
              </w:rPr>
              <w:t>Capital invertido en la producción (millones de pesos )</w:t>
            </w:r>
          </w:p>
        </w:tc>
        <w:tc>
          <w:tcPr>
            <w:tcW w:w="1821" w:type="dxa"/>
          </w:tcPr>
          <w:p>
            <w:pPr>
              <w:pStyle w:val="TableParagraph"/>
              <w:spacing w:before="30"/>
              <w:rPr>
                <w:sz w:val="16"/>
              </w:rPr>
            </w:pPr>
            <w:r>
              <w:rPr>
                <w:color w:val="231F20"/>
                <w:sz w:val="16"/>
              </w:rPr>
              <w:t>8.2</w:t>
            </w:r>
          </w:p>
        </w:tc>
        <w:tc>
          <w:tcPr>
            <w:tcW w:w="1325" w:type="dxa"/>
          </w:tcPr>
          <w:p>
            <w:pPr>
              <w:pStyle w:val="TableParagraph"/>
              <w:spacing w:before="30"/>
              <w:rPr>
                <w:sz w:val="16"/>
              </w:rPr>
            </w:pPr>
            <w:r>
              <w:rPr>
                <w:color w:val="231F20"/>
                <w:sz w:val="16"/>
              </w:rPr>
              <w:t>492.4</w:t>
            </w:r>
          </w:p>
        </w:tc>
      </w:tr>
    </w:tbl>
    <w:p>
      <w:pPr>
        <w:spacing w:line="307" w:lineRule="auto" w:before="11"/>
        <w:ind w:left="1270" w:right="1279" w:firstLine="0"/>
        <w:jc w:val="left"/>
        <w:rPr>
          <w:b/>
          <w:i/>
          <w:sz w:val="17"/>
        </w:rPr>
      </w:pPr>
      <w:r>
        <w:rPr>
          <w:b/>
          <w:i/>
          <w:color w:val="231F20"/>
          <w:spacing w:val="-5"/>
          <w:sz w:val="17"/>
        </w:rPr>
        <w:t>Fuente: Elaboración propia, </w:t>
      </w:r>
      <w:r>
        <w:rPr>
          <w:b/>
          <w:i/>
          <w:color w:val="231F20"/>
          <w:spacing w:val="-4"/>
          <w:sz w:val="17"/>
        </w:rPr>
        <w:t>con base </w:t>
      </w:r>
      <w:r>
        <w:rPr>
          <w:b/>
          <w:i/>
          <w:color w:val="231F20"/>
          <w:spacing w:val="-3"/>
          <w:sz w:val="17"/>
        </w:rPr>
        <w:t>en el </w:t>
      </w:r>
      <w:r>
        <w:rPr>
          <w:b/>
          <w:i/>
          <w:color w:val="231F20"/>
          <w:spacing w:val="-5"/>
          <w:sz w:val="17"/>
        </w:rPr>
        <w:t>Anuarios estadísticos </w:t>
      </w:r>
      <w:r>
        <w:rPr>
          <w:b/>
          <w:i/>
          <w:color w:val="231F20"/>
          <w:spacing w:val="-3"/>
          <w:sz w:val="17"/>
        </w:rPr>
        <w:t>de la </w:t>
      </w:r>
      <w:r>
        <w:rPr>
          <w:b/>
          <w:i/>
          <w:color w:val="231F20"/>
          <w:spacing w:val="-6"/>
          <w:sz w:val="17"/>
        </w:rPr>
        <w:t>SAGARPA </w:t>
      </w:r>
      <w:r>
        <w:rPr>
          <w:b/>
          <w:i/>
          <w:color w:val="231F20"/>
          <w:sz w:val="17"/>
        </w:rPr>
        <w:t>- </w:t>
      </w:r>
      <w:r>
        <w:rPr>
          <w:b/>
          <w:i/>
          <w:color w:val="231F20"/>
          <w:spacing w:val="-5"/>
          <w:sz w:val="17"/>
        </w:rPr>
        <w:t>Región Lagunera. Lámina </w:t>
      </w:r>
      <w:r>
        <w:rPr>
          <w:b/>
          <w:i/>
          <w:color w:val="231F20"/>
          <w:spacing w:val="-3"/>
          <w:sz w:val="17"/>
        </w:rPr>
        <w:t>de </w:t>
      </w:r>
      <w:r>
        <w:rPr>
          <w:b/>
          <w:i/>
          <w:color w:val="231F20"/>
          <w:spacing w:val="-4"/>
          <w:sz w:val="17"/>
        </w:rPr>
        <w:t>riego </w:t>
      </w:r>
      <w:r>
        <w:rPr>
          <w:b/>
          <w:i/>
          <w:color w:val="231F20"/>
          <w:spacing w:val="-5"/>
          <w:sz w:val="17"/>
        </w:rPr>
        <w:t>consi- </w:t>
      </w:r>
      <w:r>
        <w:rPr>
          <w:b/>
          <w:i/>
          <w:color w:val="231F20"/>
          <w:spacing w:val="-5"/>
          <w:sz w:val="17"/>
        </w:rPr>
        <w:t>derada </w:t>
      </w:r>
      <w:r>
        <w:rPr>
          <w:b/>
          <w:i/>
          <w:color w:val="231F20"/>
          <w:spacing w:val="-3"/>
          <w:sz w:val="17"/>
        </w:rPr>
        <w:t>en </w:t>
      </w:r>
      <w:r>
        <w:rPr>
          <w:b/>
          <w:i/>
          <w:color w:val="231F20"/>
          <w:spacing w:val="-5"/>
          <w:sz w:val="17"/>
        </w:rPr>
        <w:t>Zacate ballico: 123cm, </w:t>
      </w:r>
      <w:r>
        <w:rPr>
          <w:b/>
          <w:i/>
          <w:color w:val="231F20"/>
          <w:spacing w:val="-4"/>
          <w:sz w:val="17"/>
        </w:rPr>
        <w:t>con una </w:t>
      </w:r>
      <w:r>
        <w:rPr>
          <w:b/>
          <w:i/>
          <w:color w:val="231F20"/>
          <w:spacing w:val="-5"/>
          <w:sz w:val="17"/>
        </w:rPr>
        <w:t>eficiencia </w:t>
      </w:r>
      <w:r>
        <w:rPr>
          <w:b/>
          <w:i/>
          <w:color w:val="231F20"/>
          <w:spacing w:val="-4"/>
          <w:sz w:val="17"/>
        </w:rPr>
        <w:t>del </w:t>
      </w:r>
      <w:r>
        <w:rPr>
          <w:b/>
          <w:i/>
          <w:color w:val="231F20"/>
          <w:spacing w:val="-5"/>
          <w:sz w:val="17"/>
        </w:rPr>
        <w:t>85%.</w:t>
      </w:r>
    </w:p>
    <w:p>
      <w:pPr>
        <w:spacing w:after="0" w:line="307" w:lineRule="auto"/>
        <w:jc w:val="left"/>
        <w:rPr>
          <w:sz w:val="17"/>
        </w:rPr>
        <w:sectPr>
          <w:pgSz w:w="10920" w:h="13080"/>
          <w:pgMar w:header="0" w:footer="965" w:top="420" w:bottom="1220" w:left="0" w:right="0"/>
        </w:sectPr>
      </w:pPr>
    </w:p>
    <w:p>
      <w:pPr>
        <w:pStyle w:val="BodyText"/>
        <w:rPr>
          <w:b/>
          <w:i/>
          <w:sz w:val="20"/>
        </w:rPr>
      </w:pPr>
    </w:p>
    <w:p>
      <w:pPr>
        <w:pStyle w:val="BodyText"/>
        <w:rPr>
          <w:b/>
          <w:i/>
          <w:sz w:val="20"/>
        </w:rPr>
      </w:pPr>
    </w:p>
    <w:p>
      <w:pPr>
        <w:pStyle w:val="BodyText"/>
        <w:rPr>
          <w:b/>
          <w:i/>
          <w:sz w:val="23"/>
        </w:rPr>
      </w:pPr>
    </w:p>
    <w:p>
      <w:pPr>
        <w:pStyle w:val="BodyText"/>
        <w:spacing w:line="247" w:lineRule="auto" w:before="73"/>
        <w:ind w:left="1270" w:right="1267"/>
        <w:jc w:val="both"/>
      </w:pPr>
      <w:r>
        <w:rPr>
          <w:color w:val="231F20"/>
        </w:rPr>
        <w:t>Con</w:t>
      </w:r>
      <w:r>
        <w:rPr>
          <w:color w:val="231F20"/>
          <w:spacing w:val="-4"/>
        </w:rPr>
        <w:t> </w:t>
      </w:r>
      <w:r>
        <w:rPr>
          <w:color w:val="231F20"/>
        </w:rPr>
        <w:t>la</w:t>
      </w:r>
      <w:r>
        <w:rPr>
          <w:color w:val="231F20"/>
          <w:spacing w:val="-4"/>
        </w:rPr>
        <w:t> </w:t>
      </w:r>
      <w:r>
        <w:rPr>
          <w:color w:val="231F20"/>
        </w:rPr>
        <w:t>estructura</w:t>
      </w:r>
      <w:r>
        <w:rPr>
          <w:color w:val="231F20"/>
          <w:spacing w:val="-4"/>
        </w:rPr>
        <w:t> </w:t>
      </w:r>
      <w:r>
        <w:rPr>
          <w:color w:val="231F20"/>
        </w:rPr>
        <w:t>de</w:t>
      </w:r>
      <w:r>
        <w:rPr>
          <w:color w:val="231F20"/>
          <w:spacing w:val="-4"/>
        </w:rPr>
        <w:t> </w:t>
      </w:r>
      <w:r>
        <w:rPr>
          <w:color w:val="231F20"/>
        </w:rPr>
        <w:t>rendimientos</w:t>
      </w:r>
      <w:r>
        <w:rPr>
          <w:color w:val="231F20"/>
          <w:spacing w:val="-4"/>
        </w:rPr>
        <w:t> </w:t>
      </w:r>
      <w:r>
        <w:rPr>
          <w:color w:val="231F20"/>
        </w:rPr>
        <w:t>físicos</w:t>
      </w:r>
      <w:r>
        <w:rPr>
          <w:color w:val="231F20"/>
          <w:spacing w:val="-4"/>
        </w:rPr>
        <w:t> </w:t>
      </w:r>
      <w:r>
        <w:rPr>
          <w:color w:val="231F20"/>
        </w:rPr>
        <w:t>por</w:t>
      </w:r>
      <w:r>
        <w:rPr>
          <w:color w:val="231F20"/>
          <w:spacing w:val="-4"/>
        </w:rPr>
        <w:t> </w:t>
      </w:r>
      <w:r>
        <w:rPr>
          <w:color w:val="231F20"/>
        </w:rPr>
        <w:t>hectárea</w:t>
      </w:r>
      <w:r>
        <w:rPr>
          <w:color w:val="231F20"/>
          <w:spacing w:val="-4"/>
        </w:rPr>
        <w:t> </w:t>
      </w:r>
      <w:r>
        <w:rPr>
          <w:color w:val="231F20"/>
        </w:rPr>
        <w:t>y</w:t>
      </w:r>
      <w:r>
        <w:rPr>
          <w:color w:val="231F20"/>
          <w:spacing w:val="-4"/>
        </w:rPr>
        <w:t> </w:t>
      </w:r>
      <w:r>
        <w:rPr>
          <w:color w:val="231F20"/>
        </w:rPr>
        <w:t>precios</w:t>
      </w:r>
      <w:r>
        <w:rPr>
          <w:color w:val="231F20"/>
          <w:spacing w:val="-4"/>
        </w:rPr>
        <w:t> </w:t>
      </w:r>
      <w:r>
        <w:rPr>
          <w:color w:val="231F20"/>
        </w:rPr>
        <w:t>por</w:t>
      </w:r>
      <w:r>
        <w:rPr>
          <w:color w:val="231F20"/>
          <w:spacing w:val="-4"/>
        </w:rPr>
        <w:t> </w:t>
      </w:r>
      <w:r>
        <w:rPr>
          <w:color w:val="231F20"/>
        </w:rPr>
        <w:t>tonelada</w:t>
      </w:r>
      <w:r>
        <w:rPr>
          <w:color w:val="231F20"/>
          <w:spacing w:val="-4"/>
        </w:rPr>
        <w:t> </w:t>
      </w:r>
      <w:r>
        <w:rPr>
          <w:color w:val="231F20"/>
        </w:rPr>
        <w:t>existentes</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DR017 de La Comarca Lagunera en el año agrícola de 2010, se encontró que cada ha cosechada de Ballico BT</w:t>
      </w:r>
      <w:r>
        <w:rPr>
          <w:color w:val="231F20"/>
          <w:spacing w:val="-6"/>
        </w:rPr>
        <w:t> </w:t>
      </w:r>
      <w:r>
        <w:rPr>
          <w:color w:val="231F20"/>
        </w:rPr>
        <w:t>y</w:t>
      </w:r>
      <w:r>
        <w:rPr>
          <w:color w:val="231F20"/>
          <w:spacing w:val="-14"/>
        </w:rPr>
        <w:t> </w:t>
      </w:r>
      <w:r>
        <w:rPr>
          <w:color w:val="231F20"/>
        </w:rPr>
        <w:t>Alfalfa</w:t>
      </w:r>
      <w:r>
        <w:rPr>
          <w:color w:val="231F20"/>
          <w:spacing w:val="-2"/>
        </w:rPr>
        <w:t> </w:t>
      </w:r>
      <w:r>
        <w:rPr>
          <w:color w:val="231F20"/>
        </w:rPr>
        <w:t>BT</w:t>
      </w:r>
      <w:r>
        <w:rPr>
          <w:color w:val="231F20"/>
          <w:spacing w:val="-6"/>
        </w:rPr>
        <w:t> </w:t>
      </w:r>
      <w:r>
        <w:rPr>
          <w:color w:val="231F20"/>
        </w:rPr>
        <w:t>produjeron</w:t>
      </w:r>
      <w:r>
        <w:rPr>
          <w:color w:val="231F20"/>
          <w:spacing w:val="-2"/>
        </w:rPr>
        <w:t> </w:t>
      </w:r>
      <w:r>
        <w:rPr>
          <w:color w:val="231F20"/>
        </w:rPr>
        <w:t>ingresos</w:t>
      </w:r>
      <w:r>
        <w:rPr>
          <w:color w:val="231F20"/>
          <w:spacing w:val="-3"/>
        </w:rPr>
        <w:t> </w:t>
      </w:r>
      <w:r>
        <w:rPr>
          <w:color w:val="231F20"/>
        </w:rPr>
        <w:t>brutos</w:t>
      </w:r>
      <w:r>
        <w:rPr>
          <w:color w:val="231F20"/>
          <w:spacing w:val="-2"/>
        </w:rPr>
        <w:t> </w:t>
      </w:r>
      <w:r>
        <w:rPr>
          <w:color w:val="231F20"/>
        </w:rPr>
        <w:t>del</w:t>
      </w:r>
      <w:r>
        <w:rPr>
          <w:color w:val="231F20"/>
          <w:spacing w:val="-2"/>
        </w:rPr>
        <w:t> </w:t>
      </w:r>
      <w:r>
        <w:rPr>
          <w:color w:val="231F20"/>
        </w:rPr>
        <w:t>orden</w:t>
      </w:r>
      <w:r>
        <w:rPr>
          <w:color w:val="231F20"/>
          <w:spacing w:val="-2"/>
        </w:rPr>
        <w:t> </w:t>
      </w:r>
      <w:r>
        <w:rPr>
          <w:color w:val="231F20"/>
        </w:rPr>
        <w:t>de</w:t>
      </w:r>
      <w:r>
        <w:rPr>
          <w:color w:val="231F20"/>
          <w:spacing w:val="-2"/>
        </w:rPr>
        <w:t> </w:t>
      </w:r>
      <w:r>
        <w:rPr>
          <w:color w:val="231F20"/>
        </w:rPr>
        <w:t>$13,803.41</w:t>
      </w:r>
      <w:r>
        <w:rPr>
          <w:color w:val="231F20"/>
          <w:spacing w:val="-2"/>
        </w:rPr>
        <w:t> </w:t>
      </w:r>
      <w:r>
        <w:rPr>
          <w:color w:val="231F20"/>
        </w:rPr>
        <w:t>y</w:t>
      </w:r>
      <w:r>
        <w:rPr>
          <w:color w:val="231F20"/>
          <w:spacing w:val="-2"/>
        </w:rPr>
        <w:t> </w:t>
      </w:r>
      <w:r>
        <w:rPr>
          <w:color w:val="231F20"/>
        </w:rPr>
        <w:t>$30,857.97</w:t>
      </w:r>
      <w:r>
        <w:rPr>
          <w:color w:val="231F20"/>
          <w:spacing w:val="-2"/>
        </w:rPr>
        <w:t> </w:t>
      </w:r>
      <w:r>
        <w:rPr>
          <w:color w:val="231F20"/>
        </w:rPr>
        <w:t>respectivamente, de la misma forma, el costo por hectárea de cada uno de ellos que permitió la obtención de tales ingresos fueron, de $16,813.91 en Ballico y $14,712.4 en Alfalfa </w:t>
      </w:r>
      <w:r>
        <w:rPr>
          <w:color w:val="231F20"/>
          <w:spacing w:val="-6"/>
        </w:rPr>
        <w:t>BT, </w:t>
      </w:r>
      <w:r>
        <w:rPr>
          <w:color w:val="231F20"/>
        </w:rPr>
        <w:t>por lo qué, al restarle al in- greso</w:t>
      </w:r>
      <w:r>
        <w:rPr>
          <w:color w:val="231F20"/>
          <w:spacing w:val="13"/>
        </w:rPr>
        <w:t> </w:t>
      </w:r>
      <w:r>
        <w:rPr>
          <w:color w:val="231F20"/>
        </w:rPr>
        <w:t>por</w:t>
      </w:r>
      <w:r>
        <w:rPr>
          <w:color w:val="231F20"/>
          <w:spacing w:val="13"/>
        </w:rPr>
        <w:t> </w:t>
      </w:r>
      <w:r>
        <w:rPr>
          <w:color w:val="231F20"/>
        </w:rPr>
        <w:t>hectárea</w:t>
      </w:r>
      <w:r>
        <w:rPr>
          <w:color w:val="231F20"/>
          <w:spacing w:val="13"/>
        </w:rPr>
        <w:t> </w:t>
      </w:r>
      <w:r>
        <w:rPr>
          <w:color w:val="231F20"/>
        </w:rPr>
        <w:t>el</w:t>
      </w:r>
      <w:r>
        <w:rPr>
          <w:color w:val="231F20"/>
          <w:spacing w:val="13"/>
        </w:rPr>
        <w:t> </w:t>
      </w:r>
      <w:r>
        <w:rPr>
          <w:color w:val="231F20"/>
        </w:rPr>
        <w:t>correspondiente</w:t>
      </w:r>
      <w:r>
        <w:rPr>
          <w:color w:val="231F20"/>
          <w:spacing w:val="12"/>
        </w:rPr>
        <w:t> </w:t>
      </w:r>
      <w:r>
        <w:rPr>
          <w:color w:val="231F20"/>
        </w:rPr>
        <w:t>costo</w:t>
      </w:r>
      <w:r>
        <w:rPr>
          <w:color w:val="231F20"/>
          <w:spacing w:val="13"/>
        </w:rPr>
        <w:t> </w:t>
      </w:r>
      <w:r>
        <w:rPr>
          <w:color w:val="231F20"/>
        </w:rPr>
        <w:t>por</w:t>
      </w:r>
      <w:r>
        <w:rPr>
          <w:color w:val="231F20"/>
          <w:spacing w:val="13"/>
        </w:rPr>
        <w:t> </w:t>
      </w:r>
      <w:r>
        <w:rPr>
          <w:color w:val="231F20"/>
        </w:rPr>
        <w:t>hectárea,</w:t>
      </w:r>
      <w:r>
        <w:rPr>
          <w:color w:val="231F20"/>
          <w:spacing w:val="13"/>
        </w:rPr>
        <w:t> </w:t>
      </w:r>
      <w:r>
        <w:rPr>
          <w:color w:val="231F20"/>
        </w:rPr>
        <w:t>se</w:t>
      </w:r>
      <w:r>
        <w:rPr>
          <w:color w:val="231F20"/>
          <w:spacing w:val="13"/>
        </w:rPr>
        <w:t> </w:t>
      </w:r>
      <w:r>
        <w:rPr>
          <w:color w:val="231F20"/>
        </w:rPr>
        <w:t>obtuvieron</w:t>
      </w:r>
      <w:r>
        <w:rPr>
          <w:color w:val="231F20"/>
          <w:spacing w:val="13"/>
        </w:rPr>
        <w:t> </w:t>
      </w:r>
      <w:r>
        <w:rPr>
          <w:color w:val="231F20"/>
        </w:rPr>
        <w:t>ganancias/ha</w:t>
      </w:r>
      <w:r>
        <w:rPr>
          <w:color w:val="231F20"/>
          <w:spacing w:val="13"/>
        </w:rPr>
        <w:t> </w:t>
      </w:r>
      <w:r>
        <w:rPr>
          <w:color w:val="231F20"/>
        </w:rPr>
        <w:t>del</w:t>
      </w:r>
      <w:r>
        <w:rPr>
          <w:color w:val="231F20"/>
          <w:spacing w:val="13"/>
        </w:rPr>
        <w:t> </w:t>
      </w:r>
      <w:r>
        <w:rPr>
          <w:color w:val="231F20"/>
        </w:rPr>
        <w:t>orden</w:t>
      </w:r>
      <w:r>
        <w:rPr>
          <w:color w:val="231F20"/>
          <w:spacing w:val="13"/>
        </w:rPr>
        <w:t> </w:t>
      </w:r>
      <w:r>
        <w:rPr>
          <w:color w:val="231F20"/>
        </w:rPr>
        <w:t>de</w:t>
      </w:r>
    </w:p>
    <w:p>
      <w:pPr>
        <w:pStyle w:val="BodyText"/>
        <w:spacing w:line="247" w:lineRule="auto" w:before="1"/>
        <w:ind w:left="1270" w:right="1267"/>
        <w:jc w:val="both"/>
      </w:pPr>
      <w:r>
        <w:rPr>
          <w:color w:val="231F20"/>
        </w:rPr>
        <w:t>-$3,010.50 y $16,145.57 respectivamente, observándose así que el cultivo de Ballico o </w:t>
      </w:r>
      <w:r>
        <w:rPr>
          <w:color w:val="231F20"/>
          <w:spacing w:val="-3"/>
        </w:rPr>
        <w:t>Rye </w:t>
      </w:r>
      <w:r>
        <w:rPr>
          <w:color w:val="231F20"/>
        </w:rPr>
        <w:t>grass </w:t>
      </w:r>
      <w:r>
        <w:rPr>
          <w:color w:val="231F20"/>
          <w:spacing w:val="-6"/>
        </w:rPr>
        <w:t>BT, </w:t>
      </w:r>
      <w:r>
        <w:rPr>
          <w:color w:val="231F20"/>
        </w:rPr>
        <w:t>con un costo/ha superior en 14.28% al del Alfalfa </w:t>
      </w:r>
      <w:r>
        <w:rPr>
          <w:color w:val="231F20"/>
          <w:spacing w:val="-6"/>
        </w:rPr>
        <w:t>BT, </w:t>
      </w:r>
      <w:r>
        <w:rPr>
          <w:color w:val="231F20"/>
        </w:rPr>
        <w:t>obtuvo una ganancia/ha 436% menor al obtenido por la Alfalfa </w:t>
      </w:r>
      <w:r>
        <w:rPr>
          <w:color w:val="231F20"/>
          <w:spacing w:val="-6"/>
        </w:rPr>
        <w:t>BT, </w:t>
      </w:r>
      <w:r>
        <w:rPr>
          <w:color w:val="231F20"/>
        </w:rPr>
        <w:t>lo que a su vez repercutió en que la Relación Beneficio-Costo fuese del orden</w:t>
      </w:r>
      <w:r>
        <w:rPr>
          <w:color w:val="231F20"/>
          <w:spacing w:val="-6"/>
        </w:rPr>
        <w:t> </w:t>
      </w:r>
      <w:r>
        <w:rPr>
          <w:color w:val="231F20"/>
        </w:rPr>
        <w:t>de</w:t>
      </w:r>
      <w:r>
        <w:rPr>
          <w:color w:val="231F20"/>
          <w:spacing w:val="-6"/>
        </w:rPr>
        <w:t> </w:t>
      </w:r>
      <w:r>
        <w:rPr>
          <w:color w:val="231F20"/>
        </w:rPr>
        <w:t>0.82</w:t>
      </w:r>
      <w:r>
        <w:rPr>
          <w:color w:val="231F20"/>
          <w:spacing w:val="-6"/>
        </w:rPr>
        <w:t> </w:t>
      </w:r>
      <w:r>
        <w:rPr>
          <w:color w:val="231F20"/>
        </w:rPr>
        <w:t>en</w:t>
      </w:r>
      <w:r>
        <w:rPr>
          <w:color w:val="231F20"/>
          <w:spacing w:val="-6"/>
        </w:rPr>
        <w:t> </w:t>
      </w:r>
      <w:r>
        <w:rPr>
          <w:color w:val="231F20"/>
        </w:rPr>
        <w:t>Ballico</w:t>
      </w:r>
      <w:r>
        <w:rPr>
          <w:color w:val="231F20"/>
          <w:spacing w:val="-6"/>
        </w:rPr>
        <w:t> </w:t>
      </w:r>
      <w:r>
        <w:rPr>
          <w:color w:val="231F20"/>
        </w:rPr>
        <w:t>BT</w:t>
      </w:r>
      <w:r>
        <w:rPr>
          <w:color w:val="231F20"/>
          <w:spacing w:val="-10"/>
        </w:rPr>
        <w:t> </w:t>
      </w:r>
      <w:r>
        <w:rPr>
          <w:color w:val="231F20"/>
        </w:rPr>
        <w:t>y</w:t>
      </w:r>
      <w:r>
        <w:rPr>
          <w:color w:val="231F20"/>
          <w:spacing w:val="-6"/>
        </w:rPr>
        <w:t> </w:t>
      </w:r>
      <w:r>
        <w:rPr>
          <w:color w:val="231F20"/>
        </w:rPr>
        <w:t>de</w:t>
      </w:r>
      <w:r>
        <w:rPr>
          <w:color w:val="231F20"/>
          <w:spacing w:val="-6"/>
        </w:rPr>
        <w:t> </w:t>
      </w:r>
      <w:r>
        <w:rPr>
          <w:color w:val="231F20"/>
        </w:rPr>
        <w:t>2.10</w:t>
      </w:r>
      <w:r>
        <w:rPr>
          <w:color w:val="231F20"/>
          <w:spacing w:val="-6"/>
        </w:rPr>
        <w:t> </w:t>
      </w:r>
      <w:r>
        <w:rPr>
          <w:color w:val="231F20"/>
        </w:rPr>
        <w:t>en</w:t>
      </w:r>
      <w:r>
        <w:rPr>
          <w:color w:val="231F20"/>
          <w:spacing w:val="-18"/>
        </w:rPr>
        <w:t> </w:t>
      </w:r>
      <w:r>
        <w:rPr>
          <w:color w:val="231F20"/>
        </w:rPr>
        <w:t>Alfalfa</w:t>
      </w:r>
      <w:r>
        <w:rPr>
          <w:color w:val="231F20"/>
          <w:spacing w:val="-6"/>
        </w:rPr>
        <w:t> BT. </w:t>
      </w:r>
      <w:r>
        <w:rPr>
          <w:color w:val="231F20"/>
        </w:rPr>
        <w:t>Lo</w:t>
      </w:r>
      <w:r>
        <w:rPr>
          <w:color w:val="231F20"/>
          <w:spacing w:val="-6"/>
        </w:rPr>
        <w:t> </w:t>
      </w:r>
      <w:r>
        <w:rPr>
          <w:color w:val="231F20"/>
        </w:rPr>
        <w:t>anterior</w:t>
      </w:r>
      <w:r>
        <w:rPr>
          <w:color w:val="231F20"/>
          <w:spacing w:val="-6"/>
        </w:rPr>
        <w:t> </w:t>
      </w:r>
      <w:r>
        <w:rPr>
          <w:color w:val="231F20"/>
        </w:rPr>
        <w:t>sugiere</w:t>
      </w:r>
      <w:r>
        <w:rPr>
          <w:color w:val="231F20"/>
          <w:spacing w:val="-6"/>
        </w:rPr>
        <w:t> </w:t>
      </w:r>
      <w:r>
        <w:rPr>
          <w:color w:val="231F20"/>
        </w:rPr>
        <w:t>que</w:t>
      </w:r>
      <w:r>
        <w:rPr>
          <w:color w:val="231F20"/>
          <w:spacing w:val="-6"/>
        </w:rPr>
        <w:t> </w:t>
      </w:r>
      <w:r>
        <w:rPr>
          <w:color w:val="231F20"/>
        </w:rPr>
        <w:t>por</w:t>
      </w:r>
      <w:r>
        <w:rPr>
          <w:color w:val="231F20"/>
          <w:spacing w:val="-6"/>
        </w:rPr>
        <w:t> </w:t>
      </w:r>
      <w:r>
        <w:rPr>
          <w:color w:val="231F20"/>
        </w:rPr>
        <w:t>cada</w:t>
      </w:r>
      <w:r>
        <w:rPr>
          <w:color w:val="231F20"/>
          <w:spacing w:val="-7"/>
        </w:rPr>
        <w:t> </w:t>
      </w:r>
      <w:r>
        <w:rPr>
          <w:color w:val="231F20"/>
        </w:rPr>
        <w:t>peso</w:t>
      </w:r>
      <w:r>
        <w:rPr>
          <w:color w:val="231F20"/>
          <w:spacing w:val="-6"/>
        </w:rPr>
        <w:t> </w:t>
      </w:r>
      <w:r>
        <w:rPr>
          <w:color w:val="231F20"/>
        </w:rPr>
        <w:t>invertido en</w:t>
      </w:r>
      <w:r>
        <w:rPr>
          <w:color w:val="231F20"/>
          <w:spacing w:val="-7"/>
        </w:rPr>
        <w:t> </w:t>
      </w:r>
      <w:r>
        <w:rPr>
          <w:color w:val="231F20"/>
        </w:rPr>
        <w:t>la</w:t>
      </w:r>
      <w:r>
        <w:rPr>
          <w:color w:val="231F20"/>
          <w:spacing w:val="-7"/>
        </w:rPr>
        <w:t> </w:t>
      </w:r>
      <w:r>
        <w:rPr>
          <w:color w:val="231F20"/>
        </w:rPr>
        <w:t>gramínea</w:t>
      </w:r>
      <w:r>
        <w:rPr>
          <w:color w:val="231F20"/>
          <w:spacing w:val="-6"/>
        </w:rPr>
        <w:t> </w:t>
      </w:r>
      <w:r>
        <w:rPr>
          <w:color w:val="231F20"/>
        </w:rPr>
        <w:t>recupero</w:t>
      </w:r>
      <w:r>
        <w:rPr>
          <w:color w:val="231F20"/>
          <w:spacing w:val="-6"/>
        </w:rPr>
        <w:t> </w:t>
      </w:r>
      <w:r>
        <w:rPr>
          <w:color w:val="231F20"/>
        </w:rPr>
        <w:t>solamente</w:t>
      </w:r>
      <w:r>
        <w:rPr>
          <w:color w:val="231F20"/>
          <w:spacing w:val="-6"/>
        </w:rPr>
        <w:t> </w:t>
      </w:r>
      <w:r>
        <w:rPr>
          <w:color w:val="231F20"/>
        </w:rPr>
        <w:t>$0.82centavos</w:t>
      </w:r>
      <w:r>
        <w:rPr>
          <w:color w:val="231F20"/>
          <w:spacing w:val="-6"/>
        </w:rPr>
        <w:t> </w:t>
      </w:r>
      <w:r>
        <w:rPr>
          <w:color w:val="231F20"/>
        </w:rPr>
        <w:t>y</w:t>
      </w:r>
      <w:r>
        <w:rPr>
          <w:color w:val="231F20"/>
          <w:spacing w:val="-7"/>
        </w:rPr>
        <w:t> </w:t>
      </w:r>
      <w:r>
        <w:rPr>
          <w:color w:val="231F20"/>
        </w:rPr>
        <w:t>pedió</w:t>
      </w:r>
      <w:r>
        <w:rPr>
          <w:color w:val="231F20"/>
          <w:spacing w:val="-6"/>
        </w:rPr>
        <w:t> </w:t>
      </w:r>
      <w:r>
        <w:rPr>
          <w:color w:val="231F20"/>
        </w:rPr>
        <w:t>los</w:t>
      </w:r>
      <w:r>
        <w:rPr>
          <w:color w:val="231F20"/>
          <w:spacing w:val="-7"/>
        </w:rPr>
        <w:t> </w:t>
      </w:r>
      <w:r>
        <w:rPr>
          <w:color w:val="231F20"/>
        </w:rPr>
        <w:t>restantes</w:t>
      </w:r>
      <w:r>
        <w:rPr>
          <w:color w:val="231F20"/>
          <w:spacing w:val="-6"/>
        </w:rPr>
        <w:t> </w:t>
      </w:r>
      <w:r>
        <w:rPr>
          <w:color w:val="231F20"/>
        </w:rPr>
        <w:t>$0.18</w:t>
      </w:r>
      <w:r>
        <w:rPr>
          <w:color w:val="231F20"/>
          <w:spacing w:val="-7"/>
        </w:rPr>
        <w:t> </w:t>
      </w:r>
      <w:r>
        <w:rPr>
          <w:color w:val="231F20"/>
        </w:rPr>
        <w:t>centavos,</w:t>
      </w:r>
      <w:r>
        <w:rPr>
          <w:color w:val="231F20"/>
          <w:spacing w:val="-7"/>
        </w:rPr>
        <w:t> </w:t>
      </w:r>
      <w:r>
        <w:rPr>
          <w:color w:val="231F20"/>
        </w:rPr>
        <w:t>mientras</w:t>
      </w:r>
      <w:r>
        <w:rPr>
          <w:color w:val="231F20"/>
          <w:spacing w:val="-7"/>
        </w:rPr>
        <w:t> </w:t>
      </w:r>
      <w:r>
        <w:rPr>
          <w:color w:val="231F20"/>
        </w:rPr>
        <w:t>que en la Alfalfa BT se recuperó el $1 invertido, y se obtuvo un ingreso adicional de $1.10 (Cuadro</w:t>
      </w:r>
      <w:r>
        <w:rPr>
          <w:color w:val="231F20"/>
          <w:spacing w:val="-28"/>
        </w:rPr>
        <w:t> </w:t>
      </w:r>
      <w:r>
        <w:rPr>
          <w:color w:val="231F20"/>
        </w:rPr>
        <w:t>1).</w:t>
      </w:r>
    </w:p>
    <w:p>
      <w:pPr>
        <w:pStyle w:val="BodyText"/>
        <w:spacing w:before="10"/>
      </w:pPr>
    </w:p>
    <w:p>
      <w:pPr>
        <w:pStyle w:val="BodyText"/>
        <w:spacing w:line="247" w:lineRule="auto"/>
        <w:ind w:left="1270" w:right="1267"/>
        <w:jc w:val="both"/>
      </w:pPr>
      <w:r>
        <w:rPr>
          <w:color w:val="231F20"/>
        </w:rPr>
        <w:t>En base a lo anterior, se determinó que en términos financieros, y a nivel de la inversión de capital por hectárea, la Alfalfa BT fue 536.30% (=$16,145.57/$3010.50) más eficiente en el uso de los re- cursos</w:t>
      </w:r>
      <w:r>
        <w:rPr>
          <w:color w:val="231F20"/>
          <w:spacing w:val="-7"/>
        </w:rPr>
        <w:t> </w:t>
      </w:r>
      <w:r>
        <w:rPr>
          <w:color w:val="231F20"/>
        </w:rPr>
        <w:t>financieros.</w:t>
      </w:r>
      <w:r>
        <w:rPr>
          <w:color w:val="231F20"/>
          <w:spacing w:val="-7"/>
        </w:rPr>
        <w:t> </w:t>
      </w:r>
      <w:r>
        <w:rPr>
          <w:color w:val="231F20"/>
        </w:rPr>
        <w:t>El</w:t>
      </w:r>
      <w:r>
        <w:rPr>
          <w:color w:val="231F20"/>
          <w:spacing w:val="-7"/>
        </w:rPr>
        <w:t> </w:t>
      </w:r>
      <w:r>
        <w:rPr>
          <w:color w:val="231F20"/>
        </w:rPr>
        <w:t>Cuadro</w:t>
      </w:r>
      <w:r>
        <w:rPr>
          <w:color w:val="231F20"/>
          <w:spacing w:val="-7"/>
        </w:rPr>
        <w:t> </w:t>
      </w:r>
      <w:r>
        <w:rPr>
          <w:color w:val="231F20"/>
        </w:rPr>
        <w:t>2</w:t>
      </w:r>
      <w:r>
        <w:rPr>
          <w:color w:val="231F20"/>
          <w:spacing w:val="-7"/>
        </w:rPr>
        <w:t> </w:t>
      </w:r>
      <w:r>
        <w:rPr>
          <w:color w:val="231F20"/>
        </w:rPr>
        <w:t>muestra</w:t>
      </w:r>
      <w:r>
        <w:rPr>
          <w:color w:val="231F20"/>
          <w:spacing w:val="-7"/>
        </w:rPr>
        <w:t> </w:t>
      </w:r>
      <w:r>
        <w:rPr>
          <w:color w:val="231F20"/>
        </w:rPr>
        <w:t>cada</w:t>
      </w:r>
      <w:r>
        <w:rPr>
          <w:color w:val="231F20"/>
          <w:spacing w:val="-7"/>
        </w:rPr>
        <w:t> </w:t>
      </w:r>
      <w:r>
        <w:rPr>
          <w:color w:val="231F20"/>
        </w:rPr>
        <w:t>uno</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componentes</w:t>
      </w:r>
      <w:r>
        <w:rPr>
          <w:color w:val="231F20"/>
          <w:spacing w:val="-7"/>
        </w:rPr>
        <w:t> </w:t>
      </w:r>
      <w:r>
        <w:rPr>
          <w:color w:val="231F20"/>
        </w:rPr>
        <w:t>del</w:t>
      </w:r>
      <w:r>
        <w:rPr>
          <w:color w:val="231F20"/>
          <w:spacing w:val="-7"/>
        </w:rPr>
        <w:t> </w:t>
      </w:r>
      <w:r>
        <w:rPr>
          <w:color w:val="231F20"/>
        </w:rPr>
        <w:t>costo</w:t>
      </w:r>
      <w:r>
        <w:rPr>
          <w:color w:val="231F20"/>
          <w:spacing w:val="-7"/>
        </w:rPr>
        <w:t> </w:t>
      </w:r>
      <w:r>
        <w:rPr>
          <w:color w:val="231F20"/>
        </w:rPr>
        <w:t>total</w:t>
      </w:r>
      <w:r>
        <w:rPr>
          <w:color w:val="231F20"/>
          <w:spacing w:val="-7"/>
        </w:rPr>
        <w:t> </w:t>
      </w:r>
      <w:r>
        <w:rPr>
          <w:color w:val="231F20"/>
        </w:rPr>
        <w:t>por</w:t>
      </w:r>
      <w:r>
        <w:rPr>
          <w:color w:val="231F20"/>
          <w:spacing w:val="-7"/>
        </w:rPr>
        <w:t> </w:t>
      </w:r>
      <w:r>
        <w:rPr>
          <w:color w:val="231F20"/>
        </w:rPr>
        <w:t>hectárea,</w:t>
      </w:r>
      <w:r>
        <w:rPr>
          <w:color w:val="231F20"/>
          <w:spacing w:val="-7"/>
        </w:rPr>
        <w:t> </w:t>
      </w:r>
      <w:r>
        <w:rPr>
          <w:color w:val="231F20"/>
        </w:rPr>
        <w:t>su análisis</w:t>
      </w:r>
      <w:r>
        <w:rPr>
          <w:color w:val="231F20"/>
          <w:spacing w:val="-6"/>
        </w:rPr>
        <w:t> </w:t>
      </w:r>
      <w:r>
        <w:rPr>
          <w:color w:val="231F20"/>
        </w:rPr>
        <w:t>indica</w:t>
      </w:r>
      <w:r>
        <w:rPr>
          <w:color w:val="231F20"/>
          <w:spacing w:val="-6"/>
        </w:rPr>
        <w:t> </w:t>
      </w:r>
      <w:r>
        <w:rPr>
          <w:color w:val="231F20"/>
        </w:rPr>
        <w:t>que</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cultivo</w:t>
      </w:r>
      <w:r>
        <w:rPr>
          <w:color w:val="231F20"/>
          <w:spacing w:val="-6"/>
        </w:rPr>
        <w:t> </w:t>
      </w:r>
      <w:r>
        <w:rPr>
          <w:color w:val="231F20"/>
        </w:rPr>
        <w:t>de</w:t>
      </w:r>
      <w:r>
        <w:rPr>
          <w:color w:val="231F20"/>
          <w:spacing w:val="-5"/>
        </w:rPr>
        <w:t> </w:t>
      </w:r>
      <w:r>
        <w:rPr>
          <w:color w:val="231F20"/>
        </w:rPr>
        <w:t>Zacate</w:t>
      </w:r>
      <w:r>
        <w:rPr>
          <w:color w:val="231F20"/>
          <w:spacing w:val="-6"/>
        </w:rPr>
        <w:t> </w:t>
      </w:r>
      <w:r>
        <w:rPr>
          <w:color w:val="231F20"/>
        </w:rPr>
        <w:t>Ballico,</w:t>
      </w:r>
      <w:r>
        <w:rPr>
          <w:color w:val="231F20"/>
          <w:spacing w:val="-5"/>
        </w:rPr>
        <w:t> </w:t>
      </w:r>
      <w:r>
        <w:rPr>
          <w:color w:val="231F20"/>
        </w:rPr>
        <w:t>el</w:t>
      </w:r>
      <w:r>
        <w:rPr>
          <w:color w:val="231F20"/>
          <w:spacing w:val="-5"/>
        </w:rPr>
        <w:t> </w:t>
      </w:r>
      <w:r>
        <w:rPr>
          <w:color w:val="231F20"/>
        </w:rPr>
        <w:t>renglón</w:t>
      </w:r>
      <w:r>
        <w:rPr>
          <w:color w:val="231F20"/>
          <w:spacing w:val="-5"/>
        </w:rPr>
        <w:t> </w:t>
      </w:r>
      <w:r>
        <w:rPr>
          <w:color w:val="231F20"/>
        </w:rPr>
        <w:t>de</w:t>
      </w:r>
      <w:r>
        <w:rPr>
          <w:color w:val="231F20"/>
          <w:spacing w:val="-5"/>
        </w:rPr>
        <w:t> </w:t>
      </w:r>
      <w:r>
        <w:rPr>
          <w:color w:val="231F20"/>
        </w:rPr>
        <w:t>costo</w:t>
      </w:r>
      <w:r>
        <w:rPr>
          <w:color w:val="231F20"/>
          <w:spacing w:val="-6"/>
        </w:rPr>
        <w:t> </w:t>
      </w:r>
      <w:r>
        <w:rPr>
          <w:color w:val="231F20"/>
        </w:rPr>
        <w:t>más</w:t>
      </w:r>
      <w:r>
        <w:rPr>
          <w:color w:val="231F20"/>
          <w:spacing w:val="-6"/>
        </w:rPr>
        <w:t> </w:t>
      </w:r>
      <w:r>
        <w:rPr>
          <w:color w:val="231F20"/>
        </w:rPr>
        <w:t>elevado</w:t>
      </w:r>
      <w:r>
        <w:rPr>
          <w:color w:val="231F20"/>
          <w:spacing w:val="-6"/>
        </w:rPr>
        <w:t> </w:t>
      </w:r>
      <w:r>
        <w:rPr>
          <w:color w:val="231F20"/>
        </w:rPr>
        <w:t>fue</w:t>
      </w:r>
      <w:r>
        <w:rPr>
          <w:color w:val="231F20"/>
          <w:spacing w:val="-5"/>
        </w:rPr>
        <w:t> </w:t>
      </w:r>
      <w:r>
        <w:rPr>
          <w:color w:val="231F20"/>
        </w:rPr>
        <w:t>el</w:t>
      </w:r>
      <w:r>
        <w:rPr>
          <w:color w:val="231F20"/>
          <w:spacing w:val="-5"/>
        </w:rPr>
        <w:t> </w:t>
      </w:r>
      <w:r>
        <w:rPr>
          <w:color w:val="231F20"/>
        </w:rPr>
        <w:t>de</w:t>
      </w:r>
      <w:r>
        <w:rPr>
          <w:color w:val="231F20"/>
          <w:spacing w:val="-5"/>
        </w:rPr>
        <w:t> </w:t>
      </w:r>
      <w:r>
        <w:rPr>
          <w:color w:val="231F20"/>
        </w:rPr>
        <w:t>siembra y</w:t>
      </w:r>
      <w:r>
        <w:rPr>
          <w:color w:val="231F20"/>
          <w:spacing w:val="-4"/>
        </w:rPr>
        <w:t> </w:t>
      </w:r>
      <w:r>
        <w:rPr>
          <w:color w:val="231F20"/>
        </w:rPr>
        <w:t>fertilización</w:t>
      </w:r>
      <w:r>
        <w:rPr>
          <w:color w:val="231F20"/>
          <w:spacing w:val="-4"/>
        </w:rPr>
        <w:t> </w:t>
      </w:r>
      <w:r>
        <w:rPr>
          <w:color w:val="231F20"/>
        </w:rPr>
        <w:t>con</w:t>
      </w:r>
      <w:r>
        <w:rPr>
          <w:color w:val="231F20"/>
          <w:spacing w:val="-4"/>
        </w:rPr>
        <w:t> </w:t>
      </w:r>
      <w:r>
        <w:rPr>
          <w:color w:val="231F20"/>
        </w:rPr>
        <w:t>$5,207.5,</w:t>
      </w:r>
      <w:r>
        <w:rPr>
          <w:color w:val="231F20"/>
          <w:spacing w:val="-4"/>
        </w:rPr>
        <w:t> </w:t>
      </w:r>
      <w:r>
        <w:rPr>
          <w:color w:val="231F20"/>
        </w:rPr>
        <w:t>lo</w:t>
      </w:r>
      <w:r>
        <w:rPr>
          <w:color w:val="231F20"/>
          <w:spacing w:val="-4"/>
        </w:rPr>
        <w:t> </w:t>
      </w:r>
      <w:r>
        <w:rPr>
          <w:color w:val="231F20"/>
        </w:rPr>
        <w:t>que</w:t>
      </w:r>
      <w:r>
        <w:rPr>
          <w:color w:val="231F20"/>
          <w:spacing w:val="-4"/>
        </w:rPr>
        <w:t> </w:t>
      </w:r>
      <w:r>
        <w:rPr>
          <w:color w:val="231F20"/>
        </w:rPr>
        <w:t>representa</w:t>
      </w:r>
      <w:r>
        <w:rPr>
          <w:color w:val="231F20"/>
          <w:spacing w:val="-4"/>
        </w:rPr>
        <w:t> </w:t>
      </w:r>
      <w:r>
        <w:rPr>
          <w:color w:val="231F20"/>
        </w:rPr>
        <w:t>el</w:t>
      </w:r>
      <w:r>
        <w:rPr>
          <w:color w:val="231F20"/>
          <w:spacing w:val="-4"/>
        </w:rPr>
        <w:t> </w:t>
      </w:r>
      <w:r>
        <w:rPr>
          <w:color w:val="231F20"/>
        </w:rPr>
        <w:t>21.02%</w:t>
      </w:r>
      <w:r>
        <w:rPr>
          <w:color w:val="231F20"/>
          <w:spacing w:val="-4"/>
        </w:rPr>
        <w:t> </w:t>
      </w:r>
      <w:r>
        <w:rPr>
          <w:color w:val="231F20"/>
        </w:rPr>
        <w:t>del</w:t>
      </w:r>
      <w:r>
        <w:rPr>
          <w:color w:val="231F20"/>
          <w:spacing w:val="-4"/>
        </w:rPr>
        <w:t> </w:t>
      </w:r>
      <w:r>
        <w:rPr>
          <w:color w:val="231F20"/>
        </w:rPr>
        <w:t>costo</w:t>
      </w:r>
      <w:r>
        <w:rPr>
          <w:color w:val="231F20"/>
          <w:spacing w:val="-4"/>
        </w:rPr>
        <w:t> </w:t>
      </w:r>
      <w:r>
        <w:rPr>
          <w:color w:val="231F20"/>
        </w:rPr>
        <w:t>total,</w:t>
      </w:r>
      <w:r>
        <w:rPr>
          <w:color w:val="231F20"/>
          <w:spacing w:val="-4"/>
        </w:rPr>
        <w:t> </w:t>
      </w:r>
      <w:r>
        <w:rPr>
          <w:color w:val="231F20"/>
        </w:rPr>
        <w:t>al</w:t>
      </w:r>
      <w:r>
        <w:rPr>
          <w:color w:val="231F20"/>
          <w:spacing w:val="-4"/>
        </w:rPr>
        <w:t> </w:t>
      </w:r>
      <w:r>
        <w:rPr>
          <w:color w:val="231F20"/>
        </w:rPr>
        <w:t>cual</w:t>
      </w:r>
      <w:r>
        <w:rPr>
          <w:color w:val="231F20"/>
          <w:spacing w:val="-4"/>
        </w:rPr>
        <w:t> </w:t>
      </w:r>
      <w:r>
        <w:rPr>
          <w:color w:val="231F20"/>
        </w:rPr>
        <w:t>le</w:t>
      </w:r>
      <w:r>
        <w:rPr>
          <w:color w:val="231F20"/>
          <w:spacing w:val="-4"/>
        </w:rPr>
        <w:t> </w:t>
      </w:r>
      <w:r>
        <w:rPr>
          <w:color w:val="231F20"/>
        </w:rPr>
        <w:t>siguió</w:t>
      </w:r>
      <w:r>
        <w:rPr>
          <w:color w:val="231F20"/>
          <w:spacing w:val="-4"/>
        </w:rPr>
        <w:t> </w:t>
      </w:r>
      <w:r>
        <w:rPr>
          <w:color w:val="231F20"/>
        </w:rPr>
        <w:t>el</w:t>
      </w:r>
      <w:r>
        <w:rPr>
          <w:color w:val="231F20"/>
          <w:spacing w:val="-4"/>
        </w:rPr>
        <w:t> </w:t>
      </w:r>
      <w:r>
        <w:rPr>
          <w:color w:val="231F20"/>
        </w:rPr>
        <w:t>costo</w:t>
      </w:r>
      <w:r>
        <w:rPr>
          <w:color w:val="231F20"/>
          <w:spacing w:val="-4"/>
        </w:rPr>
        <w:t> </w:t>
      </w:r>
      <w:r>
        <w:rPr>
          <w:color w:val="231F20"/>
        </w:rPr>
        <w:t>del riego,</w:t>
      </w:r>
      <w:r>
        <w:rPr>
          <w:color w:val="231F20"/>
          <w:spacing w:val="-6"/>
        </w:rPr>
        <w:t> </w:t>
      </w:r>
      <w:r>
        <w:rPr>
          <w:color w:val="231F20"/>
        </w:rPr>
        <w:t>con</w:t>
      </w:r>
      <w:r>
        <w:rPr>
          <w:color w:val="231F20"/>
          <w:spacing w:val="-6"/>
        </w:rPr>
        <w:t> </w:t>
      </w:r>
      <w:r>
        <w:rPr>
          <w:color w:val="231F20"/>
        </w:rPr>
        <w:t>$3,535</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$16,813.9/ha</w:t>
      </w:r>
      <w:r>
        <w:rPr>
          <w:color w:val="231F20"/>
          <w:spacing w:val="-6"/>
        </w:rPr>
        <w:t> </w:t>
      </w:r>
      <w:r>
        <w:rPr>
          <w:color w:val="231F20"/>
        </w:rPr>
        <w:t>del</w:t>
      </w:r>
      <w:r>
        <w:rPr>
          <w:color w:val="231F20"/>
          <w:spacing w:val="-6"/>
        </w:rPr>
        <w:t> </w:t>
      </w:r>
      <w:r>
        <w:rPr>
          <w:color w:val="231F20"/>
        </w:rPr>
        <w:t>total</w:t>
      </w:r>
      <w:r>
        <w:rPr>
          <w:color w:val="231F20"/>
          <w:spacing w:val="-7"/>
        </w:rPr>
        <w:t> </w:t>
      </w:r>
      <w:r>
        <w:rPr>
          <w:color w:val="231F20"/>
        </w:rPr>
        <w:t>que</w:t>
      </w:r>
      <w:r>
        <w:rPr>
          <w:color w:val="231F20"/>
          <w:spacing w:val="-6"/>
        </w:rPr>
        <w:t> </w:t>
      </w:r>
      <w:r>
        <w:rPr>
          <w:color w:val="231F20"/>
        </w:rPr>
        <w:t>cuesta</w:t>
      </w:r>
      <w:r>
        <w:rPr>
          <w:color w:val="231F20"/>
          <w:spacing w:val="-7"/>
        </w:rPr>
        <w:t> </w:t>
      </w:r>
      <w:r>
        <w:rPr>
          <w:color w:val="231F20"/>
        </w:rPr>
        <w:t>hacer</w:t>
      </w:r>
      <w:r>
        <w:rPr>
          <w:color w:val="231F20"/>
          <w:spacing w:val="-6"/>
        </w:rPr>
        <w:t> </w:t>
      </w:r>
      <w:r>
        <w:rPr>
          <w:color w:val="231F20"/>
        </w:rPr>
        <w:t>producir</w:t>
      </w:r>
      <w:r>
        <w:rPr>
          <w:color w:val="231F20"/>
          <w:spacing w:val="-6"/>
        </w:rPr>
        <w:t> </w:t>
      </w:r>
      <w:r>
        <w:rPr>
          <w:color w:val="231F20"/>
        </w:rPr>
        <w:t>una</w:t>
      </w:r>
      <w:r>
        <w:rPr>
          <w:color w:val="231F20"/>
          <w:spacing w:val="-6"/>
        </w:rPr>
        <w:t> </w:t>
      </w:r>
      <w:r>
        <w:rPr>
          <w:color w:val="231F20"/>
        </w:rPr>
        <w:t>hectárea</w:t>
      </w:r>
      <w:r>
        <w:rPr>
          <w:color w:val="231F20"/>
          <w:spacing w:val="-6"/>
        </w:rPr>
        <w:t> </w:t>
      </w:r>
      <w:r>
        <w:rPr>
          <w:color w:val="231F20"/>
        </w:rPr>
        <w:t>de</w:t>
      </w:r>
      <w:r>
        <w:rPr>
          <w:color w:val="231F20"/>
          <w:spacing w:val="-6"/>
        </w:rPr>
        <w:t> </w:t>
      </w:r>
      <w:r>
        <w:rPr>
          <w:color w:val="231F20"/>
        </w:rPr>
        <w:t>ese</w:t>
      </w:r>
      <w:r>
        <w:rPr>
          <w:color w:val="231F20"/>
          <w:spacing w:val="-6"/>
        </w:rPr>
        <w:t> </w:t>
      </w:r>
      <w:r>
        <w:rPr>
          <w:color w:val="231F20"/>
        </w:rPr>
        <w:t>cultivo, por</w:t>
      </w:r>
      <w:r>
        <w:rPr>
          <w:color w:val="231F20"/>
          <w:spacing w:val="-11"/>
        </w:rPr>
        <w:t> </w:t>
      </w:r>
      <w:r>
        <w:rPr>
          <w:color w:val="231F20"/>
        </w:rPr>
        <w:t>su</w:t>
      </w:r>
      <w:r>
        <w:rPr>
          <w:color w:val="231F20"/>
          <w:spacing w:val="-11"/>
        </w:rPr>
        <w:t> </w:t>
      </w:r>
      <w:r>
        <w:rPr>
          <w:color w:val="231F20"/>
        </w:rPr>
        <w:t>parte,</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cultivo</w:t>
      </w:r>
      <w:r>
        <w:rPr>
          <w:color w:val="231F20"/>
          <w:spacing w:val="-11"/>
        </w:rPr>
        <w:t> </w:t>
      </w:r>
      <w:r>
        <w:rPr>
          <w:color w:val="231F20"/>
        </w:rPr>
        <w:t>de</w:t>
      </w:r>
      <w:r>
        <w:rPr>
          <w:color w:val="231F20"/>
          <w:spacing w:val="-22"/>
        </w:rPr>
        <w:t> </w:t>
      </w:r>
      <w:r>
        <w:rPr>
          <w:color w:val="231F20"/>
        </w:rPr>
        <w:t>Alfalfa</w:t>
      </w:r>
      <w:r>
        <w:rPr>
          <w:color w:val="231F20"/>
          <w:spacing w:val="-10"/>
        </w:rPr>
        <w:t> </w:t>
      </w:r>
      <w:r>
        <w:rPr>
          <w:color w:val="231F20"/>
          <w:spacing w:val="-6"/>
        </w:rPr>
        <w:t>BT,</w:t>
      </w:r>
      <w:r>
        <w:rPr>
          <w:color w:val="231F20"/>
          <w:spacing w:val="-11"/>
        </w:rPr>
        <w:t> </w:t>
      </w:r>
      <w:r>
        <w:rPr>
          <w:color w:val="231F20"/>
        </w:rPr>
        <w:t>el</w:t>
      </w:r>
      <w:r>
        <w:rPr>
          <w:color w:val="231F20"/>
          <w:spacing w:val="-11"/>
        </w:rPr>
        <w:t> </w:t>
      </w:r>
      <w:r>
        <w:rPr>
          <w:color w:val="231F20"/>
        </w:rPr>
        <w:t>principal</w:t>
      </w:r>
      <w:r>
        <w:rPr>
          <w:color w:val="231F20"/>
          <w:spacing w:val="-11"/>
        </w:rPr>
        <w:t> </w:t>
      </w:r>
      <w:r>
        <w:rPr>
          <w:color w:val="231F20"/>
        </w:rPr>
        <w:t>costo</w:t>
      </w:r>
      <w:r>
        <w:rPr>
          <w:color w:val="231F20"/>
          <w:spacing w:val="-11"/>
        </w:rPr>
        <w:t> </w:t>
      </w:r>
      <w:r>
        <w:rPr>
          <w:color w:val="231F20"/>
        </w:rPr>
        <w:t>lo</w:t>
      </w:r>
      <w:r>
        <w:rPr>
          <w:color w:val="231F20"/>
          <w:spacing w:val="-11"/>
        </w:rPr>
        <w:t> </w:t>
      </w:r>
      <w:r>
        <w:rPr>
          <w:color w:val="231F20"/>
        </w:rPr>
        <w:t>representó</w:t>
      </w:r>
      <w:r>
        <w:rPr>
          <w:color w:val="231F20"/>
          <w:spacing w:val="-11"/>
        </w:rPr>
        <w:t> </w:t>
      </w:r>
      <w:r>
        <w:rPr>
          <w:color w:val="231F20"/>
        </w:rPr>
        <w:t>el</w:t>
      </w:r>
      <w:r>
        <w:rPr>
          <w:color w:val="231F20"/>
          <w:spacing w:val="-11"/>
        </w:rPr>
        <w:t> </w:t>
      </w:r>
      <w:r>
        <w:rPr>
          <w:color w:val="231F20"/>
        </w:rPr>
        <w:t>riego,</w:t>
      </w:r>
      <w:r>
        <w:rPr>
          <w:color w:val="231F20"/>
          <w:spacing w:val="-11"/>
        </w:rPr>
        <w:t> </w:t>
      </w:r>
      <w:r>
        <w:rPr>
          <w:color w:val="231F20"/>
        </w:rPr>
        <w:t>ya</w:t>
      </w:r>
      <w:r>
        <w:rPr>
          <w:color w:val="231F20"/>
          <w:spacing w:val="-11"/>
        </w:rPr>
        <w:t> </w:t>
      </w:r>
      <w:r>
        <w:rPr>
          <w:color w:val="231F20"/>
        </w:rPr>
        <w:t>que</w:t>
      </w:r>
      <w:r>
        <w:rPr>
          <w:color w:val="231F20"/>
          <w:spacing w:val="-11"/>
        </w:rPr>
        <w:t> </w:t>
      </w:r>
      <w:r>
        <w:rPr>
          <w:color w:val="231F20"/>
        </w:rPr>
        <w:t>los</w:t>
      </w:r>
      <w:r>
        <w:rPr>
          <w:color w:val="231F20"/>
          <w:spacing w:val="-11"/>
        </w:rPr>
        <w:t> </w:t>
      </w:r>
      <w:r>
        <w:rPr>
          <w:color w:val="231F20"/>
        </w:rPr>
        <w:t>$14,712.4 del costo total, ese renglón, con $8,102.4, representó el 55% del total (contra 19.9% del total en el caso del zacate ballico), por la naturaleza de este trabajo, es este rubro, el de riego, el que interesó más (Cuadro</w:t>
      </w:r>
      <w:r>
        <w:rPr>
          <w:color w:val="231F20"/>
          <w:spacing w:val="-1"/>
        </w:rPr>
        <w:t> </w:t>
      </w:r>
      <w:r>
        <w:rPr>
          <w:color w:val="231F20"/>
        </w:rPr>
        <w:t>2).</w:t>
      </w:r>
    </w:p>
    <w:p>
      <w:pPr>
        <w:pStyle w:val="BodyText"/>
        <w:spacing w:before="10"/>
      </w:pPr>
    </w:p>
    <w:p>
      <w:pPr>
        <w:pStyle w:val="BodyText"/>
        <w:spacing w:line="247" w:lineRule="auto"/>
        <w:ind w:left="1270" w:right="1267"/>
        <w:jc w:val="both"/>
      </w:pPr>
      <w:r>
        <w:rPr>
          <w:color w:val="231F20"/>
        </w:rPr>
        <w:t>Dividiendo el rubro de costo del riego, del Cuadro 2, entre el volumen de agua usado, el cual es resultante de la multiplicación de 100m por 100m (área de una hectárea) por la correspondiente lámina de riego del cultivo, se obtiene un indicador general, de índole macroeconómico, que alude al costo promedio para una región agrícola, y no para un productor en lo particular, de esta forma, ese indicador del Cuadro 2, indica que mientras que en zacate ballico </w:t>
      </w:r>
      <w:r>
        <w:rPr>
          <w:color w:val="231F20"/>
          <w:spacing w:val="-6"/>
        </w:rPr>
        <w:t>BT, </w:t>
      </w:r>
      <w:r>
        <w:rPr>
          <w:color w:val="231F20"/>
        </w:rPr>
        <w:t>el metro cúbico de agua subterránea irrigado tuvo un costo de $0.24, mientras que en alfalfa </w:t>
      </w:r>
      <w:r>
        <w:rPr>
          <w:color w:val="231F20"/>
          <w:spacing w:val="-6"/>
        </w:rPr>
        <w:t>BT, </w:t>
      </w:r>
      <w:r>
        <w:rPr>
          <w:color w:val="231F20"/>
        </w:rPr>
        <w:t>ese mismo metro cúbico de agua subterránea costó $0.45, es decir, 50% más caro.</w:t>
      </w:r>
    </w:p>
    <w:p>
      <w:pPr>
        <w:pStyle w:val="BodyText"/>
        <w:spacing w:before="10"/>
      </w:pPr>
    </w:p>
    <w:p>
      <w:pPr>
        <w:pStyle w:val="BodyText"/>
        <w:spacing w:line="247" w:lineRule="auto"/>
        <w:ind w:left="1270" w:right="1267"/>
        <w:jc w:val="both"/>
      </w:pPr>
      <w:r>
        <w:rPr>
          <w:color w:val="231F20"/>
        </w:rPr>
        <w:t>Los indicadores del precio que pagó el productor forrajero por cada m3 de agua extraída del sub- suelo, $0.24 en el caso del Zacate Ballico y $0.45 en el caso del cultivo de Alfalfa, señalados en el Cuadro 2, quedan muy por debajo del precio real del agua, estimado en $0.744/m3 (en pesos cons- tantes de 2010) señalado por Agüero (2012) (el cual toma como base un estudio econométrico de Godínez</w:t>
      </w:r>
      <w:r>
        <w:rPr>
          <w:color w:val="231F20"/>
          <w:spacing w:val="-5"/>
        </w:rPr>
        <w:t> </w:t>
      </w:r>
      <w:r>
        <w:rPr>
          <w:color w:val="231F20"/>
        </w:rPr>
        <w:t>Montoya</w:t>
      </w:r>
      <w:r>
        <w:rPr>
          <w:color w:val="231F20"/>
          <w:spacing w:val="-5"/>
        </w:rPr>
        <w:t> </w:t>
      </w:r>
      <w:r>
        <w:rPr>
          <w:color w:val="231F20"/>
        </w:rPr>
        <w:t>et</w:t>
      </w:r>
      <w:r>
        <w:rPr>
          <w:color w:val="231F20"/>
          <w:spacing w:val="-5"/>
        </w:rPr>
        <w:t> </w:t>
      </w:r>
      <w:r>
        <w:rPr>
          <w:color w:val="231F20"/>
        </w:rPr>
        <w:t>al.,</w:t>
      </w:r>
      <w:r>
        <w:rPr>
          <w:color w:val="231F20"/>
          <w:spacing w:val="-6"/>
        </w:rPr>
        <w:t> </w:t>
      </w:r>
      <w:r>
        <w:rPr>
          <w:color w:val="231F20"/>
        </w:rPr>
        <w:t>2007),</w:t>
      </w:r>
      <w:r>
        <w:rPr>
          <w:color w:val="231F20"/>
          <w:spacing w:val="-5"/>
        </w:rPr>
        <w:t> </w:t>
      </w:r>
      <w:r>
        <w:rPr>
          <w:color w:val="231F20"/>
        </w:rPr>
        <w:t>observándose</w:t>
      </w:r>
      <w:r>
        <w:rPr>
          <w:color w:val="231F20"/>
          <w:spacing w:val="-5"/>
        </w:rPr>
        <w:t> </w:t>
      </w:r>
      <w:r>
        <w:rPr>
          <w:color w:val="231F20"/>
        </w:rPr>
        <w:t>así</w:t>
      </w:r>
      <w:r>
        <w:rPr>
          <w:color w:val="231F20"/>
          <w:spacing w:val="-6"/>
        </w:rPr>
        <w:t> </w:t>
      </w:r>
      <w:r>
        <w:rPr>
          <w:color w:val="231F20"/>
        </w:rPr>
        <w:t>que</w:t>
      </w:r>
      <w:r>
        <w:rPr>
          <w:color w:val="231F20"/>
          <w:spacing w:val="-5"/>
        </w:rPr>
        <w:t> </w:t>
      </w:r>
      <w:r>
        <w:rPr>
          <w:color w:val="231F20"/>
        </w:rPr>
        <w:t>en</w:t>
      </w:r>
      <w:r>
        <w:rPr>
          <w:color w:val="231F20"/>
          <w:spacing w:val="-6"/>
        </w:rPr>
        <w:t> </w:t>
      </w:r>
      <w:r>
        <w:rPr>
          <w:color w:val="231F20"/>
        </w:rPr>
        <w:t>el</w:t>
      </w:r>
      <w:r>
        <w:rPr>
          <w:color w:val="231F20"/>
          <w:spacing w:val="-5"/>
        </w:rPr>
        <w:t> </w:t>
      </w:r>
      <w:r>
        <w:rPr>
          <w:color w:val="231F20"/>
        </w:rPr>
        <w:t>caso</w:t>
      </w:r>
      <w:r>
        <w:rPr>
          <w:color w:val="231F20"/>
          <w:spacing w:val="-6"/>
        </w:rPr>
        <w:t> </w:t>
      </w:r>
      <w:r>
        <w:rPr>
          <w:color w:val="231F20"/>
        </w:rPr>
        <w:t>del</w:t>
      </w:r>
      <w:r>
        <w:rPr>
          <w:color w:val="231F20"/>
          <w:spacing w:val="-5"/>
        </w:rPr>
        <w:t> </w:t>
      </w:r>
      <w:r>
        <w:rPr>
          <w:color w:val="231F20"/>
        </w:rPr>
        <w:t>Ballico</w:t>
      </w:r>
      <w:r>
        <w:rPr>
          <w:color w:val="231F20"/>
          <w:spacing w:val="-5"/>
        </w:rPr>
        <w:t> </w:t>
      </w:r>
      <w:r>
        <w:rPr>
          <w:color w:val="231F20"/>
          <w:spacing w:val="-6"/>
        </w:rPr>
        <w:t>BT,</w:t>
      </w:r>
      <w:r>
        <w:rPr>
          <w:color w:val="231F20"/>
          <w:spacing w:val="-5"/>
        </w:rPr>
        <w:t> </w:t>
      </w:r>
      <w:r>
        <w:rPr>
          <w:color w:val="231F20"/>
        </w:rPr>
        <w:t>el</w:t>
      </w:r>
      <w:r>
        <w:rPr>
          <w:color w:val="231F20"/>
          <w:spacing w:val="-5"/>
        </w:rPr>
        <w:t> </w:t>
      </w:r>
      <w:r>
        <w:rPr>
          <w:color w:val="231F20"/>
        </w:rPr>
        <w:t>precio</w:t>
      </w:r>
      <w:r>
        <w:rPr>
          <w:color w:val="231F20"/>
          <w:spacing w:val="-5"/>
        </w:rPr>
        <w:t> </w:t>
      </w:r>
      <w:r>
        <w:rPr>
          <w:color w:val="231F20"/>
        </w:rPr>
        <w:t>pagado</w:t>
      </w:r>
      <w:r>
        <w:rPr>
          <w:color w:val="231F20"/>
          <w:spacing w:val="-5"/>
        </w:rPr>
        <w:t> </w:t>
      </w:r>
      <w:r>
        <w:rPr>
          <w:color w:val="231F20"/>
        </w:rPr>
        <w:t>por el productor equivale a solamente el 32.83% de ese precio real del agua, y de un 60.4% en el caso del</w:t>
      </w:r>
      <w:r>
        <w:rPr>
          <w:color w:val="231F20"/>
          <w:spacing w:val="-6"/>
        </w:rPr>
        <w:t> </w:t>
      </w:r>
      <w:r>
        <w:rPr>
          <w:color w:val="231F20"/>
        </w:rPr>
        <w:t>cultivo</w:t>
      </w:r>
      <w:r>
        <w:rPr>
          <w:color w:val="231F20"/>
          <w:spacing w:val="-7"/>
        </w:rPr>
        <w:t> </w:t>
      </w:r>
      <w:r>
        <w:rPr>
          <w:color w:val="231F20"/>
        </w:rPr>
        <w:t>de</w:t>
      </w:r>
      <w:r>
        <w:rPr>
          <w:color w:val="231F20"/>
          <w:spacing w:val="-17"/>
        </w:rPr>
        <w:t> </w:t>
      </w:r>
      <w:r>
        <w:rPr>
          <w:color w:val="231F20"/>
        </w:rPr>
        <w:t>Alfalfa</w:t>
      </w:r>
      <w:r>
        <w:rPr>
          <w:color w:val="231F20"/>
          <w:spacing w:val="-6"/>
        </w:rPr>
        <w:t> BT, </w:t>
      </w:r>
      <w:r>
        <w:rPr>
          <w:color w:val="231F20"/>
        </w:rPr>
        <w:t>lo</w:t>
      </w:r>
      <w:r>
        <w:rPr>
          <w:color w:val="231F20"/>
          <w:spacing w:val="-6"/>
        </w:rPr>
        <w:t> </w:t>
      </w:r>
      <w:r>
        <w:rPr>
          <w:color w:val="231F20"/>
        </w:rPr>
        <w:t>que</w:t>
      </w:r>
      <w:r>
        <w:rPr>
          <w:color w:val="231F20"/>
          <w:spacing w:val="-6"/>
        </w:rPr>
        <w:t> </w:t>
      </w:r>
      <w:r>
        <w:rPr>
          <w:color w:val="231F20"/>
        </w:rPr>
        <w:t>conlleva</w:t>
      </w:r>
      <w:r>
        <w:rPr>
          <w:color w:val="231F20"/>
          <w:spacing w:val="-7"/>
        </w:rPr>
        <w:t> </w:t>
      </w:r>
      <w:r>
        <w:rPr>
          <w:color w:val="231F20"/>
        </w:rPr>
        <w:t>a</w:t>
      </w:r>
      <w:r>
        <w:rPr>
          <w:color w:val="231F20"/>
          <w:spacing w:val="-6"/>
        </w:rPr>
        <w:t> </w:t>
      </w:r>
      <w:r>
        <w:rPr>
          <w:color w:val="231F20"/>
        </w:rPr>
        <w:t>señalar</w:t>
      </w:r>
      <w:r>
        <w:rPr>
          <w:color w:val="231F20"/>
          <w:spacing w:val="-6"/>
        </w:rPr>
        <w:t> </w:t>
      </w:r>
      <w:r>
        <w:rPr>
          <w:color w:val="231F20"/>
        </w:rPr>
        <w:t>que</w:t>
      </w:r>
      <w:r>
        <w:rPr>
          <w:color w:val="231F20"/>
          <w:spacing w:val="-6"/>
        </w:rPr>
        <w:t> </w:t>
      </w:r>
      <w:r>
        <w:rPr>
          <w:color w:val="231F20"/>
        </w:rPr>
        <w:t>un</w:t>
      </w:r>
      <w:r>
        <w:rPr>
          <w:color w:val="231F20"/>
          <w:spacing w:val="-6"/>
        </w:rPr>
        <w:t> </w:t>
      </w:r>
      <w:r>
        <w:rPr>
          <w:color w:val="231F20"/>
        </w:rPr>
        <w:t>bien</w:t>
      </w:r>
      <w:r>
        <w:rPr>
          <w:color w:val="231F20"/>
          <w:spacing w:val="-6"/>
        </w:rPr>
        <w:t> </w:t>
      </w:r>
      <w:r>
        <w:rPr>
          <w:color w:val="231F20"/>
        </w:rPr>
        <w:t>altamente</w:t>
      </w:r>
      <w:r>
        <w:rPr>
          <w:color w:val="231F20"/>
          <w:spacing w:val="-7"/>
        </w:rPr>
        <w:t> </w:t>
      </w:r>
      <w:r>
        <w:rPr>
          <w:color w:val="231F20"/>
        </w:rPr>
        <w:t>social,</w:t>
      </w:r>
      <w:r>
        <w:rPr>
          <w:color w:val="231F20"/>
          <w:spacing w:val="-6"/>
        </w:rPr>
        <w:t> </w:t>
      </w:r>
      <w:r>
        <w:rPr>
          <w:color w:val="231F20"/>
        </w:rPr>
        <w:t>el</w:t>
      </w:r>
      <w:r>
        <w:rPr>
          <w:color w:val="231F20"/>
          <w:spacing w:val="-6"/>
        </w:rPr>
        <w:t> </w:t>
      </w:r>
      <w:r>
        <w:rPr>
          <w:color w:val="231F20"/>
        </w:rPr>
        <w:t>agua,</w:t>
      </w:r>
      <w:r>
        <w:rPr>
          <w:color w:val="231F20"/>
          <w:spacing w:val="-6"/>
        </w:rPr>
        <w:t> </w:t>
      </w:r>
      <w:r>
        <w:rPr>
          <w:color w:val="231F20"/>
        </w:rPr>
        <w:t>está</w:t>
      </w:r>
      <w:r>
        <w:rPr>
          <w:color w:val="231F20"/>
          <w:spacing w:val="-6"/>
        </w:rPr>
        <w:t> </w:t>
      </w:r>
      <w:r>
        <w:rPr>
          <w:color w:val="231F20"/>
        </w:rPr>
        <w:t>siendo subsidiado para el enriquecimiento de los agricultores en su beneficio</w:t>
      </w:r>
      <w:r>
        <w:rPr>
          <w:color w:val="231F20"/>
          <w:spacing w:val="-11"/>
        </w:rPr>
        <w:t> </w:t>
      </w:r>
      <w:r>
        <w:rPr>
          <w:color w:val="231F20"/>
        </w:rPr>
        <w:t>privado.</w:t>
      </w:r>
    </w:p>
    <w:p>
      <w:pPr>
        <w:spacing w:after="0" w:line="247" w:lineRule="auto"/>
        <w:jc w:val="both"/>
        <w:sectPr>
          <w:footerReference w:type="default" r:id="rId151"/>
          <w:pgSz w:w="10920" w:h="13080"/>
          <w:pgMar w:footer="1025" w:header="0" w:top="420" w:bottom="1220" w:left="0" w:right="0"/>
        </w:sectPr>
      </w:pPr>
    </w:p>
    <w:p>
      <w:pPr>
        <w:pStyle w:val="BodyText"/>
        <w:rPr>
          <w:sz w:val="20"/>
        </w:rPr>
      </w:pPr>
    </w:p>
    <w:p>
      <w:pPr>
        <w:pStyle w:val="BodyText"/>
        <w:rPr>
          <w:sz w:val="20"/>
        </w:rPr>
      </w:pPr>
    </w:p>
    <w:p>
      <w:pPr>
        <w:pStyle w:val="BodyText"/>
        <w:rPr>
          <w:sz w:val="23"/>
        </w:rPr>
      </w:pPr>
    </w:p>
    <w:p>
      <w:pPr>
        <w:pStyle w:val="BodyText"/>
        <w:spacing w:line="247" w:lineRule="auto" w:before="73"/>
        <w:ind w:left="1270" w:right="1266" w:hanging="5"/>
        <w:jc w:val="center"/>
      </w:pPr>
      <w:r>
        <w:rPr>
          <w:color w:val="231F20"/>
        </w:rPr>
        <w:t>La</w:t>
      </w:r>
      <w:r>
        <w:rPr>
          <w:color w:val="231F20"/>
          <w:spacing w:val="-14"/>
        </w:rPr>
        <w:t> </w:t>
      </w:r>
      <w:r>
        <w:rPr>
          <w:color w:val="231F20"/>
          <w:spacing w:val="-4"/>
        </w:rPr>
        <w:t>inversión</w:t>
      </w:r>
      <w:r>
        <w:rPr>
          <w:color w:val="231F20"/>
          <w:spacing w:val="-15"/>
        </w:rPr>
        <w:t> </w:t>
      </w:r>
      <w:r>
        <w:rPr>
          <w:color w:val="231F20"/>
        </w:rPr>
        <w:t>de</w:t>
      </w:r>
      <w:r>
        <w:rPr>
          <w:color w:val="231F20"/>
          <w:spacing w:val="-14"/>
        </w:rPr>
        <w:t> </w:t>
      </w:r>
      <w:r>
        <w:rPr>
          <w:color w:val="231F20"/>
          <w:spacing w:val="-4"/>
        </w:rPr>
        <w:t>trabajo</w:t>
      </w:r>
      <w:r>
        <w:rPr>
          <w:color w:val="231F20"/>
          <w:spacing w:val="-15"/>
        </w:rPr>
        <w:t> </w:t>
      </w:r>
      <w:r>
        <w:rPr>
          <w:color w:val="231F20"/>
          <w:spacing w:val="-3"/>
        </w:rPr>
        <w:t>por</w:t>
      </w:r>
      <w:r>
        <w:rPr>
          <w:color w:val="231F20"/>
          <w:spacing w:val="-14"/>
        </w:rPr>
        <w:t> </w:t>
      </w:r>
      <w:r>
        <w:rPr>
          <w:color w:val="231F20"/>
          <w:spacing w:val="-3"/>
        </w:rPr>
        <w:t>ha,</w:t>
      </w:r>
      <w:r>
        <w:rPr>
          <w:color w:val="231F20"/>
          <w:spacing w:val="-14"/>
        </w:rPr>
        <w:t> </w:t>
      </w:r>
      <w:r>
        <w:rPr>
          <w:color w:val="231F20"/>
          <w:spacing w:val="-4"/>
        </w:rPr>
        <w:t>medida</w:t>
      </w:r>
      <w:r>
        <w:rPr>
          <w:color w:val="231F20"/>
          <w:spacing w:val="-15"/>
        </w:rPr>
        <w:t> </w:t>
      </w:r>
      <w:r>
        <w:rPr>
          <w:color w:val="231F20"/>
          <w:spacing w:val="-3"/>
        </w:rPr>
        <w:t>por</w:t>
      </w:r>
      <w:r>
        <w:rPr>
          <w:color w:val="231F20"/>
          <w:spacing w:val="-14"/>
        </w:rPr>
        <w:t> </w:t>
      </w:r>
      <w:r>
        <w:rPr>
          <w:color w:val="231F20"/>
        </w:rPr>
        <w:t>la</w:t>
      </w:r>
      <w:r>
        <w:rPr>
          <w:color w:val="231F20"/>
          <w:spacing w:val="-14"/>
        </w:rPr>
        <w:t> </w:t>
      </w:r>
      <w:r>
        <w:rPr>
          <w:color w:val="231F20"/>
          <w:spacing w:val="-4"/>
        </w:rPr>
        <w:t>cantidad</w:t>
      </w:r>
      <w:r>
        <w:rPr>
          <w:color w:val="231F20"/>
          <w:spacing w:val="-15"/>
        </w:rPr>
        <w:t> </w:t>
      </w:r>
      <w:r>
        <w:rPr>
          <w:color w:val="231F20"/>
        </w:rPr>
        <w:t>de</w:t>
      </w:r>
      <w:r>
        <w:rPr>
          <w:color w:val="231F20"/>
          <w:spacing w:val="-14"/>
        </w:rPr>
        <w:t> </w:t>
      </w:r>
      <w:r>
        <w:rPr>
          <w:color w:val="231F20"/>
          <w:spacing w:val="-4"/>
        </w:rPr>
        <w:t>jornadas</w:t>
      </w:r>
      <w:r>
        <w:rPr>
          <w:color w:val="231F20"/>
          <w:spacing w:val="-15"/>
        </w:rPr>
        <w:t> </w:t>
      </w:r>
      <w:r>
        <w:rPr>
          <w:color w:val="231F20"/>
          <w:spacing w:val="-3"/>
        </w:rPr>
        <w:t>por</w:t>
      </w:r>
      <w:r>
        <w:rPr>
          <w:color w:val="231F20"/>
          <w:spacing w:val="-14"/>
        </w:rPr>
        <w:t> </w:t>
      </w:r>
      <w:r>
        <w:rPr>
          <w:color w:val="231F20"/>
          <w:spacing w:val="-3"/>
        </w:rPr>
        <w:t>ha,</w:t>
      </w:r>
      <w:r>
        <w:rPr>
          <w:color w:val="231F20"/>
          <w:spacing w:val="-14"/>
        </w:rPr>
        <w:t> </w:t>
      </w:r>
      <w:r>
        <w:rPr>
          <w:color w:val="231F20"/>
          <w:spacing w:val="-4"/>
        </w:rPr>
        <w:t>resultó</w:t>
      </w:r>
      <w:r>
        <w:rPr>
          <w:color w:val="231F20"/>
          <w:spacing w:val="-14"/>
        </w:rPr>
        <w:t> </w:t>
      </w:r>
      <w:r>
        <w:rPr>
          <w:color w:val="231F20"/>
          <w:spacing w:val="-4"/>
        </w:rPr>
        <w:t>relativamente</w:t>
      </w:r>
      <w:r>
        <w:rPr>
          <w:color w:val="231F20"/>
          <w:spacing w:val="-14"/>
        </w:rPr>
        <w:t> </w:t>
      </w:r>
      <w:r>
        <w:rPr>
          <w:color w:val="231F20"/>
          <w:spacing w:val="-4"/>
        </w:rPr>
        <w:t>similar</w:t>
      </w:r>
      <w:r>
        <w:rPr>
          <w:color w:val="231F20"/>
          <w:spacing w:val="-14"/>
        </w:rPr>
        <w:t> </w:t>
      </w:r>
      <w:r>
        <w:rPr>
          <w:color w:val="231F20"/>
          <w:spacing w:val="-4"/>
        </w:rPr>
        <w:t>en ambos</w:t>
      </w:r>
      <w:r>
        <w:rPr>
          <w:color w:val="231F20"/>
          <w:spacing w:val="-13"/>
        </w:rPr>
        <w:t> </w:t>
      </w:r>
      <w:r>
        <w:rPr>
          <w:color w:val="231F20"/>
          <w:spacing w:val="-4"/>
        </w:rPr>
        <w:t>forrajes,</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spacing w:val="-4"/>
        </w:rPr>
        <w:t>Ballico</w:t>
      </w:r>
      <w:r>
        <w:rPr>
          <w:color w:val="231F20"/>
          <w:spacing w:val="-13"/>
        </w:rPr>
        <w:t> </w:t>
      </w:r>
      <w:r>
        <w:rPr>
          <w:color w:val="231F20"/>
        </w:rPr>
        <w:t>BT</w:t>
      </w:r>
      <w:r>
        <w:rPr>
          <w:color w:val="231F20"/>
          <w:spacing w:val="-17"/>
        </w:rPr>
        <w:t> </w:t>
      </w:r>
      <w:r>
        <w:rPr>
          <w:color w:val="231F20"/>
          <w:spacing w:val="-4"/>
        </w:rPr>
        <w:t>fueron</w:t>
      </w:r>
      <w:r>
        <w:rPr>
          <w:color w:val="231F20"/>
          <w:spacing w:val="-13"/>
        </w:rPr>
        <w:t> </w:t>
      </w:r>
      <w:r>
        <w:rPr>
          <w:color w:val="231F20"/>
          <w:spacing w:val="-4"/>
        </w:rPr>
        <w:t>necesarias</w:t>
      </w:r>
      <w:r>
        <w:rPr>
          <w:color w:val="231F20"/>
          <w:spacing w:val="-13"/>
        </w:rPr>
        <w:t> </w:t>
      </w:r>
      <w:r>
        <w:rPr>
          <w:color w:val="231F20"/>
          <w:spacing w:val="-3"/>
        </w:rPr>
        <w:t>18.2</w:t>
      </w:r>
      <w:r>
        <w:rPr>
          <w:color w:val="231F20"/>
          <w:spacing w:val="-13"/>
        </w:rPr>
        <w:t> </w:t>
      </w:r>
      <w:r>
        <w:rPr>
          <w:color w:val="231F20"/>
          <w:spacing w:val="-4"/>
        </w:rPr>
        <w:t>jornadas/ha,</w:t>
      </w:r>
      <w:r>
        <w:rPr>
          <w:color w:val="231F20"/>
          <w:spacing w:val="-14"/>
        </w:rPr>
        <w:t> </w:t>
      </w:r>
      <w:r>
        <w:rPr>
          <w:color w:val="231F20"/>
          <w:spacing w:val="-4"/>
        </w:rPr>
        <w:t>mientras</w:t>
      </w:r>
      <w:r>
        <w:rPr>
          <w:color w:val="231F20"/>
          <w:spacing w:val="-13"/>
        </w:rPr>
        <w:t> </w:t>
      </w:r>
      <w:r>
        <w:rPr>
          <w:color w:val="231F20"/>
          <w:spacing w:val="-3"/>
        </w:rPr>
        <w:t>que</w:t>
      </w:r>
      <w:r>
        <w:rPr>
          <w:color w:val="231F20"/>
          <w:spacing w:val="-13"/>
        </w:rPr>
        <w:t> </w:t>
      </w:r>
      <w:r>
        <w:rPr>
          <w:color w:val="231F20"/>
        </w:rPr>
        <w:t>en</w:t>
      </w:r>
      <w:r>
        <w:rPr>
          <w:color w:val="231F20"/>
          <w:spacing w:val="-25"/>
        </w:rPr>
        <w:t> </w:t>
      </w:r>
      <w:r>
        <w:rPr>
          <w:color w:val="231F20"/>
          <w:spacing w:val="-4"/>
        </w:rPr>
        <w:t>Alfalfa</w:t>
      </w:r>
      <w:r>
        <w:rPr>
          <w:color w:val="231F20"/>
          <w:spacing w:val="-12"/>
        </w:rPr>
        <w:t> </w:t>
      </w:r>
      <w:r>
        <w:rPr>
          <w:color w:val="231F20"/>
        </w:rPr>
        <w:t>BT</w:t>
      </w:r>
      <w:r>
        <w:rPr>
          <w:color w:val="231F20"/>
          <w:spacing w:val="-17"/>
        </w:rPr>
        <w:t> </w:t>
      </w:r>
      <w:r>
        <w:rPr>
          <w:color w:val="231F20"/>
        </w:rPr>
        <w:t>se</w:t>
      </w:r>
      <w:r>
        <w:rPr>
          <w:color w:val="231F20"/>
          <w:spacing w:val="-13"/>
        </w:rPr>
        <w:t> </w:t>
      </w:r>
      <w:r>
        <w:rPr>
          <w:color w:val="231F20"/>
          <w:spacing w:val="-4"/>
        </w:rPr>
        <w:t>requi- rieron 22.27 jornadas/ha, </w:t>
      </w:r>
      <w:r>
        <w:rPr>
          <w:color w:val="231F20"/>
          <w:spacing w:val="-3"/>
        </w:rPr>
        <w:t>con esa </w:t>
      </w:r>
      <w:r>
        <w:rPr>
          <w:color w:val="231F20"/>
          <w:spacing w:val="-4"/>
        </w:rPr>
        <w:t>cantidad </w:t>
      </w:r>
      <w:r>
        <w:rPr>
          <w:color w:val="231F20"/>
        </w:rPr>
        <w:t>de </w:t>
      </w:r>
      <w:r>
        <w:rPr>
          <w:color w:val="231F20"/>
          <w:spacing w:val="-4"/>
        </w:rPr>
        <w:t>trabajo </w:t>
      </w:r>
      <w:r>
        <w:rPr>
          <w:color w:val="231F20"/>
        </w:rPr>
        <w:t>se </w:t>
      </w:r>
      <w:r>
        <w:rPr>
          <w:color w:val="231F20"/>
          <w:spacing w:val="-4"/>
        </w:rPr>
        <w:t>produjo, </w:t>
      </w:r>
      <w:r>
        <w:rPr>
          <w:color w:val="231F20"/>
        </w:rPr>
        <w:t>en el </w:t>
      </w:r>
      <w:r>
        <w:rPr>
          <w:color w:val="231F20"/>
          <w:spacing w:val="-4"/>
        </w:rPr>
        <w:t>primero </w:t>
      </w:r>
      <w:r>
        <w:rPr>
          <w:color w:val="231F20"/>
        </w:rPr>
        <w:t>de </w:t>
      </w:r>
      <w:r>
        <w:rPr>
          <w:color w:val="231F20"/>
          <w:spacing w:val="-3"/>
        </w:rPr>
        <w:t>los </w:t>
      </w:r>
      <w:r>
        <w:rPr>
          <w:color w:val="231F20"/>
          <w:spacing w:val="-4"/>
        </w:rPr>
        <w:t>cultivos, </w:t>
      </w:r>
      <w:r>
        <w:rPr>
          <w:color w:val="231F20"/>
        </w:rPr>
        <w:t>un</w:t>
      </w:r>
      <w:r>
        <w:rPr>
          <w:color w:val="231F20"/>
          <w:spacing w:val="-29"/>
        </w:rPr>
        <w:t> </w:t>
      </w:r>
      <w:r>
        <w:rPr>
          <w:color w:val="231F20"/>
          <w:spacing w:val="-4"/>
        </w:rPr>
        <w:t>rendi- miento</w:t>
      </w:r>
      <w:r>
        <w:rPr>
          <w:color w:val="231F20"/>
          <w:spacing w:val="-10"/>
        </w:rPr>
        <w:t> </w:t>
      </w:r>
      <w:r>
        <w:rPr>
          <w:color w:val="231F20"/>
          <w:spacing w:val="-4"/>
        </w:rPr>
        <w:t>físico</w:t>
      </w:r>
      <w:r>
        <w:rPr>
          <w:color w:val="231F20"/>
          <w:spacing w:val="-10"/>
        </w:rPr>
        <w:t> </w:t>
      </w:r>
      <w:r>
        <w:rPr>
          <w:color w:val="231F20"/>
        </w:rPr>
        <w:t>de</w:t>
      </w:r>
      <w:r>
        <w:rPr>
          <w:color w:val="231F20"/>
          <w:spacing w:val="-10"/>
        </w:rPr>
        <w:t> </w:t>
      </w:r>
      <w:r>
        <w:rPr>
          <w:color w:val="231F20"/>
          <w:spacing w:val="-4"/>
        </w:rPr>
        <w:t>37.68</w:t>
      </w:r>
      <w:r>
        <w:rPr>
          <w:color w:val="231F20"/>
          <w:spacing w:val="-10"/>
        </w:rPr>
        <w:t> </w:t>
      </w:r>
      <w:r>
        <w:rPr>
          <w:color w:val="231F20"/>
          <w:spacing w:val="-4"/>
        </w:rPr>
        <w:t>ton/ha,</w:t>
      </w:r>
      <w:r>
        <w:rPr>
          <w:color w:val="231F20"/>
          <w:spacing w:val="-10"/>
        </w:rPr>
        <w:t> </w:t>
      </w:r>
      <w:r>
        <w:rPr>
          <w:color w:val="231F20"/>
          <w:spacing w:val="-4"/>
        </w:rPr>
        <w:t>mientras</w:t>
      </w:r>
      <w:r>
        <w:rPr>
          <w:color w:val="231F20"/>
          <w:spacing w:val="-10"/>
        </w:rPr>
        <w:t> </w:t>
      </w:r>
      <w:r>
        <w:rPr>
          <w:color w:val="231F20"/>
          <w:spacing w:val="-3"/>
        </w:rPr>
        <w:t>que</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spacing w:val="-4"/>
        </w:rPr>
        <w:t>segundo,</w:t>
      </w:r>
      <w:r>
        <w:rPr>
          <w:color w:val="231F20"/>
          <w:spacing w:val="-10"/>
        </w:rPr>
        <w:t> </w:t>
      </w:r>
      <w:r>
        <w:rPr>
          <w:color w:val="231F20"/>
        </w:rPr>
        <w:t>se</w:t>
      </w:r>
      <w:r>
        <w:rPr>
          <w:color w:val="231F20"/>
          <w:spacing w:val="-10"/>
        </w:rPr>
        <w:t> </w:t>
      </w:r>
      <w:r>
        <w:rPr>
          <w:color w:val="231F20"/>
          <w:spacing w:val="-4"/>
        </w:rPr>
        <w:t>generaron</w:t>
      </w:r>
      <w:r>
        <w:rPr>
          <w:color w:val="231F20"/>
          <w:spacing w:val="-10"/>
        </w:rPr>
        <w:t> </w:t>
      </w:r>
      <w:r>
        <w:rPr>
          <w:color w:val="231F20"/>
          <w:spacing w:val="-4"/>
        </w:rPr>
        <w:t>83.81</w:t>
      </w:r>
      <w:r>
        <w:rPr>
          <w:color w:val="231F20"/>
          <w:spacing w:val="-10"/>
        </w:rPr>
        <w:t> </w:t>
      </w:r>
      <w:r>
        <w:rPr>
          <w:color w:val="231F20"/>
          <w:spacing w:val="-4"/>
        </w:rPr>
        <w:t>ton/ha,</w:t>
      </w:r>
      <w:r>
        <w:rPr>
          <w:color w:val="231F20"/>
          <w:spacing w:val="-10"/>
        </w:rPr>
        <w:t> </w:t>
      </w:r>
      <w:r>
        <w:rPr>
          <w:color w:val="231F20"/>
          <w:spacing w:val="-3"/>
        </w:rPr>
        <w:t>que</w:t>
      </w:r>
      <w:r>
        <w:rPr>
          <w:color w:val="231F20"/>
          <w:spacing w:val="-10"/>
        </w:rPr>
        <w:t> </w:t>
      </w:r>
      <w:r>
        <w:rPr>
          <w:color w:val="231F20"/>
        </w:rPr>
        <w:t>en</w:t>
      </w:r>
      <w:r>
        <w:rPr>
          <w:color w:val="231F20"/>
          <w:spacing w:val="-10"/>
        </w:rPr>
        <w:t> </w:t>
      </w:r>
      <w:r>
        <w:rPr>
          <w:color w:val="231F20"/>
          <w:spacing w:val="-4"/>
        </w:rPr>
        <w:t>términos</w:t>
      </w:r>
      <w:r>
        <w:rPr>
          <w:color w:val="231F20"/>
          <w:spacing w:val="-10"/>
        </w:rPr>
        <w:t> </w:t>
      </w:r>
      <w:r>
        <w:rPr>
          <w:color w:val="231F20"/>
          <w:spacing w:val="-4"/>
        </w:rPr>
        <w:t>de rendimiento</w:t>
      </w:r>
      <w:r>
        <w:rPr>
          <w:color w:val="231F20"/>
          <w:spacing w:val="-7"/>
        </w:rPr>
        <w:t> </w:t>
      </w:r>
      <w:r>
        <w:rPr>
          <w:color w:val="231F20"/>
          <w:spacing w:val="-4"/>
        </w:rPr>
        <w:t>monetario,</w:t>
      </w:r>
      <w:r>
        <w:rPr>
          <w:color w:val="231F20"/>
          <w:spacing w:val="-7"/>
        </w:rPr>
        <w:t> </w:t>
      </w:r>
      <w:r>
        <w:rPr>
          <w:color w:val="231F20"/>
        </w:rPr>
        <w:t>al</w:t>
      </w:r>
      <w:r>
        <w:rPr>
          <w:color w:val="231F20"/>
          <w:spacing w:val="-7"/>
        </w:rPr>
        <w:t> </w:t>
      </w:r>
      <w:r>
        <w:rPr>
          <w:color w:val="231F20"/>
          <w:spacing w:val="-4"/>
        </w:rPr>
        <w:t>multiplicar</w:t>
      </w:r>
      <w:r>
        <w:rPr>
          <w:color w:val="231F20"/>
          <w:spacing w:val="-7"/>
        </w:rPr>
        <w:t> </w:t>
      </w:r>
      <w:r>
        <w:rPr>
          <w:color w:val="231F20"/>
        </w:rPr>
        <w:t>el</w:t>
      </w:r>
      <w:r>
        <w:rPr>
          <w:color w:val="231F20"/>
          <w:spacing w:val="-7"/>
        </w:rPr>
        <w:t> </w:t>
      </w:r>
      <w:r>
        <w:rPr>
          <w:color w:val="231F20"/>
          <w:spacing w:val="-4"/>
        </w:rPr>
        <w:t>rendimiento</w:t>
      </w:r>
      <w:r>
        <w:rPr>
          <w:color w:val="231F20"/>
          <w:spacing w:val="-7"/>
        </w:rPr>
        <w:t> </w:t>
      </w:r>
      <w:r>
        <w:rPr>
          <w:color w:val="231F20"/>
          <w:spacing w:val="-4"/>
        </w:rPr>
        <w:t>físico</w:t>
      </w:r>
      <w:r>
        <w:rPr>
          <w:color w:val="231F20"/>
          <w:spacing w:val="-7"/>
        </w:rPr>
        <w:t> </w:t>
      </w:r>
      <w:r>
        <w:rPr>
          <w:color w:val="231F20"/>
          <w:spacing w:val="-3"/>
        </w:rPr>
        <w:t>por</w:t>
      </w:r>
      <w:r>
        <w:rPr>
          <w:color w:val="231F20"/>
          <w:spacing w:val="-7"/>
        </w:rPr>
        <w:t> </w:t>
      </w:r>
      <w:r>
        <w:rPr>
          <w:color w:val="231F20"/>
        </w:rPr>
        <w:t>el</w:t>
      </w:r>
      <w:r>
        <w:rPr>
          <w:color w:val="231F20"/>
          <w:spacing w:val="-7"/>
        </w:rPr>
        <w:t> </w:t>
      </w:r>
      <w:r>
        <w:rPr>
          <w:color w:val="231F20"/>
          <w:spacing w:val="-4"/>
        </w:rPr>
        <w:t>precio</w:t>
      </w:r>
      <w:r>
        <w:rPr>
          <w:color w:val="231F20"/>
          <w:spacing w:val="-7"/>
        </w:rPr>
        <w:t> </w:t>
      </w:r>
      <w:r>
        <w:rPr>
          <w:color w:val="231F20"/>
        </w:rPr>
        <w:t>y</w:t>
      </w:r>
      <w:r>
        <w:rPr>
          <w:color w:val="231F20"/>
          <w:spacing w:val="-7"/>
        </w:rPr>
        <w:t> </w:t>
      </w:r>
      <w:r>
        <w:rPr>
          <w:color w:val="231F20"/>
          <w:spacing w:val="-4"/>
        </w:rPr>
        <w:t>restarle</w:t>
      </w:r>
      <w:r>
        <w:rPr>
          <w:color w:val="231F20"/>
          <w:spacing w:val="-7"/>
        </w:rPr>
        <w:t> </w:t>
      </w:r>
      <w:r>
        <w:rPr>
          <w:color w:val="231F20"/>
        </w:rPr>
        <w:t>el</w:t>
      </w:r>
      <w:r>
        <w:rPr>
          <w:color w:val="231F20"/>
          <w:spacing w:val="-7"/>
        </w:rPr>
        <w:t> </w:t>
      </w:r>
      <w:r>
        <w:rPr>
          <w:color w:val="231F20"/>
          <w:spacing w:val="-4"/>
        </w:rPr>
        <w:t>costo/ha,</w:t>
      </w:r>
      <w:r>
        <w:rPr>
          <w:color w:val="231F20"/>
          <w:spacing w:val="-7"/>
        </w:rPr>
        <w:t> </w:t>
      </w:r>
      <w:r>
        <w:rPr>
          <w:color w:val="231F20"/>
        </w:rPr>
        <w:t>se</w:t>
      </w:r>
      <w:r>
        <w:rPr>
          <w:color w:val="231F20"/>
          <w:spacing w:val="-7"/>
        </w:rPr>
        <w:t> </w:t>
      </w:r>
      <w:r>
        <w:rPr>
          <w:color w:val="231F20"/>
          <w:spacing w:val="-4"/>
        </w:rPr>
        <w:t>tradujo </w:t>
      </w:r>
      <w:r>
        <w:rPr>
          <w:color w:val="231F20"/>
        </w:rPr>
        <w:t>en</w:t>
      </w:r>
      <w:r>
        <w:rPr>
          <w:color w:val="231F20"/>
          <w:spacing w:val="-8"/>
        </w:rPr>
        <w:t> </w:t>
      </w:r>
      <w:r>
        <w:rPr>
          <w:color w:val="231F20"/>
          <w:spacing w:val="-3"/>
        </w:rPr>
        <w:t>los</w:t>
      </w:r>
      <w:r>
        <w:rPr>
          <w:color w:val="231F20"/>
          <w:spacing w:val="-8"/>
        </w:rPr>
        <w:t> </w:t>
      </w:r>
      <w:r>
        <w:rPr>
          <w:color w:val="231F20"/>
          <w:spacing w:val="-4"/>
        </w:rPr>
        <w:t>-$3,010.50</w:t>
      </w:r>
      <w:r>
        <w:rPr>
          <w:color w:val="231F20"/>
          <w:spacing w:val="-8"/>
        </w:rPr>
        <w:t> </w:t>
      </w:r>
      <w:r>
        <w:rPr>
          <w:color w:val="231F20"/>
        </w:rPr>
        <w:t>de</w:t>
      </w:r>
      <w:r>
        <w:rPr>
          <w:color w:val="231F20"/>
          <w:spacing w:val="-8"/>
        </w:rPr>
        <w:t> </w:t>
      </w:r>
      <w:r>
        <w:rPr>
          <w:color w:val="231F20"/>
          <w:spacing w:val="-4"/>
        </w:rPr>
        <w:t>ganancia</w:t>
      </w:r>
      <w:r>
        <w:rPr>
          <w:color w:val="231F20"/>
          <w:spacing w:val="-8"/>
        </w:rPr>
        <w:t> </w:t>
      </w:r>
      <w:r>
        <w:rPr>
          <w:color w:val="231F20"/>
          <w:spacing w:val="-3"/>
        </w:rPr>
        <w:t>/ha</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spacing w:val="-4"/>
        </w:rPr>
        <w:t>zacate</w:t>
      </w:r>
      <w:r>
        <w:rPr>
          <w:color w:val="231F20"/>
          <w:spacing w:val="-8"/>
        </w:rPr>
        <w:t> </w:t>
      </w:r>
      <w:r>
        <w:rPr>
          <w:color w:val="231F20"/>
          <w:spacing w:val="-4"/>
        </w:rPr>
        <w:t>ballico</w:t>
      </w:r>
      <w:r>
        <w:rPr>
          <w:color w:val="231F20"/>
          <w:spacing w:val="-8"/>
        </w:rPr>
        <w:t> </w:t>
      </w:r>
      <w:r>
        <w:rPr>
          <w:color w:val="231F20"/>
        </w:rPr>
        <w:t>y</w:t>
      </w:r>
      <w:r>
        <w:rPr>
          <w:color w:val="231F20"/>
          <w:spacing w:val="-8"/>
        </w:rPr>
        <w:t> </w:t>
      </w:r>
      <w:r>
        <w:rPr>
          <w:color w:val="231F20"/>
        </w:rPr>
        <w:t>en</w:t>
      </w:r>
      <w:r>
        <w:rPr>
          <w:color w:val="231F20"/>
          <w:spacing w:val="-8"/>
        </w:rPr>
        <w:t> </w:t>
      </w:r>
      <w:r>
        <w:rPr>
          <w:color w:val="231F20"/>
          <w:spacing w:val="-3"/>
        </w:rPr>
        <w:t>los</w:t>
      </w:r>
      <w:r>
        <w:rPr>
          <w:color w:val="231F20"/>
          <w:spacing w:val="-8"/>
        </w:rPr>
        <w:t> </w:t>
      </w:r>
      <w:r>
        <w:rPr>
          <w:color w:val="231F20"/>
          <w:spacing w:val="-4"/>
        </w:rPr>
        <w:t>$16,145.57</w:t>
      </w:r>
      <w:r>
        <w:rPr>
          <w:color w:val="231F20"/>
          <w:spacing w:val="-8"/>
        </w:rPr>
        <w:t> </w:t>
      </w:r>
      <w:r>
        <w:rPr>
          <w:color w:val="231F20"/>
        </w:rPr>
        <w:t>de</w:t>
      </w:r>
      <w:r>
        <w:rPr>
          <w:color w:val="231F20"/>
          <w:spacing w:val="-8"/>
        </w:rPr>
        <w:t> </w:t>
      </w:r>
      <w:r>
        <w:rPr>
          <w:color w:val="231F20"/>
          <w:spacing w:val="-4"/>
        </w:rPr>
        <w:t>ganancia/ha</w:t>
      </w:r>
      <w:r>
        <w:rPr>
          <w:color w:val="231F20"/>
          <w:spacing w:val="-8"/>
        </w:rPr>
        <w:t> </w:t>
      </w:r>
      <w:r>
        <w:rPr>
          <w:color w:val="231F20"/>
        </w:rPr>
        <w:t>en</w:t>
      </w:r>
      <w:r>
        <w:rPr>
          <w:color w:val="231F20"/>
          <w:spacing w:val="-20"/>
        </w:rPr>
        <w:t> </w:t>
      </w:r>
      <w:r>
        <w:rPr>
          <w:color w:val="231F20"/>
          <w:spacing w:val="-4"/>
        </w:rPr>
        <w:t>Alfalfa</w:t>
      </w:r>
      <w:r>
        <w:rPr>
          <w:color w:val="231F20"/>
          <w:spacing w:val="-8"/>
        </w:rPr>
        <w:t> BT.</w:t>
      </w:r>
    </w:p>
    <w:p>
      <w:pPr>
        <w:pStyle w:val="BodyText"/>
        <w:spacing w:before="5"/>
        <w:rPr>
          <w:sz w:val="18"/>
        </w:rPr>
      </w:pPr>
    </w:p>
    <w:p>
      <w:pPr>
        <w:spacing w:line="249" w:lineRule="auto" w:before="0"/>
        <w:ind w:left="1447" w:right="1447" w:firstLine="0"/>
        <w:jc w:val="center"/>
        <w:rPr>
          <w:b/>
          <w:sz w:val="18"/>
        </w:rPr>
      </w:pPr>
      <w:r>
        <w:rPr>
          <w:b/>
          <w:color w:val="010202"/>
          <w:spacing w:val="-3"/>
          <w:sz w:val="18"/>
        </w:rPr>
        <w:t>Cuadro</w:t>
      </w:r>
      <w:r>
        <w:rPr>
          <w:b/>
          <w:color w:val="010202"/>
          <w:spacing w:val="-10"/>
          <w:sz w:val="18"/>
        </w:rPr>
        <w:t> </w:t>
      </w:r>
      <w:r>
        <w:rPr>
          <w:b/>
          <w:color w:val="010202"/>
          <w:sz w:val="18"/>
        </w:rPr>
        <w:t>2:</w:t>
      </w:r>
      <w:r>
        <w:rPr>
          <w:b/>
          <w:color w:val="010202"/>
          <w:spacing w:val="-10"/>
          <w:sz w:val="18"/>
        </w:rPr>
        <w:t> </w:t>
      </w:r>
      <w:r>
        <w:rPr>
          <w:b/>
          <w:color w:val="010202"/>
          <w:sz w:val="18"/>
        </w:rPr>
        <w:t>Costo</w:t>
      </w:r>
      <w:r>
        <w:rPr>
          <w:b/>
          <w:color w:val="010202"/>
          <w:spacing w:val="-10"/>
          <w:sz w:val="18"/>
        </w:rPr>
        <w:t> </w:t>
      </w:r>
      <w:r>
        <w:rPr>
          <w:b/>
          <w:color w:val="010202"/>
          <w:sz w:val="18"/>
        </w:rPr>
        <w:t>por</w:t>
      </w:r>
      <w:r>
        <w:rPr>
          <w:b/>
          <w:color w:val="010202"/>
          <w:spacing w:val="-12"/>
          <w:sz w:val="18"/>
        </w:rPr>
        <w:t> </w:t>
      </w:r>
      <w:r>
        <w:rPr>
          <w:b/>
          <w:color w:val="010202"/>
          <w:spacing w:val="-3"/>
          <w:sz w:val="18"/>
        </w:rPr>
        <w:t>hectárea</w:t>
      </w:r>
      <w:r>
        <w:rPr>
          <w:b/>
          <w:color w:val="010202"/>
          <w:spacing w:val="-10"/>
          <w:sz w:val="18"/>
        </w:rPr>
        <w:t> </w:t>
      </w:r>
      <w:r>
        <w:rPr>
          <w:b/>
          <w:color w:val="010202"/>
          <w:sz w:val="18"/>
        </w:rPr>
        <w:t>en</w:t>
      </w:r>
      <w:r>
        <w:rPr>
          <w:b/>
          <w:color w:val="010202"/>
          <w:spacing w:val="-10"/>
          <w:sz w:val="18"/>
        </w:rPr>
        <w:t> </w:t>
      </w:r>
      <w:r>
        <w:rPr>
          <w:b/>
          <w:color w:val="010202"/>
          <w:sz w:val="18"/>
        </w:rPr>
        <w:t>los</w:t>
      </w:r>
      <w:r>
        <w:rPr>
          <w:b/>
          <w:color w:val="010202"/>
          <w:spacing w:val="-10"/>
          <w:sz w:val="18"/>
        </w:rPr>
        <w:t> </w:t>
      </w:r>
      <w:r>
        <w:rPr>
          <w:b/>
          <w:color w:val="010202"/>
          <w:sz w:val="18"/>
        </w:rPr>
        <w:t>cultivos</w:t>
      </w:r>
      <w:r>
        <w:rPr>
          <w:b/>
          <w:color w:val="010202"/>
          <w:spacing w:val="-10"/>
          <w:sz w:val="18"/>
        </w:rPr>
        <w:t> </w:t>
      </w:r>
      <w:r>
        <w:rPr>
          <w:b/>
          <w:color w:val="010202"/>
          <w:sz w:val="18"/>
        </w:rPr>
        <w:t>de</w:t>
      </w:r>
      <w:r>
        <w:rPr>
          <w:b/>
          <w:color w:val="010202"/>
          <w:spacing w:val="-10"/>
          <w:sz w:val="18"/>
        </w:rPr>
        <w:t> </w:t>
      </w:r>
      <w:r>
        <w:rPr>
          <w:b/>
          <w:color w:val="010202"/>
          <w:sz w:val="18"/>
        </w:rPr>
        <w:t>Zacate</w:t>
      </w:r>
      <w:r>
        <w:rPr>
          <w:b/>
          <w:color w:val="010202"/>
          <w:spacing w:val="-10"/>
          <w:sz w:val="18"/>
        </w:rPr>
        <w:t> </w:t>
      </w:r>
      <w:r>
        <w:rPr>
          <w:b/>
          <w:color w:val="010202"/>
          <w:sz w:val="18"/>
        </w:rPr>
        <w:t>ballico</w:t>
      </w:r>
      <w:r>
        <w:rPr>
          <w:b/>
          <w:color w:val="010202"/>
          <w:spacing w:val="-10"/>
          <w:sz w:val="18"/>
        </w:rPr>
        <w:t> </w:t>
      </w:r>
      <w:r>
        <w:rPr>
          <w:b/>
          <w:color w:val="010202"/>
          <w:sz w:val="18"/>
        </w:rPr>
        <w:t>o</w:t>
      </w:r>
      <w:r>
        <w:rPr>
          <w:b/>
          <w:color w:val="010202"/>
          <w:spacing w:val="-10"/>
          <w:sz w:val="18"/>
        </w:rPr>
        <w:t> </w:t>
      </w:r>
      <w:r>
        <w:rPr>
          <w:b/>
          <w:color w:val="010202"/>
          <w:spacing w:val="-4"/>
          <w:sz w:val="18"/>
        </w:rPr>
        <w:t>Rye</w:t>
      </w:r>
      <w:r>
        <w:rPr>
          <w:b/>
          <w:color w:val="010202"/>
          <w:spacing w:val="-10"/>
          <w:sz w:val="18"/>
        </w:rPr>
        <w:t> </w:t>
      </w:r>
      <w:r>
        <w:rPr>
          <w:b/>
          <w:color w:val="010202"/>
          <w:sz w:val="18"/>
        </w:rPr>
        <w:t>grass</w:t>
      </w:r>
      <w:r>
        <w:rPr>
          <w:b/>
          <w:color w:val="010202"/>
          <w:spacing w:val="-10"/>
          <w:sz w:val="18"/>
        </w:rPr>
        <w:t> </w:t>
      </w:r>
      <w:r>
        <w:rPr>
          <w:b/>
          <w:color w:val="010202"/>
          <w:sz w:val="18"/>
        </w:rPr>
        <w:t>(</w:t>
      </w:r>
      <w:r>
        <w:rPr>
          <w:b/>
          <w:i/>
          <w:color w:val="010202"/>
          <w:sz w:val="18"/>
        </w:rPr>
        <w:t>Lolium</w:t>
      </w:r>
      <w:r>
        <w:rPr>
          <w:b/>
          <w:i/>
          <w:color w:val="010202"/>
          <w:spacing w:val="-10"/>
          <w:sz w:val="18"/>
        </w:rPr>
        <w:t> </w:t>
      </w:r>
      <w:r>
        <w:rPr>
          <w:b/>
          <w:i/>
          <w:color w:val="010202"/>
          <w:sz w:val="18"/>
        </w:rPr>
        <w:t>multiflorum</w:t>
      </w:r>
      <w:r>
        <w:rPr>
          <w:b/>
          <w:color w:val="010202"/>
          <w:sz w:val="18"/>
        </w:rPr>
        <w:t>)</w:t>
      </w:r>
      <w:r>
        <w:rPr>
          <w:b/>
          <w:color w:val="010202"/>
          <w:spacing w:val="-10"/>
          <w:sz w:val="18"/>
        </w:rPr>
        <w:t> </w:t>
      </w:r>
      <w:r>
        <w:rPr>
          <w:b/>
          <w:color w:val="010202"/>
          <w:sz w:val="18"/>
        </w:rPr>
        <w:t>en</w:t>
      </w:r>
      <w:r>
        <w:rPr>
          <w:b/>
          <w:color w:val="010202"/>
          <w:spacing w:val="-10"/>
          <w:sz w:val="18"/>
        </w:rPr>
        <w:t> </w:t>
      </w:r>
      <w:r>
        <w:rPr>
          <w:b/>
          <w:color w:val="010202"/>
          <w:spacing w:val="-3"/>
          <w:sz w:val="18"/>
        </w:rPr>
        <w:t>sectores </w:t>
      </w:r>
      <w:r>
        <w:rPr>
          <w:b/>
          <w:color w:val="010202"/>
          <w:sz w:val="18"/>
        </w:rPr>
        <w:t>Ejido</w:t>
      </w:r>
      <w:r>
        <w:rPr>
          <w:b/>
          <w:color w:val="010202"/>
          <w:spacing w:val="-12"/>
          <w:sz w:val="18"/>
        </w:rPr>
        <w:t> </w:t>
      </w:r>
      <w:r>
        <w:rPr>
          <w:b/>
          <w:color w:val="010202"/>
          <w:sz w:val="18"/>
        </w:rPr>
        <w:t>y</w:t>
      </w:r>
      <w:r>
        <w:rPr>
          <w:b/>
          <w:color w:val="010202"/>
          <w:spacing w:val="-12"/>
          <w:sz w:val="18"/>
        </w:rPr>
        <w:t> </w:t>
      </w:r>
      <w:r>
        <w:rPr>
          <w:b/>
          <w:color w:val="010202"/>
          <w:sz w:val="18"/>
        </w:rPr>
        <w:t>Pequeña</w:t>
      </w:r>
      <w:r>
        <w:rPr>
          <w:b/>
          <w:color w:val="010202"/>
          <w:spacing w:val="-12"/>
          <w:sz w:val="18"/>
        </w:rPr>
        <w:t> </w:t>
      </w:r>
      <w:r>
        <w:rPr>
          <w:b/>
          <w:color w:val="010202"/>
          <w:spacing w:val="-3"/>
          <w:sz w:val="18"/>
        </w:rPr>
        <w:t>Propiedad</w:t>
      </w:r>
      <w:r>
        <w:rPr>
          <w:b/>
          <w:color w:val="010202"/>
          <w:spacing w:val="-12"/>
          <w:sz w:val="18"/>
        </w:rPr>
        <w:t> </w:t>
      </w:r>
      <w:r>
        <w:rPr>
          <w:b/>
          <w:color w:val="010202"/>
          <w:sz w:val="18"/>
        </w:rPr>
        <w:t>(PP)</w:t>
      </w:r>
      <w:r>
        <w:rPr>
          <w:b/>
          <w:color w:val="010202"/>
          <w:spacing w:val="-12"/>
          <w:sz w:val="18"/>
        </w:rPr>
        <w:t> </w:t>
      </w:r>
      <w:r>
        <w:rPr>
          <w:b/>
          <w:color w:val="010202"/>
          <w:sz w:val="18"/>
        </w:rPr>
        <w:t>y</w:t>
      </w:r>
      <w:r>
        <w:rPr>
          <w:b/>
          <w:color w:val="010202"/>
          <w:spacing w:val="-20"/>
          <w:sz w:val="18"/>
        </w:rPr>
        <w:t> </w:t>
      </w:r>
      <w:r>
        <w:rPr>
          <w:b/>
          <w:color w:val="010202"/>
          <w:sz w:val="18"/>
        </w:rPr>
        <w:t>Alfalfa</w:t>
      </w:r>
      <w:r>
        <w:rPr>
          <w:b/>
          <w:color w:val="010202"/>
          <w:spacing w:val="-12"/>
          <w:sz w:val="18"/>
        </w:rPr>
        <w:t> </w:t>
      </w:r>
      <w:r>
        <w:rPr>
          <w:b/>
          <w:color w:val="010202"/>
          <w:sz w:val="18"/>
        </w:rPr>
        <w:t>(</w:t>
      </w:r>
      <w:r>
        <w:rPr>
          <w:b/>
          <w:i/>
          <w:color w:val="010202"/>
          <w:sz w:val="18"/>
        </w:rPr>
        <w:t>Medicago</w:t>
      </w:r>
      <w:r>
        <w:rPr>
          <w:b/>
          <w:i/>
          <w:color w:val="010202"/>
          <w:spacing w:val="-12"/>
          <w:sz w:val="18"/>
        </w:rPr>
        <w:t> </w:t>
      </w:r>
      <w:r>
        <w:rPr>
          <w:b/>
          <w:i/>
          <w:color w:val="010202"/>
          <w:sz w:val="18"/>
        </w:rPr>
        <w:t>sativa</w:t>
      </w:r>
      <w:r>
        <w:rPr>
          <w:b/>
          <w:color w:val="010202"/>
          <w:sz w:val="18"/>
        </w:rPr>
        <w:t>)</w:t>
      </w:r>
      <w:r>
        <w:rPr>
          <w:b/>
          <w:color w:val="010202"/>
          <w:spacing w:val="-12"/>
          <w:sz w:val="18"/>
        </w:rPr>
        <w:t> </w:t>
      </w:r>
      <w:r>
        <w:rPr>
          <w:b/>
          <w:color w:val="010202"/>
          <w:sz w:val="18"/>
        </w:rPr>
        <w:t>irrigados</w:t>
      </w:r>
      <w:r>
        <w:rPr>
          <w:b/>
          <w:color w:val="010202"/>
          <w:spacing w:val="-13"/>
          <w:sz w:val="18"/>
        </w:rPr>
        <w:t> </w:t>
      </w:r>
      <w:r>
        <w:rPr>
          <w:b/>
          <w:color w:val="010202"/>
          <w:sz w:val="18"/>
        </w:rPr>
        <w:t>por</w:t>
      </w:r>
      <w:r>
        <w:rPr>
          <w:b/>
          <w:color w:val="010202"/>
          <w:spacing w:val="-15"/>
          <w:sz w:val="18"/>
        </w:rPr>
        <w:t> </w:t>
      </w:r>
      <w:r>
        <w:rPr>
          <w:b/>
          <w:color w:val="010202"/>
          <w:sz w:val="18"/>
        </w:rPr>
        <w:t>bombeo</w:t>
      </w:r>
      <w:r>
        <w:rPr>
          <w:b/>
          <w:color w:val="010202"/>
          <w:spacing w:val="-12"/>
          <w:sz w:val="18"/>
        </w:rPr>
        <w:t> </w:t>
      </w:r>
      <w:r>
        <w:rPr>
          <w:b/>
          <w:color w:val="010202"/>
          <w:sz w:val="18"/>
        </w:rPr>
        <w:t>en</w:t>
      </w:r>
    </w:p>
    <w:p>
      <w:pPr>
        <w:spacing w:before="1" w:after="41"/>
        <w:ind w:left="1488" w:right="1489" w:firstLine="0"/>
        <w:jc w:val="center"/>
        <w:rPr>
          <w:b/>
          <w:sz w:val="18"/>
        </w:rPr>
      </w:pPr>
      <w:r>
        <w:rPr>
          <w:b/>
          <w:color w:val="010202"/>
          <w:sz w:val="18"/>
        </w:rPr>
        <w:t>La Comarca Lagunera en 2010. Pesos nominales.</w:t>
      </w:r>
    </w:p>
    <w:tbl>
      <w:tblPr>
        <w:tblW w:w="0" w:type="auto"/>
        <w:jc w:val="left"/>
        <w:tblInd w:w="1280"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top w:w="0" w:type="dxa"/>
          <w:left w:w="0" w:type="dxa"/>
          <w:bottom w:w="0" w:type="dxa"/>
          <w:right w:w="0" w:type="dxa"/>
        </w:tblCellMar>
        <w:tblLook w:val="01E0"/>
      </w:tblPr>
      <w:tblGrid>
        <w:gridCol w:w="4120"/>
        <w:gridCol w:w="2283"/>
        <w:gridCol w:w="1936"/>
      </w:tblGrid>
      <w:tr>
        <w:trPr>
          <w:trHeight w:val="282" w:hRule="exact"/>
        </w:trPr>
        <w:tc>
          <w:tcPr>
            <w:tcW w:w="4120" w:type="dxa"/>
          </w:tcPr>
          <w:p>
            <w:pPr>
              <w:pStyle w:val="TableParagraph"/>
              <w:spacing w:before="24"/>
              <w:ind w:left="1665" w:right="1665"/>
              <w:jc w:val="center"/>
              <w:rPr>
                <w:b/>
                <w:sz w:val="18"/>
              </w:rPr>
            </w:pPr>
            <w:r>
              <w:rPr>
                <w:b/>
                <w:color w:val="231F20"/>
                <w:sz w:val="18"/>
              </w:rPr>
              <w:t>Concepto</w:t>
            </w:r>
          </w:p>
        </w:tc>
        <w:tc>
          <w:tcPr>
            <w:tcW w:w="2283" w:type="dxa"/>
          </w:tcPr>
          <w:p>
            <w:pPr>
              <w:pStyle w:val="TableParagraph"/>
              <w:spacing w:before="24"/>
              <w:ind w:left="316"/>
              <w:rPr>
                <w:b/>
                <w:sz w:val="18"/>
              </w:rPr>
            </w:pPr>
            <w:r>
              <w:rPr>
                <w:b/>
                <w:color w:val="231F20"/>
                <w:sz w:val="18"/>
              </w:rPr>
              <w:t>Zacate ballico E y PP</w:t>
            </w:r>
          </w:p>
        </w:tc>
        <w:tc>
          <w:tcPr>
            <w:tcW w:w="1936" w:type="dxa"/>
          </w:tcPr>
          <w:p>
            <w:pPr>
              <w:pStyle w:val="TableParagraph"/>
              <w:spacing w:before="24"/>
              <w:ind w:left="673" w:right="673"/>
              <w:jc w:val="center"/>
              <w:rPr>
                <w:b/>
                <w:sz w:val="18"/>
              </w:rPr>
            </w:pPr>
            <w:r>
              <w:rPr>
                <w:b/>
                <w:color w:val="231F20"/>
                <w:sz w:val="18"/>
              </w:rPr>
              <w:t>Alfalfa</w:t>
            </w:r>
          </w:p>
        </w:tc>
      </w:tr>
      <w:tr>
        <w:trPr>
          <w:trHeight w:val="285" w:hRule="exact"/>
        </w:trPr>
        <w:tc>
          <w:tcPr>
            <w:tcW w:w="4120" w:type="dxa"/>
          </w:tcPr>
          <w:p>
            <w:pPr>
              <w:pStyle w:val="TableParagraph"/>
              <w:rPr>
                <w:sz w:val="18"/>
              </w:rPr>
            </w:pPr>
            <w:r>
              <w:rPr>
                <w:color w:val="231F20"/>
                <w:sz w:val="18"/>
              </w:rPr>
              <w:t>Preparación del suelo</w:t>
            </w:r>
          </w:p>
        </w:tc>
        <w:tc>
          <w:tcPr>
            <w:tcW w:w="2283" w:type="dxa"/>
          </w:tcPr>
          <w:p>
            <w:pPr>
              <w:pStyle w:val="TableParagraph"/>
              <w:ind w:left="69"/>
              <w:rPr>
                <w:sz w:val="18"/>
              </w:rPr>
            </w:pPr>
            <w:r>
              <w:rPr>
                <w:color w:val="231F20"/>
                <w:sz w:val="18"/>
              </w:rPr>
              <w:t>1975</w:t>
            </w:r>
          </w:p>
        </w:tc>
        <w:tc>
          <w:tcPr>
            <w:tcW w:w="1936" w:type="dxa"/>
          </w:tcPr>
          <w:p>
            <w:pPr>
              <w:pStyle w:val="TableParagraph"/>
              <w:rPr>
                <w:sz w:val="18"/>
              </w:rPr>
            </w:pPr>
            <w:r>
              <w:rPr>
                <w:color w:val="231F20"/>
                <w:sz w:val="18"/>
              </w:rPr>
              <w:t>0</w:t>
            </w:r>
          </w:p>
        </w:tc>
      </w:tr>
      <w:tr>
        <w:trPr>
          <w:trHeight w:val="285" w:hRule="exact"/>
        </w:trPr>
        <w:tc>
          <w:tcPr>
            <w:tcW w:w="4120" w:type="dxa"/>
          </w:tcPr>
          <w:p>
            <w:pPr>
              <w:pStyle w:val="TableParagraph"/>
              <w:rPr>
                <w:sz w:val="18"/>
              </w:rPr>
            </w:pPr>
            <w:r>
              <w:rPr>
                <w:color w:val="231F20"/>
                <w:sz w:val="18"/>
              </w:rPr>
              <w:t>Siembra y fertilización</w:t>
            </w:r>
          </w:p>
        </w:tc>
        <w:tc>
          <w:tcPr>
            <w:tcW w:w="2283" w:type="dxa"/>
          </w:tcPr>
          <w:p>
            <w:pPr>
              <w:pStyle w:val="TableParagraph"/>
              <w:ind w:left="69"/>
              <w:rPr>
                <w:sz w:val="18"/>
              </w:rPr>
            </w:pPr>
            <w:r>
              <w:rPr>
                <w:color w:val="231F20"/>
                <w:sz w:val="18"/>
              </w:rPr>
              <w:t>5207.5</w:t>
            </w:r>
          </w:p>
        </w:tc>
        <w:tc>
          <w:tcPr>
            <w:tcW w:w="1936" w:type="dxa"/>
          </w:tcPr>
          <w:p>
            <w:pPr>
              <w:pStyle w:val="TableParagraph"/>
              <w:rPr>
                <w:sz w:val="18"/>
              </w:rPr>
            </w:pPr>
            <w:r>
              <w:rPr>
                <w:color w:val="231F20"/>
                <w:sz w:val="18"/>
              </w:rPr>
              <w:t>1800</w:t>
            </w:r>
          </w:p>
        </w:tc>
      </w:tr>
      <w:tr>
        <w:trPr>
          <w:trHeight w:val="285" w:hRule="exact"/>
        </w:trPr>
        <w:tc>
          <w:tcPr>
            <w:tcW w:w="4120" w:type="dxa"/>
          </w:tcPr>
          <w:p>
            <w:pPr>
              <w:pStyle w:val="TableParagraph"/>
              <w:rPr>
                <w:sz w:val="18"/>
              </w:rPr>
            </w:pPr>
            <w:r>
              <w:rPr>
                <w:color w:val="231F20"/>
                <w:sz w:val="18"/>
              </w:rPr>
              <w:t>Labores de cultivo</w:t>
            </w:r>
          </w:p>
        </w:tc>
        <w:tc>
          <w:tcPr>
            <w:tcW w:w="2283" w:type="dxa"/>
          </w:tcPr>
          <w:p>
            <w:pPr>
              <w:pStyle w:val="TableParagraph"/>
              <w:ind w:left="69"/>
              <w:rPr>
                <w:sz w:val="18"/>
              </w:rPr>
            </w:pPr>
            <w:r>
              <w:rPr>
                <w:color w:val="231F20"/>
                <w:sz w:val="18"/>
              </w:rPr>
              <w:t>1845</w:t>
            </w:r>
          </w:p>
        </w:tc>
        <w:tc>
          <w:tcPr>
            <w:tcW w:w="1936" w:type="dxa"/>
          </w:tcPr>
          <w:p>
            <w:pPr>
              <w:pStyle w:val="TableParagraph"/>
              <w:rPr>
                <w:sz w:val="18"/>
              </w:rPr>
            </w:pPr>
            <w:r>
              <w:rPr>
                <w:color w:val="231F20"/>
                <w:sz w:val="18"/>
              </w:rPr>
              <w:t>0</w:t>
            </w:r>
          </w:p>
        </w:tc>
      </w:tr>
      <w:tr>
        <w:trPr>
          <w:trHeight w:val="285" w:hRule="exact"/>
        </w:trPr>
        <w:tc>
          <w:tcPr>
            <w:tcW w:w="4120" w:type="dxa"/>
          </w:tcPr>
          <w:p>
            <w:pPr>
              <w:pStyle w:val="TableParagraph"/>
              <w:rPr>
                <w:sz w:val="18"/>
              </w:rPr>
            </w:pPr>
            <w:r>
              <w:rPr>
                <w:color w:val="231F20"/>
                <w:sz w:val="18"/>
              </w:rPr>
              <w:t>Riego</w:t>
            </w:r>
          </w:p>
        </w:tc>
        <w:tc>
          <w:tcPr>
            <w:tcW w:w="2283" w:type="dxa"/>
          </w:tcPr>
          <w:p>
            <w:pPr>
              <w:pStyle w:val="TableParagraph"/>
              <w:ind w:left="69"/>
              <w:rPr>
                <w:sz w:val="18"/>
              </w:rPr>
            </w:pPr>
            <w:r>
              <w:rPr>
                <w:color w:val="231F20"/>
                <w:sz w:val="18"/>
              </w:rPr>
              <w:t>3535</w:t>
            </w:r>
          </w:p>
        </w:tc>
        <w:tc>
          <w:tcPr>
            <w:tcW w:w="1936" w:type="dxa"/>
          </w:tcPr>
          <w:p>
            <w:pPr>
              <w:pStyle w:val="TableParagraph"/>
              <w:rPr>
                <w:sz w:val="18"/>
              </w:rPr>
            </w:pPr>
            <w:r>
              <w:rPr>
                <w:color w:val="231F20"/>
                <w:sz w:val="18"/>
              </w:rPr>
              <w:t>8102.4</w:t>
            </w:r>
          </w:p>
        </w:tc>
      </w:tr>
      <w:tr>
        <w:trPr>
          <w:trHeight w:val="285" w:hRule="exact"/>
        </w:trPr>
        <w:tc>
          <w:tcPr>
            <w:tcW w:w="4120" w:type="dxa"/>
          </w:tcPr>
          <w:p>
            <w:pPr>
              <w:pStyle w:val="TableParagraph"/>
              <w:rPr>
                <w:sz w:val="18"/>
              </w:rPr>
            </w:pPr>
            <w:r>
              <w:rPr>
                <w:color w:val="231F20"/>
                <w:sz w:val="18"/>
              </w:rPr>
              <w:t>Fitosanidad</w:t>
            </w:r>
          </w:p>
        </w:tc>
        <w:tc>
          <w:tcPr>
            <w:tcW w:w="2283" w:type="dxa"/>
          </w:tcPr>
          <w:p>
            <w:pPr>
              <w:pStyle w:val="TableParagraph"/>
              <w:ind w:left="69"/>
              <w:rPr>
                <w:sz w:val="18"/>
              </w:rPr>
            </w:pPr>
            <w:r>
              <w:rPr>
                <w:color w:val="231F20"/>
                <w:sz w:val="18"/>
              </w:rPr>
              <w:t>960</w:t>
            </w:r>
          </w:p>
        </w:tc>
        <w:tc>
          <w:tcPr>
            <w:tcW w:w="1936" w:type="dxa"/>
          </w:tcPr>
          <w:p>
            <w:pPr>
              <w:pStyle w:val="TableParagraph"/>
              <w:rPr>
                <w:sz w:val="18"/>
              </w:rPr>
            </w:pPr>
            <w:r>
              <w:rPr>
                <w:color w:val="231F20"/>
                <w:sz w:val="18"/>
              </w:rPr>
              <w:t>260</w:t>
            </w:r>
          </w:p>
        </w:tc>
      </w:tr>
      <w:tr>
        <w:trPr>
          <w:trHeight w:val="285" w:hRule="exact"/>
        </w:trPr>
        <w:tc>
          <w:tcPr>
            <w:tcW w:w="4120" w:type="dxa"/>
          </w:tcPr>
          <w:p>
            <w:pPr>
              <w:pStyle w:val="TableParagraph"/>
              <w:rPr>
                <w:sz w:val="18"/>
              </w:rPr>
            </w:pPr>
            <w:r>
              <w:rPr>
                <w:color w:val="231F20"/>
                <w:sz w:val="18"/>
              </w:rPr>
              <w:t>Cosecha</w:t>
            </w:r>
          </w:p>
        </w:tc>
        <w:tc>
          <w:tcPr>
            <w:tcW w:w="2283" w:type="dxa"/>
          </w:tcPr>
          <w:p>
            <w:pPr>
              <w:pStyle w:val="TableParagraph"/>
              <w:ind w:left="69"/>
              <w:rPr>
                <w:sz w:val="18"/>
              </w:rPr>
            </w:pPr>
            <w:r>
              <w:rPr>
                <w:color w:val="231F20"/>
                <w:sz w:val="18"/>
              </w:rPr>
              <w:t>1500</w:t>
            </w:r>
          </w:p>
        </w:tc>
        <w:tc>
          <w:tcPr>
            <w:tcW w:w="1936" w:type="dxa"/>
          </w:tcPr>
          <w:p>
            <w:pPr>
              <w:pStyle w:val="TableParagraph"/>
              <w:rPr>
                <w:sz w:val="18"/>
              </w:rPr>
            </w:pPr>
            <w:r>
              <w:rPr>
                <w:color w:val="231F20"/>
                <w:sz w:val="18"/>
              </w:rPr>
              <w:t>4550</w:t>
            </w:r>
          </w:p>
        </w:tc>
      </w:tr>
      <w:tr>
        <w:trPr>
          <w:trHeight w:val="285" w:hRule="exact"/>
        </w:trPr>
        <w:tc>
          <w:tcPr>
            <w:tcW w:w="4120" w:type="dxa"/>
          </w:tcPr>
          <w:p>
            <w:pPr>
              <w:pStyle w:val="TableParagraph"/>
              <w:rPr>
                <w:sz w:val="18"/>
              </w:rPr>
            </w:pPr>
            <w:r>
              <w:rPr>
                <w:color w:val="231F20"/>
                <w:sz w:val="18"/>
              </w:rPr>
              <w:t>Diversos</w:t>
            </w:r>
          </w:p>
        </w:tc>
        <w:tc>
          <w:tcPr>
            <w:tcW w:w="2283" w:type="dxa"/>
          </w:tcPr>
          <w:p>
            <w:pPr>
              <w:pStyle w:val="TableParagraph"/>
              <w:ind w:left="69"/>
              <w:rPr>
                <w:sz w:val="18"/>
              </w:rPr>
            </w:pPr>
            <w:r>
              <w:rPr>
                <w:color w:val="231F20"/>
                <w:sz w:val="18"/>
              </w:rPr>
              <w:t>1791.41</w:t>
            </w:r>
          </w:p>
        </w:tc>
        <w:tc>
          <w:tcPr>
            <w:tcW w:w="1936" w:type="dxa"/>
          </w:tcPr>
          <w:p>
            <w:pPr>
              <w:pStyle w:val="TableParagraph"/>
              <w:rPr>
                <w:sz w:val="18"/>
              </w:rPr>
            </w:pPr>
            <w:r>
              <w:rPr>
                <w:color w:val="231F20"/>
                <w:sz w:val="18"/>
              </w:rPr>
              <w:t>0</w:t>
            </w:r>
          </w:p>
        </w:tc>
      </w:tr>
      <w:tr>
        <w:trPr>
          <w:trHeight w:val="285" w:hRule="exact"/>
        </w:trPr>
        <w:tc>
          <w:tcPr>
            <w:tcW w:w="4120" w:type="dxa"/>
          </w:tcPr>
          <w:p>
            <w:pPr>
              <w:pStyle w:val="TableParagraph"/>
              <w:rPr>
                <w:sz w:val="18"/>
              </w:rPr>
            </w:pPr>
            <w:r>
              <w:rPr>
                <w:color w:val="231F20"/>
                <w:sz w:val="18"/>
              </w:rPr>
              <w:t>Costo total por hectárea</w:t>
            </w:r>
          </w:p>
        </w:tc>
        <w:tc>
          <w:tcPr>
            <w:tcW w:w="2283" w:type="dxa"/>
          </w:tcPr>
          <w:p>
            <w:pPr>
              <w:pStyle w:val="TableParagraph"/>
              <w:ind w:left="69"/>
              <w:rPr>
                <w:sz w:val="18"/>
              </w:rPr>
            </w:pPr>
            <w:r>
              <w:rPr>
                <w:color w:val="231F20"/>
                <w:sz w:val="18"/>
              </w:rPr>
              <w:t>16,813.9</w:t>
            </w:r>
          </w:p>
        </w:tc>
        <w:tc>
          <w:tcPr>
            <w:tcW w:w="1936" w:type="dxa"/>
          </w:tcPr>
          <w:p>
            <w:pPr>
              <w:pStyle w:val="TableParagraph"/>
              <w:rPr>
                <w:sz w:val="18"/>
              </w:rPr>
            </w:pPr>
            <w:r>
              <w:rPr>
                <w:color w:val="231F20"/>
                <w:sz w:val="18"/>
              </w:rPr>
              <w:t>14,712.4</w:t>
            </w:r>
          </w:p>
        </w:tc>
      </w:tr>
      <w:tr>
        <w:trPr>
          <w:trHeight w:val="285" w:hRule="exact"/>
        </w:trPr>
        <w:tc>
          <w:tcPr>
            <w:tcW w:w="4120" w:type="dxa"/>
          </w:tcPr>
          <w:p>
            <w:pPr>
              <w:pStyle w:val="TableParagraph"/>
              <w:rPr>
                <w:sz w:val="18"/>
              </w:rPr>
            </w:pPr>
            <w:r>
              <w:rPr>
                <w:color w:val="231F20"/>
                <w:sz w:val="18"/>
              </w:rPr>
              <w:t>Precio del m</w:t>
            </w:r>
            <w:r>
              <w:rPr>
                <w:color w:val="231F20"/>
                <w:position w:val="6"/>
                <w:sz w:val="10"/>
              </w:rPr>
              <w:t>3  </w:t>
            </w:r>
            <w:r>
              <w:rPr>
                <w:color w:val="231F20"/>
                <w:sz w:val="18"/>
              </w:rPr>
              <w:t>de agua al productor</w:t>
            </w:r>
          </w:p>
        </w:tc>
        <w:tc>
          <w:tcPr>
            <w:tcW w:w="2283" w:type="dxa"/>
          </w:tcPr>
          <w:p>
            <w:pPr>
              <w:pStyle w:val="TableParagraph"/>
              <w:rPr>
                <w:sz w:val="18"/>
              </w:rPr>
            </w:pPr>
            <w:r>
              <w:rPr>
                <w:color w:val="231F20"/>
                <w:sz w:val="18"/>
              </w:rPr>
              <w:t>0.24</w:t>
            </w:r>
          </w:p>
        </w:tc>
        <w:tc>
          <w:tcPr>
            <w:tcW w:w="1936" w:type="dxa"/>
          </w:tcPr>
          <w:p>
            <w:pPr>
              <w:pStyle w:val="TableParagraph"/>
              <w:rPr>
                <w:sz w:val="18"/>
              </w:rPr>
            </w:pPr>
            <w:r>
              <w:rPr>
                <w:color w:val="231F20"/>
                <w:sz w:val="18"/>
              </w:rPr>
              <w:t>0.45</w:t>
            </w:r>
          </w:p>
        </w:tc>
      </w:tr>
      <w:tr>
        <w:trPr>
          <w:trHeight w:val="285" w:hRule="exact"/>
        </w:trPr>
        <w:tc>
          <w:tcPr>
            <w:tcW w:w="4120" w:type="dxa"/>
          </w:tcPr>
          <w:p>
            <w:pPr>
              <w:pStyle w:val="TableParagraph"/>
              <w:rPr>
                <w:sz w:val="18"/>
              </w:rPr>
            </w:pPr>
            <w:r>
              <w:rPr>
                <w:color w:val="231F20"/>
                <w:sz w:val="18"/>
              </w:rPr>
              <w:t>Número de jornales</w:t>
            </w:r>
          </w:p>
        </w:tc>
        <w:tc>
          <w:tcPr>
            <w:tcW w:w="2283" w:type="dxa"/>
          </w:tcPr>
          <w:p>
            <w:pPr>
              <w:pStyle w:val="TableParagraph"/>
              <w:rPr>
                <w:sz w:val="18"/>
              </w:rPr>
            </w:pPr>
            <w:r>
              <w:rPr>
                <w:color w:val="231F20"/>
                <w:sz w:val="18"/>
              </w:rPr>
              <w:t>18.2</w:t>
            </w:r>
          </w:p>
        </w:tc>
        <w:tc>
          <w:tcPr>
            <w:tcW w:w="1936" w:type="dxa"/>
          </w:tcPr>
          <w:p>
            <w:pPr>
              <w:pStyle w:val="TableParagraph"/>
              <w:rPr>
                <w:sz w:val="18"/>
              </w:rPr>
            </w:pPr>
            <w:r>
              <w:rPr>
                <w:color w:val="231F20"/>
                <w:sz w:val="18"/>
              </w:rPr>
              <w:t>22.27</w:t>
            </w:r>
          </w:p>
        </w:tc>
      </w:tr>
    </w:tbl>
    <w:p>
      <w:pPr>
        <w:spacing w:line="307" w:lineRule="auto" w:before="11"/>
        <w:ind w:left="1270" w:right="1268" w:firstLine="0"/>
        <w:jc w:val="both"/>
        <w:rPr>
          <w:b/>
          <w:i/>
          <w:sz w:val="17"/>
        </w:rPr>
      </w:pPr>
      <w:r>
        <w:rPr>
          <w:b/>
          <w:i/>
          <w:color w:val="231F20"/>
          <w:spacing w:val="-5"/>
          <w:sz w:val="17"/>
        </w:rPr>
        <w:t>Fuente: Elaboración propia, </w:t>
      </w:r>
      <w:r>
        <w:rPr>
          <w:b/>
          <w:i/>
          <w:color w:val="231F20"/>
          <w:spacing w:val="-4"/>
          <w:sz w:val="17"/>
        </w:rPr>
        <w:t>con base </w:t>
      </w:r>
      <w:r>
        <w:rPr>
          <w:b/>
          <w:i/>
          <w:color w:val="231F20"/>
          <w:spacing w:val="-3"/>
          <w:sz w:val="17"/>
        </w:rPr>
        <w:t>en el </w:t>
      </w:r>
      <w:r>
        <w:rPr>
          <w:b/>
          <w:i/>
          <w:color w:val="231F20"/>
          <w:spacing w:val="-5"/>
          <w:sz w:val="17"/>
        </w:rPr>
        <w:t>Anuario estadístico </w:t>
      </w:r>
      <w:r>
        <w:rPr>
          <w:b/>
          <w:i/>
          <w:color w:val="231F20"/>
          <w:spacing w:val="-3"/>
          <w:sz w:val="17"/>
        </w:rPr>
        <w:t>de la </w:t>
      </w:r>
      <w:r>
        <w:rPr>
          <w:b/>
          <w:i/>
          <w:color w:val="231F20"/>
          <w:spacing w:val="-5"/>
          <w:sz w:val="17"/>
        </w:rPr>
        <w:t>producción Agropecuaria, </w:t>
      </w:r>
      <w:r>
        <w:rPr>
          <w:b/>
          <w:i/>
          <w:color w:val="231F20"/>
          <w:spacing w:val="-4"/>
          <w:sz w:val="17"/>
        </w:rPr>
        <w:t>ciclo </w:t>
      </w:r>
      <w:r>
        <w:rPr>
          <w:b/>
          <w:i/>
          <w:color w:val="231F20"/>
          <w:spacing w:val="-5"/>
          <w:sz w:val="17"/>
        </w:rPr>
        <w:t>2008-2009, </w:t>
      </w:r>
      <w:r>
        <w:rPr>
          <w:b/>
          <w:i/>
          <w:color w:val="231F20"/>
          <w:spacing w:val="-7"/>
          <w:sz w:val="17"/>
        </w:rPr>
        <w:t>SAGARPA, </w:t>
      </w:r>
      <w:r>
        <w:rPr>
          <w:b/>
          <w:i/>
          <w:color w:val="231F20"/>
          <w:spacing w:val="-5"/>
          <w:sz w:val="17"/>
        </w:rPr>
        <w:t>Delegación Comarca Lagunera, Ciudad lerdo, Durango, México. </w:t>
      </w:r>
      <w:r>
        <w:rPr>
          <w:b/>
          <w:i/>
          <w:color w:val="231F20"/>
          <w:spacing w:val="-4"/>
          <w:sz w:val="17"/>
        </w:rPr>
        <w:t>Datos </w:t>
      </w:r>
      <w:r>
        <w:rPr>
          <w:b/>
          <w:i/>
          <w:color w:val="231F20"/>
          <w:spacing w:val="-3"/>
          <w:sz w:val="17"/>
        </w:rPr>
        <w:t>de </w:t>
      </w:r>
      <w:r>
        <w:rPr>
          <w:b/>
          <w:i/>
          <w:color w:val="231F20"/>
          <w:spacing w:val="-4"/>
          <w:sz w:val="17"/>
        </w:rPr>
        <w:t>Nogal </w:t>
      </w:r>
      <w:r>
        <w:rPr>
          <w:b/>
          <w:i/>
          <w:color w:val="231F20"/>
          <w:spacing w:val="-5"/>
          <w:sz w:val="17"/>
        </w:rPr>
        <w:t>pecanero provenientes </w:t>
      </w:r>
      <w:r>
        <w:rPr>
          <w:b/>
          <w:i/>
          <w:color w:val="231F20"/>
          <w:spacing w:val="-3"/>
          <w:sz w:val="17"/>
        </w:rPr>
        <w:t>de </w:t>
      </w:r>
      <w:r>
        <w:rPr>
          <w:b/>
          <w:i/>
          <w:color w:val="231F20"/>
          <w:spacing w:val="-8"/>
          <w:sz w:val="17"/>
        </w:rPr>
        <w:t>Vargas </w:t>
      </w:r>
      <w:r>
        <w:rPr>
          <w:b/>
          <w:i/>
          <w:color w:val="231F20"/>
          <w:sz w:val="17"/>
        </w:rPr>
        <w:t>C R </w:t>
      </w:r>
      <w:r>
        <w:rPr>
          <w:b/>
          <w:i/>
          <w:color w:val="231F20"/>
          <w:spacing w:val="-5"/>
          <w:sz w:val="17"/>
        </w:rPr>
        <w:t>(2012).</w:t>
      </w:r>
    </w:p>
    <w:p>
      <w:pPr>
        <w:pStyle w:val="BodyText"/>
        <w:spacing w:before="7"/>
        <w:rPr>
          <w:b/>
          <w:i/>
          <w:sz w:val="18"/>
        </w:rPr>
      </w:pPr>
    </w:p>
    <w:p>
      <w:pPr>
        <w:pStyle w:val="BodyText"/>
        <w:spacing w:line="247" w:lineRule="auto"/>
        <w:ind w:left="1270" w:right="1268"/>
        <w:jc w:val="both"/>
      </w:pPr>
      <w:r>
        <w:rPr>
          <w:color w:val="231F20"/>
        </w:rPr>
        <w:t>La</w:t>
      </w:r>
      <w:r>
        <w:rPr>
          <w:color w:val="231F20"/>
          <w:spacing w:val="-13"/>
        </w:rPr>
        <w:t> </w:t>
      </w:r>
      <w:r>
        <w:rPr>
          <w:color w:val="231F20"/>
        </w:rPr>
        <w:t>cantidad</w:t>
      </w:r>
      <w:r>
        <w:rPr>
          <w:color w:val="231F20"/>
          <w:spacing w:val="-13"/>
        </w:rPr>
        <w:t> </w:t>
      </w:r>
      <w:r>
        <w:rPr>
          <w:color w:val="231F20"/>
        </w:rPr>
        <w:t>de</w:t>
      </w:r>
      <w:r>
        <w:rPr>
          <w:color w:val="231F20"/>
          <w:spacing w:val="-13"/>
        </w:rPr>
        <w:t> </w:t>
      </w:r>
      <w:r>
        <w:rPr>
          <w:color w:val="231F20"/>
        </w:rPr>
        <w:t>trabajo</w:t>
      </w:r>
      <w:r>
        <w:rPr>
          <w:color w:val="231F20"/>
          <w:spacing w:val="-13"/>
        </w:rPr>
        <w:t> </w:t>
      </w:r>
      <w:r>
        <w:rPr>
          <w:color w:val="231F20"/>
        </w:rPr>
        <w:t>socialmente</w:t>
      </w:r>
      <w:r>
        <w:rPr>
          <w:color w:val="231F20"/>
          <w:spacing w:val="-12"/>
        </w:rPr>
        <w:t> </w:t>
      </w:r>
      <w:r>
        <w:rPr>
          <w:color w:val="231F20"/>
        </w:rPr>
        <w:t>invertida/ha</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cultivo</w:t>
      </w:r>
      <w:r>
        <w:rPr>
          <w:color w:val="231F20"/>
          <w:spacing w:val="-13"/>
        </w:rPr>
        <w:t> </w:t>
      </w:r>
      <w:r>
        <w:rPr>
          <w:color w:val="231F20"/>
        </w:rPr>
        <w:t>de</w:t>
      </w:r>
      <w:r>
        <w:rPr>
          <w:color w:val="231F20"/>
          <w:spacing w:val="-24"/>
        </w:rPr>
        <w:t> </w:t>
      </w:r>
      <w:r>
        <w:rPr>
          <w:color w:val="231F20"/>
        </w:rPr>
        <w:t>Alfalfa</w:t>
      </w:r>
      <w:r>
        <w:rPr>
          <w:color w:val="231F20"/>
          <w:spacing w:val="-12"/>
        </w:rPr>
        <w:t> </w:t>
      </w:r>
      <w:r>
        <w:rPr>
          <w:color w:val="231F20"/>
        </w:rPr>
        <w:t>BT</w:t>
      </w:r>
      <w:r>
        <w:rPr>
          <w:color w:val="231F20"/>
          <w:spacing w:val="-16"/>
        </w:rPr>
        <w:t> </w:t>
      </w:r>
      <w:r>
        <w:rPr>
          <w:color w:val="231F20"/>
        </w:rPr>
        <w:t>fue</w:t>
      </w:r>
      <w:r>
        <w:rPr>
          <w:color w:val="231F20"/>
          <w:spacing w:val="-13"/>
        </w:rPr>
        <w:t> </w:t>
      </w:r>
      <w:r>
        <w:rPr>
          <w:color w:val="231F20"/>
        </w:rPr>
        <w:t>mayor</w:t>
      </w:r>
      <w:r>
        <w:rPr>
          <w:color w:val="231F20"/>
          <w:spacing w:val="-13"/>
        </w:rPr>
        <w:t> </w:t>
      </w:r>
      <w:r>
        <w:rPr>
          <w:color w:val="231F20"/>
        </w:rPr>
        <w:t>en</w:t>
      </w:r>
      <w:r>
        <w:rPr>
          <w:color w:val="231F20"/>
          <w:spacing w:val="-13"/>
        </w:rPr>
        <w:t> </w:t>
      </w:r>
      <w:r>
        <w:rPr>
          <w:color w:val="231F20"/>
        </w:rPr>
        <w:t>un</w:t>
      </w:r>
      <w:r>
        <w:rPr>
          <w:color w:val="231F20"/>
          <w:spacing w:val="-13"/>
        </w:rPr>
        <w:t> </w:t>
      </w:r>
      <w:r>
        <w:rPr>
          <w:color w:val="231F20"/>
        </w:rPr>
        <w:t>122.36%, respecto</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invertida</w:t>
      </w:r>
      <w:r>
        <w:rPr>
          <w:color w:val="231F20"/>
          <w:spacing w:val="-16"/>
        </w:rPr>
        <w:t> </w:t>
      </w:r>
      <w:r>
        <w:rPr>
          <w:color w:val="231F20"/>
        </w:rPr>
        <w:t>en</w:t>
      </w:r>
      <w:r>
        <w:rPr>
          <w:color w:val="231F20"/>
          <w:spacing w:val="-16"/>
        </w:rPr>
        <w:t> </w:t>
      </w:r>
      <w:r>
        <w:rPr>
          <w:color w:val="231F20"/>
        </w:rPr>
        <w:t>Zacate</w:t>
      </w:r>
      <w:r>
        <w:rPr>
          <w:color w:val="231F20"/>
          <w:spacing w:val="-16"/>
        </w:rPr>
        <w:t> </w:t>
      </w:r>
      <w:r>
        <w:rPr>
          <w:color w:val="231F20"/>
        </w:rPr>
        <w:t>Ballico</w:t>
      </w:r>
      <w:r>
        <w:rPr>
          <w:color w:val="231F20"/>
          <w:spacing w:val="-16"/>
        </w:rPr>
        <w:t> </w:t>
      </w:r>
      <w:r>
        <w:rPr>
          <w:color w:val="231F20"/>
          <w:spacing w:val="-6"/>
        </w:rPr>
        <w:t>BT,</w:t>
      </w:r>
      <w:r>
        <w:rPr>
          <w:color w:val="231F20"/>
          <w:spacing w:val="-16"/>
        </w:rPr>
        <w:t> </w:t>
      </w:r>
      <w:r>
        <w:rPr>
          <w:color w:val="231F20"/>
        </w:rPr>
        <w:t>redituando</w:t>
      </w:r>
      <w:r>
        <w:rPr>
          <w:color w:val="231F20"/>
          <w:spacing w:val="-16"/>
        </w:rPr>
        <w:t> </w:t>
      </w:r>
      <w:r>
        <w:rPr>
          <w:color w:val="231F20"/>
        </w:rPr>
        <w:t>al</w:t>
      </w:r>
      <w:r>
        <w:rPr>
          <w:color w:val="231F20"/>
          <w:spacing w:val="-16"/>
        </w:rPr>
        <w:t> </w:t>
      </w:r>
      <w:r>
        <w:rPr>
          <w:color w:val="231F20"/>
        </w:rPr>
        <w:t>mismo</w:t>
      </w:r>
      <w:r>
        <w:rPr>
          <w:color w:val="231F20"/>
          <w:spacing w:val="-16"/>
        </w:rPr>
        <w:t> </w:t>
      </w:r>
      <w:r>
        <w:rPr>
          <w:color w:val="231F20"/>
        </w:rPr>
        <w:t>tiempo</w:t>
      </w:r>
      <w:r>
        <w:rPr>
          <w:color w:val="231F20"/>
          <w:spacing w:val="-16"/>
        </w:rPr>
        <w:t> </w:t>
      </w:r>
      <w:r>
        <w:rPr>
          <w:color w:val="231F20"/>
        </w:rPr>
        <w:t>en</w:t>
      </w:r>
      <w:r>
        <w:rPr>
          <w:color w:val="231F20"/>
          <w:spacing w:val="-16"/>
        </w:rPr>
        <w:t> </w:t>
      </w:r>
      <w:r>
        <w:rPr>
          <w:color w:val="231F20"/>
        </w:rPr>
        <w:t>una</w:t>
      </w:r>
      <w:r>
        <w:rPr>
          <w:color w:val="231F20"/>
          <w:spacing w:val="-16"/>
        </w:rPr>
        <w:t> </w:t>
      </w:r>
      <w:r>
        <w:rPr>
          <w:color w:val="231F20"/>
        </w:rPr>
        <w:t>ganancia/ha</w:t>
      </w:r>
      <w:r>
        <w:rPr>
          <w:color w:val="231F20"/>
          <w:spacing w:val="-16"/>
        </w:rPr>
        <w:t> </w:t>
      </w:r>
      <w:r>
        <w:rPr>
          <w:color w:val="231F20"/>
        </w:rPr>
        <w:t>488.70% superior</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ganancia/ha</w:t>
      </w:r>
      <w:r>
        <w:rPr>
          <w:color w:val="231F20"/>
          <w:spacing w:val="-10"/>
        </w:rPr>
        <w:t> </w:t>
      </w:r>
      <w:r>
        <w:rPr>
          <w:color w:val="231F20"/>
        </w:rPr>
        <w:t>lograda</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zacate</w:t>
      </w:r>
      <w:r>
        <w:rPr>
          <w:color w:val="231F20"/>
          <w:spacing w:val="-10"/>
        </w:rPr>
        <w:t> </w:t>
      </w:r>
      <w:r>
        <w:rPr>
          <w:color w:val="231F20"/>
        </w:rPr>
        <w:t>Ballico,</w:t>
      </w:r>
      <w:r>
        <w:rPr>
          <w:color w:val="231F20"/>
          <w:spacing w:val="-10"/>
        </w:rPr>
        <w:t> </w:t>
      </w:r>
      <w:r>
        <w:rPr>
          <w:color w:val="231F20"/>
        </w:rPr>
        <w:t>dado</w:t>
      </w:r>
      <w:r>
        <w:rPr>
          <w:color w:val="231F20"/>
          <w:spacing w:val="-10"/>
        </w:rPr>
        <w:t> </w:t>
      </w:r>
      <w:r>
        <w:rPr>
          <w:color w:val="231F20"/>
        </w:rPr>
        <w:t>que</w:t>
      </w:r>
      <w:r>
        <w:rPr>
          <w:color w:val="231F20"/>
          <w:spacing w:val="-10"/>
        </w:rPr>
        <w:t> </w:t>
      </w:r>
      <w:r>
        <w:rPr>
          <w:color w:val="231F20"/>
        </w:rPr>
        <w:t>este</w:t>
      </w:r>
      <w:r>
        <w:rPr>
          <w:color w:val="231F20"/>
          <w:spacing w:val="-10"/>
        </w:rPr>
        <w:t> </w:t>
      </w:r>
      <w:r>
        <w:rPr>
          <w:color w:val="231F20"/>
        </w:rPr>
        <w:t>perdió</w:t>
      </w:r>
      <w:r>
        <w:rPr>
          <w:color w:val="231F20"/>
          <w:spacing w:val="-10"/>
        </w:rPr>
        <w:t> </w:t>
      </w:r>
      <w:r>
        <w:rPr>
          <w:color w:val="231F20"/>
        </w:rPr>
        <w:t>$165.4/jornada</w:t>
      </w:r>
      <w:r>
        <w:rPr>
          <w:color w:val="231F20"/>
          <w:spacing w:val="-10"/>
        </w:rPr>
        <w:t> </w:t>
      </w:r>
      <w:r>
        <w:rPr>
          <w:color w:val="231F20"/>
        </w:rPr>
        <w:t>de</w:t>
      </w:r>
      <w:r>
        <w:rPr>
          <w:color w:val="231F20"/>
          <w:spacing w:val="-10"/>
        </w:rPr>
        <w:t> </w:t>
      </w:r>
      <w:r>
        <w:rPr>
          <w:color w:val="231F20"/>
        </w:rPr>
        <w:t>trabajo debido a que la ganancia por hectárea fue de -$3,010.50 (Cuadros 1 y2).</w:t>
      </w:r>
    </w:p>
    <w:p>
      <w:pPr>
        <w:pStyle w:val="BodyText"/>
        <w:spacing w:before="10"/>
      </w:pPr>
    </w:p>
    <w:p>
      <w:pPr>
        <w:pStyle w:val="BodyText"/>
        <w:spacing w:line="247" w:lineRule="auto"/>
        <w:ind w:left="1270" w:right="1267"/>
        <w:jc w:val="both"/>
      </w:pPr>
      <w:r>
        <w:rPr>
          <w:color w:val="231F20"/>
        </w:rPr>
        <w:t>Se determinó que la inversión de una jornada de trabajo produjo 2.070 ton de forraje de ballico, mientras que la misma jornada, invertida en Alfalfa BT produjo 3.763 ton de forraje, asimismo, el Cuadro</w:t>
      </w:r>
      <w:r>
        <w:rPr>
          <w:color w:val="231F20"/>
          <w:spacing w:val="-12"/>
        </w:rPr>
        <w:t> </w:t>
      </w:r>
      <w:r>
        <w:rPr>
          <w:color w:val="231F20"/>
        </w:rPr>
        <w:t>1</w:t>
      </w:r>
      <w:r>
        <w:rPr>
          <w:color w:val="231F20"/>
          <w:spacing w:val="-12"/>
        </w:rPr>
        <w:t> </w:t>
      </w:r>
      <w:r>
        <w:rPr>
          <w:color w:val="231F20"/>
        </w:rPr>
        <w:t>muestra</w:t>
      </w:r>
      <w:r>
        <w:rPr>
          <w:color w:val="231F20"/>
          <w:spacing w:val="-12"/>
        </w:rPr>
        <w:t> </w:t>
      </w:r>
      <w:r>
        <w:rPr>
          <w:color w:val="231F20"/>
        </w:rPr>
        <w:t>que</w:t>
      </w:r>
      <w:r>
        <w:rPr>
          <w:color w:val="231F20"/>
          <w:spacing w:val="-12"/>
        </w:rPr>
        <w:t> </w:t>
      </w:r>
      <w:r>
        <w:rPr>
          <w:color w:val="231F20"/>
        </w:rPr>
        <w:t>producir</w:t>
      </w:r>
      <w:r>
        <w:rPr>
          <w:color w:val="231F20"/>
          <w:spacing w:val="-12"/>
        </w:rPr>
        <w:t> </w:t>
      </w:r>
      <w:r>
        <w:rPr>
          <w:color w:val="231F20"/>
        </w:rPr>
        <w:t>una</w:t>
      </w:r>
      <w:r>
        <w:rPr>
          <w:color w:val="231F20"/>
          <w:spacing w:val="-12"/>
        </w:rPr>
        <w:t> </w:t>
      </w:r>
      <w:r>
        <w:rPr>
          <w:color w:val="231F20"/>
        </w:rPr>
        <w:t>tonelada</w:t>
      </w:r>
      <w:r>
        <w:rPr>
          <w:color w:val="231F20"/>
          <w:spacing w:val="-12"/>
        </w:rPr>
        <w:t> </w:t>
      </w:r>
      <w:r>
        <w:rPr>
          <w:color w:val="231F20"/>
        </w:rPr>
        <w:t>de</w:t>
      </w:r>
      <w:r>
        <w:rPr>
          <w:color w:val="231F20"/>
          <w:spacing w:val="-23"/>
        </w:rPr>
        <w:t> </w:t>
      </w:r>
      <w:r>
        <w:rPr>
          <w:color w:val="231F20"/>
        </w:rPr>
        <w:t>Alfalfa</w:t>
      </w:r>
      <w:r>
        <w:rPr>
          <w:color w:val="231F20"/>
          <w:spacing w:val="-11"/>
        </w:rPr>
        <w:t> </w:t>
      </w:r>
      <w:r>
        <w:rPr>
          <w:color w:val="231F20"/>
        </w:rPr>
        <w:t>BT</w:t>
      </w:r>
      <w:r>
        <w:rPr>
          <w:color w:val="231F20"/>
          <w:spacing w:val="-15"/>
        </w:rPr>
        <w:t> </w:t>
      </w:r>
      <w:r>
        <w:rPr>
          <w:color w:val="231F20"/>
        </w:rPr>
        <w:t>costó</w:t>
      </w:r>
      <w:r>
        <w:rPr>
          <w:color w:val="231F20"/>
          <w:spacing w:val="-12"/>
        </w:rPr>
        <w:t> </w:t>
      </w:r>
      <w:r>
        <w:rPr>
          <w:color w:val="231F20"/>
        </w:rPr>
        <w:t>$175.5,</w:t>
      </w:r>
      <w:r>
        <w:rPr>
          <w:color w:val="231F20"/>
          <w:spacing w:val="-12"/>
        </w:rPr>
        <w:t> </w:t>
      </w:r>
      <w:r>
        <w:rPr>
          <w:color w:val="231F20"/>
        </w:rPr>
        <w:t>mientras</w:t>
      </w:r>
      <w:r>
        <w:rPr>
          <w:color w:val="231F20"/>
          <w:spacing w:val="-12"/>
        </w:rPr>
        <w:t> </w:t>
      </w:r>
      <w:r>
        <w:rPr>
          <w:color w:val="231F20"/>
        </w:rPr>
        <w:t>que</w:t>
      </w:r>
      <w:r>
        <w:rPr>
          <w:color w:val="231F20"/>
          <w:spacing w:val="-12"/>
        </w:rPr>
        <w:t> </w:t>
      </w:r>
      <w:r>
        <w:rPr>
          <w:color w:val="231F20"/>
        </w:rPr>
        <w:t>la</w:t>
      </w:r>
      <w:r>
        <w:rPr>
          <w:color w:val="231F20"/>
          <w:spacing w:val="-12"/>
        </w:rPr>
        <w:t> </w:t>
      </w:r>
      <w:r>
        <w:rPr>
          <w:color w:val="231F20"/>
        </w:rPr>
        <w:t>ton</w:t>
      </w:r>
      <w:r>
        <w:rPr>
          <w:color w:val="231F20"/>
          <w:spacing w:val="-12"/>
        </w:rPr>
        <w:t> </w:t>
      </w:r>
      <w:r>
        <w:rPr>
          <w:color w:val="231F20"/>
        </w:rPr>
        <w:t>de</w:t>
      </w:r>
      <w:r>
        <w:rPr>
          <w:color w:val="231F20"/>
          <w:spacing w:val="-12"/>
        </w:rPr>
        <w:t> </w:t>
      </w:r>
      <w:r>
        <w:rPr>
          <w:color w:val="231F20"/>
        </w:rPr>
        <w:t>Balli- co</w:t>
      </w:r>
      <w:r>
        <w:rPr>
          <w:color w:val="231F20"/>
          <w:spacing w:val="-8"/>
        </w:rPr>
        <w:t> </w:t>
      </w:r>
      <w:r>
        <w:rPr>
          <w:color w:val="231F20"/>
        </w:rPr>
        <w:t>BT</w:t>
      </w:r>
      <w:r>
        <w:rPr>
          <w:color w:val="231F20"/>
          <w:spacing w:val="-11"/>
        </w:rPr>
        <w:t> </w:t>
      </w:r>
      <w:r>
        <w:rPr>
          <w:color w:val="231F20"/>
        </w:rPr>
        <w:t>implicó</w:t>
      </w:r>
      <w:r>
        <w:rPr>
          <w:color w:val="231F20"/>
          <w:spacing w:val="-8"/>
        </w:rPr>
        <w:t> </w:t>
      </w:r>
      <w:r>
        <w:rPr>
          <w:color w:val="231F20"/>
        </w:rPr>
        <w:t>un</w:t>
      </w:r>
      <w:r>
        <w:rPr>
          <w:color w:val="231F20"/>
          <w:spacing w:val="-8"/>
        </w:rPr>
        <w:t> </w:t>
      </w:r>
      <w:r>
        <w:rPr>
          <w:color w:val="231F20"/>
        </w:rPr>
        <w:t>costo</w:t>
      </w:r>
      <w:r>
        <w:rPr>
          <w:color w:val="231F20"/>
          <w:spacing w:val="-8"/>
        </w:rPr>
        <w:t> </w:t>
      </w:r>
      <w:r>
        <w:rPr>
          <w:color w:val="231F20"/>
        </w:rPr>
        <w:t>de</w:t>
      </w:r>
      <w:r>
        <w:rPr>
          <w:color w:val="231F20"/>
          <w:spacing w:val="-8"/>
        </w:rPr>
        <w:t> </w:t>
      </w:r>
      <w:r>
        <w:rPr>
          <w:color w:val="231F20"/>
        </w:rPr>
        <w:t>$446.3.</w:t>
      </w:r>
      <w:r>
        <w:rPr>
          <w:color w:val="231F20"/>
          <w:spacing w:val="-8"/>
        </w:rPr>
        <w:t> </w:t>
      </w:r>
      <w:r>
        <w:rPr>
          <w:color w:val="231F20"/>
        </w:rPr>
        <w:t>En</w:t>
      </w:r>
      <w:r>
        <w:rPr>
          <w:color w:val="231F20"/>
          <w:spacing w:val="-8"/>
        </w:rPr>
        <w:t> </w:t>
      </w:r>
      <w:r>
        <w:rPr>
          <w:color w:val="231F20"/>
        </w:rPr>
        <w:t>lo</w:t>
      </w:r>
      <w:r>
        <w:rPr>
          <w:color w:val="231F20"/>
          <w:spacing w:val="-8"/>
        </w:rPr>
        <w:t> </w:t>
      </w:r>
      <w:r>
        <w:rPr>
          <w:color w:val="231F20"/>
        </w:rPr>
        <w:t>referente</w:t>
      </w:r>
      <w:r>
        <w:rPr>
          <w:color w:val="231F20"/>
          <w:spacing w:val="-8"/>
        </w:rPr>
        <w:t> </w:t>
      </w:r>
      <w:r>
        <w:rPr>
          <w:color w:val="231F20"/>
        </w:rPr>
        <w:t>al</w:t>
      </w:r>
      <w:r>
        <w:rPr>
          <w:color w:val="231F20"/>
          <w:spacing w:val="-8"/>
        </w:rPr>
        <w:t> </w:t>
      </w:r>
      <w:r>
        <w:rPr>
          <w:color w:val="231F20"/>
        </w:rPr>
        <w:t>producto</w:t>
      </w:r>
      <w:r>
        <w:rPr>
          <w:color w:val="231F20"/>
          <w:spacing w:val="-8"/>
        </w:rPr>
        <w:t> </w:t>
      </w:r>
      <w:r>
        <w:rPr>
          <w:color w:val="231F20"/>
        </w:rPr>
        <w:t>monetario</w:t>
      </w:r>
      <w:r>
        <w:rPr>
          <w:color w:val="231F20"/>
          <w:spacing w:val="-8"/>
        </w:rPr>
        <w:t> </w:t>
      </w:r>
      <w:r>
        <w:rPr>
          <w:color w:val="231F20"/>
        </w:rPr>
        <w:t>por</w:t>
      </w:r>
      <w:r>
        <w:rPr>
          <w:color w:val="231F20"/>
          <w:spacing w:val="-8"/>
        </w:rPr>
        <w:t> </w:t>
      </w:r>
      <w:r>
        <w:rPr>
          <w:color w:val="231F20"/>
        </w:rPr>
        <w:t>jornada</w:t>
      </w:r>
      <w:r>
        <w:rPr>
          <w:color w:val="231F20"/>
          <w:spacing w:val="-8"/>
        </w:rPr>
        <w:t> </w:t>
      </w:r>
      <w:r>
        <w:rPr>
          <w:color w:val="231F20"/>
        </w:rPr>
        <w:t>laboral,</w:t>
      </w:r>
      <w:r>
        <w:rPr>
          <w:color w:val="231F20"/>
          <w:spacing w:val="-8"/>
        </w:rPr>
        <w:t> </w:t>
      </w:r>
      <w:r>
        <w:rPr>
          <w:color w:val="231F20"/>
        </w:rPr>
        <w:t>medido ese producto como la cantidad de ganancia bruta lograda por jornada invertida de trabajo, el</w:t>
      </w:r>
      <w:r>
        <w:rPr>
          <w:color w:val="231F20"/>
          <w:spacing w:val="-30"/>
        </w:rPr>
        <w:t> </w:t>
      </w:r>
      <w:r>
        <w:rPr>
          <w:color w:val="231F20"/>
        </w:rPr>
        <w:t>Cuadro 1 señala que una jornada de trabajo en zacate ballico BT produjo una perdida de -$165.4, mientras que la Alfalfa BT generó una ganancia de $725.0/jornada, así, se infiere que una jornada de trabajo fue 438.33% más productiva en Alfalfa BT que en zacate</w:t>
      </w:r>
      <w:r>
        <w:rPr>
          <w:color w:val="231F20"/>
          <w:spacing w:val="-25"/>
        </w:rPr>
        <w:t> </w:t>
      </w:r>
      <w:r>
        <w:rPr>
          <w:color w:val="231F20"/>
        </w:rPr>
        <w:t>ballico.</w:t>
      </w:r>
    </w:p>
    <w:p>
      <w:pPr>
        <w:pStyle w:val="BodyText"/>
        <w:spacing w:before="10"/>
      </w:pPr>
    </w:p>
    <w:p>
      <w:pPr>
        <w:pStyle w:val="BodyText"/>
        <w:spacing w:line="247" w:lineRule="auto"/>
        <w:ind w:left="1270" w:right="1268"/>
        <w:jc w:val="both"/>
      </w:pPr>
      <w:r>
        <w:rPr>
          <w:color w:val="231F20"/>
        </w:rPr>
        <w:t>Las 485ha cosechadas de zacate ballico BT, demandaron un volumen de 7.02millones de m³ de agua, con lo cual se produjo una perdida económica en la región igual a -$1.5 millones de pesos,</w:t>
      </w:r>
    </w:p>
    <w:p>
      <w:pPr>
        <w:spacing w:after="0" w:line="247" w:lineRule="auto"/>
        <w:jc w:val="both"/>
        <w:sectPr>
          <w:footerReference w:type="default" r:id="rId152"/>
          <w:pgSz w:w="10920" w:h="13080"/>
          <w:pgMar w:footer="1025" w:header="0" w:top="420" w:bottom="1220" w:left="0" w:right="0"/>
          <w:pgNumType w:start="201"/>
        </w:sectPr>
      </w:pPr>
    </w:p>
    <w:p>
      <w:pPr>
        <w:pStyle w:val="BodyText"/>
        <w:rPr>
          <w:sz w:val="20"/>
        </w:rPr>
      </w:pPr>
    </w:p>
    <w:p>
      <w:pPr>
        <w:pStyle w:val="BodyText"/>
        <w:rPr>
          <w:sz w:val="20"/>
        </w:rPr>
      </w:pPr>
    </w:p>
    <w:p>
      <w:pPr>
        <w:pStyle w:val="BodyText"/>
        <w:rPr>
          <w:sz w:val="23"/>
        </w:rPr>
      </w:pPr>
    </w:p>
    <w:p>
      <w:pPr>
        <w:pStyle w:val="BodyText"/>
        <w:spacing w:line="247" w:lineRule="auto" w:before="73"/>
        <w:ind w:left="1270" w:right="1267"/>
        <w:jc w:val="both"/>
      </w:pPr>
      <w:r>
        <w:rPr>
          <w:color w:val="231F20"/>
        </w:rPr>
        <w:t>mientras que las 33,471ha de Alfalfa BT consumieron 602.48 millones de m³ de agua del subsuelo, agua que ayudó a producir una derrama económica de $540.4 millones de pesos de ganancia (Cua- dro 1), marginalmente, lo anterior señala que, el zacate ballico o rye grass BT, con una superficie cosechada equivalente al 1.44% de la superficie de Alfalfa BT, y tras haber consumido un volumen de agua igual al 1.16% del volumen de agua consumido por la Alfalfa BT, produjo a nivel regional, una perdida bruta igual al 0.270% (=$41.7/$540.4) de la ganancia producida regionalmente por la Alfalfa BT, porcentajes asimétricos, que señalan que el zacate ballico utilizó “poca” tierra y “poca” agua, por lo que produjo “poco rendimiento físico”, lo que promovió una perdida en la ganancia, en relación al cultivo de Alfalfa BT.</w:t>
      </w:r>
    </w:p>
    <w:p>
      <w:pPr>
        <w:pStyle w:val="BodyText"/>
        <w:spacing w:before="10"/>
      </w:pPr>
    </w:p>
    <w:p>
      <w:pPr>
        <w:pStyle w:val="BodyText"/>
        <w:spacing w:line="247" w:lineRule="auto"/>
        <w:ind w:left="1270" w:right="1267"/>
        <w:jc w:val="both"/>
      </w:pPr>
      <w:r>
        <w:rPr>
          <w:color w:val="231F20"/>
        </w:rPr>
        <w:t>La cantidad invertida de capital (en la que no se incluye la renta del suelo, remuneración alguna de salario para el productor, ni amortización de bienes de capital), así como el empleo generado, son otros</w:t>
      </w:r>
      <w:r>
        <w:rPr>
          <w:color w:val="231F20"/>
          <w:spacing w:val="-12"/>
        </w:rPr>
        <w:t> </w:t>
      </w:r>
      <w:r>
        <w:rPr>
          <w:color w:val="231F20"/>
        </w:rPr>
        <w:t>dos</w:t>
      </w:r>
      <w:r>
        <w:rPr>
          <w:color w:val="231F20"/>
          <w:spacing w:val="-12"/>
        </w:rPr>
        <w:t> </w:t>
      </w:r>
      <w:r>
        <w:rPr>
          <w:color w:val="231F20"/>
        </w:rPr>
        <w:t>muy</w:t>
      </w:r>
      <w:r>
        <w:rPr>
          <w:color w:val="231F20"/>
          <w:spacing w:val="-12"/>
        </w:rPr>
        <w:t> </w:t>
      </w:r>
      <w:r>
        <w:rPr>
          <w:color w:val="231F20"/>
        </w:rPr>
        <w:t>importantes</w:t>
      </w:r>
      <w:r>
        <w:rPr>
          <w:color w:val="231F20"/>
          <w:spacing w:val="-13"/>
        </w:rPr>
        <w:t> </w:t>
      </w:r>
      <w:r>
        <w:rPr>
          <w:color w:val="231F20"/>
        </w:rPr>
        <w:t>aspectos</w:t>
      </w:r>
      <w:r>
        <w:rPr>
          <w:color w:val="231F20"/>
          <w:spacing w:val="-13"/>
        </w:rPr>
        <w:t> </w:t>
      </w:r>
      <w:r>
        <w:rPr>
          <w:color w:val="231F20"/>
        </w:rPr>
        <w:t>sociales</w:t>
      </w:r>
      <w:r>
        <w:rPr>
          <w:color w:val="231F20"/>
          <w:spacing w:val="-12"/>
        </w:rPr>
        <w:t> </w:t>
      </w:r>
      <w:r>
        <w:rPr>
          <w:color w:val="231F20"/>
        </w:rPr>
        <w:t>a</w:t>
      </w:r>
      <w:r>
        <w:rPr>
          <w:color w:val="231F20"/>
          <w:spacing w:val="-12"/>
        </w:rPr>
        <w:t> </w:t>
      </w:r>
      <w:r>
        <w:rPr>
          <w:color w:val="231F20"/>
        </w:rPr>
        <w:t>nivel</w:t>
      </w:r>
      <w:r>
        <w:rPr>
          <w:color w:val="231F20"/>
          <w:spacing w:val="-12"/>
        </w:rPr>
        <w:t> </w:t>
      </w:r>
      <w:r>
        <w:rPr>
          <w:color w:val="231F20"/>
        </w:rPr>
        <w:t>macroeconómico</w:t>
      </w:r>
      <w:r>
        <w:rPr>
          <w:color w:val="231F20"/>
          <w:spacing w:val="-13"/>
        </w:rPr>
        <w:t> </w:t>
      </w:r>
      <w:r>
        <w:rPr>
          <w:color w:val="231F20"/>
        </w:rPr>
        <w:t>del</w:t>
      </w:r>
      <w:r>
        <w:rPr>
          <w:color w:val="231F20"/>
          <w:spacing w:val="-12"/>
        </w:rPr>
        <w:t> </w:t>
      </w:r>
      <w:r>
        <w:rPr>
          <w:color w:val="231F20"/>
        </w:rPr>
        <w:t>uso</w:t>
      </w:r>
      <w:r>
        <w:rPr>
          <w:color w:val="231F20"/>
          <w:spacing w:val="-12"/>
        </w:rPr>
        <w:t> </w:t>
      </w:r>
      <w:r>
        <w:rPr>
          <w:color w:val="231F20"/>
        </w:rPr>
        <w:t>del</w:t>
      </w:r>
      <w:r>
        <w:rPr>
          <w:color w:val="231F20"/>
          <w:spacing w:val="-12"/>
        </w:rPr>
        <w:t> </w:t>
      </w:r>
      <w:r>
        <w:rPr>
          <w:color w:val="231F20"/>
        </w:rPr>
        <w:t>agua</w:t>
      </w:r>
      <w:r>
        <w:rPr>
          <w:color w:val="231F20"/>
          <w:spacing w:val="-12"/>
        </w:rPr>
        <w:t> </w:t>
      </w:r>
      <w:r>
        <w:rPr>
          <w:color w:val="231F20"/>
        </w:rPr>
        <w:t>subterránea</w:t>
      </w:r>
      <w:r>
        <w:rPr>
          <w:color w:val="231F20"/>
          <w:spacing w:val="-11"/>
        </w:rPr>
        <w:t> </w:t>
      </w:r>
      <w:r>
        <w:rPr>
          <w:color w:val="231F20"/>
        </w:rPr>
        <w:t>en el</w:t>
      </w:r>
      <w:r>
        <w:rPr>
          <w:color w:val="231F20"/>
          <w:spacing w:val="-4"/>
        </w:rPr>
        <w:t> </w:t>
      </w:r>
      <w:r>
        <w:rPr>
          <w:color w:val="231F20"/>
        </w:rPr>
        <w:t>riego.</w:t>
      </w:r>
      <w:r>
        <w:rPr>
          <w:color w:val="231F20"/>
          <w:spacing w:val="-4"/>
        </w:rPr>
        <w:t> </w:t>
      </w:r>
      <w:r>
        <w:rPr>
          <w:color w:val="231F20"/>
        </w:rPr>
        <w:t>De</w:t>
      </w:r>
      <w:r>
        <w:rPr>
          <w:color w:val="231F20"/>
          <w:spacing w:val="-4"/>
        </w:rPr>
        <w:t> </w:t>
      </w:r>
      <w:r>
        <w:rPr>
          <w:color w:val="231F20"/>
        </w:rPr>
        <w:t>esa</w:t>
      </w:r>
      <w:r>
        <w:rPr>
          <w:color w:val="231F20"/>
          <w:spacing w:val="-4"/>
        </w:rPr>
        <w:t> </w:t>
      </w:r>
      <w:r>
        <w:rPr>
          <w:color w:val="231F20"/>
        </w:rPr>
        <w:t>forma,</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Cuadro</w:t>
      </w:r>
      <w:r>
        <w:rPr>
          <w:color w:val="231F20"/>
          <w:spacing w:val="-4"/>
        </w:rPr>
        <w:t> </w:t>
      </w:r>
      <w:r>
        <w:rPr>
          <w:color w:val="231F20"/>
        </w:rPr>
        <w:t>1,</w:t>
      </w:r>
      <w:r>
        <w:rPr>
          <w:color w:val="231F20"/>
          <w:spacing w:val="-4"/>
        </w:rPr>
        <w:t> </w:t>
      </w:r>
      <w:r>
        <w:rPr>
          <w:color w:val="231F20"/>
        </w:rPr>
        <w:t>se</w:t>
      </w:r>
      <w:r>
        <w:rPr>
          <w:color w:val="231F20"/>
          <w:spacing w:val="-4"/>
        </w:rPr>
        <w:t> </w:t>
      </w:r>
      <w:r>
        <w:rPr>
          <w:color w:val="231F20"/>
        </w:rPr>
        <w:t>muestra</w:t>
      </w:r>
      <w:r>
        <w:rPr>
          <w:color w:val="231F20"/>
          <w:spacing w:val="-4"/>
        </w:rPr>
        <w:t> </w:t>
      </w:r>
      <w:r>
        <w:rPr>
          <w:color w:val="231F20"/>
        </w:rPr>
        <w:t>que</w:t>
      </w:r>
      <w:r>
        <w:rPr>
          <w:color w:val="231F20"/>
          <w:spacing w:val="-4"/>
        </w:rPr>
        <w:t> </w:t>
      </w:r>
      <w:r>
        <w:rPr>
          <w:color w:val="231F20"/>
        </w:rPr>
        <w:t>el</w:t>
      </w:r>
      <w:r>
        <w:rPr>
          <w:color w:val="231F20"/>
          <w:spacing w:val="-4"/>
        </w:rPr>
        <w:t> </w:t>
      </w:r>
      <w:r>
        <w:rPr>
          <w:color w:val="231F20"/>
        </w:rPr>
        <w:t>cultivo</w:t>
      </w:r>
      <w:r>
        <w:rPr>
          <w:color w:val="231F20"/>
          <w:spacing w:val="-4"/>
        </w:rPr>
        <w:t> </w:t>
      </w:r>
      <w:r>
        <w:rPr>
          <w:color w:val="231F20"/>
        </w:rPr>
        <w:t>de</w:t>
      </w:r>
      <w:r>
        <w:rPr>
          <w:color w:val="231F20"/>
          <w:spacing w:val="-4"/>
        </w:rPr>
        <w:t> </w:t>
      </w:r>
      <w:r>
        <w:rPr>
          <w:color w:val="231F20"/>
        </w:rPr>
        <w:t>zacate</w:t>
      </w:r>
      <w:r>
        <w:rPr>
          <w:color w:val="231F20"/>
          <w:spacing w:val="-4"/>
        </w:rPr>
        <w:t> </w:t>
      </w:r>
      <w:r>
        <w:rPr>
          <w:color w:val="231F20"/>
        </w:rPr>
        <w:t>ballico,</w:t>
      </w:r>
      <w:r>
        <w:rPr>
          <w:color w:val="231F20"/>
          <w:spacing w:val="-4"/>
        </w:rPr>
        <w:t> </w:t>
      </w:r>
      <w:r>
        <w:rPr>
          <w:color w:val="231F20"/>
        </w:rPr>
        <w:t>con</w:t>
      </w:r>
      <w:r>
        <w:rPr>
          <w:color w:val="231F20"/>
          <w:spacing w:val="-4"/>
        </w:rPr>
        <w:t> </w:t>
      </w:r>
      <w:r>
        <w:rPr>
          <w:color w:val="231F20"/>
        </w:rPr>
        <w:t>una</w:t>
      </w:r>
      <w:r>
        <w:rPr>
          <w:color w:val="231F20"/>
          <w:spacing w:val="-4"/>
        </w:rPr>
        <w:t> </w:t>
      </w:r>
      <w:r>
        <w:rPr>
          <w:color w:val="231F20"/>
        </w:rPr>
        <w:t>inversión de capital igual a $8.2 millones de pesos a nivel regional, equivalente al 1.62% de la inversión re- gional conjunta de capital en ambos cultivo, zacate ballico BT y</w:t>
      </w:r>
      <w:r>
        <w:rPr>
          <w:color w:val="231F20"/>
          <w:spacing w:val="-37"/>
        </w:rPr>
        <w:t> </w:t>
      </w:r>
      <w:r>
        <w:rPr>
          <w:color w:val="231F20"/>
        </w:rPr>
        <w:t>Alfalfa BT (=$8.2+$492.4= $500.6 millones</w:t>
      </w:r>
      <w:r>
        <w:rPr>
          <w:color w:val="231F20"/>
          <w:spacing w:val="-10"/>
        </w:rPr>
        <w:t> </w:t>
      </w:r>
      <w:r>
        <w:rPr>
          <w:color w:val="231F20"/>
        </w:rPr>
        <w:t>de</w:t>
      </w:r>
      <w:r>
        <w:rPr>
          <w:color w:val="231F20"/>
          <w:spacing w:val="-9"/>
        </w:rPr>
        <w:t> </w:t>
      </w:r>
      <w:r>
        <w:rPr>
          <w:color w:val="231F20"/>
        </w:rPr>
        <w:t>pesos,</w:t>
      </w:r>
      <w:r>
        <w:rPr>
          <w:color w:val="231F20"/>
          <w:spacing w:val="-10"/>
        </w:rPr>
        <w:t> </w:t>
      </w:r>
      <w:r>
        <w:rPr>
          <w:color w:val="231F20"/>
        </w:rPr>
        <w:t>ver</w:t>
      </w:r>
      <w:r>
        <w:rPr>
          <w:color w:val="231F20"/>
          <w:spacing w:val="-9"/>
        </w:rPr>
        <w:t> </w:t>
      </w:r>
      <w:r>
        <w:rPr>
          <w:color w:val="231F20"/>
        </w:rPr>
        <w:t>Cuadro</w:t>
      </w:r>
      <w:r>
        <w:rPr>
          <w:color w:val="231F20"/>
          <w:spacing w:val="-9"/>
        </w:rPr>
        <w:t> </w:t>
      </w:r>
      <w:r>
        <w:rPr>
          <w:color w:val="231F20"/>
        </w:rPr>
        <w:t>1),</w:t>
      </w:r>
      <w:r>
        <w:rPr>
          <w:color w:val="231F20"/>
          <w:spacing w:val="-10"/>
        </w:rPr>
        <w:t> </w:t>
      </w:r>
      <w:r>
        <w:rPr>
          <w:color w:val="231F20"/>
        </w:rPr>
        <w:t>contribuyó</w:t>
      </w:r>
      <w:r>
        <w:rPr>
          <w:color w:val="231F20"/>
          <w:spacing w:val="-10"/>
        </w:rPr>
        <w:t> </w:t>
      </w:r>
      <w:r>
        <w:rPr>
          <w:color w:val="231F20"/>
        </w:rPr>
        <w:t>con</w:t>
      </w:r>
      <w:r>
        <w:rPr>
          <w:color w:val="231F20"/>
          <w:spacing w:val="-10"/>
        </w:rPr>
        <w:t> </w:t>
      </w:r>
      <w:r>
        <w:rPr>
          <w:color w:val="231F20"/>
        </w:rPr>
        <w:t>8,827</w:t>
      </w:r>
      <w:r>
        <w:rPr>
          <w:color w:val="231F20"/>
          <w:spacing w:val="-10"/>
        </w:rPr>
        <w:t> </w:t>
      </w:r>
      <w:r>
        <w:rPr>
          <w:color w:val="231F20"/>
        </w:rPr>
        <w:t>jornales</w:t>
      </w:r>
      <w:r>
        <w:rPr>
          <w:color w:val="231F20"/>
          <w:spacing w:val="-10"/>
        </w:rPr>
        <w:t> </w:t>
      </w:r>
      <w:r>
        <w:rPr>
          <w:color w:val="231F20"/>
        </w:rPr>
        <w:t>de</w:t>
      </w:r>
      <w:r>
        <w:rPr>
          <w:color w:val="231F20"/>
          <w:spacing w:val="-9"/>
        </w:rPr>
        <w:t> </w:t>
      </w:r>
      <w:r>
        <w:rPr>
          <w:color w:val="231F20"/>
        </w:rPr>
        <w:t>trabajo</w:t>
      </w:r>
      <w:r>
        <w:rPr>
          <w:color w:val="231F20"/>
          <w:spacing w:val="-10"/>
        </w:rPr>
        <w:t> </w:t>
      </w:r>
      <w:r>
        <w:rPr>
          <w:color w:val="231F20"/>
        </w:rPr>
        <w:t>(equivalente</w:t>
      </w:r>
      <w:r>
        <w:rPr>
          <w:color w:val="231F20"/>
          <w:spacing w:val="-9"/>
        </w:rPr>
        <w:t> </w:t>
      </w:r>
      <w:r>
        <w:rPr>
          <w:color w:val="231F20"/>
        </w:rPr>
        <w:t>a</w:t>
      </w:r>
      <w:r>
        <w:rPr>
          <w:color w:val="231F20"/>
          <w:spacing w:val="-9"/>
        </w:rPr>
        <w:t> </w:t>
      </w:r>
      <w:r>
        <w:rPr>
          <w:color w:val="231F20"/>
        </w:rPr>
        <w:t>31</w:t>
      </w:r>
      <w:r>
        <w:rPr>
          <w:color w:val="231F20"/>
          <w:spacing w:val="-10"/>
        </w:rPr>
        <w:t> </w:t>
      </w:r>
      <w:r>
        <w:rPr>
          <w:color w:val="231F20"/>
        </w:rPr>
        <w:t>empleos permanentes), que equivale al 1.17% del empleo regional conjunto generado por ambos cultivos, lo que demuestra una menor eficacia social del capital usado en la producción de zacate ballico BT en relación a la mostrada por el cultivo de Alfalfa</w:t>
      </w:r>
      <w:r>
        <w:rPr>
          <w:color w:val="231F20"/>
          <w:spacing w:val="-19"/>
        </w:rPr>
        <w:t> </w:t>
      </w:r>
      <w:r>
        <w:rPr>
          <w:color w:val="231F20"/>
          <w:spacing w:val="-6"/>
        </w:rPr>
        <w:t>BT.</w:t>
      </w:r>
    </w:p>
    <w:p>
      <w:pPr>
        <w:pStyle w:val="BodyText"/>
        <w:spacing w:before="10"/>
      </w:pPr>
    </w:p>
    <w:p>
      <w:pPr>
        <w:pStyle w:val="BodyText"/>
        <w:spacing w:line="247" w:lineRule="auto"/>
        <w:ind w:left="1270" w:right="1267"/>
        <w:jc w:val="both"/>
      </w:pPr>
      <w:r>
        <w:rPr>
          <w:color w:val="231F20"/>
        </w:rPr>
        <w:t>En forma sintética en términos porcentuales, del Cuadro 3, puede inferirse que, el cultivo de zacate ballico BT usó el 1.42% de la tierra, el 1.62% del capital y el 1.2% del agua, pero, esos porcentajes de</w:t>
      </w:r>
      <w:r>
        <w:rPr>
          <w:color w:val="231F20"/>
          <w:spacing w:val="-3"/>
        </w:rPr>
        <w:t> </w:t>
      </w:r>
      <w:r>
        <w:rPr>
          <w:color w:val="231F20"/>
        </w:rPr>
        <w:t>uso</w:t>
      </w:r>
      <w:r>
        <w:rPr>
          <w:color w:val="231F20"/>
          <w:spacing w:val="-3"/>
        </w:rPr>
        <w:t> </w:t>
      </w:r>
      <w:r>
        <w:rPr>
          <w:color w:val="231F20"/>
        </w:rPr>
        <w:t>en</w:t>
      </w:r>
      <w:r>
        <w:rPr>
          <w:color w:val="231F20"/>
          <w:spacing w:val="-3"/>
        </w:rPr>
        <w:t> </w:t>
      </w:r>
      <w:r>
        <w:rPr>
          <w:color w:val="231F20"/>
        </w:rPr>
        <w:t>la</w:t>
      </w:r>
      <w:r>
        <w:rPr>
          <w:color w:val="231F20"/>
          <w:spacing w:val="-3"/>
        </w:rPr>
        <w:t> </w:t>
      </w:r>
      <w:r>
        <w:rPr>
          <w:color w:val="231F20"/>
        </w:rPr>
        <w:t>tierra,</w:t>
      </w:r>
      <w:r>
        <w:rPr>
          <w:color w:val="231F20"/>
          <w:spacing w:val="-4"/>
        </w:rPr>
        <w:t> </w:t>
      </w:r>
      <w:r>
        <w:rPr>
          <w:color w:val="231F20"/>
        </w:rPr>
        <w:t>el</w:t>
      </w:r>
      <w:r>
        <w:rPr>
          <w:color w:val="231F20"/>
          <w:spacing w:val="-3"/>
        </w:rPr>
        <w:t> </w:t>
      </w:r>
      <w:r>
        <w:rPr>
          <w:color w:val="231F20"/>
        </w:rPr>
        <w:t>capital</w:t>
      </w:r>
      <w:r>
        <w:rPr>
          <w:color w:val="231F20"/>
          <w:spacing w:val="-4"/>
        </w:rPr>
        <w:t> </w:t>
      </w:r>
      <w:r>
        <w:rPr>
          <w:color w:val="231F20"/>
        </w:rPr>
        <w:t>y</w:t>
      </w:r>
      <w:r>
        <w:rPr>
          <w:color w:val="231F20"/>
          <w:spacing w:val="-3"/>
        </w:rPr>
        <w:t> </w:t>
      </w:r>
      <w:r>
        <w:rPr>
          <w:color w:val="231F20"/>
        </w:rPr>
        <w:t>el</w:t>
      </w:r>
      <w:r>
        <w:rPr>
          <w:color w:val="231F20"/>
          <w:spacing w:val="-3"/>
        </w:rPr>
        <w:t> </w:t>
      </w:r>
      <w:r>
        <w:rPr>
          <w:color w:val="231F20"/>
        </w:rPr>
        <w:t>agua</w:t>
      </w:r>
      <w:r>
        <w:rPr>
          <w:color w:val="231F20"/>
          <w:spacing w:val="-4"/>
        </w:rPr>
        <w:t> </w:t>
      </w:r>
      <w:r>
        <w:rPr>
          <w:color w:val="231F20"/>
        </w:rPr>
        <w:t>usados</w:t>
      </w:r>
      <w:r>
        <w:rPr>
          <w:color w:val="231F20"/>
          <w:spacing w:val="-3"/>
        </w:rPr>
        <w:t> </w:t>
      </w:r>
      <w:r>
        <w:rPr>
          <w:color w:val="231F20"/>
        </w:rPr>
        <w:t>en</w:t>
      </w:r>
      <w:r>
        <w:rPr>
          <w:color w:val="231F20"/>
          <w:spacing w:val="-3"/>
        </w:rPr>
        <w:t> </w:t>
      </w:r>
      <w:r>
        <w:rPr>
          <w:color w:val="231F20"/>
        </w:rPr>
        <w:t>conjunto</w:t>
      </w:r>
      <w:r>
        <w:rPr>
          <w:color w:val="231F20"/>
          <w:spacing w:val="-4"/>
        </w:rPr>
        <w:t> </w:t>
      </w:r>
      <w:r>
        <w:rPr>
          <w:color w:val="231F20"/>
        </w:rPr>
        <w:t>por</w:t>
      </w:r>
      <w:r>
        <w:rPr>
          <w:color w:val="231F20"/>
          <w:spacing w:val="-3"/>
        </w:rPr>
        <w:t> </w:t>
      </w:r>
      <w:r>
        <w:rPr>
          <w:color w:val="231F20"/>
        </w:rPr>
        <w:t>el</w:t>
      </w:r>
      <w:r>
        <w:rPr>
          <w:color w:val="231F20"/>
          <w:spacing w:val="-3"/>
        </w:rPr>
        <w:t> </w:t>
      </w:r>
      <w:r>
        <w:rPr>
          <w:color w:val="231F20"/>
        </w:rPr>
        <w:t>zacate</w:t>
      </w:r>
      <w:r>
        <w:rPr>
          <w:color w:val="231F20"/>
          <w:spacing w:val="-4"/>
        </w:rPr>
        <w:t> </w:t>
      </w:r>
      <w:r>
        <w:rPr>
          <w:color w:val="231F20"/>
        </w:rPr>
        <w:t>ballico</w:t>
      </w:r>
      <w:r>
        <w:rPr>
          <w:color w:val="231F20"/>
          <w:spacing w:val="-3"/>
        </w:rPr>
        <w:t> </w:t>
      </w:r>
      <w:r>
        <w:rPr>
          <w:color w:val="231F20"/>
        </w:rPr>
        <w:t>y</w:t>
      </w:r>
      <w:r>
        <w:rPr>
          <w:color w:val="231F20"/>
          <w:spacing w:val="-15"/>
        </w:rPr>
        <w:t> </w:t>
      </w:r>
      <w:r>
        <w:rPr>
          <w:color w:val="231F20"/>
        </w:rPr>
        <w:t>Alfalfa</w:t>
      </w:r>
      <w:r>
        <w:rPr>
          <w:color w:val="231F20"/>
          <w:spacing w:val="-3"/>
        </w:rPr>
        <w:t> </w:t>
      </w:r>
      <w:r>
        <w:rPr>
          <w:color w:val="231F20"/>
        </w:rPr>
        <w:t>BT</w:t>
      </w:r>
      <w:r>
        <w:rPr>
          <w:color w:val="231F20"/>
          <w:spacing w:val="-7"/>
        </w:rPr>
        <w:t> </w:t>
      </w:r>
      <w:r>
        <w:rPr>
          <w:color w:val="231F20"/>
        </w:rPr>
        <w:t>en</w:t>
      </w:r>
      <w:r>
        <w:rPr>
          <w:color w:val="231F20"/>
          <w:spacing w:val="-3"/>
        </w:rPr>
        <w:t> </w:t>
      </w:r>
      <w:r>
        <w:rPr>
          <w:color w:val="231F20"/>
        </w:rPr>
        <w:t>la</w:t>
      </w:r>
      <w:r>
        <w:rPr>
          <w:color w:val="231F20"/>
          <w:spacing w:val="-3"/>
        </w:rPr>
        <w:t> </w:t>
      </w:r>
      <w:r>
        <w:rPr>
          <w:color w:val="231F20"/>
        </w:rPr>
        <w:t>re- gión</w:t>
      </w:r>
      <w:r>
        <w:rPr>
          <w:color w:val="231F20"/>
          <w:spacing w:val="-8"/>
        </w:rPr>
        <w:t> </w:t>
      </w:r>
      <w:r>
        <w:rPr>
          <w:color w:val="231F20"/>
        </w:rPr>
        <w:t>Lagunera,</w:t>
      </w:r>
      <w:r>
        <w:rPr>
          <w:color w:val="231F20"/>
          <w:spacing w:val="-9"/>
        </w:rPr>
        <w:t> </w:t>
      </w:r>
      <w:r>
        <w:rPr>
          <w:color w:val="231F20"/>
        </w:rPr>
        <w:t>el</w:t>
      </w:r>
      <w:r>
        <w:rPr>
          <w:color w:val="231F20"/>
          <w:spacing w:val="-8"/>
        </w:rPr>
        <w:t> </w:t>
      </w:r>
      <w:r>
        <w:rPr>
          <w:color w:val="231F20"/>
        </w:rPr>
        <w:t>zacate</w:t>
      </w:r>
      <w:r>
        <w:rPr>
          <w:color w:val="231F20"/>
          <w:spacing w:val="-8"/>
        </w:rPr>
        <w:t> </w:t>
      </w:r>
      <w:r>
        <w:rPr>
          <w:color w:val="231F20"/>
        </w:rPr>
        <w:t>ballico</w:t>
      </w:r>
      <w:r>
        <w:rPr>
          <w:color w:val="231F20"/>
          <w:spacing w:val="-8"/>
        </w:rPr>
        <w:t> </w:t>
      </w:r>
      <w:r>
        <w:rPr>
          <w:color w:val="231F20"/>
        </w:rPr>
        <w:t>perdió</w:t>
      </w:r>
      <w:r>
        <w:rPr>
          <w:color w:val="231F20"/>
          <w:spacing w:val="-8"/>
        </w:rPr>
        <w:t> </w:t>
      </w:r>
      <w:r>
        <w:rPr>
          <w:color w:val="231F20"/>
        </w:rPr>
        <w:t>-0.270%</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ganancias</w:t>
      </w:r>
      <w:r>
        <w:rPr>
          <w:color w:val="231F20"/>
          <w:spacing w:val="-8"/>
        </w:rPr>
        <w:t> </w:t>
      </w:r>
      <w:r>
        <w:rPr>
          <w:color w:val="231F20"/>
        </w:rPr>
        <w:t>conjuntas</w:t>
      </w:r>
      <w:r>
        <w:rPr>
          <w:color w:val="231F20"/>
          <w:spacing w:val="-9"/>
        </w:rPr>
        <w:t> </w:t>
      </w:r>
      <w:r>
        <w:rPr>
          <w:color w:val="231F20"/>
        </w:rPr>
        <w:t>y</w:t>
      </w:r>
      <w:r>
        <w:rPr>
          <w:color w:val="231F20"/>
          <w:spacing w:val="-8"/>
        </w:rPr>
        <w:t> </w:t>
      </w:r>
      <w:r>
        <w:rPr>
          <w:color w:val="231F20"/>
        </w:rPr>
        <w:t>solamente</w:t>
      </w:r>
      <w:r>
        <w:rPr>
          <w:color w:val="231F20"/>
          <w:spacing w:val="-8"/>
        </w:rPr>
        <w:t> </w:t>
      </w:r>
      <w:r>
        <w:rPr>
          <w:color w:val="231F20"/>
        </w:rPr>
        <w:t>el</w:t>
      </w:r>
      <w:r>
        <w:rPr>
          <w:color w:val="231F20"/>
          <w:spacing w:val="-8"/>
        </w:rPr>
        <w:t> </w:t>
      </w:r>
      <w:r>
        <w:rPr>
          <w:color w:val="231F20"/>
        </w:rPr>
        <w:t>1.17%</w:t>
      </w:r>
      <w:r>
        <w:rPr>
          <w:color w:val="231F20"/>
          <w:spacing w:val="-8"/>
        </w:rPr>
        <w:t> </w:t>
      </w:r>
      <w:r>
        <w:rPr>
          <w:color w:val="231F20"/>
        </w:rPr>
        <w:t>del empleo generado por ambos cultivos (Cuadro 3). Así, en forma sintética, en términos marginales,</w:t>
      </w:r>
      <w:r>
        <w:rPr>
          <w:color w:val="231F20"/>
          <w:spacing w:val="-26"/>
        </w:rPr>
        <w:t> </w:t>
      </w:r>
      <w:r>
        <w:rPr>
          <w:color w:val="231F20"/>
        </w:rPr>
        <w:t>el Cuadro</w:t>
      </w:r>
      <w:r>
        <w:rPr>
          <w:color w:val="231F20"/>
          <w:spacing w:val="-6"/>
        </w:rPr>
        <w:t> </w:t>
      </w:r>
      <w:r>
        <w:rPr>
          <w:color w:val="231F20"/>
        </w:rPr>
        <w:t>3</w:t>
      </w:r>
      <w:r>
        <w:rPr>
          <w:color w:val="231F20"/>
          <w:spacing w:val="-6"/>
        </w:rPr>
        <w:t> </w:t>
      </w:r>
      <w:r>
        <w:rPr>
          <w:color w:val="231F20"/>
        </w:rPr>
        <w:t>señala</w:t>
      </w:r>
      <w:r>
        <w:rPr>
          <w:color w:val="231F20"/>
          <w:spacing w:val="-6"/>
        </w:rPr>
        <w:t> </w:t>
      </w:r>
      <w:r>
        <w:rPr>
          <w:color w:val="231F20"/>
        </w:rPr>
        <w:t>que,</w:t>
      </w:r>
      <w:r>
        <w:rPr>
          <w:color w:val="231F20"/>
          <w:spacing w:val="-6"/>
        </w:rPr>
        <w:t> </w:t>
      </w:r>
      <w:r>
        <w:rPr>
          <w:color w:val="231F20"/>
        </w:rPr>
        <w:t>el</w:t>
      </w:r>
      <w:r>
        <w:rPr>
          <w:color w:val="231F20"/>
          <w:spacing w:val="-6"/>
        </w:rPr>
        <w:t> </w:t>
      </w:r>
      <w:r>
        <w:rPr>
          <w:color w:val="231F20"/>
        </w:rPr>
        <w:t>cultivo</w:t>
      </w:r>
      <w:r>
        <w:rPr>
          <w:color w:val="231F20"/>
          <w:spacing w:val="-6"/>
        </w:rPr>
        <w:t> </w:t>
      </w:r>
      <w:r>
        <w:rPr>
          <w:color w:val="231F20"/>
        </w:rPr>
        <w:t>de</w:t>
      </w:r>
      <w:r>
        <w:rPr>
          <w:color w:val="231F20"/>
          <w:spacing w:val="-6"/>
        </w:rPr>
        <w:t> </w:t>
      </w:r>
      <w:r>
        <w:rPr>
          <w:color w:val="231F20"/>
        </w:rPr>
        <w:t>zacate</w:t>
      </w:r>
      <w:r>
        <w:rPr>
          <w:color w:val="231F20"/>
          <w:spacing w:val="-7"/>
        </w:rPr>
        <w:t> </w:t>
      </w:r>
      <w:r>
        <w:rPr>
          <w:color w:val="231F20"/>
        </w:rPr>
        <w:t>ballico</w:t>
      </w:r>
      <w:r>
        <w:rPr>
          <w:color w:val="231F20"/>
          <w:spacing w:val="-6"/>
        </w:rPr>
        <w:t> BT, </w:t>
      </w:r>
      <w:r>
        <w:rPr>
          <w:color w:val="231F20"/>
        </w:rPr>
        <w:t>utilizando</w:t>
      </w:r>
      <w:r>
        <w:rPr>
          <w:color w:val="231F20"/>
          <w:spacing w:val="-6"/>
        </w:rPr>
        <w:t> </w:t>
      </w:r>
      <w:r>
        <w:rPr>
          <w:color w:val="231F20"/>
        </w:rPr>
        <w:t>98.58%</w:t>
      </w:r>
      <w:r>
        <w:rPr>
          <w:color w:val="231F20"/>
          <w:spacing w:val="-6"/>
        </w:rPr>
        <w:t> </w:t>
      </w:r>
      <w:r>
        <w:rPr>
          <w:color w:val="231F20"/>
        </w:rPr>
        <w:t>menos</w:t>
      </w:r>
      <w:r>
        <w:rPr>
          <w:color w:val="231F20"/>
          <w:spacing w:val="-7"/>
        </w:rPr>
        <w:t> </w:t>
      </w:r>
      <w:r>
        <w:rPr>
          <w:color w:val="231F20"/>
        </w:rPr>
        <w:t>tierra,</w:t>
      </w:r>
      <w:r>
        <w:rPr>
          <w:color w:val="231F20"/>
          <w:spacing w:val="-7"/>
        </w:rPr>
        <w:t> </w:t>
      </w:r>
      <w:r>
        <w:rPr>
          <w:color w:val="231F20"/>
        </w:rPr>
        <w:t>98.38%</w:t>
      </w:r>
      <w:r>
        <w:rPr>
          <w:color w:val="231F20"/>
          <w:spacing w:val="-6"/>
        </w:rPr>
        <w:t> </w:t>
      </w:r>
      <w:r>
        <w:rPr>
          <w:color w:val="231F20"/>
        </w:rPr>
        <w:t>menos capital y 98.8% menos agua que la Alfalfa </w:t>
      </w:r>
      <w:r>
        <w:rPr>
          <w:color w:val="231F20"/>
          <w:spacing w:val="-6"/>
        </w:rPr>
        <w:t>BT, </w:t>
      </w:r>
      <w:r>
        <w:rPr>
          <w:color w:val="231F20"/>
        </w:rPr>
        <w:t>produjo 100.27% menos ganancia a nivel regional y 98.83%</w:t>
      </w:r>
      <w:r>
        <w:rPr>
          <w:color w:val="231F20"/>
          <w:spacing w:val="-7"/>
        </w:rPr>
        <w:t> </w:t>
      </w:r>
      <w:r>
        <w:rPr>
          <w:color w:val="231F20"/>
        </w:rPr>
        <w:t>menos</w:t>
      </w:r>
      <w:r>
        <w:rPr>
          <w:color w:val="231F20"/>
          <w:spacing w:val="-7"/>
        </w:rPr>
        <w:t> </w:t>
      </w:r>
      <w:r>
        <w:rPr>
          <w:color w:val="231F20"/>
        </w:rPr>
        <w:t>empleos</w:t>
      </w:r>
      <w:r>
        <w:rPr>
          <w:color w:val="231F20"/>
          <w:spacing w:val="-7"/>
        </w:rPr>
        <w:t> </w:t>
      </w:r>
      <w:r>
        <w:rPr>
          <w:color w:val="231F20"/>
        </w:rPr>
        <w:t>que</w:t>
      </w:r>
      <w:r>
        <w:rPr>
          <w:color w:val="231F20"/>
          <w:spacing w:val="-7"/>
        </w:rPr>
        <w:t> </w:t>
      </w:r>
      <w:r>
        <w:rPr>
          <w:color w:val="231F20"/>
        </w:rPr>
        <w:t>la</w:t>
      </w:r>
      <w:r>
        <w:rPr>
          <w:color w:val="231F20"/>
          <w:spacing w:val="-7"/>
        </w:rPr>
        <w:t> </w:t>
      </w:r>
      <w:r>
        <w:rPr>
          <w:color w:val="231F20"/>
        </w:rPr>
        <w:t>alfalfa</w:t>
      </w:r>
      <w:r>
        <w:rPr>
          <w:color w:val="231F20"/>
          <w:spacing w:val="-7"/>
        </w:rPr>
        <w:t> </w:t>
      </w:r>
      <w:r>
        <w:rPr>
          <w:color w:val="231F20"/>
        </w:rPr>
        <w:t>BT</w:t>
      </w:r>
      <w:r>
        <w:rPr>
          <w:color w:val="231F20"/>
          <w:spacing w:val="-11"/>
        </w:rPr>
        <w:t> </w:t>
      </w:r>
      <w:r>
        <w:rPr>
          <w:color w:val="231F20"/>
        </w:rPr>
        <w:t>en</w:t>
      </w:r>
      <w:r>
        <w:rPr>
          <w:color w:val="231F20"/>
          <w:spacing w:val="-7"/>
        </w:rPr>
        <w:t> </w:t>
      </w:r>
      <w:r>
        <w:rPr>
          <w:color w:val="231F20"/>
        </w:rPr>
        <w:t>el</w:t>
      </w:r>
      <w:r>
        <w:rPr>
          <w:color w:val="231F20"/>
          <w:spacing w:val="-7"/>
        </w:rPr>
        <w:t> </w:t>
      </w:r>
      <w:r>
        <w:rPr>
          <w:color w:val="231F20"/>
        </w:rPr>
        <w:t>DR-017,</w:t>
      </w:r>
      <w:r>
        <w:rPr>
          <w:color w:val="231F20"/>
          <w:spacing w:val="-7"/>
        </w:rPr>
        <w:t> </w:t>
      </w:r>
      <w:r>
        <w:rPr>
          <w:color w:val="231F20"/>
        </w:rPr>
        <w:t>ello,</w:t>
      </w:r>
      <w:r>
        <w:rPr>
          <w:color w:val="231F20"/>
          <w:spacing w:val="-7"/>
        </w:rPr>
        <w:t> </w:t>
      </w:r>
      <w:r>
        <w:rPr>
          <w:color w:val="231F20"/>
        </w:rPr>
        <w:t>muestra</w:t>
      </w:r>
      <w:r>
        <w:rPr>
          <w:color w:val="231F20"/>
          <w:spacing w:val="-7"/>
        </w:rPr>
        <w:t> </w:t>
      </w:r>
      <w:r>
        <w:rPr>
          <w:color w:val="231F20"/>
        </w:rPr>
        <w:t>que</w:t>
      </w:r>
      <w:r>
        <w:rPr>
          <w:color w:val="231F20"/>
          <w:spacing w:val="-7"/>
        </w:rPr>
        <w:t> </w:t>
      </w:r>
      <w:r>
        <w:rPr>
          <w:color w:val="231F20"/>
        </w:rPr>
        <w:t>el</w:t>
      </w:r>
      <w:r>
        <w:rPr>
          <w:color w:val="231F20"/>
          <w:spacing w:val="-7"/>
        </w:rPr>
        <w:t> </w:t>
      </w:r>
      <w:r>
        <w:rPr>
          <w:color w:val="231F20"/>
        </w:rPr>
        <w:t>cultivo</w:t>
      </w:r>
      <w:r>
        <w:rPr>
          <w:color w:val="231F20"/>
          <w:spacing w:val="-7"/>
        </w:rPr>
        <w:t> </w:t>
      </w:r>
      <w:r>
        <w:rPr>
          <w:color w:val="231F20"/>
        </w:rPr>
        <w:t>de</w:t>
      </w:r>
      <w:r>
        <w:rPr>
          <w:color w:val="231F20"/>
          <w:spacing w:val="-7"/>
        </w:rPr>
        <w:t> </w:t>
      </w:r>
      <w:r>
        <w:rPr>
          <w:color w:val="231F20"/>
        </w:rPr>
        <w:t>zacate</w:t>
      </w:r>
      <w:r>
        <w:rPr>
          <w:color w:val="231F20"/>
          <w:spacing w:val="-7"/>
        </w:rPr>
        <w:t> </w:t>
      </w:r>
      <w:r>
        <w:rPr>
          <w:color w:val="231F20"/>
        </w:rPr>
        <w:t>ballico </w:t>
      </w:r>
      <w:r>
        <w:rPr>
          <w:color w:val="231F20"/>
          <w:spacing w:val="-6"/>
        </w:rPr>
        <w:t>BT,</w:t>
      </w:r>
      <w:r>
        <w:rPr>
          <w:color w:val="231F20"/>
          <w:spacing w:val="-5"/>
        </w:rPr>
        <w:t> </w:t>
      </w:r>
      <w:r>
        <w:rPr>
          <w:color w:val="231F20"/>
        </w:rPr>
        <w:t>tuvo</w:t>
      </w:r>
      <w:r>
        <w:rPr>
          <w:color w:val="231F20"/>
          <w:spacing w:val="-5"/>
        </w:rPr>
        <w:t> </w:t>
      </w:r>
      <w:r>
        <w:rPr>
          <w:color w:val="231F20"/>
        </w:rPr>
        <w:t>una</w:t>
      </w:r>
      <w:r>
        <w:rPr>
          <w:color w:val="231F20"/>
          <w:spacing w:val="-5"/>
        </w:rPr>
        <w:t> </w:t>
      </w:r>
      <w:r>
        <w:rPr>
          <w:color w:val="231F20"/>
        </w:rPr>
        <w:t>menor</w:t>
      </w:r>
      <w:r>
        <w:rPr>
          <w:color w:val="231F20"/>
          <w:spacing w:val="-5"/>
        </w:rPr>
        <w:t> </w:t>
      </w:r>
      <w:r>
        <w:rPr>
          <w:color w:val="231F20"/>
        </w:rPr>
        <w:t>eficiencia</w:t>
      </w:r>
      <w:r>
        <w:rPr>
          <w:color w:val="231F20"/>
          <w:spacing w:val="-5"/>
        </w:rPr>
        <w:t> </w:t>
      </w:r>
      <w:r>
        <w:rPr>
          <w:color w:val="231F20"/>
        </w:rPr>
        <w:t>social</w:t>
      </w:r>
      <w:r>
        <w:rPr>
          <w:color w:val="231F20"/>
          <w:spacing w:val="-5"/>
        </w:rPr>
        <w:t> </w:t>
      </w:r>
      <w:r>
        <w:rPr>
          <w:color w:val="231F20"/>
        </w:rPr>
        <w:t>macroeconómica</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uso</w:t>
      </w:r>
      <w:r>
        <w:rPr>
          <w:color w:val="231F20"/>
          <w:spacing w:val="-4"/>
        </w:rPr>
        <w:t> </w:t>
      </w:r>
      <w:r>
        <w:rPr>
          <w:color w:val="231F20"/>
        </w:rPr>
        <w:t>de</w:t>
      </w:r>
      <w:r>
        <w:rPr>
          <w:color w:val="231F20"/>
          <w:spacing w:val="-5"/>
        </w:rPr>
        <w:t> </w:t>
      </w:r>
      <w:r>
        <w:rPr>
          <w:color w:val="231F20"/>
        </w:rPr>
        <w:t>los</w:t>
      </w:r>
      <w:r>
        <w:rPr>
          <w:color w:val="231F20"/>
          <w:spacing w:val="-5"/>
        </w:rPr>
        <w:t> </w:t>
      </w:r>
      <w:r>
        <w:rPr>
          <w:color w:val="231F20"/>
        </w:rPr>
        <w:t>recursos</w:t>
      </w:r>
      <w:r>
        <w:rPr>
          <w:color w:val="231F20"/>
          <w:spacing w:val="-5"/>
        </w:rPr>
        <w:t> </w:t>
      </w:r>
      <w:r>
        <w:rPr>
          <w:color w:val="231F20"/>
        </w:rPr>
        <w:t>tierra,</w:t>
      </w:r>
      <w:r>
        <w:rPr>
          <w:color w:val="231F20"/>
          <w:spacing w:val="-5"/>
        </w:rPr>
        <w:t> </w:t>
      </w:r>
      <w:r>
        <w:rPr>
          <w:color w:val="231F20"/>
        </w:rPr>
        <w:t>agua</w:t>
      </w:r>
      <w:r>
        <w:rPr>
          <w:color w:val="231F20"/>
          <w:spacing w:val="-5"/>
        </w:rPr>
        <w:t> </w:t>
      </w:r>
      <w:r>
        <w:rPr>
          <w:color w:val="231F20"/>
        </w:rPr>
        <w:t>y</w:t>
      </w:r>
      <w:r>
        <w:rPr>
          <w:color w:val="231F20"/>
          <w:spacing w:val="-5"/>
        </w:rPr>
        <w:t> </w:t>
      </w:r>
      <w:r>
        <w:rPr>
          <w:color w:val="231F20"/>
        </w:rPr>
        <w:t>capital en relación al alfalfa </w:t>
      </w:r>
      <w:r>
        <w:rPr>
          <w:color w:val="231F20"/>
          <w:spacing w:val="-6"/>
        </w:rPr>
        <w:t>BT.</w:t>
      </w:r>
    </w:p>
    <w:p>
      <w:pPr>
        <w:pStyle w:val="BodyText"/>
        <w:spacing w:before="10"/>
      </w:pPr>
    </w:p>
    <w:p>
      <w:pPr>
        <w:pStyle w:val="BodyText"/>
        <w:spacing w:line="249" w:lineRule="auto"/>
        <w:ind w:left="1270" w:right="1268"/>
        <w:jc w:val="both"/>
      </w:pPr>
      <w:r>
        <w:rPr/>
        <w:pict>
          <v:shape style="position:absolute;margin-left:201.330002pt;margin-top:21.001923pt;width:3.1pt;height:6.15pt;mso-position-horizontal-relative:page;mso-position-vertical-relative:paragraph;z-index:-205960" type="#_x0000_t202" filled="false" stroked="false">
            <v:textbox inset="0,0,0,0">
              <w:txbxContent>
                <w:p>
                  <w:pPr>
                    <w:spacing w:line="122" w:lineRule="exact" w:before="0"/>
                    <w:ind w:left="0" w:right="0" w:firstLine="0"/>
                    <w:jc w:val="left"/>
                    <w:rPr>
                      <w:sz w:val="12"/>
                    </w:rPr>
                  </w:pPr>
                  <w:r>
                    <w:rPr>
                      <w:color w:val="231F20"/>
                      <w:w w:val="102"/>
                      <w:sz w:val="12"/>
                    </w:rPr>
                    <w:t>1</w:t>
                  </w:r>
                </w:p>
              </w:txbxContent>
            </v:textbox>
            <w10:wrap type="none"/>
          </v:shape>
        </w:pict>
      </w:r>
      <w:r>
        <w:rPr>
          <w:color w:val="231F20"/>
        </w:rPr>
        <w:t>Productividad física del agua subterránea usada en el riego por bombeo en zacate ballico y alfalfa forrajera. La primera variable, Y , misma que mide la cantidad de m</w:t>
      </w:r>
      <w:r>
        <w:rPr>
          <w:color w:val="231F20"/>
          <w:position w:val="7"/>
          <w:sz w:val="12"/>
        </w:rPr>
        <w:t>3 </w:t>
      </w:r>
      <w:r>
        <w:rPr>
          <w:color w:val="231F20"/>
        </w:rPr>
        <w:t>de agua subterránea usada en el riego para producir un kg de producto físico, señala, en el Cuadro 4, que se necesitaron 0.384m</w:t>
      </w:r>
      <w:r>
        <w:rPr>
          <w:color w:val="231F20"/>
          <w:position w:val="7"/>
          <w:sz w:val="12"/>
        </w:rPr>
        <w:t>3 </w:t>
      </w:r>
      <w:r>
        <w:rPr>
          <w:color w:val="231F20"/>
        </w:rPr>
        <w:t>de</w:t>
      </w:r>
      <w:r>
        <w:rPr>
          <w:color w:val="231F20"/>
          <w:spacing w:val="-3"/>
        </w:rPr>
        <w:t> </w:t>
      </w:r>
      <w:r>
        <w:rPr>
          <w:color w:val="231F20"/>
        </w:rPr>
        <w:t>agua</w:t>
      </w:r>
      <w:r>
        <w:rPr>
          <w:color w:val="231F20"/>
          <w:spacing w:val="-3"/>
        </w:rPr>
        <w:t> </w:t>
      </w:r>
      <w:r>
        <w:rPr>
          <w:color w:val="231F20"/>
        </w:rPr>
        <w:t>(384</w:t>
      </w:r>
      <w:r>
        <w:rPr>
          <w:color w:val="231F20"/>
          <w:spacing w:val="-3"/>
        </w:rPr>
        <w:t> </w:t>
      </w:r>
      <w:r>
        <w:rPr>
          <w:color w:val="231F20"/>
        </w:rPr>
        <w:t>litros)</w:t>
      </w:r>
      <w:r>
        <w:rPr>
          <w:color w:val="231F20"/>
          <w:spacing w:val="-3"/>
        </w:rPr>
        <w:t> </w:t>
      </w:r>
      <w:r>
        <w:rPr>
          <w:color w:val="231F20"/>
        </w:rPr>
        <w:t>para</w:t>
      </w:r>
      <w:r>
        <w:rPr>
          <w:color w:val="231F20"/>
          <w:spacing w:val="-3"/>
        </w:rPr>
        <w:t> </w:t>
      </w:r>
      <w:r>
        <w:rPr>
          <w:color w:val="231F20"/>
        </w:rPr>
        <w:t>producir</w:t>
      </w:r>
      <w:r>
        <w:rPr>
          <w:color w:val="231F20"/>
          <w:spacing w:val="-3"/>
        </w:rPr>
        <w:t> </w:t>
      </w:r>
      <w:r>
        <w:rPr>
          <w:color w:val="231F20"/>
        </w:rPr>
        <w:t>un</w:t>
      </w:r>
      <w:r>
        <w:rPr>
          <w:color w:val="231F20"/>
          <w:spacing w:val="-3"/>
        </w:rPr>
        <w:t> </w:t>
      </w:r>
      <w:r>
        <w:rPr>
          <w:color w:val="231F20"/>
        </w:rPr>
        <w:t>kg</w:t>
      </w:r>
      <w:r>
        <w:rPr>
          <w:color w:val="231F20"/>
          <w:spacing w:val="-3"/>
        </w:rPr>
        <w:t> </w:t>
      </w:r>
      <w:r>
        <w:rPr>
          <w:color w:val="231F20"/>
        </w:rPr>
        <w:t>de</w:t>
      </w:r>
      <w:r>
        <w:rPr>
          <w:color w:val="231F20"/>
          <w:spacing w:val="-3"/>
        </w:rPr>
        <w:t> </w:t>
      </w:r>
      <w:r>
        <w:rPr>
          <w:color w:val="231F20"/>
        </w:rPr>
        <w:t>zacate</w:t>
      </w:r>
      <w:r>
        <w:rPr>
          <w:color w:val="231F20"/>
          <w:spacing w:val="-3"/>
        </w:rPr>
        <w:t> </w:t>
      </w:r>
      <w:r>
        <w:rPr>
          <w:color w:val="231F20"/>
        </w:rPr>
        <w:t>ballico</w:t>
      </w:r>
      <w:r>
        <w:rPr>
          <w:color w:val="231F20"/>
          <w:spacing w:val="-3"/>
        </w:rPr>
        <w:t> </w:t>
      </w:r>
      <w:r>
        <w:rPr>
          <w:color w:val="231F20"/>
          <w:spacing w:val="-6"/>
        </w:rPr>
        <w:t>BT,</w:t>
      </w:r>
      <w:r>
        <w:rPr>
          <w:color w:val="231F20"/>
          <w:spacing w:val="-3"/>
        </w:rPr>
        <w:t> </w:t>
      </w:r>
      <w:r>
        <w:rPr>
          <w:color w:val="231F20"/>
        </w:rPr>
        <w:t>al</w:t>
      </w:r>
      <w:r>
        <w:rPr>
          <w:color w:val="231F20"/>
          <w:spacing w:val="-3"/>
        </w:rPr>
        <w:t> </w:t>
      </w:r>
      <w:r>
        <w:rPr>
          <w:color w:val="231F20"/>
        </w:rPr>
        <w:t>mismo</w:t>
      </w:r>
      <w:r>
        <w:rPr>
          <w:color w:val="231F20"/>
          <w:spacing w:val="-3"/>
        </w:rPr>
        <w:t> </w:t>
      </w:r>
      <w:r>
        <w:rPr>
          <w:color w:val="231F20"/>
        </w:rPr>
        <w:t>tiempo</w:t>
      </w:r>
      <w:r>
        <w:rPr>
          <w:color w:val="231F20"/>
          <w:spacing w:val="-3"/>
        </w:rPr>
        <w:t> </w:t>
      </w:r>
      <w:r>
        <w:rPr>
          <w:color w:val="231F20"/>
        </w:rPr>
        <w:t>que</w:t>
      </w:r>
      <w:r>
        <w:rPr>
          <w:color w:val="231F20"/>
          <w:spacing w:val="-3"/>
        </w:rPr>
        <w:t> </w:t>
      </w:r>
      <w:r>
        <w:rPr>
          <w:color w:val="231F20"/>
        </w:rPr>
        <w:t>en</w:t>
      </w:r>
      <w:r>
        <w:rPr>
          <w:color w:val="231F20"/>
          <w:spacing w:val="-14"/>
        </w:rPr>
        <w:t> </w:t>
      </w:r>
      <w:r>
        <w:rPr>
          <w:color w:val="231F20"/>
        </w:rPr>
        <w:t>Alfalfa</w:t>
      </w:r>
      <w:r>
        <w:rPr>
          <w:color w:val="231F20"/>
          <w:spacing w:val="-2"/>
        </w:rPr>
        <w:t> </w:t>
      </w:r>
      <w:r>
        <w:rPr>
          <w:color w:val="231F20"/>
        </w:rPr>
        <w:t>BT</w:t>
      </w:r>
      <w:r>
        <w:rPr>
          <w:color w:val="231F20"/>
          <w:spacing w:val="-6"/>
        </w:rPr>
        <w:t> </w:t>
      </w:r>
      <w:r>
        <w:rPr>
          <w:color w:val="231F20"/>
        </w:rPr>
        <w:t>se demandaron 0.215 m</w:t>
      </w:r>
      <w:r>
        <w:rPr>
          <w:color w:val="231F20"/>
          <w:position w:val="7"/>
          <w:sz w:val="12"/>
        </w:rPr>
        <w:t>3 </w:t>
      </w:r>
      <w:r>
        <w:rPr>
          <w:color w:val="231F20"/>
        </w:rPr>
        <w:t>de agua (215 litros). Generar un kilogramo de producto físico implicó utilizar 178.83% más agua en Alfalfa BT que en zacate</w:t>
      </w:r>
      <w:r>
        <w:rPr>
          <w:color w:val="231F20"/>
          <w:spacing w:val="-26"/>
        </w:rPr>
        <w:t> </w:t>
      </w:r>
      <w:r>
        <w:rPr>
          <w:color w:val="231F20"/>
        </w:rPr>
        <w:t>ballico.</w:t>
      </w:r>
    </w:p>
    <w:p>
      <w:pPr>
        <w:pStyle w:val="BodyText"/>
        <w:spacing w:before="7"/>
      </w:pPr>
    </w:p>
    <w:p>
      <w:pPr>
        <w:pStyle w:val="BodyText"/>
        <w:spacing w:line="247" w:lineRule="auto"/>
        <w:ind w:left="1270" w:right="1267"/>
        <w:jc w:val="both"/>
      </w:pPr>
      <w:r>
        <w:rPr>
          <w:color w:val="231F20"/>
        </w:rPr>
        <w:t>Para tener un referente respecto del consumo de agua, es válido considerar como parámetro el</w:t>
      </w:r>
      <w:r>
        <w:rPr>
          <w:color w:val="231F20"/>
          <w:spacing w:val="-18"/>
        </w:rPr>
        <w:t> </w:t>
      </w:r>
      <w:r>
        <w:rPr>
          <w:color w:val="231F20"/>
        </w:rPr>
        <w:t>volu- men de agua consumido por día por un ser humano, así, si se consideran 100 litros por persona </w:t>
      </w:r>
      <w:r>
        <w:rPr>
          <w:color w:val="231F20"/>
          <w:spacing w:val="15"/>
        </w:rPr>
        <w:t> </w:t>
      </w:r>
      <w:r>
        <w:rPr>
          <w:color w:val="231F20"/>
        </w:rPr>
        <w:t>por</w:t>
      </w:r>
    </w:p>
    <w:p>
      <w:pPr>
        <w:spacing w:after="0" w:line="247" w:lineRule="auto"/>
        <w:jc w:val="both"/>
        <w:sectPr>
          <w:pgSz w:w="10920" w:h="13080"/>
          <w:pgMar w:header="0" w:footer="1025" w:top="420" w:bottom="1220" w:left="0" w:right="0"/>
        </w:sectPr>
      </w:pPr>
    </w:p>
    <w:p>
      <w:pPr>
        <w:pStyle w:val="BodyText"/>
        <w:rPr>
          <w:sz w:val="20"/>
        </w:rPr>
      </w:pPr>
    </w:p>
    <w:p>
      <w:pPr>
        <w:pStyle w:val="BodyText"/>
        <w:rPr>
          <w:sz w:val="20"/>
        </w:rPr>
      </w:pPr>
    </w:p>
    <w:p>
      <w:pPr>
        <w:pStyle w:val="BodyText"/>
        <w:rPr>
          <w:sz w:val="23"/>
        </w:rPr>
      </w:pPr>
    </w:p>
    <w:p>
      <w:pPr>
        <w:pStyle w:val="BodyText"/>
        <w:spacing w:line="249" w:lineRule="auto" w:before="73"/>
        <w:ind w:left="1270" w:right="1267"/>
        <w:jc w:val="both"/>
      </w:pPr>
      <w:r>
        <w:rPr>
          <w:color w:val="231F20"/>
        </w:rPr>
        <w:t>día</w:t>
      </w:r>
      <w:r>
        <w:rPr>
          <w:color w:val="231F20"/>
          <w:position w:val="7"/>
          <w:sz w:val="12"/>
        </w:rPr>
        <w:t>1</w:t>
      </w:r>
      <w:r>
        <w:rPr>
          <w:color w:val="231F20"/>
        </w:rPr>
        <w:t>, se determinaría que con el volumen de agua consumido por un kg de Alfalfa BT producido, 0.215m</w:t>
      </w:r>
      <w:r>
        <w:rPr>
          <w:color w:val="231F20"/>
          <w:position w:val="7"/>
          <w:sz w:val="12"/>
        </w:rPr>
        <w:t>3 </w:t>
      </w:r>
      <w:r>
        <w:rPr>
          <w:color w:val="231F20"/>
        </w:rPr>
        <w:t>(ver Cuadro 3), al multiplicársele por la producción física anual, 2,805,298ton </w:t>
      </w:r>
      <w:r>
        <w:rPr>
          <w:color w:val="231F20"/>
          <w:spacing w:val="-6"/>
        </w:rPr>
        <w:t>(Ver </w:t>
      </w:r>
      <w:r>
        <w:rPr>
          <w:color w:val="231F20"/>
        </w:rPr>
        <w:t>cuadro 1), se obtendrían los 602.48 millones de m</w:t>
      </w:r>
      <w:r>
        <w:rPr>
          <w:color w:val="231F20"/>
          <w:position w:val="7"/>
          <w:sz w:val="12"/>
        </w:rPr>
        <w:t>3 </w:t>
      </w:r>
      <w:r>
        <w:rPr>
          <w:color w:val="231F20"/>
        </w:rPr>
        <w:t>de agua señalados en el Cuadro 1, por otra parte, consi- derando</w:t>
      </w:r>
      <w:r>
        <w:rPr>
          <w:color w:val="231F20"/>
          <w:spacing w:val="-9"/>
        </w:rPr>
        <w:t> </w:t>
      </w:r>
      <w:r>
        <w:rPr>
          <w:color w:val="231F20"/>
        </w:rPr>
        <w:t>una</w:t>
      </w:r>
      <w:r>
        <w:rPr>
          <w:color w:val="231F20"/>
          <w:spacing w:val="-9"/>
        </w:rPr>
        <w:t> </w:t>
      </w:r>
      <w:r>
        <w:rPr>
          <w:color w:val="231F20"/>
        </w:rPr>
        <w:t>población</w:t>
      </w:r>
      <w:r>
        <w:rPr>
          <w:color w:val="231F20"/>
          <w:spacing w:val="-9"/>
        </w:rPr>
        <w:t> </w:t>
      </w:r>
      <w:r>
        <w:rPr>
          <w:color w:val="231F20"/>
        </w:rPr>
        <w:t>de</w:t>
      </w:r>
      <w:r>
        <w:rPr>
          <w:color w:val="231F20"/>
          <w:spacing w:val="-9"/>
        </w:rPr>
        <w:t> </w:t>
      </w:r>
      <w:r>
        <w:rPr>
          <w:color w:val="231F20"/>
        </w:rPr>
        <w:t>un</w:t>
      </w:r>
      <w:r>
        <w:rPr>
          <w:color w:val="231F20"/>
          <w:spacing w:val="-9"/>
        </w:rPr>
        <w:t> </w:t>
      </w:r>
      <w:r>
        <w:rPr>
          <w:color w:val="231F20"/>
        </w:rPr>
        <w:t>millón</w:t>
      </w:r>
      <w:r>
        <w:rPr>
          <w:color w:val="231F20"/>
          <w:spacing w:val="-10"/>
        </w:rPr>
        <w:t> </w:t>
      </w:r>
      <w:r>
        <w:rPr>
          <w:color w:val="231F20"/>
        </w:rPr>
        <w:t>de</w:t>
      </w:r>
      <w:r>
        <w:rPr>
          <w:color w:val="231F20"/>
          <w:spacing w:val="-9"/>
        </w:rPr>
        <w:t> </w:t>
      </w:r>
      <w:r>
        <w:rPr>
          <w:color w:val="231F20"/>
        </w:rPr>
        <w:t>habitantes,</w:t>
      </w:r>
      <w:r>
        <w:rPr>
          <w:color w:val="231F20"/>
          <w:spacing w:val="-9"/>
        </w:rPr>
        <w:t> </w:t>
      </w:r>
      <w:r>
        <w:rPr>
          <w:color w:val="231F20"/>
        </w:rPr>
        <w:t>se</w:t>
      </w:r>
      <w:r>
        <w:rPr>
          <w:color w:val="231F20"/>
          <w:spacing w:val="-9"/>
        </w:rPr>
        <w:t> </w:t>
      </w:r>
      <w:r>
        <w:rPr>
          <w:color w:val="231F20"/>
        </w:rPr>
        <w:t>obtendría</w:t>
      </w:r>
      <w:r>
        <w:rPr>
          <w:color w:val="231F20"/>
          <w:spacing w:val="-9"/>
        </w:rPr>
        <w:t> </w:t>
      </w:r>
      <w:r>
        <w:rPr>
          <w:color w:val="231F20"/>
        </w:rPr>
        <w:t>que</w:t>
      </w:r>
      <w:r>
        <w:rPr>
          <w:color w:val="231F20"/>
          <w:spacing w:val="-9"/>
        </w:rPr>
        <w:t> </w:t>
      </w:r>
      <w:r>
        <w:rPr>
          <w:color w:val="231F20"/>
        </w:rPr>
        <w:t>esa</w:t>
      </w:r>
      <w:r>
        <w:rPr>
          <w:color w:val="231F20"/>
          <w:spacing w:val="-9"/>
        </w:rPr>
        <w:t> </w:t>
      </w:r>
      <w:r>
        <w:rPr>
          <w:color w:val="231F20"/>
        </w:rPr>
        <w:t>población</w:t>
      </w:r>
      <w:r>
        <w:rPr>
          <w:color w:val="231F20"/>
          <w:spacing w:val="-9"/>
        </w:rPr>
        <w:t> </w:t>
      </w:r>
      <w:r>
        <w:rPr>
          <w:color w:val="231F20"/>
        </w:rPr>
        <w:t>gastaría</w:t>
      </w:r>
      <w:r>
        <w:rPr>
          <w:color w:val="231F20"/>
          <w:spacing w:val="-9"/>
        </w:rPr>
        <w:t> </w:t>
      </w:r>
      <w:r>
        <w:rPr>
          <w:color w:val="231F20"/>
        </w:rPr>
        <w:t>los</w:t>
      </w:r>
      <w:r>
        <w:rPr>
          <w:color w:val="231F20"/>
          <w:spacing w:val="-9"/>
        </w:rPr>
        <w:t> </w:t>
      </w:r>
      <w:r>
        <w:rPr>
          <w:color w:val="231F20"/>
        </w:rPr>
        <w:t>602.48 millones de m</w:t>
      </w:r>
      <w:r>
        <w:rPr>
          <w:color w:val="231F20"/>
          <w:position w:val="7"/>
          <w:sz w:val="12"/>
        </w:rPr>
        <w:t>3  </w:t>
      </w:r>
      <w:r>
        <w:rPr>
          <w:color w:val="231F20"/>
        </w:rPr>
        <w:t>de agua en un lapso de 6,031.4 días (=602.48 millones de m</w:t>
      </w:r>
      <w:r>
        <w:rPr>
          <w:color w:val="231F20"/>
          <w:position w:val="7"/>
          <w:sz w:val="12"/>
        </w:rPr>
        <w:t>3  </w:t>
      </w:r>
      <w:r>
        <w:rPr>
          <w:color w:val="231F20"/>
        </w:rPr>
        <w:t>/100,000 m</w:t>
      </w:r>
      <w:r>
        <w:rPr>
          <w:color w:val="231F20"/>
          <w:position w:val="7"/>
          <w:sz w:val="12"/>
        </w:rPr>
        <w:t>3  </w:t>
      </w:r>
      <w:r>
        <w:rPr>
          <w:color w:val="231F20"/>
        </w:rPr>
        <w:t>por día  en una población de 1 millón de habitantes), el mismo cálculo para el cultivo del zacate ballico </w:t>
      </w:r>
      <w:r>
        <w:rPr>
          <w:color w:val="231F20"/>
          <w:spacing w:val="-6"/>
        </w:rPr>
        <w:t>BT, </w:t>
      </w:r>
      <w:r>
        <w:rPr>
          <w:color w:val="231F20"/>
        </w:rPr>
        <w:t>mostraría que el agua consumida por ese cultivo (7.02 millones de m</w:t>
      </w:r>
      <w:r>
        <w:rPr>
          <w:color w:val="231F20"/>
          <w:position w:val="7"/>
          <w:sz w:val="12"/>
        </w:rPr>
        <w:t>3 </w:t>
      </w:r>
      <w:r>
        <w:rPr>
          <w:color w:val="231F20"/>
        </w:rPr>
        <w:t>en sus 485ton producidas en 2010, a razón de 0.384 m</w:t>
      </w:r>
      <w:r>
        <w:rPr>
          <w:color w:val="231F20"/>
          <w:position w:val="7"/>
          <w:sz w:val="12"/>
        </w:rPr>
        <w:t>3 </w:t>
      </w:r>
      <w:r>
        <w:rPr>
          <w:color w:val="231F20"/>
        </w:rPr>
        <w:t>/kg) serviría para abastecer de agua a la misma ciudad de un millón de habitantes durante 70.20 días (=7.02 millones de m</w:t>
      </w:r>
      <w:r>
        <w:rPr>
          <w:color w:val="231F20"/>
          <w:position w:val="7"/>
          <w:sz w:val="12"/>
        </w:rPr>
        <w:t>3 </w:t>
      </w:r>
      <w:r>
        <w:rPr>
          <w:color w:val="231F20"/>
        </w:rPr>
        <w:t>/ 100,000 m</w:t>
      </w:r>
      <w:r>
        <w:rPr>
          <w:color w:val="231F20"/>
          <w:position w:val="7"/>
          <w:sz w:val="12"/>
        </w:rPr>
        <w:t>3 </w:t>
      </w:r>
      <w:r>
        <w:rPr>
          <w:color w:val="231F20"/>
        </w:rPr>
        <w:t>por día para una población de un millón de habitantes) (Cuadros 1 y</w:t>
      </w:r>
      <w:r>
        <w:rPr>
          <w:color w:val="231F20"/>
          <w:spacing w:val="-1"/>
        </w:rPr>
        <w:t> </w:t>
      </w:r>
      <w:r>
        <w:rPr>
          <w:color w:val="231F20"/>
        </w:rPr>
        <w:t>3).</w:t>
      </w:r>
    </w:p>
    <w:p>
      <w:pPr>
        <w:pStyle w:val="BodyText"/>
        <w:spacing w:before="1"/>
      </w:pPr>
    </w:p>
    <w:p>
      <w:pPr>
        <w:spacing w:line="144" w:lineRule="exact" w:before="1"/>
        <w:ind w:left="1313" w:right="0" w:firstLine="0"/>
        <w:jc w:val="both"/>
        <w:rPr>
          <w:b/>
          <w:sz w:val="18"/>
        </w:rPr>
      </w:pPr>
      <w:r>
        <w:rPr>
          <w:b/>
          <w:color w:val="010202"/>
          <w:sz w:val="18"/>
        </w:rPr>
        <w:t>Cuadro 3: Indicadores de eficiencia física (Y y Y ), económica (Y a Y ) y social (Y a Y  ) del agua subterránea</w:t>
      </w:r>
    </w:p>
    <w:p>
      <w:pPr>
        <w:tabs>
          <w:tab w:pos="4975" w:val="left" w:leader="none"/>
          <w:tab w:pos="6194" w:val="left" w:leader="none"/>
          <w:tab w:pos="6541" w:val="left" w:leader="none"/>
          <w:tab w:pos="7474" w:val="left" w:leader="none"/>
          <w:tab w:pos="7822" w:val="left" w:leader="none"/>
        </w:tabs>
        <w:spacing w:line="96" w:lineRule="exact" w:before="0"/>
        <w:ind w:left="4627" w:right="1279" w:firstLine="0"/>
        <w:jc w:val="left"/>
        <w:rPr>
          <w:b/>
          <w:sz w:val="10"/>
        </w:rPr>
      </w:pPr>
      <w:r>
        <w:rPr>
          <w:b/>
          <w:color w:val="010202"/>
          <w:w w:val="105"/>
          <w:sz w:val="10"/>
        </w:rPr>
        <w:t>1</w:t>
        <w:tab/>
        <w:t>2</w:t>
        <w:tab/>
        <w:t>3</w:t>
        <w:tab/>
        <w:t>6</w:t>
        <w:tab/>
        <w:t>7</w:t>
        <w:tab/>
      </w:r>
      <w:r>
        <w:rPr>
          <w:b/>
          <w:color w:val="010202"/>
          <w:spacing w:val="-7"/>
          <w:w w:val="105"/>
          <w:sz w:val="10"/>
        </w:rPr>
        <w:t>11</w:t>
      </w:r>
    </w:p>
    <w:p>
      <w:pPr>
        <w:spacing w:line="184" w:lineRule="exact" w:before="0"/>
        <w:ind w:left="1265" w:right="1266" w:firstLine="0"/>
        <w:jc w:val="center"/>
        <w:rPr>
          <w:b/>
          <w:sz w:val="18"/>
        </w:rPr>
      </w:pPr>
      <w:r>
        <w:rPr>
          <w:b/>
          <w:color w:val="010202"/>
          <w:sz w:val="18"/>
        </w:rPr>
        <w:t>de riego de bombeo en </w:t>
      </w:r>
      <w:r>
        <w:rPr>
          <w:b/>
          <w:i/>
          <w:color w:val="010202"/>
          <w:sz w:val="18"/>
        </w:rPr>
        <w:t>Zacate ballico </w:t>
      </w:r>
      <w:r>
        <w:rPr>
          <w:b/>
          <w:color w:val="010202"/>
          <w:sz w:val="18"/>
        </w:rPr>
        <w:t>(</w:t>
      </w:r>
      <w:r>
        <w:rPr>
          <w:b/>
          <w:i/>
          <w:color w:val="010202"/>
          <w:sz w:val="18"/>
        </w:rPr>
        <w:t>Lolium multiflorum</w:t>
      </w:r>
      <w:r>
        <w:rPr>
          <w:b/>
          <w:color w:val="010202"/>
          <w:sz w:val="18"/>
        </w:rPr>
        <w:t>) en sectores Ejido (E) y Pequeña Propiedad (PP)</w:t>
      </w:r>
    </w:p>
    <w:p>
      <w:pPr>
        <w:spacing w:before="9"/>
        <w:ind w:left="1488" w:right="1489" w:firstLine="0"/>
        <w:jc w:val="center"/>
        <w:rPr>
          <w:b/>
          <w:sz w:val="18"/>
        </w:rPr>
      </w:pPr>
      <w:r>
        <w:rPr>
          <w:b/>
          <w:color w:val="010202"/>
          <w:sz w:val="18"/>
        </w:rPr>
        <w:t>versus Alfalfa (</w:t>
      </w:r>
      <w:r>
        <w:rPr>
          <w:b/>
          <w:i/>
          <w:color w:val="010202"/>
          <w:sz w:val="18"/>
        </w:rPr>
        <w:t>Medicago sativa</w:t>
      </w:r>
      <w:r>
        <w:rPr>
          <w:b/>
          <w:color w:val="010202"/>
          <w:sz w:val="18"/>
        </w:rPr>
        <w:t>) en el Distrito de Riego DR017 en La Comarca Lagunera.</w:t>
      </w:r>
    </w:p>
    <w:p>
      <w:pPr>
        <w:spacing w:before="9"/>
        <w:ind w:left="1489" w:right="1489" w:firstLine="0"/>
        <w:jc w:val="center"/>
        <w:rPr>
          <w:b/>
          <w:sz w:val="18"/>
        </w:rPr>
      </w:pPr>
      <w:r>
        <w:rPr>
          <w:b/>
          <w:color w:val="010202"/>
          <w:sz w:val="18"/>
        </w:rPr>
        <w:t>Cifras en pesos nominales de 2010</w:t>
      </w:r>
    </w:p>
    <w:p>
      <w:pPr>
        <w:pStyle w:val="BodyText"/>
        <w:spacing w:before="4"/>
        <w:rPr>
          <w:b/>
          <w:sz w:val="22"/>
        </w:rPr>
      </w:pPr>
    </w:p>
    <w:tbl>
      <w:tblPr>
        <w:tblW w:w="0" w:type="auto"/>
        <w:jc w:val="left"/>
        <w:tblInd w:w="1261"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top w:w="0" w:type="dxa"/>
          <w:left w:w="0" w:type="dxa"/>
          <w:bottom w:w="0" w:type="dxa"/>
          <w:right w:w="0" w:type="dxa"/>
        </w:tblCellMar>
        <w:tblLook w:val="01E0"/>
      </w:tblPr>
      <w:tblGrid>
        <w:gridCol w:w="4592"/>
        <w:gridCol w:w="2272"/>
        <w:gridCol w:w="1512"/>
      </w:tblGrid>
      <w:tr>
        <w:trPr>
          <w:trHeight w:val="282" w:hRule="exact"/>
        </w:trPr>
        <w:tc>
          <w:tcPr>
            <w:tcW w:w="4592" w:type="dxa"/>
          </w:tcPr>
          <w:p>
            <w:pPr>
              <w:pStyle w:val="TableParagraph"/>
              <w:spacing w:before="24"/>
              <w:ind w:left="69"/>
              <w:rPr>
                <w:b/>
                <w:sz w:val="18"/>
              </w:rPr>
            </w:pPr>
            <w:r>
              <w:rPr>
                <w:b/>
                <w:color w:val="231F20"/>
                <w:sz w:val="18"/>
              </w:rPr>
              <w:t>Variable económica</w:t>
            </w:r>
          </w:p>
        </w:tc>
        <w:tc>
          <w:tcPr>
            <w:tcW w:w="2272" w:type="dxa"/>
          </w:tcPr>
          <w:p>
            <w:pPr>
              <w:pStyle w:val="TableParagraph"/>
              <w:spacing w:before="24"/>
              <w:rPr>
                <w:b/>
                <w:sz w:val="18"/>
              </w:rPr>
            </w:pPr>
            <w:r>
              <w:rPr>
                <w:b/>
                <w:color w:val="231F20"/>
                <w:sz w:val="18"/>
              </w:rPr>
              <w:t>Zacate ballico E y PP</w:t>
            </w:r>
          </w:p>
        </w:tc>
        <w:tc>
          <w:tcPr>
            <w:tcW w:w="1512" w:type="dxa"/>
          </w:tcPr>
          <w:p>
            <w:pPr>
              <w:pStyle w:val="TableParagraph"/>
              <w:spacing w:before="24"/>
              <w:rPr>
                <w:b/>
                <w:sz w:val="18"/>
              </w:rPr>
            </w:pPr>
            <w:r>
              <w:rPr>
                <w:b/>
                <w:color w:val="231F20"/>
                <w:sz w:val="18"/>
              </w:rPr>
              <w:t>Alfalfa</w:t>
            </w:r>
          </w:p>
        </w:tc>
      </w:tr>
      <w:tr>
        <w:trPr>
          <w:trHeight w:val="285" w:hRule="exact"/>
        </w:trPr>
        <w:tc>
          <w:tcPr>
            <w:tcW w:w="4592" w:type="dxa"/>
          </w:tcPr>
          <w:p>
            <w:pPr>
              <w:pStyle w:val="TableParagraph"/>
              <w:spacing w:line="171" w:lineRule="exact"/>
              <w:ind w:left="69"/>
              <w:rPr>
                <w:sz w:val="18"/>
              </w:rPr>
            </w:pPr>
            <w:r>
              <w:rPr>
                <w:color w:val="231F20"/>
                <w:sz w:val="18"/>
              </w:rPr>
              <w:t>Y  = m</w:t>
            </w:r>
            <w:r>
              <w:rPr>
                <w:color w:val="231F20"/>
                <w:position w:val="6"/>
                <w:sz w:val="10"/>
              </w:rPr>
              <w:t>3  </w:t>
            </w:r>
            <w:r>
              <w:rPr>
                <w:color w:val="231F20"/>
                <w:sz w:val="18"/>
              </w:rPr>
              <w:t>de agua por kilogramo</w:t>
            </w:r>
          </w:p>
          <w:p>
            <w:pPr>
              <w:pStyle w:val="TableParagraph"/>
              <w:spacing w:line="79" w:lineRule="exact" w:before="0"/>
              <w:ind w:left="199"/>
              <w:rPr>
                <w:sz w:val="10"/>
              </w:rPr>
            </w:pPr>
            <w:r>
              <w:rPr>
                <w:color w:val="231F20"/>
                <w:w w:val="104"/>
                <w:sz w:val="10"/>
              </w:rPr>
              <w:t>1</w:t>
            </w:r>
          </w:p>
        </w:tc>
        <w:tc>
          <w:tcPr>
            <w:tcW w:w="2272" w:type="dxa"/>
          </w:tcPr>
          <w:p>
            <w:pPr>
              <w:pStyle w:val="TableParagraph"/>
              <w:rPr>
                <w:sz w:val="18"/>
              </w:rPr>
            </w:pPr>
            <w:r>
              <w:rPr>
                <w:color w:val="231F20"/>
                <w:sz w:val="18"/>
              </w:rPr>
              <w:t>0.384</w:t>
            </w:r>
          </w:p>
        </w:tc>
        <w:tc>
          <w:tcPr>
            <w:tcW w:w="1512" w:type="dxa"/>
          </w:tcPr>
          <w:p>
            <w:pPr>
              <w:pStyle w:val="TableParagraph"/>
              <w:rPr>
                <w:sz w:val="18"/>
              </w:rPr>
            </w:pPr>
            <w:r>
              <w:rPr>
                <w:color w:val="231F20"/>
                <w:sz w:val="18"/>
              </w:rPr>
              <w:t>0.215</w:t>
            </w:r>
          </w:p>
        </w:tc>
      </w:tr>
      <w:tr>
        <w:trPr>
          <w:trHeight w:val="285" w:hRule="exact"/>
        </w:trPr>
        <w:tc>
          <w:tcPr>
            <w:tcW w:w="4592" w:type="dxa"/>
          </w:tcPr>
          <w:p>
            <w:pPr>
              <w:pStyle w:val="TableParagraph"/>
              <w:spacing w:line="171" w:lineRule="exact"/>
              <w:ind w:left="69"/>
              <w:rPr>
                <w:sz w:val="18"/>
              </w:rPr>
            </w:pPr>
            <w:r>
              <w:rPr>
                <w:color w:val="231F20"/>
                <w:sz w:val="18"/>
              </w:rPr>
              <w:t>Y  = kilogramos/m</w:t>
            </w:r>
            <w:r>
              <w:rPr>
                <w:color w:val="231F20"/>
                <w:position w:val="6"/>
                <w:sz w:val="10"/>
              </w:rPr>
              <w:t>3  </w:t>
            </w:r>
            <w:r>
              <w:rPr>
                <w:color w:val="231F20"/>
                <w:sz w:val="18"/>
              </w:rPr>
              <w:t>de agua</w:t>
            </w:r>
          </w:p>
          <w:p>
            <w:pPr>
              <w:pStyle w:val="TableParagraph"/>
              <w:spacing w:line="79" w:lineRule="exact" w:before="0"/>
              <w:ind w:left="199"/>
              <w:rPr>
                <w:sz w:val="10"/>
              </w:rPr>
            </w:pPr>
            <w:r>
              <w:rPr>
                <w:color w:val="231F20"/>
                <w:w w:val="104"/>
                <w:sz w:val="10"/>
              </w:rPr>
              <w:t>2</w:t>
            </w:r>
          </w:p>
        </w:tc>
        <w:tc>
          <w:tcPr>
            <w:tcW w:w="2272" w:type="dxa"/>
          </w:tcPr>
          <w:p>
            <w:pPr>
              <w:pStyle w:val="TableParagraph"/>
              <w:ind w:left="69"/>
              <w:rPr>
                <w:sz w:val="18"/>
              </w:rPr>
            </w:pPr>
            <w:r>
              <w:rPr>
                <w:color w:val="231F20"/>
                <w:sz w:val="18"/>
              </w:rPr>
              <w:t>2.60</w:t>
            </w:r>
          </w:p>
        </w:tc>
        <w:tc>
          <w:tcPr>
            <w:tcW w:w="1512" w:type="dxa"/>
          </w:tcPr>
          <w:p>
            <w:pPr>
              <w:pStyle w:val="TableParagraph"/>
              <w:ind w:left="69"/>
              <w:rPr>
                <w:sz w:val="18"/>
              </w:rPr>
            </w:pPr>
            <w:r>
              <w:rPr>
                <w:color w:val="231F20"/>
                <w:sz w:val="18"/>
              </w:rPr>
              <w:t>4.66</w:t>
            </w:r>
          </w:p>
        </w:tc>
      </w:tr>
      <w:tr>
        <w:trPr>
          <w:trHeight w:val="285" w:hRule="exact"/>
        </w:trPr>
        <w:tc>
          <w:tcPr>
            <w:tcW w:w="4592" w:type="dxa"/>
          </w:tcPr>
          <w:p>
            <w:pPr>
              <w:pStyle w:val="TableParagraph"/>
              <w:spacing w:line="171" w:lineRule="exact"/>
              <w:ind w:left="69"/>
              <w:rPr>
                <w:sz w:val="18"/>
              </w:rPr>
            </w:pPr>
            <w:r>
              <w:rPr>
                <w:color w:val="231F20"/>
                <w:sz w:val="18"/>
              </w:rPr>
              <w:t>Y  = m</w:t>
            </w:r>
            <w:r>
              <w:rPr>
                <w:color w:val="231F20"/>
                <w:position w:val="6"/>
                <w:sz w:val="10"/>
              </w:rPr>
              <w:t>3  </w:t>
            </w:r>
            <w:r>
              <w:rPr>
                <w:color w:val="231F20"/>
                <w:sz w:val="18"/>
              </w:rPr>
              <w:t>de agua por $1 de ingreso bruto</w:t>
            </w:r>
          </w:p>
          <w:p>
            <w:pPr>
              <w:pStyle w:val="TableParagraph"/>
              <w:spacing w:line="79" w:lineRule="exact" w:before="0"/>
              <w:ind w:left="199"/>
              <w:rPr>
                <w:sz w:val="10"/>
              </w:rPr>
            </w:pPr>
            <w:r>
              <w:rPr>
                <w:color w:val="231F20"/>
                <w:w w:val="104"/>
                <w:sz w:val="10"/>
              </w:rPr>
              <w:t>3</w:t>
            </w:r>
          </w:p>
        </w:tc>
        <w:tc>
          <w:tcPr>
            <w:tcW w:w="2272" w:type="dxa"/>
          </w:tcPr>
          <w:p>
            <w:pPr>
              <w:pStyle w:val="TableParagraph"/>
              <w:rPr>
                <w:sz w:val="18"/>
              </w:rPr>
            </w:pPr>
            <w:r>
              <w:rPr>
                <w:color w:val="231F20"/>
                <w:sz w:val="18"/>
              </w:rPr>
              <w:t>1.048</w:t>
            </w:r>
          </w:p>
        </w:tc>
        <w:tc>
          <w:tcPr>
            <w:tcW w:w="1512" w:type="dxa"/>
          </w:tcPr>
          <w:p>
            <w:pPr>
              <w:pStyle w:val="TableParagraph"/>
              <w:rPr>
                <w:sz w:val="18"/>
              </w:rPr>
            </w:pPr>
            <w:r>
              <w:rPr>
                <w:color w:val="231F20"/>
                <w:sz w:val="18"/>
              </w:rPr>
              <w:t>0.583</w:t>
            </w:r>
          </w:p>
        </w:tc>
      </w:tr>
      <w:tr>
        <w:trPr>
          <w:trHeight w:val="285" w:hRule="exact"/>
        </w:trPr>
        <w:tc>
          <w:tcPr>
            <w:tcW w:w="4592" w:type="dxa"/>
          </w:tcPr>
          <w:p>
            <w:pPr>
              <w:pStyle w:val="TableParagraph"/>
              <w:spacing w:line="171" w:lineRule="exact"/>
              <w:ind w:left="69"/>
              <w:rPr>
                <w:sz w:val="18"/>
              </w:rPr>
            </w:pPr>
            <w:r>
              <w:rPr>
                <w:color w:val="231F20"/>
                <w:sz w:val="18"/>
              </w:rPr>
              <w:t>Y  =Ingreso bruto/ m</w:t>
            </w:r>
            <w:r>
              <w:rPr>
                <w:color w:val="231F20"/>
                <w:position w:val="6"/>
                <w:sz w:val="10"/>
              </w:rPr>
              <w:t>3  </w:t>
            </w:r>
            <w:r>
              <w:rPr>
                <w:color w:val="231F20"/>
                <w:sz w:val="18"/>
              </w:rPr>
              <w:t>de agua</w:t>
            </w:r>
          </w:p>
          <w:p>
            <w:pPr>
              <w:pStyle w:val="TableParagraph"/>
              <w:spacing w:line="79" w:lineRule="exact" w:before="0"/>
              <w:ind w:left="199"/>
              <w:rPr>
                <w:sz w:val="10"/>
              </w:rPr>
            </w:pPr>
            <w:r>
              <w:rPr>
                <w:color w:val="231F20"/>
                <w:w w:val="104"/>
                <w:sz w:val="10"/>
              </w:rPr>
              <w:t>4</w:t>
            </w:r>
          </w:p>
        </w:tc>
        <w:tc>
          <w:tcPr>
            <w:tcW w:w="2272" w:type="dxa"/>
          </w:tcPr>
          <w:p>
            <w:pPr>
              <w:pStyle w:val="TableParagraph"/>
              <w:rPr>
                <w:sz w:val="18"/>
              </w:rPr>
            </w:pPr>
            <w:r>
              <w:rPr>
                <w:color w:val="231F20"/>
                <w:sz w:val="18"/>
              </w:rPr>
              <w:t>0.95</w:t>
            </w:r>
          </w:p>
        </w:tc>
        <w:tc>
          <w:tcPr>
            <w:tcW w:w="1512" w:type="dxa"/>
          </w:tcPr>
          <w:p>
            <w:pPr>
              <w:pStyle w:val="TableParagraph"/>
              <w:rPr>
                <w:sz w:val="18"/>
              </w:rPr>
            </w:pPr>
            <w:r>
              <w:rPr>
                <w:color w:val="231F20"/>
                <w:sz w:val="18"/>
              </w:rPr>
              <w:t>1.71</w:t>
            </w:r>
          </w:p>
        </w:tc>
      </w:tr>
      <w:tr>
        <w:trPr>
          <w:trHeight w:val="285" w:hRule="exact"/>
        </w:trPr>
        <w:tc>
          <w:tcPr>
            <w:tcW w:w="4592" w:type="dxa"/>
          </w:tcPr>
          <w:p>
            <w:pPr>
              <w:pStyle w:val="TableParagraph"/>
              <w:spacing w:line="171" w:lineRule="exact"/>
              <w:ind w:left="69"/>
              <w:rPr>
                <w:sz w:val="18"/>
              </w:rPr>
            </w:pPr>
            <w:r>
              <w:rPr>
                <w:color w:val="231F20"/>
                <w:sz w:val="18"/>
              </w:rPr>
              <w:t>Y  =Utilidad bruta/ m</w:t>
            </w:r>
            <w:r>
              <w:rPr>
                <w:color w:val="231F20"/>
                <w:position w:val="6"/>
                <w:sz w:val="10"/>
              </w:rPr>
              <w:t>3  </w:t>
            </w:r>
            <w:r>
              <w:rPr>
                <w:color w:val="231F20"/>
                <w:sz w:val="18"/>
              </w:rPr>
              <w:t>de agua</w:t>
            </w:r>
          </w:p>
          <w:p>
            <w:pPr>
              <w:pStyle w:val="TableParagraph"/>
              <w:spacing w:line="79" w:lineRule="exact" w:before="0"/>
              <w:ind w:left="199"/>
              <w:rPr>
                <w:sz w:val="10"/>
              </w:rPr>
            </w:pPr>
            <w:r>
              <w:rPr>
                <w:color w:val="231F20"/>
                <w:w w:val="104"/>
                <w:sz w:val="10"/>
              </w:rPr>
              <w:t>5</w:t>
            </w:r>
          </w:p>
        </w:tc>
        <w:tc>
          <w:tcPr>
            <w:tcW w:w="2272" w:type="dxa"/>
          </w:tcPr>
          <w:p>
            <w:pPr>
              <w:pStyle w:val="TableParagraph"/>
              <w:rPr>
                <w:sz w:val="18"/>
              </w:rPr>
            </w:pPr>
            <w:r>
              <w:rPr>
                <w:color w:val="231F20"/>
                <w:sz w:val="18"/>
              </w:rPr>
              <w:t>-0.21</w:t>
            </w:r>
          </w:p>
        </w:tc>
        <w:tc>
          <w:tcPr>
            <w:tcW w:w="1512" w:type="dxa"/>
          </w:tcPr>
          <w:p>
            <w:pPr>
              <w:pStyle w:val="TableParagraph"/>
              <w:rPr>
                <w:sz w:val="18"/>
              </w:rPr>
            </w:pPr>
            <w:r>
              <w:rPr>
                <w:color w:val="231F20"/>
                <w:sz w:val="18"/>
              </w:rPr>
              <w:t>0.90</w:t>
            </w:r>
          </w:p>
        </w:tc>
      </w:tr>
      <w:tr>
        <w:trPr>
          <w:trHeight w:val="285" w:hRule="exact"/>
        </w:trPr>
        <w:tc>
          <w:tcPr>
            <w:tcW w:w="4592" w:type="dxa"/>
          </w:tcPr>
          <w:p>
            <w:pPr>
              <w:pStyle w:val="TableParagraph"/>
              <w:spacing w:line="171" w:lineRule="exact"/>
              <w:ind w:left="69"/>
              <w:rPr>
                <w:sz w:val="18"/>
              </w:rPr>
            </w:pPr>
            <w:r>
              <w:rPr>
                <w:color w:val="231F20"/>
                <w:sz w:val="18"/>
              </w:rPr>
              <w:t>Y  = m</w:t>
            </w:r>
            <w:r>
              <w:rPr>
                <w:color w:val="231F20"/>
                <w:position w:val="6"/>
                <w:sz w:val="10"/>
              </w:rPr>
              <w:t>3  </w:t>
            </w:r>
            <w:r>
              <w:rPr>
                <w:color w:val="231F20"/>
                <w:sz w:val="18"/>
              </w:rPr>
              <w:t>de agua por $1 de utilidad bruta</w:t>
            </w:r>
          </w:p>
          <w:p>
            <w:pPr>
              <w:pStyle w:val="TableParagraph"/>
              <w:spacing w:line="79" w:lineRule="exact" w:before="0"/>
              <w:ind w:left="199"/>
              <w:rPr>
                <w:sz w:val="10"/>
              </w:rPr>
            </w:pPr>
            <w:r>
              <w:rPr>
                <w:color w:val="231F20"/>
                <w:w w:val="104"/>
                <w:sz w:val="10"/>
              </w:rPr>
              <w:t>6</w:t>
            </w:r>
          </w:p>
        </w:tc>
        <w:tc>
          <w:tcPr>
            <w:tcW w:w="2272" w:type="dxa"/>
          </w:tcPr>
          <w:p>
            <w:pPr>
              <w:pStyle w:val="TableParagraph"/>
              <w:rPr>
                <w:sz w:val="18"/>
              </w:rPr>
            </w:pPr>
            <w:r>
              <w:rPr>
                <w:color w:val="231F20"/>
                <w:sz w:val="18"/>
              </w:rPr>
              <w:t>-4.807</w:t>
            </w:r>
          </w:p>
        </w:tc>
        <w:tc>
          <w:tcPr>
            <w:tcW w:w="1512" w:type="dxa"/>
          </w:tcPr>
          <w:p>
            <w:pPr>
              <w:pStyle w:val="TableParagraph"/>
              <w:rPr>
                <w:sz w:val="18"/>
              </w:rPr>
            </w:pPr>
            <w:r>
              <w:rPr>
                <w:color w:val="231F20"/>
                <w:sz w:val="18"/>
              </w:rPr>
              <w:t>1.115</w:t>
            </w:r>
          </w:p>
        </w:tc>
      </w:tr>
      <w:tr>
        <w:trPr>
          <w:trHeight w:val="285" w:hRule="exact"/>
        </w:trPr>
        <w:tc>
          <w:tcPr>
            <w:tcW w:w="4592" w:type="dxa"/>
          </w:tcPr>
          <w:p>
            <w:pPr>
              <w:pStyle w:val="TableParagraph"/>
              <w:spacing w:line="171" w:lineRule="exact"/>
              <w:ind w:left="69"/>
              <w:rPr>
                <w:sz w:val="18"/>
              </w:rPr>
            </w:pPr>
            <w:r>
              <w:rPr>
                <w:color w:val="231F20"/>
                <w:sz w:val="18"/>
              </w:rPr>
              <w:t>Y  = Utilidad bruta por m</w:t>
            </w:r>
            <w:r>
              <w:rPr>
                <w:color w:val="231F20"/>
                <w:position w:val="6"/>
                <w:sz w:val="10"/>
              </w:rPr>
              <w:t>3</w:t>
            </w:r>
            <w:r>
              <w:rPr>
                <w:color w:val="231F20"/>
                <w:sz w:val="18"/>
              </w:rPr>
              <w:t>/Precio del m</w:t>
            </w:r>
            <w:r>
              <w:rPr>
                <w:color w:val="231F20"/>
                <w:position w:val="6"/>
                <w:sz w:val="10"/>
              </w:rPr>
              <w:t>3  </w:t>
            </w:r>
            <w:r>
              <w:rPr>
                <w:color w:val="231F20"/>
                <w:sz w:val="18"/>
              </w:rPr>
              <w:t>de agua al productor</w:t>
            </w:r>
          </w:p>
          <w:p>
            <w:pPr>
              <w:pStyle w:val="TableParagraph"/>
              <w:spacing w:line="79" w:lineRule="exact" w:before="0"/>
              <w:ind w:left="199"/>
              <w:rPr>
                <w:sz w:val="10"/>
              </w:rPr>
            </w:pPr>
            <w:r>
              <w:rPr>
                <w:color w:val="231F20"/>
                <w:w w:val="104"/>
                <w:sz w:val="10"/>
              </w:rPr>
              <w:t>7</w:t>
            </w:r>
          </w:p>
        </w:tc>
        <w:tc>
          <w:tcPr>
            <w:tcW w:w="2272" w:type="dxa"/>
          </w:tcPr>
          <w:p>
            <w:pPr>
              <w:pStyle w:val="TableParagraph"/>
              <w:ind w:left="69"/>
              <w:rPr>
                <w:sz w:val="18"/>
              </w:rPr>
            </w:pPr>
            <w:r>
              <w:rPr>
                <w:color w:val="231F20"/>
                <w:sz w:val="18"/>
              </w:rPr>
              <w:t>-0.85</w:t>
            </w:r>
          </w:p>
        </w:tc>
        <w:tc>
          <w:tcPr>
            <w:tcW w:w="1512" w:type="dxa"/>
          </w:tcPr>
          <w:p>
            <w:pPr>
              <w:pStyle w:val="TableParagraph"/>
              <w:ind w:left="69"/>
              <w:rPr>
                <w:sz w:val="18"/>
              </w:rPr>
            </w:pPr>
            <w:r>
              <w:rPr>
                <w:color w:val="231F20"/>
                <w:sz w:val="18"/>
              </w:rPr>
              <w:t>1.99</w:t>
            </w:r>
          </w:p>
        </w:tc>
      </w:tr>
      <w:tr>
        <w:trPr>
          <w:trHeight w:val="285" w:hRule="exact"/>
        </w:trPr>
        <w:tc>
          <w:tcPr>
            <w:tcW w:w="4592" w:type="dxa"/>
          </w:tcPr>
          <w:p>
            <w:pPr>
              <w:pStyle w:val="TableParagraph"/>
              <w:spacing w:line="171" w:lineRule="exact"/>
              <w:ind w:left="69"/>
              <w:rPr>
                <w:sz w:val="18"/>
              </w:rPr>
            </w:pPr>
            <w:r>
              <w:rPr>
                <w:color w:val="231F20"/>
                <w:sz w:val="18"/>
              </w:rPr>
              <w:t>Y  = Empleos generados por cada 100,000 m</w:t>
            </w:r>
            <w:r>
              <w:rPr>
                <w:color w:val="231F20"/>
                <w:position w:val="6"/>
                <w:sz w:val="10"/>
              </w:rPr>
              <w:t>3  </w:t>
            </w:r>
            <w:r>
              <w:rPr>
                <w:color w:val="231F20"/>
                <w:sz w:val="18"/>
              </w:rPr>
              <w:t>de agua</w:t>
            </w:r>
          </w:p>
          <w:p>
            <w:pPr>
              <w:pStyle w:val="TableParagraph"/>
              <w:spacing w:line="79" w:lineRule="exact" w:before="0"/>
              <w:ind w:left="199"/>
              <w:rPr>
                <w:sz w:val="10"/>
              </w:rPr>
            </w:pPr>
            <w:r>
              <w:rPr>
                <w:color w:val="231F20"/>
                <w:w w:val="104"/>
                <w:sz w:val="10"/>
              </w:rPr>
              <w:t>8</w:t>
            </w:r>
          </w:p>
        </w:tc>
        <w:tc>
          <w:tcPr>
            <w:tcW w:w="2272" w:type="dxa"/>
          </w:tcPr>
          <w:p>
            <w:pPr>
              <w:pStyle w:val="TableParagraph"/>
              <w:rPr>
                <w:sz w:val="18"/>
              </w:rPr>
            </w:pPr>
            <w:r>
              <w:rPr>
                <w:color w:val="231F20"/>
                <w:sz w:val="18"/>
              </w:rPr>
              <w:t>0.44</w:t>
            </w:r>
          </w:p>
        </w:tc>
        <w:tc>
          <w:tcPr>
            <w:tcW w:w="1512" w:type="dxa"/>
          </w:tcPr>
          <w:p>
            <w:pPr>
              <w:pStyle w:val="TableParagraph"/>
              <w:rPr>
                <w:sz w:val="18"/>
              </w:rPr>
            </w:pPr>
            <w:r>
              <w:rPr>
                <w:color w:val="231F20"/>
                <w:sz w:val="18"/>
              </w:rPr>
              <w:t>0.43</w:t>
            </w:r>
          </w:p>
        </w:tc>
      </w:tr>
      <w:tr>
        <w:trPr>
          <w:trHeight w:val="285" w:hRule="exact"/>
        </w:trPr>
        <w:tc>
          <w:tcPr>
            <w:tcW w:w="4592" w:type="dxa"/>
          </w:tcPr>
          <w:p>
            <w:pPr>
              <w:pStyle w:val="TableParagraph"/>
              <w:spacing w:line="171" w:lineRule="exact"/>
              <w:ind w:left="69"/>
              <w:rPr>
                <w:sz w:val="18"/>
              </w:rPr>
            </w:pPr>
            <w:r>
              <w:rPr>
                <w:color w:val="231F20"/>
                <w:sz w:val="18"/>
              </w:rPr>
              <w:t>Y  = Horas de trabajo invertidas por tonelada</w:t>
            </w:r>
          </w:p>
          <w:p>
            <w:pPr>
              <w:pStyle w:val="TableParagraph"/>
              <w:spacing w:line="79" w:lineRule="exact" w:before="0"/>
              <w:ind w:left="199"/>
              <w:rPr>
                <w:sz w:val="10"/>
              </w:rPr>
            </w:pPr>
            <w:r>
              <w:rPr>
                <w:color w:val="231F20"/>
                <w:w w:val="104"/>
                <w:sz w:val="10"/>
              </w:rPr>
              <w:t>9</w:t>
            </w:r>
          </w:p>
        </w:tc>
        <w:tc>
          <w:tcPr>
            <w:tcW w:w="2272" w:type="dxa"/>
          </w:tcPr>
          <w:p>
            <w:pPr>
              <w:pStyle w:val="TableParagraph"/>
              <w:rPr>
                <w:sz w:val="18"/>
              </w:rPr>
            </w:pPr>
            <w:r>
              <w:rPr>
                <w:color w:val="231F20"/>
                <w:sz w:val="18"/>
              </w:rPr>
              <w:t>3.86</w:t>
            </w:r>
          </w:p>
        </w:tc>
        <w:tc>
          <w:tcPr>
            <w:tcW w:w="1512" w:type="dxa"/>
          </w:tcPr>
          <w:p>
            <w:pPr>
              <w:pStyle w:val="TableParagraph"/>
              <w:rPr>
                <w:sz w:val="18"/>
              </w:rPr>
            </w:pPr>
            <w:r>
              <w:rPr>
                <w:color w:val="231F20"/>
                <w:sz w:val="18"/>
              </w:rPr>
              <w:t>2.13</w:t>
            </w:r>
          </w:p>
        </w:tc>
      </w:tr>
      <w:tr>
        <w:trPr>
          <w:trHeight w:val="285" w:hRule="exact"/>
        </w:trPr>
        <w:tc>
          <w:tcPr>
            <w:tcW w:w="4592" w:type="dxa"/>
          </w:tcPr>
          <w:p>
            <w:pPr>
              <w:pStyle w:val="TableParagraph"/>
              <w:spacing w:line="171" w:lineRule="exact"/>
              <w:ind w:left="69"/>
              <w:rPr>
                <w:sz w:val="18"/>
              </w:rPr>
            </w:pPr>
            <w:r>
              <w:rPr>
                <w:color w:val="231F20"/>
                <w:sz w:val="18"/>
              </w:rPr>
              <w:t>Y   = Ganancia a nivel regional por trabajador</w:t>
            </w:r>
          </w:p>
          <w:p>
            <w:pPr>
              <w:pStyle w:val="TableParagraph"/>
              <w:spacing w:line="79" w:lineRule="exact" w:before="0"/>
              <w:ind w:left="199"/>
              <w:rPr>
                <w:sz w:val="10"/>
              </w:rPr>
            </w:pPr>
            <w:r>
              <w:rPr>
                <w:color w:val="231F20"/>
                <w:w w:val="105"/>
                <w:sz w:val="10"/>
              </w:rPr>
              <w:t>10</w:t>
            </w:r>
          </w:p>
        </w:tc>
        <w:tc>
          <w:tcPr>
            <w:tcW w:w="2272" w:type="dxa"/>
          </w:tcPr>
          <w:p>
            <w:pPr>
              <w:pStyle w:val="TableParagraph"/>
              <w:ind w:left="69"/>
              <w:rPr>
                <w:sz w:val="18"/>
              </w:rPr>
            </w:pPr>
            <w:r>
              <w:rPr>
                <w:color w:val="231F20"/>
                <w:sz w:val="18"/>
              </w:rPr>
              <w:t>-5,396,926</w:t>
            </w:r>
          </w:p>
        </w:tc>
        <w:tc>
          <w:tcPr>
            <w:tcW w:w="1512" w:type="dxa"/>
          </w:tcPr>
          <w:p>
            <w:pPr>
              <w:pStyle w:val="TableParagraph"/>
              <w:ind w:left="69"/>
              <w:rPr>
                <w:sz w:val="18"/>
              </w:rPr>
            </w:pPr>
            <w:r>
              <w:rPr>
                <w:color w:val="231F20"/>
                <w:sz w:val="18"/>
              </w:rPr>
              <w:t>280,115</w:t>
            </w:r>
          </w:p>
        </w:tc>
      </w:tr>
      <w:tr>
        <w:trPr>
          <w:trHeight w:val="285" w:hRule="exact"/>
        </w:trPr>
        <w:tc>
          <w:tcPr>
            <w:tcW w:w="4592" w:type="dxa"/>
          </w:tcPr>
          <w:p>
            <w:pPr>
              <w:pStyle w:val="TableParagraph"/>
              <w:spacing w:line="171" w:lineRule="exact"/>
              <w:ind w:left="69"/>
              <w:rPr>
                <w:sz w:val="18"/>
              </w:rPr>
            </w:pPr>
            <w:r>
              <w:rPr>
                <w:color w:val="231F20"/>
                <w:sz w:val="18"/>
              </w:rPr>
              <w:t>Y   = Ganancia / hora invertida de trabajo</w:t>
            </w:r>
          </w:p>
          <w:p>
            <w:pPr>
              <w:pStyle w:val="TableParagraph"/>
              <w:spacing w:line="79" w:lineRule="exact" w:before="0"/>
              <w:ind w:left="199"/>
              <w:rPr>
                <w:sz w:val="10"/>
              </w:rPr>
            </w:pPr>
            <w:r>
              <w:rPr>
                <w:color w:val="231F20"/>
                <w:w w:val="105"/>
                <w:sz w:val="10"/>
              </w:rPr>
              <w:t>11</w:t>
            </w:r>
          </w:p>
        </w:tc>
        <w:tc>
          <w:tcPr>
            <w:tcW w:w="2272" w:type="dxa"/>
          </w:tcPr>
          <w:p>
            <w:pPr>
              <w:pStyle w:val="TableParagraph"/>
              <w:ind w:left="69"/>
              <w:rPr>
                <w:sz w:val="18"/>
              </w:rPr>
            </w:pPr>
            <w:r>
              <w:rPr>
                <w:color w:val="231F20"/>
                <w:sz w:val="18"/>
              </w:rPr>
              <w:t>-20.7</w:t>
            </w:r>
          </w:p>
        </w:tc>
        <w:tc>
          <w:tcPr>
            <w:tcW w:w="1512" w:type="dxa"/>
          </w:tcPr>
          <w:p>
            <w:pPr>
              <w:pStyle w:val="TableParagraph"/>
              <w:rPr>
                <w:sz w:val="18"/>
              </w:rPr>
            </w:pPr>
            <w:r>
              <w:rPr>
                <w:color w:val="231F20"/>
                <w:sz w:val="18"/>
              </w:rPr>
              <w:t>90.6</w:t>
            </w:r>
          </w:p>
        </w:tc>
      </w:tr>
    </w:tbl>
    <w:p>
      <w:pPr>
        <w:spacing w:before="11"/>
        <w:ind w:left="1270" w:right="0" w:firstLine="0"/>
        <w:jc w:val="both"/>
        <w:rPr>
          <w:b/>
          <w:i/>
          <w:sz w:val="17"/>
        </w:rPr>
      </w:pPr>
      <w:r>
        <w:rPr>
          <w:b/>
          <w:i/>
          <w:color w:val="231F20"/>
          <w:sz w:val="17"/>
        </w:rPr>
        <w:t>Fuente: Elaboración propia, con base en los Cuadros 1y 2</w:t>
      </w:r>
    </w:p>
    <w:p>
      <w:pPr>
        <w:pStyle w:val="BodyText"/>
        <w:spacing w:before="2"/>
        <w:rPr>
          <w:b/>
          <w:i/>
          <w:sz w:val="23"/>
        </w:rPr>
      </w:pPr>
    </w:p>
    <w:p>
      <w:pPr>
        <w:pStyle w:val="BodyText"/>
        <w:spacing w:line="247" w:lineRule="auto"/>
        <w:ind w:left="1270" w:right="1267"/>
        <w:jc w:val="both"/>
      </w:pPr>
      <w:r>
        <w:rPr>
          <w:color w:val="231F20"/>
        </w:rPr>
        <w:t>La producción agrícola es indispensable para la vida humana, en tanto produce alimentos, no obs- tante, al usar el agua en el riego, excluye que esa agua sea usada como bebida por el humano, ello representa en sí un costo de oportunidad, lo cual le da un carácter cuestionable a la agricultura,      en cuanto excluye el recurso agua para consumo humano, la producción agrícola es necesaria por supuesto, pero cobra sentido lo anterior cuando se observa que ciertos cultivos utilizan el escaso recurso agua como si fuese un bien inagotable. Para el cultivo de Alfalfa </w:t>
      </w:r>
      <w:r>
        <w:rPr>
          <w:color w:val="231F20"/>
          <w:spacing w:val="-6"/>
        </w:rPr>
        <w:t>BT, </w:t>
      </w:r>
      <w:r>
        <w:rPr>
          <w:color w:val="231F20"/>
        </w:rPr>
        <w:t>que fue considerado como parámetro en contra del cual se compara el zacate ballico </w:t>
      </w:r>
      <w:r>
        <w:rPr>
          <w:color w:val="231F20"/>
          <w:spacing w:val="-6"/>
        </w:rPr>
        <w:t>BT, </w:t>
      </w:r>
      <w:r>
        <w:rPr>
          <w:color w:val="231F20"/>
        </w:rPr>
        <w:t>ambos en el mismo DR-017,</w:t>
      </w:r>
      <w:r>
        <w:rPr>
          <w:color w:val="231F20"/>
          <w:spacing w:val="8"/>
        </w:rPr>
        <w:t> </w:t>
      </w:r>
      <w:r>
        <w:rPr>
          <w:color w:val="231F20"/>
        </w:rPr>
        <w:t>se</w:t>
      </w:r>
    </w:p>
    <w:p>
      <w:pPr>
        <w:pStyle w:val="BodyText"/>
        <w:rPr>
          <w:sz w:val="18"/>
        </w:rPr>
      </w:pPr>
    </w:p>
    <w:p>
      <w:pPr>
        <w:spacing w:line="247" w:lineRule="auto" w:before="0"/>
        <w:ind w:left="1270" w:right="1268" w:firstLine="0"/>
        <w:jc w:val="both"/>
        <w:rPr>
          <w:rFonts w:ascii="Trebuchet MS" w:hAnsi="Trebuchet MS"/>
          <w:sz w:val="16"/>
        </w:rPr>
      </w:pPr>
      <w:r>
        <w:rPr>
          <w:color w:val="231F20"/>
          <w:position w:val="7"/>
          <w:sz w:val="12"/>
        </w:rPr>
        <w:t>1</w:t>
      </w:r>
      <w:r>
        <w:rPr>
          <w:rFonts w:ascii="Trebuchet MS" w:hAnsi="Trebuchet MS"/>
          <w:color w:val="231F20"/>
          <w:sz w:val="16"/>
        </w:rPr>
        <w:t>100 litros por persona por día es un bajo volumen para el consumo real actual promedio, no obstante, es perfec- tamente válido presuponerlo así, bajo, considerando que el consumo humano actual es irracional, más allá de la demanda hídrica sujeta a cánones de consumo humano racional.</w:t>
      </w:r>
    </w:p>
    <w:p>
      <w:pPr>
        <w:spacing w:after="0" w:line="247" w:lineRule="auto"/>
        <w:jc w:val="both"/>
        <w:rPr>
          <w:rFonts w:ascii="Trebuchet MS" w:hAnsi="Trebuchet MS"/>
          <w:sz w:val="16"/>
        </w:rPr>
        <w:sectPr>
          <w:pgSz w:w="10920" w:h="13080"/>
          <w:pgMar w:header="0" w:footer="1025" w:top="420" w:bottom="1220" w:left="0" w:right="0"/>
        </w:sectPr>
      </w:pPr>
    </w:p>
    <w:p>
      <w:pPr>
        <w:pStyle w:val="BodyText"/>
        <w:rPr>
          <w:rFonts w:ascii="Trebuchet MS"/>
          <w:sz w:val="20"/>
        </w:rPr>
      </w:pPr>
    </w:p>
    <w:p>
      <w:pPr>
        <w:pStyle w:val="BodyText"/>
        <w:rPr>
          <w:rFonts w:ascii="Trebuchet MS"/>
          <w:sz w:val="20"/>
        </w:rPr>
      </w:pPr>
    </w:p>
    <w:p>
      <w:pPr>
        <w:pStyle w:val="BodyText"/>
        <w:spacing w:before="4"/>
        <w:rPr>
          <w:rFonts w:ascii="Trebuchet MS"/>
          <w:sz w:val="22"/>
        </w:rPr>
      </w:pPr>
    </w:p>
    <w:p>
      <w:pPr>
        <w:pStyle w:val="BodyText"/>
        <w:spacing w:line="249" w:lineRule="auto" w:before="73"/>
        <w:ind w:left="1270" w:right="1268"/>
        <w:jc w:val="both"/>
      </w:pPr>
      <w:r>
        <w:rPr>
          <w:color w:val="231F20"/>
        </w:rPr>
        <w:t>determinó para la variable Y2, que mide la cantidad de producto físico (en kg) por m</w:t>
      </w:r>
      <w:r>
        <w:rPr>
          <w:color w:val="231F20"/>
          <w:position w:val="7"/>
          <w:sz w:val="12"/>
        </w:rPr>
        <w:t>3 </w:t>
      </w:r>
      <w:r>
        <w:rPr>
          <w:color w:val="231F20"/>
        </w:rPr>
        <w:t>de agua, fue igual a 4.66 kg/m</w:t>
      </w:r>
      <w:r>
        <w:rPr>
          <w:color w:val="231F20"/>
          <w:position w:val="7"/>
          <w:sz w:val="12"/>
        </w:rPr>
        <w:t>3</w:t>
      </w:r>
      <w:r>
        <w:rPr>
          <w:color w:val="231F20"/>
        </w:rPr>
        <w:t>, inferior a los 2.60kg/m</w:t>
      </w:r>
      <w:r>
        <w:rPr>
          <w:color w:val="231F20"/>
          <w:position w:val="7"/>
          <w:sz w:val="12"/>
        </w:rPr>
        <w:t>3 </w:t>
      </w:r>
      <w:r>
        <w:rPr>
          <w:color w:val="231F20"/>
        </w:rPr>
        <w:t>del zacate ballico </w:t>
      </w:r>
      <w:r>
        <w:rPr>
          <w:color w:val="231F20"/>
          <w:spacing w:val="-6"/>
        </w:rPr>
        <w:t>BT, </w:t>
      </w:r>
      <w:r>
        <w:rPr>
          <w:color w:val="231F20"/>
        </w:rPr>
        <w:t>el mismo m</w:t>
      </w:r>
      <w:r>
        <w:rPr>
          <w:color w:val="231F20"/>
          <w:position w:val="7"/>
          <w:sz w:val="12"/>
        </w:rPr>
        <w:t>3 </w:t>
      </w:r>
      <w:r>
        <w:rPr>
          <w:color w:val="231F20"/>
        </w:rPr>
        <w:t>de agua produjo un 5.6%</w:t>
      </w:r>
      <w:r>
        <w:rPr>
          <w:color w:val="231F20"/>
          <w:spacing w:val="-7"/>
        </w:rPr>
        <w:t> </w:t>
      </w:r>
      <w:r>
        <w:rPr>
          <w:color w:val="231F20"/>
        </w:rPr>
        <w:t>(=2.60/4.66=0.56)</w:t>
      </w:r>
      <w:r>
        <w:rPr>
          <w:color w:val="231F20"/>
          <w:spacing w:val="-7"/>
        </w:rPr>
        <w:t> </w:t>
      </w:r>
      <w:r>
        <w:rPr>
          <w:color w:val="231F20"/>
        </w:rPr>
        <w:t>más</w:t>
      </w:r>
      <w:r>
        <w:rPr>
          <w:color w:val="231F20"/>
          <w:spacing w:val="-7"/>
        </w:rPr>
        <w:t> </w:t>
      </w:r>
      <w:r>
        <w:rPr>
          <w:color w:val="231F20"/>
        </w:rPr>
        <w:t>producto</w:t>
      </w:r>
      <w:r>
        <w:rPr>
          <w:color w:val="231F20"/>
          <w:spacing w:val="-7"/>
        </w:rPr>
        <w:t> </w:t>
      </w:r>
      <w:r>
        <w:rPr>
          <w:color w:val="231F20"/>
        </w:rPr>
        <w:t>físico</w:t>
      </w:r>
      <w:r>
        <w:rPr>
          <w:color w:val="231F20"/>
          <w:spacing w:val="-7"/>
        </w:rPr>
        <w:t> </w:t>
      </w:r>
      <w:r>
        <w:rPr>
          <w:color w:val="231F20"/>
        </w:rPr>
        <w:t>que</w:t>
      </w:r>
      <w:r>
        <w:rPr>
          <w:color w:val="231F20"/>
          <w:spacing w:val="-7"/>
        </w:rPr>
        <w:t> </w:t>
      </w:r>
      <w:r>
        <w:rPr>
          <w:color w:val="231F20"/>
        </w:rPr>
        <w:t>el</w:t>
      </w:r>
      <w:r>
        <w:rPr>
          <w:color w:val="231F20"/>
          <w:spacing w:val="-7"/>
        </w:rPr>
        <w:t> </w:t>
      </w:r>
      <w:r>
        <w:rPr>
          <w:color w:val="231F20"/>
        </w:rPr>
        <w:t>que</w:t>
      </w:r>
      <w:r>
        <w:rPr>
          <w:color w:val="231F20"/>
          <w:spacing w:val="-7"/>
        </w:rPr>
        <w:t> </w:t>
      </w:r>
      <w:r>
        <w:rPr>
          <w:color w:val="231F20"/>
        </w:rPr>
        <w:t>ese</w:t>
      </w:r>
      <w:r>
        <w:rPr>
          <w:color w:val="231F20"/>
          <w:spacing w:val="-7"/>
        </w:rPr>
        <w:t> </w:t>
      </w:r>
      <w:r>
        <w:rPr>
          <w:color w:val="231F20"/>
        </w:rPr>
        <w:t>volumen</w:t>
      </w:r>
      <w:r>
        <w:rPr>
          <w:color w:val="231F20"/>
          <w:spacing w:val="-7"/>
        </w:rPr>
        <w:t> </w:t>
      </w:r>
      <w:r>
        <w:rPr>
          <w:color w:val="231F20"/>
        </w:rPr>
        <w:t>de</w:t>
      </w:r>
      <w:r>
        <w:rPr>
          <w:color w:val="231F20"/>
          <w:spacing w:val="-7"/>
        </w:rPr>
        <w:t> </w:t>
      </w:r>
      <w:r>
        <w:rPr>
          <w:color w:val="231F20"/>
        </w:rPr>
        <w:t>agua</w:t>
      </w:r>
      <w:r>
        <w:rPr>
          <w:color w:val="231F20"/>
          <w:spacing w:val="-7"/>
        </w:rPr>
        <w:t> </w:t>
      </w:r>
      <w:r>
        <w:rPr>
          <w:color w:val="231F20"/>
        </w:rPr>
        <w:t>produciría</w:t>
      </w:r>
      <w:r>
        <w:rPr>
          <w:color w:val="231F20"/>
          <w:spacing w:val="-7"/>
        </w:rPr>
        <w:t> </w:t>
      </w:r>
      <w:r>
        <w:rPr>
          <w:color w:val="231F20"/>
        </w:rPr>
        <w:t>en</w:t>
      </w:r>
      <w:r>
        <w:rPr>
          <w:color w:val="231F20"/>
          <w:spacing w:val="-7"/>
        </w:rPr>
        <w:t> </w:t>
      </w:r>
      <w:r>
        <w:rPr>
          <w:color w:val="231F20"/>
        </w:rPr>
        <w:t>la</w:t>
      </w:r>
      <w:r>
        <w:rPr>
          <w:color w:val="231F20"/>
          <w:spacing w:val="-19"/>
        </w:rPr>
        <w:t> </w:t>
      </w:r>
      <w:r>
        <w:rPr>
          <w:color w:val="231F20"/>
        </w:rPr>
        <w:t>Alfalfa </w:t>
      </w:r>
      <w:r>
        <w:rPr>
          <w:color w:val="231F20"/>
          <w:spacing w:val="-6"/>
        </w:rPr>
        <w:t>BT, </w:t>
      </w:r>
      <w:r>
        <w:rPr>
          <w:color w:val="231F20"/>
        </w:rPr>
        <w:t>se demuestra así, que en términos de biomasa/m</w:t>
      </w:r>
      <w:r>
        <w:rPr>
          <w:color w:val="231F20"/>
          <w:position w:val="7"/>
          <w:sz w:val="12"/>
        </w:rPr>
        <w:t>3 </w:t>
      </w:r>
      <w:r>
        <w:rPr>
          <w:color w:val="231F20"/>
        </w:rPr>
        <w:t>de agua, es poco más productivo el zacate ba- llico BT que la Alfalfa BT (Cuadro</w:t>
      </w:r>
      <w:r>
        <w:rPr>
          <w:color w:val="231F20"/>
          <w:spacing w:val="-27"/>
        </w:rPr>
        <w:t> </w:t>
      </w:r>
      <w:r>
        <w:rPr>
          <w:color w:val="231F20"/>
        </w:rPr>
        <w:t>3).</w:t>
      </w:r>
    </w:p>
    <w:p>
      <w:pPr>
        <w:pStyle w:val="BodyText"/>
        <w:spacing w:before="7"/>
      </w:pPr>
    </w:p>
    <w:p>
      <w:pPr>
        <w:pStyle w:val="BodyText"/>
        <w:spacing w:line="249" w:lineRule="auto"/>
        <w:ind w:left="1270" w:right="1267"/>
        <w:jc w:val="both"/>
      </w:pPr>
      <w:r>
        <w:rPr>
          <w:color w:val="231F20"/>
        </w:rPr>
        <w:t>Eficiencia económica del agua subterránea usada en el riego por bombeo en zacate ballico. El costo por m³ de agua potable subterránea bombeada para uso familiar en zona residencial en Torreón, Coahuila, principal municipio de La Comarca Lagunera, en junio de 2011, fue de $9.8/m³, que ya deflactado con el índice de precios del Banco de México, equivale a $9.57, valorado en pesos cons- tantes de 2010, lo que permitiría ya hacer comparaciones entre el ingreso bruto monetario generado en</w:t>
      </w:r>
      <w:r>
        <w:rPr>
          <w:color w:val="231F20"/>
          <w:spacing w:val="-12"/>
        </w:rPr>
        <w:t> </w:t>
      </w:r>
      <w:r>
        <w:rPr>
          <w:i/>
          <w:color w:val="231F20"/>
        </w:rPr>
        <w:t>zacate</w:t>
      </w:r>
      <w:r>
        <w:rPr>
          <w:i/>
          <w:color w:val="231F20"/>
          <w:spacing w:val="-11"/>
        </w:rPr>
        <w:t> </w:t>
      </w:r>
      <w:r>
        <w:rPr>
          <w:i/>
          <w:color w:val="231F20"/>
        </w:rPr>
        <w:t>ballico</w:t>
      </w:r>
      <w:r>
        <w:rPr>
          <w:i/>
          <w:color w:val="231F20"/>
          <w:spacing w:val="-12"/>
        </w:rPr>
        <w:t> </w:t>
      </w:r>
      <w:r>
        <w:rPr>
          <w:color w:val="231F20"/>
        </w:rPr>
        <w:t>y</w:t>
      </w:r>
      <w:r>
        <w:rPr>
          <w:color w:val="231F20"/>
          <w:spacing w:val="-12"/>
        </w:rPr>
        <w:t> </w:t>
      </w:r>
      <w:r>
        <w:rPr>
          <w:color w:val="231F20"/>
        </w:rPr>
        <w:t>alfalfa</w:t>
      </w:r>
      <w:r>
        <w:rPr>
          <w:color w:val="231F20"/>
          <w:spacing w:val="-12"/>
        </w:rPr>
        <w:t> </w:t>
      </w:r>
      <w:r>
        <w:rPr>
          <w:color w:val="231F20"/>
        </w:rPr>
        <w:t>forrajera</w:t>
      </w:r>
      <w:r>
        <w:rPr>
          <w:color w:val="231F20"/>
          <w:spacing w:val="-12"/>
        </w:rPr>
        <w:t> </w:t>
      </w:r>
      <w:r>
        <w:rPr>
          <w:color w:val="231F20"/>
        </w:rPr>
        <w:t>por</w:t>
      </w:r>
      <w:r>
        <w:rPr>
          <w:color w:val="231F20"/>
          <w:spacing w:val="-12"/>
        </w:rPr>
        <w:t> </w:t>
      </w:r>
      <w:r>
        <w:rPr>
          <w:color w:val="231F20"/>
        </w:rPr>
        <w:t>m³</w:t>
      </w:r>
      <w:r>
        <w:rPr>
          <w:color w:val="231F20"/>
          <w:spacing w:val="-12"/>
        </w:rPr>
        <w:t> </w:t>
      </w:r>
      <w:r>
        <w:rPr>
          <w:color w:val="231F20"/>
        </w:rPr>
        <w:t>de</w:t>
      </w:r>
      <w:r>
        <w:rPr>
          <w:color w:val="231F20"/>
          <w:spacing w:val="-12"/>
        </w:rPr>
        <w:t> </w:t>
      </w:r>
      <w:r>
        <w:rPr>
          <w:color w:val="231F20"/>
        </w:rPr>
        <w:t>agua</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Comarca</w:t>
      </w:r>
      <w:r>
        <w:rPr>
          <w:color w:val="231F20"/>
          <w:spacing w:val="-12"/>
        </w:rPr>
        <w:t> </w:t>
      </w:r>
      <w:r>
        <w:rPr>
          <w:color w:val="231F20"/>
        </w:rPr>
        <w:t>Lagunera.</w:t>
      </w:r>
      <w:r>
        <w:rPr>
          <w:color w:val="231F20"/>
          <w:spacing w:val="-24"/>
        </w:rPr>
        <w:t> </w:t>
      </w:r>
      <w:r>
        <w:rPr>
          <w:color w:val="231F20"/>
        </w:rPr>
        <w:t>Así,</w:t>
      </w:r>
      <w:r>
        <w:rPr>
          <w:color w:val="231F20"/>
          <w:spacing w:val="-12"/>
        </w:rPr>
        <w:t> </w:t>
      </w:r>
      <w:r>
        <w:rPr>
          <w:color w:val="231F20"/>
        </w:rPr>
        <w:t>se</w:t>
      </w:r>
      <w:r>
        <w:rPr>
          <w:color w:val="231F20"/>
          <w:spacing w:val="-12"/>
        </w:rPr>
        <w:t> </w:t>
      </w:r>
      <w:r>
        <w:rPr>
          <w:color w:val="231F20"/>
        </w:rPr>
        <w:t>determinó</w:t>
      </w:r>
      <w:r>
        <w:rPr>
          <w:color w:val="231F20"/>
          <w:spacing w:val="-12"/>
        </w:rPr>
        <w:t> </w:t>
      </w:r>
      <w:r>
        <w:rPr>
          <w:color w:val="231F20"/>
        </w:rPr>
        <w:t>que</w:t>
      </w:r>
      <w:r>
        <w:rPr>
          <w:color w:val="231F20"/>
          <w:spacing w:val="-12"/>
        </w:rPr>
        <w:t> </w:t>
      </w:r>
      <w:r>
        <w:rPr>
          <w:color w:val="231F20"/>
        </w:rPr>
        <w:t>la variable</w:t>
      </w:r>
      <w:r>
        <w:rPr>
          <w:color w:val="231F20"/>
          <w:spacing w:val="-14"/>
        </w:rPr>
        <w:t> </w:t>
      </w:r>
      <w:r>
        <w:rPr>
          <w:color w:val="231F20"/>
        </w:rPr>
        <w:t>Y4,</w:t>
      </w:r>
      <w:r>
        <w:rPr>
          <w:color w:val="231F20"/>
          <w:spacing w:val="-6"/>
        </w:rPr>
        <w:t> </w:t>
      </w:r>
      <w:r>
        <w:rPr>
          <w:color w:val="231F20"/>
        </w:rPr>
        <w:t>que</w:t>
      </w:r>
      <w:r>
        <w:rPr>
          <w:color w:val="231F20"/>
          <w:spacing w:val="-6"/>
        </w:rPr>
        <w:t> </w:t>
      </w:r>
      <w:r>
        <w:rPr>
          <w:color w:val="231F20"/>
        </w:rPr>
        <w:t>evaluó</w:t>
      </w:r>
      <w:r>
        <w:rPr>
          <w:color w:val="231F20"/>
          <w:spacing w:val="-6"/>
        </w:rPr>
        <w:t> </w:t>
      </w:r>
      <w:r>
        <w:rPr>
          <w:color w:val="231F20"/>
        </w:rPr>
        <w:t>el</w:t>
      </w:r>
      <w:r>
        <w:rPr>
          <w:color w:val="231F20"/>
          <w:spacing w:val="-6"/>
        </w:rPr>
        <w:t> </w:t>
      </w:r>
      <w:r>
        <w:rPr>
          <w:color w:val="231F20"/>
        </w:rPr>
        <w:t>ingreso</w:t>
      </w:r>
      <w:r>
        <w:rPr>
          <w:color w:val="231F20"/>
          <w:spacing w:val="-6"/>
        </w:rPr>
        <w:t> </w:t>
      </w:r>
      <w:r>
        <w:rPr>
          <w:color w:val="231F20"/>
        </w:rPr>
        <w:t>bruto</w:t>
      </w:r>
      <w:r>
        <w:rPr>
          <w:color w:val="231F20"/>
          <w:spacing w:val="-6"/>
        </w:rPr>
        <w:t> </w:t>
      </w:r>
      <w:r>
        <w:rPr>
          <w:color w:val="231F20"/>
        </w:rPr>
        <w:t>producido</w:t>
      </w:r>
      <w:r>
        <w:rPr>
          <w:color w:val="231F20"/>
          <w:spacing w:val="-6"/>
        </w:rPr>
        <w:t> </w:t>
      </w:r>
      <w:r>
        <w:rPr>
          <w:color w:val="231F20"/>
        </w:rPr>
        <w:t>por</w:t>
      </w:r>
      <w:r>
        <w:rPr>
          <w:color w:val="231F20"/>
          <w:spacing w:val="-6"/>
        </w:rPr>
        <w:t> </w:t>
      </w:r>
      <w:r>
        <w:rPr>
          <w:color w:val="231F20"/>
        </w:rPr>
        <w:t>m³</w:t>
      </w:r>
      <w:r>
        <w:rPr>
          <w:color w:val="231F20"/>
          <w:spacing w:val="-6"/>
        </w:rPr>
        <w:t> </w:t>
      </w:r>
      <w:r>
        <w:rPr>
          <w:color w:val="231F20"/>
        </w:rPr>
        <w:t>de</w:t>
      </w:r>
      <w:r>
        <w:rPr>
          <w:color w:val="231F20"/>
          <w:spacing w:val="-6"/>
        </w:rPr>
        <w:t> </w:t>
      </w:r>
      <w:r>
        <w:rPr>
          <w:color w:val="231F20"/>
        </w:rPr>
        <w:t>agua</w:t>
      </w:r>
      <w:r>
        <w:rPr>
          <w:color w:val="231F20"/>
          <w:spacing w:val="-6"/>
        </w:rPr>
        <w:t> </w:t>
      </w:r>
      <w:r>
        <w:rPr>
          <w:color w:val="231F20"/>
        </w:rPr>
        <w:t>irrigada</w:t>
      </w:r>
      <w:r>
        <w:rPr>
          <w:color w:val="231F20"/>
          <w:spacing w:val="-7"/>
        </w:rPr>
        <w:t> </w:t>
      </w:r>
      <w:r>
        <w:rPr>
          <w:color w:val="231F20"/>
        </w:rPr>
        <w:t>en</w:t>
      </w:r>
      <w:r>
        <w:rPr>
          <w:color w:val="231F20"/>
          <w:spacing w:val="-6"/>
        </w:rPr>
        <w:t> </w:t>
      </w:r>
      <w:r>
        <w:rPr>
          <w:color w:val="231F20"/>
        </w:rPr>
        <w:t>2010,</w:t>
      </w:r>
      <w:r>
        <w:rPr>
          <w:color w:val="231F20"/>
          <w:spacing w:val="-6"/>
        </w:rPr>
        <w:t> </w:t>
      </w:r>
      <w:r>
        <w:rPr>
          <w:color w:val="231F20"/>
        </w:rPr>
        <w:t>resultó</w:t>
      </w:r>
      <w:r>
        <w:rPr>
          <w:color w:val="231F20"/>
          <w:spacing w:val="-6"/>
        </w:rPr>
        <w:t> </w:t>
      </w:r>
      <w:r>
        <w:rPr>
          <w:color w:val="231F20"/>
        </w:rPr>
        <w:t>ser</w:t>
      </w:r>
      <w:r>
        <w:rPr>
          <w:color w:val="231F20"/>
          <w:spacing w:val="-6"/>
        </w:rPr>
        <w:t> </w:t>
      </w:r>
      <w:r>
        <w:rPr>
          <w:color w:val="231F20"/>
        </w:rPr>
        <w:t>igual a</w:t>
      </w:r>
      <w:r>
        <w:rPr>
          <w:color w:val="231F20"/>
          <w:spacing w:val="-4"/>
        </w:rPr>
        <w:t> </w:t>
      </w:r>
      <w:r>
        <w:rPr>
          <w:color w:val="231F20"/>
        </w:rPr>
        <w:t>$0.95</w:t>
      </w:r>
      <w:r>
        <w:rPr>
          <w:color w:val="231F20"/>
          <w:spacing w:val="-4"/>
        </w:rPr>
        <w:t> </w:t>
      </w:r>
      <w:r>
        <w:rPr>
          <w:color w:val="231F20"/>
        </w:rPr>
        <w:t>en</w:t>
      </w:r>
      <w:r>
        <w:rPr>
          <w:color w:val="231F20"/>
          <w:spacing w:val="-4"/>
        </w:rPr>
        <w:t> </w:t>
      </w:r>
      <w:r>
        <w:rPr>
          <w:color w:val="231F20"/>
        </w:rPr>
        <w:t>zacate</w:t>
      </w:r>
      <w:r>
        <w:rPr>
          <w:color w:val="231F20"/>
          <w:spacing w:val="-4"/>
        </w:rPr>
        <w:t> </w:t>
      </w:r>
      <w:r>
        <w:rPr>
          <w:color w:val="231F20"/>
        </w:rPr>
        <w:t>ballico,</w:t>
      </w:r>
      <w:r>
        <w:rPr>
          <w:color w:val="231F20"/>
          <w:spacing w:val="-4"/>
        </w:rPr>
        <w:t> </w:t>
      </w:r>
      <w:r>
        <w:rPr>
          <w:color w:val="231F20"/>
        </w:rPr>
        <w:t>y</w:t>
      </w:r>
      <w:r>
        <w:rPr>
          <w:color w:val="231F20"/>
          <w:spacing w:val="-4"/>
        </w:rPr>
        <w:t> </w:t>
      </w:r>
      <w:r>
        <w:rPr>
          <w:color w:val="231F20"/>
        </w:rPr>
        <w:t>$1.71</w:t>
      </w:r>
      <w:r>
        <w:rPr>
          <w:color w:val="231F20"/>
          <w:spacing w:val="-4"/>
        </w:rPr>
        <w:t> </w:t>
      </w:r>
      <w:r>
        <w:rPr>
          <w:color w:val="231F20"/>
        </w:rPr>
        <w:t>en</w:t>
      </w:r>
      <w:r>
        <w:rPr>
          <w:color w:val="231F20"/>
          <w:spacing w:val="-4"/>
        </w:rPr>
        <w:t> </w:t>
      </w:r>
      <w:r>
        <w:rPr>
          <w:color w:val="231F20"/>
        </w:rPr>
        <w:t>alfalfa</w:t>
      </w:r>
      <w:r>
        <w:rPr>
          <w:color w:val="231F20"/>
          <w:spacing w:val="-4"/>
        </w:rPr>
        <w:t> </w:t>
      </w:r>
      <w:r>
        <w:rPr>
          <w:color w:val="231F20"/>
        </w:rPr>
        <w:t>forrajera</w:t>
      </w:r>
      <w:r>
        <w:rPr>
          <w:color w:val="231F20"/>
          <w:spacing w:val="-4"/>
        </w:rPr>
        <w:t> </w:t>
      </w:r>
      <w:r>
        <w:rPr>
          <w:color w:val="231F20"/>
        </w:rPr>
        <w:t>(Cuadro</w:t>
      </w:r>
      <w:r>
        <w:rPr>
          <w:color w:val="231F20"/>
          <w:spacing w:val="-4"/>
        </w:rPr>
        <w:t> </w:t>
      </w:r>
      <w:r>
        <w:rPr>
          <w:color w:val="231F20"/>
        </w:rPr>
        <w:t>3),</w:t>
      </w:r>
      <w:r>
        <w:rPr>
          <w:color w:val="231F20"/>
          <w:spacing w:val="-4"/>
        </w:rPr>
        <w:t> </w:t>
      </w:r>
      <w:r>
        <w:rPr>
          <w:color w:val="231F20"/>
        </w:rPr>
        <w:t>lo</w:t>
      </w:r>
      <w:r>
        <w:rPr>
          <w:color w:val="231F20"/>
          <w:spacing w:val="-4"/>
        </w:rPr>
        <w:t> </w:t>
      </w:r>
      <w:r>
        <w:rPr>
          <w:color w:val="231F20"/>
        </w:rPr>
        <w:t>que</w:t>
      </w:r>
      <w:r>
        <w:rPr>
          <w:color w:val="231F20"/>
          <w:spacing w:val="-4"/>
        </w:rPr>
        <w:t> </w:t>
      </w:r>
      <w:r>
        <w:rPr>
          <w:color w:val="231F20"/>
        </w:rPr>
        <w:t>permite</w:t>
      </w:r>
      <w:r>
        <w:rPr>
          <w:color w:val="231F20"/>
          <w:spacing w:val="-4"/>
        </w:rPr>
        <w:t> </w:t>
      </w:r>
      <w:r>
        <w:rPr>
          <w:color w:val="231F20"/>
        </w:rPr>
        <w:t>inferir,</w:t>
      </w:r>
      <w:r>
        <w:rPr>
          <w:color w:val="231F20"/>
          <w:spacing w:val="-4"/>
        </w:rPr>
        <w:t> </w:t>
      </w:r>
      <w:r>
        <w:rPr>
          <w:color w:val="231F20"/>
        </w:rPr>
        <w:t>que</w:t>
      </w:r>
      <w:r>
        <w:rPr>
          <w:color w:val="231F20"/>
          <w:spacing w:val="-4"/>
        </w:rPr>
        <w:t> </w:t>
      </w:r>
      <w:r>
        <w:rPr>
          <w:color w:val="231F20"/>
        </w:rPr>
        <w:t>ninguno de</w:t>
      </w:r>
      <w:r>
        <w:rPr>
          <w:color w:val="231F20"/>
          <w:spacing w:val="-6"/>
        </w:rPr>
        <w:t> </w:t>
      </w:r>
      <w:r>
        <w:rPr>
          <w:color w:val="231F20"/>
        </w:rPr>
        <w:t>los</w:t>
      </w:r>
      <w:r>
        <w:rPr>
          <w:color w:val="231F20"/>
          <w:spacing w:val="-6"/>
        </w:rPr>
        <w:t> </w:t>
      </w:r>
      <w:r>
        <w:rPr>
          <w:color w:val="231F20"/>
        </w:rPr>
        <w:t>dos</w:t>
      </w:r>
      <w:r>
        <w:rPr>
          <w:color w:val="231F20"/>
          <w:spacing w:val="-6"/>
        </w:rPr>
        <w:t> </w:t>
      </w:r>
      <w:r>
        <w:rPr>
          <w:color w:val="231F20"/>
        </w:rPr>
        <w:t>cultivos</w:t>
      </w:r>
      <w:r>
        <w:rPr>
          <w:color w:val="231F20"/>
          <w:spacing w:val="-6"/>
        </w:rPr>
        <w:t> </w:t>
      </w:r>
      <w:r>
        <w:rPr>
          <w:color w:val="231F20"/>
        </w:rPr>
        <w:t>evaluados</w:t>
      </w:r>
      <w:r>
        <w:rPr>
          <w:color w:val="231F20"/>
          <w:spacing w:val="-6"/>
        </w:rPr>
        <w:t> </w:t>
      </w:r>
      <w:r>
        <w:rPr>
          <w:color w:val="231F20"/>
        </w:rPr>
        <w:t>fue</w:t>
      </w:r>
      <w:r>
        <w:rPr>
          <w:color w:val="231F20"/>
          <w:spacing w:val="-6"/>
        </w:rPr>
        <w:t> </w:t>
      </w:r>
      <w:r>
        <w:rPr>
          <w:color w:val="231F20"/>
        </w:rPr>
        <w:t>capaz</w:t>
      </w:r>
      <w:r>
        <w:rPr>
          <w:color w:val="231F20"/>
          <w:spacing w:val="-6"/>
        </w:rPr>
        <w:t> </w:t>
      </w:r>
      <w:r>
        <w:rPr>
          <w:color w:val="231F20"/>
        </w:rPr>
        <w:t>de</w:t>
      </w:r>
      <w:r>
        <w:rPr>
          <w:color w:val="231F20"/>
          <w:spacing w:val="-6"/>
        </w:rPr>
        <w:t> </w:t>
      </w:r>
      <w:r>
        <w:rPr>
          <w:color w:val="231F20"/>
        </w:rPr>
        <w:t>superar</w:t>
      </w:r>
      <w:r>
        <w:rPr>
          <w:color w:val="231F20"/>
          <w:spacing w:val="-5"/>
        </w:rPr>
        <w:t> </w:t>
      </w:r>
      <w:r>
        <w:rPr>
          <w:color w:val="231F20"/>
        </w:rPr>
        <w:t>la</w:t>
      </w:r>
      <w:r>
        <w:rPr>
          <w:color w:val="231F20"/>
          <w:spacing w:val="-6"/>
        </w:rPr>
        <w:t> </w:t>
      </w:r>
      <w:r>
        <w:rPr>
          <w:color w:val="231F20"/>
        </w:rPr>
        <w:t>tarifa</w:t>
      </w:r>
      <w:r>
        <w:rPr>
          <w:color w:val="231F20"/>
          <w:spacing w:val="-6"/>
        </w:rPr>
        <w:t> </w:t>
      </w:r>
      <w:r>
        <w:rPr>
          <w:color w:val="231F20"/>
        </w:rPr>
        <w:t>de</w:t>
      </w:r>
      <w:r>
        <w:rPr>
          <w:color w:val="231F20"/>
          <w:spacing w:val="-6"/>
        </w:rPr>
        <w:t> </w:t>
      </w:r>
      <w:r>
        <w:rPr>
          <w:color w:val="231F20"/>
        </w:rPr>
        <w:t>$9.57</w:t>
      </w:r>
      <w:r>
        <w:rPr>
          <w:color w:val="231F20"/>
          <w:spacing w:val="-6"/>
        </w:rPr>
        <w:t> </w:t>
      </w:r>
      <w:r>
        <w:rPr>
          <w:color w:val="231F20"/>
        </w:rPr>
        <w:t>que</w:t>
      </w:r>
      <w:r>
        <w:rPr>
          <w:color w:val="231F20"/>
          <w:spacing w:val="-6"/>
        </w:rPr>
        <w:t> </w:t>
      </w:r>
      <w:r>
        <w:rPr>
          <w:color w:val="231F20"/>
        </w:rPr>
        <w:t>es</w:t>
      </w:r>
      <w:r>
        <w:rPr>
          <w:color w:val="231F20"/>
          <w:spacing w:val="-6"/>
        </w:rPr>
        <w:t> </w:t>
      </w:r>
      <w:r>
        <w:rPr>
          <w:color w:val="231F20"/>
        </w:rPr>
        <w:t>la</w:t>
      </w:r>
      <w:r>
        <w:rPr>
          <w:color w:val="231F20"/>
          <w:spacing w:val="-6"/>
        </w:rPr>
        <w:t> </w:t>
      </w:r>
      <w:r>
        <w:rPr>
          <w:color w:val="231F20"/>
        </w:rPr>
        <w:t>tarifa</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vende el m</w:t>
      </w:r>
      <w:r>
        <w:rPr>
          <w:color w:val="231F20"/>
          <w:position w:val="7"/>
          <w:sz w:val="12"/>
        </w:rPr>
        <w:t>3 </w:t>
      </w:r>
      <w:r>
        <w:rPr>
          <w:color w:val="231F20"/>
        </w:rPr>
        <w:t>al consumidor doméstico de la ciudad de Torreón, Coahuila, es decir; el alfalfa forrajera, con su ingreso generado de $1.71/m</w:t>
      </w:r>
      <w:r>
        <w:rPr>
          <w:color w:val="231F20"/>
          <w:position w:val="7"/>
          <w:sz w:val="12"/>
        </w:rPr>
        <w:t>3 </w:t>
      </w:r>
      <w:r>
        <w:rPr>
          <w:color w:val="231F20"/>
        </w:rPr>
        <w:t>de agua irrigado, generó un ingreso equivalente apenas al 17.86%, y por otro lado el zacate ballico con su ingreso generado de $0.95/m</w:t>
      </w:r>
      <w:r>
        <w:rPr>
          <w:color w:val="231F20"/>
          <w:position w:val="7"/>
          <w:sz w:val="12"/>
        </w:rPr>
        <w:t>3 </w:t>
      </w:r>
      <w:r>
        <w:rPr>
          <w:color w:val="231F20"/>
        </w:rPr>
        <w:t>de agua irrigado, generó un ingreso</w:t>
      </w:r>
      <w:r>
        <w:rPr>
          <w:color w:val="231F20"/>
          <w:spacing w:val="-9"/>
        </w:rPr>
        <w:t> </w:t>
      </w:r>
      <w:r>
        <w:rPr>
          <w:color w:val="231F20"/>
        </w:rPr>
        <w:t>equivalente</w:t>
      </w:r>
      <w:r>
        <w:rPr>
          <w:color w:val="231F20"/>
          <w:spacing w:val="-9"/>
        </w:rPr>
        <w:t> </w:t>
      </w:r>
      <w:r>
        <w:rPr>
          <w:color w:val="231F20"/>
        </w:rPr>
        <w:t>apenas</w:t>
      </w:r>
      <w:r>
        <w:rPr>
          <w:color w:val="231F20"/>
          <w:spacing w:val="-9"/>
        </w:rPr>
        <w:t> </w:t>
      </w:r>
      <w:r>
        <w:rPr>
          <w:color w:val="231F20"/>
        </w:rPr>
        <w:t>al</w:t>
      </w:r>
      <w:r>
        <w:rPr>
          <w:color w:val="231F20"/>
          <w:spacing w:val="-9"/>
        </w:rPr>
        <w:t> </w:t>
      </w:r>
      <w:r>
        <w:rPr>
          <w:color w:val="231F20"/>
        </w:rPr>
        <w:t>9.96%</w:t>
      </w:r>
      <w:r>
        <w:rPr>
          <w:color w:val="231F20"/>
          <w:spacing w:val="-9"/>
        </w:rPr>
        <w:t> </w:t>
      </w:r>
      <w:r>
        <w:rPr>
          <w:color w:val="231F20"/>
        </w:rPr>
        <w:t>y</w:t>
      </w:r>
      <w:r>
        <w:rPr>
          <w:color w:val="231F20"/>
          <w:spacing w:val="-9"/>
        </w:rPr>
        <w:t> </w:t>
      </w:r>
      <w:r>
        <w:rPr>
          <w:color w:val="231F20"/>
        </w:rPr>
        <w:t>el</w:t>
      </w:r>
      <w:r>
        <w:rPr>
          <w:color w:val="231F20"/>
          <w:spacing w:val="-9"/>
        </w:rPr>
        <w:t> </w:t>
      </w:r>
      <w:r>
        <w:rPr>
          <w:color w:val="231F20"/>
        </w:rPr>
        <w:t>al</w:t>
      </w:r>
      <w:r>
        <w:rPr>
          <w:color w:val="231F20"/>
          <w:spacing w:val="-9"/>
        </w:rPr>
        <w:t> </w:t>
      </w:r>
      <w:r>
        <w:rPr>
          <w:color w:val="231F20"/>
        </w:rPr>
        <w:t>que</w:t>
      </w:r>
      <w:r>
        <w:rPr>
          <w:color w:val="231F20"/>
          <w:spacing w:val="-9"/>
        </w:rPr>
        <w:t> </w:t>
      </w:r>
      <w:r>
        <w:rPr>
          <w:color w:val="231F20"/>
        </w:rPr>
        <w:t>podría</w:t>
      </w:r>
      <w:r>
        <w:rPr>
          <w:color w:val="231F20"/>
          <w:spacing w:val="-9"/>
        </w:rPr>
        <w:t> </w:t>
      </w:r>
      <w:r>
        <w:rPr>
          <w:color w:val="231F20"/>
        </w:rPr>
        <w:t>haberse</w:t>
      </w:r>
      <w:r>
        <w:rPr>
          <w:color w:val="231F20"/>
          <w:spacing w:val="-9"/>
        </w:rPr>
        <w:t> </w:t>
      </w:r>
      <w:r>
        <w:rPr>
          <w:color w:val="231F20"/>
        </w:rPr>
        <w:t>logrado</w:t>
      </w:r>
      <w:r>
        <w:rPr>
          <w:color w:val="231F20"/>
          <w:spacing w:val="-9"/>
        </w:rPr>
        <w:t> </w:t>
      </w:r>
      <w:r>
        <w:rPr>
          <w:color w:val="231F20"/>
        </w:rPr>
        <w:t>si</w:t>
      </w:r>
      <w:r>
        <w:rPr>
          <w:color w:val="231F20"/>
          <w:spacing w:val="-9"/>
        </w:rPr>
        <w:t> </w:t>
      </w:r>
      <w:r>
        <w:rPr>
          <w:color w:val="231F20"/>
        </w:rPr>
        <w:t>ese</w:t>
      </w:r>
      <w:r>
        <w:rPr>
          <w:color w:val="231F20"/>
          <w:spacing w:val="-9"/>
        </w:rPr>
        <w:t> </w:t>
      </w:r>
      <w:r>
        <w:rPr>
          <w:color w:val="231F20"/>
        </w:rPr>
        <w:t>mismo</w:t>
      </w:r>
      <w:r>
        <w:rPr>
          <w:color w:val="231F20"/>
          <w:spacing w:val="-9"/>
        </w:rPr>
        <w:t> </w:t>
      </w:r>
      <w:r>
        <w:rPr>
          <w:color w:val="231F20"/>
        </w:rPr>
        <w:t>metro</w:t>
      </w:r>
      <w:r>
        <w:rPr>
          <w:color w:val="231F20"/>
          <w:spacing w:val="-9"/>
        </w:rPr>
        <w:t> </w:t>
      </w:r>
      <w:r>
        <w:rPr>
          <w:color w:val="231F20"/>
        </w:rPr>
        <w:t>cúbico</w:t>
      </w:r>
      <w:r>
        <w:rPr>
          <w:color w:val="231F20"/>
          <w:spacing w:val="-9"/>
        </w:rPr>
        <w:t> </w:t>
      </w:r>
      <w:r>
        <w:rPr>
          <w:color w:val="231F20"/>
        </w:rPr>
        <w:t>de agua hubiese sido vendido a los consumidores urbanos de la ciudad de</w:t>
      </w:r>
      <w:r>
        <w:rPr>
          <w:color w:val="231F20"/>
          <w:spacing w:val="-27"/>
        </w:rPr>
        <w:t> </w:t>
      </w:r>
      <w:r>
        <w:rPr>
          <w:color w:val="231F20"/>
        </w:rPr>
        <w:t>Torreón.</w:t>
      </w:r>
    </w:p>
    <w:p>
      <w:pPr>
        <w:pStyle w:val="BodyText"/>
        <w:spacing w:before="7"/>
      </w:pPr>
    </w:p>
    <w:p>
      <w:pPr>
        <w:pStyle w:val="BodyText"/>
        <w:spacing w:line="249" w:lineRule="auto"/>
        <w:ind w:left="1270" w:right="1267"/>
        <w:jc w:val="both"/>
      </w:pPr>
      <w:r>
        <w:rPr>
          <w:color w:val="231F20"/>
        </w:rPr>
        <w:t>Ahora bien, si el parámetro de referencia del precio del agua, no fuese el anterior $9.57 por metro cúbico, sino el precio de $0.05/m</w:t>
      </w:r>
      <w:r>
        <w:rPr>
          <w:color w:val="231F20"/>
          <w:position w:val="7"/>
          <w:sz w:val="12"/>
        </w:rPr>
        <w:t>3 </w:t>
      </w:r>
      <w:r>
        <w:rPr>
          <w:color w:val="231F20"/>
        </w:rPr>
        <w:t>señalados por Godínez-Montoya </w:t>
      </w:r>
      <w:r>
        <w:rPr>
          <w:i/>
          <w:color w:val="231F20"/>
        </w:rPr>
        <w:t>et al. </w:t>
      </w:r>
      <w:r>
        <w:rPr>
          <w:color w:val="231F20"/>
        </w:rPr>
        <w:t>(2007), entonces, ante tan irrisorio precio del agua de riego, el ingreso producido por m</w:t>
      </w:r>
      <w:r>
        <w:rPr>
          <w:color w:val="231F20"/>
          <w:position w:val="7"/>
          <w:sz w:val="12"/>
        </w:rPr>
        <w:t>3 </w:t>
      </w:r>
      <w:r>
        <w:rPr>
          <w:color w:val="231F20"/>
        </w:rPr>
        <w:t>de agua en los dos cultivos evaluados resultaría superior, no obstante, de compararse en contra del precio sombra de agua propuesto por los mismos autores Godínez-Montoya et al generado por el modelo Cobb-Douglas y un modelo    de programación lineal igual a $0.646/m</w:t>
      </w:r>
      <w:r>
        <w:rPr>
          <w:color w:val="231F20"/>
          <w:position w:val="7"/>
          <w:sz w:val="12"/>
        </w:rPr>
        <w:t>3</w:t>
      </w:r>
      <w:r>
        <w:rPr>
          <w:color w:val="231F20"/>
        </w:rPr>
        <w:t>, que al deflactarle a pesos constantes de 2010 ascendió  </w:t>
      </w:r>
      <w:r>
        <w:rPr>
          <w:color w:val="231F20"/>
          <w:spacing w:val="3"/>
        </w:rPr>
        <w:t> </w:t>
      </w:r>
      <w:r>
        <w:rPr>
          <w:color w:val="231F20"/>
        </w:rPr>
        <w:t>a</w:t>
      </w:r>
    </w:p>
    <w:p>
      <w:pPr>
        <w:pStyle w:val="BodyText"/>
        <w:spacing w:line="249" w:lineRule="auto"/>
        <w:ind w:left="1270" w:right="1267"/>
        <w:jc w:val="both"/>
      </w:pPr>
      <w:r>
        <w:rPr/>
        <w:pict>
          <v:shape style="position:absolute;margin-left:195.437897pt;margin-top:70.878418pt;width:3.1pt;height:6.15pt;mso-position-horizontal-relative:page;mso-position-vertical-relative:paragraph;z-index:-205936" type="#_x0000_t202" filled="false" stroked="false">
            <v:textbox inset="0,0,0,0">
              <w:txbxContent>
                <w:p>
                  <w:pPr>
                    <w:spacing w:line="122" w:lineRule="exact" w:before="0"/>
                    <w:ind w:left="0" w:right="0" w:firstLine="0"/>
                    <w:jc w:val="left"/>
                    <w:rPr>
                      <w:sz w:val="12"/>
                    </w:rPr>
                  </w:pPr>
                  <w:r>
                    <w:rPr>
                      <w:color w:val="231F20"/>
                      <w:w w:val="102"/>
                      <w:sz w:val="12"/>
                    </w:rPr>
                    <w:t>5</w:t>
                  </w:r>
                </w:p>
              </w:txbxContent>
            </v:textbox>
            <w10:wrap type="none"/>
          </v:shape>
        </w:pict>
      </w:r>
      <w:r>
        <w:rPr>
          <w:color w:val="231F20"/>
        </w:rPr>
        <w:t>$0.744/</w:t>
      </w:r>
      <w:r>
        <w:rPr>
          <w:color w:val="231F20"/>
          <w:spacing w:val="-4"/>
        </w:rPr>
        <w:t> </w:t>
      </w:r>
      <w:r>
        <w:rPr>
          <w:color w:val="231F20"/>
        </w:rPr>
        <w:t>m</w:t>
      </w:r>
      <w:r>
        <w:rPr>
          <w:color w:val="231F20"/>
          <w:position w:val="7"/>
          <w:sz w:val="12"/>
        </w:rPr>
        <w:t>3</w:t>
      </w:r>
      <w:r>
        <w:rPr>
          <w:color w:val="231F20"/>
        </w:rPr>
        <w:t>,</w:t>
      </w:r>
      <w:r>
        <w:rPr>
          <w:color w:val="231F20"/>
          <w:spacing w:val="-4"/>
        </w:rPr>
        <w:t> </w:t>
      </w:r>
      <w:r>
        <w:rPr>
          <w:color w:val="231F20"/>
        </w:rPr>
        <w:t>según</w:t>
      </w:r>
      <w:r>
        <w:rPr>
          <w:color w:val="231F20"/>
          <w:spacing w:val="-3"/>
        </w:rPr>
        <w:t> </w:t>
      </w:r>
      <w:r>
        <w:rPr>
          <w:color w:val="231F20"/>
        </w:rPr>
        <w:t>se</w:t>
      </w:r>
      <w:r>
        <w:rPr>
          <w:color w:val="231F20"/>
          <w:spacing w:val="-4"/>
        </w:rPr>
        <w:t> </w:t>
      </w:r>
      <w:r>
        <w:rPr>
          <w:color w:val="231F20"/>
        </w:rPr>
        <w:t>asentó</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primer</w:t>
      </w:r>
      <w:r>
        <w:rPr>
          <w:color w:val="231F20"/>
          <w:spacing w:val="-3"/>
        </w:rPr>
        <w:t> </w:t>
      </w:r>
      <w:r>
        <w:rPr>
          <w:color w:val="231F20"/>
        </w:rPr>
        <w:t>apartado</w:t>
      </w:r>
      <w:r>
        <w:rPr>
          <w:color w:val="231F20"/>
          <w:spacing w:val="-4"/>
        </w:rPr>
        <w:t> </w:t>
      </w:r>
      <w:r>
        <w:rPr>
          <w:color w:val="231F20"/>
        </w:rPr>
        <w:t>de</w:t>
      </w:r>
      <w:r>
        <w:rPr>
          <w:color w:val="231F20"/>
          <w:spacing w:val="-4"/>
        </w:rPr>
        <w:t> </w:t>
      </w:r>
      <w:r>
        <w:rPr>
          <w:color w:val="231F20"/>
        </w:rPr>
        <w:t>este</w:t>
      </w:r>
      <w:r>
        <w:rPr>
          <w:color w:val="231F20"/>
          <w:spacing w:val="-4"/>
        </w:rPr>
        <w:t> </w:t>
      </w:r>
      <w:r>
        <w:rPr>
          <w:color w:val="231F20"/>
        </w:rPr>
        <w:t>capítulo</w:t>
      </w:r>
      <w:r>
        <w:rPr>
          <w:color w:val="231F20"/>
          <w:spacing w:val="-4"/>
        </w:rPr>
        <w:t> </w:t>
      </w:r>
      <w:r>
        <w:rPr>
          <w:color w:val="231F20"/>
        </w:rPr>
        <w:t>de</w:t>
      </w:r>
      <w:r>
        <w:rPr>
          <w:color w:val="231F20"/>
          <w:spacing w:val="-4"/>
        </w:rPr>
        <w:t> </w:t>
      </w:r>
      <w:r>
        <w:rPr>
          <w:color w:val="231F20"/>
        </w:rPr>
        <w:t>resultados,</w:t>
      </w:r>
      <w:r>
        <w:rPr>
          <w:color w:val="231F20"/>
          <w:spacing w:val="-3"/>
        </w:rPr>
        <w:t> </w:t>
      </w:r>
      <w:r>
        <w:rPr>
          <w:color w:val="231F20"/>
        </w:rPr>
        <w:t>entonces,</w:t>
      </w:r>
      <w:r>
        <w:rPr>
          <w:color w:val="231F20"/>
          <w:spacing w:val="-4"/>
        </w:rPr>
        <w:t> </w:t>
      </w:r>
      <w:r>
        <w:rPr>
          <w:color w:val="231F20"/>
        </w:rPr>
        <w:t>el</w:t>
      </w:r>
      <w:r>
        <w:rPr>
          <w:color w:val="231F20"/>
          <w:spacing w:val="-4"/>
        </w:rPr>
        <w:t> </w:t>
      </w:r>
      <w:r>
        <w:rPr>
          <w:color w:val="231F20"/>
        </w:rPr>
        <w:t>cultivo de</w:t>
      </w:r>
      <w:r>
        <w:rPr>
          <w:color w:val="231F20"/>
          <w:spacing w:val="-9"/>
        </w:rPr>
        <w:t> </w:t>
      </w:r>
      <w:r>
        <w:rPr>
          <w:color w:val="231F20"/>
        </w:rPr>
        <w:t>zacate</w:t>
      </w:r>
      <w:r>
        <w:rPr>
          <w:color w:val="231F20"/>
          <w:spacing w:val="-9"/>
        </w:rPr>
        <w:t> </w:t>
      </w:r>
      <w:r>
        <w:rPr>
          <w:color w:val="231F20"/>
        </w:rPr>
        <w:t>ballico,</w:t>
      </w:r>
      <w:r>
        <w:rPr>
          <w:color w:val="231F20"/>
          <w:spacing w:val="-9"/>
        </w:rPr>
        <w:t> </w:t>
      </w:r>
      <w:r>
        <w:rPr>
          <w:color w:val="231F20"/>
        </w:rPr>
        <w:t>con</w:t>
      </w:r>
      <w:r>
        <w:rPr>
          <w:color w:val="231F20"/>
          <w:spacing w:val="-9"/>
        </w:rPr>
        <w:t> </w:t>
      </w:r>
      <w:r>
        <w:rPr>
          <w:color w:val="231F20"/>
        </w:rPr>
        <w:t>sus</w:t>
      </w:r>
      <w:r>
        <w:rPr>
          <w:color w:val="231F20"/>
          <w:spacing w:val="-9"/>
        </w:rPr>
        <w:t> </w:t>
      </w:r>
      <w:r>
        <w:rPr>
          <w:color w:val="231F20"/>
        </w:rPr>
        <w:t>-$0.21</w:t>
      </w:r>
      <w:r>
        <w:rPr>
          <w:color w:val="231F20"/>
          <w:spacing w:val="-9"/>
        </w:rPr>
        <w:t> </w:t>
      </w:r>
      <w:r>
        <w:rPr>
          <w:color w:val="231F20"/>
        </w:rPr>
        <w:t>de</w:t>
      </w:r>
      <w:r>
        <w:rPr>
          <w:color w:val="231F20"/>
          <w:spacing w:val="-9"/>
        </w:rPr>
        <w:t> </w:t>
      </w:r>
      <w:r>
        <w:rPr>
          <w:color w:val="231F20"/>
        </w:rPr>
        <w:t>ingreso</w:t>
      </w:r>
      <w:r>
        <w:rPr>
          <w:color w:val="231F20"/>
          <w:spacing w:val="-9"/>
        </w:rPr>
        <w:t> </w:t>
      </w:r>
      <w:r>
        <w:rPr>
          <w:color w:val="231F20"/>
        </w:rPr>
        <w:t>bruto</w:t>
      </w:r>
      <w:r>
        <w:rPr>
          <w:color w:val="231F20"/>
          <w:spacing w:val="-9"/>
        </w:rPr>
        <w:t> </w:t>
      </w:r>
      <w:r>
        <w:rPr>
          <w:color w:val="231F20"/>
        </w:rPr>
        <w:t>por</w:t>
      </w:r>
      <w:r>
        <w:rPr>
          <w:color w:val="231F20"/>
          <w:spacing w:val="-9"/>
        </w:rPr>
        <w:t> </w:t>
      </w:r>
      <w:r>
        <w:rPr>
          <w:color w:val="231F20"/>
        </w:rPr>
        <w:t>m</w:t>
      </w:r>
      <w:r>
        <w:rPr>
          <w:color w:val="231F20"/>
          <w:position w:val="7"/>
          <w:sz w:val="12"/>
        </w:rPr>
        <w:t>3</w:t>
      </w:r>
      <w:r>
        <w:rPr>
          <w:color w:val="231F20"/>
          <w:spacing w:val="13"/>
          <w:position w:val="7"/>
          <w:sz w:val="12"/>
        </w:rPr>
        <w:t> </w:t>
      </w:r>
      <w:r>
        <w:rPr>
          <w:color w:val="231F20"/>
        </w:rPr>
        <w:t>no</w:t>
      </w:r>
      <w:r>
        <w:rPr>
          <w:color w:val="231F20"/>
          <w:spacing w:val="-9"/>
        </w:rPr>
        <w:t> </w:t>
      </w:r>
      <w:r>
        <w:rPr>
          <w:color w:val="231F20"/>
        </w:rPr>
        <w:t>alcanzaría</w:t>
      </w:r>
      <w:r>
        <w:rPr>
          <w:color w:val="231F20"/>
          <w:spacing w:val="-10"/>
        </w:rPr>
        <w:t> </w:t>
      </w:r>
      <w:r>
        <w:rPr>
          <w:color w:val="231F20"/>
        </w:rPr>
        <w:t>a</w:t>
      </w:r>
      <w:r>
        <w:rPr>
          <w:color w:val="231F20"/>
          <w:spacing w:val="-9"/>
        </w:rPr>
        <w:t> </w:t>
      </w:r>
      <w:r>
        <w:rPr>
          <w:color w:val="231F20"/>
        </w:rPr>
        <w:t>cubrir</w:t>
      </w:r>
      <w:r>
        <w:rPr>
          <w:color w:val="231F20"/>
          <w:spacing w:val="-9"/>
        </w:rPr>
        <w:t> </w:t>
      </w:r>
      <w:r>
        <w:rPr>
          <w:color w:val="231F20"/>
        </w:rPr>
        <w:t>el</w:t>
      </w:r>
      <w:r>
        <w:rPr>
          <w:color w:val="231F20"/>
          <w:spacing w:val="-9"/>
        </w:rPr>
        <w:t> </w:t>
      </w:r>
      <w:r>
        <w:rPr>
          <w:color w:val="231F20"/>
        </w:rPr>
        <w:t>precio</w:t>
      </w:r>
      <w:r>
        <w:rPr>
          <w:color w:val="231F20"/>
          <w:spacing w:val="-9"/>
        </w:rPr>
        <w:t> </w:t>
      </w:r>
      <w:r>
        <w:rPr>
          <w:color w:val="231F20"/>
        </w:rPr>
        <w:t>real</w:t>
      </w:r>
      <w:r>
        <w:rPr>
          <w:color w:val="231F20"/>
          <w:spacing w:val="-9"/>
        </w:rPr>
        <w:t> </w:t>
      </w:r>
      <w:r>
        <w:rPr>
          <w:color w:val="231F20"/>
        </w:rPr>
        <w:t>del</w:t>
      </w:r>
      <w:r>
        <w:rPr>
          <w:color w:val="231F20"/>
          <w:spacing w:val="-9"/>
        </w:rPr>
        <w:t> </w:t>
      </w:r>
      <w:r>
        <w:rPr>
          <w:color w:val="231F20"/>
        </w:rPr>
        <w:t>agua ($0.744), mientras que el cultivo de alfalfa forrajera estaría generando un ingreso superior al precio real del agua, incluso el alfalfa forrajera, con $0.90 de ingreso/m</w:t>
      </w:r>
      <w:r>
        <w:rPr>
          <w:color w:val="231F20"/>
          <w:position w:val="7"/>
          <w:sz w:val="12"/>
        </w:rPr>
        <w:t>3</w:t>
      </w:r>
      <w:r>
        <w:rPr>
          <w:color w:val="231F20"/>
        </w:rPr>
        <w:t>, generaría un ingreso superior al precio</w:t>
      </w:r>
      <w:r>
        <w:rPr>
          <w:color w:val="231F20"/>
          <w:spacing w:val="-9"/>
        </w:rPr>
        <w:t> </w:t>
      </w:r>
      <w:r>
        <w:rPr>
          <w:color w:val="231F20"/>
        </w:rPr>
        <w:t>sugerido</w:t>
      </w:r>
      <w:r>
        <w:rPr>
          <w:color w:val="231F20"/>
          <w:spacing w:val="-8"/>
        </w:rPr>
        <w:t> </w:t>
      </w:r>
      <w:r>
        <w:rPr>
          <w:color w:val="231F20"/>
        </w:rPr>
        <w:t>por</w:t>
      </w:r>
      <w:r>
        <w:rPr>
          <w:color w:val="231F20"/>
          <w:spacing w:val="-9"/>
        </w:rPr>
        <w:t> </w:t>
      </w:r>
      <w:r>
        <w:rPr>
          <w:color w:val="231F20"/>
        </w:rPr>
        <w:t>Godínez_Montoya</w:t>
      </w:r>
      <w:r>
        <w:rPr>
          <w:color w:val="231F20"/>
          <w:spacing w:val="-8"/>
        </w:rPr>
        <w:t> </w:t>
      </w:r>
      <w:r>
        <w:rPr>
          <w:color w:val="231F20"/>
        </w:rPr>
        <w:t>et</w:t>
      </w:r>
      <w:r>
        <w:rPr>
          <w:color w:val="231F20"/>
          <w:spacing w:val="-9"/>
        </w:rPr>
        <w:t> </w:t>
      </w:r>
      <w:r>
        <w:rPr>
          <w:color w:val="231F20"/>
        </w:rPr>
        <w:t>al</w:t>
      </w:r>
      <w:r>
        <w:rPr>
          <w:color w:val="231F20"/>
          <w:spacing w:val="-9"/>
        </w:rPr>
        <w:t> </w:t>
      </w:r>
      <w:r>
        <w:rPr>
          <w:color w:val="231F20"/>
        </w:rPr>
        <w:t>op</w:t>
      </w:r>
      <w:r>
        <w:rPr>
          <w:color w:val="231F20"/>
          <w:spacing w:val="-9"/>
        </w:rPr>
        <w:t> </w:t>
      </w:r>
      <w:r>
        <w:rPr>
          <w:color w:val="231F20"/>
        </w:rPr>
        <w:t>cit),</w:t>
      </w:r>
      <w:r>
        <w:rPr>
          <w:color w:val="231F20"/>
          <w:spacing w:val="-9"/>
        </w:rPr>
        <w:t> </w:t>
      </w:r>
      <w:r>
        <w:rPr>
          <w:color w:val="231F20"/>
        </w:rPr>
        <w:t>es</w:t>
      </w:r>
      <w:r>
        <w:rPr>
          <w:color w:val="231F20"/>
          <w:spacing w:val="-9"/>
        </w:rPr>
        <w:t> </w:t>
      </w:r>
      <w:r>
        <w:rPr>
          <w:color w:val="231F20"/>
        </w:rPr>
        <w:t>decir;</w:t>
      </w:r>
      <w:r>
        <w:rPr>
          <w:color w:val="231F20"/>
          <w:spacing w:val="-9"/>
        </w:rPr>
        <w:t> </w:t>
      </w:r>
      <w:r>
        <w:rPr>
          <w:color w:val="231F20"/>
        </w:rPr>
        <w:t>el</w:t>
      </w:r>
      <w:r>
        <w:rPr>
          <w:color w:val="231F20"/>
          <w:spacing w:val="-9"/>
        </w:rPr>
        <w:t> </w:t>
      </w:r>
      <w:r>
        <w:rPr>
          <w:color w:val="231F20"/>
        </w:rPr>
        <w:t>zacate</w:t>
      </w:r>
      <w:r>
        <w:rPr>
          <w:color w:val="231F20"/>
          <w:spacing w:val="-9"/>
        </w:rPr>
        <w:t> </w:t>
      </w:r>
      <w:r>
        <w:rPr>
          <w:color w:val="231F20"/>
        </w:rPr>
        <w:t>ballico</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rubro</w:t>
      </w:r>
      <w:r>
        <w:rPr>
          <w:color w:val="231F20"/>
          <w:spacing w:val="-9"/>
        </w:rPr>
        <w:t> </w:t>
      </w:r>
      <w:r>
        <w:rPr>
          <w:color w:val="231F20"/>
        </w:rPr>
        <w:t>de</w:t>
      </w:r>
      <w:r>
        <w:rPr>
          <w:color w:val="231F20"/>
          <w:spacing w:val="-9"/>
        </w:rPr>
        <w:t> </w:t>
      </w:r>
      <w:r>
        <w:rPr>
          <w:color w:val="231F20"/>
        </w:rPr>
        <w:t>ganancia bruta/m</w:t>
      </w:r>
      <w:r>
        <w:rPr>
          <w:color w:val="231F20"/>
          <w:position w:val="7"/>
          <w:sz w:val="12"/>
        </w:rPr>
        <w:t>3 </w:t>
      </w:r>
      <w:r>
        <w:rPr>
          <w:color w:val="231F20"/>
        </w:rPr>
        <w:t>de agua (la variable Y ) no alcanza el precio-productor del m</w:t>
      </w:r>
      <w:r>
        <w:rPr>
          <w:color w:val="231F20"/>
          <w:position w:val="7"/>
          <w:sz w:val="12"/>
        </w:rPr>
        <w:t>3 </w:t>
      </w:r>
      <w:r>
        <w:rPr>
          <w:color w:val="231F20"/>
        </w:rPr>
        <w:t>de agua sugerido de $0.744 (ya en pesos constantes de 2010 los $0.646/m señalados por Godínez-Montoya </w:t>
      </w:r>
      <w:r>
        <w:rPr>
          <w:i/>
          <w:color w:val="231F20"/>
        </w:rPr>
        <w:t>et al. </w:t>
      </w:r>
      <w:r>
        <w:rPr>
          <w:color w:val="231F20"/>
        </w:rPr>
        <w:t>op cit), lo cual demuestra improductividad económica del cultivo del zacate ballico, mientras que el cultivo de al- falfa con sus $0.90 muestra mayor eficiencia económica por metro</w:t>
      </w:r>
      <w:r>
        <w:rPr>
          <w:color w:val="231F20"/>
          <w:spacing w:val="-11"/>
        </w:rPr>
        <w:t> </w:t>
      </w:r>
      <w:r>
        <w:rPr>
          <w:color w:val="231F20"/>
        </w:rPr>
        <w:t>cúbico.</w:t>
      </w:r>
    </w:p>
    <w:p>
      <w:pPr>
        <w:pStyle w:val="BodyText"/>
        <w:spacing w:before="7"/>
      </w:pPr>
    </w:p>
    <w:p>
      <w:pPr>
        <w:pStyle w:val="BodyText"/>
        <w:spacing w:line="249" w:lineRule="auto"/>
        <w:ind w:left="1270" w:right="1267"/>
        <w:jc w:val="both"/>
      </w:pPr>
      <w:r>
        <w:rPr>
          <w:color w:val="231F20"/>
        </w:rPr>
        <w:t>Para producir $1 de ingreso bruto, en el DR-017, en el cultivo de zacate ballico, se demandaron 1.048m³,</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vez</w:t>
      </w:r>
      <w:r>
        <w:rPr>
          <w:color w:val="231F20"/>
          <w:spacing w:val="-8"/>
        </w:rPr>
        <w:t> </w:t>
      </w:r>
      <w:r>
        <w:rPr>
          <w:color w:val="231F20"/>
        </w:rPr>
        <w:t>que</w:t>
      </w:r>
      <w:r>
        <w:rPr>
          <w:color w:val="231F20"/>
          <w:spacing w:val="-8"/>
        </w:rPr>
        <w:t> </w:t>
      </w:r>
      <w:r>
        <w:rPr>
          <w:color w:val="231F20"/>
        </w:rPr>
        <w:t>el</w:t>
      </w:r>
      <w:r>
        <w:rPr>
          <w:color w:val="231F20"/>
          <w:spacing w:val="-8"/>
        </w:rPr>
        <w:t> </w:t>
      </w:r>
      <w:r>
        <w:rPr>
          <w:color w:val="231F20"/>
        </w:rPr>
        <w:t>alfalfa</w:t>
      </w:r>
      <w:r>
        <w:rPr>
          <w:color w:val="231F20"/>
          <w:spacing w:val="-8"/>
        </w:rPr>
        <w:t> </w:t>
      </w:r>
      <w:r>
        <w:rPr>
          <w:color w:val="231F20"/>
        </w:rPr>
        <w:t>forrajera</w:t>
      </w:r>
      <w:r>
        <w:rPr>
          <w:color w:val="231F20"/>
          <w:spacing w:val="-8"/>
        </w:rPr>
        <w:t> </w:t>
      </w:r>
      <w:r>
        <w:rPr>
          <w:color w:val="231F20"/>
        </w:rPr>
        <w:t>demandó</w:t>
      </w:r>
      <w:r>
        <w:rPr>
          <w:color w:val="231F20"/>
          <w:spacing w:val="-8"/>
        </w:rPr>
        <w:t> </w:t>
      </w:r>
      <w:r>
        <w:rPr>
          <w:color w:val="231F20"/>
        </w:rPr>
        <w:t>0.583m</w:t>
      </w:r>
      <w:r>
        <w:rPr>
          <w:color w:val="231F20"/>
          <w:position w:val="7"/>
          <w:sz w:val="12"/>
        </w:rPr>
        <w:t>3</w:t>
      </w:r>
      <w:r>
        <w:rPr>
          <w:color w:val="231F20"/>
          <w:spacing w:val="15"/>
          <w:position w:val="7"/>
          <w:sz w:val="12"/>
        </w:rPr>
        <w:t> </w:t>
      </w:r>
      <w:r>
        <w:rPr>
          <w:color w:val="231F20"/>
        </w:rPr>
        <w:t>de</w:t>
      </w:r>
      <w:r>
        <w:rPr>
          <w:color w:val="231F20"/>
          <w:spacing w:val="-8"/>
        </w:rPr>
        <w:t> </w:t>
      </w:r>
      <w:r>
        <w:rPr>
          <w:color w:val="231F20"/>
        </w:rPr>
        <w:t>agua</w:t>
      </w:r>
      <w:r>
        <w:rPr>
          <w:color w:val="231F20"/>
          <w:spacing w:val="-8"/>
        </w:rPr>
        <w:t> </w:t>
      </w:r>
      <w:r>
        <w:rPr>
          <w:color w:val="231F20"/>
        </w:rPr>
        <w:t>(Cuadro</w:t>
      </w:r>
      <w:r>
        <w:rPr>
          <w:color w:val="231F20"/>
          <w:spacing w:val="-8"/>
        </w:rPr>
        <w:t> </w:t>
      </w:r>
      <w:r>
        <w:rPr>
          <w:color w:val="231F20"/>
        </w:rPr>
        <w:t>3),</w:t>
      </w:r>
      <w:r>
        <w:rPr>
          <w:color w:val="231F20"/>
          <w:spacing w:val="-8"/>
        </w:rPr>
        <w:t> </w:t>
      </w:r>
      <w:r>
        <w:rPr>
          <w:color w:val="231F20"/>
        </w:rPr>
        <w:t>mientras</w:t>
      </w:r>
      <w:r>
        <w:rPr>
          <w:color w:val="231F20"/>
          <w:spacing w:val="-8"/>
        </w:rPr>
        <w:t> </w:t>
      </w:r>
      <w:r>
        <w:rPr>
          <w:color w:val="231F20"/>
        </w:rPr>
        <w:t>que</w:t>
      </w:r>
      <w:r>
        <w:rPr>
          <w:color w:val="231F20"/>
          <w:spacing w:val="-8"/>
        </w:rPr>
        <w:t> </w:t>
      </w:r>
      <w:r>
        <w:rPr>
          <w:color w:val="231F20"/>
        </w:rPr>
        <w:t>el</w:t>
      </w:r>
      <w:r>
        <w:rPr>
          <w:color w:val="231F20"/>
          <w:spacing w:val="-8"/>
        </w:rPr>
        <w:t> </w:t>
      </w:r>
      <w:r>
        <w:rPr>
          <w:color w:val="231F20"/>
        </w:rPr>
        <w:t>orga- nismo</w:t>
      </w:r>
      <w:r>
        <w:rPr>
          <w:color w:val="231F20"/>
          <w:spacing w:val="-12"/>
        </w:rPr>
        <w:t> </w:t>
      </w:r>
      <w:r>
        <w:rPr>
          <w:color w:val="231F20"/>
        </w:rPr>
        <w:t>público</w:t>
      </w:r>
      <w:r>
        <w:rPr>
          <w:color w:val="231F20"/>
          <w:spacing w:val="-12"/>
        </w:rPr>
        <w:t> </w:t>
      </w:r>
      <w:r>
        <w:rPr>
          <w:color w:val="231F20"/>
        </w:rPr>
        <w:t>encargado</w:t>
      </w:r>
      <w:r>
        <w:rPr>
          <w:color w:val="231F20"/>
          <w:spacing w:val="-12"/>
        </w:rPr>
        <w:t> </w:t>
      </w:r>
      <w:r>
        <w:rPr>
          <w:color w:val="231F20"/>
        </w:rPr>
        <w:t>de</w:t>
      </w:r>
      <w:r>
        <w:rPr>
          <w:color w:val="231F20"/>
          <w:spacing w:val="-12"/>
        </w:rPr>
        <w:t> </w:t>
      </w:r>
      <w:r>
        <w:rPr>
          <w:color w:val="231F20"/>
        </w:rPr>
        <w:t>abastecer</w:t>
      </w:r>
      <w:r>
        <w:rPr>
          <w:color w:val="231F20"/>
          <w:spacing w:val="-12"/>
        </w:rPr>
        <w:t> </w:t>
      </w:r>
      <w:r>
        <w:rPr>
          <w:color w:val="231F20"/>
        </w:rPr>
        <w:t>del</w:t>
      </w:r>
      <w:r>
        <w:rPr>
          <w:color w:val="231F20"/>
          <w:spacing w:val="-12"/>
        </w:rPr>
        <w:t> </w:t>
      </w:r>
      <w:r>
        <w:rPr>
          <w:color w:val="231F20"/>
        </w:rPr>
        <w:t>líquido</w:t>
      </w:r>
      <w:r>
        <w:rPr>
          <w:color w:val="231F20"/>
          <w:spacing w:val="-12"/>
        </w:rPr>
        <w:t> </w:t>
      </w:r>
      <w:r>
        <w:rPr>
          <w:color w:val="231F20"/>
        </w:rPr>
        <w:t>a</w:t>
      </w:r>
      <w:r>
        <w:rPr>
          <w:color w:val="231F20"/>
          <w:spacing w:val="-12"/>
        </w:rPr>
        <w:t> </w:t>
      </w:r>
      <w:r>
        <w:rPr>
          <w:color w:val="231F20"/>
        </w:rPr>
        <w:t>los</w:t>
      </w:r>
      <w:r>
        <w:rPr>
          <w:color w:val="231F20"/>
          <w:spacing w:val="-12"/>
        </w:rPr>
        <w:t> </w:t>
      </w:r>
      <w:r>
        <w:rPr>
          <w:color w:val="231F20"/>
        </w:rPr>
        <w:t>hogares</w:t>
      </w:r>
      <w:r>
        <w:rPr>
          <w:color w:val="231F20"/>
          <w:spacing w:val="-12"/>
        </w:rPr>
        <w:t> </w:t>
      </w:r>
      <w:r>
        <w:rPr>
          <w:color w:val="231F20"/>
        </w:rPr>
        <w:t>de</w:t>
      </w:r>
      <w:r>
        <w:rPr>
          <w:color w:val="231F20"/>
          <w:spacing w:val="-16"/>
        </w:rPr>
        <w:t> </w:t>
      </w:r>
      <w:r>
        <w:rPr>
          <w:color w:val="231F20"/>
        </w:rPr>
        <w:t>Torreón,</w:t>
      </w:r>
      <w:r>
        <w:rPr>
          <w:color w:val="231F20"/>
          <w:spacing w:val="-12"/>
        </w:rPr>
        <w:t> </w:t>
      </w:r>
      <w:r>
        <w:rPr>
          <w:color w:val="231F20"/>
        </w:rPr>
        <w:t>Coahuila,</w:t>
      </w:r>
      <w:r>
        <w:rPr>
          <w:color w:val="231F20"/>
          <w:spacing w:val="-12"/>
        </w:rPr>
        <w:t> </w:t>
      </w:r>
      <w:r>
        <w:rPr>
          <w:color w:val="231F20"/>
        </w:rPr>
        <w:t>México,</w:t>
      </w:r>
      <w:r>
        <w:rPr>
          <w:color w:val="231F20"/>
          <w:spacing w:val="-11"/>
        </w:rPr>
        <w:t> </w:t>
      </w:r>
      <w:r>
        <w:rPr>
          <w:color w:val="231F20"/>
        </w:rPr>
        <w:t>utilizó solamente</w:t>
      </w:r>
      <w:r>
        <w:rPr>
          <w:color w:val="231F20"/>
          <w:spacing w:val="14"/>
        </w:rPr>
        <w:t> </w:t>
      </w:r>
      <w:r>
        <w:rPr>
          <w:color w:val="231F20"/>
        </w:rPr>
        <w:t>0.104m³</w:t>
      </w:r>
      <w:r>
        <w:rPr>
          <w:color w:val="231F20"/>
          <w:spacing w:val="14"/>
        </w:rPr>
        <w:t> </w:t>
      </w:r>
      <w:r>
        <w:rPr>
          <w:color w:val="231F20"/>
        </w:rPr>
        <w:t>(=$1*1</w:t>
      </w:r>
      <w:r>
        <w:rPr>
          <w:color w:val="231F20"/>
          <w:spacing w:val="14"/>
        </w:rPr>
        <w:t> </w:t>
      </w:r>
      <w:r>
        <w:rPr>
          <w:color w:val="231F20"/>
        </w:rPr>
        <w:t>m3/</w:t>
      </w:r>
      <w:r>
        <w:rPr>
          <w:color w:val="231F20"/>
          <w:spacing w:val="13"/>
        </w:rPr>
        <w:t> </w:t>
      </w:r>
      <w:r>
        <w:rPr>
          <w:color w:val="231F20"/>
        </w:rPr>
        <w:t>$9.57)</w:t>
      </w:r>
      <w:r>
        <w:rPr>
          <w:color w:val="231F20"/>
          <w:spacing w:val="14"/>
        </w:rPr>
        <w:t> </w:t>
      </w:r>
      <w:r>
        <w:rPr>
          <w:color w:val="231F20"/>
        </w:rPr>
        <w:t>para</w:t>
      </w:r>
      <w:r>
        <w:rPr>
          <w:color w:val="231F20"/>
          <w:spacing w:val="14"/>
        </w:rPr>
        <w:t> </w:t>
      </w:r>
      <w:r>
        <w:rPr>
          <w:color w:val="231F20"/>
        </w:rPr>
        <w:t>producir</w:t>
      </w:r>
      <w:r>
        <w:rPr>
          <w:color w:val="231F20"/>
          <w:spacing w:val="14"/>
        </w:rPr>
        <w:t> </w:t>
      </w:r>
      <w:r>
        <w:rPr>
          <w:color w:val="231F20"/>
        </w:rPr>
        <w:t>ese</w:t>
      </w:r>
      <w:r>
        <w:rPr>
          <w:color w:val="231F20"/>
          <w:spacing w:val="13"/>
        </w:rPr>
        <w:t> </w:t>
      </w:r>
      <w:r>
        <w:rPr>
          <w:color w:val="231F20"/>
        </w:rPr>
        <w:t>mismo</w:t>
      </w:r>
      <w:r>
        <w:rPr>
          <w:color w:val="231F20"/>
          <w:spacing w:val="13"/>
        </w:rPr>
        <w:t> </w:t>
      </w:r>
      <w:r>
        <w:rPr>
          <w:color w:val="231F20"/>
        </w:rPr>
        <w:t>$1</w:t>
      </w:r>
      <w:r>
        <w:rPr>
          <w:color w:val="231F20"/>
          <w:spacing w:val="14"/>
        </w:rPr>
        <w:t> </w:t>
      </w:r>
      <w:r>
        <w:rPr>
          <w:color w:val="231F20"/>
        </w:rPr>
        <w:t>de</w:t>
      </w:r>
      <w:r>
        <w:rPr>
          <w:color w:val="231F20"/>
          <w:spacing w:val="14"/>
        </w:rPr>
        <w:t> </w:t>
      </w:r>
      <w:r>
        <w:rPr>
          <w:color w:val="231F20"/>
        </w:rPr>
        <w:t>ingreso</w:t>
      </w:r>
      <w:r>
        <w:rPr>
          <w:color w:val="231F20"/>
          <w:spacing w:val="13"/>
        </w:rPr>
        <w:t> </w:t>
      </w:r>
      <w:r>
        <w:rPr>
          <w:color w:val="231F20"/>
        </w:rPr>
        <w:t>bruto,</w:t>
      </w:r>
      <w:r>
        <w:rPr>
          <w:color w:val="231F20"/>
          <w:spacing w:val="14"/>
        </w:rPr>
        <w:t> </w:t>
      </w:r>
      <w:r>
        <w:rPr>
          <w:color w:val="231F20"/>
        </w:rPr>
        <w:t>por</w:t>
      </w:r>
      <w:r>
        <w:rPr>
          <w:color w:val="231F20"/>
          <w:spacing w:val="14"/>
        </w:rPr>
        <w:t> </w:t>
      </w:r>
      <w:r>
        <w:rPr>
          <w:color w:val="231F20"/>
        </w:rPr>
        <w:t>tanto,</w:t>
      </w:r>
      <w:r>
        <w:rPr>
          <w:color w:val="231F20"/>
          <w:spacing w:val="13"/>
        </w:rPr>
        <w:t> </w:t>
      </w:r>
      <w:r>
        <w:rPr>
          <w:color w:val="231F20"/>
        </w:rPr>
        <w:t>el</w:t>
      </w:r>
    </w:p>
    <w:p>
      <w:pPr>
        <w:spacing w:after="0" w:line="249" w:lineRule="auto"/>
        <w:jc w:val="both"/>
        <w:sectPr>
          <w:pgSz w:w="10920" w:h="13080"/>
          <w:pgMar w:header="0" w:footer="1025" w:top="420" w:bottom="1220" w:left="0" w:right="0"/>
        </w:sectPr>
      </w:pPr>
    </w:p>
    <w:p>
      <w:pPr>
        <w:pStyle w:val="BodyText"/>
        <w:rPr>
          <w:sz w:val="20"/>
        </w:rPr>
      </w:pPr>
    </w:p>
    <w:p>
      <w:pPr>
        <w:pStyle w:val="BodyText"/>
        <w:rPr>
          <w:sz w:val="20"/>
        </w:rPr>
      </w:pPr>
    </w:p>
    <w:p>
      <w:pPr>
        <w:pStyle w:val="BodyText"/>
        <w:rPr>
          <w:sz w:val="23"/>
        </w:rPr>
      </w:pPr>
    </w:p>
    <w:p>
      <w:pPr>
        <w:pStyle w:val="BodyText"/>
        <w:spacing w:line="247" w:lineRule="auto" w:before="73"/>
        <w:ind w:left="1270" w:right="1267"/>
        <w:jc w:val="both"/>
      </w:pPr>
      <w:r>
        <w:rPr>
          <w:color w:val="231F20"/>
        </w:rPr>
        <w:t>zacate ballico demandó 1,008% mas agua y el alfalfa forrajera 560.57% más agua que el organismo público encargado del suministro de agua a los habitantes de Torreón, Coahuila para producir $1 de ingreso bruto. Lo que ubicó a ambos cultivos forrajeros como ineficientes en el uso del agua desde el punto de vista económico, en el rubro de generación de ingreso por unidad de volumen de agua. Más</w:t>
      </w:r>
      <w:r>
        <w:rPr>
          <w:color w:val="231F20"/>
          <w:spacing w:val="-8"/>
        </w:rPr>
        <w:t> </w:t>
      </w:r>
      <w:r>
        <w:rPr>
          <w:color w:val="231F20"/>
        </w:rPr>
        <w:t>importante</w:t>
      </w:r>
      <w:r>
        <w:rPr>
          <w:color w:val="231F20"/>
          <w:spacing w:val="-8"/>
        </w:rPr>
        <w:t> </w:t>
      </w:r>
      <w:r>
        <w:rPr>
          <w:color w:val="231F20"/>
        </w:rPr>
        <w:t>que</w:t>
      </w:r>
      <w:r>
        <w:rPr>
          <w:color w:val="231F20"/>
          <w:spacing w:val="-8"/>
        </w:rPr>
        <w:t> </w:t>
      </w:r>
      <w:r>
        <w:rPr>
          <w:color w:val="231F20"/>
        </w:rPr>
        <w:t>las</w:t>
      </w:r>
      <w:r>
        <w:rPr>
          <w:color w:val="231F20"/>
          <w:spacing w:val="-8"/>
        </w:rPr>
        <w:t> </w:t>
      </w:r>
      <w:r>
        <w:rPr>
          <w:color w:val="231F20"/>
        </w:rPr>
        <w:t>variables</w:t>
      </w:r>
      <w:r>
        <w:rPr>
          <w:color w:val="231F20"/>
          <w:spacing w:val="-16"/>
        </w:rPr>
        <w:t> </w:t>
      </w:r>
      <w:r>
        <w:rPr>
          <w:color w:val="231F20"/>
        </w:rPr>
        <w:t>Y3</w:t>
      </w:r>
      <w:r>
        <w:rPr>
          <w:color w:val="231F20"/>
          <w:spacing w:val="-8"/>
        </w:rPr>
        <w:t> </w:t>
      </w:r>
      <w:r>
        <w:rPr>
          <w:color w:val="231F20"/>
        </w:rPr>
        <w:t>y</w:t>
      </w:r>
      <w:r>
        <w:rPr>
          <w:color w:val="231F20"/>
          <w:spacing w:val="-16"/>
        </w:rPr>
        <w:t> </w:t>
      </w:r>
      <w:r>
        <w:rPr>
          <w:color w:val="231F20"/>
        </w:rPr>
        <w:t>Y4</w:t>
      </w:r>
      <w:r>
        <w:rPr>
          <w:color w:val="231F20"/>
          <w:spacing w:val="-8"/>
        </w:rPr>
        <w:t> </w:t>
      </w:r>
      <w:r>
        <w:rPr>
          <w:color w:val="231F20"/>
        </w:rPr>
        <w:t>analizadas</w:t>
      </w:r>
      <w:r>
        <w:rPr>
          <w:color w:val="231F20"/>
          <w:spacing w:val="-8"/>
        </w:rPr>
        <w:t> </w:t>
      </w:r>
      <w:r>
        <w:rPr>
          <w:color w:val="231F20"/>
        </w:rPr>
        <w:t>ya,</w:t>
      </w:r>
      <w:r>
        <w:rPr>
          <w:color w:val="231F20"/>
          <w:spacing w:val="-8"/>
        </w:rPr>
        <w:t> </w:t>
      </w:r>
      <w:r>
        <w:rPr>
          <w:color w:val="231F20"/>
        </w:rPr>
        <w:t>resultan</w:t>
      </w:r>
      <w:r>
        <w:rPr>
          <w:color w:val="231F20"/>
          <w:spacing w:val="-8"/>
        </w:rPr>
        <w:t> </w:t>
      </w:r>
      <w:r>
        <w:rPr>
          <w:color w:val="231F20"/>
        </w:rPr>
        <w:t>ser</w:t>
      </w:r>
      <w:r>
        <w:rPr>
          <w:color w:val="231F20"/>
          <w:spacing w:val="-8"/>
        </w:rPr>
        <w:t> </w:t>
      </w:r>
      <w:r>
        <w:rPr>
          <w:color w:val="231F20"/>
        </w:rPr>
        <w:t>las</w:t>
      </w:r>
      <w:r>
        <w:rPr>
          <w:color w:val="231F20"/>
          <w:spacing w:val="-8"/>
        </w:rPr>
        <w:t> </w:t>
      </w:r>
      <w:r>
        <w:rPr>
          <w:color w:val="231F20"/>
        </w:rPr>
        <w:t>variables</w:t>
      </w:r>
      <w:r>
        <w:rPr>
          <w:color w:val="231F20"/>
          <w:spacing w:val="-16"/>
        </w:rPr>
        <w:t> </w:t>
      </w:r>
      <w:r>
        <w:rPr>
          <w:color w:val="231F20"/>
        </w:rPr>
        <w:t>Y5</w:t>
      </w:r>
      <w:r>
        <w:rPr>
          <w:color w:val="231F20"/>
          <w:spacing w:val="-8"/>
        </w:rPr>
        <w:t> </w:t>
      </w:r>
      <w:r>
        <w:rPr>
          <w:color w:val="231F20"/>
        </w:rPr>
        <w:t>y</w:t>
      </w:r>
      <w:r>
        <w:rPr>
          <w:color w:val="231F20"/>
          <w:spacing w:val="-16"/>
        </w:rPr>
        <w:t> </w:t>
      </w:r>
      <w:r>
        <w:rPr>
          <w:color w:val="231F20"/>
        </w:rPr>
        <w:t>Y6,</w:t>
      </w:r>
      <w:r>
        <w:rPr>
          <w:color w:val="231F20"/>
          <w:spacing w:val="-8"/>
        </w:rPr>
        <w:t> </w:t>
      </w:r>
      <w:r>
        <w:rPr>
          <w:color w:val="231F20"/>
        </w:rPr>
        <w:t>ya</w:t>
      </w:r>
      <w:r>
        <w:rPr>
          <w:color w:val="231F20"/>
          <w:spacing w:val="-8"/>
        </w:rPr>
        <w:t> </w:t>
      </w:r>
      <w:r>
        <w:rPr>
          <w:color w:val="231F20"/>
        </w:rPr>
        <w:t>que</w:t>
      </w:r>
      <w:r>
        <w:rPr>
          <w:color w:val="231F20"/>
          <w:spacing w:val="-8"/>
        </w:rPr>
        <w:t> </w:t>
      </w:r>
      <w:r>
        <w:rPr>
          <w:color w:val="231F20"/>
        </w:rPr>
        <w:t>la</w:t>
      </w:r>
    </w:p>
    <w:p>
      <w:pPr>
        <w:spacing w:after="0" w:line="247" w:lineRule="auto"/>
        <w:jc w:val="both"/>
        <w:sectPr>
          <w:pgSz w:w="10920" w:h="13080"/>
          <w:pgMar w:header="0" w:footer="1025" w:top="420" w:bottom="1220" w:left="0" w:right="0"/>
        </w:sectPr>
      </w:pPr>
    </w:p>
    <w:p>
      <w:pPr>
        <w:pStyle w:val="BodyText"/>
        <w:spacing w:line="262" w:lineRule="exact"/>
        <w:ind w:left="1270"/>
        <w:rPr>
          <w:i/>
          <w:sz w:val="18"/>
        </w:rPr>
      </w:pPr>
      <w:r>
        <w:rPr>
          <w:color w:val="231F20"/>
        </w:rPr>
        <w:t>ganancia</w:t>
      </w:r>
      <w:r>
        <w:rPr>
          <w:color w:val="231F20"/>
          <w:spacing w:val="-5"/>
        </w:rPr>
        <w:t> </w:t>
      </w:r>
      <w:r>
        <w:rPr>
          <w:color w:val="231F20"/>
        </w:rPr>
        <w:t>“g”,</w:t>
      </w:r>
      <w:r>
        <w:rPr>
          <w:color w:val="231F20"/>
          <w:spacing w:val="-5"/>
        </w:rPr>
        <w:t> </w:t>
      </w:r>
      <w:r>
        <w:rPr>
          <w:color w:val="231F20"/>
        </w:rPr>
        <w:t>al</w:t>
      </w:r>
      <w:r>
        <w:rPr>
          <w:color w:val="231F20"/>
          <w:spacing w:val="-5"/>
        </w:rPr>
        <w:t> </w:t>
      </w:r>
      <w:r>
        <w:rPr>
          <w:color w:val="231F20"/>
        </w:rPr>
        <w:t>ser</w:t>
      </w:r>
      <w:r>
        <w:rPr>
          <w:color w:val="231F20"/>
          <w:spacing w:val="-4"/>
        </w:rPr>
        <w:t> </w:t>
      </w:r>
      <w:r>
        <w:rPr>
          <w:color w:val="231F20"/>
        </w:rPr>
        <w:t>la</w:t>
      </w:r>
      <w:r>
        <w:rPr>
          <w:color w:val="231F20"/>
          <w:spacing w:val="-5"/>
        </w:rPr>
        <w:t> </w:t>
      </w:r>
      <w:r>
        <w:rPr>
          <w:color w:val="231F20"/>
        </w:rPr>
        <w:t>diferencia</w:t>
      </w:r>
      <w:r>
        <w:rPr>
          <w:color w:val="231F20"/>
          <w:spacing w:val="-5"/>
        </w:rPr>
        <w:t> </w:t>
      </w:r>
      <w:r>
        <w:rPr>
          <w:color w:val="231F20"/>
        </w:rPr>
        <w:t>entre</w:t>
      </w:r>
      <w:r>
        <w:rPr>
          <w:color w:val="231F20"/>
          <w:spacing w:val="-5"/>
        </w:rPr>
        <w:t> </w:t>
      </w:r>
      <w:r>
        <w:rPr>
          <w:color w:val="231F20"/>
        </w:rPr>
        <w:t>el</w:t>
      </w:r>
      <w:r>
        <w:rPr>
          <w:color w:val="231F20"/>
          <w:spacing w:val="-5"/>
        </w:rPr>
        <w:t> </w:t>
      </w:r>
      <w:r>
        <w:rPr>
          <w:color w:val="231F20"/>
        </w:rPr>
        <w:t>ingreso</w:t>
      </w:r>
      <w:r>
        <w:rPr>
          <w:color w:val="231F20"/>
          <w:spacing w:val="-5"/>
        </w:rPr>
        <w:t> </w:t>
      </w:r>
      <w:r>
        <w:rPr>
          <w:color w:val="231F20"/>
        </w:rPr>
        <w:t>bruto</w:t>
      </w:r>
      <w:r>
        <w:rPr>
          <w:color w:val="231F20"/>
          <w:spacing w:val="-5"/>
        </w:rPr>
        <w:t> </w:t>
      </w:r>
      <w:r>
        <w:rPr>
          <w:color w:val="231F20"/>
        </w:rPr>
        <w:t>“i”</w:t>
      </w:r>
      <w:r>
        <w:rPr>
          <w:color w:val="231F20"/>
          <w:spacing w:val="-5"/>
        </w:rPr>
        <w:t> </w:t>
      </w:r>
      <w:r>
        <w:rPr>
          <w:color w:val="231F20"/>
        </w:rPr>
        <w:t>y</w:t>
      </w:r>
      <w:r>
        <w:rPr>
          <w:color w:val="231F20"/>
          <w:spacing w:val="-5"/>
        </w:rPr>
        <w:t> </w:t>
      </w:r>
      <w:r>
        <w:rPr>
          <w:color w:val="231F20"/>
        </w:rPr>
        <w:t>el</w:t>
      </w:r>
      <w:r>
        <w:rPr>
          <w:color w:val="231F20"/>
          <w:spacing w:val="-5"/>
        </w:rPr>
        <w:t> </w:t>
      </w:r>
      <w:r>
        <w:rPr>
          <w:color w:val="231F20"/>
        </w:rPr>
        <w:t>costo</w:t>
      </w:r>
      <w:r>
        <w:rPr>
          <w:color w:val="231F20"/>
          <w:spacing w:val="-5"/>
        </w:rPr>
        <w:t> </w:t>
      </w:r>
      <w:r>
        <w:rPr>
          <w:color w:val="231F20"/>
        </w:rPr>
        <w:t>“c”,</w:t>
      </w:r>
      <w:r>
        <w:rPr>
          <w:color w:val="231F20"/>
          <w:spacing w:val="-5"/>
        </w:rPr>
        <w:t> </w:t>
      </w:r>
      <w:r>
        <w:rPr>
          <w:color w:val="231F20"/>
        </w:rPr>
        <w:t>es</w:t>
      </w:r>
      <w:r>
        <w:rPr>
          <w:color w:val="231F20"/>
          <w:spacing w:val="-5"/>
        </w:rPr>
        <w:t> </w:t>
      </w:r>
      <w:r>
        <w:rPr>
          <w:color w:val="231F20"/>
        </w:rPr>
        <w:t>decir:</w:t>
      </w:r>
      <w:r>
        <w:rPr>
          <w:color w:val="231F20"/>
          <w:spacing w:val="29"/>
        </w:rPr>
        <w:t> </w:t>
      </w:r>
      <w:r>
        <w:rPr>
          <w:i/>
          <w:color w:val="010202"/>
          <w:position w:val="7"/>
          <w:sz w:val="18"/>
        </w:rPr>
        <w:t>g</w:t>
      </w:r>
      <w:r>
        <w:rPr>
          <w:i/>
          <w:color w:val="010202"/>
          <w:spacing w:val="11"/>
          <w:position w:val="7"/>
          <w:sz w:val="18"/>
        </w:rPr>
        <w:t> </w:t>
      </w:r>
      <w:r>
        <w:rPr>
          <w:rFonts w:ascii="Symbol" w:hAnsi="Symbol"/>
          <w:color w:val="010202"/>
          <w:position w:val="7"/>
          <w:sz w:val="18"/>
        </w:rPr>
        <w:t></w:t>
      </w:r>
      <w:r>
        <w:rPr>
          <w:color w:val="010202"/>
          <w:spacing w:val="-6"/>
          <w:position w:val="7"/>
          <w:sz w:val="18"/>
        </w:rPr>
        <w:t> </w:t>
      </w:r>
      <w:r>
        <w:rPr>
          <w:i/>
          <w:color w:val="010202"/>
          <w:position w:val="7"/>
          <w:sz w:val="18"/>
        </w:rPr>
        <w:t>i</w:t>
      </w:r>
      <w:r>
        <w:rPr>
          <w:i/>
          <w:color w:val="010202"/>
          <w:spacing w:val="-7"/>
          <w:position w:val="7"/>
          <w:sz w:val="18"/>
        </w:rPr>
        <w:t> </w:t>
      </w:r>
      <w:r>
        <w:rPr>
          <w:rFonts w:ascii="Symbol" w:hAnsi="Symbol"/>
          <w:color w:val="010202"/>
          <w:position w:val="7"/>
          <w:sz w:val="18"/>
        </w:rPr>
        <w:t></w:t>
      </w:r>
      <w:r>
        <w:rPr>
          <w:color w:val="010202"/>
          <w:spacing w:val="-14"/>
          <w:position w:val="7"/>
          <w:sz w:val="18"/>
        </w:rPr>
        <w:t> </w:t>
      </w:r>
      <w:r>
        <w:rPr>
          <w:i/>
          <w:color w:val="010202"/>
          <w:position w:val="7"/>
          <w:sz w:val="18"/>
        </w:rPr>
        <w:t>c</w:t>
      </w:r>
    </w:p>
    <w:p>
      <w:pPr>
        <w:pStyle w:val="BodyText"/>
        <w:spacing w:before="21"/>
        <w:ind w:left="90"/>
      </w:pPr>
      <w:r>
        <w:rPr/>
        <w:br w:type="column"/>
      </w:r>
      <w:r>
        <w:rPr>
          <w:color w:val="231F20"/>
        </w:rPr>
        <w:t>, deviene</w:t>
      </w:r>
    </w:p>
    <w:p>
      <w:pPr>
        <w:spacing w:after="0"/>
        <w:sectPr>
          <w:type w:val="continuous"/>
          <w:pgSz w:w="10920" w:h="13080"/>
          <w:pgMar w:top="0" w:bottom="0" w:left="0" w:right="0"/>
          <w:cols w:num="2" w:equalWidth="0">
            <w:col w:w="8765" w:space="40"/>
            <w:col w:w="2115"/>
          </w:cols>
        </w:sectPr>
      </w:pPr>
    </w:p>
    <w:p>
      <w:pPr>
        <w:pStyle w:val="BodyText"/>
        <w:spacing w:line="247" w:lineRule="auto" w:before="8"/>
        <w:ind w:left="1270" w:right="1268"/>
        <w:jc w:val="both"/>
      </w:pPr>
      <w:r>
        <w:rPr>
          <w:color w:val="231F20"/>
        </w:rPr>
        <w:t>en un indicador de eficiencia per se, ya que la ganancia es un excedente monetario en relación a la inversión</w:t>
      </w:r>
      <w:r>
        <w:rPr>
          <w:color w:val="231F20"/>
          <w:spacing w:val="-5"/>
        </w:rPr>
        <w:t> </w:t>
      </w:r>
      <w:r>
        <w:rPr>
          <w:color w:val="231F20"/>
        </w:rPr>
        <w:t>de</w:t>
      </w:r>
      <w:r>
        <w:rPr>
          <w:color w:val="231F20"/>
          <w:spacing w:val="-5"/>
        </w:rPr>
        <w:t> </w:t>
      </w:r>
      <w:r>
        <w:rPr>
          <w:color w:val="231F20"/>
        </w:rPr>
        <w:t>capital,</w:t>
      </w:r>
      <w:r>
        <w:rPr>
          <w:color w:val="231F20"/>
          <w:spacing w:val="-5"/>
        </w:rPr>
        <w:t> </w:t>
      </w:r>
      <w:r>
        <w:rPr>
          <w:color w:val="231F20"/>
        </w:rPr>
        <w:t>mientras</w:t>
      </w:r>
      <w:r>
        <w:rPr>
          <w:color w:val="231F20"/>
          <w:spacing w:val="-5"/>
        </w:rPr>
        <w:t> </w:t>
      </w:r>
      <w:r>
        <w:rPr>
          <w:color w:val="231F20"/>
        </w:rPr>
        <w:t>que</w:t>
      </w:r>
      <w:r>
        <w:rPr>
          <w:color w:val="231F20"/>
          <w:spacing w:val="-5"/>
        </w:rPr>
        <w:t> </w:t>
      </w:r>
      <w:r>
        <w:rPr>
          <w:color w:val="231F20"/>
        </w:rPr>
        <w:t>el</w:t>
      </w:r>
      <w:r>
        <w:rPr>
          <w:color w:val="231F20"/>
          <w:spacing w:val="-5"/>
        </w:rPr>
        <w:t> </w:t>
      </w:r>
      <w:r>
        <w:rPr>
          <w:color w:val="231F20"/>
        </w:rPr>
        <w:t>ingreso,</w:t>
      </w:r>
      <w:r>
        <w:rPr>
          <w:color w:val="231F20"/>
          <w:spacing w:val="-5"/>
        </w:rPr>
        <w:t> </w:t>
      </w:r>
      <w:r>
        <w:rPr>
          <w:color w:val="231F20"/>
        </w:rPr>
        <w:t>al</w:t>
      </w:r>
      <w:r>
        <w:rPr>
          <w:color w:val="231F20"/>
          <w:spacing w:val="-5"/>
        </w:rPr>
        <w:t> </w:t>
      </w:r>
      <w:r>
        <w:rPr>
          <w:color w:val="231F20"/>
        </w:rPr>
        <w:t>no</w:t>
      </w:r>
      <w:r>
        <w:rPr>
          <w:color w:val="231F20"/>
          <w:spacing w:val="-5"/>
        </w:rPr>
        <w:t> </w:t>
      </w:r>
      <w:r>
        <w:rPr>
          <w:color w:val="231F20"/>
        </w:rPr>
        <w:t>ser</w:t>
      </w:r>
      <w:r>
        <w:rPr>
          <w:color w:val="231F20"/>
          <w:spacing w:val="-5"/>
        </w:rPr>
        <w:t> </w:t>
      </w:r>
      <w:r>
        <w:rPr>
          <w:color w:val="231F20"/>
        </w:rPr>
        <w:t>un</w:t>
      </w:r>
      <w:r>
        <w:rPr>
          <w:color w:val="231F20"/>
          <w:spacing w:val="-5"/>
        </w:rPr>
        <w:t> </w:t>
      </w:r>
      <w:r>
        <w:rPr>
          <w:color w:val="231F20"/>
        </w:rPr>
        <w:t>excedente,</w:t>
      </w:r>
      <w:r>
        <w:rPr>
          <w:color w:val="231F20"/>
          <w:spacing w:val="-5"/>
        </w:rPr>
        <w:t> </w:t>
      </w:r>
      <w:r>
        <w:rPr>
          <w:color w:val="231F20"/>
        </w:rPr>
        <w:t>no</w:t>
      </w:r>
      <w:r>
        <w:rPr>
          <w:color w:val="231F20"/>
          <w:spacing w:val="-5"/>
        </w:rPr>
        <w:t> </w:t>
      </w:r>
      <w:r>
        <w:rPr>
          <w:color w:val="231F20"/>
        </w:rPr>
        <w:t>es</w:t>
      </w:r>
      <w:r>
        <w:rPr>
          <w:color w:val="231F20"/>
          <w:spacing w:val="-5"/>
        </w:rPr>
        <w:t> </w:t>
      </w:r>
      <w:r>
        <w:rPr>
          <w:color w:val="231F20"/>
        </w:rPr>
        <w:t>un</w:t>
      </w:r>
      <w:r>
        <w:rPr>
          <w:color w:val="231F20"/>
          <w:spacing w:val="-5"/>
        </w:rPr>
        <w:t> </w:t>
      </w:r>
      <w:r>
        <w:rPr>
          <w:color w:val="231F20"/>
        </w:rPr>
        <w:t>indicador</w:t>
      </w:r>
      <w:r>
        <w:rPr>
          <w:color w:val="231F20"/>
          <w:spacing w:val="-5"/>
        </w:rPr>
        <w:t> </w:t>
      </w:r>
      <w:r>
        <w:rPr>
          <w:color w:val="231F20"/>
        </w:rPr>
        <w:t>de</w:t>
      </w:r>
      <w:r>
        <w:rPr>
          <w:color w:val="231F20"/>
          <w:spacing w:val="-5"/>
        </w:rPr>
        <w:t> </w:t>
      </w:r>
      <w:r>
        <w:rPr>
          <w:color w:val="231F20"/>
        </w:rPr>
        <w:t>eficiencia en sentido estricto como lo es el de la ganancia. Así, se determinó que mientras que el cultivo de zacate</w:t>
      </w:r>
      <w:r>
        <w:rPr>
          <w:color w:val="231F20"/>
          <w:spacing w:val="-9"/>
        </w:rPr>
        <w:t> </w:t>
      </w:r>
      <w:r>
        <w:rPr>
          <w:color w:val="231F20"/>
        </w:rPr>
        <w:t>ballico,</w:t>
      </w:r>
      <w:r>
        <w:rPr>
          <w:color w:val="231F20"/>
          <w:spacing w:val="-9"/>
        </w:rPr>
        <w:t> </w:t>
      </w:r>
      <w:r>
        <w:rPr>
          <w:color w:val="231F20"/>
        </w:rPr>
        <w:t>fue</w:t>
      </w:r>
      <w:r>
        <w:rPr>
          <w:color w:val="231F20"/>
          <w:spacing w:val="-9"/>
        </w:rPr>
        <w:t> </w:t>
      </w:r>
      <w:r>
        <w:rPr>
          <w:color w:val="231F20"/>
        </w:rPr>
        <w:t>capaz</w:t>
      </w:r>
      <w:r>
        <w:rPr>
          <w:color w:val="231F20"/>
          <w:spacing w:val="-9"/>
        </w:rPr>
        <w:t> </w:t>
      </w:r>
      <w:r>
        <w:rPr>
          <w:color w:val="231F20"/>
        </w:rPr>
        <w:t>de</w:t>
      </w:r>
      <w:r>
        <w:rPr>
          <w:color w:val="231F20"/>
          <w:spacing w:val="-9"/>
        </w:rPr>
        <w:t> </w:t>
      </w:r>
      <w:r>
        <w:rPr>
          <w:color w:val="231F20"/>
        </w:rPr>
        <w:t>producir</w:t>
      </w:r>
      <w:r>
        <w:rPr>
          <w:color w:val="231F20"/>
          <w:spacing w:val="-9"/>
        </w:rPr>
        <w:t> </w:t>
      </w:r>
      <w:r>
        <w:rPr>
          <w:color w:val="231F20"/>
        </w:rPr>
        <w:t>una</w:t>
      </w:r>
      <w:r>
        <w:rPr>
          <w:color w:val="231F20"/>
          <w:spacing w:val="-9"/>
        </w:rPr>
        <w:t> </w:t>
      </w:r>
      <w:r>
        <w:rPr>
          <w:color w:val="231F20"/>
        </w:rPr>
        <w:t>perdida</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ganancia</w:t>
      </w:r>
      <w:r>
        <w:rPr>
          <w:color w:val="231F20"/>
          <w:spacing w:val="-9"/>
        </w:rPr>
        <w:t> </w:t>
      </w:r>
      <w:r>
        <w:rPr>
          <w:color w:val="231F20"/>
        </w:rPr>
        <w:t>bruta</w:t>
      </w:r>
      <w:r>
        <w:rPr>
          <w:color w:val="231F20"/>
          <w:spacing w:val="-9"/>
        </w:rPr>
        <w:t> </w:t>
      </w:r>
      <w:r>
        <w:rPr>
          <w:color w:val="231F20"/>
        </w:rPr>
        <w:t>de</w:t>
      </w:r>
      <w:r>
        <w:rPr>
          <w:color w:val="231F20"/>
          <w:spacing w:val="-9"/>
        </w:rPr>
        <w:t> </w:t>
      </w:r>
      <w:r>
        <w:rPr>
          <w:color w:val="231F20"/>
        </w:rPr>
        <w:t>-$0.21/m³</w:t>
      </w:r>
      <w:r>
        <w:rPr>
          <w:color w:val="231F20"/>
          <w:spacing w:val="-9"/>
        </w:rPr>
        <w:t> </w:t>
      </w:r>
      <w:r>
        <w:rPr>
          <w:color w:val="231F20"/>
        </w:rPr>
        <w:t>de</w:t>
      </w:r>
      <w:r>
        <w:rPr>
          <w:color w:val="231F20"/>
          <w:spacing w:val="-9"/>
        </w:rPr>
        <w:t> </w:t>
      </w:r>
      <w:r>
        <w:rPr>
          <w:color w:val="231F20"/>
        </w:rPr>
        <w:t>agua,</w:t>
      </w:r>
      <w:r>
        <w:rPr>
          <w:color w:val="231F20"/>
          <w:spacing w:val="-9"/>
        </w:rPr>
        <w:t> </w:t>
      </w:r>
      <w:r>
        <w:rPr>
          <w:color w:val="231F20"/>
        </w:rPr>
        <w:t>el</w:t>
      </w:r>
      <w:r>
        <w:rPr>
          <w:color w:val="231F20"/>
          <w:spacing w:val="-9"/>
        </w:rPr>
        <w:t> </w:t>
      </w:r>
      <w:r>
        <w:rPr>
          <w:color w:val="231F20"/>
        </w:rPr>
        <w:t>alfalfa forrajera,</w:t>
      </w:r>
      <w:r>
        <w:rPr>
          <w:color w:val="231F20"/>
          <w:spacing w:val="-9"/>
        </w:rPr>
        <w:t> </w:t>
      </w:r>
      <w:r>
        <w:rPr>
          <w:color w:val="231F20"/>
        </w:rPr>
        <w:t>con</w:t>
      </w:r>
      <w:r>
        <w:rPr>
          <w:color w:val="231F20"/>
          <w:spacing w:val="-9"/>
        </w:rPr>
        <w:t> </w:t>
      </w:r>
      <w:r>
        <w:rPr>
          <w:color w:val="231F20"/>
        </w:rPr>
        <w:t>sus</w:t>
      </w:r>
      <w:r>
        <w:rPr>
          <w:color w:val="231F20"/>
          <w:spacing w:val="-9"/>
        </w:rPr>
        <w:t> </w:t>
      </w:r>
      <w:r>
        <w:rPr>
          <w:color w:val="231F20"/>
        </w:rPr>
        <w:t>$0.90</w:t>
      </w:r>
      <w:r>
        <w:rPr>
          <w:color w:val="231F20"/>
          <w:spacing w:val="-9"/>
        </w:rPr>
        <w:t> </w:t>
      </w:r>
      <w:r>
        <w:rPr>
          <w:color w:val="231F20"/>
        </w:rPr>
        <w:t>de</w:t>
      </w:r>
      <w:r>
        <w:rPr>
          <w:color w:val="231F20"/>
          <w:spacing w:val="-9"/>
        </w:rPr>
        <w:t> </w:t>
      </w:r>
      <w:r>
        <w:rPr>
          <w:color w:val="231F20"/>
        </w:rPr>
        <w:t>ganancia/m3,</w:t>
      </w:r>
      <w:r>
        <w:rPr>
          <w:color w:val="231F20"/>
          <w:spacing w:val="-9"/>
        </w:rPr>
        <w:t> </w:t>
      </w:r>
      <w:r>
        <w:rPr>
          <w:color w:val="231F20"/>
        </w:rPr>
        <w:t>fue</w:t>
      </w:r>
      <w:r>
        <w:rPr>
          <w:color w:val="231F20"/>
          <w:spacing w:val="-9"/>
        </w:rPr>
        <w:t> </w:t>
      </w:r>
      <w:r>
        <w:rPr>
          <w:color w:val="231F20"/>
        </w:rPr>
        <w:t>superior,</w:t>
      </w:r>
      <w:r>
        <w:rPr>
          <w:color w:val="231F20"/>
          <w:spacing w:val="-9"/>
        </w:rPr>
        <w:t> </w:t>
      </w:r>
      <w:r>
        <w:rPr>
          <w:color w:val="231F20"/>
        </w:rPr>
        <w:t>es</w:t>
      </w:r>
      <w:r>
        <w:rPr>
          <w:color w:val="231F20"/>
          <w:spacing w:val="-9"/>
        </w:rPr>
        <w:t> </w:t>
      </w:r>
      <w:r>
        <w:rPr>
          <w:color w:val="231F20"/>
        </w:rPr>
        <w:t>decir,</w:t>
      </w:r>
      <w:r>
        <w:rPr>
          <w:color w:val="231F20"/>
          <w:spacing w:val="-9"/>
        </w:rPr>
        <w:t> </w:t>
      </w:r>
      <w:r>
        <w:rPr>
          <w:color w:val="231F20"/>
        </w:rPr>
        <w:t>productivo</w:t>
      </w:r>
      <w:r>
        <w:rPr>
          <w:color w:val="231F20"/>
          <w:spacing w:val="-9"/>
        </w:rPr>
        <w:t> </w:t>
      </w:r>
      <w:r>
        <w:rPr>
          <w:color w:val="231F20"/>
        </w:rPr>
        <w:t>en</w:t>
      </w:r>
      <w:r>
        <w:rPr>
          <w:color w:val="231F20"/>
          <w:spacing w:val="-9"/>
        </w:rPr>
        <w:t> </w:t>
      </w:r>
      <w:r>
        <w:rPr>
          <w:color w:val="231F20"/>
        </w:rPr>
        <w:t>relación</w:t>
      </w:r>
      <w:r>
        <w:rPr>
          <w:color w:val="231F20"/>
          <w:spacing w:val="-9"/>
        </w:rPr>
        <w:t> </w:t>
      </w:r>
      <w:r>
        <w:rPr>
          <w:color w:val="231F20"/>
        </w:rPr>
        <w:t>al</w:t>
      </w:r>
      <w:r>
        <w:rPr>
          <w:color w:val="231F20"/>
          <w:spacing w:val="-9"/>
        </w:rPr>
        <w:t> </w:t>
      </w:r>
      <w:r>
        <w:rPr>
          <w:color w:val="231F20"/>
        </w:rPr>
        <w:t>zacate</w:t>
      </w:r>
      <w:r>
        <w:rPr>
          <w:color w:val="231F20"/>
          <w:spacing w:val="-9"/>
        </w:rPr>
        <w:t> </w:t>
      </w:r>
      <w:r>
        <w:rPr>
          <w:color w:val="231F20"/>
        </w:rPr>
        <w:t>balli- co en esa forma de medir la eficiencia del uso del agua subterránea (Cuadro</w:t>
      </w:r>
      <w:r>
        <w:rPr>
          <w:color w:val="231F20"/>
          <w:spacing w:val="-11"/>
        </w:rPr>
        <w:t> </w:t>
      </w:r>
      <w:r>
        <w:rPr>
          <w:color w:val="231F20"/>
        </w:rPr>
        <w:t>3).</w:t>
      </w:r>
    </w:p>
    <w:p>
      <w:pPr>
        <w:pStyle w:val="BodyText"/>
        <w:spacing w:before="10"/>
      </w:pPr>
    </w:p>
    <w:p>
      <w:pPr>
        <w:pStyle w:val="BodyText"/>
        <w:spacing w:line="247" w:lineRule="auto"/>
        <w:ind w:left="1270" w:right="1267"/>
        <w:jc w:val="both"/>
      </w:pPr>
      <w:r>
        <w:rPr>
          <w:color w:val="231F20"/>
        </w:rPr>
        <w:t>Desde otro ángulo, mediante la obtención de la inversa de las anteriores cifras, se encontró que producir $1 de ganancia bruta, requirió de 4,807 litros en el zacate ballico y 1,115 litros en el</w:t>
      </w:r>
      <w:r>
        <w:rPr>
          <w:color w:val="231F20"/>
          <w:spacing w:val="-29"/>
        </w:rPr>
        <w:t> </w:t>
      </w:r>
      <w:r>
        <w:rPr>
          <w:color w:val="231F20"/>
        </w:rPr>
        <w:t>alfalfa forrajera (los indicadores del Cuadro 3 fueron 4.807 y 1.115metros cúbicos por $1 de utilidad, re- pectivamente).</w:t>
      </w:r>
    </w:p>
    <w:p>
      <w:pPr>
        <w:pStyle w:val="BodyText"/>
        <w:spacing w:before="10"/>
      </w:pPr>
    </w:p>
    <w:p>
      <w:pPr>
        <w:pStyle w:val="Heading5"/>
      </w:pPr>
      <w:r>
        <w:rPr>
          <w:color w:val="231F20"/>
        </w:rPr>
        <w:t>Eficiencia social del agua subterránea usada en el riego por bombeo en zacate forrajero</w:t>
      </w:r>
    </w:p>
    <w:p>
      <w:pPr>
        <w:pStyle w:val="BodyText"/>
        <w:spacing w:line="247" w:lineRule="auto" w:before="8"/>
        <w:ind w:left="1270" w:right="1267"/>
        <w:jc w:val="both"/>
      </w:pPr>
      <w:r>
        <w:rPr>
          <w:color w:val="231F20"/>
        </w:rPr>
        <w:t>El precio del agua aquí considerado, es el resultado de dividir el rubro de “Riego” existente dentro de la estructura del costo total de producción por hectárea considerado en los Anuarios Estadísticos de la Producción Agropecuaria considerados (ver Cuadro 2) entre el volumen de agua irrigado por hectárea,</w:t>
      </w:r>
      <w:r>
        <w:rPr>
          <w:color w:val="231F20"/>
          <w:spacing w:val="-4"/>
        </w:rPr>
        <w:t> </w:t>
      </w:r>
      <w:r>
        <w:rPr>
          <w:color w:val="231F20"/>
        </w:rPr>
        <w:t>calculado</w:t>
      </w:r>
      <w:r>
        <w:rPr>
          <w:color w:val="231F20"/>
          <w:spacing w:val="-4"/>
        </w:rPr>
        <w:t> </w:t>
      </w:r>
      <w:r>
        <w:rPr>
          <w:color w:val="231F20"/>
        </w:rPr>
        <w:t>en</w:t>
      </w:r>
      <w:r>
        <w:rPr>
          <w:color w:val="231F20"/>
          <w:spacing w:val="-4"/>
        </w:rPr>
        <w:t> </w:t>
      </w:r>
      <w:r>
        <w:rPr>
          <w:color w:val="231F20"/>
        </w:rPr>
        <w:t>base</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lámina</w:t>
      </w:r>
      <w:r>
        <w:rPr>
          <w:color w:val="231F20"/>
          <w:spacing w:val="-5"/>
        </w:rPr>
        <w:t> </w:t>
      </w:r>
      <w:r>
        <w:rPr>
          <w:color w:val="231F20"/>
        </w:rPr>
        <w:t>de</w:t>
      </w:r>
      <w:r>
        <w:rPr>
          <w:color w:val="231F20"/>
          <w:spacing w:val="-4"/>
        </w:rPr>
        <w:t> </w:t>
      </w:r>
      <w:r>
        <w:rPr>
          <w:color w:val="231F20"/>
        </w:rPr>
        <w:t>riego</w:t>
      </w:r>
      <w:r>
        <w:rPr>
          <w:color w:val="231F20"/>
          <w:spacing w:val="-4"/>
        </w:rPr>
        <w:t> </w:t>
      </w:r>
      <w:r>
        <w:rPr>
          <w:color w:val="231F20"/>
        </w:rPr>
        <w:t>recomendada</w:t>
      </w:r>
      <w:r>
        <w:rPr>
          <w:color w:val="231F20"/>
          <w:spacing w:val="-4"/>
        </w:rPr>
        <w:t> </w:t>
      </w:r>
      <w:r>
        <w:rPr>
          <w:color w:val="231F20"/>
        </w:rPr>
        <w:t>por</w:t>
      </w:r>
      <w:r>
        <w:rPr>
          <w:color w:val="231F20"/>
          <w:spacing w:val="-4"/>
        </w:rPr>
        <w:t> </w:t>
      </w:r>
      <w:r>
        <w:rPr>
          <w:color w:val="231F20"/>
          <w:spacing w:val="-3"/>
        </w:rPr>
        <w:t>INIFAP</w:t>
      </w:r>
      <w:r>
        <w:rPr>
          <w:color w:val="231F20"/>
          <w:spacing w:val="-12"/>
        </w:rPr>
        <w:t> </w:t>
      </w:r>
      <w:r>
        <w:rPr>
          <w:color w:val="231F20"/>
        </w:rPr>
        <w:t>y</w:t>
      </w:r>
      <w:r>
        <w:rPr>
          <w:color w:val="231F20"/>
          <w:spacing w:val="-4"/>
        </w:rPr>
        <w:t> </w:t>
      </w:r>
      <w:r>
        <w:rPr>
          <w:color w:val="231F20"/>
        </w:rPr>
        <w:t>sometida</w:t>
      </w:r>
      <w:r>
        <w:rPr>
          <w:color w:val="231F20"/>
          <w:spacing w:val="-4"/>
        </w:rPr>
        <w:t> </w:t>
      </w:r>
      <w:r>
        <w:rPr>
          <w:color w:val="231F20"/>
        </w:rPr>
        <w:t>a</w:t>
      </w:r>
      <w:r>
        <w:rPr>
          <w:color w:val="231F20"/>
          <w:spacing w:val="-4"/>
        </w:rPr>
        <w:t> </w:t>
      </w:r>
      <w:r>
        <w:rPr>
          <w:color w:val="231F20"/>
        </w:rPr>
        <w:t>un</w:t>
      </w:r>
      <w:r>
        <w:rPr>
          <w:color w:val="231F20"/>
          <w:spacing w:val="-4"/>
        </w:rPr>
        <w:t> </w:t>
      </w:r>
      <w:r>
        <w:rPr>
          <w:color w:val="231F20"/>
        </w:rPr>
        <w:t>87.5%</w:t>
      </w:r>
      <w:r>
        <w:rPr>
          <w:color w:val="231F20"/>
          <w:spacing w:val="-4"/>
        </w:rPr>
        <w:t> </w:t>
      </w:r>
      <w:r>
        <w:rPr>
          <w:color w:val="231F20"/>
        </w:rPr>
        <w:t>de eficiencia en su conducción, de acuerdo a sugerencias del</w:t>
      </w:r>
      <w:r>
        <w:rPr>
          <w:color w:val="231F20"/>
          <w:spacing w:val="4"/>
        </w:rPr>
        <w:t> </w:t>
      </w:r>
      <w:r>
        <w:rPr>
          <w:color w:val="231F20"/>
          <w:spacing w:val="-4"/>
        </w:rPr>
        <w:t>CENID-RASPA-INIFAP.</w:t>
      </w:r>
    </w:p>
    <w:p>
      <w:pPr>
        <w:pStyle w:val="BodyText"/>
        <w:spacing w:before="11"/>
      </w:pPr>
    </w:p>
    <w:p>
      <w:pPr>
        <w:pStyle w:val="BodyText"/>
        <w:spacing w:line="249" w:lineRule="auto"/>
        <w:ind w:left="1270" w:right="1267"/>
        <w:jc w:val="both"/>
      </w:pPr>
      <w:r>
        <w:rPr/>
        <w:pict>
          <v:shape style="position:absolute;margin-left:385.91571pt;margin-top:8.373416pt;width:3.1pt;height:6.15pt;mso-position-horizontal-relative:page;mso-position-vertical-relative:paragraph;z-index:-205912" type="#_x0000_t202" filled="false" stroked="false">
            <v:textbox inset="0,0,0,0">
              <w:txbxContent>
                <w:p>
                  <w:pPr>
                    <w:spacing w:line="122" w:lineRule="exact" w:before="0"/>
                    <w:ind w:left="0" w:right="0" w:firstLine="0"/>
                    <w:jc w:val="left"/>
                    <w:rPr>
                      <w:sz w:val="12"/>
                    </w:rPr>
                  </w:pPr>
                  <w:r>
                    <w:rPr>
                      <w:color w:val="231F20"/>
                      <w:w w:val="102"/>
                      <w:sz w:val="12"/>
                    </w:rPr>
                    <w:t>7</w:t>
                  </w:r>
                </w:p>
              </w:txbxContent>
            </v:textbox>
            <w10:wrap type="none"/>
          </v:shape>
        </w:pict>
      </w:r>
      <w:r>
        <w:rPr/>
        <w:pict>
          <v:shape style="position:absolute;margin-left:211.063095pt;margin-top:45.873417pt;width:3.1pt;height:6.15pt;mso-position-horizontal-relative:page;mso-position-vertical-relative:paragraph;z-index:-205888" type="#_x0000_t202" filled="false" stroked="false">
            <v:textbox inset="0,0,0,0">
              <w:txbxContent>
                <w:p>
                  <w:pPr>
                    <w:spacing w:line="122" w:lineRule="exact" w:before="0"/>
                    <w:ind w:left="0" w:right="0" w:firstLine="0"/>
                    <w:jc w:val="left"/>
                    <w:rPr>
                      <w:sz w:val="12"/>
                    </w:rPr>
                  </w:pPr>
                  <w:r>
                    <w:rPr>
                      <w:color w:val="231F20"/>
                      <w:w w:val="102"/>
                      <w:sz w:val="12"/>
                    </w:rPr>
                    <w:t>7</w:t>
                  </w:r>
                </w:p>
              </w:txbxContent>
            </v:textbox>
            <w10:wrap type="none"/>
          </v:shape>
        </w:pict>
      </w:r>
      <w:r>
        <w:rPr>
          <w:color w:val="231F20"/>
        </w:rPr>
        <w:t>La</w:t>
      </w:r>
      <w:r>
        <w:rPr>
          <w:color w:val="231F20"/>
          <w:spacing w:val="-8"/>
        </w:rPr>
        <w:t> </w:t>
      </w:r>
      <w:r>
        <w:rPr>
          <w:color w:val="231F20"/>
        </w:rPr>
        <w:t>primer</w:t>
      </w:r>
      <w:r>
        <w:rPr>
          <w:color w:val="231F20"/>
          <w:spacing w:val="-8"/>
        </w:rPr>
        <w:t> </w:t>
      </w:r>
      <w:r>
        <w:rPr>
          <w:color w:val="231F20"/>
        </w:rPr>
        <w:t>variable</w:t>
      </w:r>
      <w:r>
        <w:rPr>
          <w:color w:val="231F20"/>
          <w:spacing w:val="-8"/>
        </w:rPr>
        <w:t> </w:t>
      </w:r>
      <w:r>
        <w:rPr>
          <w:color w:val="231F20"/>
        </w:rPr>
        <w:t>social</w:t>
      </w:r>
      <w:r>
        <w:rPr>
          <w:color w:val="231F20"/>
          <w:spacing w:val="-8"/>
        </w:rPr>
        <w:t> </w:t>
      </w:r>
      <w:r>
        <w:rPr>
          <w:color w:val="231F20"/>
        </w:rPr>
        <w:t>del</w:t>
      </w:r>
      <w:r>
        <w:rPr>
          <w:color w:val="231F20"/>
          <w:spacing w:val="-8"/>
        </w:rPr>
        <w:t> </w:t>
      </w:r>
      <w:r>
        <w:rPr>
          <w:color w:val="231F20"/>
        </w:rPr>
        <w:t>agua</w:t>
      </w:r>
      <w:r>
        <w:rPr>
          <w:color w:val="231F20"/>
          <w:spacing w:val="-8"/>
        </w:rPr>
        <w:t> </w:t>
      </w:r>
      <w:r>
        <w:rPr>
          <w:color w:val="231F20"/>
        </w:rPr>
        <w:t>subterránea</w:t>
      </w:r>
      <w:r>
        <w:rPr>
          <w:color w:val="231F20"/>
          <w:spacing w:val="-7"/>
        </w:rPr>
        <w:t> </w:t>
      </w:r>
      <w:r>
        <w:rPr>
          <w:color w:val="231F20"/>
        </w:rPr>
        <w:t>usada</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riego,</w:t>
      </w:r>
      <w:r>
        <w:rPr>
          <w:color w:val="231F20"/>
          <w:spacing w:val="-8"/>
        </w:rPr>
        <w:t> </w:t>
      </w:r>
      <w:r>
        <w:rPr>
          <w:color w:val="231F20"/>
        </w:rPr>
        <w:t>la</w:t>
      </w:r>
      <w:r>
        <w:rPr>
          <w:color w:val="231F20"/>
          <w:spacing w:val="-8"/>
        </w:rPr>
        <w:t> </w:t>
      </w:r>
      <w:r>
        <w:rPr>
          <w:color w:val="231F20"/>
        </w:rPr>
        <w:t>variable</w:t>
      </w:r>
      <w:r>
        <w:rPr>
          <w:color w:val="231F20"/>
          <w:spacing w:val="-16"/>
        </w:rPr>
        <w:t> </w:t>
      </w:r>
      <w:r>
        <w:rPr>
          <w:color w:val="231F20"/>
        </w:rPr>
        <w:t>Y</w:t>
      </w:r>
      <w:r>
        <w:rPr>
          <w:color w:val="231F20"/>
          <w:spacing w:val="6"/>
        </w:rPr>
        <w:t> </w:t>
      </w:r>
      <w:r>
        <w:rPr>
          <w:color w:val="231F20"/>
        </w:rPr>
        <w:t>,</w:t>
      </w:r>
      <w:r>
        <w:rPr>
          <w:color w:val="231F20"/>
          <w:spacing w:val="-8"/>
        </w:rPr>
        <w:t> </w:t>
      </w:r>
      <w:r>
        <w:rPr>
          <w:color w:val="231F20"/>
        </w:rPr>
        <w:t>determinada</w:t>
      </w:r>
      <w:r>
        <w:rPr>
          <w:color w:val="231F20"/>
          <w:spacing w:val="-8"/>
        </w:rPr>
        <w:t> </w:t>
      </w:r>
      <w:r>
        <w:rPr>
          <w:color w:val="231F20"/>
        </w:rPr>
        <w:t>median- te</w:t>
      </w:r>
      <w:r>
        <w:rPr>
          <w:color w:val="231F20"/>
          <w:spacing w:val="-6"/>
        </w:rPr>
        <w:t> </w:t>
      </w:r>
      <w:r>
        <w:rPr>
          <w:color w:val="231F20"/>
        </w:rPr>
        <w:t>el</w:t>
      </w:r>
      <w:r>
        <w:rPr>
          <w:color w:val="231F20"/>
          <w:spacing w:val="-6"/>
        </w:rPr>
        <w:t> </w:t>
      </w:r>
      <w:r>
        <w:rPr>
          <w:color w:val="231F20"/>
        </w:rPr>
        <w:t>cociente</w:t>
      </w:r>
      <w:r>
        <w:rPr>
          <w:color w:val="231F20"/>
          <w:spacing w:val="-6"/>
        </w:rPr>
        <w:t> </w:t>
      </w:r>
      <w:r>
        <w:rPr>
          <w:color w:val="231F20"/>
        </w:rPr>
        <w:t>que</w:t>
      </w:r>
      <w:r>
        <w:rPr>
          <w:color w:val="231F20"/>
          <w:spacing w:val="-5"/>
        </w:rPr>
        <w:t> </w:t>
      </w:r>
      <w:r>
        <w:rPr>
          <w:color w:val="231F20"/>
        </w:rPr>
        <w:t>divide</w:t>
      </w:r>
      <w:r>
        <w:rPr>
          <w:color w:val="231F20"/>
          <w:spacing w:val="-5"/>
        </w:rPr>
        <w:t> </w:t>
      </w:r>
      <w:r>
        <w:rPr>
          <w:color w:val="231F20"/>
        </w:rPr>
        <w:t>a</w:t>
      </w:r>
      <w:r>
        <w:rPr>
          <w:color w:val="231F20"/>
          <w:spacing w:val="-5"/>
        </w:rPr>
        <w:t> </w:t>
      </w:r>
      <w:r>
        <w:rPr>
          <w:color w:val="231F20"/>
        </w:rPr>
        <w:t>la</w:t>
      </w:r>
      <w:r>
        <w:rPr>
          <w:color w:val="231F20"/>
          <w:spacing w:val="-6"/>
        </w:rPr>
        <w:t> </w:t>
      </w:r>
      <w:r>
        <w:rPr>
          <w:color w:val="231F20"/>
        </w:rPr>
        <w:t>utilidad</w:t>
      </w:r>
      <w:r>
        <w:rPr>
          <w:color w:val="231F20"/>
          <w:spacing w:val="-5"/>
        </w:rPr>
        <w:t> </w:t>
      </w:r>
      <w:r>
        <w:rPr>
          <w:color w:val="231F20"/>
        </w:rPr>
        <w:t>bruta/m3</w:t>
      </w:r>
      <w:r>
        <w:rPr>
          <w:color w:val="231F20"/>
          <w:spacing w:val="-6"/>
        </w:rPr>
        <w:t> </w:t>
      </w:r>
      <w:r>
        <w:rPr>
          <w:color w:val="231F20"/>
        </w:rPr>
        <w:t>de</w:t>
      </w:r>
      <w:r>
        <w:rPr>
          <w:color w:val="231F20"/>
          <w:spacing w:val="-5"/>
        </w:rPr>
        <w:t> </w:t>
      </w:r>
      <w:r>
        <w:rPr>
          <w:color w:val="231F20"/>
        </w:rPr>
        <w:t>agua</w:t>
      </w:r>
      <w:r>
        <w:rPr>
          <w:color w:val="231F20"/>
          <w:spacing w:val="-6"/>
        </w:rPr>
        <w:t> </w:t>
      </w:r>
      <w:r>
        <w:rPr>
          <w:color w:val="231F20"/>
        </w:rPr>
        <w:t>lograda</w:t>
      </w:r>
      <w:r>
        <w:rPr>
          <w:color w:val="231F20"/>
          <w:spacing w:val="-6"/>
        </w:rPr>
        <w:t> </w:t>
      </w:r>
      <w:r>
        <w:rPr>
          <w:color w:val="231F20"/>
        </w:rPr>
        <w:t>por</w:t>
      </w:r>
      <w:r>
        <w:rPr>
          <w:color w:val="231F20"/>
          <w:spacing w:val="-6"/>
        </w:rPr>
        <w:t> </w:t>
      </w:r>
      <w:r>
        <w:rPr>
          <w:color w:val="231F20"/>
        </w:rPr>
        <w:t>el</w:t>
      </w:r>
      <w:r>
        <w:rPr>
          <w:color w:val="231F20"/>
          <w:spacing w:val="-6"/>
        </w:rPr>
        <w:t> </w:t>
      </w:r>
      <w:r>
        <w:rPr>
          <w:color w:val="231F20"/>
        </w:rPr>
        <w:t>productor</w:t>
      </w:r>
      <w:r>
        <w:rPr>
          <w:color w:val="231F20"/>
          <w:spacing w:val="-5"/>
        </w:rPr>
        <w:t> </w:t>
      </w:r>
      <w:r>
        <w:rPr>
          <w:color w:val="231F20"/>
        </w:rPr>
        <w:t>entre</w:t>
      </w:r>
      <w:r>
        <w:rPr>
          <w:color w:val="231F20"/>
          <w:spacing w:val="-6"/>
        </w:rPr>
        <w:t> </w:t>
      </w:r>
      <w:r>
        <w:rPr>
          <w:color w:val="231F20"/>
        </w:rPr>
        <w:t>el</w:t>
      </w:r>
      <w:r>
        <w:rPr>
          <w:color w:val="231F20"/>
          <w:spacing w:val="-6"/>
        </w:rPr>
        <w:t> </w:t>
      </w:r>
      <w:r>
        <w:rPr>
          <w:color w:val="231F20"/>
        </w:rPr>
        <w:t>precio/m</w:t>
      </w:r>
      <w:r>
        <w:rPr>
          <w:color w:val="231F20"/>
          <w:position w:val="7"/>
          <w:sz w:val="12"/>
        </w:rPr>
        <w:t>3</w:t>
      </w:r>
      <w:r>
        <w:rPr>
          <w:color w:val="231F20"/>
          <w:spacing w:val="17"/>
          <w:position w:val="7"/>
          <w:sz w:val="12"/>
        </w:rPr>
        <w:t> </w:t>
      </w:r>
      <w:r>
        <w:rPr>
          <w:color w:val="231F20"/>
        </w:rPr>
        <w:t>de agua que el productor agrícola pagó por ese mismo m3 de agua extraída del subsuelo. El Cuadro 3 muestra</w:t>
      </w:r>
      <w:r>
        <w:rPr>
          <w:color w:val="231F20"/>
          <w:spacing w:val="-7"/>
        </w:rPr>
        <w:t> </w:t>
      </w:r>
      <w:r>
        <w:rPr>
          <w:color w:val="231F20"/>
        </w:rPr>
        <w:t>los</w:t>
      </w:r>
      <w:r>
        <w:rPr>
          <w:color w:val="231F20"/>
          <w:spacing w:val="-7"/>
        </w:rPr>
        <w:t> </w:t>
      </w:r>
      <w:r>
        <w:rPr>
          <w:color w:val="231F20"/>
        </w:rPr>
        <w:t>índices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variable</w:t>
      </w:r>
      <w:r>
        <w:rPr>
          <w:color w:val="231F20"/>
          <w:spacing w:val="-15"/>
        </w:rPr>
        <w:t> </w:t>
      </w:r>
      <w:r>
        <w:rPr>
          <w:color w:val="231F20"/>
        </w:rPr>
        <w:t>Y</w:t>
      </w:r>
      <w:r>
        <w:rPr>
          <w:color w:val="231F20"/>
          <w:spacing w:val="8"/>
        </w:rPr>
        <w:t> </w:t>
      </w:r>
      <w:r>
        <w:rPr>
          <w:color w:val="231F20"/>
        </w:rPr>
        <w:t>,</w:t>
      </w:r>
      <w:r>
        <w:rPr>
          <w:color w:val="231F20"/>
          <w:spacing w:val="-7"/>
        </w:rPr>
        <w:t> </w:t>
      </w:r>
      <w:r>
        <w:rPr>
          <w:color w:val="231F20"/>
        </w:rPr>
        <w:t>de</w:t>
      </w:r>
      <w:r>
        <w:rPr>
          <w:color w:val="231F20"/>
          <w:spacing w:val="-7"/>
        </w:rPr>
        <w:t> </w:t>
      </w:r>
      <w:r>
        <w:rPr>
          <w:color w:val="231F20"/>
        </w:rPr>
        <w:t>forma</w:t>
      </w:r>
      <w:r>
        <w:rPr>
          <w:color w:val="231F20"/>
          <w:spacing w:val="-7"/>
        </w:rPr>
        <w:t> </w:t>
      </w:r>
      <w:r>
        <w:rPr>
          <w:color w:val="231F20"/>
        </w:rPr>
        <w:t>tal</w:t>
      </w:r>
      <w:r>
        <w:rPr>
          <w:color w:val="231F20"/>
          <w:spacing w:val="-7"/>
        </w:rPr>
        <w:t> </w:t>
      </w:r>
      <w:r>
        <w:rPr>
          <w:color w:val="231F20"/>
        </w:rPr>
        <w:t>que</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caso</w:t>
      </w:r>
      <w:r>
        <w:rPr>
          <w:color w:val="231F20"/>
          <w:spacing w:val="-7"/>
        </w:rPr>
        <w:t> </w:t>
      </w:r>
      <w:r>
        <w:rPr>
          <w:color w:val="231F20"/>
        </w:rPr>
        <w:t>del</w:t>
      </w:r>
      <w:r>
        <w:rPr>
          <w:color w:val="231F20"/>
          <w:spacing w:val="-7"/>
        </w:rPr>
        <w:t> </w:t>
      </w:r>
      <w:r>
        <w:rPr>
          <w:color w:val="231F20"/>
        </w:rPr>
        <w:t>cultivo</w:t>
      </w:r>
      <w:r>
        <w:rPr>
          <w:color w:val="231F20"/>
          <w:spacing w:val="-7"/>
        </w:rPr>
        <w:t> </w:t>
      </w:r>
      <w:r>
        <w:rPr>
          <w:color w:val="231F20"/>
        </w:rPr>
        <w:t>de</w:t>
      </w:r>
      <w:r>
        <w:rPr>
          <w:color w:val="231F20"/>
          <w:spacing w:val="-7"/>
        </w:rPr>
        <w:t> </w:t>
      </w:r>
      <w:r>
        <w:rPr>
          <w:color w:val="231F20"/>
        </w:rPr>
        <w:t>zacate</w:t>
      </w:r>
      <w:r>
        <w:rPr>
          <w:color w:val="231F20"/>
          <w:spacing w:val="-7"/>
        </w:rPr>
        <w:t> </w:t>
      </w:r>
      <w:r>
        <w:rPr>
          <w:color w:val="231F20"/>
        </w:rPr>
        <w:t>forrajero,</w:t>
      </w:r>
      <w:r>
        <w:rPr>
          <w:color w:val="231F20"/>
          <w:spacing w:val="-7"/>
        </w:rPr>
        <w:t> </w:t>
      </w:r>
      <w:r>
        <w:rPr>
          <w:color w:val="231F20"/>
        </w:rPr>
        <w:t>el</w:t>
      </w:r>
      <w:r>
        <w:rPr>
          <w:color w:val="231F20"/>
          <w:spacing w:val="-7"/>
        </w:rPr>
        <w:t> </w:t>
      </w:r>
      <w:r>
        <w:rPr>
          <w:color w:val="231F20"/>
        </w:rPr>
        <w:t>in- dicador</w:t>
      </w:r>
      <w:r>
        <w:rPr>
          <w:color w:val="231F20"/>
          <w:spacing w:val="-9"/>
        </w:rPr>
        <w:t> </w:t>
      </w:r>
      <w:r>
        <w:rPr>
          <w:color w:val="231F20"/>
        </w:rPr>
        <w:t>fue</w:t>
      </w:r>
      <w:r>
        <w:rPr>
          <w:color w:val="231F20"/>
          <w:spacing w:val="-9"/>
        </w:rPr>
        <w:t> </w:t>
      </w:r>
      <w:r>
        <w:rPr>
          <w:color w:val="231F20"/>
        </w:rPr>
        <w:t>igual</w:t>
      </w:r>
      <w:r>
        <w:rPr>
          <w:color w:val="231F20"/>
          <w:spacing w:val="-9"/>
        </w:rPr>
        <w:t> </w:t>
      </w:r>
      <w:r>
        <w:rPr>
          <w:color w:val="231F20"/>
        </w:rPr>
        <w:t>a</w:t>
      </w:r>
      <w:r>
        <w:rPr>
          <w:color w:val="231F20"/>
          <w:spacing w:val="-9"/>
        </w:rPr>
        <w:t> </w:t>
      </w:r>
      <w:r>
        <w:rPr>
          <w:color w:val="231F20"/>
        </w:rPr>
        <w:t>-0.85</w:t>
      </w:r>
      <w:r>
        <w:rPr>
          <w:color w:val="231F20"/>
          <w:spacing w:val="-9"/>
        </w:rPr>
        <w:t> </w:t>
      </w:r>
      <w:r>
        <w:rPr>
          <w:color w:val="231F20"/>
        </w:rPr>
        <w:t>y</w:t>
      </w:r>
      <w:r>
        <w:rPr>
          <w:color w:val="231F20"/>
          <w:spacing w:val="-9"/>
        </w:rPr>
        <w:t> </w:t>
      </w:r>
      <w:r>
        <w:rPr>
          <w:color w:val="231F20"/>
        </w:rPr>
        <w:t>en</w:t>
      </w:r>
      <w:r>
        <w:rPr>
          <w:color w:val="231F20"/>
          <w:spacing w:val="-9"/>
        </w:rPr>
        <w:t> </w:t>
      </w:r>
      <w:r>
        <w:rPr>
          <w:color w:val="231F20"/>
        </w:rPr>
        <w:t>alfalfa</w:t>
      </w:r>
      <w:r>
        <w:rPr>
          <w:color w:val="231F20"/>
          <w:spacing w:val="-9"/>
        </w:rPr>
        <w:t> </w:t>
      </w:r>
      <w:r>
        <w:rPr>
          <w:color w:val="231F20"/>
        </w:rPr>
        <w:t>forrajera</w:t>
      </w:r>
      <w:r>
        <w:rPr>
          <w:color w:val="231F20"/>
          <w:spacing w:val="-9"/>
        </w:rPr>
        <w:t> </w:t>
      </w:r>
      <w:r>
        <w:rPr>
          <w:color w:val="231F20"/>
        </w:rPr>
        <w:t>fue</w:t>
      </w:r>
      <w:r>
        <w:rPr>
          <w:color w:val="231F20"/>
          <w:spacing w:val="-9"/>
        </w:rPr>
        <w:t> </w:t>
      </w:r>
      <w:r>
        <w:rPr>
          <w:color w:val="231F20"/>
        </w:rPr>
        <w:t>igual</w:t>
      </w:r>
      <w:r>
        <w:rPr>
          <w:color w:val="231F20"/>
          <w:spacing w:val="-9"/>
        </w:rPr>
        <w:t> </w:t>
      </w:r>
      <w:r>
        <w:rPr>
          <w:color w:val="231F20"/>
        </w:rPr>
        <w:t>a</w:t>
      </w:r>
      <w:r>
        <w:rPr>
          <w:color w:val="231F20"/>
          <w:spacing w:val="-9"/>
        </w:rPr>
        <w:t> </w:t>
      </w:r>
      <w:r>
        <w:rPr>
          <w:color w:val="231F20"/>
        </w:rPr>
        <w:t>1.99,</w:t>
      </w:r>
      <w:r>
        <w:rPr>
          <w:color w:val="231F20"/>
          <w:spacing w:val="-9"/>
        </w:rPr>
        <w:t> </w:t>
      </w:r>
      <w:r>
        <w:rPr>
          <w:color w:val="231F20"/>
        </w:rPr>
        <w:t>lo</w:t>
      </w:r>
      <w:r>
        <w:rPr>
          <w:color w:val="231F20"/>
          <w:spacing w:val="-9"/>
        </w:rPr>
        <w:t> </w:t>
      </w:r>
      <w:r>
        <w:rPr>
          <w:color w:val="231F20"/>
        </w:rPr>
        <w:t>que</w:t>
      </w:r>
      <w:r>
        <w:rPr>
          <w:color w:val="231F20"/>
          <w:spacing w:val="-9"/>
        </w:rPr>
        <w:t> </w:t>
      </w:r>
      <w:r>
        <w:rPr>
          <w:color w:val="231F20"/>
        </w:rPr>
        <w:t>indica</w:t>
      </w:r>
      <w:r>
        <w:rPr>
          <w:color w:val="231F20"/>
          <w:spacing w:val="-9"/>
        </w:rPr>
        <w:t> </w:t>
      </w:r>
      <w:r>
        <w:rPr>
          <w:color w:val="231F20"/>
        </w:rPr>
        <w:t>que</w:t>
      </w:r>
      <w:r>
        <w:rPr>
          <w:color w:val="231F20"/>
          <w:spacing w:val="-9"/>
        </w:rPr>
        <w:t> </w:t>
      </w:r>
      <w:r>
        <w:rPr>
          <w:color w:val="231F20"/>
        </w:rPr>
        <w:t>el</w:t>
      </w:r>
      <w:r>
        <w:rPr>
          <w:color w:val="231F20"/>
          <w:spacing w:val="-9"/>
        </w:rPr>
        <w:t> </w:t>
      </w:r>
      <w:r>
        <w:rPr>
          <w:color w:val="231F20"/>
        </w:rPr>
        <w:t>productor</w:t>
      </w:r>
      <w:r>
        <w:rPr>
          <w:color w:val="231F20"/>
          <w:spacing w:val="-9"/>
        </w:rPr>
        <w:t> </w:t>
      </w:r>
      <w:r>
        <w:rPr>
          <w:color w:val="231F20"/>
        </w:rPr>
        <w:t>agrícola de zacate ballico en la Comarca Lagunera que irriga por bombeo, obtuvo una perdida privada 0.85 veces</w:t>
      </w:r>
      <w:r>
        <w:rPr>
          <w:color w:val="231F20"/>
          <w:spacing w:val="-11"/>
        </w:rPr>
        <w:t> </w:t>
      </w:r>
      <w:r>
        <w:rPr>
          <w:color w:val="231F20"/>
        </w:rPr>
        <w:t>lo</w:t>
      </w:r>
      <w:r>
        <w:rPr>
          <w:color w:val="231F20"/>
          <w:spacing w:val="-11"/>
        </w:rPr>
        <w:t> </w:t>
      </w:r>
      <w:r>
        <w:rPr>
          <w:color w:val="231F20"/>
        </w:rPr>
        <w:t>que</w:t>
      </w:r>
      <w:r>
        <w:rPr>
          <w:color w:val="231F20"/>
          <w:spacing w:val="-11"/>
        </w:rPr>
        <w:t> </w:t>
      </w:r>
      <w:r>
        <w:rPr>
          <w:color w:val="231F20"/>
        </w:rPr>
        <w:t>pagó</w:t>
      </w:r>
      <w:r>
        <w:rPr>
          <w:color w:val="231F20"/>
          <w:spacing w:val="-11"/>
        </w:rPr>
        <w:t> </w:t>
      </w:r>
      <w:r>
        <w:rPr>
          <w:color w:val="231F20"/>
        </w:rPr>
        <w:t>por</w:t>
      </w:r>
      <w:r>
        <w:rPr>
          <w:color w:val="231F20"/>
          <w:spacing w:val="-11"/>
        </w:rPr>
        <w:t> </w:t>
      </w:r>
      <w:r>
        <w:rPr>
          <w:color w:val="231F20"/>
        </w:rPr>
        <w:t>el</w:t>
      </w:r>
      <w:r>
        <w:rPr>
          <w:color w:val="231F20"/>
          <w:spacing w:val="-11"/>
        </w:rPr>
        <w:t> </w:t>
      </w:r>
      <w:r>
        <w:rPr>
          <w:color w:val="231F20"/>
        </w:rPr>
        <w:t>recurso</w:t>
      </w:r>
      <w:r>
        <w:rPr>
          <w:color w:val="231F20"/>
          <w:spacing w:val="-11"/>
        </w:rPr>
        <w:t> </w:t>
      </w:r>
      <w:r>
        <w:rPr>
          <w:color w:val="231F20"/>
        </w:rPr>
        <w:t>social</w:t>
      </w:r>
      <w:r>
        <w:rPr>
          <w:color w:val="231F20"/>
          <w:spacing w:val="-11"/>
        </w:rPr>
        <w:t> </w:t>
      </w:r>
      <w:r>
        <w:rPr>
          <w:color w:val="231F20"/>
        </w:rPr>
        <w:t>agua,</w:t>
      </w:r>
      <w:r>
        <w:rPr>
          <w:color w:val="231F20"/>
          <w:spacing w:val="-12"/>
        </w:rPr>
        <w:t> </w:t>
      </w:r>
      <w:r>
        <w:rPr>
          <w:color w:val="231F20"/>
        </w:rPr>
        <w:t>mientras</w:t>
      </w:r>
      <w:r>
        <w:rPr>
          <w:color w:val="231F20"/>
          <w:spacing w:val="-12"/>
        </w:rPr>
        <w:t> </w:t>
      </w:r>
      <w:r>
        <w:rPr>
          <w:color w:val="231F20"/>
        </w:rPr>
        <w:t>que</w:t>
      </w:r>
      <w:r>
        <w:rPr>
          <w:color w:val="231F20"/>
          <w:spacing w:val="-11"/>
        </w:rPr>
        <w:t> </w:t>
      </w:r>
      <w:r>
        <w:rPr>
          <w:color w:val="231F20"/>
        </w:rPr>
        <w:t>el</w:t>
      </w:r>
      <w:r>
        <w:rPr>
          <w:color w:val="231F20"/>
          <w:spacing w:val="-11"/>
        </w:rPr>
        <w:t> </w:t>
      </w:r>
      <w:r>
        <w:rPr>
          <w:color w:val="231F20"/>
        </w:rPr>
        <w:t>productor</w:t>
      </w:r>
      <w:r>
        <w:rPr>
          <w:color w:val="231F20"/>
          <w:spacing w:val="-11"/>
        </w:rPr>
        <w:t> </w:t>
      </w:r>
      <w:r>
        <w:rPr>
          <w:color w:val="231F20"/>
        </w:rPr>
        <w:t>de</w:t>
      </w:r>
      <w:r>
        <w:rPr>
          <w:color w:val="231F20"/>
          <w:spacing w:val="-11"/>
        </w:rPr>
        <w:t> </w:t>
      </w:r>
      <w:r>
        <w:rPr>
          <w:color w:val="231F20"/>
        </w:rPr>
        <w:t>alfalfa</w:t>
      </w:r>
      <w:r>
        <w:rPr>
          <w:color w:val="231F20"/>
          <w:spacing w:val="-12"/>
        </w:rPr>
        <w:t> </w:t>
      </w:r>
      <w:r>
        <w:rPr>
          <w:color w:val="231F20"/>
        </w:rPr>
        <w:t>forrajera,</w:t>
      </w:r>
      <w:r>
        <w:rPr>
          <w:color w:val="231F20"/>
          <w:spacing w:val="-11"/>
        </w:rPr>
        <w:t> </w:t>
      </w:r>
      <w:r>
        <w:rPr>
          <w:color w:val="231F20"/>
        </w:rPr>
        <w:t>multiplicó por 1.99 cada $1 erogado en el pago del agua con la que irriga su</w:t>
      </w:r>
      <w:r>
        <w:rPr>
          <w:color w:val="231F20"/>
          <w:spacing w:val="-20"/>
        </w:rPr>
        <w:t> </w:t>
      </w:r>
      <w:r>
        <w:rPr>
          <w:color w:val="231F20"/>
        </w:rPr>
        <w:t>alfalfar.</w:t>
      </w:r>
    </w:p>
    <w:p>
      <w:pPr>
        <w:pStyle w:val="BodyText"/>
        <w:spacing w:before="7"/>
      </w:pPr>
    </w:p>
    <w:p>
      <w:pPr>
        <w:pStyle w:val="BodyText"/>
        <w:spacing w:line="247" w:lineRule="auto"/>
        <w:ind w:left="1270" w:right="1267"/>
        <w:jc w:val="both"/>
      </w:pPr>
      <w:r>
        <w:rPr>
          <w:color w:val="231F20"/>
        </w:rPr>
        <w:t>En este caso, en particular solo el productor de alfalfa al estar utilizando un recurso perteneciente a toda</w:t>
      </w:r>
      <w:r>
        <w:rPr>
          <w:color w:val="231F20"/>
          <w:spacing w:val="-7"/>
        </w:rPr>
        <w:t> </w:t>
      </w:r>
      <w:r>
        <w:rPr>
          <w:color w:val="231F20"/>
        </w:rPr>
        <w:t>la</w:t>
      </w:r>
      <w:r>
        <w:rPr>
          <w:color w:val="231F20"/>
          <w:spacing w:val="-7"/>
        </w:rPr>
        <w:t> </w:t>
      </w:r>
      <w:r>
        <w:rPr>
          <w:color w:val="231F20"/>
        </w:rPr>
        <w:t>sociedad,</w:t>
      </w:r>
      <w:r>
        <w:rPr>
          <w:color w:val="231F20"/>
          <w:spacing w:val="-6"/>
        </w:rPr>
        <w:t> </w:t>
      </w:r>
      <w:r>
        <w:rPr>
          <w:color w:val="231F20"/>
        </w:rPr>
        <w:t>están</w:t>
      </w:r>
      <w:r>
        <w:rPr>
          <w:color w:val="231F20"/>
          <w:spacing w:val="-7"/>
        </w:rPr>
        <w:t> </w:t>
      </w:r>
      <w:r>
        <w:rPr>
          <w:color w:val="231F20"/>
        </w:rPr>
        <w:t>multiplicando</w:t>
      </w:r>
      <w:r>
        <w:rPr>
          <w:color w:val="231F20"/>
          <w:spacing w:val="-8"/>
        </w:rPr>
        <w:t> </w:t>
      </w:r>
      <w:r>
        <w:rPr>
          <w:color w:val="231F20"/>
        </w:rPr>
        <w:t>su</w:t>
      </w:r>
      <w:r>
        <w:rPr>
          <w:color w:val="231F20"/>
          <w:spacing w:val="-7"/>
        </w:rPr>
        <w:t> </w:t>
      </w:r>
      <w:r>
        <w:rPr>
          <w:color w:val="231F20"/>
        </w:rPr>
        <w:t>riqueza,</w:t>
      </w:r>
      <w:r>
        <w:rPr>
          <w:color w:val="231F20"/>
          <w:spacing w:val="-7"/>
        </w:rPr>
        <w:t> </w:t>
      </w:r>
      <w:r>
        <w:rPr>
          <w:color w:val="231F20"/>
        </w:rPr>
        <w:t>casi</w:t>
      </w:r>
      <w:r>
        <w:rPr>
          <w:color w:val="231F20"/>
          <w:spacing w:val="-7"/>
        </w:rPr>
        <w:t> </w:t>
      </w:r>
      <w:r>
        <w:rPr>
          <w:color w:val="231F20"/>
        </w:rPr>
        <w:t>2</w:t>
      </w:r>
      <w:r>
        <w:rPr>
          <w:color w:val="231F20"/>
          <w:spacing w:val="-7"/>
        </w:rPr>
        <w:t> </w:t>
      </w:r>
      <w:r>
        <w:rPr>
          <w:color w:val="231F20"/>
        </w:rPr>
        <w:t>veces,</w:t>
      </w:r>
      <w:r>
        <w:rPr>
          <w:color w:val="231F20"/>
          <w:spacing w:val="-7"/>
        </w:rPr>
        <w:t> y, </w:t>
      </w:r>
      <w:r>
        <w:rPr>
          <w:color w:val="231F20"/>
        </w:rPr>
        <w:t>dado</w:t>
      </w:r>
      <w:r>
        <w:rPr>
          <w:color w:val="231F20"/>
          <w:spacing w:val="-7"/>
        </w:rPr>
        <w:t> </w:t>
      </w:r>
      <w:r>
        <w:rPr>
          <w:color w:val="231F20"/>
        </w:rPr>
        <w:t>el</w:t>
      </w:r>
      <w:r>
        <w:rPr>
          <w:color w:val="231F20"/>
          <w:spacing w:val="-7"/>
        </w:rPr>
        <w:t> </w:t>
      </w:r>
      <w:r>
        <w:rPr>
          <w:color w:val="231F20"/>
        </w:rPr>
        <w:t>carácter</w:t>
      </w:r>
      <w:r>
        <w:rPr>
          <w:color w:val="231F20"/>
          <w:spacing w:val="-7"/>
        </w:rPr>
        <w:t> </w:t>
      </w:r>
      <w:r>
        <w:rPr>
          <w:color w:val="231F20"/>
        </w:rPr>
        <w:t>altamente</w:t>
      </w:r>
      <w:r>
        <w:rPr>
          <w:color w:val="231F20"/>
          <w:spacing w:val="-7"/>
        </w:rPr>
        <w:t> </w:t>
      </w:r>
      <w:r>
        <w:rPr>
          <w:color w:val="231F20"/>
        </w:rPr>
        <w:t>estratégi- co del recurso natural (el agua), lleva a plantear la interrogante de si no debiera la sociedad tasarles el recurso agua a un mayor monto, independientemente de obligarles por </w:t>
      </w:r>
      <w:r>
        <w:rPr>
          <w:color w:val="231F20"/>
          <w:spacing w:val="-4"/>
        </w:rPr>
        <w:t>ley, </w:t>
      </w:r>
      <w:r>
        <w:rPr>
          <w:color w:val="231F20"/>
        </w:rPr>
        <w:t>a que ese recurso, el agua</w:t>
      </w:r>
      <w:r>
        <w:rPr>
          <w:color w:val="231F20"/>
          <w:spacing w:val="-5"/>
        </w:rPr>
        <w:t> </w:t>
      </w:r>
      <w:r>
        <w:rPr>
          <w:color w:val="231F20"/>
        </w:rPr>
        <w:t>subterránea,</w:t>
      </w:r>
      <w:r>
        <w:rPr>
          <w:color w:val="231F20"/>
          <w:spacing w:val="-5"/>
        </w:rPr>
        <w:t> </w:t>
      </w:r>
      <w:r>
        <w:rPr>
          <w:color w:val="231F20"/>
        </w:rPr>
        <w:t>debiera</w:t>
      </w:r>
      <w:r>
        <w:rPr>
          <w:color w:val="231F20"/>
          <w:spacing w:val="-5"/>
        </w:rPr>
        <w:t> </w:t>
      </w:r>
      <w:r>
        <w:rPr>
          <w:color w:val="231F20"/>
        </w:rPr>
        <w:t>ser</w:t>
      </w:r>
      <w:r>
        <w:rPr>
          <w:color w:val="231F20"/>
          <w:spacing w:val="-5"/>
        </w:rPr>
        <w:t> </w:t>
      </w:r>
      <w:r>
        <w:rPr>
          <w:color w:val="231F20"/>
        </w:rPr>
        <w:t>utilizado</w:t>
      </w:r>
      <w:r>
        <w:rPr>
          <w:color w:val="231F20"/>
          <w:spacing w:val="-5"/>
        </w:rPr>
        <w:t> </w:t>
      </w:r>
      <w:r>
        <w:rPr>
          <w:color w:val="231F20"/>
        </w:rPr>
        <w:t>a</w:t>
      </w:r>
      <w:r>
        <w:rPr>
          <w:color w:val="231F20"/>
          <w:spacing w:val="-5"/>
        </w:rPr>
        <w:t> </w:t>
      </w:r>
      <w:r>
        <w:rPr>
          <w:color w:val="231F20"/>
        </w:rPr>
        <w:t>estándares</w:t>
      </w:r>
      <w:r>
        <w:rPr>
          <w:color w:val="231F20"/>
          <w:spacing w:val="-5"/>
        </w:rPr>
        <w:t> </w:t>
      </w:r>
      <w:r>
        <w:rPr>
          <w:color w:val="231F20"/>
        </w:rPr>
        <w:t>altos</w:t>
      </w:r>
      <w:r>
        <w:rPr>
          <w:color w:val="231F20"/>
          <w:spacing w:val="-5"/>
        </w:rPr>
        <w:t> </w:t>
      </w:r>
      <w:r>
        <w:rPr>
          <w:color w:val="231F20"/>
        </w:rPr>
        <w:t>de</w:t>
      </w:r>
      <w:r>
        <w:rPr>
          <w:color w:val="231F20"/>
          <w:spacing w:val="-5"/>
        </w:rPr>
        <w:t> </w:t>
      </w:r>
      <w:r>
        <w:rPr>
          <w:color w:val="231F20"/>
        </w:rPr>
        <w:t>eficiencia,</w:t>
      </w:r>
      <w:r>
        <w:rPr>
          <w:color w:val="231F20"/>
          <w:spacing w:val="-5"/>
        </w:rPr>
        <w:t> </w:t>
      </w:r>
      <w:r>
        <w:rPr>
          <w:color w:val="231F20"/>
        </w:rPr>
        <w:t>estándares</w:t>
      </w:r>
      <w:r>
        <w:rPr>
          <w:color w:val="231F20"/>
          <w:spacing w:val="-5"/>
        </w:rPr>
        <w:t> </w:t>
      </w:r>
      <w:r>
        <w:rPr>
          <w:color w:val="231F20"/>
        </w:rPr>
        <w:t>“altos”</w:t>
      </w:r>
      <w:r>
        <w:rPr>
          <w:color w:val="231F20"/>
          <w:spacing w:val="-5"/>
        </w:rPr>
        <w:t> </w:t>
      </w:r>
      <w:r>
        <w:rPr>
          <w:color w:val="231F20"/>
        </w:rPr>
        <w:t>fijados</w:t>
      </w:r>
      <w:r>
        <w:rPr>
          <w:color w:val="231F20"/>
          <w:spacing w:val="-5"/>
        </w:rPr>
        <w:t> </w:t>
      </w:r>
      <w:r>
        <w:rPr>
          <w:color w:val="231F20"/>
        </w:rPr>
        <w:t>por la</w:t>
      </w:r>
      <w:r>
        <w:rPr>
          <w:color w:val="231F20"/>
          <w:spacing w:val="-7"/>
        </w:rPr>
        <w:t> </w:t>
      </w:r>
      <w:r>
        <w:rPr>
          <w:color w:val="231F20"/>
        </w:rPr>
        <w:t>sociedad</w:t>
      </w:r>
      <w:r>
        <w:rPr>
          <w:color w:val="231F20"/>
          <w:spacing w:val="-7"/>
        </w:rPr>
        <w:t> </w:t>
      </w:r>
      <w:r>
        <w:rPr>
          <w:color w:val="231F20"/>
        </w:rPr>
        <w:t>en</w:t>
      </w:r>
      <w:r>
        <w:rPr>
          <w:color w:val="231F20"/>
          <w:spacing w:val="-7"/>
        </w:rPr>
        <w:t> </w:t>
      </w:r>
      <w:r>
        <w:rPr>
          <w:color w:val="231F20"/>
        </w:rPr>
        <w:t>su</w:t>
      </w:r>
      <w:r>
        <w:rPr>
          <w:color w:val="231F20"/>
          <w:spacing w:val="-7"/>
        </w:rPr>
        <w:t> </w:t>
      </w:r>
      <w:r>
        <w:rPr>
          <w:color w:val="231F20"/>
        </w:rPr>
        <w:t>propio</w:t>
      </w:r>
      <w:r>
        <w:rPr>
          <w:color w:val="231F20"/>
          <w:spacing w:val="-7"/>
        </w:rPr>
        <w:t> </w:t>
      </w:r>
      <w:r>
        <w:rPr>
          <w:color w:val="231F20"/>
        </w:rPr>
        <w:t>interés.</w:t>
      </w:r>
      <w:r>
        <w:rPr>
          <w:color w:val="231F20"/>
          <w:spacing w:val="-7"/>
        </w:rPr>
        <w:t> </w:t>
      </w:r>
      <w:r>
        <w:rPr>
          <w:color w:val="231F20"/>
        </w:rPr>
        <w:t>La</w:t>
      </w:r>
      <w:r>
        <w:rPr>
          <w:color w:val="231F20"/>
          <w:spacing w:val="-7"/>
        </w:rPr>
        <w:t> </w:t>
      </w:r>
      <w:r>
        <w:rPr>
          <w:color w:val="231F20"/>
        </w:rPr>
        <w:t>principal</w:t>
      </w:r>
      <w:r>
        <w:rPr>
          <w:color w:val="231F20"/>
          <w:spacing w:val="-7"/>
        </w:rPr>
        <w:t> </w:t>
      </w:r>
      <w:r>
        <w:rPr>
          <w:color w:val="231F20"/>
        </w:rPr>
        <w:t>variable</w:t>
      </w:r>
      <w:r>
        <w:rPr>
          <w:color w:val="231F20"/>
          <w:spacing w:val="-7"/>
        </w:rPr>
        <w:t> </w:t>
      </w:r>
      <w:r>
        <w:rPr>
          <w:color w:val="231F20"/>
        </w:rPr>
        <w:t>social</w:t>
      </w:r>
      <w:r>
        <w:rPr>
          <w:color w:val="231F20"/>
          <w:spacing w:val="-7"/>
        </w:rPr>
        <w:t> </w:t>
      </w:r>
      <w:r>
        <w:rPr>
          <w:color w:val="231F20"/>
        </w:rPr>
        <w:t>del</w:t>
      </w:r>
      <w:r>
        <w:rPr>
          <w:color w:val="231F20"/>
          <w:spacing w:val="-7"/>
        </w:rPr>
        <w:t> </w:t>
      </w:r>
      <w:r>
        <w:rPr>
          <w:color w:val="231F20"/>
        </w:rPr>
        <w:t>uso</w:t>
      </w:r>
      <w:r>
        <w:rPr>
          <w:color w:val="231F20"/>
          <w:spacing w:val="-7"/>
        </w:rPr>
        <w:t> </w:t>
      </w:r>
      <w:r>
        <w:rPr>
          <w:color w:val="231F20"/>
        </w:rPr>
        <w:t>del</w:t>
      </w:r>
      <w:r>
        <w:rPr>
          <w:color w:val="231F20"/>
          <w:spacing w:val="-7"/>
        </w:rPr>
        <w:t> </w:t>
      </w:r>
      <w:r>
        <w:rPr>
          <w:color w:val="231F20"/>
        </w:rPr>
        <w:t>agua</w:t>
      </w:r>
      <w:r>
        <w:rPr>
          <w:color w:val="231F20"/>
          <w:spacing w:val="-7"/>
        </w:rPr>
        <w:t> </w:t>
      </w:r>
      <w:r>
        <w:rPr>
          <w:color w:val="231F20"/>
        </w:rPr>
        <w:t>subterránea</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riego, está</w:t>
      </w:r>
      <w:r>
        <w:rPr>
          <w:color w:val="231F20"/>
          <w:spacing w:val="-9"/>
        </w:rPr>
        <w:t> </w:t>
      </w:r>
      <w:r>
        <w:rPr>
          <w:color w:val="231F20"/>
        </w:rPr>
        <w:t>dada</w:t>
      </w:r>
      <w:r>
        <w:rPr>
          <w:color w:val="231F20"/>
          <w:spacing w:val="-8"/>
        </w:rPr>
        <w:t> </w:t>
      </w:r>
      <w:r>
        <w:rPr>
          <w:color w:val="231F20"/>
        </w:rPr>
        <w:t>por</w:t>
      </w:r>
      <w:r>
        <w:rPr>
          <w:color w:val="231F20"/>
          <w:spacing w:val="-8"/>
        </w:rPr>
        <w:t> </w:t>
      </w:r>
      <w:r>
        <w:rPr>
          <w:color w:val="231F20"/>
        </w:rPr>
        <w:t>la</w:t>
      </w:r>
      <w:r>
        <w:rPr>
          <w:color w:val="231F20"/>
          <w:spacing w:val="-8"/>
        </w:rPr>
        <w:t> </w:t>
      </w:r>
      <w:r>
        <w:rPr>
          <w:color w:val="231F20"/>
        </w:rPr>
        <w:t>cantidad</w:t>
      </w:r>
      <w:r>
        <w:rPr>
          <w:color w:val="231F20"/>
          <w:spacing w:val="-9"/>
        </w:rPr>
        <w:t> </w:t>
      </w:r>
      <w:r>
        <w:rPr>
          <w:color w:val="231F20"/>
        </w:rPr>
        <w:t>de</w:t>
      </w:r>
      <w:r>
        <w:rPr>
          <w:color w:val="231F20"/>
          <w:spacing w:val="-8"/>
        </w:rPr>
        <w:t> </w:t>
      </w:r>
      <w:r>
        <w:rPr>
          <w:color w:val="231F20"/>
        </w:rPr>
        <w:t>empleos</w:t>
      </w:r>
      <w:r>
        <w:rPr>
          <w:color w:val="231F20"/>
          <w:spacing w:val="-9"/>
        </w:rPr>
        <w:t> </w:t>
      </w:r>
      <w:r>
        <w:rPr>
          <w:color w:val="231F20"/>
        </w:rPr>
        <w:t>generados</w:t>
      </w:r>
      <w:r>
        <w:rPr>
          <w:color w:val="231F20"/>
          <w:spacing w:val="-8"/>
        </w:rPr>
        <w:t> </w:t>
      </w:r>
      <w:r>
        <w:rPr>
          <w:color w:val="231F20"/>
        </w:rPr>
        <w:t>por</w:t>
      </w:r>
      <w:r>
        <w:rPr>
          <w:color w:val="231F20"/>
          <w:spacing w:val="-8"/>
        </w:rPr>
        <w:t> </w:t>
      </w:r>
      <w:r>
        <w:rPr>
          <w:color w:val="231F20"/>
        </w:rPr>
        <w:t>cada</w:t>
      </w:r>
      <w:r>
        <w:rPr>
          <w:color w:val="231F20"/>
          <w:spacing w:val="-9"/>
        </w:rPr>
        <w:t> </w:t>
      </w:r>
      <w:r>
        <w:rPr>
          <w:color w:val="231F20"/>
        </w:rPr>
        <w:t>100,000m³</w:t>
      </w:r>
      <w:r>
        <w:rPr>
          <w:color w:val="231F20"/>
          <w:spacing w:val="-8"/>
        </w:rPr>
        <w:t> </w:t>
      </w:r>
      <w:r>
        <w:rPr>
          <w:color w:val="231F20"/>
        </w:rPr>
        <w:t>de</w:t>
      </w:r>
      <w:r>
        <w:rPr>
          <w:color w:val="231F20"/>
          <w:spacing w:val="-8"/>
        </w:rPr>
        <w:t> </w:t>
      </w:r>
      <w:r>
        <w:rPr>
          <w:color w:val="231F20"/>
        </w:rPr>
        <w:t>agua</w:t>
      </w:r>
      <w:r>
        <w:rPr>
          <w:color w:val="231F20"/>
          <w:spacing w:val="-9"/>
        </w:rPr>
        <w:t> </w:t>
      </w:r>
      <w:r>
        <w:rPr>
          <w:color w:val="231F20"/>
        </w:rPr>
        <w:t>irrigada,</w:t>
      </w:r>
      <w:r>
        <w:rPr>
          <w:color w:val="231F20"/>
          <w:spacing w:val="-9"/>
        </w:rPr>
        <w:t> </w:t>
      </w:r>
      <w:r>
        <w:rPr>
          <w:color w:val="231F20"/>
        </w:rPr>
        <w:t>evaluada</w:t>
      </w:r>
      <w:r>
        <w:rPr>
          <w:color w:val="231F20"/>
          <w:spacing w:val="-9"/>
        </w:rPr>
        <w:t> </w:t>
      </w:r>
      <w:r>
        <w:rPr>
          <w:color w:val="231F20"/>
        </w:rPr>
        <w:t>por</w:t>
      </w:r>
      <w:r>
        <w:rPr>
          <w:color w:val="231F20"/>
          <w:spacing w:val="-8"/>
        </w:rPr>
        <w:t> </w:t>
      </w:r>
      <w:r>
        <w:rPr>
          <w:color w:val="231F20"/>
        </w:rPr>
        <w:t>la</w:t>
      </w:r>
    </w:p>
    <w:p>
      <w:pPr>
        <w:spacing w:after="0" w:line="247" w:lineRule="auto"/>
        <w:jc w:val="both"/>
        <w:sectPr>
          <w:type w:val="continuous"/>
          <w:pgSz w:w="10920" w:h="13080"/>
          <w:pgMar w:top="0" w:bottom="0" w:left="0" w:right="0"/>
        </w:sectPr>
      </w:pPr>
    </w:p>
    <w:p>
      <w:pPr>
        <w:pStyle w:val="BodyText"/>
        <w:rPr>
          <w:sz w:val="20"/>
        </w:rPr>
      </w:pPr>
    </w:p>
    <w:p>
      <w:pPr>
        <w:pStyle w:val="BodyText"/>
        <w:rPr>
          <w:sz w:val="20"/>
        </w:rPr>
      </w:pPr>
    </w:p>
    <w:p>
      <w:pPr>
        <w:pStyle w:val="BodyText"/>
        <w:rPr>
          <w:sz w:val="23"/>
        </w:rPr>
      </w:pPr>
    </w:p>
    <w:p>
      <w:pPr>
        <w:pStyle w:val="BodyText"/>
        <w:spacing w:before="73"/>
        <w:ind w:left="1270"/>
      </w:pPr>
      <w:r>
        <w:rPr/>
        <w:pict>
          <v:shape style="position:absolute;margin-left:107.106697pt;margin-top:12.023397pt;width:3.1pt;height:6.15pt;mso-position-horizontal-relative:page;mso-position-vertical-relative:paragraph;z-index:-205864" type="#_x0000_t202" filled="false" stroked="false">
            <v:textbox inset="0,0,0,0">
              <w:txbxContent>
                <w:p>
                  <w:pPr>
                    <w:spacing w:line="122" w:lineRule="exact" w:before="0"/>
                    <w:ind w:left="0" w:right="0" w:firstLine="0"/>
                    <w:jc w:val="left"/>
                    <w:rPr>
                      <w:sz w:val="12"/>
                    </w:rPr>
                  </w:pPr>
                  <w:r>
                    <w:rPr>
                      <w:color w:val="231F20"/>
                      <w:w w:val="102"/>
                      <w:sz w:val="12"/>
                    </w:rPr>
                    <w:t>8</w:t>
                  </w:r>
                </w:p>
              </w:txbxContent>
            </v:textbox>
            <w10:wrap type="none"/>
          </v:shape>
        </w:pict>
      </w:r>
      <w:r>
        <w:rPr>
          <w:color w:val="231F20"/>
        </w:rPr>
        <w:t>variable Y  del Cuadro 3, muestra que existió relativamente la misma eficiencia social del agua sub-</w:t>
      </w:r>
    </w:p>
    <w:p>
      <w:pPr>
        <w:pStyle w:val="BodyText"/>
        <w:spacing w:line="249" w:lineRule="auto" w:before="8"/>
        <w:ind w:left="1270" w:right="1267"/>
        <w:jc w:val="both"/>
      </w:pPr>
      <w:r>
        <w:rPr>
          <w:color w:val="231F20"/>
        </w:rPr>
        <w:t>terránea en el cultivo de zacate ballico, toda vez que cada 100,000m³ de agua extraída del subsuelo generaron</w:t>
      </w:r>
      <w:r>
        <w:rPr>
          <w:color w:val="231F20"/>
          <w:spacing w:val="-4"/>
        </w:rPr>
        <w:t> </w:t>
      </w:r>
      <w:r>
        <w:rPr>
          <w:color w:val="231F20"/>
        </w:rPr>
        <w:t>0.44</w:t>
      </w:r>
      <w:r>
        <w:rPr>
          <w:color w:val="231F20"/>
          <w:spacing w:val="-4"/>
        </w:rPr>
        <w:t> </w:t>
      </w:r>
      <w:r>
        <w:rPr>
          <w:color w:val="231F20"/>
        </w:rPr>
        <w:t>empleos</w:t>
      </w:r>
      <w:r>
        <w:rPr>
          <w:color w:val="231F20"/>
          <w:spacing w:val="-4"/>
        </w:rPr>
        <w:t> </w:t>
      </w:r>
      <w:r>
        <w:rPr>
          <w:color w:val="231F20"/>
        </w:rPr>
        <w:t>permanentes,</w:t>
      </w:r>
      <w:r>
        <w:rPr>
          <w:color w:val="231F20"/>
          <w:spacing w:val="-4"/>
        </w:rPr>
        <w:t> </w:t>
      </w:r>
      <w:r>
        <w:rPr>
          <w:color w:val="231F20"/>
        </w:rPr>
        <w:t>mientras</w:t>
      </w:r>
      <w:r>
        <w:rPr>
          <w:color w:val="231F20"/>
          <w:spacing w:val="-5"/>
        </w:rPr>
        <w:t> </w:t>
      </w:r>
      <w:r>
        <w:rPr>
          <w:color w:val="231F20"/>
        </w:rPr>
        <w:t>que</w:t>
      </w:r>
      <w:r>
        <w:rPr>
          <w:color w:val="231F20"/>
          <w:spacing w:val="-4"/>
        </w:rPr>
        <w:t> </w:t>
      </w:r>
      <w:r>
        <w:rPr>
          <w:color w:val="231F20"/>
        </w:rPr>
        <w:t>en</w:t>
      </w:r>
      <w:r>
        <w:rPr>
          <w:color w:val="231F20"/>
          <w:spacing w:val="-4"/>
        </w:rPr>
        <w:t> </w:t>
      </w:r>
      <w:r>
        <w:rPr>
          <w:color w:val="231F20"/>
        </w:rPr>
        <w:t>caso</w:t>
      </w:r>
      <w:r>
        <w:rPr>
          <w:color w:val="231F20"/>
          <w:spacing w:val="-4"/>
        </w:rPr>
        <w:t> </w:t>
      </w:r>
      <w:r>
        <w:rPr>
          <w:color w:val="231F20"/>
        </w:rPr>
        <w:t>del</w:t>
      </w:r>
      <w:r>
        <w:rPr>
          <w:color w:val="231F20"/>
          <w:spacing w:val="-4"/>
        </w:rPr>
        <w:t> </w:t>
      </w:r>
      <w:r>
        <w:rPr>
          <w:color w:val="231F20"/>
        </w:rPr>
        <w:t>alfalfa</w:t>
      </w:r>
      <w:r>
        <w:rPr>
          <w:color w:val="231F20"/>
          <w:spacing w:val="-5"/>
        </w:rPr>
        <w:t> </w:t>
      </w:r>
      <w:r>
        <w:rPr>
          <w:color w:val="231F20"/>
        </w:rPr>
        <w:t>forrajera</w:t>
      </w:r>
      <w:r>
        <w:rPr>
          <w:color w:val="231F20"/>
          <w:spacing w:val="-4"/>
        </w:rPr>
        <w:t> </w:t>
      </w:r>
      <w:r>
        <w:rPr>
          <w:color w:val="231F20"/>
        </w:rPr>
        <w:t>la</w:t>
      </w:r>
      <w:r>
        <w:rPr>
          <w:color w:val="231F20"/>
          <w:spacing w:val="-4"/>
        </w:rPr>
        <w:t> </w:t>
      </w:r>
      <w:r>
        <w:rPr>
          <w:color w:val="231F20"/>
        </w:rPr>
        <w:t>unidad</w:t>
      </w:r>
      <w:r>
        <w:rPr>
          <w:color w:val="231F20"/>
          <w:spacing w:val="-4"/>
        </w:rPr>
        <w:t> </w:t>
      </w:r>
      <w:r>
        <w:rPr>
          <w:color w:val="231F20"/>
        </w:rPr>
        <w:t>considera- da de agua subterránea generó 0.43 empleos, es decir; el zacate ballico analizado creó 1.02veces (= 0.44/0.43)</w:t>
      </w:r>
      <w:r>
        <w:rPr>
          <w:color w:val="231F20"/>
          <w:spacing w:val="-8"/>
        </w:rPr>
        <w:t> </w:t>
      </w:r>
      <w:r>
        <w:rPr>
          <w:color w:val="231F20"/>
        </w:rPr>
        <w:t>más</w:t>
      </w:r>
      <w:r>
        <w:rPr>
          <w:color w:val="231F20"/>
          <w:spacing w:val="-8"/>
        </w:rPr>
        <w:t> </w:t>
      </w:r>
      <w:r>
        <w:rPr>
          <w:color w:val="231F20"/>
        </w:rPr>
        <w:t>empleo</w:t>
      </w:r>
      <w:r>
        <w:rPr>
          <w:color w:val="231F20"/>
          <w:spacing w:val="-8"/>
        </w:rPr>
        <w:t> </w:t>
      </w:r>
      <w:r>
        <w:rPr>
          <w:color w:val="231F20"/>
        </w:rPr>
        <w:t>que</w:t>
      </w:r>
      <w:r>
        <w:rPr>
          <w:color w:val="231F20"/>
          <w:spacing w:val="-8"/>
        </w:rPr>
        <w:t> </w:t>
      </w:r>
      <w:r>
        <w:rPr>
          <w:color w:val="231F20"/>
        </w:rPr>
        <w:t>el</w:t>
      </w:r>
      <w:r>
        <w:rPr>
          <w:color w:val="231F20"/>
          <w:spacing w:val="-8"/>
        </w:rPr>
        <w:t> </w:t>
      </w:r>
      <w:r>
        <w:rPr>
          <w:color w:val="231F20"/>
        </w:rPr>
        <w:t>alfalfa</w:t>
      </w:r>
      <w:r>
        <w:rPr>
          <w:color w:val="231F20"/>
          <w:spacing w:val="-9"/>
        </w:rPr>
        <w:t> </w:t>
      </w:r>
      <w:r>
        <w:rPr>
          <w:color w:val="231F20"/>
        </w:rPr>
        <w:t>forrajera</w:t>
      </w:r>
      <w:r>
        <w:rPr>
          <w:color w:val="231F20"/>
          <w:spacing w:val="-8"/>
        </w:rPr>
        <w:t> </w:t>
      </w:r>
      <w:r>
        <w:rPr>
          <w:color w:val="231F20"/>
        </w:rPr>
        <w:t>al</w:t>
      </w:r>
      <w:r>
        <w:rPr>
          <w:color w:val="231F20"/>
          <w:spacing w:val="-8"/>
        </w:rPr>
        <w:t> </w:t>
      </w:r>
      <w:r>
        <w:rPr>
          <w:color w:val="231F20"/>
        </w:rPr>
        <w:t>usar</w:t>
      </w:r>
      <w:r>
        <w:rPr>
          <w:color w:val="231F20"/>
          <w:spacing w:val="-8"/>
        </w:rPr>
        <w:t> </w:t>
      </w:r>
      <w:r>
        <w:rPr>
          <w:color w:val="231F20"/>
        </w:rPr>
        <w:t>ese</w:t>
      </w:r>
      <w:r>
        <w:rPr>
          <w:color w:val="231F20"/>
          <w:spacing w:val="-8"/>
        </w:rPr>
        <w:t> </w:t>
      </w:r>
      <w:r>
        <w:rPr>
          <w:color w:val="231F20"/>
        </w:rPr>
        <w:t>mismo</w:t>
      </w:r>
      <w:r>
        <w:rPr>
          <w:color w:val="231F20"/>
          <w:spacing w:val="-8"/>
        </w:rPr>
        <w:t> </w:t>
      </w:r>
      <w:r>
        <w:rPr>
          <w:color w:val="231F20"/>
        </w:rPr>
        <w:t>volumen</w:t>
      </w:r>
      <w:r>
        <w:rPr>
          <w:color w:val="231F20"/>
          <w:spacing w:val="-8"/>
        </w:rPr>
        <w:t> </w:t>
      </w:r>
      <w:r>
        <w:rPr>
          <w:color w:val="231F20"/>
        </w:rPr>
        <w:t>de</w:t>
      </w:r>
      <w:r>
        <w:rPr>
          <w:color w:val="231F20"/>
          <w:spacing w:val="-8"/>
        </w:rPr>
        <w:t> </w:t>
      </w:r>
      <w:r>
        <w:rPr>
          <w:color w:val="231F20"/>
        </w:rPr>
        <w:t>agua,</w:t>
      </w:r>
      <w:r>
        <w:rPr>
          <w:color w:val="231F20"/>
          <w:spacing w:val="-8"/>
        </w:rPr>
        <w:t> </w:t>
      </w:r>
      <w:r>
        <w:rPr>
          <w:color w:val="231F20"/>
        </w:rPr>
        <w:t>con</w:t>
      </w:r>
      <w:r>
        <w:rPr>
          <w:color w:val="231F20"/>
          <w:spacing w:val="-8"/>
        </w:rPr>
        <w:t> </w:t>
      </w:r>
      <w:r>
        <w:rPr>
          <w:color w:val="231F20"/>
        </w:rPr>
        <w:t>ello</w:t>
      </w:r>
      <w:r>
        <w:rPr>
          <w:color w:val="231F20"/>
          <w:spacing w:val="-8"/>
        </w:rPr>
        <w:t> </w:t>
      </w:r>
      <w:r>
        <w:rPr>
          <w:color w:val="231F20"/>
        </w:rPr>
        <w:t>entonces, es</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demuestra</w:t>
      </w:r>
      <w:r>
        <w:rPr>
          <w:color w:val="231F20"/>
          <w:spacing w:val="-8"/>
        </w:rPr>
        <w:t> </w:t>
      </w:r>
      <w:r>
        <w:rPr>
          <w:color w:val="231F20"/>
        </w:rPr>
        <w:t>que,</w:t>
      </w:r>
      <w:r>
        <w:rPr>
          <w:color w:val="231F20"/>
          <w:spacing w:val="-8"/>
        </w:rPr>
        <w:t> </w:t>
      </w:r>
      <w:r>
        <w:rPr>
          <w:color w:val="231F20"/>
        </w:rPr>
        <w:t>socialmente,</w:t>
      </w:r>
      <w:r>
        <w:rPr>
          <w:color w:val="231F20"/>
          <w:spacing w:val="-8"/>
        </w:rPr>
        <w:t> </w:t>
      </w:r>
      <w:r>
        <w:rPr>
          <w:color w:val="231F20"/>
        </w:rPr>
        <w:t>el</w:t>
      </w:r>
      <w:r>
        <w:rPr>
          <w:color w:val="231F20"/>
          <w:spacing w:val="-8"/>
        </w:rPr>
        <w:t> </w:t>
      </w:r>
      <w:r>
        <w:rPr>
          <w:color w:val="231F20"/>
        </w:rPr>
        <w:t>uso</w:t>
      </w:r>
      <w:r>
        <w:rPr>
          <w:color w:val="231F20"/>
          <w:spacing w:val="-8"/>
        </w:rPr>
        <w:t> </w:t>
      </w:r>
      <w:r>
        <w:rPr>
          <w:color w:val="231F20"/>
        </w:rPr>
        <w:t>del</w:t>
      </w:r>
      <w:r>
        <w:rPr>
          <w:color w:val="231F20"/>
          <w:spacing w:val="-8"/>
        </w:rPr>
        <w:t> </w:t>
      </w:r>
      <w:r>
        <w:rPr>
          <w:color w:val="231F20"/>
        </w:rPr>
        <w:t>agua</w:t>
      </w:r>
      <w:r>
        <w:rPr>
          <w:color w:val="231F20"/>
          <w:spacing w:val="-8"/>
        </w:rPr>
        <w:t> </w:t>
      </w:r>
      <w:r>
        <w:rPr>
          <w:color w:val="231F20"/>
        </w:rPr>
        <w:t>subterránea</w:t>
      </w:r>
      <w:r>
        <w:rPr>
          <w:color w:val="231F20"/>
          <w:spacing w:val="-8"/>
        </w:rPr>
        <w:t> </w:t>
      </w:r>
      <w:r>
        <w:rPr>
          <w:color w:val="231F20"/>
        </w:rPr>
        <w:t>es</w:t>
      </w:r>
      <w:r>
        <w:rPr>
          <w:color w:val="231F20"/>
          <w:spacing w:val="-8"/>
        </w:rPr>
        <w:t> </w:t>
      </w:r>
      <w:r>
        <w:rPr>
          <w:color w:val="231F20"/>
        </w:rPr>
        <w:t>1.02</w:t>
      </w:r>
      <w:r>
        <w:rPr>
          <w:color w:val="231F20"/>
          <w:spacing w:val="-8"/>
        </w:rPr>
        <w:t> </w:t>
      </w:r>
      <w:r>
        <w:rPr>
          <w:color w:val="231F20"/>
        </w:rPr>
        <w:t>veces</w:t>
      </w:r>
      <w:r>
        <w:rPr>
          <w:color w:val="231F20"/>
          <w:spacing w:val="-8"/>
        </w:rPr>
        <w:t> </w:t>
      </w:r>
      <w:r>
        <w:rPr>
          <w:color w:val="231F20"/>
        </w:rPr>
        <w:t>más</w:t>
      </w:r>
      <w:r>
        <w:rPr>
          <w:color w:val="231F20"/>
          <w:spacing w:val="-8"/>
        </w:rPr>
        <w:t> </w:t>
      </w:r>
      <w:r>
        <w:rPr>
          <w:color w:val="231F20"/>
        </w:rPr>
        <w:t>productiva</w:t>
      </w:r>
      <w:r>
        <w:rPr>
          <w:color w:val="231F20"/>
          <w:spacing w:val="-8"/>
        </w:rPr>
        <w:t> </w:t>
      </w:r>
      <w:r>
        <w:rPr>
          <w:color w:val="231F20"/>
        </w:rPr>
        <w:t>en</w:t>
      </w:r>
      <w:r>
        <w:rPr>
          <w:color w:val="231F20"/>
          <w:spacing w:val="-8"/>
        </w:rPr>
        <w:t> </w:t>
      </w:r>
      <w:r>
        <w:rPr>
          <w:color w:val="231F20"/>
        </w:rPr>
        <w:t>el cultivo del zacate ballico o rye grass producido en la Comarca Lagunera que en el cultivo de alfalfa forrajera.</w:t>
      </w:r>
      <w:r>
        <w:rPr>
          <w:color w:val="231F20"/>
          <w:spacing w:val="-9"/>
        </w:rPr>
        <w:t> </w:t>
      </w:r>
      <w:r>
        <w:rPr>
          <w:color w:val="231F20"/>
        </w:rPr>
        <w:t>Lo</w:t>
      </w:r>
      <w:r>
        <w:rPr>
          <w:color w:val="231F20"/>
          <w:spacing w:val="-9"/>
        </w:rPr>
        <w:t> </w:t>
      </w:r>
      <w:r>
        <w:rPr>
          <w:color w:val="231F20"/>
        </w:rPr>
        <w:t>anterior,</w:t>
      </w:r>
      <w:r>
        <w:rPr>
          <w:color w:val="231F20"/>
          <w:spacing w:val="-9"/>
        </w:rPr>
        <w:t> </w:t>
      </w:r>
      <w:r>
        <w:rPr>
          <w:color w:val="231F20"/>
        </w:rPr>
        <w:t>implicaría</w:t>
      </w:r>
      <w:r>
        <w:rPr>
          <w:color w:val="231F20"/>
          <w:spacing w:val="-9"/>
        </w:rPr>
        <w:t> </w:t>
      </w:r>
      <w:r>
        <w:rPr>
          <w:color w:val="231F20"/>
        </w:rPr>
        <w:t>qué,</w:t>
      </w:r>
      <w:r>
        <w:rPr>
          <w:color w:val="231F20"/>
          <w:spacing w:val="-9"/>
        </w:rPr>
        <w:t> </w:t>
      </w:r>
      <w:r>
        <w:rPr>
          <w:color w:val="231F20"/>
        </w:rPr>
        <w:t>si</w:t>
      </w:r>
      <w:r>
        <w:rPr>
          <w:color w:val="231F20"/>
          <w:spacing w:val="-9"/>
        </w:rPr>
        <w:t> </w:t>
      </w:r>
      <w:r>
        <w:rPr>
          <w:color w:val="231F20"/>
        </w:rPr>
        <w:t>el</w:t>
      </w:r>
      <w:r>
        <w:rPr>
          <w:color w:val="231F20"/>
          <w:spacing w:val="-9"/>
        </w:rPr>
        <w:t> </w:t>
      </w:r>
      <w:r>
        <w:rPr>
          <w:color w:val="231F20"/>
        </w:rPr>
        <w:t>objetivo</w:t>
      </w:r>
      <w:r>
        <w:rPr>
          <w:color w:val="231F20"/>
          <w:spacing w:val="-9"/>
        </w:rPr>
        <w:t> </w:t>
      </w:r>
      <w:r>
        <w:rPr>
          <w:color w:val="231F20"/>
        </w:rPr>
        <w:t>fuese</w:t>
      </w:r>
      <w:r>
        <w:rPr>
          <w:color w:val="231F20"/>
          <w:spacing w:val="-9"/>
        </w:rPr>
        <w:t> </w:t>
      </w:r>
      <w:r>
        <w:rPr>
          <w:color w:val="231F20"/>
        </w:rPr>
        <w:t>la</w:t>
      </w:r>
      <w:r>
        <w:rPr>
          <w:color w:val="231F20"/>
          <w:spacing w:val="-9"/>
        </w:rPr>
        <w:t> </w:t>
      </w:r>
      <w:r>
        <w:rPr>
          <w:color w:val="231F20"/>
        </w:rPr>
        <w:t>multiplicación</w:t>
      </w:r>
      <w:r>
        <w:rPr>
          <w:color w:val="231F20"/>
          <w:spacing w:val="-10"/>
        </w:rPr>
        <w:t> </w:t>
      </w:r>
      <w:r>
        <w:rPr>
          <w:color w:val="231F20"/>
        </w:rPr>
        <w:t>del</w:t>
      </w:r>
      <w:r>
        <w:rPr>
          <w:color w:val="231F20"/>
          <w:spacing w:val="-9"/>
        </w:rPr>
        <w:t> </w:t>
      </w:r>
      <w:r>
        <w:rPr>
          <w:color w:val="231F20"/>
        </w:rPr>
        <w:t>empleo</w:t>
      </w:r>
      <w:r>
        <w:rPr>
          <w:color w:val="231F20"/>
          <w:spacing w:val="-10"/>
        </w:rPr>
        <w:t> </w:t>
      </w:r>
      <w:r>
        <w:rPr>
          <w:color w:val="231F20"/>
        </w:rPr>
        <w:t>conjugado</w:t>
      </w:r>
      <w:r>
        <w:rPr>
          <w:color w:val="231F20"/>
          <w:spacing w:val="-10"/>
        </w:rPr>
        <w:t> </w:t>
      </w:r>
      <w:r>
        <w:rPr>
          <w:color w:val="231F20"/>
        </w:rPr>
        <w:t>con un</w:t>
      </w:r>
      <w:r>
        <w:rPr>
          <w:color w:val="231F20"/>
          <w:spacing w:val="-8"/>
        </w:rPr>
        <w:t> </w:t>
      </w:r>
      <w:r>
        <w:rPr>
          <w:color w:val="231F20"/>
        </w:rPr>
        <w:t>ahorro</w:t>
      </w:r>
      <w:r>
        <w:rPr>
          <w:color w:val="231F20"/>
          <w:spacing w:val="-8"/>
        </w:rPr>
        <w:t> </w:t>
      </w:r>
      <w:r>
        <w:rPr>
          <w:color w:val="231F20"/>
        </w:rPr>
        <w:t>de</w:t>
      </w:r>
      <w:r>
        <w:rPr>
          <w:color w:val="231F20"/>
          <w:spacing w:val="-8"/>
        </w:rPr>
        <w:t> </w:t>
      </w:r>
      <w:r>
        <w:rPr>
          <w:color w:val="231F20"/>
        </w:rPr>
        <w:t>agua,</w:t>
      </w:r>
      <w:r>
        <w:rPr>
          <w:color w:val="231F20"/>
          <w:spacing w:val="-8"/>
        </w:rPr>
        <w:t> </w:t>
      </w:r>
      <w:r>
        <w:rPr>
          <w:color w:val="231F20"/>
        </w:rPr>
        <w:t>los</w:t>
      </w:r>
      <w:r>
        <w:rPr>
          <w:color w:val="231F20"/>
          <w:spacing w:val="-8"/>
        </w:rPr>
        <w:t> </w:t>
      </w:r>
      <w:r>
        <w:rPr>
          <w:color w:val="231F20"/>
        </w:rPr>
        <w:t>tomadores</w:t>
      </w:r>
      <w:r>
        <w:rPr>
          <w:color w:val="231F20"/>
          <w:spacing w:val="-8"/>
        </w:rPr>
        <w:t> </w:t>
      </w:r>
      <w:r>
        <w:rPr>
          <w:color w:val="231F20"/>
        </w:rPr>
        <w:t>de</w:t>
      </w:r>
      <w:r>
        <w:rPr>
          <w:color w:val="231F20"/>
          <w:spacing w:val="-8"/>
        </w:rPr>
        <w:t> </w:t>
      </w:r>
      <w:r>
        <w:rPr>
          <w:color w:val="231F20"/>
        </w:rPr>
        <w:t>decisiones,</w:t>
      </w:r>
      <w:r>
        <w:rPr>
          <w:color w:val="231F20"/>
          <w:spacing w:val="-8"/>
        </w:rPr>
        <w:t> </w:t>
      </w:r>
      <w:r>
        <w:rPr>
          <w:color w:val="231F20"/>
        </w:rPr>
        <w:t>aquellos</w:t>
      </w:r>
      <w:r>
        <w:rPr>
          <w:color w:val="231F20"/>
          <w:spacing w:val="-8"/>
        </w:rPr>
        <w:t> </w:t>
      </w:r>
      <w:r>
        <w:rPr>
          <w:color w:val="231F20"/>
        </w:rPr>
        <w:t>que</w:t>
      </w:r>
      <w:r>
        <w:rPr>
          <w:color w:val="231F20"/>
          <w:spacing w:val="-8"/>
        </w:rPr>
        <w:t> </w:t>
      </w:r>
      <w:r>
        <w:rPr>
          <w:color w:val="231F20"/>
        </w:rPr>
        <w:t>administran</w:t>
      </w:r>
      <w:r>
        <w:rPr>
          <w:color w:val="231F20"/>
          <w:spacing w:val="-8"/>
        </w:rPr>
        <w:t> </w:t>
      </w:r>
      <w:r>
        <w:rPr>
          <w:color w:val="231F20"/>
        </w:rPr>
        <w:t>el</w:t>
      </w:r>
      <w:r>
        <w:rPr>
          <w:color w:val="231F20"/>
          <w:spacing w:val="-8"/>
        </w:rPr>
        <w:t> </w:t>
      </w:r>
      <w:r>
        <w:rPr>
          <w:color w:val="231F20"/>
        </w:rPr>
        <w:t>agua</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país,</w:t>
      </w:r>
      <w:r>
        <w:rPr>
          <w:color w:val="231F20"/>
          <w:spacing w:val="-8"/>
        </w:rPr>
        <w:t> </w:t>
      </w:r>
      <w:r>
        <w:rPr>
          <w:color w:val="231F20"/>
        </w:rPr>
        <w:t>debieran restringir el uso del agua en los alfalfares y ampliarlo en los cultivos que generan mas empleo por cada m</w:t>
      </w:r>
      <w:r>
        <w:rPr>
          <w:color w:val="231F20"/>
          <w:position w:val="7"/>
          <w:sz w:val="12"/>
        </w:rPr>
        <w:t>3  </w:t>
      </w:r>
      <w:r>
        <w:rPr>
          <w:color w:val="231F20"/>
        </w:rPr>
        <w:t>empleado en el</w:t>
      </w:r>
      <w:r>
        <w:rPr>
          <w:color w:val="231F20"/>
          <w:spacing w:val="-11"/>
        </w:rPr>
        <w:t> </w:t>
      </w:r>
      <w:r>
        <w:rPr>
          <w:color w:val="231F20"/>
        </w:rPr>
        <w:t>riego.</w:t>
      </w:r>
    </w:p>
    <w:p>
      <w:pPr>
        <w:pStyle w:val="BodyText"/>
        <w:spacing w:before="7"/>
      </w:pPr>
    </w:p>
    <w:p>
      <w:pPr>
        <w:pStyle w:val="BodyText"/>
        <w:spacing w:line="247" w:lineRule="auto"/>
        <w:ind w:left="1270" w:right="1267" w:hanging="1"/>
        <w:jc w:val="both"/>
      </w:pPr>
      <w:r>
        <w:rPr/>
        <w:pict>
          <v:shape style="position:absolute;margin-left:229.574707pt;margin-top:8.372910pt;width:3.1pt;height:6.15pt;mso-position-horizontal-relative:page;mso-position-vertical-relative:paragraph;z-index:-205840" type="#_x0000_t202" filled="false" stroked="false">
            <v:textbox inset="0,0,0,0">
              <w:txbxContent>
                <w:p>
                  <w:pPr>
                    <w:spacing w:line="122" w:lineRule="exact" w:before="0"/>
                    <w:ind w:left="0" w:right="0" w:firstLine="0"/>
                    <w:jc w:val="left"/>
                    <w:rPr>
                      <w:sz w:val="12"/>
                    </w:rPr>
                  </w:pPr>
                  <w:r>
                    <w:rPr>
                      <w:color w:val="231F20"/>
                      <w:w w:val="102"/>
                      <w:sz w:val="12"/>
                    </w:rPr>
                    <w:t>9</w:t>
                  </w:r>
                </w:p>
              </w:txbxContent>
            </v:textbox>
            <w10:wrap type="none"/>
          </v:shape>
        </w:pict>
      </w:r>
      <w:r>
        <w:rPr>
          <w:color w:val="231F20"/>
        </w:rPr>
        <w:t>El Cuadro 3, en el caso de la variable Y , que evalúa la productividad del trabajo en suelos</w:t>
      </w:r>
      <w:r>
        <w:rPr>
          <w:color w:val="231F20"/>
          <w:spacing w:val="-25"/>
        </w:rPr>
        <w:t> </w:t>
      </w:r>
      <w:r>
        <w:rPr>
          <w:color w:val="231F20"/>
        </w:rPr>
        <w:t>irrigados con aguas subterráneas, muestra que en el cultivo de zacate ballico fue menos productivo el trabajo invertido que en el alfalfa, toda vez que el primero requirió invertir 3.86 horas de trabajo para pro- ducir</w:t>
      </w:r>
      <w:r>
        <w:rPr>
          <w:color w:val="231F20"/>
          <w:spacing w:val="-3"/>
        </w:rPr>
        <w:t> </w:t>
      </w:r>
      <w:r>
        <w:rPr>
          <w:color w:val="231F20"/>
        </w:rPr>
        <w:t>una</w:t>
      </w:r>
      <w:r>
        <w:rPr>
          <w:color w:val="231F20"/>
          <w:spacing w:val="-3"/>
        </w:rPr>
        <w:t> </w:t>
      </w:r>
      <w:r>
        <w:rPr>
          <w:color w:val="231F20"/>
        </w:rPr>
        <w:t>tonelada,</w:t>
      </w:r>
      <w:r>
        <w:rPr>
          <w:color w:val="231F20"/>
          <w:spacing w:val="-3"/>
        </w:rPr>
        <w:t> </w:t>
      </w:r>
      <w:r>
        <w:rPr>
          <w:color w:val="231F20"/>
        </w:rPr>
        <w:t>mientras</w:t>
      </w:r>
      <w:r>
        <w:rPr>
          <w:color w:val="231F20"/>
          <w:spacing w:val="-3"/>
        </w:rPr>
        <w:t> </w:t>
      </w:r>
      <w:r>
        <w:rPr>
          <w:color w:val="231F20"/>
        </w:rPr>
        <w:t>que</w:t>
      </w:r>
      <w:r>
        <w:rPr>
          <w:color w:val="231F20"/>
          <w:spacing w:val="-3"/>
        </w:rPr>
        <w:t> </w:t>
      </w:r>
      <w:r>
        <w:rPr>
          <w:color w:val="231F20"/>
        </w:rPr>
        <w:t>en</w:t>
      </w:r>
      <w:r>
        <w:rPr>
          <w:color w:val="231F20"/>
          <w:spacing w:val="-3"/>
        </w:rPr>
        <w:t> </w:t>
      </w:r>
      <w:r>
        <w:rPr>
          <w:color w:val="231F20"/>
        </w:rPr>
        <w:t>el</w:t>
      </w:r>
      <w:r>
        <w:rPr>
          <w:color w:val="231F20"/>
          <w:spacing w:val="-3"/>
        </w:rPr>
        <w:t> </w:t>
      </w:r>
      <w:r>
        <w:rPr>
          <w:color w:val="231F20"/>
        </w:rPr>
        <w:t>segundo</w:t>
      </w:r>
      <w:r>
        <w:rPr>
          <w:color w:val="231F20"/>
          <w:spacing w:val="-3"/>
        </w:rPr>
        <w:t> </w:t>
      </w:r>
      <w:r>
        <w:rPr>
          <w:color w:val="231F20"/>
        </w:rPr>
        <w:t>se</w:t>
      </w:r>
      <w:r>
        <w:rPr>
          <w:color w:val="231F20"/>
          <w:spacing w:val="-3"/>
        </w:rPr>
        <w:t> </w:t>
      </w:r>
      <w:r>
        <w:rPr>
          <w:color w:val="231F20"/>
        </w:rPr>
        <w:t>requirió</w:t>
      </w:r>
      <w:r>
        <w:rPr>
          <w:color w:val="231F20"/>
          <w:spacing w:val="-3"/>
        </w:rPr>
        <w:t> </w:t>
      </w:r>
      <w:r>
        <w:rPr>
          <w:color w:val="231F20"/>
        </w:rPr>
        <w:t>de</w:t>
      </w:r>
      <w:r>
        <w:rPr>
          <w:color w:val="231F20"/>
          <w:spacing w:val="-3"/>
        </w:rPr>
        <w:t> </w:t>
      </w:r>
      <w:r>
        <w:rPr>
          <w:color w:val="231F20"/>
        </w:rPr>
        <w:t>2.13</w:t>
      </w:r>
      <w:r>
        <w:rPr>
          <w:color w:val="231F20"/>
          <w:spacing w:val="-3"/>
        </w:rPr>
        <w:t> </w:t>
      </w:r>
      <w:r>
        <w:rPr>
          <w:color w:val="231F20"/>
        </w:rPr>
        <w:t>horas</w:t>
      </w:r>
      <w:r>
        <w:rPr>
          <w:color w:val="231F20"/>
          <w:spacing w:val="-3"/>
        </w:rPr>
        <w:t> </w:t>
      </w:r>
      <w:r>
        <w:rPr>
          <w:color w:val="231F20"/>
        </w:rPr>
        <w:t>de</w:t>
      </w:r>
      <w:r>
        <w:rPr>
          <w:color w:val="231F20"/>
          <w:spacing w:val="-3"/>
        </w:rPr>
        <w:t> </w:t>
      </w:r>
      <w:r>
        <w:rPr>
          <w:color w:val="231F20"/>
        </w:rPr>
        <w:t>trabajo</w:t>
      </w:r>
      <w:r>
        <w:rPr>
          <w:color w:val="231F20"/>
          <w:spacing w:val="-3"/>
        </w:rPr>
        <w:t> </w:t>
      </w:r>
      <w:r>
        <w:rPr>
          <w:color w:val="231F20"/>
        </w:rPr>
        <w:t>para</w:t>
      </w:r>
      <w:r>
        <w:rPr>
          <w:color w:val="231F20"/>
          <w:spacing w:val="-3"/>
        </w:rPr>
        <w:t> </w:t>
      </w:r>
      <w:r>
        <w:rPr>
          <w:color w:val="231F20"/>
        </w:rPr>
        <w:t>obtener</w:t>
      </w:r>
      <w:r>
        <w:rPr>
          <w:color w:val="231F20"/>
          <w:spacing w:val="-3"/>
        </w:rPr>
        <w:t> </w:t>
      </w:r>
      <w:r>
        <w:rPr>
          <w:color w:val="231F20"/>
        </w:rPr>
        <w:t>una tonelada de producto físico (ver Cuadro 3), lo anterior, aunado a lo ya señalado del Cuadro 1, que alude</w:t>
      </w:r>
      <w:r>
        <w:rPr>
          <w:color w:val="231F20"/>
          <w:spacing w:val="-4"/>
        </w:rPr>
        <w:t> </w:t>
      </w:r>
      <w:r>
        <w:rPr>
          <w:color w:val="231F20"/>
        </w:rPr>
        <w:t>a</w:t>
      </w:r>
      <w:r>
        <w:rPr>
          <w:color w:val="231F20"/>
          <w:spacing w:val="-4"/>
        </w:rPr>
        <w:t> </w:t>
      </w:r>
      <w:r>
        <w:rPr>
          <w:color w:val="231F20"/>
        </w:rPr>
        <w:t>que</w:t>
      </w:r>
      <w:r>
        <w:rPr>
          <w:color w:val="231F20"/>
          <w:spacing w:val="-4"/>
        </w:rPr>
        <w:t> </w:t>
      </w:r>
      <w:r>
        <w:rPr>
          <w:color w:val="231F20"/>
        </w:rPr>
        <w:t>una</w:t>
      </w:r>
      <w:r>
        <w:rPr>
          <w:color w:val="231F20"/>
          <w:spacing w:val="-4"/>
        </w:rPr>
        <w:t> </w:t>
      </w:r>
      <w:r>
        <w:rPr>
          <w:color w:val="231F20"/>
        </w:rPr>
        <w:t>jornada</w:t>
      </w:r>
      <w:r>
        <w:rPr>
          <w:color w:val="231F20"/>
          <w:spacing w:val="-4"/>
        </w:rPr>
        <w:t> </w:t>
      </w:r>
      <w:r>
        <w:rPr>
          <w:color w:val="231F20"/>
        </w:rPr>
        <w:t>de</w:t>
      </w:r>
      <w:r>
        <w:rPr>
          <w:color w:val="231F20"/>
          <w:spacing w:val="-4"/>
        </w:rPr>
        <w:t> </w:t>
      </w:r>
      <w:r>
        <w:rPr>
          <w:color w:val="231F20"/>
        </w:rPr>
        <w:t>trabajo</w:t>
      </w:r>
      <w:r>
        <w:rPr>
          <w:color w:val="231F20"/>
          <w:spacing w:val="-4"/>
        </w:rPr>
        <w:t> </w:t>
      </w:r>
      <w:r>
        <w:rPr>
          <w:color w:val="231F20"/>
        </w:rPr>
        <w:t>produjo</w:t>
      </w:r>
      <w:r>
        <w:rPr>
          <w:color w:val="231F20"/>
          <w:spacing w:val="-4"/>
        </w:rPr>
        <w:t> </w:t>
      </w:r>
      <w:r>
        <w:rPr>
          <w:color w:val="231F20"/>
        </w:rPr>
        <w:t>una</w:t>
      </w:r>
      <w:r>
        <w:rPr>
          <w:color w:val="231F20"/>
          <w:spacing w:val="-4"/>
        </w:rPr>
        <w:t> </w:t>
      </w:r>
      <w:r>
        <w:rPr>
          <w:color w:val="231F20"/>
        </w:rPr>
        <w:t>perdida</w:t>
      </w:r>
      <w:r>
        <w:rPr>
          <w:color w:val="231F20"/>
          <w:spacing w:val="-4"/>
        </w:rPr>
        <w:t> </w:t>
      </w:r>
      <w:r>
        <w:rPr>
          <w:color w:val="231F20"/>
        </w:rPr>
        <w:t>de</w:t>
      </w:r>
      <w:r>
        <w:rPr>
          <w:color w:val="231F20"/>
          <w:spacing w:val="-4"/>
        </w:rPr>
        <w:t> </w:t>
      </w:r>
      <w:r>
        <w:rPr>
          <w:color w:val="231F20"/>
        </w:rPr>
        <w:t>-$165.4</w:t>
      </w:r>
      <w:r>
        <w:rPr>
          <w:color w:val="231F20"/>
          <w:spacing w:val="-4"/>
        </w:rPr>
        <w:t> </w:t>
      </w:r>
      <w:r>
        <w:rPr>
          <w:color w:val="231F20"/>
        </w:rPr>
        <w:t>de</w:t>
      </w:r>
      <w:r>
        <w:rPr>
          <w:color w:val="231F20"/>
          <w:spacing w:val="-4"/>
        </w:rPr>
        <w:t> </w:t>
      </w:r>
      <w:r>
        <w:rPr>
          <w:color w:val="231F20"/>
        </w:rPr>
        <w:t>ganancia</w:t>
      </w:r>
      <w:r>
        <w:rPr>
          <w:color w:val="231F20"/>
          <w:spacing w:val="-3"/>
        </w:rPr>
        <w:t> </w:t>
      </w:r>
      <w:r>
        <w:rPr>
          <w:color w:val="231F20"/>
        </w:rPr>
        <w:t>bruta</w:t>
      </w:r>
      <w:r>
        <w:rPr>
          <w:color w:val="231F20"/>
          <w:spacing w:val="-4"/>
        </w:rPr>
        <w:t> </w:t>
      </w:r>
      <w:r>
        <w:rPr>
          <w:color w:val="231F20"/>
        </w:rPr>
        <w:t>en</w:t>
      </w:r>
      <w:r>
        <w:rPr>
          <w:color w:val="231F20"/>
          <w:spacing w:val="-4"/>
        </w:rPr>
        <w:t> </w:t>
      </w:r>
      <w:r>
        <w:rPr>
          <w:color w:val="231F20"/>
        </w:rPr>
        <w:t>zacate</w:t>
      </w:r>
      <w:r>
        <w:rPr>
          <w:color w:val="231F20"/>
          <w:spacing w:val="-4"/>
        </w:rPr>
        <w:t> </w:t>
      </w:r>
      <w:r>
        <w:rPr>
          <w:color w:val="231F20"/>
        </w:rPr>
        <w:t>balli- co y $725 en alfalfa forrajera, señalan, que socialmente, el cultivo del zacate ballico, es en relación al alfalfa forrajera, es altamente improductivo, no así el alfalfa, que resultó productivo socialmente hablando para el rubro de productividad del trabajo en suelos irrigados con aguas</w:t>
      </w:r>
      <w:r>
        <w:rPr>
          <w:color w:val="231F20"/>
          <w:spacing w:val="-23"/>
        </w:rPr>
        <w:t> </w:t>
      </w:r>
      <w:r>
        <w:rPr>
          <w:color w:val="231F20"/>
        </w:rPr>
        <w:t>subterráneas.</w:t>
      </w:r>
    </w:p>
    <w:p>
      <w:pPr>
        <w:pStyle w:val="BodyText"/>
        <w:spacing w:before="6"/>
        <w:rPr>
          <w:sz w:val="15"/>
        </w:rPr>
      </w:pPr>
    </w:p>
    <w:p>
      <w:pPr>
        <w:pStyle w:val="BodyText"/>
        <w:spacing w:line="167" w:lineRule="exact" w:before="74"/>
        <w:ind w:left="1270"/>
      </w:pPr>
      <w:r>
        <w:rPr>
          <w:color w:val="231F20"/>
        </w:rPr>
        <w:t>La variable Y  , que mide otro aspecto de la productividad del trabajo en suelos irrigados con aguas</w:t>
      </w:r>
    </w:p>
    <w:p>
      <w:pPr>
        <w:spacing w:line="103" w:lineRule="exact" w:before="0"/>
        <w:ind w:left="2420" w:right="5337" w:firstLine="0"/>
        <w:jc w:val="left"/>
        <w:rPr>
          <w:sz w:val="12"/>
        </w:rPr>
      </w:pPr>
      <w:r>
        <w:rPr>
          <w:color w:val="231F20"/>
          <w:sz w:val="12"/>
        </w:rPr>
        <w:t>10</w:t>
      </w:r>
    </w:p>
    <w:p>
      <w:pPr>
        <w:pStyle w:val="BodyText"/>
        <w:spacing w:line="220" w:lineRule="exact"/>
        <w:ind w:left="1270"/>
        <w:jc w:val="both"/>
      </w:pPr>
      <w:r>
        <w:rPr>
          <w:color w:val="231F20"/>
        </w:rPr>
        <w:t>subterráneas, el que evalúa el nivel de ganancia/trabajador en cada cultivo, determinó que existió una</w:t>
      </w:r>
    </w:p>
    <w:p>
      <w:pPr>
        <w:pStyle w:val="BodyText"/>
        <w:spacing w:line="247" w:lineRule="auto" w:before="8"/>
        <w:ind w:left="1270" w:right="1268"/>
        <w:jc w:val="both"/>
      </w:pPr>
      <w:r>
        <w:rPr>
          <w:color w:val="231F20"/>
        </w:rPr>
        <w:t>mayor</w:t>
      </w:r>
      <w:r>
        <w:rPr>
          <w:color w:val="231F20"/>
          <w:spacing w:val="-8"/>
        </w:rPr>
        <w:t> </w:t>
      </w:r>
      <w:r>
        <w:rPr>
          <w:color w:val="231F20"/>
        </w:rPr>
        <w:t>productividad</w:t>
      </w:r>
      <w:r>
        <w:rPr>
          <w:color w:val="231F20"/>
          <w:spacing w:val="-7"/>
        </w:rPr>
        <w:t> </w:t>
      </w:r>
      <w:r>
        <w:rPr>
          <w:color w:val="231F20"/>
        </w:rPr>
        <w:t>social</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cultivo</w:t>
      </w:r>
      <w:r>
        <w:rPr>
          <w:color w:val="231F20"/>
          <w:spacing w:val="-8"/>
        </w:rPr>
        <w:t> </w:t>
      </w:r>
      <w:r>
        <w:rPr>
          <w:color w:val="231F20"/>
        </w:rPr>
        <w:t>de</w:t>
      </w:r>
      <w:r>
        <w:rPr>
          <w:color w:val="231F20"/>
          <w:spacing w:val="-7"/>
        </w:rPr>
        <w:t> </w:t>
      </w:r>
      <w:r>
        <w:rPr>
          <w:color w:val="231F20"/>
        </w:rPr>
        <w:t>zacate</w:t>
      </w:r>
      <w:r>
        <w:rPr>
          <w:color w:val="231F20"/>
          <w:spacing w:val="-8"/>
        </w:rPr>
        <w:t> </w:t>
      </w:r>
      <w:r>
        <w:rPr>
          <w:color w:val="231F20"/>
        </w:rPr>
        <w:t>ballico</w:t>
      </w:r>
      <w:r>
        <w:rPr>
          <w:color w:val="231F20"/>
          <w:spacing w:val="-7"/>
        </w:rPr>
        <w:t> </w:t>
      </w:r>
      <w:r>
        <w:rPr>
          <w:color w:val="231F20"/>
        </w:rPr>
        <w:t>respecto</w:t>
      </w:r>
      <w:r>
        <w:rPr>
          <w:color w:val="231F20"/>
          <w:spacing w:val="-7"/>
        </w:rPr>
        <w:t> </w:t>
      </w:r>
      <w:r>
        <w:rPr>
          <w:color w:val="231F20"/>
        </w:rPr>
        <w:t>del</w:t>
      </w:r>
      <w:r>
        <w:rPr>
          <w:color w:val="231F20"/>
          <w:spacing w:val="-7"/>
        </w:rPr>
        <w:t> </w:t>
      </w:r>
      <w:r>
        <w:rPr>
          <w:color w:val="231F20"/>
        </w:rPr>
        <w:t>alfalfa</w:t>
      </w:r>
      <w:r>
        <w:rPr>
          <w:color w:val="231F20"/>
          <w:spacing w:val="-8"/>
        </w:rPr>
        <w:t> </w:t>
      </w:r>
      <w:r>
        <w:rPr>
          <w:color w:val="231F20"/>
        </w:rPr>
        <w:t>forrajera,</w:t>
      </w:r>
      <w:r>
        <w:rPr>
          <w:color w:val="231F20"/>
          <w:spacing w:val="-7"/>
        </w:rPr>
        <w:t> </w:t>
      </w:r>
      <w:r>
        <w:rPr>
          <w:color w:val="231F20"/>
        </w:rPr>
        <w:t>ya</w:t>
      </w:r>
      <w:r>
        <w:rPr>
          <w:color w:val="231F20"/>
          <w:spacing w:val="-7"/>
        </w:rPr>
        <w:t> </w:t>
      </w:r>
      <w:r>
        <w:rPr>
          <w:color w:val="231F20"/>
        </w:rPr>
        <w:t>que</w:t>
      </w:r>
      <w:r>
        <w:rPr>
          <w:color w:val="231F20"/>
          <w:spacing w:val="-7"/>
        </w:rPr>
        <w:t> </w:t>
      </w:r>
      <w:r>
        <w:rPr>
          <w:color w:val="231F20"/>
        </w:rPr>
        <w:t>mien- tras que en el zacate ballico, cada trabajador, generó a nivel regional, una derrama económica,</w:t>
      </w:r>
      <w:r>
        <w:rPr>
          <w:color w:val="231F20"/>
          <w:spacing w:val="-29"/>
        </w:rPr>
        <w:t> </w:t>
      </w:r>
      <w:r>
        <w:rPr>
          <w:color w:val="231F20"/>
        </w:rPr>
        <w:t>apro- piada por el productor bajo la forma de perdida en la ganancia bruta privada, igual a -$5,396,926,  el trabajador agrícola adscrito a la producción de alfalfa forrajera le allegó ganancias al dueño del predio por un monto de $280,115, es decir; el trabajador del zacate ballico produjo al dueño de ese predio, una perdida en la ganancia -$1,926.68% mayor a la que el trabajador adscrito al alfalfar</w:t>
      </w:r>
      <w:r>
        <w:rPr>
          <w:color w:val="231F20"/>
          <w:spacing w:val="-33"/>
        </w:rPr>
        <w:t> </w:t>
      </w:r>
      <w:r>
        <w:rPr>
          <w:color w:val="231F20"/>
        </w:rPr>
        <w:t>pro- dujo al dueño del predio (Cuadro 3).</w:t>
      </w:r>
    </w:p>
    <w:p>
      <w:pPr>
        <w:pStyle w:val="BodyText"/>
        <w:spacing w:before="6"/>
        <w:rPr>
          <w:sz w:val="15"/>
        </w:rPr>
      </w:pPr>
    </w:p>
    <w:p>
      <w:pPr>
        <w:pStyle w:val="BodyText"/>
        <w:spacing w:before="74"/>
        <w:ind w:left="1270"/>
      </w:pPr>
      <w:r>
        <w:rPr/>
        <w:pict>
          <v:shape style="position:absolute;margin-left:120.269699pt;margin-top:12.073428pt;width:5.7pt;height:6.15pt;mso-position-horizontal-relative:page;mso-position-vertical-relative:paragraph;z-index:-205816" type="#_x0000_t202" filled="false" stroked="false">
            <v:textbox inset="0,0,0,0">
              <w:txbxContent>
                <w:p>
                  <w:pPr>
                    <w:spacing w:line="122" w:lineRule="exact" w:before="0"/>
                    <w:ind w:left="0" w:right="-16" w:firstLine="0"/>
                    <w:jc w:val="left"/>
                    <w:rPr>
                      <w:sz w:val="12"/>
                    </w:rPr>
                  </w:pPr>
                  <w:r>
                    <w:rPr>
                      <w:color w:val="231F20"/>
                      <w:spacing w:val="-5"/>
                      <w:sz w:val="12"/>
                    </w:rPr>
                    <w:t>11</w:t>
                  </w:r>
                </w:p>
              </w:txbxContent>
            </v:textbox>
            <w10:wrap type="none"/>
          </v:shape>
        </w:pict>
      </w:r>
      <w:r>
        <w:rPr>
          <w:color w:val="231F20"/>
        </w:rPr>
        <w:t>La variable Y  , que mide la ganancia bruta por hora invertida de trabajo, mostró que el cultivo de al-</w:t>
      </w:r>
    </w:p>
    <w:p>
      <w:pPr>
        <w:pStyle w:val="BodyText"/>
        <w:spacing w:line="247" w:lineRule="auto" w:before="8"/>
        <w:ind w:left="1270" w:right="1268"/>
        <w:jc w:val="both"/>
      </w:pPr>
      <w:r>
        <w:rPr>
          <w:color w:val="231F20"/>
        </w:rPr>
        <w:t>falfa</w:t>
      </w:r>
      <w:r>
        <w:rPr>
          <w:color w:val="231F20"/>
          <w:spacing w:val="-9"/>
        </w:rPr>
        <w:t> </w:t>
      </w:r>
      <w:r>
        <w:rPr>
          <w:color w:val="231F20"/>
        </w:rPr>
        <w:t>forrajera</w:t>
      </w:r>
      <w:r>
        <w:rPr>
          <w:color w:val="231F20"/>
          <w:spacing w:val="-9"/>
        </w:rPr>
        <w:t> </w:t>
      </w:r>
      <w:r>
        <w:rPr>
          <w:color w:val="231F20"/>
        </w:rPr>
        <w:t>fue</w:t>
      </w:r>
      <w:r>
        <w:rPr>
          <w:color w:val="231F20"/>
          <w:spacing w:val="-9"/>
        </w:rPr>
        <w:t> </w:t>
      </w:r>
      <w:r>
        <w:rPr>
          <w:color w:val="231F20"/>
        </w:rPr>
        <w:t>más</w:t>
      </w:r>
      <w:r>
        <w:rPr>
          <w:color w:val="231F20"/>
          <w:spacing w:val="-9"/>
        </w:rPr>
        <w:t> </w:t>
      </w:r>
      <w:r>
        <w:rPr>
          <w:color w:val="231F20"/>
        </w:rPr>
        <w:t>eficiente</w:t>
      </w:r>
      <w:r>
        <w:rPr>
          <w:color w:val="231F20"/>
          <w:spacing w:val="-9"/>
        </w:rPr>
        <w:t> </w:t>
      </w:r>
      <w:r>
        <w:rPr>
          <w:color w:val="231F20"/>
        </w:rPr>
        <w:t>que</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cultivo</w:t>
      </w:r>
      <w:r>
        <w:rPr>
          <w:color w:val="231F20"/>
          <w:spacing w:val="-9"/>
        </w:rPr>
        <w:t> </w:t>
      </w:r>
      <w:r>
        <w:rPr>
          <w:color w:val="231F20"/>
        </w:rPr>
        <w:t>de</w:t>
      </w:r>
      <w:r>
        <w:rPr>
          <w:color w:val="231F20"/>
          <w:spacing w:val="-9"/>
        </w:rPr>
        <w:t> </w:t>
      </w:r>
      <w:r>
        <w:rPr>
          <w:color w:val="231F20"/>
        </w:rPr>
        <w:t>zacate</w:t>
      </w:r>
      <w:r>
        <w:rPr>
          <w:color w:val="231F20"/>
          <w:spacing w:val="-9"/>
        </w:rPr>
        <w:t> </w:t>
      </w:r>
      <w:r>
        <w:rPr>
          <w:color w:val="231F20"/>
        </w:rPr>
        <w:t>ballico,</w:t>
      </w:r>
      <w:r>
        <w:rPr>
          <w:color w:val="231F20"/>
          <w:spacing w:val="-9"/>
        </w:rPr>
        <w:t> </w:t>
      </w:r>
      <w:r>
        <w:rPr>
          <w:color w:val="231F20"/>
        </w:rPr>
        <w:t>ya</w:t>
      </w:r>
      <w:r>
        <w:rPr>
          <w:color w:val="231F20"/>
          <w:spacing w:val="-9"/>
        </w:rPr>
        <w:t> </w:t>
      </w:r>
      <w:r>
        <w:rPr>
          <w:color w:val="231F20"/>
        </w:rPr>
        <w:t>que,</w:t>
      </w:r>
      <w:r>
        <w:rPr>
          <w:color w:val="231F20"/>
          <w:spacing w:val="-9"/>
        </w:rPr>
        <w:t> </w:t>
      </w:r>
      <w:r>
        <w:rPr>
          <w:color w:val="231F20"/>
        </w:rPr>
        <w:t>la</w:t>
      </w:r>
      <w:r>
        <w:rPr>
          <w:color w:val="231F20"/>
          <w:spacing w:val="-9"/>
        </w:rPr>
        <w:t> </w:t>
      </w:r>
      <w:r>
        <w:rPr>
          <w:color w:val="231F20"/>
        </w:rPr>
        <w:t>ganancia</w:t>
      </w:r>
      <w:r>
        <w:rPr>
          <w:color w:val="231F20"/>
          <w:spacing w:val="-9"/>
        </w:rPr>
        <w:t> </w:t>
      </w:r>
      <w:r>
        <w:rPr>
          <w:color w:val="231F20"/>
        </w:rPr>
        <w:t>bruta</w:t>
      </w:r>
      <w:r>
        <w:rPr>
          <w:color w:val="231F20"/>
          <w:spacing w:val="-9"/>
        </w:rPr>
        <w:t> </w:t>
      </w:r>
      <w:r>
        <w:rPr>
          <w:color w:val="231F20"/>
        </w:rPr>
        <w:t>obtenida por hora invertida de trabajo, resultó igual a -$20.7 en el zacate ballico y $90.6 en alfalfa forrajera, es decir; que una hora de trabajo en alfalfa reditúa 438.29% más de ganancia que esa misma hora redituaría si se invirtiese en el cultivo de zacate ballico (Cuadro</w:t>
      </w:r>
      <w:r>
        <w:rPr>
          <w:color w:val="231F20"/>
          <w:spacing w:val="-6"/>
        </w:rPr>
        <w:t> </w:t>
      </w:r>
      <w:r>
        <w:rPr>
          <w:color w:val="231F20"/>
        </w:rPr>
        <w:t>3).</w:t>
      </w:r>
    </w:p>
    <w:p>
      <w:pPr>
        <w:spacing w:after="0" w:line="247" w:lineRule="auto"/>
        <w:jc w:val="both"/>
        <w:sectPr>
          <w:pgSz w:w="10920" w:h="13080"/>
          <w:pgMar w:header="0" w:footer="1025" w:top="420" w:bottom="1220" w:left="0" w:right="0"/>
        </w:sectPr>
      </w:pPr>
    </w:p>
    <w:p>
      <w:pPr>
        <w:pStyle w:val="BodyText"/>
        <w:rPr>
          <w:sz w:val="20"/>
        </w:rPr>
      </w:pPr>
    </w:p>
    <w:p>
      <w:pPr>
        <w:pStyle w:val="BodyText"/>
        <w:rPr>
          <w:sz w:val="20"/>
        </w:rPr>
      </w:pPr>
    </w:p>
    <w:p>
      <w:pPr>
        <w:pStyle w:val="BodyText"/>
        <w:spacing w:before="4"/>
        <w:rPr>
          <w:sz w:val="22"/>
        </w:rPr>
      </w:pPr>
    </w:p>
    <w:p>
      <w:pPr>
        <w:pStyle w:val="Heading3"/>
        <w:spacing w:before="69"/>
      </w:pPr>
      <w:r>
        <w:rPr>
          <w:color w:val="010202"/>
        </w:rPr>
        <w:t>Conclusiones</w:t>
      </w:r>
    </w:p>
    <w:p>
      <w:pPr>
        <w:pStyle w:val="BodyText"/>
        <w:spacing w:before="10"/>
        <w:rPr>
          <w:b/>
        </w:rPr>
      </w:pPr>
    </w:p>
    <w:p>
      <w:pPr>
        <w:pStyle w:val="BodyText"/>
        <w:spacing w:line="247" w:lineRule="auto"/>
        <w:ind w:left="1270" w:right="1267"/>
        <w:jc w:val="both"/>
      </w:pPr>
      <w:r>
        <w:rPr>
          <w:color w:val="231F20"/>
        </w:rPr>
        <w:t>A nivel de La Comarca Lagunera, en términos macroeconómicos, el análisis del uso de los recursos suelo, agua y capital y los resultados obtenidos del uso de esos recursos, se determinó que el</w:t>
      </w:r>
      <w:r>
        <w:rPr>
          <w:color w:val="231F20"/>
          <w:spacing w:val="-25"/>
        </w:rPr>
        <w:t> </w:t>
      </w:r>
      <w:r>
        <w:rPr>
          <w:color w:val="231F20"/>
        </w:rPr>
        <w:t>cultivo de zacate ballico o rye grass de bombeo tradicional, fue </w:t>
      </w:r>
      <w:r>
        <w:rPr>
          <w:i/>
          <w:color w:val="231F20"/>
        </w:rPr>
        <w:t>menos </w:t>
      </w:r>
      <w:r>
        <w:rPr>
          <w:color w:val="231F20"/>
        </w:rPr>
        <w:t>eficiente que el alfalfa forrajera de bombeo promedio en La Laguna, ya que, utilizando 98.58% </w:t>
      </w:r>
      <w:r>
        <w:rPr>
          <w:i/>
          <w:color w:val="231F20"/>
        </w:rPr>
        <w:t>menos </w:t>
      </w:r>
      <w:r>
        <w:rPr>
          <w:color w:val="231F20"/>
        </w:rPr>
        <w:t>tierra, 98.38% </w:t>
      </w:r>
      <w:r>
        <w:rPr>
          <w:i/>
          <w:color w:val="231F20"/>
        </w:rPr>
        <w:t>menos </w:t>
      </w:r>
      <w:r>
        <w:rPr>
          <w:color w:val="231F20"/>
        </w:rPr>
        <w:t>capital y 98.8% </w:t>
      </w:r>
      <w:r>
        <w:rPr>
          <w:i/>
          <w:color w:val="231F20"/>
        </w:rPr>
        <w:t>menos </w:t>
      </w:r>
      <w:r>
        <w:rPr>
          <w:color w:val="231F20"/>
        </w:rPr>
        <w:t>agua que la Alfalfa </w:t>
      </w:r>
      <w:r>
        <w:rPr>
          <w:color w:val="231F20"/>
          <w:spacing w:val="-6"/>
        </w:rPr>
        <w:t>BT, </w:t>
      </w:r>
      <w:r>
        <w:rPr>
          <w:color w:val="231F20"/>
        </w:rPr>
        <w:t>produjo 100.27% </w:t>
      </w:r>
      <w:r>
        <w:rPr>
          <w:i/>
          <w:color w:val="231F20"/>
        </w:rPr>
        <w:t>menos </w:t>
      </w:r>
      <w:r>
        <w:rPr>
          <w:color w:val="231F20"/>
        </w:rPr>
        <w:t>ganancia a nivel regional y 98.83% </w:t>
      </w:r>
      <w:r>
        <w:rPr>
          <w:i/>
          <w:color w:val="231F20"/>
        </w:rPr>
        <w:t>menos </w:t>
      </w:r>
      <w:r>
        <w:rPr>
          <w:color w:val="231F20"/>
        </w:rPr>
        <w:t>empleos que la alfalfa BT en el DR-017, lo que muestra que el cultivo de zacate ballico </w:t>
      </w:r>
      <w:r>
        <w:rPr>
          <w:color w:val="231F20"/>
          <w:spacing w:val="-6"/>
        </w:rPr>
        <w:t>BT, </w:t>
      </w:r>
      <w:r>
        <w:rPr>
          <w:color w:val="231F20"/>
        </w:rPr>
        <w:t>tuvo una menor eficiencia social macroeconómica en el uso de los recursos tierra, agua y capital en relación al alfalfa.</w:t>
      </w:r>
    </w:p>
    <w:p>
      <w:pPr>
        <w:pStyle w:val="BodyText"/>
        <w:spacing w:before="9"/>
        <w:rPr>
          <w:sz w:val="22"/>
        </w:rPr>
      </w:pPr>
    </w:p>
    <w:p>
      <w:pPr>
        <w:pStyle w:val="Heading3"/>
      </w:pPr>
      <w:r>
        <w:rPr>
          <w:color w:val="010202"/>
        </w:rPr>
        <w:t>Literatura citada</w:t>
      </w:r>
    </w:p>
    <w:p>
      <w:pPr>
        <w:pStyle w:val="BodyText"/>
        <w:spacing w:before="7"/>
        <w:rPr>
          <w:b/>
        </w:rPr>
      </w:pPr>
    </w:p>
    <w:p>
      <w:pPr>
        <w:spacing w:line="249" w:lineRule="auto" w:before="0"/>
        <w:ind w:left="1270" w:right="1268" w:firstLine="0"/>
        <w:jc w:val="both"/>
        <w:rPr>
          <w:sz w:val="19"/>
        </w:rPr>
      </w:pPr>
      <w:r>
        <w:rPr>
          <w:color w:val="231F20"/>
          <w:sz w:val="19"/>
        </w:rPr>
        <w:t>Agüero</w:t>
      </w:r>
      <w:r>
        <w:rPr>
          <w:color w:val="231F20"/>
          <w:spacing w:val="-14"/>
          <w:sz w:val="19"/>
        </w:rPr>
        <w:t> </w:t>
      </w:r>
      <w:r>
        <w:rPr>
          <w:color w:val="231F20"/>
          <w:spacing w:val="-9"/>
          <w:sz w:val="19"/>
        </w:rPr>
        <w:t>V.,</w:t>
      </w:r>
      <w:r>
        <w:rPr>
          <w:color w:val="231F20"/>
          <w:spacing w:val="-11"/>
          <w:sz w:val="19"/>
        </w:rPr>
        <w:t> </w:t>
      </w:r>
      <w:r>
        <w:rPr>
          <w:color w:val="231F20"/>
          <w:sz w:val="19"/>
        </w:rPr>
        <w:t>E.</w:t>
      </w:r>
      <w:r>
        <w:rPr>
          <w:color w:val="231F20"/>
          <w:spacing w:val="-11"/>
          <w:sz w:val="19"/>
        </w:rPr>
        <w:t> </w:t>
      </w:r>
      <w:r>
        <w:rPr>
          <w:color w:val="231F20"/>
          <w:sz w:val="19"/>
        </w:rPr>
        <w:t>2012.</w:t>
      </w:r>
      <w:r>
        <w:rPr>
          <w:color w:val="231F20"/>
          <w:spacing w:val="-11"/>
          <w:sz w:val="19"/>
        </w:rPr>
        <w:t> </w:t>
      </w:r>
      <w:r>
        <w:rPr>
          <w:color w:val="231F20"/>
          <w:sz w:val="19"/>
        </w:rPr>
        <w:t>Productividad</w:t>
      </w:r>
      <w:r>
        <w:rPr>
          <w:color w:val="231F20"/>
          <w:spacing w:val="-10"/>
          <w:sz w:val="19"/>
        </w:rPr>
        <w:t> </w:t>
      </w:r>
      <w:r>
        <w:rPr>
          <w:color w:val="231F20"/>
          <w:sz w:val="19"/>
        </w:rPr>
        <w:t>del</w:t>
      </w:r>
      <w:r>
        <w:rPr>
          <w:color w:val="231F20"/>
          <w:spacing w:val="-11"/>
          <w:sz w:val="19"/>
        </w:rPr>
        <w:t> </w:t>
      </w:r>
      <w:r>
        <w:rPr>
          <w:color w:val="231F20"/>
          <w:sz w:val="19"/>
        </w:rPr>
        <w:t>agua</w:t>
      </w:r>
      <w:r>
        <w:rPr>
          <w:color w:val="231F20"/>
          <w:spacing w:val="-11"/>
          <w:sz w:val="19"/>
        </w:rPr>
        <w:t> </w:t>
      </w:r>
      <w:r>
        <w:rPr>
          <w:color w:val="231F20"/>
          <w:sz w:val="19"/>
        </w:rPr>
        <w:t>subterránea</w:t>
      </w:r>
      <w:r>
        <w:rPr>
          <w:color w:val="231F20"/>
          <w:spacing w:val="-10"/>
          <w:sz w:val="19"/>
        </w:rPr>
        <w:t> </w:t>
      </w:r>
      <w:r>
        <w:rPr>
          <w:color w:val="231F20"/>
          <w:sz w:val="19"/>
        </w:rPr>
        <w:t>para</w:t>
      </w:r>
      <w:r>
        <w:rPr>
          <w:color w:val="231F20"/>
          <w:spacing w:val="-11"/>
          <w:sz w:val="19"/>
        </w:rPr>
        <w:t> </w:t>
      </w:r>
      <w:r>
        <w:rPr>
          <w:color w:val="231F20"/>
          <w:sz w:val="19"/>
        </w:rPr>
        <w:t>riego</w:t>
      </w:r>
      <w:r>
        <w:rPr>
          <w:color w:val="231F20"/>
          <w:spacing w:val="-11"/>
          <w:sz w:val="19"/>
        </w:rPr>
        <w:t> </w:t>
      </w:r>
      <w:r>
        <w:rPr>
          <w:color w:val="231F20"/>
          <w:sz w:val="19"/>
        </w:rPr>
        <w:t>en</w:t>
      </w:r>
      <w:r>
        <w:rPr>
          <w:color w:val="231F20"/>
          <w:spacing w:val="-11"/>
          <w:sz w:val="19"/>
        </w:rPr>
        <w:t> </w:t>
      </w:r>
      <w:r>
        <w:rPr>
          <w:color w:val="231F20"/>
          <w:sz w:val="19"/>
        </w:rPr>
        <w:t>Chile</w:t>
      </w:r>
      <w:r>
        <w:rPr>
          <w:color w:val="231F20"/>
          <w:spacing w:val="-11"/>
          <w:sz w:val="19"/>
        </w:rPr>
        <w:t> </w:t>
      </w:r>
      <w:r>
        <w:rPr>
          <w:color w:val="231F20"/>
          <w:sz w:val="19"/>
        </w:rPr>
        <w:t>(</w:t>
      </w:r>
      <w:r>
        <w:rPr>
          <w:i/>
          <w:color w:val="231F20"/>
          <w:sz w:val="19"/>
        </w:rPr>
        <w:t>Capsicum</w:t>
      </w:r>
      <w:r>
        <w:rPr>
          <w:i/>
          <w:color w:val="231F20"/>
          <w:spacing w:val="-11"/>
          <w:sz w:val="19"/>
        </w:rPr>
        <w:t> </w:t>
      </w:r>
      <w:r>
        <w:rPr>
          <w:i/>
          <w:color w:val="231F20"/>
          <w:sz w:val="19"/>
        </w:rPr>
        <w:t>annum</w:t>
      </w:r>
      <w:r>
        <w:rPr>
          <w:color w:val="231F20"/>
          <w:sz w:val="19"/>
        </w:rPr>
        <w:t>)</w:t>
      </w:r>
      <w:r>
        <w:rPr>
          <w:color w:val="231F20"/>
          <w:spacing w:val="-11"/>
          <w:sz w:val="19"/>
        </w:rPr>
        <w:t> </w:t>
      </w:r>
      <w:r>
        <w:rPr>
          <w:color w:val="231F20"/>
          <w:sz w:val="19"/>
        </w:rPr>
        <w:t>del</w:t>
      </w:r>
      <w:r>
        <w:rPr>
          <w:color w:val="231F20"/>
          <w:spacing w:val="-11"/>
          <w:sz w:val="19"/>
        </w:rPr>
        <w:t> </w:t>
      </w:r>
      <w:r>
        <w:rPr>
          <w:color w:val="231F20"/>
          <w:sz w:val="19"/>
        </w:rPr>
        <w:t>sector</w:t>
      </w:r>
      <w:r>
        <w:rPr>
          <w:color w:val="231F20"/>
          <w:spacing w:val="-10"/>
          <w:sz w:val="19"/>
        </w:rPr>
        <w:t> </w:t>
      </w:r>
      <w:r>
        <w:rPr>
          <w:color w:val="231F20"/>
          <w:sz w:val="19"/>
        </w:rPr>
        <w:t>Ejidal versus</w:t>
      </w:r>
      <w:r>
        <w:rPr>
          <w:color w:val="231F20"/>
          <w:spacing w:val="-10"/>
          <w:sz w:val="19"/>
        </w:rPr>
        <w:t> </w:t>
      </w:r>
      <w:r>
        <w:rPr>
          <w:color w:val="231F20"/>
          <w:sz w:val="19"/>
        </w:rPr>
        <w:t>Nogal</w:t>
      </w:r>
      <w:r>
        <w:rPr>
          <w:color w:val="231F20"/>
          <w:spacing w:val="-10"/>
          <w:sz w:val="19"/>
        </w:rPr>
        <w:t> </w:t>
      </w:r>
      <w:r>
        <w:rPr>
          <w:color w:val="231F20"/>
          <w:sz w:val="19"/>
        </w:rPr>
        <w:t>(</w:t>
      </w:r>
      <w:r>
        <w:rPr>
          <w:i/>
          <w:color w:val="231F20"/>
          <w:sz w:val="19"/>
        </w:rPr>
        <w:t>Carya</w:t>
      </w:r>
      <w:r>
        <w:rPr>
          <w:i/>
          <w:color w:val="231F20"/>
          <w:spacing w:val="-10"/>
          <w:sz w:val="19"/>
        </w:rPr>
        <w:t> </w:t>
      </w:r>
      <w:r>
        <w:rPr>
          <w:i/>
          <w:color w:val="231F20"/>
          <w:sz w:val="19"/>
        </w:rPr>
        <w:t>illinoensis</w:t>
      </w:r>
      <w:r>
        <w:rPr>
          <w:color w:val="231F20"/>
          <w:sz w:val="19"/>
        </w:rPr>
        <w:t>)</w:t>
      </w:r>
      <w:r>
        <w:rPr>
          <w:color w:val="231F20"/>
          <w:spacing w:val="-10"/>
          <w:sz w:val="19"/>
        </w:rPr>
        <w:t> </w:t>
      </w:r>
      <w:r>
        <w:rPr>
          <w:color w:val="231F20"/>
          <w:sz w:val="19"/>
        </w:rPr>
        <w:t>en</w:t>
      </w:r>
      <w:r>
        <w:rPr>
          <w:color w:val="231F20"/>
          <w:spacing w:val="-10"/>
          <w:sz w:val="19"/>
        </w:rPr>
        <w:t> </w:t>
      </w:r>
      <w:r>
        <w:rPr>
          <w:color w:val="231F20"/>
          <w:sz w:val="19"/>
        </w:rPr>
        <w:t>el</w:t>
      </w:r>
      <w:r>
        <w:rPr>
          <w:color w:val="231F20"/>
          <w:spacing w:val="-11"/>
          <w:sz w:val="19"/>
        </w:rPr>
        <w:t> </w:t>
      </w:r>
      <w:r>
        <w:rPr>
          <w:color w:val="231F20"/>
          <w:sz w:val="19"/>
        </w:rPr>
        <w:t>DR-017,</w:t>
      </w:r>
      <w:r>
        <w:rPr>
          <w:color w:val="231F20"/>
          <w:spacing w:val="-10"/>
          <w:sz w:val="19"/>
        </w:rPr>
        <w:t> </w:t>
      </w:r>
      <w:r>
        <w:rPr>
          <w:color w:val="231F20"/>
          <w:sz w:val="19"/>
        </w:rPr>
        <w:t>Comarca</w:t>
      </w:r>
      <w:r>
        <w:rPr>
          <w:color w:val="231F20"/>
          <w:spacing w:val="-11"/>
          <w:sz w:val="19"/>
        </w:rPr>
        <w:t> </w:t>
      </w:r>
      <w:r>
        <w:rPr>
          <w:color w:val="231F20"/>
          <w:sz w:val="19"/>
        </w:rPr>
        <w:t>Lagunera.</w:t>
      </w:r>
      <w:r>
        <w:rPr>
          <w:color w:val="231F20"/>
          <w:spacing w:val="-14"/>
          <w:sz w:val="19"/>
        </w:rPr>
        <w:t> </w:t>
      </w:r>
      <w:r>
        <w:rPr>
          <w:color w:val="231F20"/>
          <w:spacing w:val="-3"/>
          <w:sz w:val="19"/>
        </w:rPr>
        <w:t>Tesis</w:t>
      </w:r>
      <w:r>
        <w:rPr>
          <w:color w:val="231F20"/>
          <w:spacing w:val="-10"/>
          <w:sz w:val="19"/>
        </w:rPr>
        <w:t> </w:t>
      </w:r>
      <w:r>
        <w:rPr>
          <w:color w:val="231F20"/>
          <w:sz w:val="19"/>
        </w:rPr>
        <w:t>profesional.</w:t>
      </w:r>
      <w:r>
        <w:rPr>
          <w:color w:val="231F20"/>
          <w:spacing w:val="-11"/>
          <w:sz w:val="19"/>
        </w:rPr>
        <w:t> </w:t>
      </w:r>
      <w:r>
        <w:rPr>
          <w:color w:val="231F20"/>
          <w:sz w:val="19"/>
        </w:rPr>
        <w:t>Unidad</w:t>
      </w:r>
      <w:r>
        <w:rPr>
          <w:color w:val="231F20"/>
          <w:spacing w:val="-10"/>
          <w:sz w:val="19"/>
        </w:rPr>
        <w:t> </w:t>
      </w:r>
      <w:r>
        <w:rPr>
          <w:color w:val="231F20"/>
          <w:sz w:val="19"/>
        </w:rPr>
        <w:t>Regional</w:t>
      </w:r>
      <w:r>
        <w:rPr>
          <w:color w:val="231F20"/>
          <w:spacing w:val="-11"/>
          <w:sz w:val="19"/>
        </w:rPr>
        <w:t> </w:t>
      </w:r>
      <w:r>
        <w:rPr>
          <w:color w:val="231F20"/>
          <w:sz w:val="19"/>
        </w:rPr>
        <w:t>Univer- sitaria de Zonas Áridas, Universidad Autónoma Chapingo. Bermejillo, Durango,</w:t>
      </w:r>
      <w:r>
        <w:rPr>
          <w:color w:val="231F20"/>
          <w:spacing w:val="-11"/>
          <w:sz w:val="19"/>
        </w:rPr>
        <w:t> </w:t>
      </w:r>
      <w:r>
        <w:rPr>
          <w:color w:val="231F20"/>
          <w:sz w:val="19"/>
        </w:rPr>
        <w:t>México.</w:t>
      </w:r>
    </w:p>
    <w:p>
      <w:pPr>
        <w:pStyle w:val="BodyText"/>
        <w:spacing w:before="10"/>
        <w:rPr>
          <w:sz w:val="19"/>
        </w:rPr>
      </w:pPr>
    </w:p>
    <w:p>
      <w:pPr>
        <w:spacing w:before="0"/>
        <w:ind w:left="1270" w:right="0" w:firstLine="0"/>
        <w:jc w:val="both"/>
        <w:rPr>
          <w:sz w:val="19"/>
        </w:rPr>
      </w:pPr>
      <w:r>
        <w:rPr>
          <w:color w:val="231F20"/>
          <w:sz w:val="19"/>
        </w:rPr>
        <w:t>Astori D. 1984. Enfoque crítico de los modelos de contabilidad social. 5ª edición. Siglo veintiuno editores.</w:t>
      </w:r>
    </w:p>
    <w:p>
      <w:pPr>
        <w:spacing w:before="9"/>
        <w:ind w:left="1270" w:right="0" w:firstLine="0"/>
        <w:jc w:val="both"/>
        <w:rPr>
          <w:sz w:val="19"/>
        </w:rPr>
      </w:pPr>
      <w:r>
        <w:rPr>
          <w:color w:val="231F20"/>
          <w:sz w:val="19"/>
        </w:rPr>
        <w:t>México.</w:t>
      </w:r>
    </w:p>
    <w:p>
      <w:pPr>
        <w:pStyle w:val="BodyText"/>
        <w:spacing w:before="7"/>
        <w:rPr>
          <w:sz w:val="20"/>
        </w:rPr>
      </w:pPr>
    </w:p>
    <w:p>
      <w:pPr>
        <w:spacing w:line="249" w:lineRule="auto" w:before="0"/>
        <w:ind w:left="1270" w:right="1268" w:firstLine="0"/>
        <w:jc w:val="both"/>
        <w:rPr>
          <w:sz w:val="19"/>
        </w:rPr>
      </w:pPr>
      <w:r>
        <w:rPr>
          <w:color w:val="231F20"/>
          <w:sz w:val="19"/>
        </w:rPr>
        <w:t>Esquivel V. F., Arevalo M. I ., Padilla R., S. S. 2000. Uso eficiente del agua de riego en la producción de Rye grass anual. INIFAP-SAGARPA. Folleto Cientifico No 8. Pabellón Ags.</w:t>
      </w:r>
    </w:p>
    <w:p>
      <w:pPr>
        <w:pStyle w:val="BodyText"/>
        <w:spacing w:before="10"/>
        <w:rPr>
          <w:sz w:val="19"/>
        </w:rPr>
      </w:pPr>
    </w:p>
    <w:p>
      <w:pPr>
        <w:spacing w:line="249" w:lineRule="auto" w:before="0"/>
        <w:ind w:left="1270" w:right="1268" w:firstLine="0"/>
        <w:jc w:val="both"/>
        <w:rPr>
          <w:sz w:val="19"/>
        </w:rPr>
      </w:pPr>
      <w:r>
        <w:rPr>
          <w:color w:val="231F20"/>
          <w:sz w:val="19"/>
        </w:rPr>
        <w:t>FAO. 2002. Value of virtual water in food: Principles and virtues. Food and Agriculture Organization of the United Nations</w:t>
      </w:r>
      <w:hyperlink r:id="rId80">
        <w:r>
          <w:rPr>
            <w:color w:val="231F20"/>
            <w:sz w:val="19"/>
          </w:rPr>
          <w:t>. http://www.fao.org/nr/water/docs/VirtualWater.pdf</w:t>
        </w:r>
      </w:hyperlink>
    </w:p>
    <w:p>
      <w:pPr>
        <w:pStyle w:val="BodyText"/>
        <w:spacing w:before="10"/>
        <w:rPr>
          <w:sz w:val="19"/>
        </w:rPr>
      </w:pPr>
    </w:p>
    <w:p>
      <w:pPr>
        <w:spacing w:before="0"/>
        <w:ind w:left="1270" w:right="0" w:firstLine="0"/>
        <w:jc w:val="both"/>
        <w:rPr>
          <w:sz w:val="19"/>
        </w:rPr>
      </w:pPr>
      <w:r>
        <w:rPr>
          <w:color w:val="231F20"/>
          <w:sz w:val="19"/>
        </w:rPr>
        <w:t>Godínez-Montoya, L; J. A. García-Salazar; M. Fortis-Hernández; J. S. Mora-Flores; M. A. Martínez- Damián;</w:t>
      </w:r>
    </w:p>
    <w:p>
      <w:pPr>
        <w:pStyle w:val="ListParagraph"/>
        <w:numPr>
          <w:ilvl w:val="0"/>
          <w:numId w:val="13"/>
        </w:numPr>
        <w:tabs>
          <w:tab w:pos="1482" w:val="left" w:leader="none"/>
        </w:tabs>
        <w:spacing w:line="249" w:lineRule="auto" w:before="9" w:after="0"/>
        <w:ind w:left="1270" w:right="1268" w:firstLine="0"/>
        <w:jc w:val="both"/>
        <w:rPr>
          <w:sz w:val="19"/>
        </w:rPr>
      </w:pPr>
      <w:r>
        <w:rPr>
          <w:color w:val="231F20"/>
          <w:sz w:val="19"/>
        </w:rPr>
        <w:t>Valdivi-Alcalá;</w:t>
      </w:r>
      <w:r>
        <w:rPr>
          <w:color w:val="231F20"/>
          <w:spacing w:val="-12"/>
          <w:sz w:val="19"/>
        </w:rPr>
        <w:t> </w:t>
      </w:r>
      <w:r>
        <w:rPr>
          <w:color w:val="231F20"/>
          <w:sz w:val="19"/>
        </w:rPr>
        <w:t>J.</w:t>
      </w:r>
      <w:r>
        <w:rPr>
          <w:color w:val="231F20"/>
          <w:spacing w:val="-11"/>
          <w:sz w:val="19"/>
        </w:rPr>
        <w:t> </w:t>
      </w:r>
      <w:r>
        <w:rPr>
          <w:color w:val="231F20"/>
          <w:sz w:val="19"/>
        </w:rPr>
        <w:t>Hernández-Martínez.</w:t>
      </w:r>
      <w:r>
        <w:rPr>
          <w:color w:val="231F20"/>
          <w:spacing w:val="-10"/>
          <w:sz w:val="19"/>
        </w:rPr>
        <w:t> </w:t>
      </w:r>
      <w:r>
        <w:rPr>
          <w:color w:val="231F20"/>
          <w:sz w:val="19"/>
        </w:rPr>
        <w:t>2007.</w:t>
      </w:r>
      <w:r>
        <w:rPr>
          <w:color w:val="231F20"/>
          <w:spacing w:val="-14"/>
          <w:sz w:val="19"/>
        </w:rPr>
        <w:t> </w:t>
      </w:r>
      <w:r>
        <w:rPr>
          <w:color w:val="231F20"/>
          <w:spacing w:val="-5"/>
          <w:sz w:val="19"/>
        </w:rPr>
        <w:t>Valor</w:t>
      </w:r>
      <w:r>
        <w:rPr>
          <w:color w:val="231F20"/>
          <w:spacing w:val="-11"/>
          <w:sz w:val="19"/>
        </w:rPr>
        <w:t> </w:t>
      </w:r>
      <w:r>
        <w:rPr>
          <w:color w:val="231F20"/>
          <w:sz w:val="19"/>
        </w:rPr>
        <w:t>económico</w:t>
      </w:r>
      <w:r>
        <w:rPr>
          <w:color w:val="231F20"/>
          <w:spacing w:val="-11"/>
          <w:sz w:val="19"/>
        </w:rPr>
        <w:t> </w:t>
      </w:r>
      <w:r>
        <w:rPr>
          <w:color w:val="231F20"/>
          <w:sz w:val="19"/>
        </w:rPr>
        <w:t>del</w:t>
      </w:r>
      <w:r>
        <w:rPr>
          <w:color w:val="231F20"/>
          <w:spacing w:val="-11"/>
          <w:sz w:val="19"/>
        </w:rPr>
        <w:t> </w:t>
      </w:r>
      <w:r>
        <w:rPr>
          <w:color w:val="231F20"/>
          <w:sz w:val="19"/>
        </w:rPr>
        <w:t>agua</w:t>
      </w:r>
      <w:r>
        <w:rPr>
          <w:color w:val="231F20"/>
          <w:spacing w:val="-11"/>
          <w:sz w:val="19"/>
        </w:rPr>
        <w:t> </w:t>
      </w:r>
      <w:r>
        <w:rPr>
          <w:color w:val="231F20"/>
          <w:sz w:val="19"/>
        </w:rPr>
        <w:t>en</w:t>
      </w:r>
      <w:r>
        <w:rPr>
          <w:color w:val="231F20"/>
          <w:spacing w:val="-11"/>
          <w:sz w:val="19"/>
        </w:rPr>
        <w:t> </w:t>
      </w:r>
      <w:r>
        <w:rPr>
          <w:color w:val="231F20"/>
          <w:sz w:val="19"/>
        </w:rPr>
        <w:t>el</w:t>
      </w:r>
      <w:r>
        <w:rPr>
          <w:color w:val="231F20"/>
          <w:spacing w:val="-11"/>
          <w:sz w:val="19"/>
        </w:rPr>
        <w:t> </w:t>
      </w:r>
      <w:r>
        <w:rPr>
          <w:color w:val="231F20"/>
          <w:sz w:val="19"/>
        </w:rPr>
        <w:t>sector</w:t>
      </w:r>
      <w:r>
        <w:rPr>
          <w:color w:val="231F20"/>
          <w:spacing w:val="-11"/>
          <w:sz w:val="19"/>
        </w:rPr>
        <w:t> </w:t>
      </w:r>
      <w:r>
        <w:rPr>
          <w:color w:val="231F20"/>
          <w:sz w:val="19"/>
        </w:rPr>
        <w:t>agrícola</w:t>
      </w:r>
      <w:r>
        <w:rPr>
          <w:color w:val="231F20"/>
          <w:spacing w:val="-11"/>
          <w:sz w:val="19"/>
        </w:rPr>
        <w:t> </w:t>
      </w:r>
      <w:r>
        <w:rPr>
          <w:color w:val="231F20"/>
          <w:sz w:val="19"/>
        </w:rPr>
        <w:t>de</w:t>
      </w:r>
      <w:r>
        <w:rPr>
          <w:color w:val="231F20"/>
          <w:spacing w:val="-11"/>
          <w:sz w:val="19"/>
        </w:rPr>
        <w:t> </w:t>
      </w:r>
      <w:r>
        <w:rPr>
          <w:color w:val="231F20"/>
          <w:sz w:val="19"/>
        </w:rPr>
        <w:t>La</w:t>
      </w:r>
      <w:r>
        <w:rPr>
          <w:color w:val="231F20"/>
          <w:spacing w:val="-11"/>
          <w:sz w:val="19"/>
        </w:rPr>
        <w:t> </w:t>
      </w:r>
      <w:r>
        <w:rPr>
          <w:color w:val="231F20"/>
          <w:sz w:val="19"/>
        </w:rPr>
        <w:t>Comarca Lagunera. TERRA Latinoamericana. 25 (1):</w:t>
      </w:r>
      <w:r>
        <w:rPr>
          <w:color w:val="231F20"/>
          <w:spacing w:val="-16"/>
          <w:sz w:val="19"/>
        </w:rPr>
        <w:t> </w:t>
      </w:r>
      <w:r>
        <w:rPr>
          <w:color w:val="231F20"/>
          <w:sz w:val="19"/>
        </w:rPr>
        <w:t>51-99.</w:t>
      </w:r>
    </w:p>
    <w:p>
      <w:pPr>
        <w:pStyle w:val="BodyText"/>
        <w:spacing w:before="10"/>
        <w:rPr>
          <w:sz w:val="19"/>
        </w:rPr>
      </w:pPr>
    </w:p>
    <w:p>
      <w:pPr>
        <w:spacing w:before="0"/>
        <w:ind w:left="1270" w:right="0" w:firstLine="0"/>
        <w:jc w:val="both"/>
        <w:rPr>
          <w:sz w:val="19"/>
        </w:rPr>
      </w:pPr>
      <w:r>
        <w:rPr>
          <w:color w:val="231F20"/>
          <w:sz w:val="19"/>
        </w:rPr>
        <w:t>Hoekstra, A. Y; P. Q. Hung. 2005. Globalization of water resources: international virtual water flows in relation</w:t>
      </w:r>
    </w:p>
    <w:p>
      <w:pPr>
        <w:spacing w:before="9"/>
        <w:ind w:left="1270" w:right="0" w:firstLine="0"/>
        <w:jc w:val="both"/>
        <w:rPr>
          <w:sz w:val="19"/>
        </w:rPr>
      </w:pPr>
      <w:r>
        <w:rPr>
          <w:color w:val="231F20"/>
          <w:sz w:val="19"/>
        </w:rPr>
        <w:t>to crop trade. Global Environmental Change 15: 45–56.</w:t>
      </w:r>
    </w:p>
    <w:p>
      <w:pPr>
        <w:pStyle w:val="BodyText"/>
        <w:spacing w:before="7"/>
        <w:rPr>
          <w:sz w:val="20"/>
        </w:rPr>
      </w:pPr>
    </w:p>
    <w:p>
      <w:pPr>
        <w:spacing w:line="273" w:lineRule="auto" w:before="0"/>
        <w:ind w:left="1270" w:right="1268" w:firstLine="0"/>
        <w:jc w:val="both"/>
        <w:rPr>
          <w:sz w:val="19"/>
        </w:rPr>
      </w:pPr>
      <w:r>
        <w:rPr>
          <w:color w:val="231F20"/>
          <w:sz w:val="19"/>
        </w:rPr>
        <w:t>SAGARPA, 1990-2009. Delegación de la Región Lagunera Coahuila Durango. Anuario Estadístico de la Pro- ducción Agropecuaria. Cd. Lerdo, Dgo.</w:t>
      </w:r>
    </w:p>
    <w:p>
      <w:pPr>
        <w:spacing w:after="0" w:line="273" w:lineRule="auto"/>
        <w:jc w:val="both"/>
        <w:rPr>
          <w:sz w:val="19"/>
        </w:rPr>
        <w:sectPr>
          <w:pgSz w:w="10920" w:h="13080"/>
          <w:pgMar w:header="0" w:footer="1025" w:top="420" w:bottom="1220" w:left="0" w:right="0"/>
        </w:sectPr>
      </w:pPr>
    </w:p>
    <w:p>
      <w:pPr>
        <w:pStyle w:val="BodyText"/>
        <w:rPr>
          <w:sz w:val="20"/>
        </w:rPr>
      </w:pPr>
    </w:p>
    <w:p>
      <w:pPr>
        <w:pStyle w:val="BodyText"/>
        <w:rPr>
          <w:sz w:val="20"/>
        </w:rPr>
      </w:pPr>
    </w:p>
    <w:p>
      <w:pPr>
        <w:pStyle w:val="BodyText"/>
        <w:spacing w:before="6"/>
        <w:rPr>
          <w:sz w:val="23"/>
        </w:rPr>
      </w:pPr>
    </w:p>
    <w:p>
      <w:pPr>
        <w:spacing w:line="247" w:lineRule="auto" w:before="69"/>
        <w:ind w:left="1708" w:right="1706" w:firstLine="0"/>
        <w:jc w:val="center"/>
        <w:rPr>
          <w:rFonts w:ascii="Trebuchet MS" w:hAnsi="Trebuchet MS"/>
          <w:i/>
          <w:sz w:val="14"/>
        </w:rPr>
      </w:pPr>
      <w:r>
        <w:rPr>
          <w:rFonts w:ascii="Trebuchet MS" w:hAnsi="Trebuchet MS"/>
          <w:i/>
          <w:color w:val="010202"/>
          <w:sz w:val="24"/>
        </w:rPr>
        <w:t>Higinio Francisco Arias Velázquez</w:t>
      </w:r>
      <w:r>
        <w:rPr>
          <w:rFonts w:ascii="Trebuchet MS" w:hAnsi="Trebuchet MS"/>
          <w:i/>
          <w:color w:val="010202"/>
          <w:position w:val="8"/>
          <w:sz w:val="14"/>
        </w:rPr>
        <w:t>1</w:t>
      </w:r>
      <w:r>
        <w:rPr>
          <w:rFonts w:ascii="Trebuchet MS" w:hAnsi="Trebuchet MS"/>
          <w:i/>
          <w:color w:val="010202"/>
          <w:sz w:val="24"/>
        </w:rPr>
        <w:t>; María Sol Robledo y Monterrubio</w:t>
      </w:r>
      <w:r>
        <w:rPr>
          <w:rFonts w:ascii="Trebuchet MS" w:hAnsi="Trebuchet MS"/>
          <w:i/>
          <w:color w:val="010202"/>
          <w:position w:val="8"/>
          <w:sz w:val="14"/>
        </w:rPr>
        <w:t>2 </w:t>
      </w:r>
      <w:r>
        <w:rPr>
          <w:rFonts w:ascii="Trebuchet MS" w:hAnsi="Trebuchet MS"/>
          <w:i/>
          <w:color w:val="010202"/>
          <w:sz w:val="24"/>
        </w:rPr>
        <w:t>y José Guadalupe Martínez Martínez</w:t>
      </w:r>
      <w:r>
        <w:rPr>
          <w:rFonts w:ascii="Trebuchet MS" w:hAnsi="Trebuchet MS"/>
          <w:i/>
          <w:color w:val="010202"/>
          <w:position w:val="8"/>
          <w:sz w:val="14"/>
        </w:rPr>
        <w:t>3</w:t>
      </w: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spacing w:before="7"/>
        <w:rPr>
          <w:rFonts w:ascii="Trebuchet MS"/>
          <w:i/>
          <w:sz w:val="31"/>
        </w:rPr>
      </w:pPr>
    </w:p>
    <w:p>
      <w:pPr>
        <w:spacing w:before="0"/>
        <w:ind w:left="1500" w:right="1489" w:firstLine="0"/>
        <w:jc w:val="center"/>
        <w:rPr>
          <w:rFonts w:ascii="Trebuchet MS" w:hAnsi="Trebuchet MS"/>
          <w:b/>
          <w:sz w:val="36"/>
        </w:rPr>
      </w:pPr>
      <w:r>
        <w:rPr>
          <w:rFonts w:ascii="Trebuchet MS" w:hAnsi="Trebuchet MS"/>
          <w:b/>
          <w:color w:val="010202"/>
          <w:sz w:val="36"/>
        </w:rPr>
        <w:t>ANÁLISIS DEL VALOR NUTRICIONAL</w:t>
      </w:r>
    </w:p>
    <w:p>
      <w:pPr>
        <w:spacing w:before="14"/>
        <w:ind w:left="1490" w:right="1489" w:firstLine="0"/>
        <w:jc w:val="center"/>
        <w:rPr>
          <w:rFonts w:ascii="Trebuchet MS"/>
          <w:b/>
          <w:i/>
          <w:sz w:val="36"/>
        </w:rPr>
      </w:pPr>
      <w:r>
        <w:rPr>
          <w:rFonts w:ascii="Trebuchet MS"/>
          <w:b/>
          <w:color w:val="010202"/>
          <w:sz w:val="36"/>
        </w:rPr>
        <w:t>DE </w:t>
      </w:r>
      <w:r>
        <w:rPr>
          <w:rFonts w:ascii="Trebuchet MS"/>
          <w:b/>
          <w:i/>
          <w:color w:val="010202"/>
          <w:sz w:val="36"/>
        </w:rPr>
        <w:t>Myriophyllum aquaticum</w:t>
      </w:r>
    </w:p>
    <w:p>
      <w:pPr>
        <w:pStyle w:val="BodyText"/>
        <w:rPr>
          <w:rFonts w:ascii="Trebuchet MS"/>
          <w:b/>
          <w:i/>
          <w:sz w:val="36"/>
        </w:rPr>
      </w:pPr>
    </w:p>
    <w:p>
      <w:pPr>
        <w:pStyle w:val="BodyText"/>
        <w:rPr>
          <w:rFonts w:ascii="Trebuchet MS"/>
          <w:b/>
          <w:i/>
          <w:sz w:val="36"/>
        </w:rPr>
      </w:pPr>
    </w:p>
    <w:p>
      <w:pPr>
        <w:pStyle w:val="BodyText"/>
        <w:rPr>
          <w:rFonts w:ascii="Trebuchet MS"/>
          <w:b/>
          <w:i/>
          <w:sz w:val="36"/>
        </w:rPr>
      </w:pPr>
    </w:p>
    <w:p>
      <w:pPr>
        <w:spacing w:before="210"/>
        <w:ind w:left="1270" w:right="0" w:firstLine="0"/>
        <w:jc w:val="both"/>
        <w:rPr>
          <w:b/>
          <w:sz w:val="24"/>
        </w:rPr>
      </w:pPr>
      <w:r>
        <w:rPr>
          <w:b/>
          <w:color w:val="010202"/>
          <w:sz w:val="24"/>
        </w:rPr>
        <w:t>Introducción</w:t>
      </w:r>
    </w:p>
    <w:p>
      <w:pPr>
        <w:pStyle w:val="BodyText"/>
        <w:spacing w:before="10"/>
        <w:rPr>
          <w:b/>
        </w:rPr>
      </w:pPr>
    </w:p>
    <w:p>
      <w:pPr>
        <w:pStyle w:val="BodyText"/>
        <w:spacing w:line="247" w:lineRule="auto"/>
        <w:ind w:left="1270" w:right="1265"/>
        <w:jc w:val="both"/>
      </w:pPr>
      <w:r>
        <w:rPr>
          <w:i/>
          <w:color w:val="231F20"/>
        </w:rPr>
        <w:t>Myriophyllum aquaticum</w:t>
      </w:r>
      <w:r>
        <w:rPr>
          <w:color w:val="231F20"/>
        </w:rPr>
        <w:t>, es de nativa de sudamerica. La primera colección conocida de esta planta en los EUA fue en 18090 (Nelson y Couch 1985). Dada su atractividad y fácil cultivo, </w:t>
      </w:r>
      <w:r>
        <w:rPr>
          <w:i/>
          <w:color w:val="231F20"/>
        </w:rPr>
        <w:t>Myriophy- </w:t>
      </w:r>
      <w:r>
        <w:rPr>
          <w:i/>
          <w:color w:val="231F20"/>
        </w:rPr>
        <w:t>llum </w:t>
      </w:r>
      <w:r>
        <w:rPr>
          <w:color w:val="231F20"/>
        </w:rPr>
        <w:t>ha sido introducida mundialmente por su uso en acuarios externos e internos. Sin embargo    ha escapado al cultivo y se ha distribuido por fragmentos. Por lo que se considera cosmopolita y cubre gran parte de EUA. Se encuentra en aguas continentales duces, como estanques, lodazales, ríos lodosos y canales de riego. La planta parece estar adaptada a ambientes con alto contenido     de nutrientes. Esta tiende a colonizar lentamente o en aguas tranquilas su crecimiento es más ace- lerado, mientras crece mejor cuando enraíza en aguas poco profundas, se sabe que aparece como planta</w:t>
      </w:r>
      <w:r>
        <w:rPr>
          <w:color w:val="231F20"/>
          <w:spacing w:val="-7"/>
        </w:rPr>
        <w:t> </w:t>
      </w:r>
      <w:r>
        <w:rPr>
          <w:color w:val="231F20"/>
        </w:rPr>
        <w:t>flotante</w:t>
      </w:r>
      <w:r>
        <w:rPr>
          <w:color w:val="231F20"/>
          <w:spacing w:val="-7"/>
        </w:rPr>
        <w:t> </w:t>
      </w:r>
      <w:r>
        <w:rPr>
          <w:color w:val="231F20"/>
        </w:rPr>
        <w:t>en</w:t>
      </w:r>
      <w:r>
        <w:rPr>
          <w:color w:val="231F20"/>
          <w:spacing w:val="-7"/>
        </w:rPr>
        <w:t> </w:t>
      </w:r>
      <w:r>
        <w:rPr>
          <w:color w:val="231F20"/>
        </w:rPr>
        <w:t>aguas</w:t>
      </w:r>
      <w:r>
        <w:rPr>
          <w:color w:val="231F20"/>
          <w:spacing w:val="-7"/>
        </w:rPr>
        <w:t> </w:t>
      </w:r>
      <w:r>
        <w:rPr>
          <w:color w:val="231F20"/>
        </w:rPr>
        <w:t>profundas</w:t>
      </w:r>
      <w:r>
        <w:rPr>
          <w:color w:val="231F20"/>
          <w:spacing w:val="-7"/>
        </w:rPr>
        <w:t> </w:t>
      </w:r>
      <w:r>
        <w:rPr>
          <w:color w:val="231F20"/>
        </w:rPr>
        <w:t>como</w:t>
      </w:r>
      <w:r>
        <w:rPr>
          <w:color w:val="231F20"/>
          <w:spacing w:val="-7"/>
        </w:rPr>
        <w:t> </w:t>
      </w:r>
      <w:r>
        <w:rPr>
          <w:color w:val="231F20"/>
        </w:rPr>
        <w:t>lagos</w:t>
      </w:r>
      <w:r>
        <w:rPr>
          <w:color w:val="231F20"/>
          <w:spacing w:val="-7"/>
        </w:rPr>
        <w:t> </w:t>
      </w:r>
      <w:r>
        <w:rPr>
          <w:color w:val="231F20"/>
        </w:rPr>
        <w:t>con</w:t>
      </w:r>
      <w:r>
        <w:rPr>
          <w:color w:val="231F20"/>
          <w:spacing w:val="-7"/>
        </w:rPr>
        <w:t> </w:t>
      </w:r>
      <w:r>
        <w:rPr>
          <w:color w:val="231F20"/>
        </w:rPr>
        <w:t>niveles</w:t>
      </w:r>
      <w:r>
        <w:rPr>
          <w:color w:val="231F20"/>
          <w:spacing w:val="-7"/>
        </w:rPr>
        <w:t> </w:t>
      </w:r>
      <w:r>
        <w:rPr>
          <w:color w:val="231F20"/>
        </w:rPr>
        <w:t>de</w:t>
      </w:r>
      <w:r>
        <w:rPr>
          <w:color w:val="231F20"/>
          <w:spacing w:val="-7"/>
        </w:rPr>
        <w:t> </w:t>
      </w:r>
      <w:r>
        <w:rPr>
          <w:color w:val="231F20"/>
        </w:rPr>
        <w:t>nutrientes</w:t>
      </w:r>
      <w:r>
        <w:rPr>
          <w:color w:val="231F20"/>
          <w:spacing w:val="-7"/>
        </w:rPr>
        <w:t> </w:t>
      </w:r>
      <w:r>
        <w:rPr>
          <w:color w:val="231F20"/>
        </w:rPr>
        <w:t>altos.</w:t>
      </w:r>
      <w:r>
        <w:rPr>
          <w:color w:val="231F20"/>
          <w:spacing w:val="-7"/>
        </w:rPr>
        <w:t> </w:t>
      </w:r>
      <w:r>
        <w:rPr>
          <w:color w:val="231F20"/>
        </w:rPr>
        <w:t>Los</w:t>
      </w:r>
      <w:r>
        <w:rPr>
          <w:color w:val="231F20"/>
          <w:spacing w:val="-7"/>
        </w:rPr>
        <w:t> </w:t>
      </w:r>
      <w:r>
        <w:rPr>
          <w:color w:val="231F20"/>
        </w:rPr>
        <w:t>tallos</w:t>
      </w:r>
      <w:r>
        <w:rPr>
          <w:color w:val="231F20"/>
          <w:spacing w:val="-7"/>
        </w:rPr>
        <w:t> </w:t>
      </w:r>
      <w:r>
        <w:rPr>
          <w:color w:val="231F20"/>
        </w:rPr>
        <w:t>emergentes pueden sobrevivir en bancos húmedos de ríos y orillas de lagos. Por eso está bien adaptada a las fluctuaciones de nivel</w:t>
      </w:r>
      <w:r>
        <w:rPr>
          <w:color w:val="231F20"/>
          <w:spacing w:val="-9"/>
        </w:rPr>
        <w:t> </w:t>
      </w:r>
      <w:r>
        <w:rPr>
          <w:color w:val="231F20"/>
        </w:rPr>
        <w:t>agua.</w:t>
      </w:r>
    </w:p>
    <w:p>
      <w:pPr>
        <w:pStyle w:val="BodyText"/>
        <w:spacing w:before="10"/>
      </w:pPr>
    </w:p>
    <w:p>
      <w:pPr>
        <w:pStyle w:val="BodyText"/>
        <w:spacing w:line="247" w:lineRule="auto"/>
        <w:ind w:left="1270" w:right="1269"/>
        <w:jc w:val="both"/>
      </w:pPr>
      <w:r>
        <w:rPr>
          <w:color w:val="231F20"/>
        </w:rPr>
        <w:t>Dado</w:t>
      </w:r>
      <w:r>
        <w:rPr>
          <w:color w:val="231F20"/>
          <w:spacing w:val="-3"/>
        </w:rPr>
        <w:t> </w:t>
      </w:r>
      <w:r>
        <w:rPr>
          <w:color w:val="231F20"/>
        </w:rPr>
        <w:t>que</w:t>
      </w:r>
      <w:r>
        <w:rPr>
          <w:color w:val="231F20"/>
          <w:spacing w:val="-3"/>
        </w:rPr>
        <w:t> </w:t>
      </w:r>
      <w:r>
        <w:rPr>
          <w:color w:val="231F20"/>
        </w:rPr>
        <w:t>la</w:t>
      </w:r>
      <w:r>
        <w:rPr>
          <w:color w:val="231F20"/>
          <w:spacing w:val="-3"/>
        </w:rPr>
        <w:t> </w:t>
      </w:r>
      <w:r>
        <w:rPr>
          <w:color w:val="231F20"/>
        </w:rPr>
        <w:t>planta</w:t>
      </w:r>
      <w:r>
        <w:rPr>
          <w:color w:val="231F20"/>
          <w:spacing w:val="-3"/>
        </w:rPr>
        <w:t> </w:t>
      </w:r>
      <w:r>
        <w:rPr>
          <w:color w:val="231F20"/>
        </w:rPr>
        <w:t>distribuida</w:t>
      </w:r>
      <w:r>
        <w:rPr>
          <w:color w:val="231F20"/>
          <w:spacing w:val="-4"/>
        </w:rPr>
        <w:t> </w:t>
      </w:r>
      <w:r>
        <w:rPr>
          <w:color w:val="231F20"/>
        </w:rPr>
        <w:t>en</w:t>
      </w:r>
      <w:r>
        <w:rPr>
          <w:color w:val="231F20"/>
          <w:spacing w:val="-3"/>
        </w:rPr>
        <w:t> </w:t>
      </w:r>
      <w:r>
        <w:rPr>
          <w:color w:val="231F20"/>
        </w:rPr>
        <w:t>norte</w:t>
      </w:r>
      <w:r>
        <w:rPr>
          <w:color w:val="231F20"/>
          <w:spacing w:val="-15"/>
        </w:rPr>
        <w:t> </w:t>
      </w:r>
      <w:r>
        <w:rPr>
          <w:color w:val="231F20"/>
        </w:rPr>
        <w:t>América</w:t>
      </w:r>
      <w:r>
        <w:rPr>
          <w:color w:val="231F20"/>
          <w:spacing w:val="-4"/>
        </w:rPr>
        <w:t> </w:t>
      </w:r>
      <w:r>
        <w:rPr>
          <w:color w:val="231F20"/>
        </w:rPr>
        <w:t>solo</w:t>
      </w:r>
      <w:r>
        <w:rPr>
          <w:color w:val="231F20"/>
          <w:spacing w:val="-3"/>
        </w:rPr>
        <w:t> </w:t>
      </w:r>
      <w:r>
        <w:rPr>
          <w:color w:val="231F20"/>
        </w:rPr>
        <w:t>es</w:t>
      </w:r>
      <w:r>
        <w:rPr>
          <w:color w:val="231F20"/>
          <w:spacing w:val="-3"/>
        </w:rPr>
        <w:t> </w:t>
      </w:r>
      <w:r>
        <w:rPr>
          <w:color w:val="231F20"/>
        </w:rPr>
        <w:t>femenina</w:t>
      </w:r>
      <w:r>
        <w:rPr>
          <w:color w:val="231F20"/>
          <w:spacing w:val="-4"/>
        </w:rPr>
        <w:t> </w:t>
      </w:r>
      <w:r>
        <w:rPr>
          <w:color w:val="231F20"/>
        </w:rPr>
        <w:t>la</w:t>
      </w:r>
      <w:r>
        <w:rPr>
          <w:color w:val="231F20"/>
          <w:spacing w:val="-3"/>
        </w:rPr>
        <w:t> </w:t>
      </w:r>
      <w:r>
        <w:rPr>
          <w:color w:val="231F20"/>
        </w:rPr>
        <w:t>reproducción</w:t>
      </w:r>
      <w:r>
        <w:rPr>
          <w:color w:val="231F20"/>
          <w:spacing w:val="-4"/>
        </w:rPr>
        <w:t> </w:t>
      </w:r>
      <w:r>
        <w:rPr>
          <w:color w:val="231F20"/>
        </w:rPr>
        <w:t>es</w:t>
      </w:r>
      <w:r>
        <w:rPr>
          <w:color w:val="231F20"/>
          <w:spacing w:val="-3"/>
        </w:rPr>
        <w:t> </w:t>
      </w:r>
      <w:r>
        <w:rPr>
          <w:color w:val="231F20"/>
        </w:rPr>
        <w:t>completamente sexual e incluso en Sudamerica la principal reproducción es asexual. Las plantas masculinas son desconocidas fuera de América del </w:t>
      </w:r>
      <w:r>
        <w:rPr>
          <w:color w:val="231F20"/>
          <w:spacing w:val="-3"/>
        </w:rPr>
        <w:t>Sur, </w:t>
      </w:r>
      <w:r>
        <w:rPr>
          <w:color w:val="231F20"/>
        </w:rPr>
        <w:t>así que ninguna semilla producida en poblaciones fuera de sud</w:t>
      </w:r>
      <w:r>
        <w:rPr>
          <w:color w:val="231F20"/>
          <w:spacing w:val="-22"/>
        </w:rPr>
        <w:t> </w:t>
      </w:r>
      <w:r>
        <w:rPr>
          <w:color w:val="231F20"/>
        </w:rPr>
        <w:t>América</w:t>
      </w:r>
      <w:r>
        <w:rPr>
          <w:color w:val="231F20"/>
          <w:spacing w:val="-11"/>
        </w:rPr>
        <w:t> </w:t>
      </w:r>
      <w:r>
        <w:rPr>
          <w:color w:val="231F20"/>
        </w:rPr>
        <w:t>es</w:t>
      </w:r>
      <w:r>
        <w:rPr>
          <w:color w:val="231F20"/>
          <w:spacing w:val="-11"/>
        </w:rPr>
        <w:t> </w:t>
      </w:r>
      <w:r>
        <w:rPr>
          <w:color w:val="231F20"/>
        </w:rPr>
        <w:t>fértil.</w:t>
      </w:r>
      <w:r>
        <w:rPr>
          <w:color w:val="231F20"/>
          <w:spacing w:val="-11"/>
        </w:rPr>
        <w:t> </w:t>
      </w:r>
      <w:r>
        <w:rPr>
          <w:i/>
          <w:color w:val="231F20"/>
        </w:rPr>
        <w:t>Myriophyllum</w:t>
      </w:r>
      <w:r>
        <w:rPr>
          <w:i/>
          <w:color w:val="231F20"/>
          <w:spacing w:val="-11"/>
        </w:rPr>
        <w:t> </w:t>
      </w:r>
      <w:r>
        <w:rPr>
          <w:color w:val="231F20"/>
        </w:rPr>
        <w:t>naturalmente</w:t>
      </w:r>
      <w:r>
        <w:rPr>
          <w:color w:val="231F20"/>
          <w:spacing w:val="-11"/>
        </w:rPr>
        <w:t> </w:t>
      </w:r>
      <w:r>
        <w:rPr>
          <w:color w:val="231F20"/>
        </w:rPr>
        <w:t>no</w:t>
      </w:r>
      <w:r>
        <w:rPr>
          <w:color w:val="231F20"/>
          <w:spacing w:val="-11"/>
        </w:rPr>
        <w:t> </w:t>
      </w:r>
      <w:r>
        <w:rPr>
          <w:color w:val="231F20"/>
        </w:rPr>
        <w:t>forma</w:t>
      </w:r>
      <w:r>
        <w:rPr>
          <w:color w:val="231F20"/>
          <w:spacing w:val="-11"/>
        </w:rPr>
        <w:t> </w:t>
      </w:r>
      <w:r>
        <w:rPr>
          <w:color w:val="231F20"/>
        </w:rPr>
        <w:t>auto</w:t>
      </w:r>
      <w:r>
        <w:rPr>
          <w:color w:val="231F20"/>
          <w:spacing w:val="-11"/>
        </w:rPr>
        <w:t> </w:t>
      </w:r>
      <w:r>
        <w:rPr>
          <w:color w:val="231F20"/>
        </w:rPr>
        <w:t>fragmentos</w:t>
      </w:r>
      <w:r>
        <w:rPr>
          <w:color w:val="231F20"/>
          <w:spacing w:val="-11"/>
        </w:rPr>
        <w:t> </w:t>
      </w:r>
      <w:r>
        <w:rPr>
          <w:color w:val="231F20"/>
        </w:rPr>
        <w:t>pero</w:t>
      </w:r>
      <w:r>
        <w:rPr>
          <w:color w:val="231F20"/>
          <w:spacing w:val="-11"/>
        </w:rPr>
        <w:t> </w:t>
      </w:r>
      <w:r>
        <w:rPr>
          <w:color w:val="231F20"/>
        </w:rPr>
        <w:t>estos</w:t>
      </w:r>
      <w:r>
        <w:rPr>
          <w:color w:val="231F20"/>
          <w:spacing w:val="-11"/>
        </w:rPr>
        <w:t> </w:t>
      </w:r>
      <w:r>
        <w:rPr>
          <w:color w:val="231F20"/>
        </w:rPr>
        <w:t>son</w:t>
      </w:r>
      <w:r>
        <w:rPr>
          <w:color w:val="231F20"/>
          <w:spacing w:val="-11"/>
        </w:rPr>
        <w:t> </w:t>
      </w:r>
      <w:r>
        <w:rPr>
          <w:color w:val="231F20"/>
        </w:rPr>
        <w:t>formados</w:t>
      </w:r>
    </w:p>
    <w:p>
      <w:pPr>
        <w:pStyle w:val="BodyText"/>
        <w:spacing w:before="9"/>
        <w:rPr>
          <w:sz w:val="15"/>
        </w:rPr>
      </w:pPr>
    </w:p>
    <w:p>
      <w:pPr>
        <w:spacing w:line="247" w:lineRule="auto" w:before="0"/>
        <w:ind w:left="1270" w:right="1266" w:firstLine="0"/>
        <w:jc w:val="both"/>
        <w:rPr>
          <w:rFonts w:ascii="Trebuchet MS" w:hAnsi="Trebuchet MS"/>
          <w:sz w:val="16"/>
        </w:rPr>
      </w:pPr>
      <w:r>
        <w:rPr>
          <w:rFonts w:ascii="Trebuchet MS" w:hAnsi="Trebuchet MS"/>
          <w:color w:val="231F20"/>
          <w:position w:val="5"/>
          <w:sz w:val="9"/>
        </w:rPr>
        <w:t>1</w:t>
      </w:r>
      <w:r>
        <w:rPr>
          <w:rFonts w:ascii="Trebuchet MS" w:hAnsi="Trebuchet MS"/>
          <w:color w:val="231F20"/>
          <w:sz w:val="16"/>
        </w:rPr>
        <w:t>Invernadero</w:t>
      </w:r>
      <w:r>
        <w:rPr>
          <w:rFonts w:ascii="Trebuchet MS" w:hAnsi="Trebuchet MS"/>
          <w:color w:val="231F20"/>
          <w:spacing w:val="-3"/>
          <w:sz w:val="16"/>
        </w:rPr>
        <w:t> </w:t>
      </w:r>
      <w:r>
        <w:rPr>
          <w:rFonts w:ascii="Trebuchet MS" w:hAnsi="Trebuchet MS"/>
          <w:color w:val="231F20"/>
          <w:sz w:val="16"/>
        </w:rPr>
        <w:t>de</w:t>
      </w:r>
      <w:r>
        <w:rPr>
          <w:rFonts w:ascii="Trebuchet MS" w:hAnsi="Trebuchet MS"/>
          <w:color w:val="231F20"/>
          <w:spacing w:val="-4"/>
          <w:sz w:val="16"/>
        </w:rPr>
        <w:t> </w:t>
      </w:r>
      <w:r>
        <w:rPr>
          <w:rFonts w:ascii="Trebuchet MS" w:hAnsi="Trebuchet MS"/>
          <w:color w:val="231F20"/>
          <w:sz w:val="16"/>
        </w:rPr>
        <w:t>Especies</w:t>
      </w:r>
      <w:r>
        <w:rPr>
          <w:rFonts w:ascii="Trebuchet MS" w:hAnsi="Trebuchet MS"/>
          <w:color w:val="231F20"/>
          <w:spacing w:val="-8"/>
          <w:sz w:val="16"/>
        </w:rPr>
        <w:t> </w:t>
      </w:r>
      <w:r>
        <w:rPr>
          <w:rFonts w:ascii="Trebuchet MS" w:hAnsi="Trebuchet MS"/>
          <w:color w:val="231F20"/>
          <w:sz w:val="16"/>
        </w:rPr>
        <w:t>Tropicales</w:t>
      </w:r>
      <w:r>
        <w:rPr>
          <w:rFonts w:ascii="Trebuchet MS" w:hAnsi="Trebuchet MS"/>
          <w:color w:val="231F20"/>
          <w:spacing w:val="-5"/>
          <w:sz w:val="16"/>
        </w:rPr>
        <w:t> </w:t>
      </w:r>
      <w:r>
        <w:rPr>
          <w:rFonts w:ascii="Trebuchet MS" w:hAnsi="Trebuchet MS"/>
          <w:color w:val="231F20"/>
          <w:sz w:val="16"/>
        </w:rPr>
        <w:t>y</w:t>
      </w:r>
      <w:r>
        <w:rPr>
          <w:rFonts w:ascii="Trebuchet MS" w:hAnsi="Trebuchet MS"/>
          <w:color w:val="231F20"/>
          <w:spacing w:val="-12"/>
          <w:sz w:val="16"/>
        </w:rPr>
        <w:t> </w:t>
      </w:r>
      <w:r>
        <w:rPr>
          <w:rFonts w:ascii="Trebuchet MS" w:hAnsi="Trebuchet MS"/>
          <w:color w:val="231F20"/>
          <w:sz w:val="16"/>
        </w:rPr>
        <w:t>Acuario</w:t>
      </w:r>
      <w:r>
        <w:rPr>
          <w:rFonts w:ascii="Trebuchet MS" w:hAnsi="Trebuchet MS"/>
          <w:color w:val="231F20"/>
          <w:spacing w:val="-5"/>
          <w:sz w:val="16"/>
        </w:rPr>
        <w:t> </w:t>
      </w:r>
      <w:r>
        <w:rPr>
          <w:rFonts w:ascii="Trebuchet MS" w:hAnsi="Trebuchet MS"/>
          <w:color w:val="231F20"/>
          <w:sz w:val="16"/>
        </w:rPr>
        <w:t>Experimental.,</w:t>
      </w:r>
      <w:r>
        <w:rPr>
          <w:rFonts w:ascii="Trebuchet MS" w:hAnsi="Trebuchet MS"/>
          <w:color w:val="231F20"/>
          <w:spacing w:val="-6"/>
          <w:sz w:val="16"/>
        </w:rPr>
        <w:t> </w:t>
      </w:r>
      <w:r>
        <w:rPr>
          <w:rFonts w:ascii="Trebuchet MS" w:hAnsi="Trebuchet MS"/>
          <w:color w:val="231F20"/>
          <w:sz w:val="16"/>
        </w:rPr>
        <w:t>Área</w:t>
      </w:r>
      <w:r>
        <w:rPr>
          <w:rFonts w:ascii="Trebuchet MS" w:hAnsi="Trebuchet MS"/>
          <w:color w:val="231F20"/>
          <w:spacing w:val="-5"/>
          <w:sz w:val="16"/>
        </w:rPr>
        <w:t> </w:t>
      </w:r>
      <w:r>
        <w:rPr>
          <w:rFonts w:ascii="Trebuchet MS" w:hAnsi="Trebuchet MS"/>
          <w:color w:val="231F20"/>
          <w:sz w:val="16"/>
        </w:rPr>
        <w:t>de</w:t>
      </w:r>
      <w:r>
        <w:rPr>
          <w:rFonts w:ascii="Trebuchet MS" w:hAnsi="Trebuchet MS"/>
          <w:color w:val="231F20"/>
          <w:spacing w:val="-4"/>
          <w:sz w:val="16"/>
        </w:rPr>
        <w:t> </w:t>
      </w:r>
      <w:r>
        <w:rPr>
          <w:rFonts w:ascii="Trebuchet MS" w:hAnsi="Trebuchet MS"/>
          <w:color w:val="231F20"/>
          <w:sz w:val="16"/>
        </w:rPr>
        <w:t>Biología.,</w:t>
      </w:r>
      <w:r>
        <w:rPr>
          <w:rFonts w:ascii="Trebuchet MS" w:hAnsi="Trebuchet MS"/>
          <w:color w:val="231F20"/>
          <w:spacing w:val="-5"/>
          <w:sz w:val="16"/>
        </w:rPr>
        <w:t> </w:t>
      </w:r>
      <w:r>
        <w:rPr>
          <w:rFonts w:ascii="Trebuchet MS" w:hAnsi="Trebuchet MS"/>
          <w:color w:val="231F20"/>
          <w:sz w:val="16"/>
        </w:rPr>
        <w:t>Depto.</w:t>
      </w:r>
      <w:r>
        <w:rPr>
          <w:rFonts w:ascii="Trebuchet MS" w:hAnsi="Trebuchet MS"/>
          <w:color w:val="231F20"/>
          <w:spacing w:val="-4"/>
          <w:sz w:val="16"/>
        </w:rPr>
        <w:t> </w:t>
      </w:r>
      <w:r>
        <w:rPr>
          <w:rFonts w:ascii="Trebuchet MS" w:hAnsi="Trebuchet MS"/>
          <w:color w:val="231F20"/>
          <w:sz w:val="16"/>
        </w:rPr>
        <w:t>Preparatoria</w:t>
      </w:r>
      <w:r>
        <w:rPr>
          <w:rFonts w:ascii="Trebuchet MS" w:hAnsi="Trebuchet MS"/>
          <w:color w:val="231F20"/>
          <w:spacing w:val="-13"/>
          <w:sz w:val="16"/>
        </w:rPr>
        <w:t> </w:t>
      </w:r>
      <w:r>
        <w:rPr>
          <w:rFonts w:ascii="Trebuchet MS" w:hAnsi="Trebuchet MS"/>
          <w:color w:val="231F20"/>
          <w:sz w:val="16"/>
        </w:rPr>
        <w:t>Agrícola.</w:t>
      </w:r>
      <w:r>
        <w:rPr>
          <w:rFonts w:ascii="Trebuchet MS" w:hAnsi="Trebuchet MS"/>
          <w:color w:val="231F20"/>
          <w:spacing w:val="-5"/>
          <w:sz w:val="16"/>
        </w:rPr>
        <w:t> </w:t>
      </w:r>
      <w:r>
        <w:rPr>
          <w:rFonts w:ascii="Trebuchet MS" w:hAnsi="Trebuchet MS"/>
          <w:color w:val="231F20"/>
          <w:sz w:val="16"/>
        </w:rPr>
        <w:t>Centro de Investigación en Agricultura Orgánica y Agroecología. Universidad Autónoma Chapingo. fariasve@hotmail.com; </w:t>
      </w:r>
      <w:r>
        <w:rPr>
          <w:rFonts w:ascii="Trebuchet MS" w:hAnsi="Trebuchet MS"/>
          <w:color w:val="231F20"/>
          <w:position w:val="5"/>
          <w:sz w:val="9"/>
        </w:rPr>
        <w:t>2</w:t>
      </w:r>
      <w:r>
        <w:rPr>
          <w:rFonts w:ascii="Trebuchet MS" w:hAnsi="Trebuchet MS"/>
          <w:color w:val="231F20"/>
          <w:sz w:val="16"/>
        </w:rPr>
        <w:t>Laboratorio de Histología y Citología General., Invernadero de Especies Tropicales. Área de Biología. Depto. Prepa- ratoria Agrícola. Universidad Autónoma Chapingo. mrobledoym@yahoo.com.mx; </w:t>
      </w:r>
      <w:r>
        <w:rPr>
          <w:rFonts w:ascii="Trebuchet MS" w:hAnsi="Trebuchet MS"/>
          <w:color w:val="231F20"/>
          <w:position w:val="5"/>
          <w:sz w:val="9"/>
        </w:rPr>
        <w:t>3</w:t>
      </w:r>
      <w:r>
        <w:rPr>
          <w:rFonts w:ascii="Trebuchet MS" w:hAnsi="Trebuchet MS"/>
          <w:color w:val="231F20"/>
          <w:sz w:val="16"/>
        </w:rPr>
        <w:t>Depto. de Zootecnia. Universidad Autónoma Chapingo</w:t>
      </w:r>
      <w:hyperlink r:id="rId153">
        <w:r>
          <w:rPr>
            <w:rFonts w:ascii="Trebuchet MS" w:hAnsi="Trebuchet MS"/>
            <w:color w:val="231F20"/>
            <w:sz w:val="16"/>
          </w:rPr>
          <w:t>.</w:t>
        </w:r>
        <w:r>
          <w:rPr>
            <w:rFonts w:ascii="Trebuchet MS" w:hAnsi="Trebuchet MS"/>
            <w:color w:val="231F20"/>
            <w:spacing w:val="-9"/>
            <w:sz w:val="16"/>
          </w:rPr>
          <w:t> </w:t>
        </w:r>
        <w:r>
          <w:rPr>
            <w:rFonts w:ascii="Trebuchet MS" w:hAnsi="Trebuchet MS"/>
            <w:color w:val="231F20"/>
            <w:sz w:val="16"/>
          </w:rPr>
          <w:t>jose_bostaurus@hotmail.com</w:t>
        </w:r>
      </w:hyperlink>
    </w:p>
    <w:p>
      <w:pPr>
        <w:spacing w:after="0" w:line="247" w:lineRule="auto"/>
        <w:jc w:val="both"/>
        <w:rPr>
          <w:rFonts w:ascii="Trebuchet MS" w:hAnsi="Trebuchet MS"/>
          <w:sz w:val="16"/>
        </w:rPr>
        <w:sectPr>
          <w:pgSz w:w="10920" w:h="13080"/>
          <w:pgMar w:header="0" w:footer="1025" w:top="420" w:bottom="1220" w:left="0" w:right="0"/>
        </w:sectPr>
      </w:pPr>
    </w:p>
    <w:p>
      <w:pPr>
        <w:pStyle w:val="BodyText"/>
        <w:rPr>
          <w:rFonts w:ascii="Trebuchet MS"/>
          <w:sz w:val="20"/>
        </w:rPr>
      </w:pPr>
    </w:p>
    <w:p>
      <w:pPr>
        <w:pStyle w:val="BodyText"/>
        <w:rPr>
          <w:rFonts w:ascii="Trebuchet MS"/>
          <w:sz w:val="20"/>
        </w:rPr>
      </w:pPr>
    </w:p>
    <w:p>
      <w:pPr>
        <w:pStyle w:val="BodyText"/>
        <w:spacing w:before="4"/>
        <w:rPr>
          <w:rFonts w:ascii="Trebuchet MS"/>
          <w:sz w:val="22"/>
        </w:rPr>
      </w:pPr>
    </w:p>
    <w:p>
      <w:pPr>
        <w:pStyle w:val="BodyText"/>
        <w:spacing w:line="247" w:lineRule="auto" w:before="73"/>
        <w:ind w:left="1270" w:right="1267" w:hanging="1"/>
        <w:jc w:val="both"/>
      </w:pPr>
      <w:r>
        <w:rPr>
          <w:color w:val="231F20"/>
        </w:rPr>
        <w:t>mecánicamente y enraíza fácilmente. Poblaciones de </w:t>
      </w:r>
      <w:r>
        <w:rPr>
          <w:i/>
          <w:color w:val="231F20"/>
        </w:rPr>
        <w:t>Myriophyllum </w:t>
      </w:r>
      <w:r>
        <w:rPr>
          <w:color w:val="231F20"/>
        </w:rPr>
        <w:t>pueden volverse tan densas que pueden colonizar pequeños estanques y lodazales e impide el flujo del agua en zanjas de drenaje y canales de riego; fácilmente puede desplazar especies nativas ya que fuera de sudamerica no tiene enemigos</w:t>
      </w:r>
      <w:r>
        <w:rPr>
          <w:color w:val="231F20"/>
          <w:spacing w:val="-12"/>
        </w:rPr>
        <w:t> </w:t>
      </w:r>
      <w:r>
        <w:rPr>
          <w:color w:val="231F20"/>
        </w:rPr>
        <w:t>naturales.</w:t>
      </w:r>
      <w:r>
        <w:rPr>
          <w:color w:val="231F20"/>
          <w:spacing w:val="-11"/>
        </w:rPr>
        <w:t> </w:t>
      </w:r>
      <w:r>
        <w:rPr>
          <w:color w:val="231F20"/>
        </w:rPr>
        <w:t>Mientras</w:t>
      </w:r>
      <w:r>
        <w:rPr>
          <w:color w:val="231F20"/>
          <w:spacing w:val="-11"/>
        </w:rPr>
        <w:t> </w:t>
      </w:r>
      <w:r>
        <w:rPr>
          <w:color w:val="231F20"/>
        </w:rPr>
        <w:t>que</w:t>
      </w:r>
      <w:r>
        <w:rPr>
          <w:color w:val="231F20"/>
          <w:spacing w:val="-11"/>
        </w:rPr>
        <w:t> </w:t>
      </w:r>
      <w:r>
        <w:rPr>
          <w:color w:val="231F20"/>
        </w:rPr>
        <w:t>su</w:t>
      </w:r>
      <w:r>
        <w:rPr>
          <w:color w:val="231F20"/>
          <w:spacing w:val="-11"/>
        </w:rPr>
        <w:t> </w:t>
      </w:r>
      <w:r>
        <w:rPr>
          <w:color w:val="231F20"/>
        </w:rPr>
        <w:t>amplia</w:t>
      </w:r>
      <w:r>
        <w:rPr>
          <w:color w:val="231F20"/>
          <w:spacing w:val="-12"/>
        </w:rPr>
        <w:t> </w:t>
      </w:r>
      <w:r>
        <w:rPr>
          <w:color w:val="231F20"/>
        </w:rPr>
        <w:t>cobertura</w:t>
      </w:r>
      <w:r>
        <w:rPr>
          <w:color w:val="231F20"/>
          <w:spacing w:val="-12"/>
        </w:rPr>
        <w:t> </w:t>
      </w:r>
      <w:r>
        <w:rPr>
          <w:color w:val="231F20"/>
        </w:rPr>
        <w:t>puede</w:t>
      </w:r>
      <w:r>
        <w:rPr>
          <w:color w:val="231F20"/>
          <w:spacing w:val="-11"/>
        </w:rPr>
        <w:t> </w:t>
      </w:r>
      <w:r>
        <w:rPr>
          <w:color w:val="231F20"/>
        </w:rPr>
        <w:t>alojar</w:t>
      </w:r>
      <w:r>
        <w:rPr>
          <w:color w:val="231F20"/>
          <w:spacing w:val="-12"/>
        </w:rPr>
        <w:t> </w:t>
      </w:r>
      <w:r>
        <w:rPr>
          <w:color w:val="231F20"/>
        </w:rPr>
        <w:t>a</w:t>
      </w:r>
      <w:r>
        <w:rPr>
          <w:color w:val="231F20"/>
          <w:spacing w:val="-11"/>
        </w:rPr>
        <w:t> </w:t>
      </w:r>
      <w:r>
        <w:rPr>
          <w:color w:val="231F20"/>
        </w:rPr>
        <w:t>varias</w:t>
      </w:r>
      <w:r>
        <w:rPr>
          <w:color w:val="231F20"/>
          <w:spacing w:val="-11"/>
        </w:rPr>
        <w:t> </w:t>
      </w:r>
      <w:r>
        <w:rPr>
          <w:color w:val="231F20"/>
        </w:rPr>
        <w:t>especies,</w:t>
      </w:r>
      <w:r>
        <w:rPr>
          <w:color w:val="231F20"/>
          <w:spacing w:val="-12"/>
        </w:rPr>
        <w:t> </w:t>
      </w:r>
      <w:r>
        <w:rPr>
          <w:color w:val="231F20"/>
        </w:rPr>
        <w:t>también</w:t>
      </w:r>
      <w:r>
        <w:rPr>
          <w:color w:val="231F20"/>
          <w:spacing w:val="-12"/>
        </w:rPr>
        <w:t> </w:t>
      </w:r>
      <w:r>
        <w:rPr>
          <w:color w:val="231F20"/>
        </w:rPr>
        <w:t>cambia las propiedades físicas y químicas de los cuerpos de agua que invade. </w:t>
      </w:r>
      <w:r>
        <w:rPr>
          <w:color w:val="231F20"/>
          <w:spacing w:val="-3"/>
        </w:rPr>
        <w:t>También </w:t>
      </w:r>
      <w:r>
        <w:rPr>
          <w:color w:val="231F20"/>
        </w:rPr>
        <w:t>reduciendo la</w:t>
      </w:r>
      <w:r>
        <w:rPr>
          <w:color w:val="231F20"/>
          <w:spacing w:val="-12"/>
        </w:rPr>
        <w:t> </w:t>
      </w:r>
      <w:r>
        <w:rPr>
          <w:color w:val="231F20"/>
        </w:rPr>
        <w:t>oxige- nación y oscurecimiento obstruyendo con la cadena trófica acuática (</w:t>
      </w:r>
      <w:r>
        <w:rPr>
          <w:i/>
          <w:color w:val="231F20"/>
        </w:rPr>
        <w:t>Aedes egypti</w:t>
      </w:r>
      <w:r>
        <w:rPr>
          <w:color w:val="231F20"/>
        </w:rPr>
        <w:t>).(Keller.</w:t>
      </w:r>
      <w:r>
        <w:rPr>
          <w:color w:val="231F20"/>
          <w:spacing w:val="-26"/>
        </w:rPr>
        <w:t> </w:t>
      </w:r>
      <w:r>
        <w:rPr>
          <w:color w:val="231F20"/>
        </w:rPr>
        <w:t>2008).</w:t>
      </w:r>
    </w:p>
    <w:p>
      <w:pPr>
        <w:pStyle w:val="BodyText"/>
        <w:spacing w:before="10"/>
      </w:pPr>
    </w:p>
    <w:p>
      <w:pPr>
        <w:pStyle w:val="Heading5"/>
      </w:pPr>
      <w:r>
        <w:rPr>
          <w:color w:val="231F20"/>
        </w:rPr>
        <w:t>Descripción del crecimiento vegetativo</w:t>
      </w:r>
    </w:p>
    <w:p>
      <w:pPr>
        <w:pStyle w:val="BodyText"/>
        <w:spacing w:line="247" w:lineRule="auto" w:before="8"/>
        <w:ind w:left="1270" w:right="1267"/>
        <w:jc w:val="both"/>
      </w:pPr>
      <w:r>
        <w:rPr>
          <w:i/>
          <w:color w:val="231F20"/>
        </w:rPr>
        <w:t>Myriophyllium aquaticum </w:t>
      </w:r>
      <w:r>
        <w:rPr>
          <w:color w:val="231F20"/>
        </w:rPr>
        <w:t>se conoce como “Milenrama brasileña y pertenece a la familia Haloragá- ceas,</w:t>
      </w:r>
      <w:r>
        <w:rPr>
          <w:color w:val="231F20"/>
          <w:spacing w:val="-3"/>
        </w:rPr>
        <w:t> </w:t>
      </w:r>
      <w:r>
        <w:rPr>
          <w:color w:val="231F20"/>
        </w:rPr>
        <w:t>es</w:t>
      </w:r>
      <w:r>
        <w:rPr>
          <w:color w:val="231F20"/>
          <w:spacing w:val="-3"/>
        </w:rPr>
        <w:t> </w:t>
      </w:r>
      <w:r>
        <w:rPr>
          <w:color w:val="231F20"/>
        </w:rPr>
        <w:t>originaria</w:t>
      </w:r>
      <w:r>
        <w:rPr>
          <w:color w:val="231F20"/>
          <w:spacing w:val="-3"/>
        </w:rPr>
        <w:t> </w:t>
      </w:r>
      <w:r>
        <w:rPr>
          <w:color w:val="231F20"/>
        </w:rPr>
        <w:t>de</w:t>
      </w:r>
      <w:r>
        <w:rPr>
          <w:color w:val="231F20"/>
          <w:spacing w:val="-3"/>
        </w:rPr>
        <w:t> </w:t>
      </w:r>
      <w:r>
        <w:rPr>
          <w:color w:val="231F20"/>
        </w:rPr>
        <w:t>Sudamérica</w:t>
      </w:r>
      <w:r>
        <w:rPr>
          <w:color w:val="231F20"/>
          <w:spacing w:val="-2"/>
        </w:rPr>
        <w:t> </w:t>
      </w:r>
      <w:r>
        <w:rPr>
          <w:color w:val="231F20"/>
        </w:rPr>
        <w:t>de</w:t>
      </w:r>
      <w:r>
        <w:rPr>
          <w:color w:val="231F20"/>
          <w:spacing w:val="-3"/>
        </w:rPr>
        <w:t> </w:t>
      </w:r>
      <w:r>
        <w:rPr>
          <w:color w:val="231F20"/>
        </w:rPr>
        <w:t>la</w:t>
      </w:r>
      <w:r>
        <w:rPr>
          <w:color w:val="231F20"/>
          <w:spacing w:val="-3"/>
        </w:rPr>
        <w:t> </w:t>
      </w:r>
      <w:r>
        <w:rPr>
          <w:color w:val="231F20"/>
        </w:rPr>
        <w:t>cuenca</w:t>
      </w:r>
      <w:r>
        <w:rPr>
          <w:color w:val="231F20"/>
          <w:spacing w:val="-3"/>
        </w:rPr>
        <w:t> </w:t>
      </w:r>
      <w:r>
        <w:rPr>
          <w:color w:val="231F20"/>
        </w:rPr>
        <w:t>del</w:t>
      </w:r>
      <w:r>
        <w:rPr>
          <w:color w:val="231F20"/>
          <w:spacing w:val="-14"/>
        </w:rPr>
        <w:t> </w:t>
      </w:r>
      <w:r>
        <w:rPr>
          <w:color w:val="231F20"/>
        </w:rPr>
        <w:t>Amazonas.</w:t>
      </w:r>
      <w:r>
        <w:rPr>
          <w:color w:val="231F20"/>
          <w:spacing w:val="-2"/>
        </w:rPr>
        <w:t> </w:t>
      </w:r>
      <w:r>
        <w:rPr>
          <w:color w:val="231F20"/>
        </w:rPr>
        <w:t>La</w:t>
      </w:r>
      <w:r>
        <w:rPr>
          <w:color w:val="231F20"/>
          <w:spacing w:val="-3"/>
        </w:rPr>
        <w:t> </w:t>
      </w:r>
      <w:r>
        <w:rPr>
          <w:color w:val="231F20"/>
        </w:rPr>
        <w:t>planta</w:t>
      </w:r>
      <w:r>
        <w:rPr>
          <w:color w:val="231F20"/>
          <w:spacing w:val="-3"/>
        </w:rPr>
        <w:t> </w:t>
      </w:r>
      <w:r>
        <w:rPr>
          <w:color w:val="231F20"/>
        </w:rPr>
        <w:t>es</w:t>
      </w:r>
      <w:r>
        <w:rPr>
          <w:color w:val="231F20"/>
          <w:spacing w:val="-3"/>
        </w:rPr>
        <w:t> </w:t>
      </w:r>
      <w:r>
        <w:rPr>
          <w:color w:val="231F20"/>
        </w:rPr>
        <w:t>perenne</w:t>
      </w:r>
      <w:r>
        <w:rPr>
          <w:color w:val="231F20"/>
          <w:spacing w:val="-3"/>
        </w:rPr>
        <w:t> </w:t>
      </w:r>
      <w:r>
        <w:rPr>
          <w:color w:val="231F20"/>
        </w:rPr>
        <w:t>de</w:t>
      </w:r>
      <w:r>
        <w:rPr>
          <w:color w:val="231F20"/>
          <w:spacing w:val="-3"/>
        </w:rPr>
        <w:t> </w:t>
      </w:r>
      <w:r>
        <w:rPr>
          <w:color w:val="231F20"/>
        </w:rPr>
        <w:t>tallo</w:t>
      </w:r>
      <w:r>
        <w:rPr>
          <w:color w:val="231F20"/>
          <w:spacing w:val="-3"/>
        </w:rPr>
        <w:t> </w:t>
      </w:r>
      <w:r>
        <w:rPr>
          <w:color w:val="231F20"/>
        </w:rPr>
        <w:t>erguido, con hojas pinnadas, dispuestas alrededor de un tallo robusto en grupos de 4 a 6 hojas. Las hojas miden de de 1.5 a 3.5 cm, y tienen de 20 a 30 divisiones (segmentos filiformes) por hoja lo que le confiere ese aspecto plumoso. La distancia entre verticilos es mayor en la base y se va acortando a medida que llega a la punta. Aparte del sistema radicular que se desarrolla para anclarse al sustrato, puede desarrollar raíces adventicias. Esta planta es susceptible de emerger, en cuyo caso cambia su morfología, con menos divisiones por hoja (de 6 a 18), mas rígidas y de un verde más</w:t>
      </w:r>
      <w:r>
        <w:rPr>
          <w:color w:val="231F20"/>
          <w:spacing w:val="-5"/>
        </w:rPr>
        <w:t> </w:t>
      </w:r>
      <w:r>
        <w:rPr>
          <w:color w:val="231F20"/>
        </w:rPr>
        <w:t>claro.</w:t>
      </w:r>
    </w:p>
    <w:p>
      <w:pPr>
        <w:pStyle w:val="BodyText"/>
        <w:spacing w:before="10"/>
      </w:pPr>
    </w:p>
    <w:p>
      <w:pPr>
        <w:pStyle w:val="BodyText"/>
        <w:spacing w:line="247" w:lineRule="auto"/>
        <w:ind w:left="1270" w:right="1268"/>
        <w:jc w:val="both"/>
      </w:pPr>
      <w:r>
        <w:rPr>
          <w:color w:val="231F20"/>
        </w:rPr>
        <w:t>Las</w:t>
      </w:r>
      <w:r>
        <w:rPr>
          <w:color w:val="231F20"/>
          <w:spacing w:val="-8"/>
        </w:rPr>
        <w:t> </w:t>
      </w:r>
      <w:r>
        <w:rPr>
          <w:color w:val="231F20"/>
        </w:rPr>
        <w:t>flores</w:t>
      </w:r>
      <w:r>
        <w:rPr>
          <w:color w:val="231F20"/>
          <w:spacing w:val="-8"/>
        </w:rPr>
        <w:t> </w:t>
      </w:r>
      <w:r>
        <w:rPr>
          <w:color w:val="231F20"/>
        </w:rPr>
        <w:t>hembras,</w:t>
      </w:r>
      <w:r>
        <w:rPr>
          <w:color w:val="231F20"/>
          <w:spacing w:val="-8"/>
        </w:rPr>
        <w:t> </w:t>
      </w:r>
      <w:r>
        <w:rPr>
          <w:color w:val="231F20"/>
        </w:rPr>
        <w:t>de</w:t>
      </w:r>
      <w:r>
        <w:rPr>
          <w:color w:val="231F20"/>
          <w:spacing w:val="-8"/>
        </w:rPr>
        <w:t> </w:t>
      </w:r>
      <w:r>
        <w:rPr>
          <w:color w:val="231F20"/>
        </w:rPr>
        <w:t>apenas</w:t>
      </w:r>
      <w:r>
        <w:rPr>
          <w:color w:val="231F20"/>
          <w:spacing w:val="-8"/>
        </w:rPr>
        <w:t> </w:t>
      </w:r>
      <w:r>
        <w:rPr>
          <w:color w:val="231F20"/>
        </w:rPr>
        <w:t>1.5</w:t>
      </w:r>
      <w:r>
        <w:rPr>
          <w:color w:val="231F20"/>
          <w:spacing w:val="-8"/>
        </w:rPr>
        <w:t> </w:t>
      </w:r>
      <w:r>
        <w:rPr>
          <w:color w:val="231F20"/>
        </w:rPr>
        <w:t>cm,</w:t>
      </w:r>
      <w:r>
        <w:rPr>
          <w:color w:val="231F20"/>
          <w:spacing w:val="-8"/>
        </w:rPr>
        <w:t> </w:t>
      </w:r>
      <w:r>
        <w:rPr>
          <w:color w:val="231F20"/>
        </w:rPr>
        <w:t>son</w:t>
      </w:r>
      <w:r>
        <w:rPr>
          <w:color w:val="231F20"/>
          <w:spacing w:val="-8"/>
        </w:rPr>
        <w:t> </w:t>
      </w:r>
      <w:r>
        <w:rPr>
          <w:color w:val="231F20"/>
        </w:rPr>
        <w:t>blancas</w:t>
      </w:r>
      <w:r>
        <w:rPr>
          <w:color w:val="231F20"/>
          <w:spacing w:val="-8"/>
        </w:rPr>
        <w:t> </w:t>
      </w:r>
      <w:r>
        <w:rPr>
          <w:color w:val="231F20"/>
        </w:rPr>
        <w:t>sin</w:t>
      </w:r>
      <w:r>
        <w:rPr>
          <w:color w:val="231F20"/>
          <w:spacing w:val="-8"/>
        </w:rPr>
        <w:t> </w:t>
      </w:r>
      <w:r>
        <w:rPr>
          <w:color w:val="231F20"/>
        </w:rPr>
        <w:t>pétalos</w:t>
      </w:r>
      <w:r>
        <w:rPr>
          <w:color w:val="231F20"/>
          <w:spacing w:val="-8"/>
        </w:rPr>
        <w:t> </w:t>
      </w:r>
      <w:r>
        <w:rPr>
          <w:color w:val="231F20"/>
        </w:rPr>
        <w:t>y</w:t>
      </w:r>
      <w:r>
        <w:rPr>
          <w:color w:val="231F20"/>
          <w:spacing w:val="-8"/>
        </w:rPr>
        <w:t> </w:t>
      </w:r>
      <w:r>
        <w:rPr>
          <w:color w:val="231F20"/>
        </w:rPr>
        <w:t>con</w:t>
      </w:r>
      <w:r>
        <w:rPr>
          <w:color w:val="231F20"/>
          <w:spacing w:val="-8"/>
        </w:rPr>
        <w:t> </w:t>
      </w:r>
      <w:r>
        <w:rPr>
          <w:color w:val="231F20"/>
        </w:rPr>
        <w:t>cuatro</w:t>
      </w:r>
      <w:r>
        <w:rPr>
          <w:color w:val="231F20"/>
          <w:spacing w:val="-8"/>
        </w:rPr>
        <w:t> </w:t>
      </w:r>
      <w:r>
        <w:rPr>
          <w:color w:val="231F20"/>
        </w:rPr>
        <w:t>sépalos</w:t>
      </w:r>
      <w:r>
        <w:rPr>
          <w:color w:val="231F20"/>
          <w:spacing w:val="-8"/>
        </w:rPr>
        <w:t> </w:t>
      </w:r>
      <w:r>
        <w:rPr>
          <w:color w:val="231F20"/>
        </w:rPr>
        <w:t>y</w:t>
      </w:r>
      <w:r>
        <w:rPr>
          <w:color w:val="231F20"/>
          <w:spacing w:val="-8"/>
        </w:rPr>
        <w:t> </w:t>
      </w:r>
      <w:r>
        <w:rPr>
          <w:color w:val="231F20"/>
        </w:rPr>
        <w:t>estigmas</w:t>
      </w:r>
      <w:r>
        <w:rPr>
          <w:color w:val="231F20"/>
          <w:spacing w:val="-8"/>
        </w:rPr>
        <w:t> </w:t>
      </w:r>
      <w:r>
        <w:rPr>
          <w:color w:val="231F20"/>
        </w:rPr>
        <w:t>promi- nentes. Nacen en las axilas de las hojas emergidas. Las flores machos tienen 8</w:t>
      </w:r>
      <w:r>
        <w:rPr>
          <w:color w:val="231F20"/>
          <w:spacing w:val="-16"/>
        </w:rPr>
        <w:t> </w:t>
      </w:r>
      <w:r>
        <w:rPr>
          <w:color w:val="231F20"/>
        </w:rPr>
        <w:t>estambres.</w:t>
      </w:r>
    </w:p>
    <w:p>
      <w:pPr>
        <w:pStyle w:val="BodyText"/>
        <w:spacing w:before="10"/>
      </w:pPr>
    </w:p>
    <w:p>
      <w:pPr>
        <w:pStyle w:val="BodyText"/>
        <w:spacing w:line="247" w:lineRule="auto"/>
        <w:ind w:left="1270" w:right="1267"/>
        <w:jc w:val="both"/>
      </w:pPr>
      <w:r>
        <w:rPr>
          <w:color w:val="231F20"/>
        </w:rPr>
        <w:t>Los</w:t>
      </w:r>
      <w:r>
        <w:rPr>
          <w:color w:val="231F20"/>
          <w:spacing w:val="-6"/>
        </w:rPr>
        <w:t> </w:t>
      </w:r>
      <w:r>
        <w:rPr>
          <w:color w:val="231F20"/>
        </w:rPr>
        <w:t>tallos</w:t>
      </w:r>
      <w:r>
        <w:rPr>
          <w:color w:val="231F20"/>
          <w:spacing w:val="-6"/>
        </w:rPr>
        <w:t> </w:t>
      </w:r>
      <w:r>
        <w:rPr>
          <w:color w:val="231F20"/>
        </w:rPr>
        <w:t>pueden</w:t>
      </w:r>
      <w:r>
        <w:rPr>
          <w:color w:val="231F20"/>
          <w:spacing w:val="-6"/>
        </w:rPr>
        <w:t> </w:t>
      </w:r>
      <w:r>
        <w:rPr>
          <w:color w:val="231F20"/>
        </w:rPr>
        <w:t>tener</w:t>
      </w:r>
      <w:r>
        <w:rPr>
          <w:color w:val="231F20"/>
          <w:spacing w:val="-6"/>
        </w:rPr>
        <w:t> </w:t>
      </w:r>
      <w:r>
        <w:rPr>
          <w:color w:val="231F20"/>
        </w:rPr>
        <w:t>una</w:t>
      </w:r>
      <w:r>
        <w:rPr>
          <w:color w:val="231F20"/>
          <w:spacing w:val="-6"/>
        </w:rPr>
        <w:t> </w:t>
      </w:r>
      <w:r>
        <w:rPr>
          <w:color w:val="231F20"/>
        </w:rPr>
        <w:t>longitud</w:t>
      </w:r>
      <w:r>
        <w:rPr>
          <w:color w:val="231F20"/>
          <w:spacing w:val="-6"/>
        </w:rPr>
        <w:t> </w:t>
      </w:r>
      <w:r>
        <w:rPr>
          <w:color w:val="231F20"/>
        </w:rPr>
        <w:t>de</w:t>
      </w:r>
      <w:r>
        <w:rPr>
          <w:color w:val="231F20"/>
          <w:spacing w:val="-6"/>
        </w:rPr>
        <w:t> </w:t>
      </w:r>
      <w:r>
        <w:rPr>
          <w:color w:val="231F20"/>
        </w:rPr>
        <w:t>40</w:t>
      </w:r>
      <w:r>
        <w:rPr>
          <w:color w:val="231F20"/>
          <w:spacing w:val="-6"/>
        </w:rPr>
        <w:t> </w:t>
      </w:r>
      <w:r>
        <w:rPr>
          <w:color w:val="231F20"/>
        </w:rPr>
        <w:t>cm</w:t>
      </w:r>
      <w:r>
        <w:rPr>
          <w:color w:val="231F20"/>
          <w:spacing w:val="-6"/>
        </w:rPr>
        <w:t> </w:t>
      </w:r>
      <w:r>
        <w:rPr>
          <w:color w:val="231F20"/>
        </w:rPr>
        <w:t>o</w:t>
      </w:r>
      <w:r>
        <w:rPr>
          <w:color w:val="231F20"/>
          <w:spacing w:val="-6"/>
        </w:rPr>
        <w:t> </w:t>
      </w:r>
      <w:r>
        <w:rPr>
          <w:color w:val="231F20"/>
        </w:rPr>
        <w:t>bien</w:t>
      </w:r>
      <w:r>
        <w:rPr>
          <w:color w:val="231F20"/>
          <w:spacing w:val="-6"/>
        </w:rPr>
        <w:t> </w:t>
      </w:r>
      <w:r>
        <w:rPr>
          <w:color w:val="231F20"/>
        </w:rPr>
        <w:t>pueden</w:t>
      </w:r>
      <w:r>
        <w:rPr>
          <w:color w:val="231F20"/>
          <w:spacing w:val="-6"/>
        </w:rPr>
        <w:t> </w:t>
      </w:r>
      <w:r>
        <w:rPr>
          <w:color w:val="231F20"/>
        </w:rPr>
        <w:t>alcanzar</w:t>
      </w:r>
      <w:r>
        <w:rPr>
          <w:color w:val="231F20"/>
          <w:spacing w:val="-6"/>
        </w:rPr>
        <w:t> </w:t>
      </w:r>
      <w:r>
        <w:rPr>
          <w:color w:val="231F20"/>
        </w:rPr>
        <w:t>dimensiones</w:t>
      </w:r>
      <w:r>
        <w:rPr>
          <w:color w:val="231F20"/>
          <w:spacing w:val="43"/>
        </w:rPr>
        <w:t> </w:t>
      </w:r>
      <w:r>
        <w:rPr>
          <w:color w:val="231F20"/>
        </w:rPr>
        <w:t>de</w:t>
      </w:r>
      <w:r>
        <w:rPr>
          <w:color w:val="231F20"/>
          <w:spacing w:val="-6"/>
        </w:rPr>
        <w:t> </w:t>
      </w:r>
      <w:r>
        <w:rPr>
          <w:color w:val="231F20"/>
        </w:rPr>
        <w:t>hasta</w:t>
      </w:r>
      <w:r>
        <w:rPr>
          <w:color w:val="231F20"/>
          <w:spacing w:val="-6"/>
        </w:rPr>
        <w:t> </w:t>
      </w:r>
      <w:r>
        <w:rPr>
          <w:color w:val="231F20"/>
        </w:rPr>
        <w:t>metro</w:t>
      </w:r>
      <w:r>
        <w:rPr>
          <w:color w:val="231F20"/>
          <w:spacing w:val="-6"/>
        </w:rPr>
        <w:t> </w:t>
      </w:r>
      <w:r>
        <w:rPr>
          <w:color w:val="231F20"/>
        </w:rPr>
        <w:t>y medio</w:t>
      </w:r>
      <w:r>
        <w:rPr>
          <w:color w:val="231F20"/>
          <w:spacing w:val="-10"/>
        </w:rPr>
        <w:t> </w:t>
      </w:r>
      <w:r>
        <w:rPr>
          <w:color w:val="231F20"/>
        </w:rPr>
        <w:t>dependiendo</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condiciones</w:t>
      </w:r>
      <w:r>
        <w:rPr>
          <w:color w:val="231F20"/>
          <w:spacing w:val="-10"/>
        </w:rPr>
        <w:t> </w:t>
      </w:r>
      <w:r>
        <w:rPr>
          <w:color w:val="231F20"/>
        </w:rPr>
        <w:t>del</w:t>
      </w:r>
      <w:r>
        <w:rPr>
          <w:color w:val="231F20"/>
          <w:spacing w:val="-10"/>
        </w:rPr>
        <w:t> </w:t>
      </w:r>
      <w:r>
        <w:rPr>
          <w:color w:val="231F20"/>
        </w:rPr>
        <w:t>cuerpo</w:t>
      </w:r>
      <w:r>
        <w:rPr>
          <w:color w:val="231F20"/>
          <w:spacing w:val="-10"/>
        </w:rPr>
        <w:t> </w:t>
      </w:r>
      <w:r>
        <w:rPr>
          <w:color w:val="231F20"/>
        </w:rPr>
        <w:t>de</w:t>
      </w:r>
      <w:r>
        <w:rPr>
          <w:color w:val="231F20"/>
          <w:spacing w:val="-10"/>
        </w:rPr>
        <w:t> </w:t>
      </w:r>
      <w:r>
        <w:rPr>
          <w:color w:val="231F20"/>
        </w:rPr>
        <w:t>agua.</w:t>
      </w:r>
      <w:r>
        <w:rPr>
          <w:color w:val="231F20"/>
          <w:spacing w:val="-10"/>
        </w:rPr>
        <w:t> </w:t>
      </w:r>
      <w:r>
        <w:rPr>
          <w:color w:val="231F20"/>
        </w:rPr>
        <w:t>En</w:t>
      </w:r>
      <w:r>
        <w:rPr>
          <w:color w:val="231F20"/>
          <w:spacing w:val="-10"/>
        </w:rPr>
        <w:t> </w:t>
      </w:r>
      <w:r>
        <w:rPr>
          <w:color w:val="231F20"/>
        </w:rPr>
        <w:t>condiciones</w:t>
      </w:r>
      <w:r>
        <w:rPr>
          <w:color w:val="231F20"/>
          <w:spacing w:val="-10"/>
        </w:rPr>
        <w:t> </w:t>
      </w:r>
      <w:r>
        <w:rPr>
          <w:color w:val="231F20"/>
        </w:rPr>
        <w:t>apropiadas</w:t>
      </w:r>
      <w:r>
        <w:rPr>
          <w:color w:val="231F20"/>
          <w:spacing w:val="-10"/>
        </w:rPr>
        <w:t> </w:t>
      </w:r>
      <w:r>
        <w:rPr>
          <w:color w:val="231F20"/>
        </w:rPr>
        <w:t>crece</w:t>
      </w:r>
      <w:r>
        <w:rPr>
          <w:color w:val="231F20"/>
          <w:spacing w:val="-10"/>
        </w:rPr>
        <w:t> </w:t>
      </w:r>
      <w:r>
        <w:rPr>
          <w:color w:val="231F20"/>
        </w:rPr>
        <w:t>con</w:t>
      </w:r>
      <w:r>
        <w:rPr>
          <w:color w:val="231F20"/>
          <w:spacing w:val="-10"/>
        </w:rPr>
        <w:t> </w:t>
      </w:r>
      <w:r>
        <w:rPr>
          <w:color w:val="231F20"/>
        </w:rPr>
        <w:t>gran rapidez</w:t>
      </w:r>
      <w:r>
        <w:rPr>
          <w:color w:val="231F20"/>
          <w:spacing w:val="-9"/>
        </w:rPr>
        <w:t> </w:t>
      </w:r>
      <w:r>
        <w:rPr>
          <w:color w:val="231F20"/>
        </w:rPr>
        <w:t>y</w:t>
      </w:r>
      <w:r>
        <w:rPr>
          <w:color w:val="231F20"/>
          <w:spacing w:val="-9"/>
        </w:rPr>
        <w:t> </w:t>
      </w:r>
      <w:r>
        <w:rPr>
          <w:color w:val="231F20"/>
        </w:rPr>
        <w:t>en</w:t>
      </w:r>
      <w:r>
        <w:rPr>
          <w:color w:val="231F20"/>
          <w:spacing w:val="-9"/>
        </w:rPr>
        <w:t> </w:t>
      </w:r>
      <w:r>
        <w:rPr>
          <w:color w:val="231F20"/>
        </w:rPr>
        <w:t>muchos</w:t>
      </w:r>
      <w:r>
        <w:rPr>
          <w:color w:val="231F20"/>
          <w:spacing w:val="-10"/>
        </w:rPr>
        <w:t> </w:t>
      </w:r>
      <w:r>
        <w:rPr>
          <w:color w:val="231F20"/>
        </w:rPr>
        <w:t>países</w:t>
      </w:r>
      <w:r>
        <w:rPr>
          <w:color w:val="231F20"/>
          <w:spacing w:val="-9"/>
        </w:rPr>
        <w:t> </w:t>
      </w:r>
      <w:r>
        <w:rPr>
          <w:color w:val="231F20"/>
        </w:rPr>
        <w:t>está</w:t>
      </w:r>
      <w:r>
        <w:rPr>
          <w:color w:val="231F20"/>
          <w:spacing w:val="-9"/>
        </w:rPr>
        <w:t> </w:t>
      </w:r>
      <w:r>
        <w:rPr>
          <w:color w:val="231F20"/>
        </w:rPr>
        <w:t>catalogada</w:t>
      </w:r>
      <w:r>
        <w:rPr>
          <w:color w:val="231F20"/>
          <w:spacing w:val="-10"/>
        </w:rPr>
        <w:t> </w:t>
      </w:r>
      <w:r>
        <w:rPr>
          <w:color w:val="231F20"/>
        </w:rPr>
        <w:t>como</w:t>
      </w:r>
      <w:r>
        <w:rPr>
          <w:color w:val="231F20"/>
          <w:spacing w:val="-9"/>
        </w:rPr>
        <w:t> </w:t>
      </w:r>
      <w:r>
        <w:rPr>
          <w:color w:val="231F20"/>
        </w:rPr>
        <w:t>planta</w:t>
      </w:r>
      <w:r>
        <w:rPr>
          <w:color w:val="231F20"/>
          <w:spacing w:val="-9"/>
        </w:rPr>
        <w:t> </w:t>
      </w:r>
      <w:r>
        <w:rPr>
          <w:color w:val="231F20"/>
        </w:rPr>
        <w:t>invasiva</w:t>
      </w:r>
      <w:r>
        <w:rPr>
          <w:color w:val="231F20"/>
          <w:spacing w:val="-10"/>
        </w:rPr>
        <w:t> </w:t>
      </w:r>
      <w:r>
        <w:rPr>
          <w:color w:val="231F20"/>
        </w:rPr>
        <w:t>por</w:t>
      </w:r>
      <w:r>
        <w:rPr>
          <w:color w:val="231F20"/>
          <w:spacing w:val="-9"/>
        </w:rPr>
        <w:t> </w:t>
      </w:r>
      <w:r>
        <w:rPr>
          <w:color w:val="231F20"/>
        </w:rPr>
        <w:t>crecer</w:t>
      </w:r>
      <w:r>
        <w:rPr>
          <w:color w:val="231F20"/>
          <w:spacing w:val="-9"/>
        </w:rPr>
        <w:t> </w:t>
      </w:r>
      <w:r>
        <w:rPr>
          <w:color w:val="231F20"/>
        </w:rPr>
        <w:t>formando</w:t>
      </w:r>
      <w:r>
        <w:rPr>
          <w:color w:val="231F20"/>
          <w:spacing w:val="-9"/>
        </w:rPr>
        <w:t> </w:t>
      </w:r>
      <w:r>
        <w:rPr>
          <w:color w:val="231F20"/>
        </w:rPr>
        <w:t>grandes</w:t>
      </w:r>
      <w:r>
        <w:rPr>
          <w:color w:val="231F20"/>
          <w:spacing w:val="-9"/>
        </w:rPr>
        <w:t> </w:t>
      </w:r>
      <w:r>
        <w:rPr>
          <w:color w:val="231F20"/>
        </w:rPr>
        <w:t>masas que</w:t>
      </w:r>
      <w:r>
        <w:rPr>
          <w:color w:val="231F20"/>
          <w:spacing w:val="-12"/>
        </w:rPr>
        <w:t> </w:t>
      </w:r>
      <w:r>
        <w:rPr>
          <w:color w:val="231F20"/>
        </w:rPr>
        <w:t>alterar</w:t>
      </w:r>
      <w:r>
        <w:rPr>
          <w:color w:val="231F20"/>
          <w:spacing w:val="-12"/>
        </w:rPr>
        <w:t> </w:t>
      </w:r>
      <w:r>
        <w:rPr>
          <w:color w:val="231F20"/>
        </w:rPr>
        <w:t>seriamente</w:t>
      </w:r>
      <w:r>
        <w:rPr>
          <w:color w:val="231F20"/>
          <w:spacing w:val="-11"/>
        </w:rPr>
        <w:t> </w:t>
      </w:r>
      <w:r>
        <w:rPr>
          <w:color w:val="231F20"/>
        </w:rPr>
        <w:t>los</w:t>
      </w:r>
      <w:r>
        <w:rPr>
          <w:color w:val="231F20"/>
          <w:spacing w:val="-12"/>
        </w:rPr>
        <w:t> </w:t>
      </w:r>
      <w:r>
        <w:rPr>
          <w:color w:val="231F20"/>
        </w:rPr>
        <w:t>ecosistemas</w:t>
      </w:r>
      <w:r>
        <w:rPr>
          <w:color w:val="231F20"/>
          <w:spacing w:val="-12"/>
        </w:rPr>
        <w:t> </w:t>
      </w:r>
      <w:r>
        <w:rPr>
          <w:color w:val="231F20"/>
        </w:rPr>
        <w:t>de</w:t>
      </w:r>
      <w:r>
        <w:rPr>
          <w:color w:val="231F20"/>
          <w:spacing w:val="-12"/>
        </w:rPr>
        <w:t> </w:t>
      </w:r>
      <w:r>
        <w:rPr>
          <w:color w:val="231F20"/>
        </w:rPr>
        <w:t>lagos</w:t>
      </w:r>
      <w:r>
        <w:rPr>
          <w:color w:val="231F20"/>
          <w:spacing w:val="-12"/>
        </w:rPr>
        <w:t> </w:t>
      </w:r>
      <w:r>
        <w:rPr>
          <w:color w:val="231F20"/>
        </w:rPr>
        <w:t>y</w:t>
      </w:r>
      <w:r>
        <w:rPr>
          <w:color w:val="231F20"/>
          <w:spacing w:val="-12"/>
        </w:rPr>
        <w:t> </w:t>
      </w:r>
      <w:r>
        <w:rPr>
          <w:color w:val="231F20"/>
        </w:rPr>
        <w:t>ríos.</w:t>
      </w:r>
      <w:r>
        <w:rPr>
          <w:color w:val="231F20"/>
          <w:spacing w:val="-12"/>
        </w:rPr>
        <w:t> </w:t>
      </w:r>
      <w:r>
        <w:rPr>
          <w:color w:val="231F20"/>
        </w:rPr>
        <w:t>Puede</w:t>
      </w:r>
      <w:r>
        <w:rPr>
          <w:color w:val="231F20"/>
          <w:spacing w:val="-11"/>
        </w:rPr>
        <w:t> </w:t>
      </w:r>
      <w:r>
        <w:rPr>
          <w:color w:val="231F20"/>
        </w:rPr>
        <w:t>crecer</w:t>
      </w:r>
      <w:r>
        <w:rPr>
          <w:color w:val="231F20"/>
          <w:spacing w:val="-12"/>
        </w:rPr>
        <w:t> </w:t>
      </w:r>
      <w:r>
        <w:rPr>
          <w:color w:val="231F20"/>
        </w:rPr>
        <w:t>en</w:t>
      </w:r>
      <w:r>
        <w:rPr>
          <w:color w:val="231F20"/>
          <w:spacing w:val="-12"/>
        </w:rPr>
        <w:t> </w:t>
      </w:r>
      <w:r>
        <w:rPr>
          <w:color w:val="231F20"/>
        </w:rPr>
        <w:t>rangos</w:t>
      </w:r>
      <w:r>
        <w:rPr>
          <w:color w:val="231F20"/>
          <w:spacing w:val="-12"/>
        </w:rPr>
        <w:t> </w:t>
      </w:r>
      <w:r>
        <w:rPr>
          <w:color w:val="231F20"/>
        </w:rPr>
        <w:t>de</w:t>
      </w:r>
      <w:r>
        <w:rPr>
          <w:color w:val="231F20"/>
          <w:spacing w:val="-12"/>
        </w:rPr>
        <w:t> </w:t>
      </w:r>
      <w:r>
        <w:rPr>
          <w:color w:val="231F20"/>
        </w:rPr>
        <w:t>temperatura</w:t>
      </w:r>
      <w:r>
        <w:rPr>
          <w:color w:val="231F20"/>
          <w:spacing w:val="-12"/>
        </w:rPr>
        <w:t> </w:t>
      </w:r>
      <w:r>
        <w:rPr>
          <w:color w:val="231F20"/>
        </w:rPr>
        <w:t>que</w:t>
      </w:r>
      <w:r>
        <w:rPr>
          <w:color w:val="231F20"/>
          <w:spacing w:val="-12"/>
        </w:rPr>
        <w:t> </w:t>
      </w:r>
      <w:r>
        <w:rPr>
          <w:color w:val="231F20"/>
        </w:rPr>
        <w:t>van desde los 10º c hasta los 30ºc y puede tolerar concentraciones de Ph de 5.0 hasta</w:t>
      </w:r>
      <w:r>
        <w:rPr>
          <w:color w:val="231F20"/>
          <w:spacing w:val="-5"/>
        </w:rPr>
        <w:t> </w:t>
      </w:r>
      <w:r>
        <w:rPr>
          <w:color w:val="231F20"/>
        </w:rPr>
        <w:t>8.0.</w:t>
      </w:r>
    </w:p>
    <w:p>
      <w:pPr>
        <w:pStyle w:val="BodyText"/>
        <w:spacing w:before="10"/>
      </w:pPr>
    </w:p>
    <w:p>
      <w:pPr>
        <w:pStyle w:val="Heading5"/>
        <w:tabs>
          <w:tab w:pos="5590" w:val="left" w:leader="none"/>
        </w:tabs>
      </w:pPr>
      <w:r>
        <w:rPr/>
        <w:drawing>
          <wp:anchor distT="0" distB="0" distL="0" distR="0" allowOverlap="1" layoutInCell="1" locked="0" behindDoc="0" simplePos="0" relativeHeight="7024">
            <wp:simplePos x="0" y="0"/>
            <wp:positionH relativeFrom="page">
              <wp:posOffset>3200699</wp:posOffset>
            </wp:positionH>
            <wp:positionV relativeFrom="paragraph">
              <wp:posOffset>233223</wp:posOffset>
            </wp:positionV>
            <wp:extent cx="2929496" cy="2184699"/>
            <wp:effectExtent l="0" t="0" r="0" b="0"/>
            <wp:wrapNone/>
            <wp:docPr id="237" name="image100.jpeg" descr=""/>
            <wp:cNvGraphicFramePr>
              <a:graphicFrameLocks noChangeAspect="1"/>
            </wp:cNvGraphicFramePr>
            <a:graphic>
              <a:graphicData uri="http://schemas.openxmlformats.org/drawingml/2006/picture">
                <pic:pic>
                  <pic:nvPicPr>
                    <pic:cNvPr id="238" name="image100.jpeg"/>
                    <pic:cNvPicPr/>
                  </pic:nvPicPr>
                  <pic:blipFill>
                    <a:blip r:embed="rId154" cstate="print"/>
                    <a:stretch>
                      <a:fillRect/>
                    </a:stretch>
                  </pic:blipFill>
                  <pic:spPr>
                    <a:xfrm>
                      <a:off x="0" y="0"/>
                      <a:ext cx="2929496" cy="2184699"/>
                    </a:xfrm>
                    <a:prstGeom prst="rect">
                      <a:avLst/>
                    </a:prstGeom>
                  </pic:spPr>
                </pic:pic>
              </a:graphicData>
            </a:graphic>
          </wp:anchor>
        </w:drawing>
      </w:r>
      <w:r>
        <w:rPr>
          <w:color w:val="231F20"/>
        </w:rPr>
        <w:t>Características</w:t>
        <w:tab/>
        <w:t>Nombre Común: Cola de zorra o</w:t>
      </w:r>
      <w:r>
        <w:rPr>
          <w:color w:val="231F20"/>
          <w:spacing w:val="-18"/>
        </w:rPr>
        <w:t> </w:t>
      </w:r>
      <w:r>
        <w:rPr>
          <w:color w:val="231F20"/>
        </w:rPr>
        <w:t>milenrama</w:t>
      </w:r>
    </w:p>
    <w:p>
      <w:pPr>
        <w:pStyle w:val="BodyText"/>
        <w:rPr>
          <w:b/>
          <w:sz w:val="20"/>
        </w:rPr>
      </w:pPr>
    </w:p>
    <w:p>
      <w:pPr>
        <w:pStyle w:val="BodyText"/>
        <w:rPr>
          <w:b/>
          <w:sz w:val="20"/>
        </w:rPr>
      </w:pPr>
    </w:p>
    <w:p>
      <w:pPr>
        <w:pStyle w:val="BodyText"/>
        <w:spacing w:before="11"/>
        <w:rPr>
          <w:b/>
          <w:sz w:val="25"/>
        </w:rPr>
      </w:pPr>
    </w:p>
    <w:p>
      <w:pPr>
        <w:spacing w:line="247" w:lineRule="auto" w:before="0"/>
        <w:ind w:left="1270" w:right="7605" w:firstLine="0"/>
        <w:jc w:val="left"/>
        <w:rPr>
          <w:i/>
          <w:sz w:val="21"/>
        </w:rPr>
      </w:pPr>
      <w:r>
        <w:rPr>
          <w:b/>
          <w:color w:val="231F20"/>
          <w:sz w:val="21"/>
        </w:rPr>
        <w:t>Reino</w:t>
      </w:r>
      <w:r>
        <w:rPr>
          <w:color w:val="231F20"/>
          <w:sz w:val="21"/>
        </w:rPr>
        <w:t>: Plantae </w:t>
      </w:r>
      <w:r>
        <w:rPr>
          <w:b/>
          <w:color w:val="231F20"/>
          <w:sz w:val="21"/>
        </w:rPr>
        <w:t>Division</w:t>
      </w:r>
      <w:r>
        <w:rPr>
          <w:color w:val="231F20"/>
          <w:sz w:val="21"/>
        </w:rPr>
        <w:t>: Magnoliphyta </w:t>
      </w:r>
      <w:r>
        <w:rPr>
          <w:b/>
          <w:color w:val="231F20"/>
          <w:sz w:val="21"/>
        </w:rPr>
        <w:t>Clase</w:t>
      </w:r>
      <w:r>
        <w:rPr>
          <w:color w:val="231F20"/>
          <w:sz w:val="21"/>
        </w:rPr>
        <w:t>: Magnoliopsida </w:t>
      </w:r>
      <w:r>
        <w:rPr>
          <w:b/>
          <w:color w:val="231F20"/>
          <w:sz w:val="21"/>
        </w:rPr>
        <w:t>Orden</w:t>
      </w:r>
      <w:r>
        <w:rPr>
          <w:color w:val="231F20"/>
          <w:sz w:val="21"/>
        </w:rPr>
        <w:t>: Saxifragales </w:t>
      </w:r>
      <w:r>
        <w:rPr>
          <w:b/>
          <w:color w:val="231F20"/>
          <w:sz w:val="21"/>
        </w:rPr>
        <w:t>Familia</w:t>
      </w:r>
      <w:r>
        <w:rPr>
          <w:color w:val="231F20"/>
          <w:sz w:val="21"/>
        </w:rPr>
        <w:t>: Haloragaceae </w:t>
      </w:r>
      <w:r>
        <w:rPr>
          <w:b/>
          <w:color w:val="231F20"/>
          <w:sz w:val="21"/>
        </w:rPr>
        <w:t>Género</w:t>
      </w:r>
      <w:r>
        <w:rPr>
          <w:color w:val="231F20"/>
          <w:sz w:val="21"/>
        </w:rPr>
        <w:t>: </w:t>
      </w:r>
      <w:r>
        <w:rPr>
          <w:i/>
          <w:color w:val="231F20"/>
          <w:sz w:val="21"/>
        </w:rPr>
        <w:t>Myriophyllum </w:t>
      </w:r>
      <w:r>
        <w:rPr>
          <w:b/>
          <w:color w:val="231F20"/>
          <w:sz w:val="21"/>
        </w:rPr>
        <w:t>Especie</w:t>
      </w:r>
      <w:r>
        <w:rPr>
          <w:color w:val="231F20"/>
          <w:sz w:val="21"/>
        </w:rPr>
        <w:t>: </w:t>
      </w:r>
      <w:r>
        <w:rPr>
          <w:i/>
          <w:color w:val="231F20"/>
          <w:sz w:val="21"/>
        </w:rPr>
        <w:t>Aquaticum</w:t>
      </w:r>
    </w:p>
    <w:p>
      <w:pPr>
        <w:pStyle w:val="BodyText"/>
        <w:rPr>
          <w:i/>
          <w:sz w:val="20"/>
        </w:rPr>
      </w:pPr>
    </w:p>
    <w:p>
      <w:pPr>
        <w:pStyle w:val="BodyText"/>
        <w:spacing w:before="2"/>
        <w:rPr>
          <w:i/>
          <w:sz w:val="19"/>
        </w:rPr>
      </w:pPr>
    </w:p>
    <w:p>
      <w:pPr>
        <w:spacing w:line="249" w:lineRule="auto" w:before="0"/>
        <w:ind w:left="2459" w:right="6104" w:hanging="274"/>
        <w:jc w:val="both"/>
        <w:rPr>
          <w:b/>
          <w:sz w:val="18"/>
        </w:rPr>
      </w:pPr>
      <w:r>
        <w:rPr>
          <w:b/>
          <w:color w:val="010202"/>
          <w:sz w:val="18"/>
        </w:rPr>
        <w:t>Figura</w:t>
      </w:r>
      <w:r>
        <w:rPr>
          <w:b/>
          <w:color w:val="010202"/>
          <w:spacing w:val="-20"/>
          <w:sz w:val="18"/>
        </w:rPr>
        <w:t> </w:t>
      </w:r>
      <w:r>
        <w:rPr>
          <w:b/>
          <w:color w:val="010202"/>
          <w:sz w:val="18"/>
        </w:rPr>
        <w:t>1.</w:t>
      </w:r>
      <w:r>
        <w:rPr>
          <w:b/>
          <w:color w:val="010202"/>
          <w:spacing w:val="-20"/>
          <w:sz w:val="18"/>
        </w:rPr>
        <w:t> </w:t>
      </w:r>
      <w:r>
        <w:rPr>
          <w:b/>
          <w:i/>
          <w:color w:val="010202"/>
          <w:sz w:val="18"/>
        </w:rPr>
        <w:t>Myriophyllum</w:t>
      </w:r>
      <w:r>
        <w:rPr>
          <w:b/>
          <w:i/>
          <w:color w:val="010202"/>
          <w:spacing w:val="-20"/>
          <w:sz w:val="18"/>
        </w:rPr>
        <w:t> </w:t>
      </w:r>
      <w:r>
        <w:rPr>
          <w:b/>
          <w:i/>
          <w:color w:val="010202"/>
          <w:sz w:val="18"/>
        </w:rPr>
        <w:t>aquaticum</w:t>
      </w:r>
      <w:r>
        <w:rPr>
          <w:b/>
          <w:color w:val="010202"/>
          <w:sz w:val="18"/>
        </w:rPr>
        <w:t>, en estanque del </w:t>
      </w:r>
      <w:r>
        <w:rPr>
          <w:b/>
          <w:color w:val="010202"/>
          <w:spacing w:val="-3"/>
          <w:sz w:val="18"/>
        </w:rPr>
        <w:t>Invernadero</w:t>
      </w:r>
      <w:r>
        <w:rPr>
          <w:b/>
          <w:color w:val="010202"/>
          <w:spacing w:val="-30"/>
          <w:sz w:val="18"/>
        </w:rPr>
        <w:t> </w:t>
      </w:r>
      <w:r>
        <w:rPr>
          <w:b/>
          <w:color w:val="010202"/>
          <w:sz w:val="18"/>
        </w:rPr>
        <w:t>de especies </w:t>
      </w:r>
      <w:r>
        <w:rPr>
          <w:b/>
          <w:color w:val="010202"/>
          <w:spacing w:val="-3"/>
          <w:sz w:val="18"/>
        </w:rPr>
        <w:t>tropicales </w:t>
      </w:r>
      <w:r>
        <w:rPr>
          <w:b/>
          <w:color w:val="010202"/>
          <w:sz w:val="18"/>
        </w:rPr>
        <w:t>de la</w:t>
      </w:r>
      <w:r>
        <w:rPr>
          <w:b/>
          <w:color w:val="010202"/>
          <w:spacing w:val="-33"/>
          <w:sz w:val="18"/>
        </w:rPr>
        <w:t> </w:t>
      </w:r>
      <w:r>
        <w:rPr>
          <w:b/>
          <w:color w:val="010202"/>
          <w:sz w:val="18"/>
        </w:rPr>
        <w:t>UACh.</w:t>
      </w:r>
    </w:p>
    <w:p>
      <w:pPr>
        <w:spacing w:after="0" w:line="249" w:lineRule="auto"/>
        <w:jc w:val="both"/>
        <w:rPr>
          <w:sz w:val="18"/>
        </w:rPr>
        <w:sectPr>
          <w:pgSz w:w="10920" w:h="13080"/>
          <w:pgMar w:header="0" w:footer="1025" w:top="420" w:bottom="1220" w:left="0" w:right="0"/>
        </w:sectPr>
      </w:pPr>
    </w:p>
    <w:p>
      <w:pPr>
        <w:pStyle w:val="BodyText"/>
        <w:rPr>
          <w:b/>
          <w:sz w:val="20"/>
        </w:rPr>
      </w:pPr>
    </w:p>
    <w:p>
      <w:pPr>
        <w:pStyle w:val="BodyText"/>
        <w:rPr>
          <w:b/>
          <w:sz w:val="20"/>
        </w:rPr>
      </w:pPr>
    </w:p>
    <w:p>
      <w:pPr>
        <w:pStyle w:val="BodyText"/>
        <w:rPr>
          <w:b/>
          <w:sz w:val="23"/>
        </w:rPr>
      </w:pPr>
    </w:p>
    <w:p>
      <w:pPr>
        <w:pStyle w:val="BodyText"/>
        <w:spacing w:line="247" w:lineRule="auto" w:before="73"/>
        <w:ind w:left="1270" w:right="1267"/>
        <w:jc w:val="both"/>
      </w:pPr>
      <w:r>
        <w:rPr>
          <w:color w:val="231F20"/>
        </w:rPr>
        <w:t>Problemática. La proliferación de esta planta en los cuerpos de agua, así como de las cuencas alre- dedor de éstos, provoca graves problemas de índole económica, ecológica y de salud. Dentro de los problemas económicos se puede citar la pérdida de agua por evapotranspiración, azolvamiento pre- maturo</w:t>
      </w:r>
      <w:r>
        <w:rPr>
          <w:color w:val="231F20"/>
          <w:spacing w:val="-8"/>
        </w:rPr>
        <w:t> </w:t>
      </w:r>
      <w:r>
        <w:rPr>
          <w:color w:val="231F20"/>
        </w:rPr>
        <w:t>de</w:t>
      </w:r>
      <w:r>
        <w:rPr>
          <w:color w:val="231F20"/>
          <w:spacing w:val="-8"/>
        </w:rPr>
        <w:t> </w:t>
      </w:r>
      <w:r>
        <w:rPr>
          <w:color w:val="231F20"/>
        </w:rPr>
        <w:t>embalses,</w:t>
      </w:r>
      <w:r>
        <w:rPr>
          <w:color w:val="231F20"/>
          <w:spacing w:val="-8"/>
        </w:rPr>
        <w:t> </w:t>
      </w:r>
      <w:r>
        <w:rPr>
          <w:color w:val="231F20"/>
        </w:rPr>
        <w:t>limitación</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actividad</w:t>
      </w:r>
      <w:r>
        <w:rPr>
          <w:color w:val="231F20"/>
          <w:spacing w:val="-8"/>
        </w:rPr>
        <w:t> </w:t>
      </w:r>
      <w:r>
        <w:rPr>
          <w:color w:val="231F20"/>
        </w:rPr>
        <w:t>pesquera</w:t>
      </w:r>
      <w:r>
        <w:rPr>
          <w:color w:val="231F20"/>
          <w:spacing w:val="-8"/>
        </w:rPr>
        <w:t> </w:t>
      </w:r>
      <w:r>
        <w:rPr>
          <w:color w:val="231F20"/>
        </w:rPr>
        <w:t>y</w:t>
      </w:r>
      <w:r>
        <w:rPr>
          <w:color w:val="231F20"/>
          <w:spacing w:val="-8"/>
        </w:rPr>
        <w:t> </w:t>
      </w:r>
      <w:r>
        <w:rPr>
          <w:color w:val="231F20"/>
        </w:rPr>
        <w:t>recreativa,</w:t>
      </w:r>
      <w:r>
        <w:rPr>
          <w:color w:val="231F20"/>
          <w:spacing w:val="-7"/>
        </w:rPr>
        <w:t> </w:t>
      </w:r>
      <w:r>
        <w:rPr>
          <w:color w:val="231F20"/>
        </w:rPr>
        <w:t>obstrucción</w:t>
      </w:r>
      <w:r>
        <w:rPr>
          <w:color w:val="231F20"/>
          <w:spacing w:val="-8"/>
        </w:rPr>
        <w:t> </w:t>
      </w:r>
      <w:r>
        <w:rPr>
          <w:color w:val="231F20"/>
        </w:rPr>
        <w:t>de</w:t>
      </w:r>
      <w:r>
        <w:rPr>
          <w:color w:val="231F20"/>
          <w:spacing w:val="-8"/>
        </w:rPr>
        <w:t> </w:t>
      </w:r>
      <w:r>
        <w:rPr>
          <w:color w:val="231F20"/>
        </w:rPr>
        <w:t>canales</w:t>
      </w:r>
      <w:r>
        <w:rPr>
          <w:color w:val="231F20"/>
          <w:spacing w:val="-8"/>
        </w:rPr>
        <w:t> </w:t>
      </w:r>
      <w:r>
        <w:rPr>
          <w:color w:val="231F20"/>
        </w:rPr>
        <w:t>de</w:t>
      </w:r>
      <w:r>
        <w:rPr>
          <w:color w:val="231F20"/>
          <w:spacing w:val="-8"/>
        </w:rPr>
        <w:t> </w:t>
      </w:r>
      <w:r>
        <w:rPr>
          <w:color w:val="231F20"/>
        </w:rPr>
        <w:t>riego y operación de obras hidráulicas. Dentro de los problemas ecológicos, la acumulación en grandes cantidades</w:t>
      </w:r>
      <w:r>
        <w:rPr>
          <w:color w:val="231F20"/>
          <w:spacing w:val="-8"/>
        </w:rPr>
        <w:t> </w:t>
      </w:r>
      <w:r>
        <w:rPr>
          <w:color w:val="231F20"/>
        </w:rPr>
        <w:t>de</w:t>
      </w:r>
      <w:r>
        <w:rPr>
          <w:color w:val="231F20"/>
          <w:spacing w:val="-7"/>
        </w:rPr>
        <w:t> </w:t>
      </w:r>
      <w:r>
        <w:rPr>
          <w:color w:val="231F20"/>
        </w:rPr>
        <w:t>esta</w:t>
      </w:r>
      <w:r>
        <w:rPr>
          <w:color w:val="231F20"/>
          <w:spacing w:val="-7"/>
        </w:rPr>
        <w:t> </w:t>
      </w:r>
      <w:r>
        <w:rPr>
          <w:color w:val="231F20"/>
        </w:rPr>
        <w:t>maleza</w:t>
      </w:r>
      <w:r>
        <w:rPr>
          <w:color w:val="231F20"/>
          <w:spacing w:val="-7"/>
        </w:rPr>
        <w:t> </w:t>
      </w:r>
      <w:r>
        <w:rPr>
          <w:color w:val="231F20"/>
        </w:rPr>
        <w:t>provoca</w:t>
      </w:r>
      <w:r>
        <w:rPr>
          <w:color w:val="231F20"/>
          <w:spacing w:val="-7"/>
        </w:rPr>
        <w:t> </w:t>
      </w:r>
      <w:r>
        <w:rPr>
          <w:color w:val="231F20"/>
        </w:rPr>
        <w:t>el</w:t>
      </w:r>
      <w:r>
        <w:rPr>
          <w:color w:val="231F20"/>
          <w:spacing w:val="-7"/>
        </w:rPr>
        <w:t> </w:t>
      </w:r>
      <w:r>
        <w:rPr>
          <w:color w:val="231F20"/>
        </w:rPr>
        <w:t>estancamiento</w:t>
      </w:r>
      <w:r>
        <w:rPr>
          <w:color w:val="231F20"/>
          <w:spacing w:val="-8"/>
        </w:rPr>
        <w:t> </w:t>
      </w:r>
      <w:r>
        <w:rPr>
          <w:color w:val="231F20"/>
        </w:rPr>
        <w:t>de</w:t>
      </w:r>
      <w:r>
        <w:rPr>
          <w:color w:val="231F20"/>
          <w:spacing w:val="-7"/>
        </w:rPr>
        <w:t> </w:t>
      </w:r>
      <w:r>
        <w:rPr>
          <w:color w:val="231F20"/>
        </w:rPr>
        <w:t>agua</w:t>
      </w:r>
      <w:r>
        <w:rPr>
          <w:color w:val="231F20"/>
          <w:spacing w:val="-7"/>
        </w:rPr>
        <w:t> </w:t>
      </w:r>
      <w:r>
        <w:rPr>
          <w:color w:val="231F20"/>
        </w:rPr>
        <w:t>disminuyendo</w:t>
      </w:r>
      <w:r>
        <w:rPr>
          <w:color w:val="231F20"/>
          <w:spacing w:val="-7"/>
        </w:rPr>
        <w:t> </w:t>
      </w:r>
      <w:r>
        <w:rPr>
          <w:color w:val="231F20"/>
        </w:rPr>
        <w:t>el</w:t>
      </w:r>
      <w:r>
        <w:rPr>
          <w:color w:val="231F20"/>
          <w:spacing w:val="-7"/>
        </w:rPr>
        <w:t> </w:t>
      </w:r>
      <w:r>
        <w:rPr>
          <w:color w:val="231F20"/>
        </w:rPr>
        <w:t>oxígeno</w:t>
      </w:r>
      <w:r>
        <w:rPr>
          <w:color w:val="231F20"/>
          <w:spacing w:val="-7"/>
        </w:rPr>
        <w:t> </w:t>
      </w:r>
      <w:r>
        <w:rPr>
          <w:color w:val="231F20"/>
        </w:rPr>
        <w:t>disuelto</w:t>
      </w:r>
      <w:r>
        <w:rPr>
          <w:color w:val="231F20"/>
          <w:spacing w:val="-7"/>
        </w:rPr>
        <w:t> y, </w:t>
      </w:r>
      <w:r>
        <w:rPr>
          <w:color w:val="231F20"/>
        </w:rPr>
        <w:t>por consiguiente, la muerte de especies acuáticas. Dentro de los problemas de salud, la proliferación de malezas acuáticas constituye al hábitat para el desarrollo de organismos vectores de enfermedades tales</w:t>
      </w:r>
      <w:r>
        <w:rPr>
          <w:color w:val="231F20"/>
          <w:spacing w:val="-13"/>
        </w:rPr>
        <w:t> </w:t>
      </w:r>
      <w:r>
        <w:rPr>
          <w:color w:val="231F20"/>
        </w:rPr>
        <w:t>como</w:t>
      </w:r>
      <w:r>
        <w:rPr>
          <w:color w:val="231F20"/>
          <w:spacing w:val="-12"/>
        </w:rPr>
        <w:t> </w:t>
      </w:r>
      <w:r>
        <w:rPr>
          <w:color w:val="231F20"/>
        </w:rPr>
        <w:t>mosquitos</w:t>
      </w:r>
      <w:r>
        <w:rPr>
          <w:color w:val="231F20"/>
          <w:spacing w:val="-13"/>
        </w:rPr>
        <w:t> </w:t>
      </w:r>
      <w:r>
        <w:rPr>
          <w:color w:val="231F20"/>
        </w:rPr>
        <w:t>trasmisores</w:t>
      </w:r>
      <w:r>
        <w:rPr>
          <w:color w:val="231F20"/>
          <w:spacing w:val="-13"/>
        </w:rPr>
        <w:t> </w:t>
      </w:r>
      <w:r>
        <w:rPr>
          <w:color w:val="231F20"/>
        </w:rPr>
        <w:t>de</w:t>
      </w:r>
      <w:r>
        <w:rPr>
          <w:color w:val="231F20"/>
          <w:spacing w:val="-12"/>
        </w:rPr>
        <w:t> </w:t>
      </w:r>
      <w:r>
        <w:rPr>
          <w:color w:val="231F20"/>
        </w:rPr>
        <w:t>dengue</w:t>
      </w:r>
      <w:r>
        <w:rPr>
          <w:color w:val="231F20"/>
          <w:spacing w:val="-12"/>
        </w:rPr>
        <w:t> </w:t>
      </w:r>
      <w:r>
        <w:rPr>
          <w:color w:val="231F20"/>
        </w:rPr>
        <w:t>(</w:t>
      </w:r>
      <w:r>
        <w:rPr>
          <w:i/>
          <w:color w:val="231F20"/>
        </w:rPr>
        <w:t>Aedes</w:t>
      </w:r>
      <w:r>
        <w:rPr>
          <w:i/>
          <w:color w:val="231F20"/>
          <w:spacing w:val="-13"/>
        </w:rPr>
        <w:t> </w:t>
      </w:r>
      <w:r>
        <w:rPr>
          <w:i/>
          <w:color w:val="231F20"/>
        </w:rPr>
        <w:t>aegypti</w:t>
      </w:r>
      <w:r>
        <w:rPr>
          <w:color w:val="231F20"/>
        </w:rPr>
        <w:t>),</w:t>
      </w:r>
      <w:r>
        <w:rPr>
          <w:color w:val="231F20"/>
          <w:spacing w:val="-12"/>
        </w:rPr>
        <w:t> </w:t>
      </w:r>
      <w:r>
        <w:rPr>
          <w:color w:val="231F20"/>
        </w:rPr>
        <w:t>malaria</w:t>
      </w:r>
      <w:r>
        <w:rPr>
          <w:color w:val="231F20"/>
          <w:spacing w:val="-13"/>
        </w:rPr>
        <w:t> </w:t>
      </w:r>
      <w:r>
        <w:rPr>
          <w:color w:val="231F20"/>
        </w:rPr>
        <w:t>(</w:t>
      </w:r>
      <w:r>
        <w:rPr>
          <w:i/>
          <w:color w:val="231F20"/>
        </w:rPr>
        <w:t>Stephensis</w:t>
      </w:r>
      <w:r>
        <w:rPr>
          <w:i/>
          <w:color w:val="231F20"/>
          <w:spacing w:val="-12"/>
        </w:rPr>
        <w:t> </w:t>
      </w:r>
      <w:r>
        <w:rPr>
          <w:i/>
          <w:color w:val="231F20"/>
        </w:rPr>
        <w:t>malaria</w:t>
      </w:r>
      <w:r>
        <w:rPr>
          <w:color w:val="231F20"/>
        </w:rPr>
        <w:t>)</w:t>
      </w:r>
      <w:r>
        <w:rPr>
          <w:color w:val="231F20"/>
          <w:spacing w:val="-12"/>
        </w:rPr>
        <w:t> </w:t>
      </w:r>
      <w:r>
        <w:rPr>
          <w:color w:val="231F20"/>
        </w:rPr>
        <w:t>y</w:t>
      </w:r>
      <w:r>
        <w:rPr>
          <w:color w:val="231F20"/>
          <w:spacing w:val="-12"/>
        </w:rPr>
        <w:t> </w:t>
      </w:r>
      <w:r>
        <w:rPr>
          <w:color w:val="231F20"/>
        </w:rPr>
        <w:t>flariasis (</w:t>
      </w:r>
      <w:r>
        <w:rPr>
          <w:i/>
          <w:color w:val="231F20"/>
        </w:rPr>
        <w:t>Culex quinque fasciatus</w:t>
      </w:r>
      <w:r>
        <w:rPr>
          <w:color w:val="231F20"/>
        </w:rPr>
        <w:t>) o caracoles transmisores de Schistosoma</w:t>
      </w:r>
      <w:r>
        <w:rPr>
          <w:color w:val="231F20"/>
          <w:spacing w:val="-17"/>
        </w:rPr>
        <w:t> </w:t>
      </w:r>
      <w:r>
        <w:rPr>
          <w:color w:val="231F20"/>
        </w:rPr>
        <w:t>spp.</w:t>
      </w:r>
    </w:p>
    <w:p>
      <w:pPr>
        <w:pStyle w:val="BodyText"/>
        <w:spacing w:before="10"/>
      </w:pPr>
    </w:p>
    <w:p>
      <w:pPr>
        <w:pStyle w:val="BodyText"/>
        <w:spacing w:line="247" w:lineRule="auto"/>
        <w:ind w:left="1270" w:right="1267"/>
        <w:jc w:val="both"/>
      </w:pPr>
      <w:r>
        <w:rPr>
          <w:color w:val="231F20"/>
        </w:rPr>
        <w:t>Actualmente, el crecimiento de población ha orillado a la ganadería exige una mayor producción de alimentos</w:t>
      </w:r>
      <w:r>
        <w:rPr>
          <w:color w:val="231F20"/>
          <w:spacing w:val="-8"/>
        </w:rPr>
        <w:t> </w:t>
      </w:r>
      <w:r>
        <w:rPr>
          <w:color w:val="231F20"/>
        </w:rPr>
        <w:t>a</w:t>
      </w:r>
      <w:r>
        <w:rPr>
          <w:color w:val="231F20"/>
          <w:spacing w:val="-8"/>
        </w:rPr>
        <w:t> </w:t>
      </w:r>
      <w:r>
        <w:rPr>
          <w:color w:val="231F20"/>
        </w:rPr>
        <w:t>bajos</w:t>
      </w:r>
      <w:r>
        <w:rPr>
          <w:color w:val="231F20"/>
          <w:spacing w:val="-8"/>
        </w:rPr>
        <w:t> </w:t>
      </w:r>
      <w:r>
        <w:rPr>
          <w:color w:val="231F20"/>
        </w:rPr>
        <w:t>costos,</w:t>
      </w:r>
      <w:r>
        <w:rPr>
          <w:color w:val="231F20"/>
          <w:spacing w:val="-8"/>
        </w:rPr>
        <w:t> </w:t>
      </w:r>
      <w:r>
        <w:rPr>
          <w:color w:val="231F20"/>
        </w:rPr>
        <w:t>lo</w:t>
      </w:r>
      <w:r>
        <w:rPr>
          <w:color w:val="231F20"/>
          <w:spacing w:val="-8"/>
        </w:rPr>
        <w:t> </w:t>
      </w:r>
      <w:r>
        <w:rPr>
          <w:color w:val="231F20"/>
        </w:rPr>
        <w:t>que</w:t>
      </w:r>
      <w:r>
        <w:rPr>
          <w:color w:val="231F20"/>
          <w:spacing w:val="-8"/>
        </w:rPr>
        <w:t> </w:t>
      </w:r>
      <w:r>
        <w:rPr>
          <w:color w:val="231F20"/>
        </w:rPr>
        <w:t>ha</w:t>
      </w:r>
      <w:r>
        <w:rPr>
          <w:color w:val="231F20"/>
          <w:spacing w:val="-8"/>
        </w:rPr>
        <w:t> </w:t>
      </w:r>
      <w:r>
        <w:rPr>
          <w:color w:val="231F20"/>
        </w:rPr>
        <w:t>dejado</w:t>
      </w:r>
      <w:r>
        <w:rPr>
          <w:color w:val="231F20"/>
          <w:spacing w:val="-8"/>
        </w:rPr>
        <w:t> </w:t>
      </w:r>
      <w:r>
        <w:rPr>
          <w:color w:val="231F20"/>
        </w:rPr>
        <w:t>a</w:t>
      </w:r>
      <w:r>
        <w:rPr>
          <w:color w:val="231F20"/>
          <w:spacing w:val="-8"/>
        </w:rPr>
        <w:t> </w:t>
      </w:r>
      <w:r>
        <w:rPr>
          <w:color w:val="231F20"/>
        </w:rPr>
        <w:t>este</w:t>
      </w:r>
      <w:r>
        <w:rPr>
          <w:color w:val="231F20"/>
          <w:spacing w:val="-8"/>
        </w:rPr>
        <w:t> </w:t>
      </w:r>
      <w:r>
        <w:rPr>
          <w:color w:val="231F20"/>
        </w:rPr>
        <w:t>sistema</w:t>
      </w:r>
      <w:r>
        <w:rPr>
          <w:color w:val="231F20"/>
          <w:spacing w:val="-7"/>
        </w:rPr>
        <w:t> </w:t>
      </w:r>
      <w:r>
        <w:rPr>
          <w:color w:val="231F20"/>
        </w:rPr>
        <w:t>en</w:t>
      </w:r>
      <w:r>
        <w:rPr>
          <w:color w:val="231F20"/>
          <w:spacing w:val="-8"/>
        </w:rPr>
        <w:t> </w:t>
      </w:r>
      <w:r>
        <w:rPr>
          <w:color w:val="231F20"/>
        </w:rPr>
        <w:t>una</w:t>
      </w:r>
      <w:r>
        <w:rPr>
          <w:color w:val="231F20"/>
          <w:spacing w:val="-8"/>
        </w:rPr>
        <w:t> </w:t>
      </w:r>
      <w:r>
        <w:rPr>
          <w:color w:val="231F20"/>
        </w:rPr>
        <w:t>gran</w:t>
      </w:r>
      <w:r>
        <w:rPr>
          <w:color w:val="231F20"/>
          <w:spacing w:val="-8"/>
        </w:rPr>
        <w:t> </w:t>
      </w:r>
      <w:r>
        <w:rPr>
          <w:color w:val="231F20"/>
        </w:rPr>
        <w:t>desventaja;</w:t>
      </w:r>
      <w:r>
        <w:rPr>
          <w:color w:val="231F20"/>
          <w:spacing w:val="-8"/>
        </w:rPr>
        <w:t> </w:t>
      </w:r>
      <w:r>
        <w:rPr>
          <w:color w:val="231F20"/>
        </w:rPr>
        <w:t>ya</w:t>
      </w:r>
      <w:r>
        <w:rPr>
          <w:color w:val="231F20"/>
          <w:spacing w:val="-8"/>
        </w:rPr>
        <w:t> </w:t>
      </w:r>
      <w:r>
        <w:rPr>
          <w:color w:val="231F20"/>
        </w:rPr>
        <w:t>que</w:t>
      </w:r>
      <w:r>
        <w:rPr>
          <w:color w:val="231F20"/>
          <w:spacing w:val="-8"/>
        </w:rPr>
        <w:t> </w:t>
      </w:r>
      <w:r>
        <w:rPr>
          <w:color w:val="231F20"/>
        </w:rPr>
        <w:t>el</w:t>
      </w:r>
      <w:r>
        <w:rPr>
          <w:color w:val="231F20"/>
          <w:spacing w:val="-8"/>
        </w:rPr>
        <w:t> </w:t>
      </w:r>
      <w:r>
        <w:rPr>
          <w:color w:val="231F20"/>
        </w:rPr>
        <w:t>alza</w:t>
      </w:r>
      <w:r>
        <w:rPr>
          <w:color w:val="231F20"/>
          <w:spacing w:val="-8"/>
        </w:rPr>
        <w:t> </w:t>
      </w:r>
      <w:r>
        <w:rPr>
          <w:color w:val="231F20"/>
        </w:rPr>
        <w:t>de</w:t>
      </w:r>
      <w:r>
        <w:rPr>
          <w:color w:val="231F20"/>
          <w:spacing w:val="-8"/>
        </w:rPr>
        <w:t> </w:t>
      </w:r>
      <w:r>
        <w:rPr>
          <w:color w:val="231F20"/>
        </w:rPr>
        <w:t>los precios de los insumos convensionales. Por lo que es necesaria la búsqueda de nuevos insumos, que sean eficientes y disminuyan el costo de alimentación. Las malezas acuáticas al ser tan abundantes en la naturaleza y consideradas como dañinas, por sus tasas de crecimiento tan aceleradas; estas ca- racterísticas las catalogan como alternativas de alimentacion en los sistemas de producción animal, por lo que el objetivo de este trabajo es generar información sobre el posible aprovechamiento de </w:t>
      </w:r>
      <w:r>
        <w:rPr>
          <w:i/>
          <w:color w:val="231F20"/>
        </w:rPr>
        <w:t>Myriophyllium aquaticum </w:t>
      </w:r>
      <w:r>
        <w:rPr>
          <w:color w:val="231F20"/>
        </w:rPr>
        <w:t>con base en la determinación del su contenido</w:t>
      </w:r>
      <w:r>
        <w:rPr>
          <w:color w:val="231F20"/>
          <w:spacing w:val="-5"/>
        </w:rPr>
        <w:t> </w:t>
      </w:r>
      <w:r>
        <w:rPr>
          <w:color w:val="231F20"/>
        </w:rPr>
        <w:t>nutrimental.</w:t>
      </w:r>
    </w:p>
    <w:p>
      <w:pPr>
        <w:pStyle w:val="BodyText"/>
        <w:spacing w:before="10"/>
        <w:rPr>
          <w:sz w:val="22"/>
        </w:rPr>
      </w:pPr>
    </w:p>
    <w:p>
      <w:pPr>
        <w:pStyle w:val="Heading3"/>
      </w:pPr>
      <w:r>
        <w:rPr>
          <w:color w:val="010202"/>
        </w:rPr>
        <w:t>Materiales y métodos</w:t>
      </w:r>
    </w:p>
    <w:p>
      <w:pPr>
        <w:pStyle w:val="BodyText"/>
        <w:spacing w:before="10"/>
        <w:rPr>
          <w:b/>
        </w:rPr>
      </w:pPr>
    </w:p>
    <w:p>
      <w:pPr>
        <w:pStyle w:val="BodyText"/>
        <w:spacing w:line="247" w:lineRule="auto"/>
        <w:ind w:left="1270" w:right="1268"/>
        <w:jc w:val="both"/>
      </w:pPr>
      <w:r>
        <w:rPr>
          <w:color w:val="231F20"/>
        </w:rPr>
        <w:t>Material Biológico. Se recolectaron ejemplares completos de </w:t>
      </w:r>
      <w:r>
        <w:rPr>
          <w:i/>
          <w:color w:val="231F20"/>
        </w:rPr>
        <w:t>Myriophyllium aquaticum </w:t>
      </w:r>
      <w:r>
        <w:rPr>
          <w:color w:val="231F20"/>
        </w:rPr>
        <w:t>en el estan- que del Invernadero de Especies Tropicales, los que previamente fueron cultivados.</w:t>
      </w:r>
    </w:p>
    <w:p>
      <w:pPr>
        <w:pStyle w:val="BodyText"/>
        <w:spacing w:before="10"/>
      </w:pPr>
    </w:p>
    <w:p>
      <w:pPr>
        <w:pStyle w:val="BodyText"/>
        <w:spacing w:line="247" w:lineRule="auto"/>
        <w:ind w:left="1270" w:right="1267"/>
        <w:jc w:val="both"/>
      </w:pPr>
      <w:r>
        <w:rPr>
          <w:color w:val="231F20"/>
        </w:rPr>
        <w:t>Proceso de Secado. Se realizó de acuerdo con la técnica de Sosa de Pro (1979); se dejaron secar al sol</w:t>
      </w:r>
      <w:r>
        <w:rPr>
          <w:color w:val="231F20"/>
          <w:spacing w:val="-5"/>
        </w:rPr>
        <w:t> </w:t>
      </w:r>
      <w:r>
        <w:rPr>
          <w:color w:val="231F20"/>
        </w:rPr>
        <w:t>a</w:t>
      </w:r>
      <w:r>
        <w:rPr>
          <w:color w:val="231F20"/>
          <w:spacing w:val="-5"/>
        </w:rPr>
        <w:t> </w:t>
      </w:r>
      <w:r>
        <w:rPr>
          <w:color w:val="231F20"/>
        </w:rPr>
        <w:t>temperatura</w:t>
      </w:r>
      <w:r>
        <w:rPr>
          <w:color w:val="231F20"/>
          <w:spacing w:val="-5"/>
        </w:rPr>
        <w:t> </w:t>
      </w:r>
      <w:r>
        <w:rPr>
          <w:color w:val="231F20"/>
        </w:rPr>
        <w:t>ambiente</w:t>
      </w:r>
      <w:r>
        <w:rPr>
          <w:color w:val="231F20"/>
          <w:spacing w:val="-6"/>
        </w:rPr>
        <w:t> </w:t>
      </w:r>
      <w:r>
        <w:rPr>
          <w:color w:val="231F20"/>
        </w:rPr>
        <w:t>durante</w:t>
      </w:r>
      <w:r>
        <w:rPr>
          <w:color w:val="231F20"/>
          <w:spacing w:val="-5"/>
        </w:rPr>
        <w:t> </w:t>
      </w:r>
      <w:r>
        <w:rPr>
          <w:color w:val="231F20"/>
        </w:rPr>
        <w:t>24</w:t>
      </w:r>
      <w:r>
        <w:rPr>
          <w:color w:val="231F20"/>
          <w:spacing w:val="-5"/>
        </w:rPr>
        <w:t> </w:t>
      </w:r>
      <w:r>
        <w:rPr>
          <w:color w:val="231F20"/>
        </w:rPr>
        <w:t>h.,</w:t>
      </w:r>
      <w:r>
        <w:rPr>
          <w:color w:val="231F20"/>
          <w:spacing w:val="-5"/>
        </w:rPr>
        <w:t> </w:t>
      </w:r>
      <w:r>
        <w:rPr>
          <w:color w:val="231F20"/>
        </w:rPr>
        <w:t>posteriormente</w:t>
      </w:r>
      <w:r>
        <w:rPr>
          <w:color w:val="231F20"/>
          <w:spacing w:val="-5"/>
        </w:rPr>
        <w:t> </w:t>
      </w:r>
      <w:r>
        <w:rPr>
          <w:color w:val="231F20"/>
        </w:rPr>
        <w:t>se</w:t>
      </w:r>
      <w:r>
        <w:rPr>
          <w:color w:val="231F20"/>
          <w:spacing w:val="-5"/>
        </w:rPr>
        <w:t> </w:t>
      </w:r>
      <w:r>
        <w:rPr>
          <w:color w:val="231F20"/>
        </w:rPr>
        <w:t>depositaron</w:t>
      </w:r>
      <w:r>
        <w:rPr>
          <w:color w:val="231F20"/>
          <w:spacing w:val="-5"/>
        </w:rPr>
        <w:t> </w:t>
      </w:r>
      <w:r>
        <w:rPr>
          <w:color w:val="231F20"/>
        </w:rPr>
        <w:t>en</w:t>
      </w:r>
      <w:r>
        <w:rPr>
          <w:color w:val="231F20"/>
          <w:spacing w:val="-6"/>
        </w:rPr>
        <w:t> </w:t>
      </w:r>
      <w:r>
        <w:rPr>
          <w:color w:val="231F20"/>
        </w:rPr>
        <w:t>un</w:t>
      </w:r>
      <w:r>
        <w:rPr>
          <w:color w:val="231F20"/>
          <w:spacing w:val="-5"/>
        </w:rPr>
        <w:t> </w:t>
      </w:r>
      <w:r>
        <w:rPr>
          <w:color w:val="231F20"/>
        </w:rPr>
        <w:t>horno</w:t>
      </w:r>
      <w:r>
        <w:rPr>
          <w:color w:val="231F20"/>
          <w:spacing w:val="-5"/>
        </w:rPr>
        <w:t> </w:t>
      </w:r>
      <w:r>
        <w:rPr>
          <w:color w:val="231F20"/>
        </w:rPr>
        <w:t>marca</w:t>
      </w:r>
      <w:r>
        <w:rPr>
          <w:color w:val="231F20"/>
          <w:spacing w:val="-6"/>
        </w:rPr>
        <w:t> </w:t>
      </w:r>
      <w:r>
        <w:rPr>
          <w:color w:val="231F20"/>
        </w:rPr>
        <w:t>Binder</w:t>
      </w:r>
      <w:r>
        <w:rPr>
          <w:color w:val="231F20"/>
          <w:spacing w:val="-5"/>
        </w:rPr>
        <w:t> </w:t>
      </w:r>
      <w:r>
        <w:rPr>
          <w:color w:val="231F20"/>
        </w:rPr>
        <w:t>a 40°C</w:t>
      </w:r>
      <w:r>
        <w:rPr>
          <w:color w:val="231F20"/>
          <w:spacing w:val="-5"/>
        </w:rPr>
        <w:t> </w:t>
      </w:r>
      <w:r>
        <w:rPr>
          <w:color w:val="231F20"/>
        </w:rPr>
        <w:t>durante</w:t>
      </w:r>
      <w:r>
        <w:rPr>
          <w:color w:val="231F20"/>
          <w:spacing w:val="-5"/>
        </w:rPr>
        <w:t> </w:t>
      </w:r>
      <w:r>
        <w:rPr>
          <w:color w:val="231F20"/>
        </w:rPr>
        <w:t>12</w:t>
      </w:r>
      <w:r>
        <w:rPr>
          <w:color w:val="231F20"/>
          <w:spacing w:val="-5"/>
        </w:rPr>
        <w:t> </w:t>
      </w:r>
      <w:r>
        <w:rPr>
          <w:color w:val="231F20"/>
        </w:rPr>
        <w:t>h.,</w:t>
      </w:r>
      <w:r>
        <w:rPr>
          <w:color w:val="231F20"/>
          <w:spacing w:val="-5"/>
        </w:rPr>
        <w:t> </w:t>
      </w:r>
      <w:r>
        <w:rPr>
          <w:color w:val="231F20"/>
        </w:rPr>
        <w:t>se</w:t>
      </w:r>
      <w:r>
        <w:rPr>
          <w:color w:val="231F20"/>
          <w:spacing w:val="-5"/>
        </w:rPr>
        <w:t> </w:t>
      </w:r>
      <w:r>
        <w:rPr>
          <w:color w:val="231F20"/>
        </w:rPr>
        <w:t>retiraron</w:t>
      </w:r>
      <w:r>
        <w:rPr>
          <w:color w:val="231F20"/>
          <w:spacing w:val="-5"/>
        </w:rPr>
        <w:t> </w:t>
      </w:r>
      <w:r>
        <w:rPr>
          <w:color w:val="231F20"/>
        </w:rPr>
        <w:t>y</w:t>
      </w:r>
      <w:r>
        <w:rPr>
          <w:color w:val="231F20"/>
          <w:spacing w:val="-5"/>
        </w:rPr>
        <w:t> </w:t>
      </w:r>
      <w:r>
        <w:rPr>
          <w:color w:val="231F20"/>
        </w:rPr>
        <w:t>se</w:t>
      </w:r>
      <w:r>
        <w:rPr>
          <w:color w:val="231F20"/>
          <w:spacing w:val="-5"/>
        </w:rPr>
        <w:t> </w:t>
      </w:r>
      <w:r>
        <w:rPr>
          <w:color w:val="231F20"/>
        </w:rPr>
        <w:t>dejaron</w:t>
      </w:r>
      <w:r>
        <w:rPr>
          <w:color w:val="231F20"/>
          <w:spacing w:val="-5"/>
        </w:rPr>
        <w:t> </w:t>
      </w:r>
      <w:r>
        <w:rPr>
          <w:color w:val="231F20"/>
        </w:rPr>
        <w:t>30</w:t>
      </w:r>
      <w:r>
        <w:rPr>
          <w:color w:val="231F20"/>
          <w:spacing w:val="-5"/>
        </w:rPr>
        <w:t> </w:t>
      </w:r>
      <w:r>
        <w:rPr>
          <w:color w:val="231F20"/>
        </w:rPr>
        <w:t>minutos</w:t>
      </w:r>
      <w:r>
        <w:rPr>
          <w:color w:val="231F20"/>
          <w:spacing w:val="-5"/>
        </w:rPr>
        <w:t> </w:t>
      </w:r>
      <w:r>
        <w:rPr>
          <w:color w:val="231F20"/>
        </w:rPr>
        <w:t>a</w:t>
      </w:r>
      <w:r>
        <w:rPr>
          <w:color w:val="231F20"/>
          <w:spacing w:val="-5"/>
        </w:rPr>
        <w:t> </w:t>
      </w:r>
      <w:r>
        <w:rPr>
          <w:color w:val="231F20"/>
        </w:rPr>
        <w:t>temperatura</w:t>
      </w:r>
      <w:r>
        <w:rPr>
          <w:color w:val="231F20"/>
          <w:spacing w:val="-6"/>
        </w:rPr>
        <w:t> </w:t>
      </w:r>
      <w:r>
        <w:rPr>
          <w:color w:val="231F20"/>
        </w:rPr>
        <w:t>ambiente</w:t>
      </w:r>
      <w:r>
        <w:rPr>
          <w:color w:val="231F20"/>
          <w:spacing w:val="-6"/>
        </w:rPr>
        <w:t> </w:t>
      </w:r>
      <w:r>
        <w:rPr>
          <w:color w:val="231F20"/>
        </w:rPr>
        <w:t>para</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rehidra- taran</w:t>
      </w:r>
      <w:r>
        <w:rPr>
          <w:color w:val="231F20"/>
          <w:spacing w:val="-6"/>
        </w:rPr>
        <w:t> </w:t>
      </w:r>
      <w:r>
        <w:rPr>
          <w:color w:val="231F20"/>
        </w:rPr>
        <w:t>con</w:t>
      </w:r>
      <w:r>
        <w:rPr>
          <w:color w:val="231F20"/>
          <w:spacing w:val="-6"/>
        </w:rPr>
        <w:t> </w:t>
      </w:r>
      <w:r>
        <w:rPr>
          <w:color w:val="231F20"/>
        </w:rPr>
        <w:t>la</w:t>
      </w:r>
      <w:r>
        <w:rPr>
          <w:color w:val="231F20"/>
          <w:spacing w:val="-6"/>
        </w:rPr>
        <w:t> </w:t>
      </w:r>
      <w:r>
        <w:rPr>
          <w:color w:val="231F20"/>
        </w:rPr>
        <w:t>humedad</w:t>
      </w:r>
      <w:r>
        <w:rPr>
          <w:color w:val="231F20"/>
          <w:spacing w:val="-6"/>
        </w:rPr>
        <w:t> </w:t>
      </w:r>
      <w:r>
        <w:rPr>
          <w:color w:val="231F20"/>
        </w:rPr>
        <w:t>atmosférica.</w:t>
      </w:r>
      <w:r>
        <w:rPr>
          <w:color w:val="231F20"/>
          <w:spacing w:val="-7"/>
        </w:rPr>
        <w:t> </w:t>
      </w:r>
      <w:r>
        <w:rPr>
          <w:color w:val="231F20"/>
        </w:rPr>
        <w:t>En</w:t>
      </w:r>
      <w:r>
        <w:rPr>
          <w:color w:val="231F20"/>
          <w:spacing w:val="-6"/>
        </w:rPr>
        <w:t> </w:t>
      </w:r>
      <w:r>
        <w:rPr>
          <w:color w:val="231F20"/>
        </w:rPr>
        <w:t>seguida</w:t>
      </w:r>
      <w:r>
        <w:rPr>
          <w:color w:val="231F20"/>
          <w:spacing w:val="-6"/>
        </w:rPr>
        <w:t> </w:t>
      </w:r>
      <w:r>
        <w:rPr>
          <w:color w:val="231F20"/>
        </w:rPr>
        <w:t>se</w:t>
      </w:r>
      <w:r>
        <w:rPr>
          <w:color w:val="231F20"/>
          <w:spacing w:val="-6"/>
        </w:rPr>
        <w:t> </w:t>
      </w:r>
      <w:r>
        <w:rPr>
          <w:color w:val="231F20"/>
        </w:rPr>
        <w:t>procedió</w:t>
      </w:r>
      <w:r>
        <w:rPr>
          <w:color w:val="231F20"/>
          <w:spacing w:val="-6"/>
        </w:rPr>
        <w:t> </w:t>
      </w:r>
      <w:r>
        <w:rPr>
          <w:color w:val="231F20"/>
        </w:rPr>
        <w:t>a</w:t>
      </w:r>
      <w:r>
        <w:rPr>
          <w:color w:val="231F20"/>
          <w:spacing w:val="-6"/>
        </w:rPr>
        <w:t> </w:t>
      </w:r>
      <w:r>
        <w:rPr>
          <w:color w:val="231F20"/>
        </w:rPr>
        <w:t>moler</w:t>
      </w:r>
      <w:r>
        <w:rPr>
          <w:color w:val="231F20"/>
          <w:spacing w:val="-6"/>
        </w:rPr>
        <w:t> </w:t>
      </w:r>
      <w:r>
        <w:rPr>
          <w:color w:val="231F20"/>
        </w:rPr>
        <w:t>el</w:t>
      </w:r>
      <w:r>
        <w:rPr>
          <w:color w:val="231F20"/>
          <w:spacing w:val="-6"/>
        </w:rPr>
        <w:t> </w:t>
      </w:r>
      <w:r>
        <w:rPr>
          <w:color w:val="231F20"/>
        </w:rPr>
        <w:t>material</w:t>
      </w:r>
      <w:r>
        <w:rPr>
          <w:color w:val="231F20"/>
          <w:spacing w:val="-6"/>
        </w:rPr>
        <w:t> </w:t>
      </w:r>
      <w:r>
        <w:rPr>
          <w:color w:val="231F20"/>
        </w:rPr>
        <w:t>seco</w:t>
      </w:r>
      <w:r>
        <w:rPr>
          <w:color w:val="231F20"/>
          <w:spacing w:val="-6"/>
        </w:rPr>
        <w:t> </w:t>
      </w:r>
      <w:r>
        <w:rPr>
          <w:color w:val="231F20"/>
        </w:rPr>
        <w:t>con</w:t>
      </w:r>
      <w:r>
        <w:rPr>
          <w:color w:val="231F20"/>
          <w:spacing w:val="-6"/>
        </w:rPr>
        <w:t> </w:t>
      </w:r>
      <w:r>
        <w:rPr>
          <w:color w:val="231F20"/>
        </w:rPr>
        <w:t>un</w:t>
      </w:r>
      <w:r>
        <w:rPr>
          <w:color w:val="231F20"/>
          <w:spacing w:val="-6"/>
        </w:rPr>
        <w:t> </w:t>
      </w:r>
      <w:r>
        <w:rPr>
          <w:color w:val="231F20"/>
        </w:rPr>
        <w:t>molino</w:t>
      </w:r>
      <w:r>
        <w:rPr>
          <w:color w:val="231F20"/>
          <w:spacing w:val="-6"/>
        </w:rPr>
        <w:t> </w:t>
      </w:r>
      <w:r>
        <w:rPr>
          <w:color w:val="231F20"/>
        </w:rPr>
        <w:t>de martillos y se tomó una muestra representativa de aproximadamente 100</w:t>
      </w:r>
      <w:r>
        <w:rPr>
          <w:color w:val="231F20"/>
          <w:spacing w:val="-5"/>
        </w:rPr>
        <w:t> </w:t>
      </w:r>
      <w:r>
        <w:rPr>
          <w:color w:val="231F20"/>
        </w:rPr>
        <w:t>g.</w:t>
      </w:r>
    </w:p>
    <w:p>
      <w:pPr>
        <w:pStyle w:val="BodyText"/>
        <w:spacing w:before="10"/>
      </w:pPr>
    </w:p>
    <w:p>
      <w:pPr>
        <w:pStyle w:val="BodyText"/>
        <w:ind w:left="1270"/>
        <w:jc w:val="both"/>
      </w:pPr>
      <w:r>
        <w:rPr>
          <w:color w:val="231F20"/>
        </w:rPr>
        <w:t>Análisis Proximal. Este consistió en la determinación de los siguientes parámetros (Sosa de Pro, 1979):</w:t>
      </w:r>
    </w:p>
    <w:p>
      <w:pPr>
        <w:pStyle w:val="ListParagraph"/>
        <w:numPr>
          <w:ilvl w:val="1"/>
          <w:numId w:val="13"/>
        </w:numPr>
        <w:tabs>
          <w:tab w:pos="1970" w:val="left" w:leader="none"/>
          <w:tab w:pos="1971" w:val="left" w:leader="none"/>
        </w:tabs>
        <w:spacing w:line="240" w:lineRule="auto" w:before="8" w:after="0"/>
        <w:ind w:left="1970" w:right="0" w:hanging="280"/>
        <w:jc w:val="left"/>
        <w:rPr>
          <w:sz w:val="21"/>
        </w:rPr>
      </w:pPr>
      <w:r>
        <w:rPr>
          <w:color w:val="231F20"/>
          <w:sz w:val="21"/>
        </w:rPr>
        <w:t>Determinación de humedad – Cantidad de agua presente en la planta y por consiguiente </w:t>
      </w:r>
      <w:r>
        <w:rPr>
          <w:color w:val="231F20"/>
          <w:spacing w:val="46"/>
          <w:sz w:val="21"/>
        </w:rPr>
        <w:t> </w:t>
      </w:r>
      <w:r>
        <w:rPr>
          <w:color w:val="231F20"/>
          <w:sz w:val="21"/>
        </w:rPr>
        <w:t>la</w:t>
      </w:r>
    </w:p>
    <w:p>
      <w:pPr>
        <w:pStyle w:val="BodyText"/>
        <w:spacing w:before="8"/>
        <w:ind w:left="1970" w:right="5337"/>
      </w:pPr>
      <w:r>
        <w:rPr>
          <w:color w:val="231F20"/>
        </w:rPr>
        <w:t>cantidad de materia seca que contiene.</w:t>
      </w:r>
    </w:p>
    <w:p>
      <w:pPr>
        <w:pStyle w:val="ListParagraph"/>
        <w:numPr>
          <w:ilvl w:val="1"/>
          <w:numId w:val="13"/>
        </w:numPr>
        <w:tabs>
          <w:tab w:pos="1971" w:val="left" w:leader="none"/>
        </w:tabs>
        <w:spacing w:line="247" w:lineRule="auto" w:before="8" w:after="0"/>
        <w:ind w:left="1970" w:right="1268" w:hanging="280"/>
        <w:jc w:val="both"/>
        <w:rPr>
          <w:sz w:val="21"/>
        </w:rPr>
      </w:pPr>
      <w:r>
        <w:rPr>
          <w:color w:val="231F20"/>
          <w:sz w:val="21"/>
        </w:rPr>
        <w:t>Determinación de extracto etéreo (EE) – Comprende a los lípidos presentes así como molé- culas solubles en compuestos orgánicos poco polares como vitaminas liposolubles y cloro- plastos.</w:t>
      </w:r>
    </w:p>
    <w:p>
      <w:pPr>
        <w:pStyle w:val="ListParagraph"/>
        <w:numPr>
          <w:ilvl w:val="1"/>
          <w:numId w:val="13"/>
        </w:numPr>
        <w:tabs>
          <w:tab w:pos="1971" w:val="left" w:leader="none"/>
        </w:tabs>
        <w:spacing w:line="247" w:lineRule="auto" w:before="1" w:after="0"/>
        <w:ind w:left="1970" w:right="1268" w:hanging="280"/>
        <w:jc w:val="both"/>
        <w:rPr>
          <w:sz w:val="21"/>
        </w:rPr>
      </w:pPr>
      <w:r>
        <w:rPr>
          <w:color w:val="231F20"/>
          <w:sz w:val="21"/>
        </w:rPr>
        <w:t>Fibra cruda (FC) – Comprende la Parte de carbohidratos estructurales y lignina principal- mente.</w:t>
      </w:r>
    </w:p>
    <w:p>
      <w:pPr>
        <w:pStyle w:val="ListParagraph"/>
        <w:numPr>
          <w:ilvl w:val="1"/>
          <w:numId w:val="13"/>
        </w:numPr>
        <w:tabs>
          <w:tab w:pos="1971" w:val="left" w:leader="none"/>
        </w:tabs>
        <w:spacing w:line="247" w:lineRule="auto" w:before="1" w:after="0"/>
        <w:ind w:left="1970" w:right="1268" w:hanging="280"/>
        <w:jc w:val="both"/>
        <w:rPr>
          <w:sz w:val="21"/>
        </w:rPr>
      </w:pPr>
      <w:r>
        <w:rPr>
          <w:color w:val="231F20"/>
          <w:sz w:val="21"/>
        </w:rPr>
        <w:t>Proteína</w:t>
      </w:r>
      <w:r>
        <w:rPr>
          <w:color w:val="231F20"/>
          <w:spacing w:val="-4"/>
          <w:sz w:val="21"/>
        </w:rPr>
        <w:t> </w:t>
      </w:r>
      <w:r>
        <w:rPr>
          <w:color w:val="231F20"/>
          <w:sz w:val="21"/>
        </w:rPr>
        <w:t>cruda</w:t>
      </w:r>
      <w:r>
        <w:rPr>
          <w:color w:val="231F20"/>
          <w:spacing w:val="-4"/>
          <w:sz w:val="21"/>
        </w:rPr>
        <w:t> </w:t>
      </w:r>
      <w:r>
        <w:rPr>
          <w:color w:val="231F20"/>
          <w:sz w:val="21"/>
        </w:rPr>
        <w:t>(PC)</w:t>
      </w:r>
      <w:r>
        <w:rPr>
          <w:color w:val="231F20"/>
          <w:spacing w:val="-4"/>
          <w:sz w:val="21"/>
        </w:rPr>
        <w:t> </w:t>
      </w:r>
      <w:r>
        <w:rPr>
          <w:color w:val="231F20"/>
          <w:sz w:val="21"/>
        </w:rPr>
        <w:t>–</w:t>
      </w:r>
      <w:r>
        <w:rPr>
          <w:color w:val="231F20"/>
          <w:spacing w:val="-4"/>
          <w:sz w:val="21"/>
        </w:rPr>
        <w:t> </w:t>
      </w:r>
      <w:r>
        <w:rPr>
          <w:color w:val="231F20"/>
          <w:sz w:val="21"/>
        </w:rPr>
        <w:t>Comprende</w:t>
      </w:r>
      <w:r>
        <w:rPr>
          <w:color w:val="231F20"/>
          <w:spacing w:val="-4"/>
          <w:sz w:val="21"/>
        </w:rPr>
        <w:t> </w:t>
      </w:r>
      <w:r>
        <w:rPr>
          <w:color w:val="231F20"/>
          <w:sz w:val="21"/>
        </w:rPr>
        <w:t>un</w:t>
      </w:r>
      <w:r>
        <w:rPr>
          <w:color w:val="231F20"/>
          <w:spacing w:val="-4"/>
          <w:sz w:val="21"/>
        </w:rPr>
        <w:t> </w:t>
      </w:r>
      <w:r>
        <w:rPr>
          <w:color w:val="231F20"/>
          <w:sz w:val="21"/>
        </w:rPr>
        <w:t>cálculo</w:t>
      </w:r>
      <w:r>
        <w:rPr>
          <w:color w:val="231F20"/>
          <w:spacing w:val="-4"/>
          <w:sz w:val="21"/>
        </w:rPr>
        <w:t> </w:t>
      </w:r>
      <w:r>
        <w:rPr>
          <w:color w:val="231F20"/>
          <w:sz w:val="21"/>
        </w:rPr>
        <w:t>de</w:t>
      </w:r>
      <w:r>
        <w:rPr>
          <w:color w:val="231F20"/>
          <w:spacing w:val="-4"/>
          <w:sz w:val="21"/>
        </w:rPr>
        <w:t> </w:t>
      </w:r>
      <w:r>
        <w:rPr>
          <w:color w:val="231F20"/>
          <w:sz w:val="21"/>
        </w:rPr>
        <w:t>Proteína</w:t>
      </w:r>
      <w:r>
        <w:rPr>
          <w:color w:val="231F20"/>
          <w:spacing w:val="-4"/>
          <w:sz w:val="21"/>
        </w:rPr>
        <w:t> </w:t>
      </w:r>
      <w:r>
        <w:rPr>
          <w:color w:val="231F20"/>
          <w:sz w:val="21"/>
        </w:rPr>
        <w:t>cruda</w:t>
      </w:r>
      <w:r>
        <w:rPr>
          <w:color w:val="231F20"/>
          <w:spacing w:val="-4"/>
          <w:sz w:val="21"/>
        </w:rPr>
        <w:t> </w:t>
      </w:r>
      <w:r>
        <w:rPr>
          <w:color w:val="231F20"/>
          <w:sz w:val="21"/>
        </w:rPr>
        <w:t>con</w:t>
      </w:r>
      <w:r>
        <w:rPr>
          <w:color w:val="231F20"/>
          <w:spacing w:val="-4"/>
          <w:sz w:val="21"/>
        </w:rPr>
        <w:t> </w:t>
      </w:r>
      <w:r>
        <w:rPr>
          <w:color w:val="231F20"/>
          <w:sz w:val="21"/>
        </w:rPr>
        <w:t>factor</w:t>
      </w:r>
      <w:r>
        <w:rPr>
          <w:color w:val="231F20"/>
          <w:spacing w:val="-4"/>
          <w:sz w:val="21"/>
        </w:rPr>
        <w:t> </w:t>
      </w:r>
      <w:r>
        <w:rPr>
          <w:color w:val="231F20"/>
          <w:sz w:val="21"/>
        </w:rPr>
        <w:t>6.25</w:t>
      </w:r>
      <w:r>
        <w:rPr>
          <w:color w:val="231F20"/>
          <w:spacing w:val="-4"/>
          <w:sz w:val="21"/>
        </w:rPr>
        <w:t> </w:t>
      </w:r>
      <w:r>
        <w:rPr>
          <w:color w:val="231F20"/>
          <w:sz w:val="21"/>
        </w:rPr>
        <w:t>por</w:t>
      </w:r>
      <w:r>
        <w:rPr>
          <w:color w:val="231F20"/>
          <w:spacing w:val="-4"/>
          <w:sz w:val="21"/>
        </w:rPr>
        <w:t> </w:t>
      </w:r>
      <w:r>
        <w:rPr>
          <w:color w:val="231F20"/>
          <w:sz w:val="21"/>
        </w:rPr>
        <w:t>el</w:t>
      </w:r>
      <w:r>
        <w:rPr>
          <w:color w:val="231F20"/>
          <w:spacing w:val="-4"/>
          <w:sz w:val="21"/>
        </w:rPr>
        <w:t> </w:t>
      </w:r>
      <w:r>
        <w:rPr>
          <w:color w:val="231F20"/>
          <w:sz w:val="21"/>
        </w:rPr>
        <w:t>conte- nido de nitrógeno</w:t>
      </w:r>
    </w:p>
    <w:p>
      <w:pPr>
        <w:spacing w:after="0" w:line="247" w:lineRule="auto"/>
        <w:jc w:val="both"/>
        <w:rPr>
          <w:sz w:val="21"/>
        </w:rPr>
        <w:sectPr>
          <w:pgSz w:w="10920" w:h="13080"/>
          <w:pgMar w:header="0" w:footer="1025" w:top="420" w:bottom="1220" w:left="0" w:right="0"/>
        </w:sectPr>
      </w:pPr>
    </w:p>
    <w:p>
      <w:pPr>
        <w:pStyle w:val="BodyText"/>
        <w:rPr>
          <w:sz w:val="20"/>
        </w:rPr>
      </w:pPr>
    </w:p>
    <w:p>
      <w:pPr>
        <w:pStyle w:val="BodyText"/>
        <w:rPr>
          <w:sz w:val="20"/>
        </w:rPr>
      </w:pPr>
    </w:p>
    <w:p>
      <w:pPr>
        <w:pStyle w:val="BodyText"/>
        <w:rPr>
          <w:sz w:val="23"/>
        </w:rPr>
      </w:pPr>
    </w:p>
    <w:p>
      <w:pPr>
        <w:pStyle w:val="ListParagraph"/>
        <w:numPr>
          <w:ilvl w:val="1"/>
          <w:numId w:val="13"/>
        </w:numPr>
        <w:tabs>
          <w:tab w:pos="1970" w:val="left" w:leader="none"/>
          <w:tab w:pos="1971" w:val="left" w:leader="none"/>
        </w:tabs>
        <w:spacing w:line="240" w:lineRule="auto" w:before="73" w:after="0"/>
        <w:ind w:left="1970" w:right="0" w:hanging="280"/>
        <w:jc w:val="left"/>
        <w:rPr>
          <w:sz w:val="21"/>
        </w:rPr>
      </w:pPr>
      <w:r>
        <w:rPr>
          <w:color w:val="231F20"/>
          <w:sz w:val="21"/>
        </w:rPr>
        <w:t>Cenizas – Comprende la parte del alimento que no son compuestos</w:t>
      </w:r>
      <w:r>
        <w:rPr>
          <w:color w:val="231F20"/>
          <w:spacing w:val="-5"/>
          <w:sz w:val="21"/>
        </w:rPr>
        <w:t> </w:t>
      </w:r>
      <w:r>
        <w:rPr>
          <w:color w:val="231F20"/>
          <w:sz w:val="21"/>
        </w:rPr>
        <w:t>orgánicos</w:t>
      </w:r>
    </w:p>
    <w:p>
      <w:pPr>
        <w:pStyle w:val="ListParagraph"/>
        <w:numPr>
          <w:ilvl w:val="1"/>
          <w:numId w:val="13"/>
        </w:numPr>
        <w:tabs>
          <w:tab w:pos="1970" w:val="left" w:leader="none"/>
          <w:tab w:pos="1971" w:val="left" w:leader="none"/>
        </w:tabs>
        <w:spacing w:line="240" w:lineRule="auto" w:before="8" w:after="0"/>
        <w:ind w:left="1970" w:right="0" w:hanging="280"/>
        <w:jc w:val="left"/>
        <w:rPr>
          <w:sz w:val="21"/>
        </w:rPr>
      </w:pPr>
      <w:r>
        <w:rPr>
          <w:color w:val="231F20"/>
          <w:sz w:val="21"/>
        </w:rPr>
        <w:t>Extracto libre de nitrógeno (ELN) – Es la parte del análisis que expresa de manera</w:t>
      </w:r>
      <w:r>
        <w:rPr>
          <w:color w:val="231F20"/>
          <w:spacing w:val="-29"/>
          <w:sz w:val="21"/>
        </w:rPr>
        <w:t> </w:t>
      </w:r>
      <w:r>
        <w:rPr>
          <w:color w:val="231F20"/>
          <w:sz w:val="21"/>
        </w:rPr>
        <w:t>indirecta</w:t>
      </w:r>
    </w:p>
    <w:p>
      <w:pPr>
        <w:pStyle w:val="BodyText"/>
        <w:spacing w:before="8"/>
        <w:ind w:left="1970" w:right="5337"/>
      </w:pPr>
      <w:r>
        <w:rPr>
          <w:color w:val="231F20"/>
        </w:rPr>
        <w:t>el contenido de carbohidratos solubles.</w:t>
      </w:r>
    </w:p>
    <w:p>
      <w:pPr>
        <w:pStyle w:val="ListParagraph"/>
        <w:numPr>
          <w:ilvl w:val="1"/>
          <w:numId w:val="13"/>
        </w:numPr>
        <w:tabs>
          <w:tab w:pos="1970" w:val="left" w:leader="none"/>
          <w:tab w:pos="1971" w:val="left" w:leader="none"/>
        </w:tabs>
        <w:spacing w:line="240" w:lineRule="auto" w:before="8" w:after="0"/>
        <w:ind w:left="1970" w:right="0" w:hanging="280"/>
        <w:jc w:val="left"/>
        <w:rPr>
          <w:sz w:val="21"/>
        </w:rPr>
      </w:pPr>
      <w:r>
        <w:rPr>
          <w:color w:val="231F20"/>
          <w:sz w:val="21"/>
        </w:rPr>
        <w:t>Análisis </w:t>
      </w:r>
      <w:r>
        <w:rPr>
          <w:color w:val="231F20"/>
          <w:spacing w:val="-8"/>
          <w:sz w:val="21"/>
        </w:rPr>
        <w:t>Van </w:t>
      </w:r>
      <w:r>
        <w:rPr>
          <w:color w:val="231F20"/>
          <w:sz w:val="21"/>
        </w:rPr>
        <w:t>Soest y Ampliación de Insolubilidad de Proteína (Sosa,</w:t>
      </w:r>
      <w:r>
        <w:rPr>
          <w:color w:val="231F20"/>
          <w:spacing w:val="-8"/>
          <w:sz w:val="21"/>
        </w:rPr>
        <w:t> </w:t>
      </w:r>
      <w:r>
        <w:rPr>
          <w:color w:val="231F20"/>
          <w:sz w:val="21"/>
        </w:rPr>
        <w:t>1985).</w:t>
      </w:r>
    </w:p>
    <w:p>
      <w:pPr>
        <w:pStyle w:val="ListParagraph"/>
        <w:numPr>
          <w:ilvl w:val="1"/>
          <w:numId w:val="13"/>
        </w:numPr>
        <w:tabs>
          <w:tab w:pos="1970" w:val="left" w:leader="none"/>
          <w:tab w:pos="1971" w:val="left" w:leader="none"/>
        </w:tabs>
        <w:spacing w:line="240" w:lineRule="auto" w:before="8" w:after="0"/>
        <w:ind w:left="1970" w:right="0" w:hanging="280"/>
        <w:jc w:val="left"/>
        <w:rPr>
          <w:sz w:val="21"/>
        </w:rPr>
      </w:pPr>
      <w:r>
        <w:rPr>
          <w:color w:val="231F20"/>
          <w:sz w:val="21"/>
        </w:rPr>
        <w:t>Determinación de fibra detergente neutro (FDN) – Expresa una cuantificación de   </w:t>
      </w:r>
      <w:r>
        <w:rPr>
          <w:color w:val="231F20"/>
          <w:spacing w:val="14"/>
          <w:sz w:val="21"/>
        </w:rPr>
        <w:t> </w:t>
      </w:r>
      <w:r>
        <w:rPr>
          <w:color w:val="231F20"/>
          <w:sz w:val="21"/>
        </w:rPr>
        <w:t>paredes</w:t>
      </w:r>
    </w:p>
    <w:p>
      <w:pPr>
        <w:pStyle w:val="BodyText"/>
        <w:spacing w:before="8"/>
        <w:ind w:left="1970" w:right="1279"/>
      </w:pPr>
      <w:r>
        <w:rPr>
          <w:color w:val="231F20"/>
        </w:rPr>
        <w:t>celulares, la parte indigestible en no rumiantes.</w:t>
      </w:r>
    </w:p>
    <w:p>
      <w:pPr>
        <w:pStyle w:val="ListParagraph"/>
        <w:numPr>
          <w:ilvl w:val="1"/>
          <w:numId w:val="13"/>
        </w:numPr>
        <w:tabs>
          <w:tab w:pos="1970" w:val="left" w:leader="none"/>
          <w:tab w:pos="1971" w:val="left" w:leader="none"/>
        </w:tabs>
        <w:spacing w:line="247" w:lineRule="auto" w:before="8" w:after="0"/>
        <w:ind w:left="1970" w:right="1268" w:hanging="280"/>
        <w:jc w:val="left"/>
        <w:rPr>
          <w:sz w:val="21"/>
        </w:rPr>
      </w:pPr>
      <w:r>
        <w:rPr>
          <w:color w:val="231F20"/>
          <w:sz w:val="21"/>
        </w:rPr>
        <w:t>Determinación de fibra detergente acido (FDA) – Representa una medida indirecta del</w:t>
      </w:r>
      <w:r>
        <w:rPr>
          <w:color w:val="231F20"/>
          <w:spacing w:val="-15"/>
          <w:sz w:val="21"/>
        </w:rPr>
        <w:t> </w:t>
      </w:r>
      <w:r>
        <w:rPr>
          <w:color w:val="231F20"/>
          <w:sz w:val="21"/>
        </w:rPr>
        <w:t>con- tenido de lignina, FDN-FDA= hemicelulosa.</w:t>
      </w:r>
    </w:p>
    <w:p>
      <w:pPr>
        <w:pStyle w:val="ListParagraph"/>
        <w:numPr>
          <w:ilvl w:val="1"/>
          <w:numId w:val="13"/>
        </w:numPr>
        <w:tabs>
          <w:tab w:pos="1970" w:val="left" w:leader="none"/>
          <w:tab w:pos="1971" w:val="left" w:leader="none"/>
        </w:tabs>
        <w:spacing w:line="240" w:lineRule="auto" w:before="1" w:after="0"/>
        <w:ind w:left="1970" w:right="0" w:hanging="280"/>
        <w:jc w:val="left"/>
        <w:rPr>
          <w:sz w:val="21"/>
        </w:rPr>
      </w:pPr>
      <w:r>
        <w:rPr>
          <w:color w:val="231F20"/>
          <w:sz w:val="21"/>
        </w:rPr>
        <w:t>Lignina - Compuesto orgánico</w:t>
      </w:r>
      <w:r>
        <w:rPr>
          <w:color w:val="231F20"/>
          <w:spacing w:val="-4"/>
          <w:sz w:val="21"/>
        </w:rPr>
        <w:t> </w:t>
      </w:r>
      <w:r>
        <w:rPr>
          <w:color w:val="231F20"/>
          <w:sz w:val="21"/>
        </w:rPr>
        <w:t>indigestible</w:t>
      </w:r>
    </w:p>
    <w:p>
      <w:pPr>
        <w:pStyle w:val="ListParagraph"/>
        <w:numPr>
          <w:ilvl w:val="1"/>
          <w:numId w:val="13"/>
        </w:numPr>
        <w:tabs>
          <w:tab w:pos="1970" w:val="left" w:leader="none"/>
          <w:tab w:pos="1971" w:val="left" w:leader="none"/>
        </w:tabs>
        <w:spacing w:line="240" w:lineRule="auto" w:before="8" w:after="0"/>
        <w:ind w:left="1970" w:right="0" w:hanging="280"/>
        <w:jc w:val="left"/>
        <w:rPr>
          <w:sz w:val="21"/>
        </w:rPr>
      </w:pPr>
      <w:r>
        <w:rPr>
          <w:color w:val="231F20"/>
          <w:sz w:val="21"/>
        </w:rPr>
        <w:t>Celulosa – Carbohidrato estructural no digestible en no rumiantes.</w:t>
      </w:r>
    </w:p>
    <w:p>
      <w:pPr>
        <w:pStyle w:val="ListParagraph"/>
        <w:numPr>
          <w:ilvl w:val="1"/>
          <w:numId w:val="13"/>
        </w:numPr>
        <w:tabs>
          <w:tab w:pos="1970" w:val="left" w:leader="none"/>
          <w:tab w:pos="1971" w:val="left" w:leader="none"/>
        </w:tabs>
        <w:spacing w:line="240" w:lineRule="auto" w:before="8" w:after="0"/>
        <w:ind w:left="1970" w:right="0" w:hanging="280"/>
        <w:jc w:val="left"/>
        <w:rPr>
          <w:sz w:val="21"/>
        </w:rPr>
      </w:pPr>
      <w:r>
        <w:rPr>
          <w:color w:val="231F20"/>
          <w:sz w:val="21"/>
        </w:rPr>
        <w:t>Hemicelulosa – Carbohidrato estructural no digestible en no rumiantes</w:t>
      </w:r>
    </w:p>
    <w:p>
      <w:pPr>
        <w:pStyle w:val="ListParagraph"/>
        <w:numPr>
          <w:ilvl w:val="1"/>
          <w:numId w:val="13"/>
        </w:numPr>
        <w:tabs>
          <w:tab w:pos="1970" w:val="left" w:leader="none"/>
          <w:tab w:pos="1971" w:val="left" w:leader="none"/>
        </w:tabs>
        <w:spacing w:line="240" w:lineRule="auto" w:before="8" w:after="0"/>
        <w:ind w:left="1970" w:right="0" w:hanging="280"/>
        <w:jc w:val="left"/>
        <w:rPr>
          <w:sz w:val="21"/>
        </w:rPr>
      </w:pPr>
      <w:r>
        <w:rPr>
          <w:color w:val="231F20"/>
          <w:sz w:val="21"/>
        </w:rPr>
        <w:t>Sílice – Dióxido de silicio el índice de este hace disminuir la digestibilidad de un</w:t>
      </w:r>
      <w:r>
        <w:rPr>
          <w:color w:val="231F20"/>
          <w:spacing w:val="1"/>
          <w:sz w:val="21"/>
        </w:rPr>
        <w:t> </w:t>
      </w:r>
      <w:r>
        <w:rPr>
          <w:color w:val="231F20"/>
          <w:sz w:val="21"/>
        </w:rPr>
        <w:t>forraje</w:t>
      </w:r>
    </w:p>
    <w:p>
      <w:pPr>
        <w:pStyle w:val="ListParagraph"/>
        <w:numPr>
          <w:ilvl w:val="1"/>
          <w:numId w:val="13"/>
        </w:numPr>
        <w:tabs>
          <w:tab w:pos="1970" w:val="left" w:leader="none"/>
          <w:tab w:pos="1971" w:val="left" w:leader="none"/>
        </w:tabs>
        <w:spacing w:line="240" w:lineRule="auto" w:before="8" w:after="0"/>
        <w:ind w:left="1970" w:right="0" w:hanging="280"/>
        <w:jc w:val="left"/>
        <w:rPr>
          <w:sz w:val="21"/>
        </w:rPr>
      </w:pPr>
      <w:r>
        <w:rPr>
          <w:color w:val="231F20"/>
          <w:sz w:val="21"/>
        </w:rPr>
        <w:t>Proteína insoluble en FDN – Proteína no digestible en no rumiantes</w:t>
      </w:r>
    </w:p>
    <w:p>
      <w:pPr>
        <w:pStyle w:val="ListParagraph"/>
        <w:numPr>
          <w:ilvl w:val="1"/>
          <w:numId w:val="13"/>
        </w:numPr>
        <w:tabs>
          <w:tab w:pos="1970" w:val="left" w:leader="none"/>
          <w:tab w:pos="1971" w:val="left" w:leader="none"/>
        </w:tabs>
        <w:spacing w:line="240" w:lineRule="auto" w:before="8" w:after="0"/>
        <w:ind w:left="1970" w:right="0" w:hanging="280"/>
        <w:jc w:val="left"/>
        <w:rPr>
          <w:sz w:val="21"/>
        </w:rPr>
      </w:pPr>
      <w:r>
        <w:rPr>
          <w:color w:val="231F20"/>
          <w:sz w:val="21"/>
        </w:rPr>
        <w:t>Proteína Insoluble en FDA – Estimación de la proteína</w:t>
      </w:r>
      <w:r>
        <w:rPr>
          <w:color w:val="231F20"/>
          <w:spacing w:val="-12"/>
          <w:sz w:val="21"/>
        </w:rPr>
        <w:t> </w:t>
      </w:r>
      <w:r>
        <w:rPr>
          <w:color w:val="231F20"/>
          <w:sz w:val="21"/>
        </w:rPr>
        <w:t>indigestible</w:t>
      </w:r>
    </w:p>
    <w:p>
      <w:pPr>
        <w:pStyle w:val="BodyText"/>
        <w:spacing w:before="5"/>
        <w:rPr>
          <w:sz w:val="22"/>
        </w:rPr>
      </w:pPr>
    </w:p>
    <w:p>
      <w:pPr>
        <w:pStyle w:val="BodyText"/>
        <w:spacing w:line="247" w:lineRule="auto"/>
        <w:ind w:left="1270" w:right="1269"/>
        <w:jc w:val="both"/>
      </w:pPr>
      <w:r>
        <w:rPr>
          <w:color w:val="231F20"/>
        </w:rPr>
        <w:t>Este mismo procedimiento fue realizado en Alfalfa (</w:t>
      </w:r>
      <w:r>
        <w:rPr>
          <w:i/>
          <w:color w:val="231F20"/>
        </w:rPr>
        <w:t>Medicago sativa</w:t>
      </w:r>
      <w:r>
        <w:rPr>
          <w:color w:val="231F20"/>
        </w:rPr>
        <w:t>) con la finalidad de comparar los</w:t>
      </w:r>
      <w:r>
        <w:rPr>
          <w:color w:val="231F20"/>
          <w:spacing w:val="-9"/>
        </w:rPr>
        <w:t> </w:t>
      </w:r>
      <w:r>
        <w:rPr>
          <w:color w:val="231F20"/>
        </w:rPr>
        <w:t>valores</w:t>
      </w:r>
      <w:r>
        <w:rPr>
          <w:color w:val="231F20"/>
          <w:spacing w:val="-9"/>
        </w:rPr>
        <w:t> </w:t>
      </w:r>
      <w:r>
        <w:rPr>
          <w:color w:val="231F20"/>
        </w:rPr>
        <w:t>obtenidos</w:t>
      </w:r>
      <w:r>
        <w:rPr>
          <w:color w:val="231F20"/>
          <w:spacing w:val="-9"/>
        </w:rPr>
        <w:t> </w:t>
      </w:r>
      <w:r>
        <w:rPr>
          <w:color w:val="231F20"/>
        </w:rPr>
        <w:t>en</w:t>
      </w:r>
      <w:r>
        <w:rPr>
          <w:color w:val="231F20"/>
          <w:spacing w:val="-9"/>
        </w:rPr>
        <w:t> </w:t>
      </w:r>
      <w:r>
        <w:rPr>
          <w:color w:val="231F20"/>
        </w:rPr>
        <w:t>Salvinia</w:t>
      </w:r>
      <w:r>
        <w:rPr>
          <w:color w:val="231F20"/>
          <w:spacing w:val="-9"/>
        </w:rPr>
        <w:t> </w:t>
      </w:r>
      <w:r>
        <w:rPr>
          <w:color w:val="231F20"/>
        </w:rPr>
        <w:t>molesta</w:t>
      </w:r>
      <w:r>
        <w:rPr>
          <w:color w:val="231F20"/>
          <w:spacing w:val="-10"/>
        </w:rPr>
        <w:t> </w:t>
      </w:r>
      <w:r>
        <w:rPr>
          <w:color w:val="231F20"/>
        </w:rPr>
        <w:t>con</w:t>
      </w:r>
      <w:r>
        <w:rPr>
          <w:color w:val="231F20"/>
          <w:spacing w:val="-9"/>
        </w:rPr>
        <w:t> </w:t>
      </w:r>
      <w:r>
        <w:rPr>
          <w:color w:val="231F20"/>
        </w:rPr>
        <w:t>un</w:t>
      </w:r>
      <w:r>
        <w:rPr>
          <w:color w:val="231F20"/>
          <w:spacing w:val="-9"/>
        </w:rPr>
        <w:t> </w:t>
      </w:r>
      <w:r>
        <w:rPr>
          <w:color w:val="231F20"/>
        </w:rPr>
        <w:t>forraje</w:t>
      </w:r>
      <w:r>
        <w:rPr>
          <w:color w:val="231F20"/>
          <w:spacing w:val="-9"/>
        </w:rPr>
        <w:t> </w:t>
      </w:r>
      <w:r>
        <w:rPr>
          <w:color w:val="231F20"/>
        </w:rPr>
        <w:t>ampliamente</w:t>
      </w:r>
      <w:r>
        <w:rPr>
          <w:color w:val="231F20"/>
          <w:spacing w:val="-10"/>
        </w:rPr>
        <w:t> </w:t>
      </w:r>
      <w:r>
        <w:rPr>
          <w:color w:val="231F20"/>
        </w:rPr>
        <w:t>estudiado</w:t>
      </w:r>
      <w:r>
        <w:rPr>
          <w:color w:val="231F20"/>
          <w:spacing w:val="-10"/>
        </w:rPr>
        <w:t> </w:t>
      </w:r>
      <w:r>
        <w:rPr>
          <w:color w:val="231F20"/>
        </w:rPr>
        <w:t>y</w:t>
      </w:r>
      <w:r>
        <w:rPr>
          <w:color w:val="231F20"/>
          <w:spacing w:val="-9"/>
        </w:rPr>
        <w:t> </w:t>
      </w:r>
      <w:r>
        <w:rPr>
          <w:color w:val="231F20"/>
        </w:rPr>
        <w:t>que</w:t>
      </w:r>
      <w:r>
        <w:rPr>
          <w:color w:val="231F20"/>
          <w:spacing w:val="-9"/>
        </w:rPr>
        <w:t> </w:t>
      </w:r>
      <w:r>
        <w:rPr>
          <w:color w:val="231F20"/>
        </w:rPr>
        <w:t>es</w:t>
      </w:r>
      <w:r>
        <w:rPr>
          <w:color w:val="231F20"/>
          <w:spacing w:val="-9"/>
        </w:rPr>
        <w:t> </w:t>
      </w:r>
      <w:r>
        <w:rPr>
          <w:color w:val="231F20"/>
        </w:rPr>
        <w:t>el</w:t>
      </w:r>
      <w:r>
        <w:rPr>
          <w:color w:val="231F20"/>
          <w:spacing w:val="-9"/>
        </w:rPr>
        <w:t> </w:t>
      </w:r>
      <w:r>
        <w:rPr>
          <w:color w:val="231F20"/>
        </w:rPr>
        <w:t>forraje</w:t>
      </w:r>
      <w:r>
        <w:rPr>
          <w:color w:val="231F20"/>
          <w:spacing w:val="-9"/>
        </w:rPr>
        <w:t> </w:t>
      </w:r>
      <w:r>
        <w:rPr>
          <w:color w:val="231F20"/>
        </w:rPr>
        <w:t>de corte por excelencia, con un excelente contenido de</w:t>
      </w:r>
      <w:r>
        <w:rPr>
          <w:color w:val="231F20"/>
          <w:spacing w:val="-5"/>
        </w:rPr>
        <w:t> </w:t>
      </w:r>
      <w:r>
        <w:rPr>
          <w:color w:val="231F20"/>
        </w:rPr>
        <w:t>proteínas.</w:t>
      </w:r>
    </w:p>
    <w:p>
      <w:pPr>
        <w:pStyle w:val="BodyText"/>
        <w:spacing w:before="10"/>
        <w:rPr>
          <w:sz w:val="22"/>
        </w:rPr>
      </w:pPr>
    </w:p>
    <w:p>
      <w:pPr>
        <w:pStyle w:val="Heading3"/>
      </w:pPr>
      <w:r>
        <w:rPr>
          <w:color w:val="010202"/>
        </w:rPr>
        <w:t>Análisis y discusión de resultados</w:t>
      </w:r>
    </w:p>
    <w:p>
      <w:pPr>
        <w:pStyle w:val="BodyText"/>
        <w:spacing w:before="10"/>
        <w:rPr>
          <w:b/>
        </w:rPr>
      </w:pPr>
    </w:p>
    <w:p>
      <w:pPr>
        <w:pStyle w:val="BodyText"/>
        <w:spacing w:line="247" w:lineRule="auto"/>
        <w:ind w:left="1270" w:right="1267"/>
        <w:jc w:val="both"/>
      </w:pPr>
      <w:r>
        <w:rPr>
          <w:color w:val="231F20"/>
        </w:rPr>
        <w:t>En el cuadro 1. Se muestran los resultados obtenidos para el análisis proximal y Van Soest en base seca (BS), base tal como se ofrece (BTO).</w:t>
      </w:r>
    </w:p>
    <w:p>
      <w:pPr>
        <w:pStyle w:val="BodyText"/>
        <w:spacing w:before="9"/>
        <w:rPr>
          <w:sz w:val="9"/>
        </w:rPr>
      </w:pPr>
      <w:r>
        <w:rPr/>
        <w:drawing>
          <wp:anchor distT="0" distB="0" distL="0" distR="0" allowOverlap="1" layoutInCell="1" locked="0" behindDoc="0" simplePos="0" relativeHeight="7048">
            <wp:simplePos x="0" y="0"/>
            <wp:positionH relativeFrom="page">
              <wp:posOffset>1509749</wp:posOffset>
            </wp:positionH>
            <wp:positionV relativeFrom="paragraph">
              <wp:posOffset>96299</wp:posOffset>
            </wp:positionV>
            <wp:extent cx="3864768" cy="2693193"/>
            <wp:effectExtent l="0" t="0" r="0" b="0"/>
            <wp:wrapTopAndBottom/>
            <wp:docPr id="239" name="image101.png" descr=""/>
            <wp:cNvGraphicFramePr>
              <a:graphicFrameLocks noChangeAspect="1"/>
            </wp:cNvGraphicFramePr>
            <a:graphic>
              <a:graphicData uri="http://schemas.openxmlformats.org/drawingml/2006/picture">
                <pic:pic>
                  <pic:nvPicPr>
                    <pic:cNvPr id="240" name="image101.png"/>
                    <pic:cNvPicPr/>
                  </pic:nvPicPr>
                  <pic:blipFill>
                    <a:blip r:embed="rId155" cstate="print"/>
                    <a:stretch>
                      <a:fillRect/>
                    </a:stretch>
                  </pic:blipFill>
                  <pic:spPr>
                    <a:xfrm>
                      <a:off x="0" y="0"/>
                      <a:ext cx="3864768" cy="2693193"/>
                    </a:xfrm>
                    <a:prstGeom prst="rect">
                      <a:avLst/>
                    </a:prstGeom>
                  </pic:spPr>
                </pic:pic>
              </a:graphicData>
            </a:graphic>
          </wp:anchor>
        </w:drawing>
      </w:r>
    </w:p>
    <w:p>
      <w:pPr>
        <w:spacing w:after="0"/>
        <w:rPr>
          <w:sz w:val="9"/>
        </w:rPr>
        <w:sectPr>
          <w:pgSz w:w="10920" w:h="13080"/>
          <w:pgMar w:header="0" w:footer="1025" w:top="420" w:bottom="122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4"/>
        </w:rPr>
      </w:pPr>
    </w:p>
    <w:p>
      <w:pPr>
        <w:pStyle w:val="BodyText"/>
        <w:ind w:left="2659"/>
        <w:rPr>
          <w:sz w:val="20"/>
        </w:rPr>
      </w:pPr>
      <w:r>
        <w:rPr>
          <w:sz w:val="20"/>
        </w:rPr>
        <w:drawing>
          <wp:inline distT="0" distB="0" distL="0" distR="0">
            <wp:extent cx="3575303" cy="1432750"/>
            <wp:effectExtent l="0" t="0" r="0" b="0"/>
            <wp:docPr id="241" name="image102.png" descr=""/>
            <wp:cNvGraphicFramePr>
              <a:graphicFrameLocks noChangeAspect="1"/>
            </wp:cNvGraphicFramePr>
            <a:graphic>
              <a:graphicData uri="http://schemas.openxmlformats.org/drawingml/2006/picture">
                <pic:pic>
                  <pic:nvPicPr>
                    <pic:cNvPr id="242" name="image102.png"/>
                    <pic:cNvPicPr/>
                  </pic:nvPicPr>
                  <pic:blipFill>
                    <a:blip r:embed="rId156" cstate="print"/>
                    <a:stretch>
                      <a:fillRect/>
                    </a:stretch>
                  </pic:blipFill>
                  <pic:spPr>
                    <a:xfrm>
                      <a:off x="0" y="0"/>
                      <a:ext cx="3575303" cy="1432750"/>
                    </a:xfrm>
                    <a:prstGeom prst="rect">
                      <a:avLst/>
                    </a:prstGeom>
                  </pic:spPr>
                </pic:pic>
              </a:graphicData>
            </a:graphic>
          </wp:inline>
        </w:drawing>
      </w:r>
      <w:r>
        <w:rPr>
          <w:sz w:val="20"/>
        </w:rPr>
      </w:r>
    </w:p>
    <w:p>
      <w:pPr>
        <w:pStyle w:val="BodyText"/>
        <w:rPr>
          <w:sz w:val="14"/>
        </w:rPr>
      </w:pPr>
    </w:p>
    <w:p>
      <w:pPr>
        <w:spacing w:before="78"/>
        <w:ind w:left="1270" w:right="0" w:firstLine="0"/>
        <w:jc w:val="both"/>
        <w:rPr>
          <w:b/>
          <w:i/>
          <w:sz w:val="17"/>
        </w:rPr>
      </w:pPr>
      <w:r>
        <w:rPr>
          <w:b/>
          <w:i/>
          <w:color w:val="231F20"/>
          <w:sz w:val="17"/>
        </w:rPr>
        <w:t>*Base seca (BS)</w:t>
      </w:r>
    </w:p>
    <w:p>
      <w:pPr>
        <w:spacing w:before="54"/>
        <w:ind w:left="1270" w:right="0" w:firstLine="0"/>
        <w:jc w:val="both"/>
        <w:rPr>
          <w:b/>
          <w:i/>
          <w:sz w:val="17"/>
        </w:rPr>
      </w:pPr>
      <w:r>
        <w:rPr>
          <w:b/>
          <w:i/>
          <w:color w:val="231F20"/>
          <w:sz w:val="17"/>
        </w:rPr>
        <w:t>*Base tal como se ofrece (BTO)</w:t>
      </w:r>
    </w:p>
    <w:p>
      <w:pPr>
        <w:pStyle w:val="BodyText"/>
        <w:spacing w:before="2"/>
        <w:rPr>
          <w:b/>
          <w:i/>
          <w:sz w:val="23"/>
        </w:rPr>
      </w:pPr>
    </w:p>
    <w:p>
      <w:pPr>
        <w:pStyle w:val="BodyText"/>
        <w:spacing w:line="247" w:lineRule="auto"/>
        <w:ind w:left="1270" w:right="1267"/>
        <w:jc w:val="both"/>
      </w:pPr>
      <w:r>
        <w:rPr>
          <w:color w:val="231F20"/>
        </w:rPr>
        <w:t>En el cuadro1 podemos observare los datos generados en laboratorio en base seca (BS) y base tal como se ofrece (BTO) de </w:t>
      </w:r>
      <w:r>
        <w:rPr>
          <w:i/>
          <w:color w:val="231F20"/>
        </w:rPr>
        <w:t>Myriophyllum aquaticum </w:t>
      </w:r>
      <w:r>
        <w:rPr>
          <w:color w:val="231F20"/>
        </w:rPr>
        <w:t>y </w:t>
      </w:r>
      <w:r>
        <w:rPr>
          <w:i/>
          <w:color w:val="231F20"/>
        </w:rPr>
        <w:t>Medicago sativa</w:t>
      </w:r>
      <w:r>
        <w:rPr>
          <w:color w:val="231F20"/>
        </w:rPr>
        <w:t>, podemos notar datos desta- cados</w:t>
      </w:r>
      <w:r>
        <w:rPr>
          <w:color w:val="231F20"/>
          <w:spacing w:val="-4"/>
        </w:rPr>
        <w:t> </w:t>
      </w:r>
      <w:r>
        <w:rPr>
          <w:color w:val="231F20"/>
        </w:rPr>
        <w:t>como</w:t>
      </w:r>
      <w:r>
        <w:rPr>
          <w:color w:val="231F20"/>
          <w:spacing w:val="-4"/>
        </w:rPr>
        <w:t> </w:t>
      </w:r>
      <w:r>
        <w:rPr>
          <w:color w:val="231F20"/>
        </w:rPr>
        <w:t>una</w:t>
      </w:r>
      <w:r>
        <w:rPr>
          <w:color w:val="231F20"/>
          <w:spacing w:val="-4"/>
        </w:rPr>
        <w:t> </w:t>
      </w:r>
      <w:r>
        <w:rPr>
          <w:color w:val="231F20"/>
        </w:rPr>
        <w:t>nivel</w:t>
      </w:r>
      <w:r>
        <w:rPr>
          <w:color w:val="231F20"/>
          <w:spacing w:val="-4"/>
        </w:rPr>
        <w:t> </w:t>
      </w:r>
      <w:r>
        <w:rPr>
          <w:color w:val="231F20"/>
        </w:rPr>
        <w:t>de</w:t>
      </w:r>
      <w:r>
        <w:rPr>
          <w:color w:val="231F20"/>
          <w:spacing w:val="-4"/>
        </w:rPr>
        <w:t> </w:t>
      </w:r>
      <w:r>
        <w:rPr>
          <w:color w:val="231F20"/>
        </w:rPr>
        <w:t>proteína</w:t>
      </w:r>
      <w:r>
        <w:rPr>
          <w:color w:val="231F20"/>
          <w:spacing w:val="-4"/>
        </w:rPr>
        <w:t> </w:t>
      </w:r>
      <w:r>
        <w:rPr>
          <w:color w:val="231F20"/>
        </w:rPr>
        <w:t>cruda</w:t>
      </w:r>
      <w:r>
        <w:rPr>
          <w:color w:val="231F20"/>
          <w:spacing w:val="-5"/>
        </w:rPr>
        <w:t> </w:t>
      </w:r>
      <w:r>
        <w:rPr>
          <w:color w:val="231F20"/>
        </w:rPr>
        <w:t>(PC)</w:t>
      </w:r>
      <w:r>
        <w:rPr>
          <w:color w:val="231F20"/>
          <w:spacing w:val="-4"/>
        </w:rPr>
        <w:t> </w:t>
      </w:r>
      <w:r>
        <w:rPr>
          <w:color w:val="231F20"/>
        </w:rPr>
        <w:t>alta</w:t>
      </w:r>
      <w:r>
        <w:rPr>
          <w:color w:val="231F20"/>
          <w:spacing w:val="-4"/>
        </w:rPr>
        <w:t> </w:t>
      </w:r>
      <w:r>
        <w:rPr>
          <w:color w:val="231F20"/>
        </w:rPr>
        <w:t>en</w:t>
      </w:r>
      <w:r>
        <w:rPr>
          <w:color w:val="231F20"/>
          <w:spacing w:val="-4"/>
        </w:rPr>
        <w:t> </w:t>
      </w:r>
      <w:r>
        <w:rPr>
          <w:color w:val="231F20"/>
        </w:rPr>
        <w:t>comparación</w:t>
      </w:r>
      <w:r>
        <w:rPr>
          <w:color w:val="231F20"/>
          <w:spacing w:val="-4"/>
        </w:rPr>
        <w:t> </w:t>
      </w:r>
      <w:r>
        <w:rPr>
          <w:color w:val="231F20"/>
        </w:rPr>
        <w:t>con</w:t>
      </w:r>
      <w:r>
        <w:rPr>
          <w:color w:val="231F20"/>
          <w:spacing w:val="-4"/>
        </w:rPr>
        <w:t> </w:t>
      </w:r>
      <w:r>
        <w:rPr>
          <w:i/>
          <w:color w:val="231F20"/>
        </w:rPr>
        <w:t>Medicago</w:t>
      </w:r>
      <w:r>
        <w:rPr>
          <w:i/>
          <w:color w:val="231F20"/>
          <w:spacing w:val="-4"/>
        </w:rPr>
        <w:t> </w:t>
      </w:r>
      <w:r>
        <w:rPr>
          <w:i/>
          <w:color w:val="231F20"/>
        </w:rPr>
        <w:t>sativa</w:t>
      </w:r>
      <w:r>
        <w:rPr>
          <w:i/>
          <w:color w:val="231F20"/>
          <w:spacing w:val="-4"/>
        </w:rPr>
        <w:t> </w:t>
      </w:r>
      <w:r>
        <w:rPr>
          <w:color w:val="231F20"/>
        </w:rPr>
        <w:t>y</w:t>
      </w:r>
      <w:r>
        <w:rPr>
          <w:color w:val="231F20"/>
          <w:spacing w:val="-4"/>
        </w:rPr>
        <w:t> </w:t>
      </w:r>
      <w:r>
        <w:rPr>
          <w:color w:val="231F20"/>
        </w:rPr>
        <w:t>un</w:t>
      </w:r>
      <w:r>
        <w:rPr>
          <w:color w:val="231F20"/>
          <w:spacing w:val="-4"/>
        </w:rPr>
        <w:t> </w:t>
      </w:r>
      <w:r>
        <w:rPr>
          <w:color w:val="231F20"/>
        </w:rPr>
        <w:t>bajo</w:t>
      </w:r>
      <w:r>
        <w:rPr>
          <w:color w:val="231F20"/>
          <w:spacing w:val="-4"/>
        </w:rPr>
        <w:t> </w:t>
      </w:r>
      <w:r>
        <w:rPr>
          <w:color w:val="231F20"/>
        </w:rPr>
        <w:t>un</w:t>
      </w:r>
    </w:p>
    <w:p>
      <w:pPr>
        <w:pStyle w:val="BodyText"/>
        <w:spacing w:line="247" w:lineRule="auto" w:before="1"/>
        <w:ind w:left="1270" w:right="1267"/>
        <w:jc w:val="both"/>
      </w:pPr>
      <w:r>
        <w:rPr>
          <w:color w:val="231F20"/>
        </w:rPr>
        <w:t>%</w:t>
      </w:r>
      <w:r>
        <w:rPr>
          <w:color w:val="231F20"/>
          <w:spacing w:val="-7"/>
        </w:rPr>
        <w:t> </w:t>
      </w:r>
      <w:r>
        <w:rPr>
          <w:color w:val="231F20"/>
        </w:rPr>
        <w:t>bajo</w:t>
      </w:r>
      <w:r>
        <w:rPr>
          <w:color w:val="231F20"/>
          <w:spacing w:val="-7"/>
        </w:rPr>
        <w:t> </w:t>
      </w:r>
      <w:r>
        <w:rPr>
          <w:color w:val="231F20"/>
        </w:rPr>
        <w:t>de</w:t>
      </w:r>
      <w:r>
        <w:rPr>
          <w:color w:val="231F20"/>
          <w:spacing w:val="-7"/>
        </w:rPr>
        <w:t> </w:t>
      </w:r>
      <w:r>
        <w:rPr>
          <w:color w:val="231F20"/>
        </w:rPr>
        <w:t>fibra</w:t>
      </w:r>
      <w:r>
        <w:rPr>
          <w:color w:val="231F20"/>
          <w:spacing w:val="-7"/>
        </w:rPr>
        <w:t> </w:t>
      </w:r>
      <w:r>
        <w:rPr>
          <w:color w:val="231F20"/>
        </w:rPr>
        <w:t>cruda,</w:t>
      </w:r>
      <w:r>
        <w:rPr>
          <w:color w:val="231F20"/>
          <w:spacing w:val="-7"/>
        </w:rPr>
        <w:t> </w:t>
      </w:r>
      <w:r>
        <w:rPr>
          <w:color w:val="231F20"/>
        </w:rPr>
        <w:t>fibra</w:t>
      </w:r>
      <w:r>
        <w:rPr>
          <w:color w:val="231F20"/>
          <w:spacing w:val="-7"/>
        </w:rPr>
        <w:t> </w:t>
      </w:r>
      <w:r>
        <w:rPr>
          <w:color w:val="231F20"/>
        </w:rPr>
        <w:t>detergente</w:t>
      </w:r>
      <w:r>
        <w:rPr>
          <w:color w:val="231F20"/>
          <w:spacing w:val="-7"/>
        </w:rPr>
        <w:t> </w:t>
      </w:r>
      <w:r>
        <w:rPr>
          <w:color w:val="231F20"/>
        </w:rPr>
        <w:t>neutra</w:t>
      </w:r>
      <w:r>
        <w:rPr>
          <w:color w:val="231F20"/>
          <w:spacing w:val="-7"/>
        </w:rPr>
        <w:t> </w:t>
      </w:r>
      <w:r>
        <w:rPr>
          <w:color w:val="231F20"/>
        </w:rPr>
        <w:t>(FDN),</w:t>
      </w:r>
      <w:r>
        <w:rPr>
          <w:color w:val="231F20"/>
          <w:spacing w:val="-7"/>
        </w:rPr>
        <w:t> </w:t>
      </w:r>
      <w:r>
        <w:rPr>
          <w:color w:val="231F20"/>
        </w:rPr>
        <w:t>Fibra</w:t>
      </w:r>
      <w:r>
        <w:rPr>
          <w:color w:val="231F20"/>
          <w:spacing w:val="-7"/>
        </w:rPr>
        <w:t> </w:t>
      </w:r>
      <w:r>
        <w:rPr>
          <w:color w:val="231F20"/>
        </w:rPr>
        <w:t>detergente</w:t>
      </w:r>
      <w:r>
        <w:rPr>
          <w:color w:val="231F20"/>
          <w:spacing w:val="-7"/>
        </w:rPr>
        <w:t> </w:t>
      </w:r>
      <w:r>
        <w:rPr>
          <w:color w:val="231F20"/>
        </w:rPr>
        <w:t>acida,</w:t>
      </w:r>
      <w:r>
        <w:rPr>
          <w:color w:val="231F20"/>
          <w:spacing w:val="-7"/>
        </w:rPr>
        <w:t> </w:t>
      </w:r>
      <w:r>
        <w:rPr>
          <w:color w:val="231F20"/>
        </w:rPr>
        <w:t>celulosa,</w:t>
      </w:r>
      <w:r>
        <w:rPr>
          <w:color w:val="231F20"/>
          <w:spacing w:val="-7"/>
        </w:rPr>
        <w:t> </w:t>
      </w:r>
      <w:r>
        <w:rPr>
          <w:color w:val="231F20"/>
        </w:rPr>
        <w:t>hemicelulosa, lignina</w:t>
      </w:r>
      <w:r>
        <w:rPr>
          <w:color w:val="231F20"/>
          <w:spacing w:val="-6"/>
        </w:rPr>
        <w:t> </w:t>
      </w:r>
      <w:r>
        <w:rPr>
          <w:color w:val="231F20"/>
        </w:rPr>
        <w:t>y</w:t>
      </w:r>
      <w:r>
        <w:rPr>
          <w:color w:val="231F20"/>
          <w:spacing w:val="-6"/>
        </w:rPr>
        <w:t> </w:t>
      </w:r>
      <w:r>
        <w:rPr>
          <w:color w:val="231F20"/>
        </w:rPr>
        <w:t>sílice</w:t>
      </w:r>
      <w:r>
        <w:rPr>
          <w:color w:val="231F20"/>
          <w:spacing w:val="-5"/>
        </w:rPr>
        <w:t> </w:t>
      </w:r>
      <w:r>
        <w:rPr>
          <w:color w:val="231F20"/>
        </w:rPr>
        <w:t>más</w:t>
      </w:r>
      <w:r>
        <w:rPr>
          <w:color w:val="231F20"/>
          <w:spacing w:val="-6"/>
        </w:rPr>
        <w:t> </w:t>
      </w:r>
      <w:r>
        <w:rPr>
          <w:color w:val="231F20"/>
        </w:rPr>
        <w:t>bajo</w:t>
      </w:r>
      <w:r>
        <w:rPr>
          <w:color w:val="231F20"/>
          <w:spacing w:val="-6"/>
        </w:rPr>
        <w:t> </w:t>
      </w:r>
      <w:r>
        <w:rPr>
          <w:color w:val="231F20"/>
        </w:rPr>
        <w:t>que</w:t>
      </w:r>
      <w:r>
        <w:rPr>
          <w:color w:val="231F20"/>
          <w:spacing w:val="-6"/>
        </w:rPr>
        <w:t> </w:t>
      </w:r>
      <w:r>
        <w:rPr>
          <w:color w:val="231F20"/>
        </w:rPr>
        <w:t>alfalfa.</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cuadro</w:t>
      </w:r>
      <w:r>
        <w:rPr>
          <w:color w:val="231F20"/>
          <w:spacing w:val="-6"/>
        </w:rPr>
        <w:t> </w:t>
      </w:r>
      <w:r>
        <w:rPr>
          <w:color w:val="231F20"/>
        </w:rPr>
        <w:t>2.</w:t>
      </w:r>
      <w:r>
        <w:rPr>
          <w:color w:val="231F20"/>
          <w:spacing w:val="-6"/>
        </w:rPr>
        <w:t> </w:t>
      </w:r>
      <w:r>
        <w:rPr>
          <w:color w:val="231F20"/>
        </w:rPr>
        <w:t>Se</w:t>
      </w:r>
      <w:r>
        <w:rPr>
          <w:color w:val="231F20"/>
          <w:spacing w:val="-6"/>
        </w:rPr>
        <w:t> </w:t>
      </w:r>
      <w:r>
        <w:rPr>
          <w:color w:val="231F20"/>
        </w:rPr>
        <w:t>presentan</w:t>
      </w:r>
      <w:r>
        <w:rPr>
          <w:color w:val="231F20"/>
          <w:spacing w:val="-6"/>
        </w:rPr>
        <w:t> </w:t>
      </w:r>
      <w:r>
        <w:rPr>
          <w:color w:val="231F20"/>
        </w:rPr>
        <w:t>los</w:t>
      </w:r>
      <w:r>
        <w:rPr>
          <w:color w:val="231F20"/>
          <w:spacing w:val="-6"/>
        </w:rPr>
        <w:t> </w:t>
      </w:r>
      <w:r>
        <w:rPr>
          <w:color w:val="231F20"/>
        </w:rPr>
        <w:t>datos</w:t>
      </w:r>
      <w:r>
        <w:rPr>
          <w:color w:val="231F20"/>
          <w:spacing w:val="-6"/>
        </w:rPr>
        <w:t> </w:t>
      </w:r>
      <w:r>
        <w:rPr>
          <w:color w:val="231F20"/>
        </w:rPr>
        <w:t>comparativos</w:t>
      </w:r>
      <w:r>
        <w:rPr>
          <w:color w:val="231F20"/>
          <w:spacing w:val="-6"/>
        </w:rPr>
        <w:t> </w:t>
      </w:r>
      <w:r>
        <w:rPr>
          <w:color w:val="231F20"/>
        </w:rPr>
        <w:t>del</w:t>
      </w:r>
      <w:r>
        <w:rPr>
          <w:color w:val="231F20"/>
          <w:spacing w:val="-6"/>
        </w:rPr>
        <w:t> </w:t>
      </w:r>
      <w:r>
        <w:rPr>
          <w:color w:val="231F20"/>
        </w:rPr>
        <w:t>análisis proximal</w:t>
      </w:r>
      <w:r>
        <w:rPr>
          <w:color w:val="231F20"/>
          <w:spacing w:val="-4"/>
        </w:rPr>
        <w:t> </w:t>
      </w:r>
      <w:r>
        <w:rPr>
          <w:color w:val="231F20"/>
        </w:rPr>
        <w:t>de</w:t>
      </w:r>
      <w:r>
        <w:rPr>
          <w:color w:val="231F20"/>
          <w:spacing w:val="-4"/>
        </w:rPr>
        <w:t> </w:t>
      </w:r>
      <w:r>
        <w:rPr>
          <w:color w:val="231F20"/>
        </w:rPr>
        <w:t>Myriophyllum</w:t>
      </w:r>
      <w:r>
        <w:rPr>
          <w:color w:val="231F20"/>
          <w:spacing w:val="-4"/>
        </w:rPr>
        <w:t> </w:t>
      </w:r>
      <w:r>
        <w:rPr>
          <w:color w:val="231F20"/>
        </w:rPr>
        <w:t>aquaticum</w:t>
      </w:r>
      <w:r>
        <w:rPr>
          <w:color w:val="231F20"/>
          <w:spacing w:val="-5"/>
        </w:rPr>
        <w:t> </w:t>
      </w:r>
      <w:r>
        <w:rPr>
          <w:color w:val="231F20"/>
        </w:rPr>
        <w:t>y</w:t>
      </w:r>
      <w:r>
        <w:rPr>
          <w:color w:val="231F20"/>
          <w:spacing w:val="-4"/>
        </w:rPr>
        <w:t> </w:t>
      </w:r>
      <w:r>
        <w:rPr>
          <w:color w:val="231F20"/>
        </w:rPr>
        <w:t>Medicago</w:t>
      </w:r>
      <w:r>
        <w:rPr>
          <w:color w:val="231F20"/>
          <w:spacing w:val="-4"/>
        </w:rPr>
        <w:t> </w:t>
      </w:r>
      <w:r>
        <w:rPr>
          <w:color w:val="231F20"/>
        </w:rPr>
        <w:t>sativa,</w:t>
      </w:r>
      <w:r>
        <w:rPr>
          <w:color w:val="231F20"/>
          <w:spacing w:val="-4"/>
        </w:rPr>
        <w:t> </w:t>
      </w:r>
      <w:r>
        <w:rPr>
          <w:color w:val="231F20"/>
        </w:rPr>
        <w:t>con</w:t>
      </w:r>
      <w:r>
        <w:rPr>
          <w:color w:val="231F20"/>
          <w:spacing w:val="-5"/>
        </w:rPr>
        <w:t> </w:t>
      </w:r>
      <w:r>
        <w:rPr>
          <w:color w:val="231F20"/>
        </w:rPr>
        <w:t>prueba</w:t>
      </w:r>
      <w:r>
        <w:rPr>
          <w:color w:val="231F20"/>
          <w:spacing w:val="-4"/>
        </w:rPr>
        <w:t> </w:t>
      </w:r>
      <w:r>
        <w:rPr>
          <w:color w:val="231F20"/>
        </w:rPr>
        <w:t>de</w:t>
      </w:r>
      <w:r>
        <w:rPr>
          <w:color w:val="231F20"/>
          <w:spacing w:val="-9"/>
        </w:rPr>
        <w:t> </w:t>
      </w:r>
      <w:r>
        <w:rPr>
          <w:color w:val="231F20"/>
        </w:rPr>
        <w:t>Tukey</w:t>
      </w:r>
      <w:r>
        <w:rPr>
          <w:color w:val="231F20"/>
          <w:spacing w:val="-4"/>
        </w:rPr>
        <w:t> </w:t>
      </w:r>
      <w:r>
        <w:rPr>
          <w:color w:val="231F20"/>
        </w:rPr>
        <w:t>P&lt;0.005.</w:t>
      </w:r>
    </w:p>
    <w:p>
      <w:pPr>
        <w:pStyle w:val="BodyText"/>
        <w:spacing w:before="4"/>
      </w:pPr>
    </w:p>
    <w:p>
      <w:pPr>
        <w:spacing w:line="290" w:lineRule="auto" w:before="0"/>
        <w:ind w:left="2288" w:right="2017" w:hanging="270"/>
        <w:jc w:val="left"/>
        <w:rPr>
          <w:b/>
          <w:sz w:val="18"/>
        </w:rPr>
      </w:pPr>
      <w:r>
        <w:rPr>
          <w:b/>
          <w:color w:val="010202"/>
          <w:spacing w:val="-3"/>
          <w:sz w:val="18"/>
        </w:rPr>
        <w:t>Cuadro</w:t>
      </w:r>
      <w:r>
        <w:rPr>
          <w:b/>
          <w:color w:val="010202"/>
          <w:spacing w:val="-16"/>
          <w:sz w:val="18"/>
        </w:rPr>
        <w:t> </w:t>
      </w:r>
      <w:r>
        <w:rPr>
          <w:b/>
          <w:color w:val="010202"/>
          <w:sz w:val="18"/>
        </w:rPr>
        <w:t>2.</w:t>
      </w:r>
      <w:r>
        <w:rPr>
          <w:b/>
          <w:color w:val="010202"/>
          <w:spacing w:val="-23"/>
          <w:sz w:val="18"/>
        </w:rPr>
        <w:t> </w:t>
      </w:r>
      <w:r>
        <w:rPr>
          <w:b/>
          <w:color w:val="010202"/>
          <w:sz w:val="18"/>
        </w:rPr>
        <w:t>Análisis</w:t>
      </w:r>
      <w:r>
        <w:rPr>
          <w:b/>
          <w:color w:val="010202"/>
          <w:spacing w:val="-16"/>
          <w:sz w:val="18"/>
        </w:rPr>
        <w:t> </w:t>
      </w:r>
      <w:r>
        <w:rPr>
          <w:b/>
          <w:color w:val="010202"/>
          <w:sz w:val="18"/>
        </w:rPr>
        <w:t>comparativo</w:t>
      </w:r>
      <w:r>
        <w:rPr>
          <w:b/>
          <w:color w:val="010202"/>
          <w:spacing w:val="-17"/>
          <w:sz w:val="18"/>
        </w:rPr>
        <w:t> </w:t>
      </w:r>
      <w:r>
        <w:rPr>
          <w:b/>
          <w:i/>
          <w:color w:val="010202"/>
          <w:sz w:val="18"/>
        </w:rPr>
        <w:t>Myriophyllum-Alfalfa</w:t>
      </w:r>
      <w:r>
        <w:rPr>
          <w:b/>
          <w:color w:val="010202"/>
          <w:sz w:val="18"/>
        </w:rPr>
        <w:t>.</w:t>
      </w:r>
      <w:r>
        <w:rPr>
          <w:b/>
          <w:color w:val="010202"/>
          <w:spacing w:val="-16"/>
          <w:sz w:val="18"/>
        </w:rPr>
        <w:t> </w:t>
      </w:r>
      <w:r>
        <w:rPr>
          <w:b/>
          <w:color w:val="010202"/>
          <w:sz w:val="18"/>
        </w:rPr>
        <w:t>Excluyendo</w:t>
      </w:r>
      <w:r>
        <w:rPr>
          <w:b/>
          <w:color w:val="010202"/>
          <w:spacing w:val="-16"/>
          <w:sz w:val="18"/>
        </w:rPr>
        <w:t> </w:t>
      </w:r>
      <w:r>
        <w:rPr>
          <w:b/>
          <w:color w:val="010202"/>
          <w:sz w:val="18"/>
        </w:rPr>
        <w:t>la</w:t>
      </w:r>
      <w:r>
        <w:rPr>
          <w:b/>
          <w:color w:val="010202"/>
          <w:spacing w:val="-16"/>
          <w:sz w:val="18"/>
        </w:rPr>
        <w:t> </w:t>
      </w:r>
      <w:r>
        <w:rPr>
          <w:b/>
          <w:color w:val="010202"/>
          <w:sz w:val="18"/>
        </w:rPr>
        <w:t>humedad</w:t>
      </w:r>
      <w:r>
        <w:rPr>
          <w:b/>
          <w:color w:val="010202"/>
          <w:spacing w:val="-16"/>
          <w:sz w:val="18"/>
        </w:rPr>
        <w:t> </w:t>
      </w:r>
      <w:r>
        <w:rPr>
          <w:b/>
          <w:color w:val="010202"/>
          <w:sz w:val="18"/>
        </w:rPr>
        <w:t>y</w:t>
      </w:r>
      <w:r>
        <w:rPr>
          <w:b/>
          <w:color w:val="010202"/>
          <w:spacing w:val="-16"/>
          <w:sz w:val="18"/>
        </w:rPr>
        <w:t> </w:t>
      </w:r>
      <w:r>
        <w:rPr>
          <w:b/>
          <w:color w:val="010202"/>
          <w:sz w:val="18"/>
        </w:rPr>
        <w:t>la</w:t>
      </w:r>
      <w:r>
        <w:rPr>
          <w:b/>
          <w:color w:val="010202"/>
          <w:spacing w:val="-16"/>
          <w:sz w:val="18"/>
        </w:rPr>
        <w:t> </w:t>
      </w:r>
      <w:r>
        <w:rPr>
          <w:b/>
          <w:color w:val="010202"/>
          <w:sz w:val="18"/>
        </w:rPr>
        <w:t>Materia seca</w:t>
      </w:r>
      <w:r>
        <w:rPr>
          <w:b/>
          <w:color w:val="010202"/>
          <w:spacing w:val="-12"/>
          <w:sz w:val="18"/>
        </w:rPr>
        <w:t> </w:t>
      </w:r>
      <w:r>
        <w:rPr>
          <w:b/>
          <w:color w:val="010202"/>
          <w:sz w:val="18"/>
        </w:rPr>
        <w:t>que</w:t>
      </w:r>
      <w:r>
        <w:rPr>
          <w:b/>
          <w:color w:val="010202"/>
          <w:spacing w:val="-12"/>
          <w:sz w:val="18"/>
        </w:rPr>
        <w:t> </w:t>
      </w:r>
      <w:r>
        <w:rPr>
          <w:b/>
          <w:color w:val="010202"/>
          <w:sz w:val="18"/>
        </w:rPr>
        <w:t>son</w:t>
      </w:r>
      <w:r>
        <w:rPr>
          <w:b/>
          <w:color w:val="010202"/>
          <w:spacing w:val="-12"/>
          <w:sz w:val="18"/>
        </w:rPr>
        <w:t> </w:t>
      </w:r>
      <w:r>
        <w:rPr>
          <w:b/>
          <w:color w:val="010202"/>
          <w:sz w:val="18"/>
        </w:rPr>
        <w:t>en</w:t>
      </w:r>
      <w:r>
        <w:rPr>
          <w:b/>
          <w:color w:val="010202"/>
          <w:spacing w:val="-12"/>
          <w:sz w:val="18"/>
        </w:rPr>
        <w:t> </w:t>
      </w:r>
      <w:r>
        <w:rPr>
          <w:b/>
          <w:color w:val="010202"/>
          <w:sz w:val="18"/>
        </w:rPr>
        <w:t>base</w:t>
      </w:r>
      <w:r>
        <w:rPr>
          <w:b/>
          <w:color w:val="010202"/>
          <w:spacing w:val="-12"/>
          <w:sz w:val="18"/>
        </w:rPr>
        <w:t> </w:t>
      </w:r>
      <w:r>
        <w:rPr>
          <w:b/>
          <w:color w:val="010202"/>
          <w:sz w:val="18"/>
        </w:rPr>
        <w:t>húmeda</w:t>
      </w:r>
      <w:r>
        <w:rPr>
          <w:b/>
          <w:color w:val="010202"/>
          <w:spacing w:val="-12"/>
          <w:sz w:val="18"/>
        </w:rPr>
        <w:t> </w:t>
      </w:r>
      <w:r>
        <w:rPr>
          <w:b/>
          <w:color w:val="010202"/>
          <w:sz w:val="18"/>
        </w:rPr>
        <w:t>(BH),</w:t>
      </w:r>
      <w:r>
        <w:rPr>
          <w:b/>
          <w:color w:val="010202"/>
          <w:spacing w:val="-12"/>
          <w:sz w:val="18"/>
        </w:rPr>
        <w:t> </w:t>
      </w:r>
      <w:r>
        <w:rPr>
          <w:b/>
          <w:color w:val="010202"/>
          <w:sz w:val="18"/>
        </w:rPr>
        <w:t>todas</w:t>
      </w:r>
      <w:r>
        <w:rPr>
          <w:b/>
          <w:color w:val="010202"/>
          <w:spacing w:val="-12"/>
          <w:sz w:val="18"/>
        </w:rPr>
        <w:t> </w:t>
      </w:r>
      <w:r>
        <w:rPr>
          <w:b/>
          <w:color w:val="010202"/>
          <w:sz w:val="18"/>
        </w:rPr>
        <w:t>las</w:t>
      </w:r>
      <w:r>
        <w:rPr>
          <w:b/>
          <w:color w:val="010202"/>
          <w:spacing w:val="-12"/>
          <w:sz w:val="18"/>
        </w:rPr>
        <w:t> </w:t>
      </w:r>
      <w:r>
        <w:rPr>
          <w:b/>
          <w:color w:val="010202"/>
          <w:sz w:val="18"/>
        </w:rPr>
        <w:t>demás</w:t>
      </w:r>
      <w:r>
        <w:rPr>
          <w:b/>
          <w:color w:val="010202"/>
          <w:spacing w:val="-12"/>
          <w:sz w:val="18"/>
        </w:rPr>
        <w:t> </w:t>
      </w:r>
      <w:r>
        <w:rPr>
          <w:b/>
          <w:color w:val="010202"/>
          <w:sz w:val="18"/>
        </w:rPr>
        <w:t>variables</w:t>
      </w:r>
      <w:r>
        <w:rPr>
          <w:b/>
          <w:color w:val="010202"/>
          <w:spacing w:val="-12"/>
          <w:sz w:val="18"/>
        </w:rPr>
        <w:t> </w:t>
      </w:r>
      <w:r>
        <w:rPr>
          <w:b/>
          <w:color w:val="010202"/>
          <w:sz w:val="18"/>
        </w:rPr>
        <w:t>están</w:t>
      </w:r>
      <w:r>
        <w:rPr>
          <w:b/>
          <w:color w:val="010202"/>
          <w:spacing w:val="-12"/>
          <w:sz w:val="18"/>
        </w:rPr>
        <w:t> </w:t>
      </w:r>
      <w:r>
        <w:rPr>
          <w:b/>
          <w:color w:val="010202"/>
          <w:sz w:val="18"/>
        </w:rPr>
        <w:t>en</w:t>
      </w:r>
      <w:r>
        <w:rPr>
          <w:b/>
          <w:color w:val="010202"/>
          <w:spacing w:val="-12"/>
          <w:sz w:val="18"/>
        </w:rPr>
        <w:t> </w:t>
      </w:r>
      <w:r>
        <w:rPr>
          <w:b/>
          <w:color w:val="010202"/>
          <w:sz w:val="18"/>
        </w:rPr>
        <w:t>base</w:t>
      </w:r>
      <w:r>
        <w:rPr>
          <w:b/>
          <w:color w:val="010202"/>
          <w:spacing w:val="-12"/>
          <w:sz w:val="18"/>
        </w:rPr>
        <w:t> </w:t>
      </w:r>
      <w:r>
        <w:rPr>
          <w:b/>
          <w:color w:val="010202"/>
          <w:sz w:val="18"/>
        </w:rPr>
        <w:t>seca</w:t>
      </w:r>
      <w:r>
        <w:rPr>
          <w:b/>
          <w:color w:val="010202"/>
          <w:spacing w:val="-12"/>
          <w:sz w:val="18"/>
        </w:rPr>
        <w:t> </w:t>
      </w:r>
      <w:r>
        <w:rPr>
          <w:b/>
          <w:color w:val="010202"/>
          <w:sz w:val="18"/>
        </w:rPr>
        <w:t>(BS)</w:t>
      </w:r>
    </w:p>
    <w:tbl>
      <w:tblPr>
        <w:tblW w:w="0" w:type="auto"/>
        <w:jc w:val="left"/>
        <w:tblInd w:w="1270"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top w:w="0" w:type="dxa"/>
          <w:left w:w="0" w:type="dxa"/>
          <w:bottom w:w="0" w:type="dxa"/>
          <w:right w:w="0" w:type="dxa"/>
        </w:tblCellMar>
        <w:tblLook w:val="01E0"/>
      </w:tblPr>
      <w:tblGrid>
        <w:gridCol w:w="1407"/>
        <w:gridCol w:w="952"/>
        <w:gridCol w:w="873"/>
        <w:gridCol w:w="748"/>
        <w:gridCol w:w="929"/>
        <w:gridCol w:w="929"/>
        <w:gridCol w:w="929"/>
        <w:gridCol w:w="865"/>
        <w:gridCol w:w="727"/>
      </w:tblGrid>
      <w:tr>
        <w:trPr>
          <w:trHeight w:val="282" w:hRule="exact"/>
        </w:trPr>
        <w:tc>
          <w:tcPr>
            <w:tcW w:w="1407" w:type="dxa"/>
          </w:tcPr>
          <w:p>
            <w:pPr>
              <w:pStyle w:val="TableParagraph"/>
              <w:spacing w:before="24"/>
              <w:ind w:left="142" w:right="142"/>
              <w:jc w:val="center"/>
              <w:rPr>
                <w:b/>
                <w:sz w:val="18"/>
              </w:rPr>
            </w:pPr>
            <w:r>
              <w:rPr>
                <w:b/>
                <w:color w:val="231F20"/>
                <w:sz w:val="18"/>
              </w:rPr>
              <w:t>Especie</w:t>
            </w:r>
          </w:p>
        </w:tc>
        <w:tc>
          <w:tcPr>
            <w:tcW w:w="952" w:type="dxa"/>
          </w:tcPr>
          <w:p>
            <w:pPr>
              <w:pStyle w:val="TableParagraph"/>
              <w:spacing w:before="24"/>
              <w:ind w:left="66" w:right="66"/>
              <w:jc w:val="center"/>
              <w:rPr>
                <w:b/>
                <w:sz w:val="18"/>
              </w:rPr>
            </w:pPr>
            <w:r>
              <w:rPr>
                <w:b/>
                <w:color w:val="231F20"/>
                <w:sz w:val="18"/>
              </w:rPr>
              <w:t>Humedad</w:t>
            </w:r>
          </w:p>
        </w:tc>
        <w:tc>
          <w:tcPr>
            <w:tcW w:w="873" w:type="dxa"/>
          </w:tcPr>
          <w:p>
            <w:pPr>
              <w:pStyle w:val="TableParagraph"/>
              <w:spacing w:before="24"/>
              <w:ind w:left="226" w:right="226"/>
              <w:jc w:val="center"/>
              <w:rPr>
                <w:b/>
                <w:sz w:val="18"/>
              </w:rPr>
            </w:pPr>
            <w:r>
              <w:rPr>
                <w:b/>
                <w:color w:val="231F20"/>
                <w:sz w:val="18"/>
              </w:rPr>
              <w:t>MS</w:t>
            </w:r>
          </w:p>
        </w:tc>
        <w:tc>
          <w:tcPr>
            <w:tcW w:w="748" w:type="dxa"/>
          </w:tcPr>
          <w:p>
            <w:pPr>
              <w:pStyle w:val="TableParagraph"/>
              <w:spacing w:before="24"/>
              <w:ind w:left="204" w:right="204"/>
              <w:jc w:val="center"/>
              <w:rPr>
                <w:b/>
                <w:sz w:val="18"/>
              </w:rPr>
            </w:pPr>
            <w:r>
              <w:rPr>
                <w:b/>
                <w:color w:val="231F20"/>
                <w:sz w:val="18"/>
              </w:rPr>
              <w:t>EE</w:t>
            </w:r>
          </w:p>
        </w:tc>
        <w:tc>
          <w:tcPr>
            <w:tcW w:w="929" w:type="dxa"/>
          </w:tcPr>
          <w:p>
            <w:pPr>
              <w:pStyle w:val="TableParagraph"/>
              <w:spacing w:before="24"/>
              <w:ind w:left="0" w:right="332"/>
              <w:jc w:val="right"/>
              <w:rPr>
                <w:b/>
                <w:sz w:val="18"/>
              </w:rPr>
            </w:pPr>
            <w:r>
              <w:rPr>
                <w:b/>
                <w:color w:val="231F20"/>
                <w:sz w:val="18"/>
              </w:rPr>
              <w:t>FC</w:t>
            </w:r>
          </w:p>
        </w:tc>
        <w:tc>
          <w:tcPr>
            <w:tcW w:w="929" w:type="dxa"/>
          </w:tcPr>
          <w:p>
            <w:pPr>
              <w:pStyle w:val="TableParagraph"/>
              <w:spacing w:before="24"/>
              <w:ind w:left="134" w:right="134"/>
              <w:jc w:val="center"/>
              <w:rPr>
                <w:b/>
                <w:sz w:val="18"/>
              </w:rPr>
            </w:pPr>
            <w:r>
              <w:rPr>
                <w:b/>
                <w:color w:val="231F20"/>
                <w:sz w:val="18"/>
              </w:rPr>
              <w:t>PC</w:t>
            </w:r>
          </w:p>
        </w:tc>
        <w:tc>
          <w:tcPr>
            <w:tcW w:w="929" w:type="dxa"/>
          </w:tcPr>
          <w:p>
            <w:pPr>
              <w:pStyle w:val="TableParagraph"/>
              <w:spacing w:before="24"/>
              <w:ind w:left="134" w:right="134"/>
              <w:jc w:val="center"/>
              <w:rPr>
                <w:b/>
                <w:sz w:val="18"/>
              </w:rPr>
            </w:pPr>
            <w:r>
              <w:rPr>
                <w:b/>
                <w:color w:val="231F20"/>
                <w:sz w:val="18"/>
              </w:rPr>
              <w:t>Cenizas</w:t>
            </w:r>
          </w:p>
        </w:tc>
        <w:tc>
          <w:tcPr>
            <w:tcW w:w="865" w:type="dxa"/>
          </w:tcPr>
          <w:p>
            <w:pPr>
              <w:pStyle w:val="TableParagraph"/>
              <w:spacing w:before="24"/>
              <w:ind w:left="226" w:right="226"/>
              <w:jc w:val="center"/>
              <w:rPr>
                <w:b/>
                <w:sz w:val="18"/>
              </w:rPr>
            </w:pPr>
            <w:r>
              <w:rPr>
                <w:b/>
                <w:color w:val="231F20"/>
                <w:sz w:val="18"/>
              </w:rPr>
              <w:t>MO</w:t>
            </w:r>
          </w:p>
        </w:tc>
        <w:tc>
          <w:tcPr>
            <w:tcW w:w="727" w:type="dxa"/>
          </w:tcPr>
          <w:p>
            <w:pPr>
              <w:pStyle w:val="TableParagraph"/>
              <w:spacing w:before="24"/>
              <w:ind w:left="0" w:right="166"/>
              <w:jc w:val="right"/>
              <w:rPr>
                <w:b/>
                <w:sz w:val="18"/>
              </w:rPr>
            </w:pPr>
            <w:r>
              <w:rPr>
                <w:b/>
                <w:color w:val="231F20"/>
                <w:sz w:val="18"/>
              </w:rPr>
              <w:t>ELN</w:t>
            </w:r>
          </w:p>
        </w:tc>
      </w:tr>
      <w:tr>
        <w:trPr>
          <w:trHeight w:val="463" w:hRule="exact"/>
        </w:trPr>
        <w:tc>
          <w:tcPr>
            <w:tcW w:w="1407" w:type="dxa"/>
          </w:tcPr>
          <w:p>
            <w:pPr>
              <w:pStyle w:val="TableParagraph"/>
              <w:spacing w:line="249" w:lineRule="auto" w:before="31"/>
              <w:ind w:left="355" w:right="221" w:hanging="116"/>
              <w:rPr>
                <w:i/>
                <w:sz w:val="16"/>
              </w:rPr>
            </w:pPr>
            <w:r>
              <w:rPr>
                <w:i/>
                <w:color w:val="231F20"/>
                <w:sz w:val="16"/>
              </w:rPr>
              <w:t>Myriophyllum </w:t>
            </w:r>
            <w:r>
              <w:rPr>
                <w:i/>
                <w:color w:val="231F20"/>
                <w:sz w:val="16"/>
              </w:rPr>
              <w:t>aquaticum</w:t>
            </w:r>
          </w:p>
        </w:tc>
        <w:tc>
          <w:tcPr>
            <w:tcW w:w="952" w:type="dxa"/>
          </w:tcPr>
          <w:p>
            <w:pPr>
              <w:pStyle w:val="TableParagraph"/>
              <w:spacing w:before="31"/>
              <w:ind w:left="66" w:right="66"/>
              <w:jc w:val="center"/>
              <w:rPr>
                <w:sz w:val="16"/>
              </w:rPr>
            </w:pPr>
            <w:r>
              <w:rPr>
                <w:color w:val="231F20"/>
                <w:sz w:val="16"/>
              </w:rPr>
              <w:t>88.5b</w:t>
            </w:r>
          </w:p>
        </w:tc>
        <w:tc>
          <w:tcPr>
            <w:tcW w:w="873" w:type="dxa"/>
          </w:tcPr>
          <w:p>
            <w:pPr>
              <w:pStyle w:val="TableParagraph"/>
              <w:spacing w:before="31"/>
              <w:ind w:left="226" w:right="226"/>
              <w:jc w:val="center"/>
              <w:rPr>
                <w:sz w:val="16"/>
              </w:rPr>
            </w:pPr>
            <w:r>
              <w:rPr>
                <w:color w:val="231F20"/>
                <w:sz w:val="16"/>
              </w:rPr>
              <w:t>11.5b</w:t>
            </w:r>
          </w:p>
        </w:tc>
        <w:tc>
          <w:tcPr>
            <w:tcW w:w="748" w:type="dxa"/>
          </w:tcPr>
          <w:p>
            <w:pPr>
              <w:pStyle w:val="TableParagraph"/>
              <w:spacing w:before="31"/>
              <w:ind w:left="204" w:right="204"/>
              <w:jc w:val="center"/>
              <w:rPr>
                <w:sz w:val="16"/>
              </w:rPr>
            </w:pPr>
            <w:r>
              <w:rPr>
                <w:color w:val="231F20"/>
                <w:sz w:val="16"/>
              </w:rPr>
              <w:t>3.3b</w:t>
            </w:r>
          </w:p>
        </w:tc>
        <w:tc>
          <w:tcPr>
            <w:tcW w:w="929" w:type="dxa"/>
          </w:tcPr>
          <w:p>
            <w:pPr>
              <w:pStyle w:val="TableParagraph"/>
              <w:spacing w:before="31"/>
              <w:ind w:left="0" w:right="272"/>
              <w:jc w:val="right"/>
              <w:rPr>
                <w:sz w:val="16"/>
              </w:rPr>
            </w:pPr>
            <w:r>
              <w:rPr>
                <w:color w:val="231F20"/>
                <w:sz w:val="16"/>
              </w:rPr>
              <w:t>15.6b</w:t>
            </w:r>
          </w:p>
        </w:tc>
        <w:tc>
          <w:tcPr>
            <w:tcW w:w="929" w:type="dxa"/>
          </w:tcPr>
          <w:p>
            <w:pPr>
              <w:pStyle w:val="TableParagraph"/>
              <w:spacing w:before="31"/>
              <w:ind w:left="134" w:right="134"/>
              <w:jc w:val="center"/>
              <w:rPr>
                <w:sz w:val="16"/>
              </w:rPr>
            </w:pPr>
            <w:r>
              <w:rPr>
                <w:color w:val="231F20"/>
                <w:sz w:val="16"/>
              </w:rPr>
              <w:t>27.9b</w:t>
            </w:r>
          </w:p>
        </w:tc>
        <w:tc>
          <w:tcPr>
            <w:tcW w:w="929" w:type="dxa"/>
          </w:tcPr>
          <w:p>
            <w:pPr>
              <w:pStyle w:val="TableParagraph"/>
              <w:spacing w:before="31"/>
              <w:ind w:left="134" w:right="134"/>
              <w:jc w:val="center"/>
              <w:rPr>
                <w:sz w:val="16"/>
              </w:rPr>
            </w:pPr>
            <w:r>
              <w:rPr>
                <w:color w:val="231F20"/>
                <w:sz w:val="16"/>
              </w:rPr>
              <w:t>15.4b</w:t>
            </w:r>
          </w:p>
        </w:tc>
        <w:tc>
          <w:tcPr>
            <w:tcW w:w="865" w:type="dxa"/>
          </w:tcPr>
          <w:p>
            <w:pPr>
              <w:pStyle w:val="TableParagraph"/>
              <w:spacing w:before="31"/>
              <w:ind w:left="226" w:right="226"/>
              <w:jc w:val="center"/>
              <w:rPr>
                <w:sz w:val="16"/>
              </w:rPr>
            </w:pPr>
            <w:r>
              <w:rPr>
                <w:color w:val="231F20"/>
                <w:sz w:val="16"/>
              </w:rPr>
              <w:t>84.6a</w:t>
            </w:r>
          </w:p>
        </w:tc>
        <w:tc>
          <w:tcPr>
            <w:tcW w:w="727" w:type="dxa"/>
          </w:tcPr>
          <w:p>
            <w:pPr>
              <w:pStyle w:val="TableParagraph"/>
              <w:spacing w:before="31"/>
              <w:ind w:left="0" w:right="176"/>
              <w:jc w:val="right"/>
              <w:rPr>
                <w:sz w:val="16"/>
              </w:rPr>
            </w:pPr>
            <w:r>
              <w:rPr>
                <w:color w:val="231F20"/>
                <w:sz w:val="16"/>
              </w:rPr>
              <w:t>37.8a</w:t>
            </w:r>
          </w:p>
        </w:tc>
      </w:tr>
      <w:tr>
        <w:trPr>
          <w:trHeight w:val="271" w:hRule="exact"/>
        </w:trPr>
        <w:tc>
          <w:tcPr>
            <w:tcW w:w="1407" w:type="dxa"/>
          </w:tcPr>
          <w:p>
            <w:pPr>
              <w:pStyle w:val="TableParagraph"/>
              <w:spacing w:before="31"/>
              <w:ind w:left="142" w:right="142"/>
              <w:jc w:val="center"/>
              <w:rPr>
                <w:i/>
                <w:sz w:val="16"/>
              </w:rPr>
            </w:pPr>
            <w:r>
              <w:rPr>
                <w:i/>
                <w:color w:val="231F20"/>
                <w:sz w:val="16"/>
              </w:rPr>
              <w:t>Medicago sativa</w:t>
            </w:r>
          </w:p>
        </w:tc>
        <w:tc>
          <w:tcPr>
            <w:tcW w:w="952" w:type="dxa"/>
          </w:tcPr>
          <w:p>
            <w:pPr>
              <w:pStyle w:val="TableParagraph"/>
              <w:spacing w:before="31"/>
              <w:ind w:left="66" w:right="66"/>
              <w:jc w:val="center"/>
              <w:rPr>
                <w:sz w:val="16"/>
              </w:rPr>
            </w:pPr>
            <w:r>
              <w:rPr>
                <w:color w:val="231F20"/>
                <w:sz w:val="16"/>
              </w:rPr>
              <w:t>77.1b</w:t>
            </w:r>
          </w:p>
        </w:tc>
        <w:tc>
          <w:tcPr>
            <w:tcW w:w="873" w:type="dxa"/>
          </w:tcPr>
          <w:p>
            <w:pPr>
              <w:pStyle w:val="TableParagraph"/>
              <w:spacing w:before="31"/>
              <w:ind w:left="226" w:right="226"/>
              <w:jc w:val="center"/>
              <w:rPr>
                <w:sz w:val="16"/>
              </w:rPr>
            </w:pPr>
            <w:r>
              <w:rPr>
                <w:color w:val="231F20"/>
                <w:sz w:val="16"/>
              </w:rPr>
              <w:t>22.9ª</w:t>
            </w:r>
          </w:p>
        </w:tc>
        <w:tc>
          <w:tcPr>
            <w:tcW w:w="748" w:type="dxa"/>
          </w:tcPr>
          <w:p>
            <w:pPr>
              <w:pStyle w:val="TableParagraph"/>
              <w:spacing w:before="31"/>
              <w:ind w:left="204" w:right="204"/>
              <w:jc w:val="center"/>
              <w:rPr>
                <w:sz w:val="16"/>
              </w:rPr>
            </w:pPr>
            <w:r>
              <w:rPr>
                <w:color w:val="231F20"/>
                <w:sz w:val="16"/>
              </w:rPr>
              <w:t>2.4a</w:t>
            </w:r>
          </w:p>
        </w:tc>
        <w:tc>
          <w:tcPr>
            <w:tcW w:w="929" w:type="dxa"/>
          </w:tcPr>
          <w:p>
            <w:pPr>
              <w:pStyle w:val="TableParagraph"/>
              <w:spacing w:before="31"/>
              <w:ind w:left="0" w:right="276"/>
              <w:jc w:val="right"/>
              <w:rPr>
                <w:sz w:val="16"/>
              </w:rPr>
            </w:pPr>
            <w:r>
              <w:rPr>
                <w:color w:val="231F20"/>
                <w:sz w:val="16"/>
              </w:rPr>
              <w:t>27.0a</w:t>
            </w:r>
          </w:p>
        </w:tc>
        <w:tc>
          <w:tcPr>
            <w:tcW w:w="929" w:type="dxa"/>
          </w:tcPr>
          <w:p>
            <w:pPr>
              <w:pStyle w:val="TableParagraph"/>
              <w:spacing w:before="31"/>
              <w:ind w:left="134" w:right="134"/>
              <w:jc w:val="center"/>
              <w:rPr>
                <w:sz w:val="16"/>
              </w:rPr>
            </w:pPr>
            <w:r>
              <w:rPr>
                <w:color w:val="231F20"/>
                <w:sz w:val="16"/>
              </w:rPr>
              <w:t>19.4a</w:t>
            </w:r>
          </w:p>
        </w:tc>
        <w:tc>
          <w:tcPr>
            <w:tcW w:w="929" w:type="dxa"/>
          </w:tcPr>
          <w:p>
            <w:pPr>
              <w:pStyle w:val="TableParagraph"/>
              <w:spacing w:before="31"/>
              <w:ind w:left="134" w:right="134"/>
              <w:jc w:val="center"/>
              <w:rPr>
                <w:sz w:val="16"/>
              </w:rPr>
            </w:pPr>
            <w:r>
              <w:rPr>
                <w:color w:val="231F20"/>
                <w:sz w:val="16"/>
              </w:rPr>
              <w:t>11.0b</w:t>
            </w:r>
          </w:p>
        </w:tc>
        <w:tc>
          <w:tcPr>
            <w:tcW w:w="865" w:type="dxa"/>
          </w:tcPr>
          <w:p>
            <w:pPr>
              <w:pStyle w:val="TableParagraph"/>
              <w:spacing w:before="31"/>
              <w:ind w:left="226" w:right="226"/>
              <w:jc w:val="center"/>
              <w:rPr>
                <w:sz w:val="16"/>
              </w:rPr>
            </w:pPr>
            <w:r>
              <w:rPr>
                <w:color w:val="231F20"/>
                <w:sz w:val="16"/>
              </w:rPr>
              <w:t>89.0a</w:t>
            </w:r>
          </w:p>
        </w:tc>
        <w:tc>
          <w:tcPr>
            <w:tcW w:w="727" w:type="dxa"/>
          </w:tcPr>
          <w:p>
            <w:pPr>
              <w:pStyle w:val="TableParagraph"/>
              <w:spacing w:before="31"/>
              <w:ind w:left="0" w:right="176"/>
              <w:jc w:val="right"/>
              <w:rPr>
                <w:sz w:val="16"/>
              </w:rPr>
            </w:pPr>
            <w:r>
              <w:rPr>
                <w:color w:val="231F20"/>
                <w:sz w:val="16"/>
              </w:rPr>
              <w:t>40.1a</w:t>
            </w:r>
          </w:p>
        </w:tc>
      </w:tr>
    </w:tbl>
    <w:p>
      <w:pPr>
        <w:spacing w:before="10"/>
        <w:ind w:left="1270" w:right="0" w:firstLine="0"/>
        <w:jc w:val="both"/>
        <w:rPr>
          <w:b/>
          <w:i/>
          <w:sz w:val="17"/>
        </w:rPr>
      </w:pPr>
      <w:r>
        <w:rPr>
          <w:b/>
          <w:i/>
          <w:color w:val="231F20"/>
          <w:sz w:val="17"/>
        </w:rPr>
        <w:t>Letras distintas en una misma columna son estadísticamente distintas (P&lt;0.05, según prueba de Tukey)</w:t>
      </w:r>
    </w:p>
    <w:p>
      <w:pPr>
        <w:spacing w:before="54"/>
        <w:ind w:left="1270" w:right="0" w:firstLine="0"/>
        <w:jc w:val="both"/>
        <w:rPr>
          <w:b/>
          <w:i/>
          <w:sz w:val="17"/>
        </w:rPr>
      </w:pPr>
      <w:r>
        <w:rPr>
          <w:b/>
          <w:i/>
          <w:color w:val="231F20"/>
          <w:sz w:val="17"/>
        </w:rPr>
        <w:t>* MS-Materia seca, * EE-Extracto etéreo, *FC-Fibra cruda, *PC-Proteína Cruda, *MO- Materia Orgánica</w:t>
      </w:r>
    </w:p>
    <w:p>
      <w:pPr>
        <w:pStyle w:val="BodyText"/>
        <w:spacing w:before="2"/>
        <w:rPr>
          <w:b/>
          <w:i/>
          <w:sz w:val="23"/>
        </w:rPr>
      </w:pPr>
    </w:p>
    <w:p>
      <w:pPr>
        <w:pStyle w:val="BodyText"/>
        <w:spacing w:line="247" w:lineRule="auto"/>
        <w:ind w:left="1270" w:right="1268"/>
        <w:jc w:val="both"/>
      </w:pPr>
      <w:r>
        <w:rPr>
          <w:color w:val="231F20"/>
        </w:rPr>
        <w:t>En</w:t>
      </w:r>
      <w:r>
        <w:rPr>
          <w:color w:val="231F20"/>
          <w:spacing w:val="-11"/>
        </w:rPr>
        <w:t> </w:t>
      </w:r>
      <w:r>
        <w:rPr>
          <w:color w:val="231F20"/>
        </w:rPr>
        <w:t>el</w:t>
      </w:r>
      <w:r>
        <w:rPr>
          <w:color w:val="231F20"/>
          <w:spacing w:val="-11"/>
        </w:rPr>
        <w:t> </w:t>
      </w:r>
      <w:r>
        <w:rPr>
          <w:color w:val="231F20"/>
        </w:rPr>
        <w:t>cuadro</w:t>
      </w:r>
      <w:r>
        <w:rPr>
          <w:color w:val="231F20"/>
          <w:spacing w:val="-11"/>
        </w:rPr>
        <w:t> </w:t>
      </w:r>
      <w:r>
        <w:rPr>
          <w:color w:val="231F20"/>
        </w:rPr>
        <w:t>2.</w:t>
      </w:r>
      <w:r>
        <w:rPr>
          <w:color w:val="231F20"/>
          <w:spacing w:val="-11"/>
        </w:rPr>
        <w:t> </w:t>
      </w:r>
      <w:r>
        <w:rPr>
          <w:color w:val="231F20"/>
        </w:rPr>
        <w:t>Destacan</w:t>
      </w:r>
      <w:r>
        <w:rPr>
          <w:color w:val="231F20"/>
          <w:spacing w:val="-11"/>
        </w:rPr>
        <w:t> </w:t>
      </w:r>
      <w:r>
        <w:rPr>
          <w:color w:val="231F20"/>
        </w:rPr>
        <w:t>las</w:t>
      </w:r>
      <w:r>
        <w:rPr>
          <w:color w:val="231F20"/>
          <w:spacing w:val="-11"/>
        </w:rPr>
        <w:t> </w:t>
      </w:r>
      <w:r>
        <w:rPr>
          <w:color w:val="231F20"/>
        </w:rPr>
        <w:t>diferencias</w:t>
      </w:r>
      <w:r>
        <w:rPr>
          <w:color w:val="231F20"/>
          <w:spacing w:val="-11"/>
        </w:rPr>
        <w:t> </w:t>
      </w:r>
      <w:r>
        <w:rPr>
          <w:color w:val="231F20"/>
        </w:rPr>
        <w:t>estadísticas</w:t>
      </w:r>
      <w:r>
        <w:rPr>
          <w:color w:val="231F20"/>
          <w:spacing w:val="-11"/>
        </w:rPr>
        <w:t> </w:t>
      </w:r>
      <w:r>
        <w:rPr>
          <w:color w:val="231F20"/>
        </w:rPr>
        <w:t>de</w:t>
      </w:r>
      <w:r>
        <w:rPr>
          <w:color w:val="231F20"/>
          <w:spacing w:val="-11"/>
        </w:rPr>
        <w:t> </w:t>
      </w:r>
      <w:r>
        <w:rPr>
          <w:color w:val="231F20"/>
        </w:rPr>
        <w:t>proteína</w:t>
      </w:r>
      <w:r>
        <w:rPr>
          <w:color w:val="231F20"/>
          <w:spacing w:val="-11"/>
        </w:rPr>
        <w:t> </w:t>
      </w:r>
      <w:r>
        <w:rPr>
          <w:color w:val="231F20"/>
        </w:rPr>
        <w:t>de</w:t>
      </w:r>
      <w:r>
        <w:rPr>
          <w:color w:val="231F20"/>
          <w:spacing w:val="-11"/>
        </w:rPr>
        <w:t> </w:t>
      </w:r>
      <w:r>
        <w:rPr>
          <w:color w:val="231F20"/>
        </w:rPr>
        <w:t>8.5</w:t>
      </w:r>
      <w:r>
        <w:rPr>
          <w:color w:val="231F20"/>
          <w:spacing w:val="-11"/>
        </w:rPr>
        <w:t> </w:t>
      </w:r>
      <w:r>
        <w:rPr>
          <w:color w:val="231F20"/>
        </w:rPr>
        <w:t>puntos</w:t>
      </w:r>
      <w:r>
        <w:rPr>
          <w:color w:val="231F20"/>
          <w:spacing w:val="-11"/>
        </w:rPr>
        <w:t> </w:t>
      </w:r>
      <w:r>
        <w:rPr>
          <w:color w:val="231F20"/>
        </w:rPr>
        <w:t>porcentuales</w:t>
      </w:r>
      <w:r>
        <w:rPr>
          <w:color w:val="231F20"/>
          <w:spacing w:val="-11"/>
        </w:rPr>
        <w:t> </w:t>
      </w:r>
      <w:r>
        <w:rPr>
          <w:color w:val="231F20"/>
        </w:rPr>
        <w:t>de</w:t>
      </w:r>
      <w:r>
        <w:rPr>
          <w:color w:val="231F20"/>
          <w:spacing w:val="-11"/>
        </w:rPr>
        <w:t> </w:t>
      </w:r>
      <w:r>
        <w:rPr>
          <w:i/>
          <w:color w:val="231F20"/>
        </w:rPr>
        <w:t>Myrio- </w:t>
      </w:r>
      <w:r>
        <w:rPr>
          <w:i/>
          <w:color w:val="231F20"/>
        </w:rPr>
        <w:t>phyllum </w:t>
      </w:r>
      <w:r>
        <w:rPr>
          <w:color w:val="231F20"/>
        </w:rPr>
        <w:t>por encima de alfalfa. Así como una diferencia de 11.4 puntos porcentuales de </w:t>
      </w:r>
      <w:r>
        <w:rPr>
          <w:i/>
          <w:color w:val="231F20"/>
        </w:rPr>
        <w:t>Myriophy- </w:t>
      </w:r>
      <w:r>
        <w:rPr>
          <w:i/>
          <w:color w:val="231F20"/>
        </w:rPr>
        <w:t>llum </w:t>
      </w:r>
      <w:r>
        <w:rPr>
          <w:color w:val="231F20"/>
        </w:rPr>
        <w:t>por debajo de</w:t>
      </w:r>
      <w:r>
        <w:rPr>
          <w:color w:val="231F20"/>
          <w:spacing w:val="-21"/>
        </w:rPr>
        <w:t> </w:t>
      </w:r>
      <w:r>
        <w:rPr>
          <w:color w:val="231F20"/>
        </w:rPr>
        <w:t>Alfalfa.</w:t>
      </w:r>
    </w:p>
    <w:p>
      <w:pPr>
        <w:pStyle w:val="BodyText"/>
        <w:spacing w:before="4"/>
      </w:pPr>
    </w:p>
    <w:p>
      <w:pPr>
        <w:spacing w:before="0" w:after="41"/>
        <w:ind w:left="2205" w:right="1279" w:firstLine="0"/>
        <w:jc w:val="left"/>
        <w:rPr>
          <w:b/>
          <w:sz w:val="18"/>
        </w:rPr>
      </w:pPr>
      <w:r>
        <w:rPr>
          <w:b/>
          <w:color w:val="010202"/>
          <w:sz w:val="18"/>
        </w:rPr>
        <w:t>Cuadro 3. Comparativa en Sistema Van Soest. Variables se presentan en base seca (BS)</w:t>
      </w:r>
    </w:p>
    <w:tbl>
      <w:tblPr>
        <w:tblW w:w="0" w:type="auto"/>
        <w:jc w:val="left"/>
        <w:tblInd w:w="1333"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top w:w="0" w:type="dxa"/>
          <w:left w:w="0" w:type="dxa"/>
          <w:bottom w:w="0" w:type="dxa"/>
          <w:right w:w="0" w:type="dxa"/>
        </w:tblCellMar>
        <w:tblLook w:val="01E0"/>
      </w:tblPr>
      <w:tblGrid>
        <w:gridCol w:w="950"/>
        <w:gridCol w:w="702"/>
        <w:gridCol w:w="573"/>
        <w:gridCol w:w="530"/>
        <w:gridCol w:w="1089"/>
        <w:gridCol w:w="744"/>
        <w:gridCol w:w="703"/>
        <w:gridCol w:w="595"/>
        <w:gridCol w:w="1176"/>
        <w:gridCol w:w="1171"/>
      </w:tblGrid>
      <w:tr>
        <w:trPr>
          <w:trHeight w:val="268" w:hRule="exact"/>
        </w:trPr>
        <w:tc>
          <w:tcPr>
            <w:tcW w:w="950" w:type="dxa"/>
          </w:tcPr>
          <w:p>
            <w:pPr>
              <w:pStyle w:val="TableParagraph"/>
              <w:spacing w:before="29"/>
              <w:rPr>
                <w:b/>
                <w:sz w:val="16"/>
              </w:rPr>
            </w:pPr>
            <w:r>
              <w:rPr>
                <w:b/>
                <w:color w:val="231F20"/>
                <w:sz w:val="16"/>
              </w:rPr>
              <w:t>Especie</w:t>
            </w:r>
          </w:p>
        </w:tc>
        <w:tc>
          <w:tcPr>
            <w:tcW w:w="702" w:type="dxa"/>
          </w:tcPr>
          <w:p>
            <w:pPr>
              <w:pStyle w:val="TableParagraph"/>
              <w:spacing w:before="29"/>
              <w:rPr>
                <w:b/>
                <w:sz w:val="16"/>
              </w:rPr>
            </w:pPr>
            <w:r>
              <w:rPr>
                <w:b/>
                <w:color w:val="231F20"/>
                <w:sz w:val="16"/>
              </w:rPr>
              <w:t>FDN</w:t>
            </w:r>
          </w:p>
        </w:tc>
        <w:tc>
          <w:tcPr>
            <w:tcW w:w="573" w:type="dxa"/>
          </w:tcPr>
          <w:p>
            <w:pPr>
              <w:pStyle w:val="TableParagraph"/>
              <w:spacing w:before="29"/>
              <w:rPr>
                <w:b/>
                <w:sz w:val="16"/>
              </w:rPr>
            </w:pPr>
            <w:r>
              <w:rPr>
                <w:b/>
                <w:color w:val="231F20"/>
                <w:sz w:val="16"/>
              </w:rPr>
              <w:t>CC</w:t>
            </w:r>
          </w:p>
        </w:tc>
        <w:tc>
          <w:tcPr>
            <w:tcW w:w="530" w:type="dxa"/>
          </w:tcPr>
          <w:p>
            <w:pPr>
              <w:pStyle w:val="TableParagraph"/>
              <w:spacing w:before="29"/>
              <w:ind w:left="20" w:right="59"/>
              <w:jc w:val="center"/>
              <w:rPr>
                <w:b/>
                <w:sz w:val="16"/>
              </w:rPr>
            </w:pPr>
            <w:r>
              <w:rPr>
                <w:b/>
                <w:color w:val="231F20"/>
                <w:sz w:val="16"/>
              </w:rPr>
              <w:t>FDA</w:t>
            </w:r>
          </w:p>
        </w:tc>
        <w:tc>
          <w:tcPr>
            <w:tcW w:w="1089" w:type="dxa"/>
          </w:tcPr>
          <w:p>
            <w:pPr>
              <w:pStyle w:val="TableParagraph"/>
              <w:spacing w:before="29"/>
              <w:rPr>
                <w:b/>
                <w:sz w:val="16"/>
              </w:rPr>
            </w:pPr>
            <w:r>
              <w:rPr>
                <w:b/>
                <w:color w:val="231F20"/>
                <w:sz w:val="16"/>
              </w:rPr>
              <w:t>Hemicelulosa</w:t>
            </w:r>
          </w:p>
        </w:tc>
        <w:tc>
          <w:tcPr>
            <w:tcW w:w="744" w:type="dxa"/>
          </w:tcPr>
          <w:p>
            <w:pPr>
              <w:pStyle w:val="TableParagraph"/>
              <w:spacing w:before="29"/>
              <w:rPr>
                <w:b/>
                <w:sz w:val="16"/>
              </w:rPr>
            </w:pPr>
            <w:r>
              <w:rPr>
                <w:b/>
                <w:color w:val="231F20"/>
                <w:sz w:val="16"/>
              </w:rPr>
              <w:t>Celulosa</w:t>
            </w:r>
          </w:p>
        </w:tc>
        <w:tc>
          <w:tcPr>
            <w:tcW w:w="703" w:type="dxa"/>
          </w:tcPr>
          <w:p>
            <w:pPr>
              <w:pStyle w:val="TableParagraph"/>
              <w:spacing w:before="29"/>
              <w:rPr>
                <w:b/>
                <w:sz w:val="16"/>
              </w:rPr>
            </w:pPr>
            <w:r>
              <w:rPr>
                <w:b/>
                <w:color w:val="231F20"/>
                <w:sz w:val="16"/>
              </w:rPr>
              <w:t>Lignina</w:t>
            </w:r>
          </w:p>
        </w:tc>
        <w:tc>
          <w:tcPr>
            <w:tcW w:w="595" w:type="dxa"/>
          </w:tcPr>
          <w:p>
            <w:pPr>
              <w:pStyle w:val="TableParagraph"/>
              <w:spacing w:before="29"/>
              <w:rPr>
                <w:b/>
                <w:sz w:val="16"/>
              </w:rPr>
            </w:pPr>
            <w:r>
              <w:rPr>
                <w:b/>
                <w:color w:val="231F20"/>
                <w:sz w:val="16"/>
              </w:rPr>
              <w:t>Sílice</w:t>
            </w:r>
          </w:p>
        </w:tc>
        <w:tc>
          <w:tcPr>
            <w:tcW w:w="1176" w:type="dxa"/>
          </w:tcPr>
          <w:p>
            <w:pPr>
              <w:pStyle w:val="TableParagraph"/>
              <w:spacing w:before="29"/>
              <w:ind w:left="69"/>
              <w:rPr>
                <w:b/>
                <w:sz w:val="16"/>
              </w:rPr>
            </w:pPr>
            <w:r>
              <w:rPr>
                <w:b/>
                <w:color w:val="231F20"/>
                <w:sz w:val="16"/>
              </w:rPr>
              <w:t>PCins en FDN</w:t>
            </w:r>
          </w:p>
        </w:tc>
        <w:tc>
          <w:tcPr>
            <w:tcW w:w="1171" w:type="dxa"/>
          </w:tcPr>
          <w:p>
            <w:pPr>
              <w:pStyle w:val="TableParagraph"/>
              <w:spacing w:before="29"/>
              <w:ind w:left="69"/>
              <w:rPr>
                <w:b/>
                <w:sz w:val="16"/>
              </w:rPr>
            </w:pPr>
            <w:r>
              <w:rPr>
                <w:b/>
                <w:color w:val="231F20"/>
                <w:sz w:val="16"/>
              </w:rPr>
              <w:t>PCins en FDA</w:t>
            </w:r>
          </w:p>
        </w:tc>
      </w:tr>
      <w:tr>
        <w:trPr>
          <w:trHeight w:val="463" w:hRule="exact"/>
        </w:trPr>
        <w:tc>
          <w:tcPr>
            <w:tcW w:w="950" w:type="dxa"/>
          </w:tcPr>
          <w:p>
            <w:pPr>
              <w:pStyle w:val="TableParagraph"/>
              <w:spacing w:line="249" w:lineRule="auto" w:before="31"/>
              <w:rPr>
                <w:sz w:val="16"/>
              </w:rPr>
            </w:pPr>
            <w:r>
              <w:rPr>
                <w:color w:val="231F20"/>
                <w:sz w:val="16"/>
              </w:rPr>
              <w:t>Myriophy- llum</w:t>
            </w:r>
          </w:p>
        </w:tc>
        <w:tc>
          <w:tcPr>
            <w:tcW w:w="702" w:type="dxa"/>
          </w:tcPr>
          <w:p>
            <w:pPr>
              <w:pStyle w:val="TableParagraph"/>
              <w:spacing w:before="31"/>
              <w:rPr>
                <w:sz w:val="16"/>
              </w:rPr>
            </w:pPr>
            <w:r>
              <w:rPr>
                <w:color w:val="231F20"/>
                <w:sz w:val="16"/>
              </w:rPr>
              <w:t>28.2b</w:t>
            </w:r>
          </w:p>
        </w:tc>
        <w:tc>
          <w:tcPr>
            <w:tcW w:w="573" w:type="dxa"/>
          </w:tcPr>
          <w:p>
            <w:pPr>
              <w:pStyle w:val="TableParagraph"/>
              <w:spacing w:before="31"/>
              <w:rPr>
                <w:sz w:val="16"/>
              </w:rPr>
            </w:pPr>
            <w:r>
              <w:rPr>
                <w:color w:val="231F20"/>
                <w:sz w:val="16"/>
              </w:rPr>
              <w:t>71.8a</w:t>
            </w:r>
          </w:p>
        </w:tc>
        <w:tc>
          <w:tcPr>
            <w:tcW w:w="530" w:type="dxa"/>
          </w:tcPr>
          <w:p>
            <w:pPr>
              <w:pStyle w:val="TableParagraph"/>
              <w:spacing w:before="31"/>
              <w:ind w:left="51" w:right="59"/>
              <w:jc w:val="center"/>
              <w:rPr>
                <w:sz w:val="16"/>
              </w:rPr>
            </w:pPr>
            <w:r>
              <w:rPr>
                <w:color w:val="231F20"/>
                <w:sz w:val="16"/>
              </w:rPr>
              <w:t>20.2b</w:t>
            </w:r>
          </w:p>
        </w:tc>
        <w:tc>
          <w:tcPr>
            <w:tcW w:w="1089" w:type="dxa"/>
          </w:tcPr>
          <w:p>
            <w:pPr>
              <w:pStyle w:val="TableParagraph"/>
              <w:spacing w:before="31"/>
              <w:rPr>
                <w:sz w:val="16"/>
              </w:rPr>
            </w:pPr>
            <w:r>
              <w:rPr>
                <w:color w:val="231F20"/>
                <w:sz w:val="16"/>
              </w:rPr>
              <w:t>8.0a</w:t>
            </w:r>
          </w:p>
        </w:tc>
        <w:tc>
          <w:tcPr>
            <w:tcW w:w="744" w:type="dxa"/>
          </w:tcPr>
          <w:p>
            <w:pPr>
              <w:pStyle w:val="TableParagraph"/>
              <w:spacing w:before="31"/>
              <w:rPr>
                <w:sz w:val="16"/>
              </w:rPr>
            </w:pPr>
            <w:r>
              <w:rPr>
                <w:color w:val="231F20"/>
                <w:sz w:val="16"/>
              </w:rPr>
              <w:t>18.6a</w:t>
            </w:r>
          </w:p>
        </w:tc>
        <w:tc>
          <w:tcPr>
            <w:tcW w:w="703" w:type="dxa"/>
          </w:tcPr>
          <w:p>
            <w:pPr>
              <w:pStyle w:val="TableParagraph"/>
              <w:spacing w:before="31"/>
              <w:rPr>
                <w:sz w:val="16"/>
              </w:rPr>
            </w:pPr>
            <w:r>
              <w:rPr>
                <w:color w:val="231F20"/>
                <w:sz w:val="16"/>
              </w:rPr>
              <w:t>1.7b</w:t>
            </w:r>
          </w:p>
        </w:tc>
        <w:tc>
          <w:tcPr>
            <w:tcW w:w="595" w:type="dxa"/>
          </w:tcPr>
          <w:p>
            <w:pPr>
              <w:pStyle w:val="TableParagraph"/>
              <w:spacing w:before="31"/>
              <w:rPr>
                <w:sz w:val="16"/>
              </w:rPr>
            </w:pPr>
            <w:r>
              <w:rPr>
                <w:color w:val="231F20"/>
                <w:sz w:val="16"/>
              </w:rPr>
              <w:t>0.3a</w:t>
            </w:r>
          </w:p>
        </w:tc>
        <w:tc>
          <w:tcPr>
            <w:tcW w:w="1176" w:type="dxa"/>
          </w:tcPr>
          <w:p>
            <w:pPr>
              <w:pStyle w:val="TableParagraph"/>
              <w:spacing w:before="31"/>
              <w:ind w:left="69"/>
              <w:rPr>
                <w:sz w:val="16"/>
              </w:rPr>
            </w:pPr>
            <w:r>
              <w:rPr>
                <w:color w:val="231F20"/>
                <w:sz w:val="16"/>
              </w:rPr>
              <w:t>7.8a</w:t>
            </w:r>
          </w:p>
        </w:tc>
        <w:tc>
          <w:tcPr>
            <w:tcW w:w="1171" w:type="dxa"/>
          </w:tcPr>
          <w:p>
            <w:pPr>
              <w:pStyle w:val="TableParagraph"/>
              <w:spacing w:before="31"/>
              <w:ind w:left="69"/>
              <w:rPr>
                <w:sz w:val="16"/>
              </w:rPr>
            </w:pPr>
            <w:r>
              <w:rPr>
                <w:color w:val="231F20"/>
                <w:sz w:val="16"/>
              </w:rPr>
              <w:t>3.8a</w:t>
            </w:r>
          </w:p>
        </w:tc>
      </w:tr>
      <w:tr>
        <w:trPr>
          <w:trHeight w:val="271" w:hRule="exact"/>
        </w:trPr>
        <w:tc>
          <w:tcPr>
            <w:tcW w:w="950" w:type="dxa"/>
          </w:tcPr>
          <w:p>
            <w:pPr>
              <w:pStyle w:val="TableParagraph"/>
              <w:spacing w:before="31"/>
              <w:rPr>
                <w:sz w:val="16"/>
              </w:rPr>
            </w:pPr>
            <w:r>
              <w:rPr>
                <w:color w:val="231F20"/>
                <w:sz w:val="16"/>
              </w:rPr>
              <w:t>Medicago</w:t>
            </w:r>
          </w:p>
        </w:tc>
        <w:tc>
          <w:tcPr>
            <w:tcW w:w="702" w:type="dxa"/>
          </w:tcPr>
          <w:p>
            <w:pPr>
              <w:pStyle w:val="TableParagraph"/>
              <w:spacing w:before="31"/>
              <w:rPr>
                <w:sz w:val="16"/>
              </w:rPr>
            </w:pPr>
            <w:r>
              <w:rPr>
                <w:color w:val="231F20"/>
                <w:sz w:val="16"/>
              </w:rPr>
              <w:t>47.1a</w:t>
            </w:r>
          </w:p>
        </w:tc>
        <w:tc>
          <w:tcPr>
            <w:tcW w:w="573" w:type="dxa"/>
          </w:tcPr>
          <w:p>
            <w:pPr>
              <w:pStyle w:val="TableParagraph"/>
              <w:spacing w:before="31"/>
              <w:rPr>
                <w:sz w:val="16"/>
              </w:rPr>
            </w:pPr>
            <w:r>
              <w:rPr>
                <w:color w:val="231F20"/>
                <w:sz w:val="16"/>
              </w:rPr>
              <w:t>53.0b</w:t>
            </w:r>
          </w:p>
        </w:tc>
        <w:tc>
          <w:tcPr>
            <w:tcW w:w="530" w:type="dxa"/>
          </w:tcPr>
          <w:p>
            <w:pPr>
              <w:pStyle w:val="TableParagraph"/>
              <w:spacing w:before="31"/>
              <w:ind w:left="42" w:right="59"/>
              <w:jc w:val="center"/>
              <w:rPr>
                <w:sz w:val="16"/>
              </w:rPr>
            </w:pPr>
            <w:r>
              <w:rPr>
                <w:color w:val="231F20"/>
                <w:sz w:val="16"/>
              </w:rPr>
              <w:t>36.1a</w:t>
            </w:r>
          </w:p>
        </w:tc>
        <w:tc>
          <w:tcPr>
            <w:tcW w:w="1089" w:type="dxa"/>
          </w:tcPr>
          <w:p>
            <w:pPr>
              <w:pStyle w:val="TableParagraph"/>
              <w:spacing w:before="31"/>
              <w:rPr>
                <w:sz w:val="16"/>
              </w:rPr>
            </w:pPr>
            <w:r>
              <w:rPr>
                <w:color w:val="231F20"/>
                <w:sz w:val="16"/>
              </w:rPr>
              <w:t>11.0a</w:t>
            </w:r>
          </w:p>
        </w:tc>
        <w:tc>
          <w:tcPr>
            <w:tcW w:w="744" w:type="dxa"/>
          </w:tcPr>
          <w:p>
            <w:pPr>
              <w:pStyle w:val="TableParagraph"/>
              <w:spacing w:before="31"/>
              <w:rPr>
                <w:sz w:val="16"/>
              </w:rPr>
            </w:pPr>
            <w:r>
              <w:rPr>
                <w:color w:val="231F20"/>
                <w:sz w:val="16"/>
              </w:rPr>
              <w:t>32.9b</w:t>
            </w:r>
          </w:p>
        </w:tc>
        <w:tc>
          <w:tcPr>
            <w:tcW w:w="703" w:type="dxa"/>
          </w:tcPr>
          <w:p>
            <w:pPr>
              <w:pStyle w:val="TableParagraph"/>
              <w:spacing w:before="31"/>
              <w:rPr>
                <w:sz w:val="16"/>
              </w:rPr>
            </w:pPr>
            <w:r>
              <w:rPr>
                <w:color w:val="231F20"/>
                <w:sz w:val="16"/>
              </w:rPr>
              <w:t>3.24a</w:t>
            </w:r>
          </w:p>
        </w:tc>
        <w:tc>
          <w:tcPr>
            <w:tcW w:w="595" w:type="dxa"/>
          </w:tcPr>
          <w:p>
            <w:pPr>
              <w:pStyle w:val="TableParagraph"/>
              <w:spacing w:before="31"/>
              <w:rPr>
                <w:sz w:val="16"/>
              </w:rPr>
            </w:pPr>
            <w:r>
              <w:rPr>
                <w:color w:val="231F20"/>
                <w:sz w:val="16"/>
              </w:rPr>
              <w:t>0.6a</w:t>
            </w:r>
          </w:p>
        </w:tc>
        <w:tc>
          <w:tcPr>
            <w:tcW w:w="1176" w:type="dxa"/>
          </w:tcPr>
          <w:p>
            <w:pPr>
              <w:pStyle w:val="TableParagraph"/>
              <w:spacing w:before="31"/>
              <w:ind w:left="69"/>
              <w:rPr>
                <w:sz w:val="16"/>
              </w:rPr>
            </w:pPr>
            <w:r>
              <w:rPr>
                <w:color w:val="231F20"/>
                <w:sz w:val="16"/>
              </w:rPr>
              <w:t>2.3b</w:t>
            </w:r>
          </w:p>
        </w:tc>
        <w:tc>
          <w:tcPr>
            <w:tcW w:w="1171" w:type="dxa"/>
          </w:tcPr>
          <w:p>
            <w:pPr>
              <w:pStyle w:val="TableParagraph"/>
              <w:spacing w:before="31"/>
              <w:ind w:left="69"/>
              <w:rPr>
                <w:sz w:val="16"/>
              </w:rPr>
            </w:pPr>
            <w:r>
              <w:rPr>
                <w:color w:val="231F20"/>
                <w:sz w:val="16"/>
              </w:rPr>
              <w:t>1.7b</w:t>
            </w:r>
          </w:p>
        </w:tc>
      </w:tr>
    </w:tbl>
    <w:p>
      <w:pPr>
        <w:spacing w:before="11"/>
        <w:ind w:left="1270" w:right="1279" w:firstLine="0"/>
        <w:jc w:val="left"/>
        <w:rPr>
          <w:b/>
          <w:i/>
          <w:sz w:val="17"/>
        </w:rPr>
      </w:pPr>
      <w:r>
        <w:rPr>
          <w:b/>
          <w:i/>
          <w:color w:val="231F20"/>
          <w:sz w:val="17"/>
        </w:rPr>
        <w:t>Letras distintas en una misma columna son estadísticamente distintas (P&lt;0.05, según prueba de Tukey).</w:t>
      </w:r>
    </w:p>
    <w:p>
      <w:pPr>
        <w:spacing w:before="54"/>
        <w:ind w:left="1270" w:right="1279" w:firstLine="0"/>
        <w:jc w:val="left"/>
        <w:rPr>
          <w:b/>
          <w:i/>
          <w:sz w:val="17"/>
        </w:rPr>
      </w:pPr>
      <w:r>
        <w:rPr>
          <w:b/>
          <w:i/>
          <w:color w:val="231F20"/>
          <w:sz w:val="17"/>
        </w:rPr>
        <w:t>*FDN- Fibra detergente neutro, * CC-Contenido celular, *FDA-Fibra detergente acida, *PCins- Proteína indigestible</w:t>
      </w:r>
    </w:p>
    <w:p>
      <w:pPr>
        <w:spacing w:after="0"/>
        <w:jc w:val="left"/>
        <w:rPr>
          <w:sz w:val="17"/>
        </w:rPr>
        <w:sectPr>
          <w:pgSz w:w="10920" w:h="13080"/>
          <w:pgMar w:header="0" w:footer="1025" w:top="420" w:bottom="1220" w:left="0" w:right="0"/>
        </w:sectPr>
      </w:pPr>
    </w:p>
    <w:p>
      <w:pPr>
        <w:pStyle w:val="BodyText"/>
        <w:rPr>
          <w:b/>
          <w:i/>
          <w:sz w:val="20"/>
        </w:rPr>
      </w:pPr>
    </w:p>
    <w:p>
      <w:pPr>
        <w:pStyle w:val="BodyText"/>
        <w:rPr>
          <w:b/>
          <w:i/>
          <w:sz w:val="20"/>
        </w:rPr>
      </w:pPr>
    </w:p>
    <w:p>
      <w:pPr>
        <w:pStyle w:val="BodyText"/>
        <w:rPr>
          <w:b/>
          <w:i/>
          <w:sz w:val="23"/>
        </w:rPr>
      </w:pPr>
    </w:p>
    <w:p>
      <w:pPr>
        <w:pStyle w:val="BodyText"/>
        <w:spacing w:line="247" w:lineRule="auto" w:before="73"/>
        <w:ind w:left="1270" w:right="1267"/>
        <w:jc w:val="both"/>
      </w:pPr>
      <w:r>
        <w:rPr>
          <w:color w:val="231F20"/>
        </w:rPr>
        <w:t>En el </w:t>
      </w:r>
      <w:r>
        <w:rPr>
          <w:color w:val="231F20"/>
          <w:spacing w:val="-4"/>
        </w:rPr>
        <w:t>cuadro </w:t>
      </w:r>
      <w:r>
        <w:rPr>
          <w:color w:val="231F20"/>
        </w:rPr>
        <w:t>3. Se </w:t>
      </w:r>
      <w:r>
        <w:rPr>
          <w:color w:val="231F20"/>
          <w:spacing w:val="-4"/>
        </w:rPr>
        <w:t>presentan </w:t>
      </w:r>
      <w:r>
        <w:rPr>
          <w:color w:val="231F20"/>
          <w:spacing w:val="-3"/>
        </w:rPr>
        <w:t>los </w:t>
      </w:r>
      <w:r>
        <w:rPr>
          <w:color w:val="231F20"/>
          <w:spacing w:val="-4"/>
        </w:rPr>
        <w:t>datos comparativos </w:t>
      </w:r>
      <w:r>
        <w:rPr>
          <w:color w:val="231F20"/>
          <w:spacing w:val="-3"/>
        </w:rPr>
        <w:t>del </w:t>
      </w:r>
      <w:r>
        <w:rPr>
          <w:color w:val="231F20"/>
          <w:spacing w:val="-4"/>
        </w:rPr>
        <w:t>Sistema </w:t>
      </w:r>
      <w:r>
        <w:rPr>
          <w:color w:val="231F20"/>
          <w:spacing w:val="-11"/>
        </w:rPr>
        <w:t>Van </w:t>
      </w:r>
      <w:r>
        <w:rPr>
          <w:color w:val="231F20"/>
          <w:spacing w:val="-4"/>
        </w:rPr>
        <w:t>Soest </w:t>
      </w:r>
      <w:r>
        <w:rPr>
          <w:color w:val="231F20"/>
        </w:rPr>
        <w:t>y su </w:t>
      </w:r>
      <w:r>
        <w:rPr>
          <w:color w:val="231F20"/>
          <w:spacing w:val="-4"/>
        </w:rPr>
        <w:t>ampliación </w:t>
      </w:r>
      <w:r>
        <w:rPr>
          <w:color w:val="231F20"/>
        </w:rPr>
        <w:t>a PC </w:t>
      </w:r>
      <w:r>
        <w:rPr>
          <w:color w:val="231F20"/>
          <w:spacing w:val="-4"/>
        </w:rPr>
        <w:t>inso- luble </w:t>
      </w:r>
      <w:r>
        <w:rPr>
          <w:color w:val="231F20"/>
        </w:rPr>
        <w:t>de </w:t>
      </w:r>
      <w:r>
        <w:rPr>
          <w:i/>
          <w:color w:val="231F20"/>
          <w:spacing w:val="-4"/>
        </w:rPr>
        <w:t>Myriophyllum aquaticum </w:t>
      </w:r>
      <w:r>
        <w:rPr>
          <w:color w:val="231F20"/>
        </w:rPr>
        <w:t>y </w:t>
      </w:r>
      <w:r>
        <w:rPr>
          <w:i/>
          <w:color w:val="231F20"/>
          <w:spacing w:val="-4"/>
        </w:rPr>
        <w:t>Medicago sativa</w:t>
      </w:r>
      <w:r>
        <w:rPr>
          <w:color w:val="231F20"/>
          <w:spacing w:val="-4"/>
        </w:rPr>
        <w:t>, </w:t>
      </w:r>
      <w:r>
        <w:rPr>
          <w:color w:val="231F20"/>
          <w:spacing w:val="-3"/>
        </w:rPr>
        <w:t>con </w:t>
      </w:r>
      <w:r>
        <w:rPr>
          <w:color w:val="231F20"/>
          <w:spacing w:val="-4"/>
        </w:rPr>
        <w:t>prueba </w:t>
      </w:r>
      <w:r>
        <w:rPr>
          <w:color w:val="231F20"/>
        </w:rPr>
        <w:t>de </w:t>
      </w:r>
      <w:r>
        <w:rPr>
          <w:color w:val="231F20"/>
          <w:spacing w:val="-5"/>
        </w:rPr>
        <w:t>Tukey </w:t>
      </w:r>
      <w:r>
        <w:rPr>
          <w:color w:val="231F20"/>
          <w:spacing w:val="-4"/>
        </w:rPr>
        <w:t>P&lt;0.005. </w:t>
      </w:r>
      <w:r>
        <w:rPr>
          <w:color w:val="231F20"/>
        </w:rPr>
        <w:t>En el </w:t>
      </w:r>
      <w:r>
        <w:rPr>
          <w:color w:val="231F20"/>
          <w:spacing w:val="-4"/>
        </w:rPr>
        <w:t>cuadro </w:t>
      </w:r>
      <w:r>
        <w:rPr>
          <w:color w:val="231F20"/>
        </w:rPr>
        <w:t>3, </w:t>
      </w:r>
      <w:r>
        <w:rPr>
          <w:color w:val="231F20"/>
          <w:spacing w:val="-4"/>
        </w:rPr>
        <w:t>se muestran </w:t>
      </w:r>
      <w:r>
        <w:rPr>
          <w:color w:val="231F20"/>
          <w:spacing w:val="-3"/>
        </w:rPr>
        <w:t>las </w:t>
      </w:r>
      <w:r>
        <w:rPr>
          <w:color w:val="231F20"/>
          <w:spacing w:val="-4"/>
        </w:rPr>
        <w:t>diferencias estadísticas </w:t>
      </w:r>
      <w:r>
        <w:rPr>
          <w:color w:val="231F20"/>
          <w:spacing w:val="-3"/>
        </w:rPr>
        <w:t>del </w:t>
      </w:r>
      <w:r>
        <w:rPr>
          <w:color w:val="231F20"/>
          <w:spacing w:val="-4"/>
        </w:rPr>
        <w:t>Sistema </w:t>
      </w:r>
      <w:r>
        <w:rPr>
          <w:color w:val="231F20"/>
          <w:spacing w:val="-11"/>
        </w:rPr>
        <w:t>Van </w:t>
      </w:r>
      <w:r>
        <w:rPr>
          <w:color w:val="231F20"/>
          <w:spacing w:val="-4"/>
        </w:rPr>
        <w:t>Soest </w:t>
      </w:r>
      <w:r>
        <w:rPr>
          <w:color w:val="231F20"/>
        </w:rPr>
        <w:t>y su </w:t>
      </w:r>
      <w:r>
        <w:rPr>
          <w:color w:val="231F20"/>
          <w:spacing w:val="-4"/>
        </w:rPr>
        <w:t>ampliación </w:t>
      </w:r>
      <w:r>
        <w:rPr>
          <w:color w:val="231F20"/>
        </w:rPr>
        <w:t>de PC </w:t>
      </w:r>
      <w:r>
        <w:rPr>
          <w:color w:val="231F20"/>
          <w:spacing w:val="-4"/>
        </w:rPr>
        <w:t>insoluble. Destacan todos</w:t>
      </w:r>
      <w:r>
        <w:rPr>
          <w:color w:val="231F20"/>
          <w:spacing w:val="-15"/>
        </w:rPr>
        <w:t> </w:t>
      </w:r>
      <w:r>
        <w:rPr>
          <w:color w:val="231F20"/>
          <w:spacing w:val="-3"/>
        </w:rPr>
        <w:t>los</w:t>
      </w:r>
      <w:r>
        <w:rPr>
          <w:color w:val="231F20"/>
          <w:spacing w:val="-15"/>
        </w:rPr>
        <w:t> </w:t>
      </w:r>
      <w:r>
        <w:rPr>
          <w:color w:val="231F20"/>
          <w:spacing w:val="-4"/>
        </w:rPr>
        <w:t>parámetros</w:t>
      </w:r>
      <w:r>
        <w:rPr>
          <w:color w:val="231F20"/>
          <w:spacing w:val="-14"/>
        </w:rPr>
        <w:t> </w:t>
      </w:r>
      <w:r>
        <w:rPr>
          <w:color w:val="231F20"/>
          <w:spacing w:val="-4"/>
        </w:rPr>
        <w:t>satisfactoriamente</w:t>
      </w:r>
      <w:r>
        <w:rPr>
          <w:color w:val="231F20"/>
          <w:spacing w:val="-13"/>
        </w:rPr>
        <w:t> </w:t>
      </w:r>
      <w:r>
        <w:rPr>
          <w:color w:val="231F20"/>
          <w:spacing w:val="-4"/>
        </w:rPr>
        <w:t>hacia</w:t>
      </w:r>
      <w:r>
        <w:rPr>
          <w:color w:val="231F20"/>
          <w:spacing w:val="-14"/>
        </w:rPr>
        <w:t> </w:t>
      </w:r>
      <w:r>
        <w:rPr>
          <w:i/>
          <w:color w:val="231F20"/>
          <w:spacing w:val="-4"/>
        </w:rPr>
        <w:t>Myriophyllum</w:t>
      </w:r>
      <w:r>
        <w:rPr>
          <w:i/>
          <w:color w:val="231F20"/>
          <w:spacing w:val="-14"/>
        </w:rPr>
        <w:t> </w:t>
      </w:r>
      <w:r>
        <w:rPr>
          <w:color w:val="231F20"/>
          <w:spacing w:val="-3"/>
        </w:rPr>
        <w:t>con</w:t>
      </w:r>
      <w:r>
        <w:rPr>
          <w:color w:val="231F20"/>
          <w:spacing w:val="-14"/>
        </w:rPr>
        <w:t> </w:t>
      </w:r>
      <w:r>
        <w:rPr>
          <w:color w:val="231F20"/>
          <w:spacing w:val="-4"/>
        </w:rPr>
        <w:t>excepción</w:t>
      </w:r>
      <w:r>
        <w:rPr>
          <w:color w:val="231F20"/>
          <w:spacing w:val="-14"/>
        </w:rPr>
        <w:t> </w:t>
      </w:r>
      <w:r>
        <w:rPr>
          <w:color w:val="231F20"/>
        </w:rPr>
        <w:t>de</w:t>
      </w:r>
      <w:r>
        <w:rPr>
          <w:color w:val="231F20"/>
          <w:spacing w:val="-14"/>
        </w:rPr>
        <w:t> </w:t>
      </w:r>
      <w:r>
        <w:rPr>
          <w:color w:val="231F20"/>
          <w:spacing w:val="-3"/>
        </w:rPr>
        <w:t>las</w:t>
      </w:r>
      <w:r>
        <w:rPr>
          <w:color w:val="231F20"/>
          <w:spacing w:val="-14"/>
        </w:rPr>
        <w:t> </w:t>
      </w:r>
      <w:r>
        <w:rPr>
          <w:color w:val="231F20"/>
        </w:rPr>
        <w:t>PC</w:t>
      </w:r>
      <w:r>
        <w:rPr>
          <w:color w:val="231F20"/>
          <w:spacing w:val="-14"/>
        </w:rPr>
        <w:t> </w:t>
      </w:r>
      <w:r>
        <w:rPr>
          <w:color w:val="231F20"/>
          <w:spacing w:val="-3"/>
        </w:rPr>
        <w:t>ins</w:t>
      </w:r>
      <w:r>
        <w:rPr>
          <w:color w:val="231F20"/>
          <w:spacing w:val="-14"/>
        </w:rPr>
        <w:t> </w:t>
      </w:r>
      <w:r>
        <w:rPr>
          <w:color w:val="231F20"/>
        </w:rPr>
        <w:t>en</w:t>
      </w:r>
      <w:r>
        <w:rPr>
          <w:color w:val="231F20"/>
          <w:spacing w:val="-14"/>
        </w:rPr>
        <w:t> </w:t>
      </w:r>
      <w:r>
        <w:rPr>
          <w:color w:val="231F20"/>
          <w:spacing w:val="-3"/>
        </w:rPr>
        <w:t>DFN</w:t>
      </w:r>
      <w:r>
        <w:rPr>
          <w:color w:val="231F20"/>
          <w:spacing w:val="-14"/>
        </w:rPr>
        <w:t> </w:t>
      </w:r>
      <w:r>
        <w:rPr>
          <w:color w:val="231F20"/>
        </w:rPr>
        <w:t>y</w:t>
      </w:r>
      <w:r>
        <w:rPr>
          <w:color w:val="231F20"/>
          <w:spacing w:val="-14"/>
        </w:rPr>
        <w:t> </w:t>
      </w:r>
      <w:r>
        <w:rPr>
          <w:color w:val="231F20"/>
          <w:spacing w:val="-4"/>
        </w:rPr>
        <w:t>FDA.</w:t>
      </w:r>
    </w:p>
    <w:p>
      <w:pPr>
        <w:pStyle w:val="BodyText"/>
        <w:spacing w:before="8"/>
        <w:rPr>
          <w:sz w:val="22"/>
        </w:rPr>
      </w:pPr>
    </w:p>
    <w:p>
      <w:pPr>
        <w:pStyle w:val="Heading3"/>
        <w:spacing w:before="1"/>
      </w:pPr>
      <w:r>
        <w:rPr>
          <w:color w:val="010202"/>
        </w:rPr>
        <w:t>Conclusiones</w:t>
      </w:r>
    </w:p>
    <w:p>
      <w:pPr>
        <w:pStyle w:val="BodyText"/>
        <w:spacing w:before="10"/>
        <w:rPr>
          <w:b/>
        </w:rPr>
      </w:pPr>
    </w:p>
    <w:p>
      <w:pPr>
        <w:pStyle w:val="BodyText"/>
        <w:spacing w:line="247" w:lineRule="auto"/>
        <w:ind w:left="1270" w:right="1267" w:hanging="1"/>
        <w:jc w:val="both"/>
      </w:pPr>
      <w:r>
        <w:rPr>
          <w:color w:val="231F20"/>
        </w:rPr>
        <w:t>En el análisis proximal en base seca </w:t>
      </w:r>
      <w:r>
        <w:rPr>
          <w:i/>
          <w:color w:val="231F20"/>
        </w:rPr>
        <w:t>Myriophyllum </w:t>
      </w:r>
      <w:r>
        <w:rPr>
          <w:color w:val="231F20"/>
        </w:rPr>
        <w:t>presenta un comportamiento estadísticamente mejor que </w:t>
      </w:r>
      <w:r>
        <w:rPr>
          <w:i/>
          <w:color w:val="231F20"/>
        </w:rPr>
        <w:t>Medicago sativa</w:t>
      </w:r>
      <w:r>
        <w:rPr>
          <w:color w:val="231F20"/>
        </w:rPr>
        <w:t>, lo que nos da información para considerar a esta planta como superior en contraste con Medicago sativa.</w:t>
      </w:r>
    </w:p>
    <w:p>
      <w:pPr>
        <w:pStyle w:val="BodyText"/>
        <w:spacing w:before="1"/>
        <w:ind w:left="1270"/>
        <w:jc w:val="both"/>
      </w:pPr>
      <w:r>
        <w:rPr>
          <w:color w:val="231F20"/>
        </w:rPr>
        <w:t>En el cuadro 2. Que representa la pared celular y su digestibilidad, nos da suficiente evidencia</w:t>
      </w:r>
      <w:r>
        <w:rPr>
          <w:color w:val="231F20"/>
          <w:spacing w:val="52"/>
        </w:rPr>
        <w:t> </w:t>
      </w:r>
      <w:r>
        <w:rPr>
          <w:color w:val="231F20"/>
        </w:rPr>
        <w:t>para</w:t>
      </w:r>
    </w:p>
    <w:p>
      <w:pPr>
        <w:pStyle w:val="BodyText"/>
        <w:spacing w:before="8"/>
        <w:ind w:left="1270"/>
        <w:jc w:val="both"/>
      </w:pPr>
      <w:r>
        <w:rPr>
          <w:color w:val="231F20"/>
        </w:rPr>
        <w:t>considerarla como un alimento optimo tanto para rumiantes como para no rumiantes.</w:t>
      </w:r>
    </w:p>
    <w:p>
      <w:pPr>
        <w:pStyle w:val="BodyText"/>
        <w:spacing w:before="5"/>
        <w:rPr>
          <w:sz w:val="22"/>
        </w:rPr>
      </w:pPr>
    </w:p>
    <w:p>
      <w:pPr>
        <w:pStyle w:val="BodyText"/>
        <w:ind w:left="1270"/>
        <w:jc w:val="both"/>
      </w:pPr>
      <w:r>
        <w:rPr>
          <w:color w:val="231F20"/>
        </w:rPr>
        <w:t>Aun teniendo in nivel alto de PC ins en FDN y FDA, la proteína digestible es superior en 3.5 puntos</w:t>
      </w:r>
    </w:p>
    <w:p>
      <w:pPr>
        <w:spacing w:before="8"/>
        <w:ind w:left="1270" w:right="0" w:firstLine="0"/>
        <w:jc w:val="both"/>
        <w:rPr>
          <w:sz w:val="21"/>
        </w:rPr>
      </w:pPr>
      <w:r>
        <w:rPr>
          <w:color w:val="231F20"/>
          <w:sz w:val="21"/>
        </w:rPr>
        <w:t>porcentuales por encima de </w:t>
      </w:r>
      <w:r>
        <w:rPr>
          <w:i/>
          <w:color w:val="231F20"/>
          <w:sz w:val="21"/>
        </w:rPr>
        <w:t>Medicago sativa</w:t>
      </w:r>
      <w:r>
        <w:rPr>
          <w:color w:val="231F20"/>
          <w:sz w:val="21"/>
        </w:rPr>
        <w:t>.</w:t>
      </w:r>
    </w:p>
    <w:p>
      <w:pPr>
        <w:pStyle w:val="BodyText"/>
        <w:spacing w:before="8"/>
        <w:ind w:left="1270"/>
        <w:jc w:val="both"/>
      </w:pPr>
      <w:r>
        <w:rPr>
          <w:color w:val="231F20"/>
        </w:rPr>
        <w:t>Todos estos datos generados nos dan suficiente evidencia para catalogar a esta planta como ideal para</w:t>
      </w:r>
    </w:p>
    <w:p>
      <w:pPr>
        <w:pStyle w:val="BodyText"/>
        <w:spacing w:before="8"/>
        <w:ind w:left="1270"/>
        <w:jc w:val="both"/>
      </w:pPr>
      <w:r>
        <w:rPr>
          <w:color w:val="231F20"/>
        </w:rPr>
        <w:t>la alimentación animal. Restando solo la parte de evaluación biológica.</w:t>
      </w:r>
    </w:p>
    <w:p>
      <w:pPr>
        <w:pStyle w:val="BodyText"/>
        <w:spacing w:before="4"/>
        <w:rPr>
          <w:sz w:val="23"/>
        </w:rPr>
      </w:pPr>
    </w:p>
    <w:p>
      <w:pPr>
        <w:pStyle w:val="Heading3"/>
      </w:pPr>
      <w:r>
        <w:rPr>
          <w:color w:val="010202"/>
        </w:rPr>
        <w:t>Literatura citada</w:t>
      </w:r>
    </w:p>
    <w:p>
      <w:pPr>
        <w:pStyle w:val="BodyText"/>
        <w:spacing w:before="7"/>
        <w:rPr>
          <w:b/>
        </w:rPr>
      </w:pPr>
    </w:p>
    <w:p>
      <w:pPr>
        <w:spacing w:line="249" w:lineRule="auto" w:before="0"/>
        <w:ind w:left="1270" w:right="1268" w:firstLine="0"/>
        <w:jc w:val="both"/>
        <w:rPr>
          <w:sz w:val="19"/>
        </w:rPr>
      </w:pPr>
      <w:r>
        <w:rPr>
          <w:color w:val="231F20"/>
          <w:sz w:val="19"/>
        </w:rPr>
        <w:t>Crouch,</w:t>
      </w:r>
      <w:r>
        <w:rPr>
          <w:color w:val="231F20"/>
          <w:spacing w:val="-8"/>
          <w:sz w:val="19"/>
        </w:rPr>
        <w:t> </w:t>
      </w:r>
      <w:r>
        <w:rPr>
          <w:color w:val="231F20"/>
          <w:sz w:val="19"/>
        </w:rPr>
        <w:t>R.</w:t>
      </w:r>
      <w:r>
        <w:rPr>
          <w:color w:val="231F20"/>
          <w:spacing w:val="-8"/>
          <w:sz w:val="19"/>
        </w:rPr>
        <w:t> </w:t>
      </w:r>
      <w:r>
        <w:rPr>
          <w:color w:val="231F20"/>
          <w:sz w:val="19"/>
        </w:rPr>
        <w:t>and</w:t>
      </w:r>
      <w:r>
        <w:rPr>
          <w:color w:val="231F20"/>
          <w:spacing w:val="-8"/>
          <w:sz w:val="19"/>
        </w:rPr>
        <w:t> </w:t>
      </w:r>
      <w:r>
        <w:rPr>
          <w:color w:val="231F20"/>
          <w:sz w:val="19"/>
        </w:rPr>
        <w:t>E.</w:t>
      </w:r>
      <w:r>
        <w:rPr>
          <w:color w:val="231F20"/>
          <w:spacing w:val="-8"/>
          <w:sz w:val="19"/>
        </w:rPr>
        <w:t> </w:t>
      </w:r>
      <w:r>
        <w:rPr>
          <w:color w:val="231F20"/>
          <w:sz w:val="19"/>
        </w:rPr>
        <w:t>Nelson.</w:t>
      </w:r>
      <w:r>
        <w:rPr>
          <w:color w:val="231F20"/>
          <w:spacing w:val="-7"/>
          <w:sz w:val="19"/>
        </w:rPr>
        <w:t> </w:t>
      </w:r>
      <w:r>
        <w:rPr>
          <w:color w:val="231F20"/>
          <w:sz w:val="19"/>
        </w:rPr>
        <w:t>1991.</w:t>
      </w:r>
      <w:r>
        <w:rPr>
          <w:color w:val="231F20"/>
          <w:spacing w:val="-11"/>
          <w:sz w:val="19"/>
        </w:rPr>
        <w:t> </w:t>
      </w:r>
      <w:r>
        <w:rPr>
          <w:color w:val="231F20"/>
          <w:sz w:val="19"/>
        </w:rPr>
        <w:t>The</w:t>
      </w:r>
      <w:r>
        <w:rPr>
          <w:color w:val="231F20"/>
          <w:spacing w:val="-8"/>
          <w:sz w:val="19"/>
        </w:rPr>
        <w:t> </w:t>
      </w:r>
      <w:r>
        <w:rPr>
          <w:color w:val="231F20"/>
          <w:sz w:val="19"/>
        </w:rPr>
        <w:t>exotic</w:t>
      </w:r>
      <w:r>
        <w:rPr>
          <w:color w:val="231F20"/>
          <w:spacing w:val="-8"/>
          <w:sz w:val="19"/>
        </w:rPr>
        <w:t> </w:t>
      </w:r>
      <w:r>
        <w:rPr>
          <w:i/>
          <w:color w:val="231F20"/>
          <w:sz w:val="19"/>
        </w:rPr>
        <w:t>Myriophyllums</w:t>
      </w:r>
      <w:r>
        <w:rPr>
          <w:i/>
          <w:color w:val="231F20"/>
          <w:spacing w:val="-7"/>
          <w:sz w:val="19"/>
        </w:rPr>
        <w:t> </w:t>
      </w:r>
      <w:r>
        <w:rPr>
          <w:color w:val="231F20"/>
          <w:sz w:val="19"/>
        </w:rPr>
        <w:t>of</w:t>
      </w:r>
      <w:r>
        <w:rPr>
          <w:color w:val="231F20"/>
          <w:spacing w:val="-8"/>
          <w:sz w:val="19"/>
        </w:rPr>
        <w:t> </w:t>
      </w:r>
      <w:r>
        <w:rPr>
          <w:color w:val="231F20"/>
          <w:sz w:val="19"/>
        </w:rPr>
        <w:t>North</w:t>
      </w:r>
      <w:r>
        <w:rPr>
          <w:color w:val="231F20"/>
          <w:spacing w:val="-18"/>
          <w:sz w:val="19"/>
        </w:rPr>
        <w:t> </w:t>
      </w:r>
      <w:r>
        <w:rPr>
          <w:color w:val="231F20"/>
          <w:sz w:val="19"/>
        </w:rPr>
        <w:t>America.</w:t>
      </w:r>
      <w:r>
        <w:rPr>
          <w:color w:val="231F20"/>
          <w:spacing w:val="-7"/>
          <w:sz w:val="19"/>
        </w:rPr>
        <w:t> </w:t>
      </w:r>
      <w:r>
        <w:rPr>
          <w:color w:val="231F20"/>
          <w:sz w:val="19"/>
        </w:rPr>
        <w:t>Proceedings</w:t>
      </w:r>
      <w:r>
        <w:rPr>
          <w:color w:val="231F20"/>
          <w:spacing w:val="-7"/>
          <w:sz w:val="19"/>
        </w:rPr>
        <w:t> </w:t>
      </w:r>
      <w:r>
        <w:rPr>
          <w:color w:val="231F20"/>
          <w:sz w:val="19"/>
        </w:rPr>
        <w:t>from</w:t>
      </w:r>
      <w:r>
        <w:rPr>
          <w:color w:val="231F20"/>
          <w:spacing w:val="-8"/>
          <w:sz w:val="19"/>
        </w:rPr>
        <w:t> </w:t>
      </w:r>
      <w:r>
        <w:rPr>
          <w:color w:val="231F20"/>
          <w:sz w:val="19"/>
        </w:rPr>
        <w:t>enhancing</w:t>
      </w:r>
      <w:r>
        <w:rPr>
          <w:color w:val="231F20"/>
          <w:spacing w:val="-8"/>
          <w:sz w:val="19"/>
        </w:rPr>
        <w:t> </w:t>
      </w:r>
      <w:r>
        <w:rPr>
          <w:color w:val="231F20"/>
          <w:sz w:val="19"/>
        </w:rPr>
        <w:t>the states’ lake management programs - monitoring and lake impact</w:t>
      </w:r>
      <w:r>
        <w:rPr>
          <w:color w:val="231F20"/>
          <w:spacing w:val="-26"/>
          <w:sz w:val="19"/>
        </w:rPr>
        <w:t> </w:t>
      </w:r>
      <w:r>
        <w:rPr>
          <w:color w:val="231F20"/>
          <w:sz w:val="19"/>
        </w:rPr>
        <w:t>assessment.</w:t>
      </w:r>
    </w:p>
    <w:p>
      <w:pPr>
        <w:spacing w:line="456" w:lineRule="exact" w:before="41"/>
        <w:ind w:left="1270" w:right="1268" w:firstLine="0"/>
        <w:jc w:val="both"/>
        <w:rPr>
          <w:sz w:val="19"/>
        </w:rPr>
      </w:pPr>
      <w:r>
        <w:rPr>
          <w:color w:val="231F20"/>
          <w:sz w:val="19"/>
        </w:rPr>
        <w:t>Doug Keller, AIS Coordinator August 21, 2008 Risk assessment for parrotfeather (Myriophyllum aquaticum). Hussner,</w:t>
      </w:r>
      <w:r>
        <w:rPr>
          <w:color w:val="231F20"/>
          <w:spacing w:val="-4"/>
          <w:sz w:val="19"/>
        </w:rPr>
        <w:t> </w:t>
      </w:r>
      <w:r>
        <w:rPr>
          <w:color w:val="231F20"/>
          <w:sz w:val="19"/>
        </w:rPr>
        <w:t>meyer</w:t>
      </w:r>
      <w:r>
        <w:rPr>
          <w:color w:val="231F20"/>
          <w:spacing w:val="-4"/>
          <w:sz w:val="19"/>
        </w:rPr>
        <w:t> </w:t>
      </w:r>
      <w:r>
        <w:rPr>
          <w:color w:val="231F20"/>
          <w:sz w:val="19"/>
        </w:rPr>
        <w:t>and</w:t>
      </w:r>
      <w:r>
        <w:rPr>
          <w:color w:val="231F20"/>
          <w:spacing w:val="-4"/>
          <w:sz w:val="19"/>
        </w:rPr>
        <w:t> </w:t>
      </w:r>
      <w:r>
        <w:rPr>
          <w:color w:val="231F20"/>
          <w:sz w:val="19"/>
        </w:rPr>
        <w:t>Busch</w:t>
      </w:r>
      <w:r>
        <w:rPr>
          <w:color w:val="231F20"/>
          <w:spacing w:val="-4"/>
          <w:sz w:val="19"/>
        </w:rPr>
        <w:t> </w:t>
      </w:r>
      <w:r>
        <w:rPr>
          <w:color w:val="231F20"/>
          <w:sz w:val="19"/>
        </w:rPr>
        <w:t>,</w:t>
      </w:r>
      <w:r>
        <w:rPr>
          <w:color w:val="231F20"/>
          <w:spacing w:val="-4"/>
          <w:sz w:val="19"/>
        </w:rPr>
        <w:t> </w:t>
      </w:r>
      <w:r>
        <w:rPr>
          <w:color w:val="231F20"/>
          <w:sz w:val="19"/>
        </w:rPr>
        <w:t>febrero</w:t>
      </w:r>
      <w:r>
        <w:rPr>
          <w:color w:val="231F20"/>
          <w:spacing w:val="-4"/>
          <w:sz w:val="19"/>
        </w:rPr>
        <w:t> </w:t>
      </w:r>
      <w:r>
        <w:rPr>
          <w:color w:val="231F20"/>
          <w:sz w:val="19"/>
        </w:rPr>
        <w:t>2009.,</w:t>
      </w:r>
      <w:r>
        <w:rPr>
          <w:color w:val="231F20"/>
          <w:spacing w:val="-8"/>
          <w:sz w:val="19"/>
        </w:rPr>
        <w:t> </w:t>
      </w:r>
      <w:r>
        <w:rPr>
          <w:color w:val="231F20"/>
          <w:sz w:val="19"/>
        </w:rPr>
        <w:t>The</w:t>
      </w:r>
      <w:r>
        <w:rPr>
          <w:color w:val="231F20"/>
          <w:spacing w:val="-4"/>
          <w:sz w:val="19"/>
        </w:rPr>
        <w:t> </w:t>
      </w:r>
      <w:r>
        <w:rPr>
          <w:color w:val="231F20"/>
          <w:sz w:val="19"/>
        </w:rPr>
        <w:t>influence</w:t>
      </w:r>
      <w:r>
        <w:rPr>
          <w:color w:val="231F20"/>
          <w:spacing w:val="-4"/>
          <w:sz w:val="19"/>
        </w:rPr>
        <w:t> </w:t>
      </w:r>
      <w:r>
        <w:rPr>
          <w:color w:val="231F20"/>
          <w:sz w:val="19"/>
        </w:rPr>
        <w:t>of</w:t>
      </w:r>
      <w:r>
        <w:rPr>
          <w:color w:val="231F20"/>
          <w:spacing w:val="-4"/>
          <w:sz w:val="19"/>
        </w:rPr>
        <w:t> </w:t>
      </w:r>
      <w:r>
        <w:rPr>
          <w:color w:val="231F20"/>
          <w:sz w:val="19"/>
        </w:rPr>
        <w:t>water</w:t>
      </w:r>
      <w:r>
        <w:rPr>
          <w:color w:val="231F20"/>
          <w:spacing w:val="-4"/>
          <w:sz w:val="19"/>
        </w:rPr>
        <w:t> </w:t>
      </w:r>
      <w:r>
        <w:rPr>
          <w:color w:val="231F20"/>
          <w:sz w:val="19"/>
        </w:rPr>
        <w:t>level</w:t>
      </w:r>
      <w:r>
        <w:rPr>
          <w:color w:val="231F20"/>
          <w:spacing w:val="-4"/>
          <w:sz w:val="19"/>
        </w:rPr>
        <w:t> </w:t>
      </w:r>
      <w:r>
        <w:rPr>
          <w:color w:val="231F20"/>
          <w:sz w:val="19"/>
        </w:rPr>
        <w:t>and</w:t>
      </w:r>
      <w:r>
        <w:rPr>
          <w:color w:val="231F20"/>
          <w:spacing w:val="-4"/>
          <w:sz w:val="19"/>
        </w:rPr>
        <w:t> </w:t>
      </w:r>
      <w:r>
        <w:rPr>
          <w:color w:val="231F20"/>
          <w:sz w:val="19"/>
        </w:rPr>
        <w:t>nutrient</w:t>
      </w:r>
      <w:r>
        <w:rPr>
          <w:color w:val="231F20"/>
          <w:spacing w:val="-4"/>
          <w:sz w:val="19"/>
        </w:rPr>
        <w:t> </w:t>
      </w:r>
      <w:r>
        <w:rPr>
          <w:color w:val="231F20"/>
          <w:sz w:val="19"/>
        </w:rPr>
        <w:t>availability</w:t>
      </w:r>
      <w:r>
        <w:rPr>
          <w:color w:val="231F20"/>
          <w:spacing w:val="-4"/>
          <w:sz w:val="19"/>
        </w:rPr>
        <w:t> </w:t>
      </w:r>
      <w:r>
        <w:rPr>
          <w:color w:val="231F20"/>
          <w:sz w:val="19"/>
        </w:rPr>
        <w:t>on</w:t>
      </w:r>
      <w:r>
        <w:rPr>
          <w:color w:val="231F20"/>
          <w:spacing w:val="-4"/>
          <w:sz w:val="19"/>
        </w:rPr>
        <w:t> </w:t>
      </w:r>
      <w:r>
        <w:rPr>
          <w:color w:val="231F20"/>
          <w:sz w:val="19"/>
        </w:rPr>
        <w:t>growth</w:t>
      </w:r>
      <w:r>
        <w:rPr>
          <w:color w:val="231F20"/>
          <w:spacing w:val="-4"/>
          <w:sz w:val="19"/>
        </w:rPr>
        <w:t> </w:t>
      </w:r>
      <w:r>
        <w:rPr>
          <w:color w:val="231F20"/>
          <w:sz w:val="19"/>
        </w:rPr>
        <w:t>and</w:t>
      </w:r>
    </w:p>
    <w:p>
      <w:pPr>
        <w:spacing w:line="178" w:lineRule="exact" w:before="0"/>
        <w:ind w:left="1270" w:right="0" w:firstLine="0"/>
        <w:jc w:val="both"/>
        <w:rPr>
          <w:sz w:val="19"/>
        </w:rPr>
      </w:pPr>
      <w:r>
        <w:rPr>
          <w:color w:val="231F20"/>
          <w:sz w:val="19"/>
        </w:rPr>
        <w:t>root system development of Myriophyllum aquaticum.</w:t>
      </w:r>
    </w:p>
    <w:p>
      <w:pPr>
        <w:pStyle w:val="BodyText"/>
        <w:spacing w:before="7"/>
        <w:rPr>
          <w:sz w:val="20"/>
        </w:rPr>
      </w:pPr>
    </w:p>
    <w:p>
      <w:pPr>
        <w:spacing w:line="249" w:lineRule="auto" w:before="0"/>
        <w:ind w:left="1270" w:right="1269" w:firstLine="0"/>
        <w:jc w:val="both"/>
        <w:rPr>
          <w:sz w:val="19"/>
        </w:rPr>
      </w:pPr>
      <w:r>
        <w:rPr>
          <w:color w:val="231F20"/>
          <w:sz w:val="19"/>
        </w:rPr>
        <w:t>Manual</w:t>
      </w:r>
      <w:r>
        <w:rPr>
          <w:color w:val="231F20"/>
          <w:spacing w:val="-12"/>
          <w:sz w:val="19"/>
        </w:rPr>
        <w:t> </w:t>
      </w:r>
      <w:r>
        <w:rPr>
          <w:color w:val="231F20"/>
          <w:sz w:val="19"/>
        </w:rPr>
        <w:t>de</w:t>
      </w:r>
      <w:r>
        <w:rPr>
          <w:color w:val="231F20"/>
          <w:spacing w:val="-12"/>
          <w:sz w:val="19"/>
        </w:rPr>
        <w:t> </w:t>
      </w:r>
      <w:r>
        <w:rPr>
          <w:color w:val="231F20"/>
          <w:sz w:val="19"/>
        </w:rPr>
        <w:t>procedimientos</w:t>
      </w:r>
      <w:r>
        <w:rPr>
          <w:color w:val="231F20"/>
          <w:spacing w:val="-12"/>
          <w:sz w:val="19"/>
        </w:rPr>
        <w:t> </w:t>
      </w:r>
      <w:r>
        <w:rPr>
          <w:color w:val="231F20"/>
          <w:sz w:val="19"/>
        </w:rPr>
        <w:t>analíticos</w:t>
      </w:r>
      <w:r>
        <w:rPr>
          <w:color w:val="231F20"/>
          <w:spacing w:val="-13"/>
          <w:sz w:val="19"/>
        </w:rPr>
        <w:t> </w:t>
      </w:r>
      <w:r>
        <w:rPr>
          <w:color w:val="231F20"/>
          <w:sz w:val="19"/>
        </w:rPr>
        <w:t>para</w:t>
      </w:r>
      <w:r>
        <w:rPr>
          <w:color w:val="231F20"/>
          <w:spacing w:val="-12"/>
          <w:sz w:val="19"/>
        </w:rPr>
        <w:t> </w:t>
      </w:r>
      <w:r>
        <w:rPr>
          <w:color w:val="231F20"/>
          <w:sz w:val="19"/>
        </w:rPr>
        <w:t>alimentos</w:t>
      </w:r>
      <w:r>
        <w:rPr>
          <w:color w:val="231F20"/>
          <w:spacing w:val="-13"/>
          <w:sz w:val="19"/>
        </w:rPr>
        <w:t> </w:t>
      </w:r>
      <w:r>
        <w:rPr>
          <w:color w:val="231F20"/>
          <w:sz w:val="19"/>
        </w:rPr>
        <w:t>de</w:t>
      </w:r>
      <w:r>
        <w:rPr>
          <w:color w:val="231F20"/>
          <w:spacing w:val="-12"/>
          <w:sz w:val="19"/>
        </w:rPr>
        <w:t> </w:t>
      </w:r>
      <w:r>
        <w:rPr>
          <w:color w:val="231F20"/>
          <w:sz w:val="19"/>
        </w:rPr>
        <w:t>consumo</w:t>
      </w:r>
      <w:r>
        <w:rPr>
          <w:color w:val="231F20"/>
          <w:spacing w:val="-13"/>
          <w:sz w:val="19"/>
        </w:rPr>
        <w:t> </w:t>
      </w:r>
      <w:r>
        <w:rPr>
          <w:color w:val="231F20"/>
          <w:sz w:val="19"/>
        </w:rPr>
        <w:t>animal.</w:t>
      </w:r>
      <w:r>
        <w:rPr>
          <w:color w:val="231F20"/>
          <w:spacing w:val="-12"/>
          <w:sz w:val="19"/>
        </w:rPr>
        <w:t> </w:t>
      </w:r>
      <w:r>
        <w:rPr>
          <w:color w:val="231F20"/>
          <w:sz w:val="19"/>
        </w:rPr>
        <w:t>Sosa</w:t>
      </w:r>
      <w:r>
        <w:rPr>
          <w:color w:val="231F20"/>
          <w:spacing w:val="-12"/>
          <w:sz w:val="19"/>
        </w:rPr>
        <w:t> </w:t>
      </w:r>
      <w:r>
        <w:rPr>
          <w:color w:val="231F20"/>
          <w:sz w:val="19"/>
        </w:rPr>
        <w:t>de</w:t>
      </w:r>
      <w:r>
        <w:rPr>
          <w:color w:val="231F20"/>
          <w:spacing w:val="-12"/>
          <w:sz w:val="19"/>
        </w:rPr>
        <w:t> </w:t>
      </w:r>
      <w:r>
        <w:rPr>
          <w:color w:val="231F20"/>
          <w:sz w:val="19"/>
        </w:rPr>
        <w:t>Pro</w:t>
      </w:r>
      <w:r>
        <w:rPr>
          <w:color w:val="231F20"/>
          <w:spacing w:val="-12"/>
          <w:sz w:val="19"/>
        </w:rPr>
        <w:t> </w:t>
      </w:r>
      <w:r>
        <w:rPr>
          <w:color w:val="231F20"/>
          <w:sz w:val="19"/>
        </w:rPr>
        <w:t>Esther.</w:t>
      </w:r>
      <w:r>
        <w:rPr>
          <w:color w:val="231F20"/>
          <w:spacing w:val="-12"/>
          <w:sz w:val="19"/>
        </w:rPr>
        <w:t> </w:t>
      </w:r>
      <w:r>
        <w:rPr>
          <w:color w:val="231F20"/>
          <w:sz w:val="19"/>
        </w:rPr>
        <w:t>1979.</w:t>
      </w:r>
      <w:r>
        <w:rPr>
          <w:color w:val="231F20"/>
          <w:spacing w:val="-12"/>
          <w:sz w:val="19"/>
        </w:rPr>
        <w:t> </w:t>
      </w:r>
      <w:r>
        <w:rPr>
          <w:color w:val="231F20"/>
          <w:sz w:val="19"/>
        </w:rPr>
        <w:t>Universidad Autónoma Chapingo.</w:t>
      </w:r>
      <w:r>
        <w:rPr>
          <w:color w:val="231F20"/>
          <w:spacing w:val="-7"/>
          <w:sz w:val="19"/>
        </w:rPr>
        <w:t> </w:t>
      </w:r>
      <w:r>
        <w:rPr>
          <w:color w:val="231F20"/>
          <w:sz w:val="19"/>
        </w:rPr>
        <w:t>Zootecnia.</w:t>
      </w:r>
    </w:p>
    <w:p>
      <w:pPr>
        <w:pStyle w:val="BodyText"/>
        <w:spacing w:before="10"/>
        <w:rPr>
          <w:sz w:val="19"/>
        </w:rPr>
      </w:pPr>
    </w:p>
    <w:p>
      <w:pPr>
        <w:spacing w:line="249" w:lineRule="auto" w:before="0"/>
        <w:ind w:left="1270" w:right="1268" w:firstLine="0"/>
        <w:jc w:val="both"/>
        <w:rPr>
          <w:sz w:val="19"/>
        </w:rPr>
      </w:pPr>
      <w:r>
        <w:rPr>
          <w:color w:val="231F20"/>
          <w:spacing w:val="-3"/>
          <w:sz w:val="19"/>
        </w:rPr>
        <w:t>Orr, </w:t>
      </w:r>
      <w:r>
        <w:rPr>
          <w:color w:val="231F20"/>
          <w:sz w:val="19"/>
        </w:rPr>
        <w:t>B.K. and </w:t>
      </w:r>
      <w:r>
        <w:rPr>
          <w:color w:val="231F20"/>
          <w:spacing w:val="-7"/>
          <w:sz w:val="19"/>
        </w:rPr>
        <w:t>V.H. </w:t>
      </w:r>
      <w:r>
        <w:rPr>
          <w:color w:val="231F20"/>
          <w:sz w:val="19"/>
        </w:rPr>
        <w:t>Resh. 1991. Interactions among aquatic vegetation, predators and mosquitoes:</w:t>
      </w:r>
      <w:r>
        <w:rPr>
          <w:color w:val="231F20"/>
          <w:spacing w:val="-17"/>
          <w:sz w:val="19"/>
        </w:rPr>
        <w:t> </w:t>
      </w:r>
      <w:r>
        <w:rPr>
          <w:color w:val="231F20"/>
          <w:sz w:val="19"/>
        </w:rPr>
        <w:t>Implications for</w:t>
      </w:r>
      <w:r>
        <w:rPr>
          <w:color w:val="231F20"/>
          <w:spacing w:val="-5"/>
          <w:sz w:val="19"/>
        </w:rPr>
        <w:t> </w:t>
      </w:r>
      <w:r>
        <w:rPr>
          <w:color w:val="231F20"/>
          <w:sz w:val="19"/>
        </w:rPr>
        <w:t>management</w:t>
      </w:r>
      <w:r>
        <w:rPr>
          <w:color w:val="231F20"/>
          <w:spacing w:val="-5"/>
          <w:sz w:val="19"/>
        </w:rPr>
        <w:t> </w:t>
      </w:r>
      <w:r>
        <w:rPr>
          <w:color w:val="231F20"/>
          <w:sz w:val="19"/>
        </w:rPr>
        <w:t>of</w:t>
      </w:r>
      <w:r>
        <w:rPr>
          <w:color w:val="231F20"/>
          <w:spacing w:val="-15"/>
          <w:sz w:val="19"/>
        </w:rPr>
        <w:t> </w:t>
      </w:r>
      <w:r>
        <w:rPr>
          <w:color w:val="231F20"/>
          <w:sz w:val="19"/>
        </w:rPr>
        <w:t>Anopheles</w:t>
      </w:r>
      <w:r>
        <w:rPr>
          <w:color w:val="231F20"/>
          <w:spacing w:val="-4"/>
          <w:sz w:val="19"/>
        </w:rPr>
        <w:t> </w:t>
      </w:r>
      <w:r>
        <w:rPr>
          <w:color w:val="231F20"/>
          <w:sz w:val="19"/>
        </w:rPr>
        <w:t>mosquitoes</w:t>
      </w:r>
      <w:r>
        <w:rPr>
          <w:color w:val="231F20"/>
          <w:spacing w:val="-5"/>
          <w:sz w:val="19"/>
        </w:rPr>
        <w:t> </w:t>
      </w:r>
      <w:r>
        <w:rPr>
          <w:color w:val="231F20"/>
          <w:sz w:val="19"/>
        </w:rPr>
        <w:t>in</w:t>
      </w:r>
      <w:r>
        <w:rPr>
          <w:color w:val="231F20"/>
          <w:spacing w:val="-5"/>
          <w:sz w:val="19"/>
        </w:rPr>
        <w:t> </w:t>
      </w:r>
      <w:r>
        <w:rPr>
          <w:color w:val="231F20"/>
          <w:sz w:val="19"/>
        </w:rPr>
        <w:t>a</w:t>
      </w:r>
      <w:r>
        <w:rPr>
          <w:color w:val="231F20"/>
          <w:spacing w:val="-5"/>
          <w:sz w:val="19"/>
        </w:rPr>
        <w:t> </w:t>
      </w:r>
      <w:r>
        <w:rPr>
          <w:color w:val="231F20"/>
          <w:sz w:val="19"/>
        </w:rPr>
        <w:t>freshwater</w:t>
      </w:r>
      <w:r>
        <w:rPr>
          <w:color w:val="231F20"/>
          <w:spacing w:val="-4"/>
          <w:sz w:val="19"/>
        </w:rPr>
        <w:t> </w:t>
      </w:r>
      <w:r>
        <w:rPr>
          <w:color w:val="231F20"/>
          <w:sz w:val="19"/>
        </w:rPr>
        <w:t>marsh.</w:t>
      </w:r>
      <w:r>
        <w:rPr>
          <w:color w:val="231F20"/>
          <w:spacing w:val="-5"/>
          <w:sz w:val="19"/>
        </w:rPr>
        <w:t> </w:t>
      </w:r>
      <w:r>
        <w:rPr>
          <w:color w:val="231F20"/>
          <w:sz w:val="19"/>
        </w:rPr>
        <w:t>Proceedings</w:t>
      </w:r>
      <w:r>
        <w:rPr>
          <w:color w:val="231F20"/>
          <w:spacing w:val="-4"/>
          <w:sz w:val="19"/>
        </w:rPr>
        <w:t> </w:t>
      </w:r>
      <w:r>
        <w:rPr>
          <w:color w:val="231F20"/>
          <w:sz w:val="19"/>
        </w:rPr>
        <w:t>of</w:t>
      </w:r>
      <w:r>
        <w:rPr>
          <w:color w:val="231F20"/>
          <w:spacing w:val="-5"/>
          <w:sz w:val="19"/>
        </w:rPr>
        <w:t> </w:t>
      </w:r>
      <w:r>
        <w:rPr>
          <w:color w:val="231F20"/>
          <w:sz w:val="19"/>
        </w:rPr>
        <w:t>the</w:t>
      </w:r>
      <w:r>
        <w:rPr>
          <w:color w:val="231F20"/>
          <w:spacing w:val="-15"/>
          <w:sz w:val="19"/>
        </w:rPr>
        <w:t> </w:t>
      </w:r>
      <w:r>
        <w:rPr>
          <w:color w:val="231F20"/>
          <w:sz w:val="19"/>
        </w:rPr>
        <w:t>Annual</w:t>
      </w:r>
      <w:r>
        <w:rPr>
          <w:color w:val="231F20"/>
          <w:spacing w:val="-4"/>
          <w:sz w:val="19"/>
        </w:rPr>
        <w:t> </w:t>
      </w:r>
      <w:r>
        <w:rPr>
          <w:color w:val="231F20"/>
          <w:sz w:val="19"/>
        </w:rPr>
        <w:t>Conference</w:t>
      </w:r>
      <w:r>
        <w:rPr>
          <w:color w:val="231F20"/>
          <w:spacing w:val="-5"/>
          <w:sz w:val="19"/>
        </w:rPr>
        <w:t> </w:t>
      </w:r>
      <w:r>
        <w:rPr>
          <w:color w:val="231F20"/>
          <w:sz w:val="19"/>
        </w:rPr>
        <w:t>of</w:t>
      </w:r>
      <w:r>
        <w:rPr>
          <w:color w:val="231F20"/>
          <w:spacing w:val="-5"/>
          <w:sz w:val="19"/>
        </w:rPr>
        <w:t> </w:t>
      </w:r>
      <w:r>
        <w:rPr>
          <w:color w:val="231F20"/>
          <w:sz w:val="19"/>
        </w:rPr>
        <w:t>the California Mosquito </w:t>
      </w:r>
      <w:r>
        <w:rPr>
          <w:color w:val="231F20"/>
          <w:spacing w:val="-4"/>
          <w:sz w:val="19"/>
        </w:rPr>
        <w:t>Vector </w:t>
      </w:r>
      <w:r>
        <w:rPr>
          <w:color w:val="231F20"/>
          <w:sz w:val="19"/>
        </w:rPr>
        <w:t>Control</w:t>
      </w:r>
      <w:r>
        <w:rPr>
          <w:color w:val="231F20"/>
          <w:spacing w:val="-29"/>
          <w:sz w:val="19"/>
        </w:rPr>
        <w:t> </w:t>
      </w:r>
      <w:r>
        <w:rPr>
          <w:color w:val="231F20"/>
          <w:sz w:val="19"/>
        </w:rPr>
        <w:t>Association.</w:t>
      </w:r>
    </w:p>
    <w:p>
      <w:pPr>
        <w:pStyle w:val="BodyText"/>
        <w:spacing w:before="10"/>
        <w:rPr>
          <w:sz w:val="19"/>
        </w:rPr>
      </w:pPr>
    </w:p>
    <w:p>
      <w:pPr>
        <w:spacing w:line="249" w:lineRule="auto" w:before="0"/>
        <w:ind w:left="1270" w:right="1268" w:firstLine="0"/>
        <w:jc w:val="both"/>
        <w:rPr>
          <w:sz w:val="19"/>
        </w:rPr>
      </w:pPr>
      <w:r>
        <w:rPr>
          <w:color w:val="231F20"/>
          <w:sz w:val="19"/>
        </w:rPr>
        <w:t>Sutton, D.L. and S.W. Bingham. 1973. Anatomy of emersed parrotfeather (Myriophyllum brasiliense). Hya- cinth Control Journal.</w:t>
      </w:r>
    </w:p>
    <w:p>
      <w:pPr>
        <w:pStyle w:val="BodyText"/>
        <w:spacing w:before="10"/>
        <w:rPr>
          <w:sz w:val="19"/>
        </w:rPr>
      </w:pPr>
    </w:p>
    <w:p>
      <w:pPr>
        <w:spacing w:line="249" w:lineRule="auto" w:before="0"/>
        <w:ind w:left="1270" w:right="1268" w:firstLine="0"/>
        <w:jc w:val="both"/>
        <w:rPr>
          <w:sz w:val="19"/>
        </w:rPr>
      </w:pPr>
      <w:r>
        <w:rPr>
          <w:color w:val="231F20"/>
          <w:sz w:val="19"/>
        </w:rPr>
        <w:t>Sytsma, M.D. and L.W.J. Anderson. 1993. Nutrient limitation in Myriophyllum aquaticum. Journal of Fres- hwater Ecology.</w:t>
      </w:r>
    </w:p>
    <w:p>
      <w:pPr>
        <w:pStyle w:val="BodyText"/>
        <w:spacing w:before="10"/>
        <w:rPr>
          <w:sz w:val="19"/>
        </w:rPr>
      </w:pPr>
    </w:p>
    <w:p>
      <w:pPr>
        <w:spacing w:line="249" w:lineRule="auto" w:before="0"/>
        <w:ind w:left="1270" w:right="1268" w:firstLine="0"/>
        <w:jc w:val="both"/>
        <w:rPr>
          <w:sz w:val="19"/>
        </w:rPr>
      </w:pPr>
      <w:r>
        <w:rPr>
          <w:color w:val="231F20"/>
          <w:sz w:val="19"/>
        </w:rPr>
        <w:t>Sytsma, M.D. and </w:t>
      </w:r>
      <w:r>
        <w:rPr>
          <w:color w:val="231F20"/>
          <w:spacing w:val="-3"/>
          <w:sz w:val="19"/>
        </w:rPr>
        <w:t>L.W.J. </w:t>
      </w:r>
      <w:r>
        <w:rPr>
          <w:color w:val="231F20"/>
          <w:sz w:val="19"/>
        </w:rPr>
        <w:t>Anderson. Biomass, nitrogen, and phosphorus allocation in parrotfeather</w:t>
      </w:r>
      <w:r>
        <w:rPr>
          <w:color w:val="231F20"/>
          <w:spacing w:val="-32"/>
          <w:sz w:val="19"/>
        </w:rPr>
        <w:t> </w:t>
      </w:r>
      <w:r>
        <w:rPr>
          <w:color w:val="231F20"/>
          <w:sz w:val="19"/>
        </w:rPr>
        <w:t>(</w:t>
      </w:r>
      <w:r>
        <w:rPr>
          <w:i/>
          <w:color w:val="231F20"/>
          <w:sz w:val="19"/>
        </w:rPr>
        <w:t>Myriophy- </w:t>
      </w:r>
      <w:r>
        <w:rPr>
          <w:i/>
          <w:color w:val="231F20"/>
          <w:sz w:val="19"/>
        </w:rPr>
        <w:t>llum</w:t>
      </w:r>
      <w:r>
        <w:rPr>
          <w:i/>
          <w:color w:val="231F20"/>
          <w:spacing w:val="-5"/>
          <w:sz w:val="19"/>
        </w:rPr>
        <w:t> </w:t>
      </w:r>
      <w:r>
        <w:rPr>
          <w:i/>
          <w:color w:val="231F20"/>
          <w:sz w:val="19"/>
        </w:rPr>
        <w:t>aquaticum</w:t>
      </w:r>
      <w:r>
        <w:rPr>
          <w:color w:val="231F20"/>
          <w:sz w:val="19"/>
        </w:rPr>
        <w:t>).</w:t>
      </w:r>
      <w:r>
        <w:rPr>
          <w:color w:val="231F20"/>
          <w:spacing w:val="-4"/>
          <w:sz w:val="19"/>
        </w:rPr>
        <w:t> </w:t>
      </w:r>
      <w:r>
        <w:rPr>
          <w:color w:val="231F20"/>
          <w:sz w:val="19"/>
        </w:rPr>
        <w:t>1993.</w:t>
      </w:r>
      <w:r>
        <w:rPr>
          <w:color w:val="231F20"/>
          <w:spacing w:val="-4"/>
          <w:sz w:val="19"/>
        </w:rPr>
        <w:t> </w:t>
      </w:r>
      <w:r>
        <w:rPr>
          <w:color w:val="231F20"/>
          <w:sz w:val="19"/>
        </w:rPr>
        <w:t>Journal</w:t>
      </w:r>
      <w:r>
        <w:rPr>
          <w:color w:val="231F20"/>
          <w:spacing w:val="-4"/>
          <w:sz w:val="19"/>
        </w:rPr>
        <w:t> </w:t>
      </w:r>
      <w:r>
        <w:rPr>
          <w:color w:val="231F20"/>
          <w:sz w:val="19"/>
        </w:rPr>
        <w:t>of</w:t>
      </w:r>
      <w:r>
        <w:rPr>
          <w:color w:val="231F20"/>
          <w:spacing w:val="-15"/>
          <w:sz w:val="19"/>
        </w:rPr>
        <w:t> </w:t>
      </w:r>
      <w:r>
        <w:rPr>
          <w:color w:val="231F20"/>
          <w:sz w:val="19"/>
        </w:rPr>
        <w:t>Aquatic</w:t>
      </w:r>
      <w:r>
        <w:rPr>
          <w:color w:val="231F20"/>
          <w:spacing w:val="-4"/>
          <w:sz w:val="19"/>
        </w:rPr>
        <w:t> </w:t>
      </w:r>
      <w:r>
        <w:rPr>
          <w:color w:val="231F20"/>
          <w:sz w:val="19"/>
        </w:rPr>
        <w:t>Plant</w:t>
      </w:r>
      <w:r>
        <w:rPr>
          <w:color w:val="231F20"/>
          <w:spacing w:val="-4"/>
          <w:sz w:val="19"/>
        </w:rPr>
        <w:t> </w:t>
      </w:r>
      <w:r>
        <w:rPr>
          <w:color w:val="231F20"/>
          <w:sz w:val="19"/>
        </w:rPr>
        <w:t>Management.</w:t>
      </w:r>
    </w:p>
    <w:p>
      <w:pPr>
        <w:spacing w:after="0" w:line="249" w:lineRule="auto"/>
        <w:jc w:val="both"/>
        <w:rPr>
          <w:sz w:val="19"/>
        </w:rPr>
        <w:sectPr>
          <w:pgSz w:w="10920" w:h="13080"/>
          <w:pgMar w:header="0" w:footer="1025" w:top="420" w:bottom="1220" w:left="0" w:right="0"/>
        </w:sectPr>
      </w:pPr>
    </w:p>
    <w:p>
      <w:pPr>
        <w:pStyle w:val="BodyText"/>
        <w:rPr>
          <w:sz w:val="20"/>
        </w:rPr>
      </w:pPr>
      <w:r>
        <w:rPr/>
        <w:pict>
          <v:shape style="position:absolute;margin-left:261.377991pt;margin-top:590.484009pt;width:26.95pt;height:18.95pt;mso-position-horizontal-relative:page;mso-position-vertical-relative:page;z-index:-205720" type="#_x0000_t202" filled="false" stroked="false">
            <v:textbox inset="0,0,0,0">
              <w:txbxContent>
                <w:p>
                  <w:pPr>
                    <w:spacing w:before="16"/>
                    <w:ind w:left="50" w:right="0" w:firstLine="0"/>
                    <w:jc w:val="left"/>
                    <w:rPr>
                      <w:rFonts w:ascii="Trebuchet MS"/>
                      <w:b/>
                      <w:i/>
                      <w:sz w:val="22"/>
                    </w:rPr>
                  </w:pPr>
                  <w:r>
                    <w:rPr>
                      <w:rFonts w:ascii="Trebuchet MS"/>
                      <w:b/>
                      <w:i/>
                      <w:color w:val="231F20"/>
                      <w:sz w:val="22"/>
                    </w:rPr>
                    <w:t>214</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5"/>
        </w:rPr>
      </w:pPr>
    </w:p>
    <w:p>
      <w:pPr>
        <w:spacing w:before="77"/>
        <w:ind w:left="1489" w:right="1489" w:firstLine="0"/>
        <w:jc w:val="center"/>
        <w:rPr>
          <w:rFonts w:ascii="Trebuchet MS" w:hAnsi="Trebuchet MS"/>
          <w:sz w:val="18"/>
        </w:rPr>
      </w:pPr>
      <w:r>
        <w:rPr>
          <w:rFonts w:ascii="Trebuchet MS" w:hAnsi="Trebuchet MS"/>
          <w:color w:val="231F20"/>
          <w:sz w:val="18"/>
        </w:rPr>
        <w:t>Edición a cargo de Francisco Pérez Soto</w:t>
      </w:r>
    </w:p>
    <w:p>
      <w:pPr>
        <w:pStyle w:val="BodyText"/>
        <w:spacing w:before="2"/>
        <w:rPr>
          <w:rFonts w:ascii="Trebuchet MS"/>
          <w:sz w:val="19"/>
        </w:rPr>
      </w:pPr>
    </w:p>
    <w:p>
      <w:pPr>
        <w:spacing w:before="0"/>
        <w:ind w:left="1489" w:right="1489" w:firstLine="0"/>
        <w:jc w:val="center"/>
        <w:rPr>
          <w:rFonts w:ascii="Trebuchet MS" w:hAnsi="Trebuchet MS"/>
          <w:i/>
          <w:sz w:val="18"/>
        </w:rPr>
      </w:pPr>
      <w:r>
        <w:rPr>
          <w:rFonts w:ascii="Trebuchet MS" w:hAnsi="Trebuchet MS"/>
          <w:i/>
          <w:color w:val="231F20"/>
          <w:sz w:val="18"/>
        </w:rPr>
        <w:t>Aportaciones en Ciencias Agronómicas y Ambientales</w:t>
      </w:r>
    </w:p>
    <w:p>
      <w:pPr>
        <w:pStyle w:val="BodyText"/>
        <w:spacing w:before="2"/>
        <w:rPr>
          <w:rFonts w:ascii="Trebuchet MS"/>
          <w:i/>
          <w:sz w:val="19"/>
        </w:rPr>
      </w:pPr>
    </w:p>
    <w:p>
      <w:pPr>
        <w:spacing w:line="247" w:lineRule="auto" w:before="0"/>
        <w:ind w:left="3707" w:right="3696" w:firstLine="0"/>
        <w:jc w:val="center"/>
        <w:rPr>
          <w:rFonts w:ascii="Trebuchet MS" w:hAnsi="Trebuchet MS"/>
          <w:sz w:val="18"/>
        </w:rPr>
      </w:pPr>
      <w:r>
        <w:rPr>
          <w:rFonts w:ascii="Trebuchet MS" w:hAnsi="Trebuchet MS"/>
          <w:color w:val="231F20"/>
          <w:sz w:val="18"/>
        </w:rPr>
        <w:t>Esta publicación estuvo a cargo de la DICEA Se imprimieron 200 ejemplares</w:t>
      </w:r>
    </w:p>
    <w:p>
      <w:pPr>
        <w:spacing w:before="0"/>
        <w:ind w:left="1489" w:right="1489" w:firstLine="0"/>
        <w:jc w:val="center"/>
        <w:rPr>
          <w:rFonts w:ascii="Trebuchet MS"/>
          <w:sz w:val="18"/>
        </w:rPr>
      </w:pPr>
      <w:r>
        <w:rPr>
          <w:rFonts w:ascii="Trebuchet MS"/>
          <w:color w:val="231F20"/>
          <w:sz w:val="18"/>
        </w:rPr>
        <w:t>en mayo de 2014</w:t>
      </w:r>
    </w:p>
    <w:p>
      <w:pPr>
        <w:spacing w:line="247" w:lineRule="auto" w:before="7"/>
        <w:ind w:left="3558" w:right="3556" w:hanging="1"/>
        <w:jc w:val="center"/>
        <w:rPr>
          <w:rFonts w:ascii="Trebuchet MS" w:hAnsi="Trebuchet MS"/>
          <w:sz w:val="18"/>
        </w:rPr>
      </w:pPr>
      <w:r>
        <w:rPr>
          <w:rFonts w:ascii="Trebuchet MS" w:hAnsi="Trebuchet MS"/>
          <w:color w:val="231F20"/>
          <w:sz w:val="18"/>
        </w:rPr>
        <w:t>En los talleres de Editorial Studio Litográfico Abasolo No. 60 Col. El Carmen, </w:t>
      </w:r>
      <w:r>
        <w:rPr>
          <w:rFonts w:ascii="Trebuchet MS" w:hAnsi="Trebuchet MS"/>
          <w:color w:val="231F20"/>
          <w:spacing w:val="-4"/>
          <w:sz w:val="18"/>
        </w:rPr>
        <w:t>Texcoco </w:t>
      </w:r>
      <w:r>
        <w:rPr>
          <w:rFonts w:ascii="Trebuchet MS" w:hAnsi="Trebuchet MS"/>
          <w:color w:val="231F20"/>
          <w:sz w:val="18"/>
        </w:rPr>
        <w:t>Centro </w:t>
      </w:r>
      <w:r>
        <w:rPr>
          <w:rFonts w:ascii="Trebuchet MS" w:hAnsi="Trebuchet MS"/>
          <w:color w:val="231F20"/>
          <w:spacing w:val="-7"/>
          <w:sz w:val="18"/>
        </w:rPr>
        <w:t>Tel: </w:t>
      </w:r>
      <w:r>
        <w:rPr>
          <w:rFonts w:ascii="Trebuchet MS" w:hAnsi="Trebuchet MS"/>
          <w:color w:val="231F20"/>
          <w:sz w:val="18"/>
        </w:rPr>
        <w:t>595 95 599 72</w:t>
      </w:r>
    </w:p>
    <w:p>
      <w:pPr>
        <w:pStyle w:val="BodyText"/>
        <w:spacing w:before="7"/>
        <w:rPr>
          <w:rFonts w:ascii="Trebuchet MS"/>
          <w:sz w:val="18"/>
        </w:rPr>
      </w:pPr>
    </w:p>
    <w:p>
      <w:pPr>
        <w:spacing w:before="0"/>
        <w:ind w:left="1489" w:right="1489" w:firstLine="0"/>
        <w:jc w:val="center"/>
        <w:rPr>
          <w:rFonts w:ascii="Trebuchet MS"/>
          <w:sz w:val="18"/>
        </w:rPr>
      </w:pPr>
      <w:r>
        <w:rPr>
          <w:rFonts w:ascii="Trebuchet MS"/>
          <w:color w:val="231F20"/>
          <w:sz w:val="18"/>
        </w:rPr>
        <w:t>E-mail: </w:t>
      </w:r>
      <w:hyperlink r:id="rId158">
        <w:r>
          <w:rPr>
            <w:rFonts w:ascii="Trebuchet MS"/>
            <w:color w:val="231F20"/>
            <w:sz w:val="18"/>
          </w:rPr>
          <w:t>studiolitografico@yahoo.com.mx</w:t>
        </w:r>
      </w:hyperlink>
    </w:p>
    <w:p>
      <w:pPr>
        <w:spacing w:before="7"/>
        <w:ind w:left="1489" w:right="1489" w:firstLine="0"/>
        <w:jc w:val="center"/>
        <w:rPr>
          <w:rFonts w:ascii="Trebuchet MS"/>
          <w:sz w:val="18"/>
        </w:rPr>
      </w:pPr>
      <w:hyperlink r:id="rId159">
        <w:r>
          <w:rPr>
            <w:rFonts w:ascii="Trebuchet MS"/>
            <w:color w:val="231F20"/>
            <w:sz w:val="18"/>
          </w:rPr>
          <w:t>studiotexcoco@hotmail.com</w:t>
        </w:r>
      </w:hyperlink>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spacing w:before="2"/>
        <w:rPr>
          <w:rFonts w:ascii="Trebuchet MS"/>
          <w:sz w:val="27"/>
        </w:rPr>
      </w:pPr>
      <w:r>
        <w:rPr/>
        <w:pict>
          <v:rect style="position:absolute;margin-left:261.377991pt;margin-top:17.725180pt;width:26.929pt;height:18.922pt;mso-position-horizontal-relative:page;mso-position-vertical-relative:paragraph;z-index:7072;mso-wrap-distance-left:0;mso-wrap-distance-right:0" filled="true" fillcolor="#ffffff" stroked="false">
            <v:fill type="solid"/>
            <w10:wrap type="topAndBottom"/>
          </v:rect>
        </w:pict>
      </w:r>
    </w:p>
    <w:sectPr>
      <w:footerReference w:type="default" r:id="rId157"/>
      <w:pgSz w:w="10920" w:h="13080"/>
      <w:pgMar w:footer="223" w:header="0" w:top="420" w:bottom="42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Trebuchet MS">
    <w:altName w:val="Trebuchet MS"/>
    <w:charset w:val="0"/>
    <w:family w:val="swiss"/>
    <w:pitch w:val="variable"/>
  </w:font>
  <w:font w:name="Palatino Linotype">
    <w:altName w:val="Palatino Linotype"/>
    <w:charset w:val="0"/>
    <w:family w:val="roman"/>
    <w:pitch w:val="variable"/>
  </w:font>
  <w:font w:name="Arial">
    <w:altName w:val="Arial"/>
    <w:charset w:val="0"/>
    <w:family w:val="swiss"/>
    <w:pitch w:val="variable"/>
  </w:font>
  <w:font w:name="Symbol">
    <w:altName w:val="Symbol"/>
    <w:charset w:val="2"/>
    <w:family w:val="roman"/>
    <w:pitch w:val="variable"/>
  </w:font>
  <w:font w:name="Calibri">
    <w:altName w:val="Calibri"/>
    <w:charset w:val="0"/>
    <w:family w:val="swiss"/>
    <w:pitch w:val="variable"/>
  </w:font>
  <w:font w:name="Cambria Math">
    <w:altName w:val="Cambria Math"/>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5"/>
      </w:rPr>
    </w:pPr>
    <w:r>
      <w:rPr/>
      <w:pict>
        <v:group style="position:absolute;margin-left:20.875pt;margin-top:635.875pt;width:.25pt;height:18.25pt;mso-position-horizontal-relative:page;mso-position-vertical-relative:page;z-index:-211624" coordorigin="418,12718" coordsize="5,365">
          <v:line style="position:absolute" from="420,12780" to="420,13080" stroked="true" strokeweight=".25pt" strokecolor="#000000"/>
          <v:line style="position:absolute" from="420,12720" to="420,13080" stroked="true" strokeweight=".25pt" strokecolor="#000000"/>
          <w10:wrap type="none"/>
        </v:group>
      </w:pict>
    </w:r>
    <w:r>
      <w:rPr/>
      <w:pict>
        <v:group style="position:absolute;margin-left:524.875pt;margin-top:635.875pt;width:.25pt;height:18.25pt;mso-position-horizontal-relative:page;mso-position-vertical-relative:page;z-index:-211600" coordorigin="10498,12718" coordsize="5,365">
          <v:line style="position:absolute" from="10500,12780" to="10500,13080" stroked="true" strokeweight=".25pt" strokecolor="#000000"/>
          <v:line style="position:absolute" from="10500,12720" to="10500,13080" stroked="true" strokeweight=".25pt" strokecolor="#000000"/>
          <w10:wrap type="none"/>
        </v:group>
      </w:pict>
    </w:r>
    <w:r>
      <w:rPr/>
      <w:drawing>
        <wp:anchor distT="0" distB="0" distL="0" distR="0" allowOverlap="1" layoutInCell="1" locked="0" behindDoc="1" simplePos="0" relativeHeight="268223879">
          <wp:simplePos x="0" y="0"/>
          <wp:positionH relativeFrom="page">
            <wp:posOffset>3389312</wp:posOffset>
          </wp:positionH>
          <wp:positionV relativeFrom="page">
            <wp:posOffset>8132762</wp:posOffset>
          </wp:positionV>
          <wp:extent cx="155575" cy="155575"/>
          <wp:effectExtent l="0" t="0" r="0" b="0"/>
          <wp:wrapNone/>
          <wp:docPr id="5" name="image2.png" descr=""/>
          <wp:cNvGraphicFramePr>
            <a:graphicFrameLocks noChangeAspect="1"/>
          </wp:cNvGraphicFramePr>
          <a:graphic>
            <a:graphicData uri="http://schemas.openxmlformats.org/drawingml/2006/picture">
              <pic:pic>
                <pic:nvPicPr>
                  <pic:cNvPr id="6"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632.875pt;width:18.25pt;height:.25pt;mso-position-horizontal-relative:page;mso-position-vertical-relative:page;z-index:-211552" coordorigin="-3,12658" coordsize="365,5">
          <v:line style="position:absolute" from="300,12660" to="0,12660" stroked="true" strokeweight=".25pt" strokecolor="#000000"/>
          <v:line style="position:absolute" from="360,12660" to="0,12660" stroked="true" strokeweight=".25pt" strokecolor="#000000"/>
          <w10:wrap type="none"/>
        </v:group>
      </w:pict>
    </w:r>
    <w:r>
      <w:rPr/>
      <w:pict>
        <v:group style="position:absolute;margin-left:527.875pt;margin-top:632.875pt;width:18.25pt;height:.25pt;mso-position-horizontal-relative:page;mso-position-vertical-relative:page;z-index:-211528" coordorigin="10558,12658" coordsize="365,5">
          <v:line style="position:absolute" from="10620,12660" to="10920,12660" stroked="true" strokeweight=".25pt" strokecolor="#000000"/>
          <v:line style="position:absolute" from="10560,12660" to="10920,12660" stroked="true" strokeweight=".25pt" strokecolor="#000000"/>
          <w10:wrap type="none"/>
        </v:group>
      </w:pict>
    </w:r>
    <w:r>
      <w:rPr/>
      <w:pict>
        <v:rect style="position:absolute;margin-left:63.52pt;margin-top:590.481018pt;width:424.346pt;height:13.606pt;mso-position-horizontal-relative:page;mso-position-vertical-relative:page;z-index:-211504" filled="true" fillcolor="#ffffff" stroked="false">
          <v:fill type="solid"/>
          <w10:wrap type="none"/>
        </v:rect>
      </w:pict>
    </w:r>
    <w:r>
      <w:rPr/>
      <w:pict>
        <v:shapetype id="_x0000_t202" o:spt="202" coordsize="21600,21600" path="m,l,21600r21600,l21600,xe">
          <v:stroke joinstyle="miter"/>
          <v:path gradientshapeok="t" o:connecttype="rect"/>
        </v:shapetype>
        <v:shape style="position:absolute;margin-left:30pt;margin-top:642.601196pt;width:76.95pt;height:8pt;mso-position-horizontal-relative:page;mso-position-vertical-relative:page;z-index:-211480" type="#_x0000_t202" filled="false" stroked="false">
          <v:textbox inset="0,0,0,0">
            <w:txbxContent>
              <w:p>
                <w:pPr>
                  <w:spacing w:line="144" w:lineRule="exact" w:before="0"/>
                  <w:ind w:left="20" w:right="0" w:firstLine="0"/>
                  <w:jc w:val="left"/>
                  <w:rPr>
                    <w:rFonts w:ascii="Palatino Linotype"/>
                    <w:sz w:val="12"/>
                  </w:rPr>
                </w:pPr>
                <w:r>
                  <w:rPr>
                    <w:rFonts w:ascii="Palatino Linotype"/>
                    <w:w w:val="95"/>
                    <w:sz w:val="12"/>
                  </w:rPr>
                  <w:t>PREL. C. Agro. y Amb.indd </w:t>
                </w:r>
                <w:r>
                  <w:rPr/>
                  <w:fldChar w:fldCharType="begin"/>
                </w:r>
                <w:r>
                  <w:rPr>
                    <w:rFonts w:ascii="Palatino Linotype"/>
                    <w:w w:val="95"/>
                    <w:sz w:val="12"/>
                  </w:rPr>
                  <w:instrText> PAGE </w:instrText>
                </w:r>
                <w:r>
                  <w:rPr/>
                  <w:fldChar w:fldCharType="separate"/>
                </w:r>
                <w:r>
                  <w:rPr/>
                  <w:t>2</w:t>
                </w:r>
                <w:r>
                  <w:rPr/>
                  <w:fldChar w:fldCharType="end"/>
                </w:r>
              </w:p>
            </w:txbxContent>
          </v:textbox>
          <w10:wrap type="none"/>
        </v:shape>
      </w:pict>
    </w:r>
    <w:r>
      <w:rPr/>
      <w:pict>
        <v:shape style="position:absolute;margin-left:446pt;margin-top:642.601196pt;width:65.3pt;height:8pt;mso-position-horizontal-relative:page;mso-position-vertical-relative:page;z-index:-211456" type="#_x0000_t202" filled="false" stroked="false">
          <v:textbox inset="0,0,0,0">
            <w:txbxContent>
              <w:p>
                <w:pPr>
                  <w:spacing w:line="144" w:lineRule="exact" w:before="0"/>
                  <w:ind w:left="20" w:right="-9" w:firstLine="0"/>
                  <w:jc w:val="left"/>
                  <w:rPr>
                    <w:rFonts w:ascii="Palatino Linotype"/>
                    <w:sz w:val="12"/>
                  </w:rPr>
                </w:pPr>
                <w:r>
                  <w:rPr>
                    <w:rFonts w:ascii="Palatino Linotype"/>
                    <w:sz w:val="12"/>
                  </w:rPr>
                  <w:t>28/07/2014 03:51:48 p.m.</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0208" from="21pt,639pt" to="21pt,654pt" stroked="true" strokeweight=".25pt" strokecolor="#000000">
          <w10:wrap type="none"/>
        </v:line>
      </w:pict>
    </w:r>
    <w:r>
      <w:rPr/>
      <w:pict>
        <v:line style="position:absolute;mso-position-horizontal-relative:page;mso-position-vertical-relative:page;z-index:-210184" from="525pt,639pt" to="525pt,654pt" stroked="true" strokeweight=".25pt" strokecolor="#000000">
          <w10:wrap type="none"/>
        </v:line>
      </w:pict>
    </w:r>
    <w:r>
      <w:rPr/>
      <w:pict>
        <v:line style="position:absolute;mso-position-horizontal-relative:page;mso-position-vertical-relative:page;z-index:-210160" from="15pt,633pt" to="0pt,633pt" stroked="true" strokeweight=".25pt" strokecolor="#000000">
          <w10:wrap type="none"/>
        </v:line>
      </w:pict>
    </w:r>
    <w:r>
      <w:rPr/>
      <w:pict>
        <v:line style="position:absolute;mso-position-horizontal-relative:page;mso-position-vertical-relative:page;z-index:-210136" from="531pt,633pt" to="546pt,633pt" stroked="true" strokeweight=".25pt" strokecolor="#000000">
          <w10:wrap type="none"/>
        </v:lin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35.875pt;width:.25pt;height:18.25pt;mso-position-horizontal-relative:page;mso-position-vertical-relative:page;z-index:-211432" coordorigin="418,12718" coordsize="5,365">
          <v:line style="position:absolute" from="420,12780" to="420,13080" stroked="true" strokeweight=".25pt" strokecolor="#000000"/>
          <v:line style="position:absolute" from="420,12720" to="420,13080" stroked="true" strokeweight=".25pt" strokecolor="#000000"/>
          <w10:wrap type="none"/>
        </v:group>
      </w:pict>
    </w:r>
    <w:r>
      <w:rPr/>
      <w:pict>
        <v:group style="position:absolute;margin-left:524.875pt;margin-top:635.875pt;width:.25pt;height:18.25pt;mso-position-horizontal-relative:page;mso-position-vertical-relative:page;z-index:-211408" coordorigin="10498,12718" coordsize="5,365">
          <v:line style="position:absolute" from="10500,12780" to="10500,13080" stroked="true" strokeweight=".25pt" strokecolor="#000000"/>
          <v:line style="position:absolute" from="10500,12720" to="10500,13080" stroked="true" strokeweight=".25pt" strokecolor="#000000"/>
          <w10:wrap type="none"/>
        </v:group>
      </w:pict>
    </w:r>
    <w:r>
      <w:rPr/>
      <w:drawing>
        <wp:anchor distT="0" distB="0" distL="0" distR="0" allowOverlap="1" layoutInCell="1" locked="0" behindDoc="1" simplePos="0" relativeHeight="268224071">
          <wp:simplePos x="0" y="0"/>
          <wp:positionH relativeFrom="page">
            <wp:posOffset>3389312</wp:posOffset>
          </wp:positionH>
          <wp:positionV relativeFrom="page">
            <wp:posOffset>8132762</wp:posOffset>
          </wp:positionV>
          <wp:extent cx="155575" cy="155575"/>
          <wp:effectExtent l="0" t="0" r="0" b="0"/>
          <wp:wrapNone/>
          <wp:docPr id="19" name="image2.png" descr=""/>
          <wp:cNvGraphicFramePr>
            <a:graphicFrameLocks noChangeAspect="1"/>
          </wp:cNvGraphicFramePr>
          <a:graphic>
            <a:graphicData uri="http://schemas.openxmlformats.org/drawingml/2006/picture">
              <pic:pic>
                <pic:nvPicPr>
                  <pic:cNvPr id="20"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632.875pt;width:18.25pt;height:.25pt;mso-position-horizontal-relative:page;mso-position-vertical-relative:page;z-index:-211360" coordorigin="-3,12658" coordsize="365,5">
          <v:line style="position:absolute" from="300,12660" to="0,12660" stroked="true" strokeweight=".25pt" strokecolor="#000000"/>
          <v:line style="position:absolute" from="360,12660" to="0,12660" stroked="true" strokeweight=".25pt" strokecolor="#000000"/>
          <w10:wrap type="none"/>
        </v:group>
      </w:pict>
    </w:r>
    <w:r>
      <w:rPr/>
      <w:pict>
        <v:group style="position:absolute;margin-left:527.875pt;margin-top:632.875pt;width:18.25pt;height:.25pt;mso-position-horizontal-relative:page;mso-position-vertical-relative:page;z-index:-211336" coordorigin="10558,12658" coordsize="365,5">
          <v:line style="position:absolute" from="10620,12660" to="10920,12660" stroked="true" strokeweight=".25pt" strokecolor="#000000"/>
          <v:line style="position:absolute" from="10560,12660" to="10920,12660" stroked="true" strokeweight=".25pt" strokecolor="#000000"/>
          <w10:wrap type="none"/>
        </v:group>
      </w:pict>
    </w:r>
    <w:r>
      <w:rPr/>
      <w:pict>
        <v:rect style="position:absolute;margin-left:63.52pt;margin-top:591.047974pt;width:424.346pt;height:13.606pt;mso-position-horizontal-relative:page;mso-position-vertical-relative:page;z-index:-211312" filled="true" fillcolor="#ffffff" stroked="false">
          <v:fill type="solid"/>
          <w10:wrap type="none"/>
        </v:rect>
      </w:pict>
    </w:r>
    <w:r>
      <w:rPr/>
      <w:pict>
        <v:shape style="position:absolute;margin-left:30pt;margin-top:642.601196pt;width:75.95pt;height:8pt;mso-position-horizontal-relative:page;mso-position-vertical-relative:page;z-index:-211288" type="#_x0000_t202" filled="false" stroked="false">
          <v:textbox inset="0,0,0,0">
            <w:txbxContent>
              <w:p>
                <w:pPr>
                  <w:spacing w:line="144" w:lineRule="exact" w:before="0"/>
                  <w:ind w:left="20" w:right="-14" w:firstLine="0"/>
                  <w:jc w:val="left"/>
                  <w:rPr>
                    <w:rFonts w:ascii="Palatino Linotype"/>
                    <w:sz w:val="12"/>
                  </w:rPr>
                </w:pPr>
                <w:r>
                  <w:rPr>
                    <w:rFonts w:ascii="Palatino Linotype"/>
                    <w:w w:val="95"/>
                    <w:sz w:val="12"/>
                  </w:rPr>
                  <w:t>PREL. C. Agro. y Amb.indd 4</w:t>
                </w:r>
              </w:p>
            </w:txbxContent>
          </v:textbox>
          <w10:wrap type="none"/>
        </v:shape>
      </w:pict>
    </w:r>
    <w:r>
      <w:rPr/>
      <w:pict>
        <v:shape style="position:absolute;margin-left:446pt;margin-top:642.601196pt;width:64.8pt;height:8pt;mso-position-horizontal-relative:page;mso-position-vertical-relative:page;z-index:-211264" type="#_x0000_t202" filled="false" stroked="false">
          <v:textbox inset="0,0,0,0">
            <w:txbxContent>
              <w:p>
                <w:pPr>
                  <w:spacing w:line="144" w:lineRule="exact" w:before="0"/>
                  <w:ind w:left="20" w:right="-7" w:firstLine="0"/>
                  <w:jc w:val="left"/>
                  <w:rPr>
                    <w:rFonts w:ascii="Palatino Linotype"/>
                    <w:sz w:val="12"/>
                  </w:rPr>
                </w:pPr>
                <w:r>
                  <w:rPr>
                    <w:rFonts w:ascii="Palatino Linotype"/>
                    <w:sz w:val="12"/>
                  </w:rPr>
                  <w:t>07/10/2014 07:54:02 a.m.</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35.875pt;width:.25pt;height:18.25pt;mso-position-horizontal-relative:page;mso-position-vertical-relative:page;z-index:-211240" coordorigin="418,12718" coordsize="5,365">
          <v:line style="position:absolute" from="420,12780" to="420,13080" stroked="true" strokeweight=".25pt" strokecolor="#000000"/>
          <v:line style="position:absolute" from="420,12720" to="420,13080" stroked="true" strokeweight=".25pt" strokecolor="#000000"/>
          <w10:wrap type="none"/>
        </v:group>
      </w:pict>
    </w:r>
    <w:r>
      <w:rPr/>
      <w:pict>
        <v:group style="position:absolute;margin-left:524.875pt;margin-top:635.875pt;width:.25pt;height:18.25pt;mso-position-horizontal-relative:page;mso-position-vertical-relative:page;z-index:-211216" coordorigin="10498,12718" coordsize="5,365">
          <v:line style="position:absolute" from="10500,12780" to="10500,13080" stroked="true" strokeweight=".25pt" strokecolor="#000000"/>
          <v:line style="position:absolute" from="10500,12720" to="10500,13080" stroked="true" strokeweight=".25pt" strokecolor="#000000"/>
          <w10:wrap type="none"/>
        </v:group>
      </w:pict>
    </w:r>
    <w:r>
      <w:rPr/>
      <w:drawing>
        <wp:anchor distT="0" distB="0" distL="0" distR="0" allowOverlap="1" layoutInCell="1" locked="0" behindDoc="1" simplePos="0" relativeHeight="268224263">
          <wp:simplePos x="0" y="0"/>
          <wp:positionH relativeFrom="page">
            <wp:posOffset>3389312</wp:posOffset>
          </wp:positionH>
          <wp:positionV relativeFrom="page">
            <wp:posOffset>8132762</wp:posOffset>
          </wp:positionV>
          <wp:extent cx="155575" cy="155575"/>
          <wp:effectExtent l="0" t="0" r="0" b="0"/>
          <wp:wrapNone/>
          <wp:docPr id="25" name="image2.png" descr=""/>
          <wp:cNvGraphicFramePr>
            <a:graphicFrameLocks noChangeAspect="1"/>
          </wp:cNvGraphicFramePr>
          <a:graphic>
            <a:graphicData uri="http://schemas.openxmlformats.org/drawingml/2006/picture">
              <pic:pic>
                <pic:nvPicPr>
                  <pic:cNvPr id="26"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632.875pt;width:18.25pt;height:.25pt;mso-position-horizontal-relative:page;mso-position-vertical-relative:page;z-index:-211168" coordorigin="-3,12658" coordsize="365,5">
          <v:line style="position:absolute" from="300,12660" to="0,12660" stroked="true" strokeweight=".25pt" strokecolor="#000000"/>
          <v:line style="position:absolute" from="360,12660" to="0,12660" stroked="true" strokeweight=".25pt" strokecolor="#000000"/>
          <w10:wrap type="none"/>
        </v:group>
      </w:pict>
    </w:r>
    <w:r>
      <w:rPr/>
      <w:pict>
        <v:group style="position:absolute;margin-left:527.875pt;margin-top:632.875pt;width:18.25pt;height:.25pt;mso-position-horizontal-relative:page;mso-position-vertical-relative:page;z-index:-211144" coordorigin="10558,12658" coordsize="365,5">
          <v:line style="position:absolute" from="10620,12660" to="10920,12660" stroked="true" strokeweight=".25pt" strokecolor="#000000"/>
          <v:line style="position:absolute" from="10560,12660" to="10920,12660" stroked="true" strokeweight=".25pt" strokecolor="#000000"/>
          <w10:wrap type="none"/>
        </v:group>
      </w:pict>
    </w:r>
    <w:r>
      <w:rPr/>
      <w:pict>
        <v:shape style="position:absolute;margin-left:30pt;margin-top:642.601196pt;width:76.95pt;height:8pt;mso-position-horizontal-relative:page;mso-position-vertical-relative:page;z-index:-211120" type="#_x0000_t202" filled="false" stroked="false">
          <v:textbox inset="0,0,0,0">
            <w:txbxContent>
              <w:p>
                <w:pPr>
                  <w:spacing w:line="144" w:lineRule="exact" w:before="0"/>
                  <w:ind w:left="20" w:right="0" w:firstLine="0"/>
                  <w:jc w:val="left"/>
                  <w:rPr>
                    <w:rFonts w:ascii="Palatino Linotype"/>
                    <w:sz w:val="12"/>
                  </w:rPr>
                </w:pPr>
                <w:r>
                  <w:rPr>
                    <w:rFonts w:ascii="Palatino Linotype"/>
                    <w:w w:val="95"/>
                    <w:sz w:val="12"/>
                  </w:rPr>
                  <w:t>PREL. C. Agro. y Amb.indd </w:t>
                </w:r>
                <w:r>
                  <w:rPr/>
                  <w:fldChar w:fldCharType="begin"/>
                </w:r>
                <w:r>
                  <w:rPr>
                    <w:rFonts w:ascii="Palatino Linotype"/>
                    <w:w w:val="95"/>
                    <w:sz w:val="12"/>
                  </w:rPr>
                  <w:instrText> PAGE </w:instrText>
                </w:r>
                <w:r>
                  <w:rPr/>
                  <w:fldChar w:fldCharType="separate"/>
                </w:r>
                <w:r>
                  <w:rPr/>
                  <w:t>5</w:t>
                </w:r>
                <w:r>
                  <w:rPr/>
                  <w:fldChar w:fldCharType="end"/>
                </w:r>
              </w:p>
            </w:txbxContent>
          </v:textbox>
          <w10:wrap type="none"/>
        </v:shape>
      </w:pict>
    </w:r>
    <w:r>
      <w:rPr/>
      <w:pict>
        <v:shape style="position:absolute;margin-left:446pt;margin-top:642.601196pt;width:65.3pt;height:8pt;mso-position-horizontal-relative:page;mso-position-vertical-relative:page;z-index:-211096" type="#_x0000_t202" filled="false" stroked="false">
          <v:textbox inset="0,0,0,0">
            <w:txbxContent>
              <w:p>
                <w:pPr>
                  <w:spacing w:line="144" w:lineRule="exact" w:before="0"/>
                  <w:ind w:left="20" w:right="-9" w:firstLine="0"/>
                  <w:jc w:val="left"/>
                  <w:rPr>
                    <w:rFonts w:ascii="Palatino Linotype"/>
                    <w:sz w:val="12"/>
                  </w:rPr>
                </w:pPr>
                <w:r>
                  <w:rPr>
                    <w:rFonts w:ascii="Palatino Linotype"/>
                    <w:sz w:val="12"/>
                  </w:rPr>
                  <w:t>28/07/2014 03:51:49 p.m.</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5"/>
      </w:rPr>
    </w:pPr>
    <w:r>
      <w:rPr/>
      <w:pict>
        <v:group style="position:absolute;margin-left:20.875pt;margin-top:635.875pt;width:.25pt;height:18.25pt;mso-position-horizontal-relative:page;mso-position-vertical-relative:page;z-index:-211072" coordorigin="418,12718" coordsize="5,365">
          <v:line style="position:absolute" from="420,12780" to="420,13080" stroked="true" strokeweight=".25pt" strokecolor="#000000"/>
          <v:line style="position:absolute" from="420,12720" to="420,13080" stroked="true" strokeweight=".25pt" strokecolor="#000000"/>
          <w10:wrap type="none"/>
        </v:group>
      </w:pict>
    </w:r>
    <w:r>
      <w:rPr/>
      <w:pict>
        <v:group style="position:absolute;margin-left:524.875pt;margin-top:635.875pt;width:.25pt;height:18.25pt;mso-position-horizontal-relative:page;mso-position-vertical-relative:page;z-index:-211048" coordorigin="10498,12718" coordsize="5,365">
          <v:line style="position:absolute" from="10500,12780" to="10500,13080" stroked="true" strokeweight=".25pt" strokecolor="#000000"/>
          <v:line style="position:absolute" from="10500,12720" to="10500,13080" stroked="true" strokeweight=".25pt" strokecolor="#000000"/>
          <w10:wrap type="none"/>
        </v:group>
      </w:pict>
    </w:r>
    <w:r>
      <w:rPr/>
      <w:drawing>
        <wp:anchor distT="0" distB="0" distL="0" distR="0" allowOverlap="1" layoutInCell="1" locked="0" behindDoc="1" simplePos="0" relativeHeight="268224431">
          <wp:simplePos x="0" y="0"/>
          <wp:positionH relativeFrom="page">
            <wp:posOffset>3389312</wp:posOffset>
          </wp:positionH>
          <wp:positionV relativeFrom="page">
            <wp:posOffset>8132762</wp:posOffset>
          </wp:positionV>
          <wp:extent cx="155575" cy="155575"/>
          <wp:effectExtent l="0" t="0" r="0" b="0"/>
          <wp:wrapNone/>
          <wp:docPr id="47" name="image2.png" descr=""/>
          <wp:cNvGraphicFramePr>
            <a:graphicFrameLocks noChangeAspect="1"/>
          </wp:cNvGraphicFramePr>
          <a:graphic>
            <a:graphicData uri="http://schemas.openxmlformats.org/drawingml/2006/picture">
              <pic:pic>
                <pic:nvPicPr>
                  <pic:cNvPr id="48"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632.875pt;width:18.25pt;height:.25pt;mso-position-horizontal-relative:page;mso-position-vertical-relative:page;z-index:-211000" coordorigin="-3,12658" coordsize="365,5">
          <v:line style="position:absolute" from="300,12660" to="0,12660" stroked="true" strokeweight=".25pt" strokecolor="#000000"/>
          <v:line style="position:absolute" from="360,12660" to="0,12660" stroked="true" strokeweight=".25pt" strokecolor="#000000"/>
          <w10:wrap type="none"/>
        </v:group>
      </w:pict>
    </w:r>
    <w:r>
      <w:rPr/>
      <w:pict>
        <v:group style="position:absolute;margin-left:527.875pt;margin-top:632.875pt;width:18.25pt;height:.25pt;mso-position-horizontal-relative:page;mso-position-vertical-relative:page;z-index:-210976" coordorigin="10558,12658" coordsize="365,5">
          <v:line style="position:absolute" from="10620,12660" to="10920,12660" stroked="true" strokeweight=".25pt" strokecolor="#000000"/>
          <v:line style="position:absolute" from="10560,12660" to="10920,12660" stroked="true" strokeweight=".25pt" strokecolor="#000000"/>
          <w10:wrap type="none"/>
        </v:group>
      </w:pict>
    </w:r>
    <w:r>
      <w:rPr/>
      <w:pict>
        <v:shape style="position:absolute;margin-left:30pt;margin-top:642.601196pt;width:78.850pt;height:8pt;mso-position-horizontal-relative:page;mso-position-vertical-relative:page;z-index:-210952" type="#_x0000_t202" filled="false" stroked="false">
          <v:textbox inset="0,0,0,0">
            <w:txbxContent>
              <w:p>
                <w:pPr>
                  <w:spacing w:line="144" w:lineRule="exact" w:before="0"/>
                  <w:ind w:left="20" w:right="-13" w:firstLine="0"/>
                  <w:jc w:val="left"/>
                  <w:rPr>
                    <w:rFonts w:ascii="Palatino Linotype"/>
                    <w:sz w:val="12"/>
                  </w:rPr>
                </w:pPr>
                <w:r>
                  <w:rPr>
                    <w:rFonts w:ascii="Palatino Linotype"/>
                    <w:w w:val="95"/>
                    <w:sz w:val="12"/>
                  </w:rPr>
                  <w:t>PREL. C. Agro. y Amb.indd 10</w:t>
                </w:r>
              </w:p>
            </w:txbxContent>
          </v:textbox>
          <w10:wrap type="none"/>
        </v:shape>
      </w:pict>
    </w:r>
    <w:r>
      <w:rPr/>
      <w:pict>
        <v:shape style="position:absolute;margin-left:446pt;margin-top:642.601196pt;width:65.3pt;height:8pt;mso-position-horizontal-relative:page;mso-position-vertical-relative:page;z-index:-210928" type="#_x0000_t202" filled="false" stroked="false">
          <v:textbox inset="0,0,0,0">
            <w:txbxContent>
              <w:p>
                <w:pPr>
                  <w:spacing w:line="144" w:lineRule="exact" w:before="0"/>
                  <w:ind w:left="20" w:right="-9" w:firstLine="0"/>
                  <w:jc w:val="left"/>
                  <w:rPr>
                    <w:rFonts w:ascii="Palatino Linotype"/>
                    <w:sz w:val="12"/>
                  </w:rPr>
                </w:pPr>
                <w:r>
                  <w:rPr>
                    <w:rFonts w:ascii="Palatino Linotype"/>
                    <w:sz w:val="12"/>
                  </w:rPr>
                  <w:t>28/07/2014 03:51:49 p.m.</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0808" from="21pt,639pt" to="21pt,654pt" stroked="true" strokeweight=".25pt" strokecolor="#000000">
          <w10:wrap type="none"/>
        </v:line>
      </w:pict>
    </w:r>
    <w:r>
      <w:rPr/>
      <w:pict>
        <v:line style="position:absolute;mso-position-horizontal-relative:page;mso-position-vertical-relative:page;z-index:-210784" from="525pt,639pt" to="525pt,654pt" stroked="true" strokeweight=".25pt" strokecolor="#000000">
          <w10:wrap type="none"/>
        </v:line>
      </w:pict>
    </w:r>
    <w:r>
      <w:rPr/>
      <w:pict>
        <v:line style="position:absolute;mso-position-horizontal-relative:page;mso-position-vertical-relative:page;z-index:-210760" from="15pt,633pt" to="0pt,633pt" stroked="true" strokeweight=".25pt" strokecolor="#000000">
          <w10:wrap type="none"/>
        </v:line>
      </w:pict>
    </w:r>
    <w:r>
      <w:rPr/>
      <w:pict>
        <v:line style="position:absolute;mso-position-horizontal-relative:page;mso-position-vertical-relative:page;z-index:-210736" from="531pt,633pt" to="546pt,633pt" stroked="true" strokeweight=".25pt" strokecolor="#000000">
          <w10:wrap type="none"/>
        </v:line>
      </w:pict>
    </w:r>
    <w:r>
      <w:rPr/>
      <w:pict>
        <v:shape style="position:absolute;margin-left:265.121613pt;margin-top:591.443298pt;width:16.9pt;height:13.3pt;mso-position-horizontal-relative:page;mso-position-vertical-relative:page;z-index:-210712" type="#_x0000_t202" filled="false" stroked="false">
          <v:textbox inset="0,0,0,0">
            <w:txbxContent>
              <w:p>
                <w:pPr>
                  <w:spacing w:line="252" w:lineRule="exact" w:before="0"/>
                  <w:ind w:left="40" w:right="0" w:firstLine="0"/>
                  <w:jc w:val="left"/>
                  <w:rPr>
                    <w:rFonts w:ascii="Trebuchet MS"/>
                    <w:b/>
                    <w:i/>
                    <w:sz w:val="22"/>
                  </w:rPr>
                </w:pPr>
                <w:r>
                  <w:rPr/>
                  <w:fldChar w:fldCharType="begin"/>
                </w:r>
                <w:r>
                  <w:rPr>
                    <w:rFonts w:ascii="Trebuchet MS"/>
                    <w:b/>
                    <w:i/>
                    <w:color w:val="231F20"/>
                    <w:sz w:val="22"/>
                  </w:rPr>
                  <w:instrText> PAGE </w:instrText>
                </w:r>
                <w:r>
                  <w:rPr/>
                  <w:fldChar w:fldCharType="separate"/>
                </w:r>
                <w:r>
                  <w:rPr/>
                  <w:t>10</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0688" from="21pt,639pt" to="21pt,654pt" stroked="true" strokeweight=".25pt" strokecolor="#000000">
          <w10:wrap type="none"/>
        </v:line>
      </w:pict>
    </w:r>
    <w:r>
      <w:rPr/>
      <w:pict>
        <v:line style="position:absolute;mso-position-horizontal-relative:page;mso-position-vertical-relative:page;z-index:-210664" from="525pt,639pt" to="525pt,654pt" stroked="true" strokeweight=".25pt" strokecolor="#000000">
          <w10:wrap type="none"/>
        </v:line>
      </w:pict>
    </w:r>
    <w:r>
      <w:rPr/>
      <w:pict>
        <v:line style="position:absolute;mso-position-horizontal-relative:page;mso-position-vertical-relative:page;z-index:-210640" from="15pt,633pt" to="0pt,633pt" stroked="true" strokeweight=".25pt" strokecolor="#000000">
          <w10:wrap type="none"/>
        </v:line>
      </w:pict>
    </w:r>
    <w:r>
      <w:rPr/>
      <w:pict>
        <v:line style="position:absolute;mso-position-horizontal-relative:page;mso-position-vertical-relative:page;z-index:-210616" from="531pt,633pt" to="546pt,633pt" stroked="true" strokeweight=".25pt" strokecolor="#000000">
          <w10:wrap type="none"/>
        </v:line>
      </w:pict>
    </w:r>
    <w:r>
      <w:rPr/>
      <w:pict>
        <v:shape style="position:absolute;margin-left:262.898987pt;margin-top:591.726807pt;width:21.35pt;height:13pt;mso-position-horizontal-relative:page;mso-position-vertical-relative:page;z-index:-210592" type="#_x0000_t202" filled="false" stroked="false">
          <v:textbox inset="0,0,0,0">
            <w:txbxContent>
              <w:p>
                <w:pPr>
                  <w:spacing w:line="247" w:lineRule="exact" w:before="0"/>
                  <w:ind w:left="20" w:right="0" w:firstLine="0"/>
                  <w:jc w:val="left"/>
                  <w:rPr>
                    <w:rFonts w:ascii="Trebuchet MS"/>
                    <w:b/>
                    <w:i/>
                    <w:sz w:val="22"/>
                  </w:rPr>
                </w:pPr>
                <w:r>
                  <w:rPr>
                    <w:rFonts w:ascii="Trebuchet MS"/>
                    <w:b/>
                    <w:i/>
                    <w:color w:val="231F20"/>
                    <w:sz w:val="22"/>
                  </w:rPr>
                  <w:t>100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0568" from="21pt,639pt" to="21pt,654pt" stroked="true" strokeweight=".25pt" strokecolor="#000000">
          <w10:wrap type="none"/>
        </v:line>
      </w:pict>
    </w:r>
    <w:r>
      <w:rPr/>
      <w:pict>
        <v:line style="position:absolute;mso-position-horizontal-relative:page;mso-position-vertical-relative:page;z-index:-210544" from="525pt,639pt" to="525pt,654pt" stroked="true" strokeweight=".25pt" strokecolor="#000000">
          <w10:wrap type="none"/>
        </v:line>
      </w:pict>
    </w:r>
    <w:r>
      <w:rPr/>
      <w:pict>
        <v:line style="position:absolute;mso-position-horizontal-relative:page;mso-position-vertical-relative:page;z-index:-210520" from="15pt,633pt" to="0pt,633pt" stroked="true" strokeweight=".25pt" strokecolor="#000000">
          <w10:wrap type="none"/>
        </v:line>
      </w:pict>
    </w:r>
    <w:r>
      <w:rPr/>
      <w:pict>
        <v:line style="position:absolute;mso-position-horizontal-relative:page;mso-position-vertical-relative:page;z-index:-210496" from="531pt,633pt" to="546pt,633pt" stroked="true" strokeweight=".25pt" strokecolor="#000000">
          <w10:wrap type="none"/>
        </v:line>
      </w:pict>
    </w:r>
    <w:r>
      <w:rPr/>
      <w:pict>
        <v:shape style="position:absolute;margin-left:261.898987pt;margin-top:591.443298pt;width:23.35pt;height:13.3pt;mso-position-horizontal-relative:page;mso-position-vertical-relative:page;z-index:-210472" type="#_x0000_t202" filled="false" stroked="false">
          <v:textbox inset="0,0,0,0">
            <w:txbxContent>
              <w:p>
                <w:pPr>
                  <w:spacing w:line="252" w:lineRule="exact" w:before="0"/>
                  <w:ind w:left="40" w:right="0" w:firstLine="0"/>
                  <w:jc w:val="left"/>
                  <w:rPr>
                    <w:rFonts w:ascii="Trebuchet MS"/>
                    <w:b/>
                    <w:i/>
                    <w:sz w:val="22"/>
                  </w:rPr>
                </w:pPr>
                <w:r>
                  <w:rPr/>
                  <w:fldChar w:fldCharType="begin"/>
                </w:r>
                <w:r>
                  <w:rPr>
                    <w:rFonts w:ascii="Trebuchet MS"/>
                    <w:b/>
                    <w:i/>
                    <w:color w:val="231F20"/>
                    <w:sz w:val="22"/>
                  </w:rPr>
                  <w:instrText> PAGE </w:instrText>
                </w:r>
                <w:r>
                  <w:rPr/>
                  <w:fldChar w:fldCharType="separate"/>
                </w:r>
                <w:r>
                  <w:rPr/>
                  <w:t>186</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0448" from="21pt,639pt" to="21pt,654pt" stroked="true" strokeweight=".25pt" strokecolor="#000000">
          <w10:wrap type="none"/>
        </v:line>
      </w:pict>
    </w:r>
    <w:r>
      <w:rPr/>
      <w:pict>
        <v:line style="position:absolute;mso-position-horizontal-relative:page;mso-position-vertical-relative:page;z-index:-210424" from="525pt,639pt" to="525pt,654pt" stroked="true" strokeweight=".25pt" strokecolor="#000000">
          <w10:wrap type="none"/>
        </v:line>
      </w:pict>
    </w:r>
    <w:r>
      <w:rPr/>
      <w:pict>
        <v:line style="position:absolute;mso-position-horizontal-relative:page;mso-position-vertical-relative:page;z-index:-210400" from="15pt,633pt" to="0pt,633pt" stroked="true" strokeweight=".25pt" strokecolor="#000000">
          <w10:wrap type="none"/>
        </v:line>
      </w:pict>
    </w:r>
    <w:r>
      <w:rPr/>
      <w:pict>
        <v:line style="position:absolute;mso-position-horizontal-relative:page;mso-position-vertical-relative:page;z-index:-210376" from="531pt,633pt" to="546pt,633pt" stroked="true" strokeweight=".25pt" strokecolor="#000000">
          <w10:wrap type="none"/>
        </v:line>
      </w:pict>
    </w:r>
    <w:r>
      <w:rPr/>
      <w:pict>
        <v:shape style="position:absolute;margin-left:262.898987pt;margin-top:591.726807pt;width:21.35pt;height:13pt;mso-position-horizontal-relative:page;mso-position-vertical-relative:page;z-index:-210352" type="#_x0000_t202" filled="false" stroked="false">
          <v:textbox inset="0,0,0,0">
            <w:txbxContent>
              <w:p>
                <w:pPr>
                  <w:spacing w:line="247" w:lineRule="exact" w:before="0"/>
                  <w:ind w:left="20" w:right="0" w:firstLine="0"/>
                  <w:jc w:val="left"/>
                  <w:rPr>
                    <w:rFonts w:ascii="Trebuchet MS"/>
                    <w:b/>
                    <w:i/>
                    <w:sz w:val="22"/>
                  </w:rPr>
                </w:pPr>
                <w:r>
                  <w:rPr>
                    <w:rFonts w:ascii="Trebuchet MS"/>
                    <w:b/>
                    <w:i/>
                    <w:color w:val="231F20"/>
                    <w:sz w:val="22"/>
                  </w:rPr>
                  <w:t>200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0328" from="21pt,639pt" to="21pt,654pt" stroked="true" strokeweight=".25pt" strokecolor="#000000">
          <w10:wrap type="none"/>
        </v:line>
      </w:pict>
    </w:r>
    <w:r>
      <w:rPr/>
      <w:pict>
        <v:line style="position:absolute;mso-position-horizontal-relative:page;mso-position-vertical-relative:page;z-index:-210304" from="525pt,639pt" to="525pt,654pt" stroked="true" strokeweight=".25pt" strokecolor="#000000">
          <w10:wrap type="none"/>
        </v:line>
      </w:pict>
    </w:r>
    <w:r>
      <w:rPr/>
      <w:pict>
        <v:line style="position:absolute;mso-position-horizontal-relative:page;mso-position-vertical-relative:page;z-index:-210280" from="15pt,633pt" to="0pt,633pt" stroked="true" strokeweight=".25pt" strokecolor="#000000">
          <w10:wrap type="none"/>
        </v:line>
      </w:pict>
    </w:r>
    <w:r>
      <w:rPr/>
      <w:pict>
        <v:line style="position:absolute;mso-position-horizontal-relative:page;mso-position-vertical-relative:page;z-index:-210256" from="531pt,633pt" to="546pt,633pt" stroked="true" strokeweight=".25pt" strokecolor="#000000">
          <w10:wrap type="none"/>
        </v:line>
      </w:pict>
    </w:r>
    <w:r>
      <w:rPr/>
      <w:pict>
        <v:shape style="position:absolute;margin-left:261.898987pt;margin-top:591.443298pt;width:23.35pt;height:13.3pt;mso-position-horizontal-relative:page;mso-position-vertical-relative:page;z-index:-210232" type="#_x0000_t202" filled="false" stroked="false">
          <v:textbox inset="0,0,0,0">
            <w:txbxContent>
              <w:p>
                <w:pPr>
                  <w:spacing w:line="252" w:lineRule="exact" w:before="0"/>
                  <w:ind w:left="40" w:right="0" w:firstLine="0"/>
                  <w:jc w:val="left"/>
                  <w:rPr>
                    <w:rFonts w:ascii="Trebuchet MS"/>
                    <w:b/>
                    <w:i/>
                    <w:sz w:val="22"/>
                  </w:rPr>
                </w:pPr>
                <w:r>
                  <w:rPr/>
                  <w:fldChar w:fldCharType="begin"/>
                </w:r>
                <w:r>
                  <w:rPr>
                    <w:rFonts w:ascii="Trebuchet MS"/>
                    <w:b/>
                    <w:i/>
                    <w:color w:val="231F20"/>
                    <w:sz w:val="22"/>
                  </w:rPr>
                  <w:instrText> PAGE </w:instrText>
                </w:r>
                <w:r>
                  <w:rPr/>
                  <w:fldChar w:fldCharType="separate"/>
                </w:r>
                <w:r>
                  <w:rPr/>
                  <w:t>202</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125pt;width:.25pt;height:18.25pt;mso-position-horizontal-relative:page;mso-position-vertical-relative:page;z-index:-211792" coordorigin="418,-3" coordsize="5,365">
          <v:line style="position:absolute" from="420,300" to="420,0" stroked="true" strokeweight=".25pt" strokecolor="#000000"/>
          <v:line style="position:absolute" from="420,360" to="420,0" stroked="true" strokeweight=".25pt" strokecolor="#000000"/>
          <w10:wrap type="none"/>
        </v:group>
      </w:pict>
    </w:r>
    <w:r>
      <w:rPr/>
      <w:pict>
        <v:group style="position:absolute;margin-left:524.875pt;margin-top:-.125pt;width:.25pt;height:18.25pt;mso-position-horizontal-relative:page;mso-position-vertical-relative:page;z-index:-211768" coordorigin="10498,-3" coordsize="5,365">
          <v:line style="position:absolute" from="10500,300" to="10500,0" stroked="true" strokeweight=".25pt" strokecolor="#000000"/>
          <v:line style="position:absolute" from="10500,360" to="10500,0" stroked="true" strokeweight=".25pt" strokecolor="#000000"/>
          <w10:wrap type="none"/>
        </v:group>
      </w:pict>
    </w:r>
    <w:r>
      <w:rPr/>
      <w:pict>
        <v:group style="position:absolute;margin-left:27pt;margin-top:0pt;width:155pt;height:15pt;mso-position-horizontal-relative:page;mso-position-vertical-relative:page;z-index:-211744" coordorigin="540,0" coordsize="3100,300">
          <v:rect style="position:absolute;left:550;top:10;width:280;height:280" filled="true" fillcolor="#000000" stroked="false">
            <v:fill type="solid"/>
          </v:rect>
          <v:rect style="position:absolute;left:550;top:10;width:280;height:280" filled="false" stroked="true" strokeweight="1pt" strokecolor="#595959"/>
          <v:rect style="position:absolute;left:830;top:10;width:280;height:280" filled="true" fillcolor="#191919" stroked="false">
            <v:fill type="solid"/>
          </v:rect>
          <v:rect style="position:absolute;left:830;top:10;width:280;height:280" filled="false" stroked="true" strokeweight="1pt" strokecolor="#595959"/>
          <v:rect style="position:absolute;left:1110;top:10;width:280;height:280" filled="true" fillcolor="#323232" stroked="false">
            <v:fill type="solid"/>
          </v:rect>
          <v:rect style="position:absolute;left:1110;top:10;width:280;height:280" filled="false" stroked="true" strokeweight="1pt" strokecolor="#595959"/>
          <v:rect style="position:absolute;left:1390;top:10;width:280;height:280" filled="true" fillcolor="#4c4c4c" stroked="false">
            <v:fill type="solid"/>
          </v:rect>
          <v:rect style="position:absolute;left:1390;top:10;width:280;height:280" filled="false" stroked="true" strokeweight="1pt" strokecolor="#595959"/>
          <v:rect style="position:absolute;left:1670;top:10;width:280;height:280" filled="true" fillcolor="#666666" stroked="false">
            <v:fill type="solid"/>
          </v:rect>
          <v:rect style="position:absolute;left:1670;top:10;width:280;height:280" filled="false" stroked="true" strokeweight="1pt" strokecolor="#595959"/>
          <v:rect style="position:absolute;left:1950;top:10;width:280;height:280" filled="true" fillcolor="#7f7f7f" stroked="false">
            <v:fill type="solid"/>
          </v:rect>
          <v:rect style="position:absolute;left:1950;top:10;width:280;height:280" filled="false" stroked="true" strokeweight="1pt" strokecolor="#595959"/>
          <v:rect style="position:absolute;left:2230;top:10;width:280;height:280" filled="true" fillcolor="#999999" stroked="false">
            <v:fill type="solid"/>
          </v:rect>
          <v:rect style="position:absolute;left:2230;top:10;width:280;height:280" filled="false" stroked="true" strokeweight="1pt" strokecolor="#595959"/>
          <v:rect style="position:absolute;left:2510;top:10;width:280;height:280" filled="true" fillcolor="#b2b2b2" stroked="false">
            <v:fill type="solid"/>
          </v:rect>
          <v:rect style="position:absolute;left:2510;top:10;width:280;height:280" filled="false" stroked="true" strokeweight="1pt" strokecolor="#595959"/>
          <v:rect style="position:absolute;left:2790;top:10;width:280;height:280" filled="true" fillcolor="#cccccc" stroked="false">
            <v:fill type="solid"/>
          </v:rect>
          <v:rect style="position:absolute;left:2790;top:10;width:280;height:280" filled="false" stroked="true" strokeweight="1pt" strokecolor="#595959"/>
          <v:rect style="position:absolute;left:3070;top:10;width:280;height:280" filled="true" fillcolor="#e5e5e5" stroked="false">
            <v:fill type="solid"/>
          </v:rect>
          <v:rect style="position:absolute;left:3070;top:10;width:280;height:280" filled="false" stroked="true" strokeweight="1pt" strokecolor="#595959"/>
          <v:rect style="position:absolute;left:3350;top:10;width:280;height:280" filled="false" stroked="true" strokeweight="1pt" strokecolor="#595959"/>
          <w10:wrap type="none"/>
        </v:group>
      </w:pict>
    </w:r>
    <w:r>
      <w:rPr/>
      <w:pict>
        <v:group style="position:absolute;margin-left:364pt;margin-top:0pt;width:155pt;height:15pt;mso-position-horizontal-relative:page;mso-position-vertical-relative:page;z-index:-211720" coordorigin="7280,0" coordsize="3100,300">
          <v:rect style="position:absolute;left:7290;top:10;width:280;height:280" filled="true" fillcolor="#fff200" stroked="false">
            <v:fill type="solid"/>
          </v:rect>
          <v:rect style="position:absolute;left:7290;top:10;width:280;height:280" filled="false" stroked="true" strokeweight="1pt" strokecolor="#595959"/>
          <v:rect style="position:absolute;left:7570;top:10;width:280;height:280" filled="true" fillcolor="#ec008c" stroked="false">
            <v:fill type="solid"/>
          </v:rect>
          <v:rect style="position:absolute;left:7570;top:10;width:280;height:280" filled="false" stroked="true" strokeweight="1pt" strokecolor="#595959"/>
          <v:rect style="position:absolute;left:7850;top:10;width:280;height:280" filled="true" fillcolor="#00aeef" stroked="false">
            <v:fill type="solid"/>
          </v:rect>
          <v:rect style="position:absolute;left:7850;top:10;width:280;height:280" filled="false" stroked="true" strokeweight="1pt" strokecolor="#595959"/>
          <v:rect style="position:absolute;left:8130;top:10;width:280;height:280" filled="true" fillcolor="#2e3092" stroked="false">
            <v:fill type="solid"/>
          </v:rect>
          <v:rect style="position:absolute;left:8130;top:10;width:280;height:280" filled="false" stroked="true" strokeweight="1pt" strokecolor="#595959"/>
          <v:rect style="position:absolute;left:8410;top:10;width:280;height:280" filled="true" fillcolor="#00a650" stroked="false">
            <v:fill type="solid"/>
          </v:rect>
          <v:rect style="position:absolute;left:8410;top:10;width:280;height:280" filled="false" stroked="true" strokeweight="1pt" strokecolor="#595959"/>
          <v:rect style="position:absolute;left:8690;top:10;width:280;height:280" filled="true" fillcolor="#ed1c24" stroked="false">
            <v:fill type="solid"/>
          </v:rect>
          <v:rect style="position:absolute;left:8690;top:10;width:280;height:280" filled="false" stroked="true" strokeweight="1pt" strokecolor="#595959"/>
          <v:rect style="position:absolute;left:8970;top:10;width:280;height:280" filled="true" fillcolor="#231f20" stroked="false">
            <v:fill type="solid"/>
          </v:rect>
          <v:rect style="position:absolute;left:8970;top:10;width:280;height:280" filled="false" stroked="true" strokeweight="1pt" strokecolor="#595959"/>
          <v:rect style="position:absolute;left:9250;top:10;width:280;height:280" filled="true" fillcolor="#fff799" stroked="false">
            <v:fill type="solid"/>
          </v:rect>
          <v:rect style="position:absolute;left:9250;top:10;width:280;height:280" filled="false" stroked="true" strokeweight="1pt" strokecolor="#595959"/>
          <v:rect style="position:absolute;left:9530;top:10;width:280;height:280" filled="true" fillcolor="#f49ac1" stroked="false">
            <v:fill type="solid"/>
          </v:rect>
          <v:rect style="position:absolute;left:9530;top:10;width:280;height:280" filled="false" stroked="true" strokeweight="1pt" strokecolor="#595959"/>
          <v:rect style="position:absolute;left:9810;top:10;width:280;height:280" filled="true" fillcolor="#6dcff6" stroked="false">
            <v:fill type="solid"/>
          </v:rect>
          <v:rect style="position:absolute;left:9810;top:10;width:280;height:280" filled="false" stroked="true" strokeweight="1pt" strokecolor="#595959"/>
          <v:rect style="position:absolute;left:10090;top:10;width:280;height:280" filled="true" fillcolor="#939598" stroked="false">
            <v:fill type="solid"/>
          </v:rect>
          <v:rect style="position:absolute;left:10090;top:10;width:280;height:280" filled="false" stroked="true" strokeweight="1pt" strokecolor="#595959"/>
          <w10:wrap type="none"/>
        </v:group>
      </w:pict>
    </w:r>
    <w:r>
      <w:rPr/>
      <w:drawing>
        <wp:anchor distT="0" distB="0" distL="0" distR="0" allowOverlap="1" layoutInCell="1" locked="0" behindDoc="1" simplePos="0" relativeHeight="268223759">
          <wp:simplePos x="0" y="0"/>
          <wp:positionH relativeFrom="page">
            <wp:posOffset>3389312</wp:posOffset>
          </wp:positionH>
          <wp:positionV relativeFrom="page">
            <wp:posOffset>17462</wp:posOffset>
          </wp:positionV>
          <wp:extent cx="155575" cy="155575"/>
          <wp:effectExtent l="0" t="0" r="0" b="0"/>
          <wp:wrapNone/>
          <wp:docPr id="3" name="image2.png" descr=""/>
          <wp:cNvGraphicFramePr>
            <a:graphicFrameLocks noChangeAspect="1"/>
          </wp:cNvGraphicFramePr>
          <a:graphic>
            <a:graphicData uri="http://schemas.openxmlformats.org/drawingml/2006/picture">
              <pic:pic>
                <pic:nvPicPr>
                  <pic:cNvPr id="4"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20.875pt;width:18.25pt;height:.25pt;mso-position-horizontal-relative:page;mso-position-vertical-relative:page;z-index:-211672" coordorigin="-3,418" coordsize="365,5">
          <v:line style="position:absolute" from="300,420" to="0,420" stroked="true" strokeweight=".25pt" strokecolor="#000000"/>
          <v:line style="position:absolute" from="360,420" to="0,420" stroked="true" strokeweight=".25pt" strokecolor="#000000"/>
          <w10:wrap type="none"/>
        </v:group>
      </w:pict>
    </w:r>
    <w:r>
      <w:rPr/>
      <w:pict>
        <v:group style="position:absolute;margin-left:527.875pt;margin-top:20.875pt;width:18.25pt;height:.25pt;mso-position-horizontal-relative:page;mso-position-vertical-relative:page;z-index:-211648" coordorigin="10558,418" coordsize="365,5">
          <v:line style="position:absolute" from="10620,420" to="10920,420" stroked="true" strokeweight=".25pt" strokecolor="#000000"/>
          <v:line style="position:absolute" from="10560,420" to="10920,420" stroked="true" strokeweight=".25pt" strokecolor="#000000"/>
          <w10:wrap type="none"/>
        </v:group>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0904" from="21pt,15pt" to="21pt,0pt" stroked="true" strokeweight=".25pt" strokecolor="#000000">
          <w10:wrap type="none"/>
        </v:line>
      </w:pict>
    </w:r>
    <w:r>
      <w:rPr/>
      <w:pict>
        <v:line style="position:absolute;mso-position-horizontal-relative:page;mso-position-vertical-relative:page;z-index:-210880" from="525pt,15pt" to="525pt,0pt" stroked="true" strokeweight=".25pt" strokecolor="#000000">
          <w10:wrap type="none"/>
        </v:line>
      </w:pict>
    </w:r>
    <w:r>
      <w:rPr/>
      <w:pict>
        <v:line style="position:absolute;mso-position-horizontal-relative:page;mso-position-vertical-relative:page;z-index:-210856" from="15pt,21pt" to="0pt,21pt" stroked="true" strokeweight=".25pt" strokecolor="#000000">
          <w10:wrap type="none"/>
        </v:line>
      </w:pict>
    </w:r>
    <w:r>
      <w:rPr/>
      <w:pict>
        <v:line style="position:absolute;mso-position-horizontal-relative:page;mso-position-vertical-relative:page;z-index:-210832" from="531pt,21pt" to="546pt,21pt" stroked="true" strokeweight=".25pt" strokecolor="#000000">
          <w10:wrap type="none"/>
        </v:lin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2">
    <w:multiLevelType w:val="hybridMultilevel"/>
    <w:lvl w:ilvl="0">
      <w:start w:val="18"/>
      <w:numFmt w:val="upperLetter"/>
      <w:lvlText w:val="%1."/>
      <w:lvlJc w:val="left"/>
      <w:pPr>
        <w:ind w:left="1270" w:hanging="211"/>
        <w:jc w:val="left"/>
      </w:pPr>
      <w:rPr>
        <w:rFonts w:hint="default" w:ascii="Times New Roman" w:hAnsi="Times New Roman" w:eastAsia="Times New Roman" w:cs="Times New Roman"/>
        <w:color w:val="231F20"/>
        <w:w w:val="100"/>
        <w:sz w:val="19"/>
        <w:szCs w:val="19"/>
      </w:rPr>
    </w:lvl>
    <w:lvl w:ilvl="1">
      <w:start w:val="1"/>
      <w:numFmt w:val="bullet"/>
      <w:lvlText w:val="•"/>
      <w:lvlJc w:val="left"/>
      <w:pPr>
        <w:ind w:left="1970" w:hanging="280"/>
      </w:pPr>
      <w:rPr>
        <w:rFonts w:hint="default" w:ascii="Times New Roman" w:hAnsi="Times New Roman" w:eastAsia="Times New Roman" w:cs="Times New Roman"/>
        <w:color w:val="231F20"/>
        <w:w w:val="99"/>
        <w:sz w:val="21"/>
        <w:szCs w:val="21"/>
      </w:rPr>
    </w:lvl>
    <w:lvl w:ilvl="2">
      <w:start w:val="1"/>
      <w:numFmt w:val="bullet"/>
      <w:lvlText w:val="•"/>
      <w:lvlJc w:val="left"/>
      <w:pPr>
        <w:ind w:left="2973" w:hanging="280"/>
      </w:pPr>
      <w:rPr>
        <w:rFonts w:hint="default"/>
      </w:rPr>
    </w:lvl>
    <w:lvl w:ilvl="3">
      <w:start w:val="1"/>
      <w:numFmt w:val="bullet"/>
      <w:lvlText w:val="•"/>
      <w:lvlJc w:val="left"/>
      <w:pPr>
        <w:ind w:left="3966" w:hanging="280"/>
      </w:pPr>
      <w:rPr>
        <w:rFonts w:hint="default"/>
      </w:rPr>
    </w:lvl>
    <w:lvl w:ilvl="4">
      <w:start w:val="1"/>
      <w:numFmt w:val="bullet"/>
      <w:lvlText w:val="•"/>
      <w:lvlJc w:val="left"/>
      <w:pPr>
        <w:ind w:left="4960" w:hanging="280"/>
      </w:pPr>
      <w:rPr>
        <w:rFonts w:hint="default"/>
      </w:rPr>
    </w:lvl>
    <w:lvl w:ilvl="5">
      <w:start w:val="1"/>
      <w:numFmt w:val="bullet"/>
      <w:lvlText w:val="•"/>
      <w:lvlJc w:val="left"/>
      <w:pPr>
        <w:ind w:left="5953" w:hanging="280"/>
      </w:pPr>
      <w:rPr>
        <w:rFonts w:hint="default"/>
      </w:rPr>
    </w:lvl>
    <w:lvl w:ilvl="6">
      <w:start w:val="1"/>
      <w:numFmt w:val="bullet"/>
      <w:lvlText w:val="•"/>
      <w:lvlJc w:val="left"/>
      <w:pPr>
        <w:ind w:left="6946" w:hanging="280"/>
      </w:pPr>
      <w:rPr>
        <w:rFonts w:hint="default"/>
      </w:rPr>
    </w:lvl>
    <w:lvl w:ilvl="7">
      <w:start w:val="1"/>
      <w:numFmt w:val="bullet"/>
      <w:lvlText w:val="•"/>
      <w:lvlJc w:val="left"/>
      <w:pPr>
        <w:ind w:left="7940" w:hanging="280"/>
      </w:pPr>
      <w:rPr>
        <w:rFonts w:hint="default"/>
      </w:rPr>
    </w:lvl>
    <w:lvl w:ilvl="8">
      <w:start w:val="1"/>
      <w:numFmt w:val="bullet"/>
      <w:lvlText w:val="•"/>
      <w:lvlJc w:val="left"/>
      <w:pPr>
        <w:ind w:left="8933" w:hanging="280"/>
      </w:pPr>
      <w:rPr>
        <w:rFonts w:hint="default"/>
      </w:rPr>
    </w:lvl>
  </w:abstractNum>
  <w:abstractNum w:abstractNumId="11">
    <w:multiLevelType w:val="hybridMultilevel"/>
    <w:lvl w:ilvl="0">
      <w:start w:val="5"/>
      <w:numFmt w:val="upperLetter"/>
      <w:lvlText w:val="%1."/>
      <w:lvlJc w:val="left"/>
      <w:pPr>
        <w:ind w:left="1270" w:hanging="233"/>
        <w:jc w:val="left"/>
      </w:pPr>
      <w:rPr>
        <w:rFonts w:hint="default" w:ascii="Times New Roman" w:hAnsi="Times New Roman" w:eastAsia="Times New Roman" w:cs="Times New Roman"/>
        <w:color w:val="231F20"/>
        <w:w w:val="100"/>
        <w:sz w:val="21"/>
        <w:szCs w:val="21"/>
      </w:rPr>
    </w:lvl>
    <w:lvl w:ilvl="1">
      <w:start w:val="1"/>
      <w:numFmt w:val="lowerLetter"/>
      <w:lvlText w:val="%2)"/>
      <w:lvlJc w:val="left"/>
      <w:pPr>
        <w:ind w:left="1990" w:hanging="340"/>
        <w:jc w:val="left"/>
      </w:pPr>
      <w:rPr>
        <w:rFonts w:hint="default" w:ascii="Times New Roman" w:hAnsi="Times New Roman" w:eastAsia="Times New Roman" w:cs="Times New Roman"/>
        <w:color w:val="231F20"/>
        <w:spacing w:val="-8"/>
        <w:w w:val="100"/>
        <w:sz w:val="21"/>
        <w:szCs w:val="21"/>
      </w:rPr>
    </w:lvl>
    <w:lvl w:ilvl="2">
      <w:start w:val="1"/>
      <w:numFmt w:val="bullet"/>
      <w:lvlText w:val="•"/>
      <w:lvlJc w:val="left"/>
      <w:pPr>
        <w:ind w:left="2991" w:hanging="340"/>
      </w:pPr>
      <w:rPr>
        <w:rFonts w:hint="default"/>
      </w:rPr>
    </w:lvl>
    <w:lvl w:ilvl="3">
      <w:start w:val="1"/>
      <w:numFmt w:val="bullet"/>
      <w:lvlText w:val="•"/>
      <w:lvlJc w:val="left"/>
      <w:pPr>
        <w:ind w:left="3982" w:hanging="340"/>
      </w:pPr>
      <w:rPr>
        <w:rFonts w:hint="default"/>
      </w:rPr>
    </w:lvl>
    <w:lvl w:ilvl="4">
      <w:start w:val="1"/>
      <w:numFmt w:val="bullet"/>
      <w:lvlText w:val="•"/>
      <w:lvlJc w:val="left"/>
      <w:pPr>
        <w:ind w:left="4973" w:hanging="340"/>
      </w:pPr>
      <w:rPr>
        <w:rFonts w:hint="default"/>
      </w:rPr>
    </w:lvl>
    <w:lvl w:ilvl="5">
      <w:start w:val="1"/>
      <w:numFmt w:val="bullet"/>
      <w:lvlText w:val="•"/>
      <w:lvlJc w:val="left"/>
      <w:pPr>
        <w:ind w:left="5964" w:hanging="340"/>
      </w:pPr>
      <w:rPr>
        <w:rFonts w:hint="default"/>
      </w:rPr>
    </w:lvl>
    <w:lvl w:ilvl="6">
      <w:start w:val="1"/>
      <w:numFmt w:val="bullet"/>
      <w:lvlText w:val="•"/>
      <w:lvlJc w:val="left"/>
      <w:pPr>
        <w:ind w:left="6955" w:hanging="340"/>
      </w:pPr>
      <w:rPr>
        <w:rFonts w:hint="default"/>
      </w:rPr>
    </w:lvl>
    <w:lvl w:ilvl="7">
      <w:start w:val="1"/>
      <w:numFmt w:val="bullet"/>
      <w:lvlText w:val="•"/>
      <w:lvlJc w:val="left"/>
      <w:pPr>
        <w:ind w:left="7946" w:hanging="340"/>
      </w:pPr>
      <w:rPr>
        <w:rFonts w:hint="default"/>
      </w:rPr>
    </w:lvl>
    <w:lvl w:ilvl="8">
      <w:start w:val="1"/>
      <w:numFmt w:val="bullet"/>
      <w:lvlText w:val="•"/>
      <w:lvlJc w:val="left"/>
      <w:pPr>
        <w:ind w:left="8937" w:hanging="340"/>
      </w:pPr>
      <w:rPr>
        <w:rFonts w:hint="default"/>
      </w:rPr>
    </w:lvl>
  </w:abstractNum>
  <w:abstractNum w:abstractNumId="10">
    <w:multiLevelType w:val="hybridMultilevel"/>
    <w:lvl w:ilvl="0">
      <w:start w:val="1"/>
      <w:numFmt w:val="lowerLetter"/>
      <w:lvlText w:val="%1)"/>
      <w:lvlJc w:val="left"/>
      <w:pPr>
        <w:ind w:left="1990" w:hanging="248"/>
        <w:jc w:val="left"/>
      </w:pPr>
      <w:rPr>
        <w:rFonts w:hint="default"/>
        <w:b/>
        <w:bCs/>
        <w:w w:val="100"/>
      </w:rPr>
    </w:lvl>
    <w:lvl w:ilvl="1">
      <w:start w:val="1"/>
      <w:numFmt w:val="bullet"/>
      <w:lvlText w:val="•"/>
      <w:lvlJc w:val="left"/>
      <w:pPr>
        <w:ind w:left="2892" w:hanging="248"/>
      </w:pPr>
      <w:rPr>
        <w:rFonts w:hint="default"/>
      </w:rPr>
    </w:lvl>
    <w:lvl w:ilvl="2">
      <w:start w:val="1"/>
      <w:numFmt w:val="bullet"/>
      <w:lvlText w:val="•"/>
      <w:lvlJc w:val="left"/>
      <w:pPr>
        <w:ind w:left="3784" w:hanging="248"/>
      </w:pPr>
      <w:rPr>
        <w:rFonts w:hint="default"/>
      </w:rPr>
    </w:lvl>
    <w:lvl w:ilvl="3">
      <w:start w:val="1"/>
      <w:numFmt w:val="bullet"/>
      <w:lvlText w:val="•"/>
      <w:lvlJc w:val="left"/>
      <w:pPr>
        <w:ind w:left="4676" w:hanging="248"/>
      </w:pPr>
      <w:rPr>
        <w:rFonts w:hint="default"/>
      </w:rPr>
    </w:lvl>
    <w:lvl w:ilvl="4">
      <w:start w:val="1"/>
      <w:numFmt w:val="bullet"/>
      <w:lvlText w:val="•"/>
      <w:lvlJc w:val="left"/>
      <w:pPr>
        <w:ind w:left="5568" w:hanging="248"/>
      </w:pPr>
      <w:rPr>
        <w:rFonts w:hint="default"/>
      </w:rPr>
    </w:lvl>
    <w:lvl w:ilvl="5">
      <w:start w:val="1"/>
      <w:numFmt w:val="bullet"/>
      <w:lvlText w:val="•"/>
      <w:lvlJc w:val="left"/>
      <w:pPr>
        <w:ind w:left="6460" w:hanging="248"/>
      </w:pPr>
      <w:rPr>
        <w:rFonts w:hint="default"/>
      </w:rPr>
    </w:lvl>
    <w:lvl w:ilvl="6">
      <w:start w:val="1"/>
      <w:numFmt w:val="bullet"/>
      <w:lvlText w:val="•"/>
      <w:lvlJc w:val="left"/>
      <w:pPr>
        <w:ind w:left="7352" w:hanging="248"/>
      </w:pPr>
      <w:rPr>
        <w:rFonts w:hint="default"/>
      </w:rPr>
    </w:lvl>
    <w:lvl w:ilvl="7">
      <w:start w:val="1"/>
      <w:numFmt w:val="bullet"/>
      <w:lvlText w:val="•"/>
      <w:lvlJc w:val="left"/>
      <w:pPr>
        <w:ind w:left="8244" w:hanging="248"/>
      </w:pPr>
      <w:rPr>
        <w:rFonts w:hint="default"/>
      </w:rPr>
    </w:lvl>
    <w:lvl w:ilvl="8">
      <w:start w:val="1"/>
      <w:numFmt w:val="bullet"/>
      <w:lvlText w:val="•"/>
      <w:lvlJc w:val="left"/>
      <w:pPr>
        <w:ind w:left="9136" w:hanging="248"/>
      </w:pPr>
      <w:rPr>
        <w:rFonts w:hint="default"/>
      </w:rPr>
    </w:lvl>
  </w:abstractNum>
  <w:abstractNum w:abstractNumId="9">
    <w:multiLevelType w:val="hybridMultilevel"/>
    <w:lvl w:ilvl="0">
      <w:start w:val="1"/>
      <w:numFmt w:val="bullet"/>
      <w:lvlText w:val="–"/>
      <w:lvlJc w:val="left"/>
      <w:pPr>
        <w:ind w:left="158" w:hanging="152"/>
      </w:pPr>
      <w:rPr>
        <w:rFonts w:hint="default" w:ascii="Times New Roman" w:hAnsi="Times New Roman" w:eastAsia="Times New Roman" w:cs="Times New Roman"/>
        <w:color w:val="231F20"/>
        <w:w w:val="100"/>
        <w:sz w:val="21"/>
        <w:szCs w:val="21"/>
      </w:rPr>
    </w:lvl>
    <w:lvl w:ilvl="1">
      <w:start w:val="1"/>
      <w:numFmt w:val="bullet"/>
      <w:lvlText w:val="–"/>
      <w:lvlJc w:val="left"/>
      <w:pPr>
        <w:ind w:left="243" w:hanging="164"/>
      </w:pPr>
      <w:rPr>
        <w:rFonts w:hint="default" w:ascii="Times New Roman" w:hAnsi="Times New Roman" w:eastAsia="Times New Roman" w:cs="Times New Roman"/>
        <w:color w:val="231F20"/>
        <w:w w:val="100"/>
        <w:sz w:val="21"/>
        <w:szCs w:val="21"/>
      </w:rPr>
    </w:lvl>
    <w:lvl w:ilvl="2">
      <w:start w:val="1"/>
      <w:numFmt w:val="bullet"/>
      <w:lvlText w:val="•"/>
      <w:lvlJc w:val="left"/>
      <w:pPr>
        <w:ind w:left="1990" w:hanging="248"/>
      </w:pPr>
      <w:rPr>
        <w:rFonts w:hint="default" w:ascii="Times New Roman" w:hAnsi="Times New Roman" w:eastAsia="Times New Roman" w:cs="Times New Roman"/>
        <w:color w:val="231F20"/>
        <w:w w:val="99"/>
        <w:sz w:val="21"/>
        <w:szCs w:val="21"/>
      </w:rPr>
    </w:lvl>
    <w:lvl w:ilvl="3">
      <w:start w:val="1"/>
      <w:numFmt w:val="bullet"/>
      <w:lvlText w:val="•"/>
      <w:lvlJc w:val="left"/>
      <w:pPr>
        <w:ind w:left="1872" w:hanging="248"/>
      </w:pPr>
      <w:rPr>
        <w:rFonts w:hint="default"/>
      </w:rPr>
    </w:lvl>
    <w:lvl w:ilvl="4">
      <w:start w:val="1"/>
      <w:numFmt w:val="bullet"/>
      <w:lvlText w:val="•"/>
      <w:lvlJc w:val="left"/>
      <w:pPr>
        <w:ind w:left="1745" w:hanging="248"/>
      </w:pPr>
      <w:rPr>
        <w:rFonts w:hint="default"/>
      </w:rPr>
    </w:lvl>
    <w:lvl w:ilvl="5">
      <w:start w:val="1"/>
      <w:numFmt w:val="bullet"/>
      <w:lvlText w:val="•"/>
      <w:lvlJc w:val="left"/>
      <w:pPr>
        <w:ind w:left="1618" w:hanging="248"/>
      </w:pPr>
      <w:rPr>
        <w:rFonts w:hint="default"/>
      </w:rPr>
    </w:lvl>
    <w:lvl w:ilvl="6">
      <w:start w:val="1"/>
      <w:numFmt w:val="bullet"/>
      <w:lvlText w:val="•"/>
      <w:lvlJc w:val="left"/>
      <w:pPr>
        <w:ind w:left="1490" w:hanging="248"/>
      </w:pPr>
      <w:rPr>
        <w:rFonts w:hint="default"/>
      </w:rPr>
    </w:lvl>
    <w:lvl w:ilvl="7">
      <w:start w:val="1"/>
      <w:numFmt w:val="bullet"/>
      <w:lvlText w:val="•"/>
      <w:lvlJc w:val="left"/>
      <w:pPr>
        <w:ind w:left="1363" w:hanging="248"/>
      </w:pPr>
      <w:rPr>
        <w:rFonts w:hint="default"/>
      </w:rPr>
    </w:lvl>
    <w:lvl w:ilvl="8">
      <w:start w:val="1"/>
      <w:numFmt w:val="bullet"/>
      <w:lvlText w:val="•"/>
      <w:lvlJc w:val="left"/>
      <w:pPr>
        <w:ind w:left="1236" w:hanging="248"/>
      </w:pPr>
      <w:rPr>
        <w:rFonts w:hint="default"/>
      </w:rPr>
    </w:lvl>
  </w:abstractNum>
  <w:abstractNum w:abstractNumId="8">
    <w:multiLevelType w:val="hybridMultilevel"/>
    <w:lvl w:ilvl="0">
      <w:start w:val="10"/>
      <w:numFmt w:val="decimal"/>
      <w:lvlText w:val="%1."/>
      <w:lvlJc w:val="left"/>
      <w:pPr>
        <w:ind w:left="1555" w:hanging="285"/>
        <w:jc w:val="left"/>
      </w:pPr>
      <w:rPr>
        <w:rFonts w:hint="default" w:ascii="Times New Roman" w:hAnsi="Times New Roman" w:eastAsia="Times New Roman" w:cs="Times New Roman"/>
        <w:color w:val="231F20"/>
        <w:spacing w:val="-1"/>
        <w:w w:val="100"/>
        <w:sz w:val="19"/>
        <w:szCs w:val="19"/>
      </w:rPr>
    </w:lvl>
    <w:lvl w:ilvl="1">
      <w:start w:val="1"/>
      <w:numFmt w:val="lowerLetter"/>
      <w:lvlText w:val="%2)"/>
      <w:lvlJc w:val="left"/>
      <w:pPr>
        <w:ind w:left="1990" w:hanging="248"/>
        <w:jc w:val="left"/>
      </w:pPr>
      <w:rPr>
        <w:rFonts w:hint="default" w:ascii="Times New Roman" w:hAnsi="Times New Roman" w:eastAsia="Times New Roman" w:cs="Times New Roman"/>
        <w:color w:val="231F20"/>
        <w:spacing w:val="-21"/>
        <w:w w:val="100"/>
        <w:sz w:val="21"/>
        <w:szCs w:val="21"/>
      </w:rPr>
    </w:lvl>
    <w:lvl w:ilvl="2">
      <w:start w:val="1"/>
      <w:numFmt w:val="bullet"/>
      <w:lvlText w:val="•"/>
      <w:lvlJc w:val="left"/>
      <w:pPr>
        <w:ind w:left="2991" w:hanging="248"/>
      </w:pPr>
      <w:rPr>
        <w:rFonts w:hint="default"/>
      </w:rPr>
    </w:lvl>
    <w:lvl w:ilvl="3">
      <w:start w:val="1"/>
      <w:numFmt w:val="bullet"/>
      <w:lvlText w:val="•"/>
      <w:lvlJc w:val="left"/>
      <w:pPr>
        <w:ind w:left="3982" w:hanging="248"/>
      </w:pPr>
      <w:rPr>
        <w:rFonts w:hint="default"/>
      </w:rPr>
    </w:lvl>
    <w:lvl w:ilvl="4">
      <w:start w:val="1"/>
      <w:numFmt w:val="bullet"/>
      <w:lvlText w:val="•"/>
      <w:lvlJc w:val="left"/>
      <w:pPr>
        <w:ind w:left="4973" w:hanging="248"/>
      </w:pPr>
      <w:rPr>
        <w:rFonts w:hint="default"/>
      </w:rPr>
    </w:lvl>
    <w:lvl w:ilvl="5">
      <w:start w:val="1"/>
      <w:numFmt w:val="bullet"/>
      <w:lvlText w:val="•"/>
      <w:lvlJc w:val="left"/>
      <w:pPr>
        <w:ind w:left="5964" w:hanging="248"/>
      </w:pPr>
      <w:rPr>
        <w:rFonts w:hint="default"/>
      </w:rPr>
    </w:lvl>
    <w:lvl w:ilvl="6">
      <w:start w:val="1"/>
      <w:numFmt w:val="bullet"/>
      <w:lvlText w:val="•"/>
      <w:lvlJc w:val="left"/>
      <w:pPr>
        <w:ind w:left="6955" w:hanging="248"/>
      </w:pPr>
      <w:rPr>
        <w:rFonts w:hint="default"/>
      </w:rPr>
    </w:lvl>
    <w:lvl w:ilvl="7">
      <w:start w:val="1"/>
      <w:numFmt w:val="bullet"/>
      <w:lvlText w:val="•"/>
      <w:lvlJc w:val="left"/>
      <w:pPr>
        <w:ind w:left="7946" w:hanging="248"/>
      </w:pPr>
      <w:rPr>
        <w:rFonts w:hint="default"/>
      </w:rPr>
    </w:lvl>
    <w:lvl w:ilvl="8">
      <w:start w:val="1"/>
      <w:numFmt w:val="bullet"/>
      <w:lvlText w:val="•"/>
      <w:lvlJc w:val="left"/>
      <w:pPr>
        <w:ind w:left="8937" w:hanging="248"/>
      </w:pPr>
      <w:rPr>
        <w:rFonts w:hint="default"/>
      </w:rPr>
    </w:lvl>
  </w:abstractNum>
  <w:abstractNum w:abstractNumId="7">
    <w:multiLevelType w:val="hybridMultilevel"/>
    <w:lvl w:ilvl="0">
      <w:start w:val="15"/>
      <w:numFmt w:val="decimal"/>
      <w:lvlText w:val="%1"/>
      <w:lvlJc w:val="left"/>
      <w:pPr>
        <w:ind w:left="1690" w:hanging="420"/>
        <w:jc w:val="left"/>
      </w:pPr>
      <w:rPr>
        <w:rFonts w:hint="default"/>
      </w:rPr>
    </w:lvl>
    <w:lvl w:ilvl="1">
      <w:start w:val="3"/>
      <w:numFmt w:val="decimal"/>
      <w:lvlText w:val="%1.%2"/>
      <w:lvlJc w:val="left"/>
      <w:pPr>
        <w:ind w:left="1690" w:hanging="420"/>
        <w:jc w:val="left"/>
      </w:pPr>
      <w:rPr>
        <w:rFonts w:hint="default" w:ascii="Times New Roman" w:hAnsi="Times New Roman" w:eastAsia="Times New Roman" w:cs="Times New Roman"/>
        <w:color w:val="231F20"/>
        <w:spacing w:val="-12"/>
        <w:w w:val="99"/>
        <w:sz w:val="21"/>
        <w:szCs w:val="21"/>
      </w:rPr>
    </w:lvl>
    <w:lvl w:ilvl="2">
      <w:start w:val="1"/>
      <w:numFmt w:val="upperRoman"/>
      <w:lvlText w:val="%3)"/>
      <w:lvlJc w:val="left"/>
      <w:pPr>
        <w:ind w:left="1905" w:hanging="175"/>
        <w:jc w:val="left"/>
      </w:pPr>
      <w:rPr>
        <w:rFonts w:hint="default" w:ascii="Times New Roman" w:hAnsi="Times New Roman" w:eastAsia="Times New Roman" w:cs="Times New Roman"/>
        <w:b/>
        <w:bCs/>
        <w:color w:val="010202"/>
        <w:spacing w:val="-4"/>
        <w:w w:val="100"/>
        <w:sz w:val="18"/>
        <w:szCs w:val="18"/>
      </w:rPr>
    </w:lvl>
    <w:lvl w:ilvl="3">
      <w:start w:val="1"/>
      <w:numFmt w:val="bullet"/>
      <w:lvlText w:val="•"/>
      <w:lvlJc w:val="left"/>
      <w:pPr>
        <w:ind w:left="3904" w:hanging="175"/>
      </w:pPr>
      <w:rPr>
        <w:rFonts w:hint="default"/>
      </w:rPr>
    </w:lvl>
    <w:lvl w:ilvl="4">
      <w:start w:val="1"/>
      <w:numFmt w:val="bullet"/>
      <w:lvlText w:val="•"/>
      <w:lvlJc w:val="left"/>
      <w:pPr>
        <w:ind w:left="4906" w:hanging="175"/>
      </w:pPr>
      <w:rPr>
        <w:rFonts w:hint="default"/>
      </w:rPr>
    </w:lvl>
    <w:lvl w:ilvl="5">
      <w:start w:val="1"/>
      <w:numFmt w:val="bullet"/>
      <w:lvlText w:val="•"/>
      <w:lvlJc w:val="left"/>
      <w:pPr>
        <w:ind w:left="5908" w:hanging="175"/>
      </w:pPr>
      <w:rPr>
        <w:rFonts w:hint="default"/>
      </w:rPr>
    </w:lvl>
    <w:lvl w:ilvl="6">
      <w:start w:val="1"/>
      <w:numFmt w:val="bullet"/>
      <w:lvlText w:val="•"/>
      <w:lvlJc w:val="left"/>
      <w:pPr>
        <w:ind w:left="6911" w:hanging="175"/>
      </w:pPr>
      <w:rPr>
        <w:rFonts w:hint="default"/>
      </w:rPr>
    </w:lvl>
    <w:lvl w:ilvl="7">
      <w:start w:val="1"/>
      <w:numFmt w:val="bullet"/>
      <w:lvlText w:val="•"/>
      <w:lvlJc w:val="left"/>
      <w:pPr>
        <w:ind w:left="7913" w:hanging="175"/>
      </w:pPr>
      <w:rPr>
        <w:rFonts w:hint="default"/>
      </w:rPr>
    </w:lvl>
    <w:lvl w:ilvl="8">
      <w:start w:val="1"/>
      <w:numFmt w:val="bullet"/>
      <w:lvlText w:val="•"/>
      <w:lvlJc w:val="left"/>
      <w:pPr>
        <w:ind w:left="8915" w:hanging="175"/>
      </w:pPr>
      <w:rPr>
        <w:rFonts w:hint="default"/>
      </w:rPr>
    </w:lvl>
  </w:abstractNum>
  <w:abstractNum w:abstractNumId="6">
    <w:multiLevelType w:val="hybridMultilevel"/>
    <w:lvl w:ilvl="0">
      <w:start w:val="1"/>
      <w:numFmt w:val="decimal"/>
      <w:lvlText w:val="%1)"/>
      <w:lvlJc w:val="left"/>
      <w:pPr>
        <w:ind w:left="1270" w:hanging="212"/>
        <w:jc w:val="left"/>
      </w:pPr>
      <w:rPr>
        <w:rFonts w:hint="default" w:ascii="Times New Roman" w:hAnsi="Times New Roman" w:eastAsia="Times New Roman" w:cs="Times New Roman"/>
        <w:color w:val="231F20"/>
        <w:w w:val="99"/>
        <w:sz w:val="21"/>
        <w:szCs w:val="21"/>
      </w:rPr>
    </w:lvl>
    <w:lvl w:ilvl="1">
      <w:start w:val="1"/>
      <w:numFmt w:val="bullet"/>
      <w:lvlText w:val="•"/>
      <w:lvlJc w:val="left"/>
      <w:pPr>
        <w:ind w:left="2244" w:hanging="212"/>
      </w:pPr>
      <w:rPr>
        <w:rFonts w:hint="default"/>
      </w:rPr>
    </w:lvl>
    <w:lvl w:ilvl="2">
      <w:start w:val="1"/>
      <w:numFmt w:val="bullet"/>
      <w:lvlText w:val="•"/>
      <w:lvlJc w:val="left"/>
      <w:pPr>
        <w:ind w:left="3208" w:hanging="212"/>
      </w:pPr>
      <w:rPr>
        <w:rFonts w:hint="default"/>
      </w:rPr>
    </w:lvl>
    <w:lvl w:ilvl="3">
      <w:start w:val="1"/>
      <w:numFmt w:val="bullet"/>
      <w:lvlText w:val="•"/>
      <w:lvlJc w:val="left"/>
      <w:pPr>
        <w:ind w:left="4172" w:hanging="212"/>
      </w:pPr>
      <w:rPr>
        <w:rFonts w:hint="default"/>
      </w:rPr>
    </w:lvl>
    <w:lvl w:ilvl="4">
      <w:start w:val="1"/>
      <w:numFmt w:val="bullet"/>
      <w:lvlText w:val="•"/>
      <w:lvlJc w:val="left"/>
      <w:pPr>
        <w:ind w:left="5136" w:hanging="212"/>
      </w:pPr>
      <w:rPr>
        <w:rFonts w:hint="default"/>
      </w:rPr>
    </w:lvl>
    <w:lvl w:ilvl="5">
      <w:start w:val="1"/>
      <w:numFmt w:val="bullet"/>
      <w:lvlText w:val="•"/>
      <w:lvlJc w:val="left"/>
      <w:pPr>
        <w:ind w:left="6100" w:hanging="212"/>
      </w:pPr>
      <w:rPr>
        <w:rFonts w:hint="default"/>
      </w:rPr>
    </w:lvl>
    <w:lvl w:ilvl="6">
      <w:start w:val="1"/>
      <w:numFmt w:val="bullet"/>
      <w:lvlText w:val="•"/>
      <w:lvlJc w:val="left"/>
      <w:pPr>
        <w:ind w:left="7064" w:hanging="212"/>
      </w:pPr>
      <w:rPr>
        <w:rFonts w:hint="default"/>
      </w:rPr>
    </w:lvl>
    <w:lvl w:ilvl="7">
      <w:start w:val="1"/>
      <w:numFmt w:val="bullet"/>
      <w:lvlText w:val="•"/>
      <w:lvlJc w:val="left"/>
      <w:pPr>
        <w:ind w:left="8028" w:hanging="212"/>
      </w:pPr>
      <w:rPr>
        <w:rFonts w:hint="default"/>
      </w:rPr>
    </w:lvl>
    <w:lvl w:ilvl="8">
      <w:start w:val="1"/>
      <w:numFmt w:val="bullet"/>
      <w:lvlText w:val="•"/>
      <w:lvlJc w:val="left"/>
      <w:pPr>
        <w:ind w:left="8992" w:hanging="212"/>
      </w:pPr>
      <w:rPr>
        <w:rFonts w:hint="default"/>
      </w:rPr>
    </w:lvl>
  </w:abstractNum>
  <w:abstractNum w:abstractNumId="5">
    <w:multiLevelType w:val="hybridMultilevel"/>
    <w:lvl w:ilvl="0">
      <w:start w:val="19"/>
      <w:numFmt w:val="upperLetter"/>
      <w:lvlText w:val="%1."/>
      <w:lvlJc w:val="left"/>
      <w:pPr>
        <w:ind w:left="1480" w:hanging="210"/>
        <w:jc w:val="left"/>
      </w:pPr>
      <w:rPr>
        <w:rFonts w:hint="default" w:ascii="Times New Roman" w:hAnsi="Times New Roman" w:eastAsia="Times New Roman" w:cs="Times New Roman"/>
        <w:i/>
        <w:color w:val="231F20"/>
        <w:spacing w:val="-1"/>
        <w:w w:val="99"/>
        <w:sz w:val="21"/>
        <w:szCs w:val="21"/>
      </w:rPr>
    </w:lvl>
    <w:lvl w:ilvl="1">
      <w:start w:val="1"/>
      <w:numFmt w:val="decimal"/>
      <w:lvlText w:val="%2."/>
      <w:lvlJc w:val="left"/>
      <w:pPr>
        <w:ind w:left="1480" w:hanging="210"/>
        <w:jc w:val="left"/>
      </w:pPr>
      <w:rPr>
        <w:rFonts w:hint="default" w:ascii="Times New Roman" w:hAnsi="Times New Roman" w:eastAsia="Times New Roman" w:cs="Times New Roman"/>
        <w:color w:val="231F20"/>
        <w:spacing w:val="-1"/>
        <w:w w:val="100"/>
        <w:sz w:val="21"/>
        <w:szCs w:val="21"/>
      </w:rPr>
    </w:lvl>
    <w:lvl w:ilvl="2">
      <w:start w:val="1"/>
      <w:numFmt w:val="bullet"/>
      <w:lvlText w:val="•"/>
      <w:lvlJc w:val="left"/>
      <w:pPr>
        <w:ind w:left="3368" w:hanging="210"/>
      </w:pPr>
      <w:rPr>
        <w:rFonts w:hint="default"/>
      </w:rPr>
    </w:lvl>
    <w:lvl w:ilvl="3">
      <w:start w:val="1"/>
      <w:numFmt w:val="bullet"/>
      <w:lvlText w:val="•"/>
      <w:lvlJc w:val="left"/>
      <w:pPr>
        <w:ind w:left="4312" w:hanging="210"/>
      </w:pPr>
      <w:rPr>
        <w:rFonts w:hint="default"/>
      </w:rPr>
    </w:lvl>
    <w:lvl w:ilvl="4">
      <w:start w:val="1"/>
      <w:numFmt w:val="bullet"/>
      <w:lvlText w:val="•"/>
      <w:lvlJc w:val="left"/>
      <w:pPr>
        <w:ind w:left="5256" w:hanging="210"/>
      </w:pPr>
      <w:rPr>
        <w:rFonts w:hint="default"/>
      </w:rPr>
    </w:lvl>
    <w:lvl w:ilvl="5">
      <w:start w:val="1"/>
      <w:numFmt w:val="bullet"/>
      <w:lvlText w:val="•"/>
      <w:lvlJc w:val="left"/>
      <w:pPr>
        <w:ind w:left="6200" w:hanging="210"/>
      </w:pPr>
      <w:rPr>
        <w:rFonts w:hint="default"/>
      </w:rPr>
    </w:lvl>
    <w:lvl w:ilvl="6">
      <w:start w:val="1"/>
      <w:numFmt w:val="bullet"/>
      <w:lvlText w:val="•"/>
      <w:lvlJc w:val="left"/>
      <w:pPr>
        <w:ind w:left="7144" w:hanging="210"/>
      </w:pPr>
      <w:rPr>
        <w:rFonts w:hint="default"/>
      </w:rPr>
    </w:lvl>
    <w:lvl w:ilvl="7">
      <w:start w:val="1"/>
      <w:numFmt w:val="bullet"/>
      <w:lvlText w:val="•"/>
      <w:lvlJc w:val="left"/>
      <w:pPr>
        <w:ind w:left="8088" w:hanging="210"/>
      </w:pPr>
      <w:rPr>
        <w:rFonts w:hint="default"/>
      </w:rPr>
    </w:lvl>
    <w:lvl w:ilvl="8">
      <w:start w:val="1"/>
      <w:numFmt w:val="bullet"/>
      <w:lvlText w:val="•"/>
      <w:lvlJc w:val="left"/>
      <w:pPr>
        <w:ind w:left="9032" w:hanging="210"/>
      </w:pPr>
      <w:rPr>
        <w:rFonts w:hint="default"/>
      </w:rPr>
    </w:lvl>
  </w:abstractNum>
  <w:abstractNum w:abstractNumId="4">
    <w:multiLevelType w:val="hybridMultilevel"/>
    <w:lvl w:ilvl="0">
      <w:start w:val="3"/>
      <w:numFmt w:val="upperLetter"/>
      <w:lvlText w:val="%1."/>
      <w:lvlJc w:val="left"/>
      <w:pPr>
        <w:ind w:left="1270" w:hanging="256"/>
        <w:jc w:val="left"/>
      </w:pPr>
      <w:rPr>
        <w:rFonts w:hint="default"/>
        <w:i/>
        <w:w w:val="100"/>
      </w:rPr>
    </w:lvl>
    <w:lvl w:ilvl="1">
      <w:start w:val="1"/>
      <w:numFmt w:val="bullet"/>
      <w:lvlText w:val="•"/>
      <w:lvlJc w:val="left"/>
      <w:pPr>
        <w:ind w:left="2244" w:hanging="256"/>
      </w:pPr>
      <w:rPr>
        <w:rFonts w:hint="default"/>
      </w:rPr>
    </w:lvl>
    <w:lvl w:ilvl="2">
      <w:start w:val="1"/>
      <w:numFmt w:val="bullet"/>
      <w:lvlText w:val="•"/>
      <w:lvlJc w:val="left"/>
      <w:pPr>
        <w:ind w:left="3208" w:hanging="256"/>
      </w:pPr>
      <w:rPr>
        <w:rFonts w:hint="default"/>
      </w:rPr>
    </w:lvl>
    <w:lvl w:ilvl="3">
      <w:start w:val="1"/>
      <w:numFmt w:val="bullet"/>
      <w:lvlText w:val="•"/>
      <w:lvlJc w:val="left"/>
      <w:pPr>
        <w:ind w:left="4172" w:hanging="256"/>
      </w:pPr>
      <w:rPr>
        <w:rFonts w:hint="default"/>
      </w:rPr>
    </w:lvl>
    <w:lvl w:ilvl="4">
      <w:start w:val="1"/>
      <w:numFmt w:val="bullet"/>
      <w:lvlText w:val="•"/>
      <w:lvlJc w:val="left"/>
      <w:pPr>
        <w:ind w:left="5136" w:hanging="256"/>
      </w:pPr>
      <w:rPr>
        <w:rFonts w:hint="default"/>
      </w:rPr>
    </w:lvl>
    <w:lvl w:ilvl="5">
      <w:start w:val="1"/>
      <w:numFmt w:val="bullet"/>
      <w:lvlText w:val="•"/>
      <w:lvlJc w:val="left"/>
      <w:pPr>
        <w:ind w:left="6100" w:hanging="256"/>
      </w:pPr>
      <w:rPr>
        <w:rFonts w:hint="default"/>
      </w:rPr>
    </w:lvl>
    <w:lvl w:ilvl="6">
      <w:start w:val="1"/>
      <w:numFmt w:val="bullet"/>
      <w:lvlText w:val="•"/>
      <w:lvlJc w:val="left"/>
      <w:pPr>
        <w:ind w:left="7064" w:hanging="256"/>
      </w:pPr>
      <w:rPr>
        <w:rFonts w:hint="default"/>
      </w:rPr>
    </w:lvl>
    <w:lvl w:ilvl="7">
      <w:start w:val="1"/>
      <w:numFmt w:val="bullet"/>
      <w:lvlText w:val="•"/>
      <w:lvlJc w:val="left"/>
      <w:pPr>
        <w:ind w:left="8028" w:hanging="256"/>
      </w:pPr>
      <w:rPr>
        <w:rFonts w:hint="default"/>
      </w:rPr>
    </w:lvl>
    <w:lvl w:ilvl="8">
      <w:start w:val="1"/>
      <w:numFmt w:val="bullet"/>
      <w:lvlText w:val="•"/>
      <w:lvlJc w:val="left"/>
      <w:pPr>
        <w:ind w:left="8992" w:hanging="256"/>
      </w:pPr>
      <w:rPr>
        <w:rFonts w:hint="default"/>
      </w:rPr>
    </w:lvl>
  </w:abstractNum>
  <w:abstractNum w:abstractNumId="3">
    <w:multiLevelType w:val="hybridMultilevel"/>
    <w:lvl w:ilvl="0">
      <w:start w:val="23"/>
      <w:numFmt w:val="upperLetter"/>
      <w:lvlText w:val="%1."/>
      <w:lvlJc w:val="left"/>
      <w:pPr>
        <w:ind w:left="1527" w:hanging="257"/>
        <w:jc w:val="left"/>
      </w:pPr>
      <w:rPr>
        <w:rFonts w:hint="default" w:ascii="Times New Roman" w:hAnsi="Times New Roman" w:eastAsia="Times New Roman" w:cs="Times New Roman"/>
        <w:color w:val="231F20"/>
        <w:spacing w:val="-18"/>
        <w:w w:val="100"/>
        <w:sz w:val="19"/>
        <w:szCs w:val="19"/>
      </w:rPr>
    </w:lvl>
    <w:lvl w:ilvl="1">
      <w:start w:val="1"/>
      <w:numFmt w:val="lowerLetter"/>
      <w:lvlText w:val="%2)"/>
      <w:lvlJc w:val="left"/>
      <w:pPr>
        <w:ind w:left="1605" w:hanging="216"/>
        <w:jc w:val="left"/>
      </w:pPr>
      <w:rPr>
        <w:rFonts w:hint="default" w:ascii="Times New Roman" w:hAnsi="Times New Roman" w:eastAsia="Times New Roman" w:cs="Times New Roman"/>
        <w:color w:val="231F20"/>
        <w:w w:val="100"/>
        <w:sz w:val="21"/>
        <w:szCs w:val="21"/>
      </w:rPr>
    </w:lvl>
    <w:lvl w:ilvl="2">
      <w:start w:val="1"/>
      <w:numFmt w:val="bullet"/>
      <w:lvlText w:val="•"/>
      <w:lvlJc w:val="left"/>
      <w:pPr>
        <w:ind w:left="2635" w:hanging="216"/>
      </w:pPr>
      <w:rPr>
        <w:rFonts w:hint="default"/>
      </w:rPr>
    </w:lvl>
    <w:lvl w:ilvl="3">
      <w:start w:val="1"/>
      <w:numFmt w:val="bullet"/>
      <w:lvlText w:val="•"/>
      <w:lvlJc w:val="left"/>
      <w:pPr>
        <w:ind w:left="3671" w:hanging="216"/>
      </w:pPr>
      <w:rPr>
        <w:rFonts w:hint="default"/>
      </w:rPr>
    </w:lvl>
    <w:lvl w:ilvl="4">
      <w:start w:val="1"/>
      <w:numFmt w:val="bullet"/>
      <w:lvlText w:val="•"/>
      <w:lvlJc w:val="left"/>
      <w:pPr>
        <w:ind w:left="4706" w:hanging="216"/>
      </w:pPr>
      <w:rPr>
        <w:rFonts w:hint="default"/>
      </w:rPr>
    </w:lvl>
    <w:lvl w:ilvl="5">
      <w:start w:val="1"/>
      <w:numFmt w:val="bullet"/>
      <w:lvlText w:val="•"/>
      <w:lvlJc w:val="left"/>
      <w:pPr>
        <w:ind w:left="5742" w:hanging="216"/>
      </w:pPr>
      <w:rPr>
        <w:rFonts w:hint="default"/>
      </w:rPr>
    </w:lvl>
    <w:lvl w:ilvl="6">
      <w:start w:val="1"/>
      <w:numFmt w:val="bullet"/>
      <w:lvlText w:val="•"/>
      <w:lvlJc w:val="left"/>
      <w:pPr>
        <w:ind w:left="6777" w:hanging="216"/>
      </w:pPr>
      <w:rPr>
        <w:rFonts w:hint="default"/>
      </w:rPr>
    </w:lvl>
    <w:lvl w:ilvl="7">
      <w:start w:val="1"/>
      <w:numFmt w:val="bullet"/>
      <w:lvlText w:val="•"/>
      <w:lvlJc w:val="left"/>
      <w:pPr>
        <w:ind w:left="7813" w:hanging="216"/>
      </w:pPr>
      <w:rPr>
        <w:rFonts w:hint="default"/>
      </w:rPr>
    </w:lvl>
    <w:lvl w:ilvl="8">
      <w:start w:val="1"/>
      <w:numFmt w:val="bullet"/>
      <w:lvlText w:val="•"/>
      <w:lvlJc w:val="left"/>
      <w:pPr>
        <w:ind w:left="8848" w:hanging="216"/>
      </w:pPr>
      <w:rPr>
        <w:rFonts w:hint="default"/>
      </w:rPr>
    </w:lvl>
  </w:abstractNum>
  <w:abstractNum w:abstractNumId="2">
    <w:multiLevelType w:val="hybridMultilevel"/>
    <w:lvl w:ilvl="0">
      <w:start w:val="8"/>
      <w:numFmt w:val="upperLetter"/>
      <w:lvlText w:val="%1-"/>
      <w:lvlJc w:val="left"/>
      <w:pPr>
        <w:ind w:left="1270" w:hanging="433"/>
        <w:jc w:val="left"/>
      </w:pPr>
      <w:rPr>
        <w:rFonts w:hint="default" w:ascii="Times New Roman" w:hAnsi="Times New Roman" w:eastAsia="Times New Roman" w:cs="Times New Roman"/>
        <w:color w:val="231F20"/>
        <w:spacing w:val="-4"/>
        <w:w w:val="98"/>
        <w:sz w:val="21"/>
        <w:szCs w:val="21"/>
      </w:rPr>
    </w:lvl>
    <w:lvl w:ilvl="1">
      <w:start w:val="1"/>
      <w:numFmt w:val="bullet"/>
      <w:lvlText w:val="•"/>
      <w:lvlJc w:val="left"/>
      <w:pPr>
        <w:ind w:left="2244" w:hanging="433"/>
      </w:pPr>
      <w:rPr>
        <w:rFonts w:hint="default"/>
      </w:rPr>
    </w:lvl>
    <w:lvl w:ilvl="2">
      <w:start w:val="1"/>
      <w:numFmt w:val="bullet"/>
      <w:lvlText w:val="•"/>
      <w:lvlJc w:val="left"/>
      <w:pPr>
        <w:ind w:left="3208" w:hanging="433"/>
      </w:pPr>
      <w:rPr>
        <w:rFonts w:hint="default"/>
      </w:rPr>
    </w:lvl>
    <w:lvl w:ilvl="3">
      <w:start w:val="1"/>
      <w:numFmt w:val="bullet"/>
      <w:lvlText w:val="•"/>
      <w:lvlJc w:val="left"/>
      <w:pPr>
        <w:ind w:left="4172" w:hanging="433"/>
      </w:pPr>
      <w:rPr>
        <w:rFonts w:hint="default"/>
      </w:rPr>
    </w:lvl>
    <w:lvl w:ilvl="4">
      <w:start w:val="1"/>
      <w:numFmt w:val="bullet"/>
      <w:lvlText w:val="•"/>
      <w:lvlJc w:val="left"/>
      <w:pPr>
        <w:ind w:left="5136" w:hanging="433"/>
      </w:pPr>
      <w:rPr>
        <w:rFonts w:hint="default"/>
      </w:rPr>
    </w:lvl>
    <w:lvl w:ilvl="5">
      <w:start w:val="1"/>
      <w:numFmt w:val="bullet"/>
      <w:lvlText w:val="•"/>
      <w:lvlJc w:val="left"/>
      <w:pPr>
        <w:ind w:left="6100" w:hanging="433"/>
      </w:pPr>
      <w:rPr>
        <w:rFonts w:hint="default"/>
      </w:rPr>
    </w:lvl>
    <w:lvl w:ilvl="6">
      <w:start w:val="1"/>
      <w:numFmt w:val="bullet"/>
      <w:lvlText w:val="•"/>
      <w:lvlJc w:val="left"/>
      <w:pPr>
        <w:ind w:left="7064" w:hanging="433"/>
      </w:pPr>
      <w:rPr>
        <w:rFonts w:hint="default"/>
      </w:rPr>
    </w:lvl>
    <w:lvl w:ilvl="7">
      <w:start w:val="1"/>
      <w:numFmt w:val="bullet"/>
      <w:lvlText w:val="•"/>
      <w:lvlJc w:val="left"/>
      <w:pPr>
        <w:ind w:left="8028" w:hanging="433"/>
      </w:pPr>
      <w:rPr>
        <w:rFonts w:hint="default"/>
      </w:rPr>
    </w:lvl>
    <w:lvl w:ilvl="8">
      <w:start w:val="1"/>
      <w:numFmt w:val="bullet"/>
      <w:lvlText w:val="•"/>
      <w:lvlJc w:val="left"/>
      <w:pPr>
        <w:ind w:left="8992" w:hanging="433"/>
      </w:pPr>
      <w:rPr>
        <w:rFonts w:hint="default"/>
      </w:rPr>
    </w:lvl>
  </w:abstractNum>
  <w:abstractNum w:abstractNumId="1">
    <w:multiLevelType w:val="hybridMultilevel"/>
    <w:lvl w:ilvl="0">
      <w:start w:val="1"/>
      <w:numFmt w:val="decimal"/>
      <w:lvlText w:val="%1."/>
      <w:lvlJc w:val="left"/>
      <w:pPr>
        <w:ind w:left="1270" w:hanging="210"/>
        <w:jc w:val="left"/>
      </w:pPr>
      <w:rPr>
        <w:rFonts w:hint="default" w:ascii="Times New Roman" w:hAnsi="Times New Roman" w:eastAsia="Times New Roman" w:cs="Times New Roman"/>
        <w:b/>
        <w:bCs/>
        <w:color w:val="231F20"/>
        <w:spacing w:val="-4"/>
        <w:w w:val="100"/>
        <w:sz w:val="21"/>
        <w:szCs w:val="21"/>
      </w:rPr>
    </w:lvl>
    <w:lvl w:ilvl="1">
      <w:start w:val="1"/>
      <w:numFmt w:val="bullet"/>
      <w:lvlText w:val="•"/>
      <w:lvlJc w:val="left"/>
      <w:pPr>
        <w:ind w:left="1870" w:hanging="260"/>
      </w:pPr>
      <w:rPr>
        <w:rFonts w:hint="default" w:ascii="Times New Roman" w:hAnsi="Times New Roman" w:eastAsia="Times New Roman" w:cs="Times New Roman"/>
        <w:color w:val="231F20"/>
        <w:w w:val="99"/>
        <w:sz w:val="21"/>
        <w:szCs w:val="21"/>
      </w:rPr>
    </w:lvl>
    <w:lvl w:ilvl="2">
      <w:start w:val="1"/>
      <w:numFmt w:val="bullet"/>
      <w:lvlText w:val="•"/>
      <w:lvlJc w:val="left"/>
      <w:pPr>
        <w:ind w:left="2884" w:hanging="260"/>
      </w:pPr>
      <w:rPr>
        <w:rFonts w:hint="default"/>
      </w:rPr>
    </w:lvl>
    <w:lvl w:ilvl="3">
      <w:start w:val="1"/>
      <w:numFmt w:val="bullet"/>
      <w:lvlText w:val="•"/>
      <w:lvlJc w:val="left"/>
      <w:pPr>
        <w:ind w:left="3888" w:hanging="260"/>
      </w:pPr>
      <w:rPr>
        <w:rFonts w:hint="default"/>
      </w:rPr>
    </w:lvl>
    <w:lvl w:ilvl="4">
      <w:start w:val="1"/>
      <w:numFmt w:val="bullet"/>
      <w:lvlText w:val="•"/>
      <w:lvlJc w:val="left"/>
      <w:pPr>
        <w:ind w:left="4893" w:hanging="260"/>
      </w:pPr>
      <w:rPr>
        <w:rFonts w:hint="default"/>
      </w:rPr>
    </w:lvl>
    <w:lvl w:ilvl="5">
      <w:start w:val="1"/>
      <w:numFmt w:val="bullet"/>
      <w:lvlText w:val="•"/>
      <w:lvlJc w:val="left"/>
      <w:pPr>
        <w:ind w:left="5897" w:hanging="260"/>
      </w:pPr>
      <w:rPr>
        <w:rFonts w:hint="default"/>
      </w:rPr>
    </w:lvl>
    <w:lvl w:ilvl="6">
      <w:start w:val="1"/>
      <w:numFmt w:val="bullet"/>
      <w:lvlText w:val="•"/>
      <w:lvlJc w:val="left"/>
      <w:pPr>
        <w:ind w:left="6902" w:hanging="260"/>
      </w:pPr>
      <w:rPr>
        <w:rFonts w:hint="default"/>
      </w:rPr>
    </w:lvl>
    <w:lvl w:ilvl="7">
      <w:start w:val="1"/>
      <w:numFmt w:val="bullet"/>
      <w:lvlText w:val="•"/>
      <w:lvlJc w:val="left"/>
      <w:pPr>
        <w:ind w:left="7906" w:hanging="260"/>
      </w:pPr>
      <w:rPr>
        <w:rFonts w:hint="default"/>
      </w:rPr>
    </w:lvl>
    <w:lvl w:ilvl="8">
      <w:start w:val="1"/>
      <w:numFmt w:val="bullet"/>
      <w:lvlText w:val="•"/>
      <w:lvlJc w:val="left"/>
      <w:pPr>
        <w:ind w:left="8911" w:hanging="260"/>
      </w:pPr>
      <w:rPr>
        <w:rFonts w:hint="default"/>
      </w:rPr>
    </w:lvl>
  </w:abstractNum>
  <w:abstractNum w:abstractNumId="0">
    <w:multiLevelType w:val="hybridMultilevel"/>
    <w:lvl w:ilvl="0">
      <w:start w:val="2"/>
      <w:numFmt w:val="lowerLetter"/>
      <w:lvlText w:val="(%1)"/>
      <w:lvlJc w:val="left"/>
      <w:pPr>
        <w:ind w:left="1270" w:hanging="311"/>
        <w:jc w:val="left"/>
      </w:pPr>
      <w:rPr>
        <w:rFonts w:hint="default" w:ascii="Times New Roman" w:hAnsi="Times New Roman" w:eastAsia="Times New Roman" w:cs="Times New Roman"/>
        <w:color w:val="231F20"/>
        <w:spacing w:val="0"/>
        <w:w w:val="100"/>
        <w:sz w:val="21"/>
        <w:szCs w:val="21"/>
      </w:rPr>
    </w:lvl>
    <w:lvl w:ilvl="1">
      <w:start w:val="1"/>
      <w:numFmt w:val="bullet"/>
      <w:lvlText w:val="•"/>
      <w:lvlJc w:val="left"/>
      <w:pPr>
        <w:ind w:left="2244" w:hanging="311"/>
      </w:pPr>
      <w:rPr>
        <w:rFonts w:hint="default"/>
      </w:rPr>
    </w:lvl>
    <w:lvl w:ilvl="2">
      <w:start w:val="1"/>
      <w:numFmt w:val="bullet"/>
      <w:lvlText w:val="•"/>
      <w:lvlJc w:val="left"/>
      <w:pPr>
        <w:ind w:left="3208" w:hanging="311"/>
      </w:pPr>
      <w:rPr>
        <w:rFonts w:hint="default"/>
      </w:rPr>
    </w:lvl>
    <w:lvl w:ilvl="3">
      <w:start w:val="1"/>
      <w:numFmt w:val="bullet"/>
      <w:lvlText w:val="•"/>
      <w:lvlJc w:val="left"/>
      <w:pPr>
        <w:ind w:left="4172" w:hanging="311"/>
      </w:pPr>
      <w:rPr>
        <w:rFonts w:hint="default"/>
      </w:rPr>
    </w:lvl>
    <w:lvl w:ilvl="4">
      <w:start w:val="1"/>
      <w:numFmt w:val="bullet"/>
      <w:lvlText w:val="•"/>
      <w:lvlJc w:val="left"/>
      <w:pPr>
        <w:ind w:left="5136" w:hanging="311"/>
      </w:pPr>
      <w:rPr>
        <w:rFonts w:hint="default"/>
      </w:rPr>
    </w:lvl>
    <w:lvl w:ilvl="5">
      <w:start w:val="1"/>
      <w:numFmt w:val="bullet"/>
      <w:lvlText w:val="•"/>
      <w:lvlJc w:val="left"/>
      <w:pPr>
        <w:ind w:left="6100" w:hanging="311"/>
      </w:pPr>
      <w:rPr>
        <w:rFonts w:hint="default"/>
      </w:rPr>
    </w:lvl>
    <w:lvl w:ilvl="6">
      <w:start w:val="1"/>
      <w:numFmt w:val="bullet"/>
      <w:lvlText w:val="•"/>
      <w:lvlJc w:val="left"/>
      <w:pPr>
        <w:ind w:left="7064" w:hanging="311"/>
      </w:pPr>
      <w:rPr>
        <w:rFonts w:hint="default"/>
      </w:rPr>
    </w:lvl>
    <w:lvl w:ilvl="7">
      <w:start w:val="1"/>
      <w:numFmt w:val="bullet"/>
      <w:lvlText w:val="•"/>
      <w:lvlJc w:val="left"/>
      <w:pPr>
        <w:ind w:left="8028" w:hanging="311"/>
      </w:pPr>
      <w:rPr>
        <w:rFonts w:hint="default"/>
      </w:rPr>
    </w:lvl>
    <w:lvl w:ilvl="8">
      <w:start w:val="1"/>
      <w:numFmt w:val="bullet"/>
      <w:lvlText w:val="•"/>
      <w:lvlJc w:val="left"/>
      <w:pPr>
        <w:ind w:left="8992" w:hanging="311"/>
      </w:pPr>
      <w:rPr>
        <w:rFonts w:hint="default"/>
      </w:rPr>
    </w:lvl>
  </w:abstract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254"/>
      <w:ind w:left="22"/>
      <w:jc w:val="center"/>
    </w:pPr>
    <w:rPr>
      <w:rFonts w:ascii="Trebuchet MS" w:hAnsi="Trebuchet MS" w:eastAsia="Trebuchet MS" w:cs="Trebuchet MS"/>
      <w:b/>
      <w:bCs/>
      <w:i/>
      <w:sz w:val="22"/>
      <w:szCs w:val="22"/>
    </w:rPr>
  </w:style>
  <w:style w:styleId="TOC2" w:type="paragraph">
    <w:name w:val="TOC 2"/>
    <w:basedOn w:val="Normal"/>
    <w:uiPriority w:val="1"/>
    <w:qFormat/>
    <w:pPr>
      <w:spacing w:before="1"/>
      <w:ind w:left="1270"/>
    </w:pPr>
    <w:rPr>
      <w:rFonts w:ascii="Trebuchet MS" w:hAnsi="Trebuchet MS" w:eastAsia="Trebuchet MS" w:cs="Trebuchet MS"/>
      <w:b/>
      <w:bCs/>
      <w:sz w:val="22"/>
      <w:szCs w:val="22"/>
    </w:rPr>
  </w:style>
  <w:style w:styleId="TOC3" w:type="paragraph">
    <w:name w:val="TOC 3"/>
    <w:basedOn w:val="Normal"/>
    <w:uiPriority w:val="1"/>
    <w:qFormat/>
    <w:pPr>
      <w:spacing w:before="8"/>
      <w:ind w:left="1270" w:right="2319"/>
    </w:pPr>
    <w:rPr>
      <w:rFonts w:ascii="Trebuchet MS" w:hAnsi="Trebuchet MS" w:eastAsia="Trebuchet MS" w:cs="Trebuchet MS"/>
      <w:b/>
      <w:bCs/>
      <w:i/>
    </w:rPr>
  </w:style>
  <w:style w:styleId="TOC4" w:type="paragraph">
    <w:name w:val="TOC 4"/>
    <w:basedOn w:val="Normal"/>
    <w:uiPriority w:val="1"/>
    <w:qFormat/>
    <w:pPr>
      <w:spacing w:before="790"/>
      <w:ind w:left="1505" w:right="1483"/>
      <w:jc w:val="center"/>
    </w:pPr>
    <w:rPr>
      <w:rFonts w:ascii="Trebuchet MS" w:hAnsi="Trebuchet MS" w:eastAsia="Trebuchet MS" w:cs="Trebuchet MS"/>
      <w:b/>
      <w:bCs/>
      <w:i/>
      <w:sz w:val="22"/>
      <w:szCs w:val="22"/>
    </w:rPr>
  </w:style>
  <w:style w:styleId="BodyText" w:type="paragraph">
    <w:name w:val="Body Text"/>
    <w:basedOn w:val="Normal"/>
    <w:uiPriority w:val="1"/>
    <w:qFormat/>
    <w:pPr/>
    <w:rPr>
      <w:rFonts w:ascii="Times New Roman" w:hAnsi="Times New Roman" w:eastAsia="Times New Roman" w:cs="Times New Roman"/>
      <w:sz w:val="21"/>
      <w:szCs w:val="21"/>
    </w:rPr>
  </w:style>
  <w:style w:styleId="Heading1" w:type="paragraph">
    <w:name w:val="Heading 1"/>
    <w:basedOn w:val="Normal"/>
    <w:uiPriority w:val="1"/>
    <w:qFormat/>
    <w:pPr>
      <w:ind w:left="1489" w:right="1489"/>
      <w:jc w:val="center"/>
      <w:outlineLvl w:val="1"/>
    </w:pPr>
    <w:rPr>
      <w:rFonts w:ascii="Trebuchet MS" w:hAnsi="Trebuchet MS" w:eastAsia="Trebuchet MS" w:cs="Trebuchet MS"/>
      <w:b/>
      <w:bCs/>
      <w:sz w:val="36"/>
      <w:szCs w:val="36"/>
    </w:rPr>
  </w:style>
  <w:style w:styleId="Heading2" w:type="paragraph">
    <w:name w:val="Heading 2"/>
    <w:basedOn w:val="Normal"/>
    <w:uiPriority w:val="1"/>
    <w:qFormat/>
    <w:pPr>
      <w:spacing w:before="1"/>
      <w:ind w:left="1488" w:right="1489"/>
      <w:jc w:val="center"/>
      <w:outlineLvl w:val="2"/>
    </w:pPr>
    <w:rPr>
      <w:rFonts w:ascii="Trebuchet MS" w:hAnsi="Trebuchet MS" w:eastAsia="Trebuchet MS" w:cs="Trebuchet MS"/>
      <w:b/>
      <w:bCs/>
      <w:i/>
      <w:sz w:val="36"/>
      <w:szCs w:val="36"/>
    </w:rPr>
  </w:style>
  <w:style w:styleId="Heading3" w:type="paragraph">
    <w:name w:val="Heading 3"/>
    <w:basedOn w:val="Normal"/>
    <w:uiPriority w:val="1"/>
    <w:qFormat/>
    <w:pPr>
      <w:ind w:left="1270"/>
      <w:jc w:val="both"/>
      <w:outlineLvl w:val="3"/>
    </w:pPr>
    <w:rPr>
      <w:rFonts w:ascii="Times New Roman" w:hAnsi="Times New Roman" w:eastAsia="Times New Roman" w:cs="Times New Roman"/>
      <w:b/>
      <w:bCs/>
      <w:sz w:val="24"/>
      <w:szCs w:val="24"/>
    </w:rPr>
  </w:style>
  <w:style w:styleId="Heading4" w:type="paragraph">
    <w:name w:val="Heading 4"/>
    <w:basedOn w:val="Normal"/>
    <w:uiPriority w:val="1"/>
    <w:qFormat/>
    <w:pPr>
      <w:ind w:left="40"/>
      <w:outlineLvl w:val="4"/>
    </w:pPr>
    <w:rPr>
      <w:rFonts w:ascii="Times New Roman" w:hAnsi="Times New Roman" w:eastAsia="Times New Roman" w:cs="Times New Roman"/>
      <w:b/>
      <w:bCs/>
      <w:i/>
      <w:sz w:val="22"/>
      <w:szCs w:val="22"/>
    </w:rPr>
  </w:style>
  <w:style w:styleId="Heading5" w:type="paragraph">
    <w:name w:val="Heading 5"/>
    <w:basedOn w:val="Normal"/>
    <w:uiPriority w:val="1"/>
    <w:qFormat/>
    <w:pPr>
      <w:ind w:left="1270"/>
      <w:jc w:val="both"/>
      <w:outlineLvl w:val="5"/>
    </w:pPr>
    <w:rPr>
      <w:rFonts w:ascii="Times New Roman" w:hAnsi="Times New Roman" w:eastAsia="Times New Roman" w:cs="Times New Roman"/>
      <w:b/>
      <w:bCs/>
      <w:sz w:val="21"/>
      <w:szCs w:val="21"/>
    </w:rPr>
  </w:style>
  <w:style w:styleId="ListParagraph" w:type="paragraph">
    <w:name w:val="List Paragraph"/>
    <w:basedOn w:val="Normal"/>
    <w:uiPriority w:val="1"/>
    <w:qFormat/>
    <w:pPr>
      <w:spacing w:before="8"/>
      <w:ind w:left="1990" w:hanging="248"/>
    </w:pPr>
    <w:rPr>
      <w:rFonts w:ascii="Times New Roman" w:hAnsi="Times New Roman" w:eastAsia="Times New Roman" w:cs="Times New Roman"/>
    </w:rPr>
  </w:style>
  <w:style w:styleId="TableParagraph" w:type="paragraph">
    <w:name w:val="Table Paragraph"/>
    <w:basedOn w:val="Normal"/>
    <w:uiPriority w:val="1"/>
    <w:qFormat/>
    <w:pPr>
      <w:spacing w:before="26"/>
      <w:ind w:left="70"/>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header" Target="header1.xml"/><Relationship Id="rId7" Type="http://schemas.openxmlformats.org/officeDocument/2006/relationships/footer" Target="footer1.xml"/><Relationship Id="rId8" Type="http://schemas.openxmlformats.org/officeDocument/2006/relationships/image" Target="media/image2.png"/><Relationship Id="rId9" Type="http://schemas.openxmlformats.org/officeDocument/2006/relationships/footer" Target="footer2.xml"/><Relationship Id="rId10" Type="http://schemas.openxmlformats.org/officeDocument/2006/relationships/footer" Target="footer3.xml"/><Relationship Id="rId11" Type="http://schemas.openxmlformats.org/officeDocument/2006/relationships/footer" Target="footer4.xml"/><Relationship Id="rId12" Type="http://schemas.openxmlformats.org/officeDocument/2006/relationships/header" Target="header2.xml"/><Relationship Id="rId13" Type="http://schemas.openxmlformats.org/officeDocument/2006/relationships/footer" Target="footer5.xml"/><Relationship Id="rId14" Type="http://schemas.openxmlformats.org/officeDocument/2006/relationships/image" Target="media/image3.jpeg"/><Relationship Id="rId15" Type="http://schemas.openxmlformats.org/officeDocument/2006/relationships/image" Target="media/image4.jpeg"/><Relationship Id="rId16" Type="http://schemas.openxmlformats.org/officeDocument/2006/relationships/image" Target="media/image5.png"/><Relationship Id="rId17" Type="http://schemas.openxmlformats.org/officeDocument/2006/relationships/image" Target="media/image6.png"/><Relationship Id="rId18" Type="http://schemas.openxmlformats.org/officeDocument/2006/relationships/image" Target="media/image7.png"/><Relationship Id="rId19" Type="http://schemas.openxmlformats.org/officeDocument/2006/relationships/image" Target="media/image8.png"/><Relationship Id="rId20" Type="http://schemas.openxmlformats.org/officeDocument/2006/relationships/image" Target="media/image9.png"/><Relationship Id="rId21" Type="http://schemas.openxmlformats.org/officeDocument/2006/relationships/hyperlink" Target="http://www.gcma.com.mx/" TargetMode="External"/><Relationship Id="rId22" Type="http://schemas.openxmlformats.org/officeDocument/2006/relationships/hyperlink" Target="http://www.cambioclim&#225;ticoglobal.com/bibliogr.html" TargetMode="External"/><Relationship Id="rId23" Type="http://schemas.openxmlformats.org/officeDocument/2006/relationships/image" Target="media/image10.png"/><Relationship Id="rId24" Type="http://schemas.openxmlformats.org/officeDocument/2006/relationships/image" Target="media/image11.png"/><Relationship Id="rId25" Type="http://schemas.openxmlformats.org/officeDocument/2006/relationships/hyperlink" Target="mailto:mauro_s55@hotmail.com" TargetMode="External"/><Relationship Id="rId26" Type="http://schemas.openxmlformats.org/officeDocument/2006/relationships/image" Target="media/image12.jpeg"/><Relationship Id="rId27" Type="http://schemas.openxmlformats.org/officeDocument/2006/relationships/image" Target="media/image13.jpeg"/><Relationship Id="rId28" Type="http://schemas.openxmlformats.org/officeDocument/2006/relationships/image" Target="media/image14.jpeg"/><Relationship Id="rId29" Type="http://schemas.openxmlformats.org/officeDocument/2006/relationships/hyperlink" Target="http://www.siap.sagarpa.gob.mx/" TargetMode="External"/><Relationship Id="rId30" Type="http://schemas.openxmlformats.org/officeDocument/2006/relationships/hyperlink" Target="mailto:jasee@colpos.mx" TargetMode="External"/><Relationship Id="rId31" Type="http://schemas.openxmlformats.org/officeDocument/2006/relationships/image" Target="media/image15.jpeg"/><Relationship Id="rId32" Type="http://schemas.openxmlformats.org/officeDocument/2006/relationships/image" Target="media/image16.png"/><Relationship Id="rId33" Type="http://schemas.openxmlformats.org/officeDocument/2006/relationships/image" Target="media/image17.png"/><Relationship Id="rId34" Type="http://schemas.openxmlformats.org/officeDocument/2006/relationships/image" Target="media/image18.png"/><Relationship Id="rId35" Type="http://schemas.openxmlformats.org/officeDocument/2006/relationships/image" Target="media/image19.png"/><Relationship Id="rId36" Type="http://schemas.openxmlformats.org/officeDocument/2006/relationships/image" Target="media/image20.png"/><Relationship Id="rId37" Type="http://schemas.openxmlformats.org/officeDocument/2006/relationships/image" Target="media/image21.png"/><Relationship Id="rId38" Type="http://schemas.openxmlformats.org/officeDocument/2006/relationships/image" Target="media/image22.png"/><Relationship Id="rId39" Type="http://schemas.openxmlformats.org/officeDocument/2006/relationships/hyperlink" Target="mailto:aguilar.cid@colpos.mx" TargetMode="External"/><Relationship Id="rId40" Type="http://schemas.openxmlformats.org/officeDocument/2006/relationships/image" Target="media/image23.png"/><Relationship Id="rId41" Type="http://schemas.openxmlformats.org/officeDocument/2006/relationships/image" Target="media/image24.jpeg"/><Relationship Id="rId42" Type="http://schemas.openxmlformats.org/officeDocument/2006/relationships/image" Target="media/image25.jpeg"/><Relationship Id="rId43" Type="http://schemas.openxmlformats.org/officeDocument/2006/relationships/image" Target="media/image26.png"/><Relationship Id="rId44" Type="http://schemas.openxmlformats.org/officeDocument/2006/relationships/hyperlink" Target="http://www.siap.sagarpa.gob/mx/ar_comanuar.html" TargetMode="External"/><Relationship Id="rId45" Type="http://schemas.openxmlformats.org/officeDocument/2006/relationships/image" Target="media/image27.png"/><Relationship Id="rId46" Type="http://schemas.openxmlformats.org/officeDocument/2006/relationships/image" Target="media/image28.png"/><Relationship Id="rId47" Type="http://schemas.openxmlformats.org/officeDocument/2006/relationships/image" Target="media/image29.jpeg"/><Relationship Id="rId48" Type="http://schemas.openxmlformats.org/officeDocument/2006/relationships/hyperlink" Target="mailto:colpos.mx%3Bmate@colpos.mx" TargetMode="External"/><Relationship Id="rId49" Type="http://schemas.openxmlformats.org/officeDocument/2006/relationships/image" Target="media/image30.png"/><Relationship Id="rId50" Type="http://schemas.openxmlformats.org/officeDocument/2006/relationships/image" Target="media/image31.jpeg"/><Relationship Id="rId51" Type="http://schemas.openxmlformats.org/officeDocument/2006/relationships/image" Target="media/image32.png"/><Relationship Id="rId52" Type="http://schemas.openxmlformats.org/officeDocument/2006/relationships/image" Target="media/image33.png"/><Relationship Id="rId53" Type="http://schemas.openxmlformats.org/officeDocument/2006/relationships/hyperlink" Target="mailto:apaez.patricio@colpos.mx" TargetMode="External"/><Relationship Id="rId54" Type="http://schemas.openxmlformats.org/officeDocument/2006/relationships/image" Target="media/image34.jpeg"/><Relationship Id="rId55" Type="http://schemas.openxmlformats.org/officeDocument/2006/relationships/image" Target="media/image35.png"/><Relationship Id="rId56" Type="http://schemas.openxmlformats.org/officeDocument/2006/relationships/image" Target="media/image36.png"/><Relationship Id="rId57" Type="http://schemas.openxmlformats.org/officeDocument/2006/relationships/image" Target="media/image37.png"/><Relationship Id="rId58" Type="http://schemas.openxmlformats.org/officeDocument/2006/relationships/image" Target="media/image38.png"/><Relationship Id="rId59" Type="http://schemas.openxmlformats.org/officeDocument/2006/relationships/hyperlink" Target="http://www.siap.gob.mx/index" TargetMode="External"/><Relationship Id="rId60" Type="http://schemas.openxmlformats.org/officeDocument/2006/relationships/image" Target="media/image39.png"/><Relationship Id="rId61" Type="http://schemas.openxmlformats.org/officeDocument/2006/relationships/image" Target="media/image40.png"/><Relationship Id="rId62" Type="http://schemas.openxmlformats.org/officeDocument/2006/relationships/image" Target="media/image41.png"/><Relationship Id="rId63" Type="http://schemas.openxmlformats.org/officeDocument/2006/relationships/image" Target="media/image42.png"/><Relationship Id="rId64" Type="http://schemas.openxmlformats.org/officeDocument/2006/relationships/image" Target="media/image43.png"/><Relationship Id="rId65" Type="http://schemas.openxmlformats.org/officeDocument/2006/relationships/image" Target="media/image44.png"/><Relationship Id="rId66" Type="http://schemas.openxmlformats.org/officeDocument/2006/relationships/hyperlink" Target="http://www.e-local.gob.mx/work/templates/" TargetMode="External"/><Relationship Id="rId67" Type="http://schemas.openxmlformats.org/officeDocument/2006/relationships/hyperlink" Target="http://www.geocities.com/Yosemite/8300/anexo1_2.htm" TargetMode="External"/><Relationship Id="rId68" Type="http://schemas.openxmlformats.org/officeDocument/2006/relationships/hyperlink" Target="mailto:j.rf2005@hotmail.com" TargetMode="External"/><Relationship Id="rId69" Type="http://schemas.openxmlformats.org/officeDocument/2006/relationships/image" Target="media/image45.jpeg"/><Relationship Id="rId70" Type="http://schemas.openxmlformats.org/officeDocument/2006/relationships/image" Target="media/image46.jpeg"/><Relationship Id="rId71" Type="http://schemas.openxmlformats.org/officeDocument/2006/relationships/image" Target="media/image47.jpeg"/><Relationship Id="rId72" Type="http://schemas.openxmlformats.org/officeDocument/2006/relationships/image" Target="media/image48.jpeg"/><Relationship Id="rId73" Type="http://schemas.openxmlformats.org/officeDocument/2006/relationships/image" Target="media/image49.jpeg"/><Relationship Id="rId74" Type="http://schemas.openxmlformats.org/officeDocument/2006/relationships/image" Target="media/image50.jpeg"/><Relationship Id="rId75" Type="http://schemas.openxmlformats.org/officeDocument/2006/relationships/image" Target="media/image51.jpeg"/><Relationship Id="rId76" Type="http://schemas.openxmlformats.org/officeDocument/2006/relationships/image" Target="media/image52.jpeg"/><Relationship Id="rId77" Type="http://schemas.openxmlformats.org/officeDocument/2006/relationships/image" Target="media/image53.jpeg"/><Relationship Id="rId78" Type="http://schemas.openxmlformats.org/officeDocument/2006/relationships/image" Target="media/image54.jpeg"/><Relationship Id="rId79" Type="http://schemas.openxmlformats.org/officeDocument/2006/relationships/image" Target="media/image55.jpeg"/><Relationship Id="rId80" Type="http://schemas.openxmlformats.org/officeDocument/2006/relationships/hyperlink" Target="http://www.fao.org/nr/water/docs/VirtualWater.pdf" TargetMode="External"/><Relationship Id="rId81" Type="http://schemas.openxmlformats.org/officeDocument/2006/relationships/hyperlink" Target="mailto:jocusamx@yahoo.com" TargetMode="External"/><Relationship Id="rId82" Type="http://schemas.openxmlformats.org/officeDocument/2006/relationships/image" Target="media/image56.jpeg"/><Relationship Id="rId83" Type="http://schemas.openxmlformats.org/officeDocument/2006/relationships/footer" Target="footer6.xml"/><Relationship Id="rId84" Type="http://schemas.openxmlformats.org/officeDocument/2006/relationships/image" Target="media/image57.png"/><Relationship Id="rId85" Type="http://schemas.openxmlformats.org/officeDocument/2006/relationships/image" Target="media/image58.png"/><Relationship Id="rId86" Type="http://schemas.openxmlformats.org/officeDocument/2006/relationships/footer" Target="footer7.xml"/><Relationship Id="rId87" Type="http://schemas.openxmlformats.org/officeDocument/2006/relationships/image" Target="media/image59.png"/><Relationship Id="rId88" Type="http://schemas.openxmlformats.org/officeDocument/2006/relationships/image" Target="media/image60.png"/><Relationship Id="rId89" Type="http://schemas.openxmlformats.org/officeDocument/2006/relationships/hyperlink" Target="http://www.inegi.org.mx/inegi/default.aspx?s=geo&amp;amp;c=911" TargetMode="External"/><Relationship Id="rId90" Type="http://schemas.openxmlformats.org/officeDocument/2006/relationships/hyperlink" Target="http://www.rioverdeslp.gob.mx/" TargetMode="External"/><Relationship Id="rId91" Type="http://schemas.openxmlformats.org/officeDocument/2006/relationships/image" Target="media/image61.jpeg"/><Relationship Id="rId92" Type="http://schemas.openxmlformats.org/officeDocument/2006/relationships/hyperlink" Target="mailto:joseh@correo.chapingo.mx" TargetMode="External"/><Relationship Id="rId93" Type="http://schemas.openxmlformats.org/officeDocument/2006/relationships/image" Target="media/image62.jpeg"/><Relationship Id="rId94" Type="http://schemas.openxmlformats.org/officeDocument/2006/relationships/image" Target="media/image63.png"/><Relationship Id="rId95" Type="http://schemas.openxmlformats.org/officeDocument/2006/relationships/hyperlink" Target="mailto:mary_230488@hotmail.com" TargetMode="External"/><Relationship Id="rId96" Type="http://schemas.openxmlformats.org/officeDocument/2006/relationships/image" Target="media/image64.png"/><Relationship Id="rId97" Type="http://schemas.openxmlformats.org/officeDocument/2006/relationships/image" Target="media/image65.jpeg"/><Relationship Id="rId98" Type="http://schemas.openxmlformats.org/officeDocument/2006/relationships/image" Target="media/image66.jpeg"/><Relationship Id="rId99" Type="http://schemas.openxmlformats.org/officeDocument/2006/relationships/image" Target="media/image67.png"/><Relationship Id="rId100" Type="http://schemas.openxmlformats.org/officeDocument/2006/relationships/image" Target="media/image68.png"/><Relationship Id="rId101" Type="http://schemas.openxmlformats.org/officeDocument/2006/relationships/image" Target="media/image69.jpeg"/><Relationship Id="rId102" Type="http://schemas.openxmlformats.org/officeDocument/2006/relationships/image" Target="media/image70.png"/><Relationship Id="rId103" Type="http://schemas.openxmlformats.org/officeDocument/2006/relationships/image" Target="media/image71.jpeg"/><Relationship Id="rId104" Type="http://schemas.openxmlformats.org/officeDocument/2006/relationships/image" Target="media/image72.jpeg"/><Relationship Id="rId105" Type="http://schemas.openxmlformats.org/officeDocument/2006/relationships/image" Target="media/image73.jpeg"/><Relationship Id="rId106" Type="http://schemas.openxmlformats.org/officeDocument/2006/relationships/hyperlink" Target="http://faostat.fao.org/site/567/" TargetMode="External"/><Relationship Id="rId107" Type="http://schemas.openxmlformats.org/officeDocument/2006/relationships/hyperlink" Target="http://support.sas.com/documentation/" TargetMode="External"/><Relationship Id="rId108" Type="http://schemas.openxmlformats.org/officeDocument/2006/relationships/image" Target="media/image74.png"/><Relationship Id="rId109" Type="http://schemas.openxmlformats.org/officeDocument/2006/relationships/image" Target="media/image75.png"/><Relationship Id="rId110" Type="http://schemas.openxmlformats.org/officeDocument/2006/relationships/image" Target="media/image76.jpeg"/><Relationship Id="rId111" Type="http://schemas.openxmlformats.org/officeDocument/2006/relationships/image" Target="media/image77.jpeg"/><Relationship Id="rId112" Type="http://schemas.openxmlformats.org/officeDocument/2006/relationships/hyperlink" Target="http://www.fao.org/" TargetMode="External"/><Relationship Id="rId113" Type="http://schemas.openxmlformats.org/officeDocument/2006/relationships/hyperlink" Target="mailto:mezlaura@yahoo.com" TargetMode="External"/><Relationship Id="rId114" Type="http://schemas.openxmlformats.org/officeDocument/2006/relationships/hyperlink" Target="mailto:ciidri@yahoo.com.mx" TargetMode="External"/><Relationship Id="rId115" Type="http://schemas.openxmlformats.org/officeDocument/2006/relationships/hyperlink" Target="mailto:co2ricardo@hotmail.com" TargetMode="External"/><Relationship Id="rId116" Type="http://schemas.openxmlformats.org/officeDocument/2006/relationships/image" Target="media/image78.png"/><Relationship Id="rId117" Type="http://schemas.openxmlformats.org/officeDocument/2006/relationships/image" Target="media/image79.jpeg"/><Relationship Id="rId118" Type="http://schemas.openxmlformats.org/officeDocument/2006/relationships/image" Target="media/image80.png"/><Relationship Id="rId119" Type="http://schemas.openxmlformats.org/officeDocument/2006/relationships/hyperlink" Target="http://www.nrg4sd.org/sites/default/" TargetMode="External"/><Relationship Id="rId120" Type="http://schemas.openxmlformats.org/officeDocument/2006/relationships/hyperlink" Target="mailto:mariocastelan2003@yahoo.com.mx" TargetMode="External"/><Relationship Id="rId121" Type="http://schemas.openxmlformats.org/officeDocument/2006/relationships/hyperlink" Target="mailto:gina0958@yahoo.com" TargetMode="External"/><Relationship Id="rId122" Type="http://schemas.openxmlformats.org/officeDocument/2006/relationships/image" Target="media/image81.jpeg"/><Relationship Id="rId123" Type="http://schemas.openxmlformats.org/officeDocument/2006/relationships/image" Target="media/image82.jpeg"/><Relationship Id="rId124" Type="http://schemas.openxmlformats.org/officeDocument/2006/relationships/hyperlink" Target="http://www.efloras.org/florataxon.aspx?flora_id=1&amp;amp;taxon_id=233501028" TargetMode="External"/><Relationship Id="rId125" Type="http://schemas.openxmlformats.org/officeDocument/2006/relationships/hyperlink" Target="http://www.oaknames.org/search/" TargetMode="External"/><Relationship Id="rId126" Type="http://schemas.openxmlformats.org/officeDocument/2006/relationships/hyperlink" Target="mailto:lucianomtzb@yahoo.com.mx" TargetMode="External"/><Relationship Id="rId127" Type="http://schemas.openxmlformats.org/officeDocument/2006/relationships/hyperlink" Target="mailto:orozco.mario@infap.gob.mx" TargetMode="External"/><Relationship Id="rId128" Type="http://schemas.openxmlformats.org/officeDocument/2006/relationships/hyperlink" Target="http://www.musalit.org/pdf/IN050064_es.pdf)" TargetMode="External"/><Relationship Id="rId129" Type="http://schemas.openxmlformats.org/officeDocument/2006/relationships/hyperlink" Target="http://faostat.fao.org/site/339/default" TargetMode="External"/><Relationship Id="rId130" Type="http://schemas.openxmlformats.org/officeDocument/2006/relationships/hyperlink" Target="http://www.metos.at/tiki/tiki-index.php?page=Black%2BSigatoka)" TargetMode="External"/><Relationship Id="rId131" Type="http://schemas.openxmlformats.org/officeDocument/2006/relationships/hyperlink" Target="http://www.siap.gob.mx/index.php?option=com_wrapper&amp;amp;view=wrapper&amp;amp;Item" TargetMode="External"/><Relationship Id="rId132" Type="http://schemas.openxmlformats.org/officeDocument/2006/relationships/image" Target="media/image83.jpeg"/><Relationship Id="rId133" Type="http://schemas.openxmlformats.org/officeDocument/2006/relationships/image" Target="media/image84.jpeg"/><Relationship Id="rId134" Type="http://schemas.openxmlformats.org/officeDocument/2006/relationships/image" Target="media/image85.jpeg"/><Relationship Id="rId135" Type="http://schemas.openxmlformats.org/officeDocument/2006/relationships/image" Target="media/image86.jpeg"/><Relationship Id="rId136" Type="http://schemas.openxmlformats.org/officeDocument/2006/relationships/image" Target="media/image87.jpeg"/><Relationship Id="rId137" Type="http://schemas.openxmlformats.org/officeDocument/2006/relationships/image" Target="media/image88.png"/><Relationship Id="rId138" Type="http://schemas.openxmlformats.org/officeDocument/2006/relationships/image" Target="media/image89.png"/><Relationship Id="rId139" Type="http://schemas.openxmlformats.org/officeDocument/2006/relationships/image" Target="media/image90.png"/><Relationship Id="rId140" Type="http://schemas.openxmlformats.org/officeDocument/2006/relationships/image" Target="media/image91.png"/><Relationship Id="rId141" Type="http://schemas.openxmlformats.org/officeDocument/2006/relationships/image" Target="media/image92.png"/><Relationship Id="rId142" Type="http://schemas.openxmlformats.org/officeDocument/2006/relationships/image" Target="media/image93.png"/><Relationship Id="rId143" Type="http://schemas.openxmlformats.org/officeDocument/2006/relationships/hyperlink" Target="http://portal.veracruz.gob.mx/pls/portal/docs/PAGE/COVECAINICIO/IMAGENES/ARCHIVOSPDF/AR-" TargetMode="External"/><Relationship Id="rId144" Type="http://schemas.openxmlformats.org/officeDocument/2006/relationships/hyperlink" Target="http://www/" TargetMode="External"/><Relationship Id="rId145" Type="http://schemas.openxmlformats.org/officeDocument/2006/relationships/image" Target="media/image94.jpeg"/><Relationship Id="rId146" Type="http://schemas.openxmlformats.org/officeDocument/2006/relationships/image" Target="media/image95.jpeg"/><Relationship Id="rId147" Type="http://schemas.openxmlformats.org/officeDocument/2006/relationships/image" Target="media/image96.jpeg"/><Relationship Id="rId148" Type="http://schemas.openxmlformats.org/officeDocument/2006/relationships/image" Target="media/image97.jpeg"/><Relationship Id="rId149" Type="http://schemas.openxmlformats.org/officeDocument/2006/relationships/image" Target="media/image98.jpeg"/><Relationship Id="rId150" Type="http://schemas.openxmlformats.org/officeDocument/2006/relationships/image" Target="media/image99.jpeg"/><Relationship Id="rId151" Type="http://schemas.openxmlformats.org/officeDocument/2006/relationships/footer" Target="footer8.xml"/><Relationship Id="rId152" Type="http://schemas.openxmlformats.org/officeDocument/2006/relationships/footer" Target="footer9.xml"/><Relationship Id="rId153" Type="http://schemas.openxmlformats.org/officeDocument/2006/relationships/hyperlink" Target="mailto:jose_bostaurus@hotmail.com" TargetMode="External"/><Relationship Id="rId154" Type="http://schemas.openxmlformats.org/officeDocument/2006/relationships/image" Target="media/image100.jpeg"/><Relationship Id="rId155" Type="http://schemas.openxmlformats.org/officeDocument/2006/relationships/image" Target="media/image101.png"/><Relationship Id="rId156" Type="http://schemas.openxmlformats.org/officeDocument/2006/relationships/image" Target="media/image102.png"/><Relationship Id="rId157" Type="http://schemas.openxmlformats.org/officeDocument/2006/relationships/footer" Target="footer10.xml"/><Relationship Id="rId158" Type="http://schemas.openxmlformats.org/officeDocument/2006/relationships/hyperlink" Target="mailto:studiolitografico@yahoo.com.mx" TargetMode="External"/><Relationship Id="rId159" Type="http://schemas.openxmlformats.org/officeDocument/2006/relationships/hyperlink" Target="mailto:studiotexcoco@hotmail.com" TargetMode="External"/><Relationship Id="rId160" Type="http://schemas.openxmlformats.org/officeDocument/2006/relationships/numbering" Target="numbering.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footer4.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Dra Esther</dc:creator>
  <dc:title>FotografÃ�a de pÃ¡gina completa</dc:title>
  <dcterms:created xsi:type="dcterms:W3CDTF">2017-05-23T17:30:32Z</dcterms:created>
  <dcterms:modified xsi:type="dcterms:W3CDTF">2017-05-23T17:30:32Z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2016-03-06T00:00:00Z</vt:filetime>
  </property>
  <property fmtid="{D5CDD505-2E9C-101B-9397-08002B2CF9AE}" pid="3" name="LastSaved">
    <vt:filetime>2017-05-23T00:00:00Z</vt:filetime>
  </property>
</Properties>
</file>