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
        <w:rPr>
          <w:sz w:val="20"/>
        </w:rPr>
      </w:pPr>
      <w:r>
        <w:rPr>
          <w:sz w:val="20"/>
        </w:rPr>
        <w:pict>
          <v:group style="width:81.9pt;height:235.45pt;mso-position-horizontal-relative:char;mso-position-vertical-relative:line" coordorigin="0,0" coordsize="1638,4709">
            <v:rect style="position:absolute;left:0;top:0;width:1638;height:4708" filled="true" fillcolor="#000000" stroked="false">
              <v:fill opacity="22873f" type="solid"/>
            </v:rect>
            <v:shape style="position:absolute;left:0;top:0;width:1638;height:4672" type="#_x0000_t75" stroked="false">
              <v:imagedata r:id="rId5" o:titl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spacing w:before="38"/>
        <w:ind w:left="1946" w:right="398" w:firstLine="0"/>
        <w:jc w:val="left"/>
        <w:rPr>
          <w:b/>
          <w:sz w:val="48"/>
        </w:rPr>
      </w:pPr>
      <w:r>
        <w:rPr/>
        <w:pict>
          <v:group style="position:absolute;margin-left:.35pt;margin-top:-57.303776pt;width:81.9pt;height:105.7pt;mso-position-horizontal-relative:page;mso-position-vertical-relative:paragraph;z-index:1048" coordorigin="7,-1146" coordsize="1638,2114">
            <v:rect style="position:absolute;left:7;top:-1110;width:1638;height:2077" filled="true" fillcolor="#000000" stroked="false">
              <v:fill opacity="22873f" type="solid"/>
            </v:rect>
            <v:shape style="position:absolute;left:7;top:-1146;width:1638;height:2077" type="#_x0000_t75" stroked="false">
              <v:imagedata r:id="rId6" o:title=""/>
            </v:shape>
            <w10:wrap type="none"/>
          </v:group>
        </w:pict>
      </w:r>
      <w:r>
        <w:rPr/>
        <w:pict>
          <v:group style="position:absolute;margin-left:84.550003pt;margin-top:-297.703766pt;width:510.8pt;height:235.5pt;mso-position-horizontal-relative:page;mso-position-vertical-relative:paragraph;z-index:1120" coordorigin="1691,-5954" coordsize="10216,4710">
            <v:rect style="position:absolute;left:1734;top:-5951;width:10172;height:4706" filled="true" fillcolor="#000000" stroked="false">
              <v:fill opacity="22873f" type="solid"/>
            </v:rect>
            <v:shape style="position:absolute;left:1734;top:-5954;width:10172;height:4673" type="#_x0000_t75" stroked="false">
              <v:imagedata r:id="rId7" o:title=""/>
            </v:shape>
            <v:shapetype id="_x0000_t202" o:spt="202" coordsize="21600,21600" path="m,l,21600r21600,l21600,xe">
              <v:stroke joinstyle="miter"/>
              <v:path gradientshapeok="t" o:connecttype="rect"/>
            </v:shapetype>
            <v:shape style="position:absolute;left:1691;top:-5951;width:10216;height:4706" type="#_x0000_t202" filled="false" stroked="false">
              <v:textbox inset="0,0,0,0">
                <w:txbxContent>
                  <w:p>
                    <w:pPr>
                      <w:spacing w:line="240" w:lineRule="auto" w:before="0"/>
                      <w:rPr>
                        <w:b/>
                        <w:sz w:val="54"/>
                      </w:rPr>
                    </w:pPr>
                  </w:p>
                  <w:p>
                    <w:pPr>
                      <w:spacing w:line="240" w:lineRule="auto" w:before="0"/>
                      <w:rPr>
                        <w:b/>
                        <w:sz w:val="54"/>
                      </w:rPr>
                    </w:pPr>
                  </w:p>
                  <w:p>
                    <w:pPr>
                      <w:spacing w:before="485"/>
                      <w:ind w:left="325" w:right="0" w:firstLine="0"/>
                      <w:jc w:val="left"/>
                      <w:rPr>
                        <w:b/>
                        <w:sz w:val="54"/>
                      </w:rPr>
                    </w:pPr>
                    <w:r>
                      <w:rPr>
                        <w:b/>
                        <w:color w:val="DAEDF3"/>
                        <w:sz w:val="54"/>
                      </w:rPr>
                      <w:t>Tópicos Selectos de Riesgo</w:t>
                    </w:r>
                  </w:p>
                </w:txbxContent>
              </v:textbox>
              <w10:wrap type="none"/>
            </v:shape>
            <w10:wrap type="none"/>
          </v:group>
        </w:pict>
      </w:r>
      <w:r>
        <w:rPr/>
        <w:pict>
          <v:group style="position:absolute;margin-left:87.175003pt;margin-top:-56.978775pt;width:508.55pt;height:601.6pt;mso-position-horizontal-relative:page;mso-position-vertical-relative:paragraph;z-index:-53608" coordorigin="1744,-1140" coordsize="10171,12032">
            <v:rect style="position:absolute;left:1751;top:-1096;width:10155;height:11980" filled="true" fillcolor="#000000" stroked="false">
              <v:fill opacity="22873f" type="solid"/>
            </v:rect>
            <v:shape style="position:absolute;left:1751;top:-1132;width:10155;height:12016" type="#_x0000_t75" stroked="false">
              <v:imagedata r:id="rId8" o:title=""/>
            </v:shape>
            <v:shape style="position:absolute;left:1751;top:-1132;width:10156;height:12017" coordorigin="1751,-1132" coordsize="10156,12017" path="m11906,-1132l1751,-1132,1751,10884e" filled="false" stroked="true" strokeweight=".75pt" strokecolor="#46aac5">
              <v:path arrowok="t"/>
            </v:shape>
            <w10:wrap type="none"/>
          </v:group>
        </w:pict>
      </w:r>
      <w:r>
        <w:rPr>
          <w:b/>
          <w:color w:val="FFFFFF"/>
          <w:sz w:val="48"/>
        </w:rPr>
        <w:t>María Palma</w:t>
      </w:r>
    </w:p>
    <w:p>
      <w:pPr>
        <w:spacing w:before="0"/>
        <w:ind w:left="1946" w:right="398" w:firstLine="0"/>
        <w:jc w:val="left"/>
        <w:rPr>
          <w:b/>
          <w:i/>
          <w:sz w:val="48"/>
        </w:rPr>
      </w:pPr>
      <w:r>
        <w:rPr/>
        <w:pict>
          <v:group style="position:absolute;margin-left:-.375pt;margin-top:24.271248pt;width:82.65pt;height:490.85pt;mso-position-horizontal-relative:page;mso-position-vertical-relative:paragraph;z-index:-53680" coordorigin="-8,485" coordsize="1653,9817">
            <v:rect style="position:absolute;left:0;top:524;width:1638;height:9770" filled="true" fillcolor="#000000" stroked="false">
              <v:fill opacity="24929f" type="solid"/>
            </v:rect>
            <v:shape style="position:absolute;left:0;top:493;width:1638;height:9801" type="#_x0000_t75" stroked="false">
              <v:imagedata r:id="rId9" o:title=""/>
            </v:shape>
            <v:shape style="position:absolute;left:0;top:493;width:1638;height:9802" coordorigin="0,493" coordsize="1638,9802" path="m1638,10294l1638,493,0,493,0,10294e" filled="false" stroked="true" strokeweight=".75pt" strokecolor="#497dba">
              <v:path arrowok="t"/>
            </v:shape>
            <w10:wrap type="none"/>
          </v:group>
        </w:pict>
      </w:r>
      <w:r>
        <w:rPr>
          <w:b/>
          <w:i/>
          <w:color w:val="FFFFFF"/>
          <w:sz w:val="48"/>
        </w:rPr>
        <w:t>Directora</w:t>
      </w:r>
    </w:p>
    <w:p>
      <w:pPr>
        <w:pStyle w:val="BodyText"/>
        <w:rPr>
          <w:b/>
          <w:i/>
          <w:sz w:val="48"/>
        </w:rPr>
      </w:pPr>
    </w:p>
    <w:p>
      <w:pPr>
        <w:pStyle w:val="BodyText"/>
        <w:spacing w:before="1"/>
        <w:rPr>
          <w:b/>
          <w:i/>
          <w:sz w:val="45"/>
        </w:rPr>
      </w:pPr>
    </w:p>
    <w:p>
      <w:pPr>
        <w:tabs>
          <w:tab w:pos="6118" w:val="left" w:leader="none"/>
          <w:tab w:pos="9611" w:val="left" w:leader="none"/>
          <w:tab w:pos="11130" w:val="left" w:leader="none"/>
        </w:tabs>
        <w:spacing w:line="276" w:lineRule="auto" w:before="1"/>
        <w:ind w:left="2016" w:right="398" w:firstLine="0"/>
        <w:jc w:val="left"/>
        <w:rPr>
          <w:b/>
          <w:sz w:val="68"/>
        </w:rPr>
      </w:pPr>
      <w:r>
        <w:rPr>
          <w:b/>
          <w:color w:val="FFFFFF"/>
          <w:sz w:val="68"/>
        </w:rPr>
        <w:t>Desarrollo</w:t>
        <w:tab/>
      </w:r>
      <w:r>
        <w:rPr>
          <w:b/>
          <w:color w:val="FFFFFF"/>
          <w:sz w:val="52"/>
        </w:rPr>
        <w:t>Económico</w:t>
        <w:tab/>
        <w:t>en</w:t>
        <w:tab/>
        <w:t>el crecimiento</w:t>
      </w:r>
      <w:r>
        <w:rPr>
          <w:b/>
          <w:color w:val="FFFFFF"/>
          <w:spacing w:val="36"/>
          <w:sz w:val="52"/>
        </w:rPr>
        <w:t> </w:t>
      </w:r>
      <w:r>
        <w:rPr>
          <w:b/>
          <w:color w:val="FFFFFF"/>
          <w:sz w:val="68"/>
        </w:rPr>
        <w:t>Empresarial</w:t>
      </w:r>
    </w:p>
    <w:p>
      <w:pPr>
        <w:pStyle w:val="BodyText"/>
        <w:rPr>
          <w:b/>
          <w:sz w:val="68"/>
        </w:rPr>
      </w:pPr>
    </w:p>
    <w:p>
      <w:pPr>
        <w:pStyle w:val="BodyText"/>
        <w:rPr>
          <w:b/>
          <w:sz w:val="68"/>
        </w:rPr>
      </w:pPr>
    </w:p>
    <w:p>
      <w:pPr>
        <w:pStyle w:val="BodyText"/>
        <w:rPr>
          <w:b/>
          <w:sz w:val="68"/>
        </w:rPr>
      </w:pPr>
    </w:p>
    <w:p>
      <w:pPr>
        <w:pStyle w:val="BodyText"/>
        <w:rPr>
          <w:b/>
          <w:sz w:val="68"/>
        </w:rPr>
      </w:pPr>
    </w:p>
    <w:p>
      <w:pPr>
        <w:pStyle w:val="BodyText"/>
        <w:rPr>
          <w:b/>
          <w:sz w:val="68"/>
        </w:rPr>
      </w:pPr>
    </w:p>
    <w:p>
      <w:pPr>
        <w:pStyle w:val="BodyText"/>
        <w:spacing w:before="6"/>
        <w:rPr>
          <w:b/>
          <w:sz w:val="94"/>
        </w:rPr>
      </w:pPr>
    </w:p>
    <w:p>
      <w:pPr>
        <w:spacing w:before="0"/>
        <w:ind w:left="0" w:right="724" w:firstLine="0"/>
        <w:jc w:val="right"/>
        <w:rPr>
          <w:b/>
          <w:sz w:val="29"/>
        </w:rPr>
      </w:pPr>
      <w:r>
        <w:rPr>
          <w:b/>
          <w:w w:val="95"/>
          <w:sz w:val="44"/>
        </w:rPr>
        <w:t>ECORFAN</w:t>
      </w:r>
      <w:r>
        <w:rPr>
          <w:b/>
          <w:w w:val="95"/>
          <w:position w:val="20"/>
          <w:sz w:val="29"/>
        </w:rPr>
        <w:t>®</w:t>
      </w:r>
    </w:p>
    <w:p>
      <w:pPr>
        <w:spacing w:after="0"/>
        <w:jc w:val="right"/>
        <w:rPr>
          <w:sz w:val="29"/>
        </w:rPr>
        <w:sectPr>
          <w:type w:val="continuous"/>
          <w:pgSz w:w="11910" w:h="16840"/>
          <w:pgMar w:top="0" w:bottom="0" w:left="0" w:right="0"/>
        </w:sectPr>
      </w:pPr>
    </w:p>
    <w:p>
      <w:pPr>
        <w:pStyle w:val="Heading1"/>
        <w:tabs>
          <w:tab w:pos="9845" w:val="left" w:leader="none"/>
        </w:tabs>
        <w:spacing w:before="20"/>
        <w:ind w:left="117"/>
      </w:pPr>
      <w:r>
        <w:rPr>
          <w:color w:val="121312"/>
          <w:spacing w:val="-38"/>
          <w:w w:val="100"/>
          <w:u w:val="single" w:color="000000"/>
        </w:rPr>
        <w:t> </w:t>
      </w:r>
      <w:r>
        <w:rPr>
          <w:color w:val="121312"/>
          <w:u w:val="single" w:color="000000"/>
        </w:rPr>
        <w:t>Tópicos Selectos de Riesgo</w:t>
        <w:tab/>
      </w:r>
    </w:p>
    <w:p>
      <w:pPr>
        <w:pStyle w:val="BodyText"/>
        <w:spacing w:before="3"/>
        <w:rPr>
          <w:b/>
          <w:sz w:val="39"/>
        </w:rPr>
      </w:pPr>
    </w:p>
    <w:p>
      <w:pPr>
        <w:spacing w:before="1"/>
        <w:ind w:left="180" w:right="0" w:firstLine="0"/>
        <w:jc w:val="left"/>
        <w:rPr>
          <w:sz w:val="32"/>
        </w:rPr>
      </w:pPr>
      <w:r>
        <w:rPr/>
        <w:pict>
          <v:line style="position:absolute;mso-position-horizontal-relative:page;mso-position-vertical-relative:paragraph;z-index:1168;mso-wrap-distance-left:0;mso-wrap-distance-right:0" from="51.200001pt,21.887484pt" to="537.600001pt,21.887484pt" stroked="true" strokeweight=".75pt" strokecolor="#000000">
            <w10:wrap type="topAndBottom"/>
          </v:line>
        </w:pict>
      </w:r>
      <w:r>
        <w:rPr>
          <w:color w:val="121312"/>
          <w:sz w:val="32"/>
        </w:rPr>
        <w:t>Volumen</w:t>
      </w:r>
      <w:r>
        <w:rPr>
          <w:color w:val="121312"/>
          <w:spacing w:val="74"/>
          <w:sz w:val="32"/>
        </w:rPr>
        <w:t> </w:t>
      </w:r>
      <w:r>
        <w:rPr>
          <w:color w:val="121312"/>
          <w:sz w:val="32"/>
        </w:rPr>
        <w:t>1</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1"/>
        <w:rPr>
          <w:sz w:val="43"/>
        </w:rPr>
      </w:pPr>
    </w:p>
    <w:p>
      <w:pPr>
        <w:pStyle w:val="BodyText"/>
        <w:spacing w:before="1"/>
        <w:ind w:left="180" w:right="6837"/>
      </w:pPr>
      <w:r>
        <w:rPr>
          <w:color w:val="121312"/>
        </w:rPr>
        <w:t>Para futuros volúmenes: </w:t>
      </w:r>
      <w:hyperlink r:id="rId10">
        <w:r>
          <w:rPr/>
          <w:t>http://www.ecorfan.org/series/</w:t>
        </w:r>
      </w:hyperlink>
    </w:p>
    <w:p>
      <w:pPr>
        <w:spacing w:after="0"/>
        <w:sectPr>
          <w:pgSz w:w="11910" w:h="16840"/>
          <w:pgMar w:top="1400" w:bottom="280" w:left="900" w:right="1040"/>
        </w:sectPr>
      </w:pPr>
    </w:p>
    <w:p>
      <w:pPr>
        <w:pStyle w:val="BodyText"/>
        <w:spacing w:before="7"/>
        <w:rPr>
          <w:sz w:val="22"/>
        </w:rPr>
      </w:pPr>
    </w:p>
    <w:p>
      <w:pPr>
        <w:pStyle w:val="BodyText"/>
        <w:spacing w:line="20" w:lineRule="exact"/>
        <w:ind w:left="106"/>
        <w:rPr>
          <w:sz w:val="2"/>
        </w:rPr>
      </w:pPr>
      <w:r>
        <w:rPr>
          <w:sz w:val="2"/>
        </w:rPr>
        <w:pict>
          <v:group style="width:487.15pt;height:.75pt;mso-position-horizontal-relative:char;mso-position-vertical-relative:line" coordorigin="0,0" coordsize="9743,15">
            <v:line style="position:absolute" from="8,8" to="9736,8" stroked="true" strokeweight=".75pt" strokecolor="#000000"/>
          </v:group>
        </w:pict>
      </w:r>
      <w:r>
        <w:rPr>
          <w:sz w:val="2"/>
        </w:rPr>
      </w:r>
    </w:p>
    <w:p>
      <w:pPr>
        <w:pStyle w:val="BodyText"/>
        <w:rPr>
          <w:sz w:val="20"/>
        </w:rPr>
      </w:pPr>
    </w:p>
    <w:p>
      <w:pPr>
        <w:pStyle w:val="BodyText"/>
        <w:rPr>
          <w:sz w:val="20"/>
        </w:rPr>
      </w:pPr>
    </w:p>
    <w:p>
      <w:pPr>
        <w:pStyle w:val="BodyText"/>
        <w:rPr>
          <w:sz w:val="20"/>
        </w:rPr>
      </w:pPr>
    </w:p>
    <w:p>
      <w:pPr>
        <w:pStyle w:val="BodyText"/>
        <w:spacing w:before="1"/>
        <w:rPr>
          <w:sz w:val="18"/>
        </w:rPr>
      </w:pPr>
    </w:p>
    <w:p>
      <w:pPr>
        <w:pStyle w:val="BodyText"/>
        <w:spacing w:before="69"/>
        <w:ind w:left="120" w:right="114"/>
        <w:jc w:val="both"/>
      </w:pPr>
      <w:r>
        <w:rPr/>
        <w:t>La serie del libro ofrecerá los volúmenes de contribuciones seleccionadas de investigadores que contribuyan a la actividad de difusión científica de ECORFAN en su área de investigación en Economía. Además de tener una evaluación total, en las manos de los editores de la Universidad Mayor, Real y Pontificia de San Francisco Xavier de Chuquisaca que colaboraron con calidad y puntualidad en sus capítulos, cada contribución individual fue arbitrada a estándares internacionales (LATINDEX-DIALNET-ResearchGate-DULCINEA-HISPANA-Sudoc- SHERPA-UNIVERSIA -e-</w:t>
      </w:r>
    </w:p>
    <w:p>
      <w:pPr>
        <w:pStyle w:val="BodyText"/>
        <w:spacing w:line="242" w:lineRule="auto"/>
        <w:ind w:left="120" w:right="114"/>
        <w:jc w:val="both"/>
      </w:pPr>
      <w:r>
        <w:rPr/>
        <w:t>Revistas), la serie propone así a la comunidad académica , los informes recientes sobre los nuevos progresos en las áreas más interesantes y prometedoras de investigación en Riesgos.</w:t>
      </w:r>
    </w:p>
    <w:p>
      <w:pPr>
        <w:spacing w:after="0" w:line="242" w:lineRule="auto"/>
        <w:jc w:val="both"/>
        <w:sectPr>
          <w:headerReference w:type="default" r:id="rId11"/>
          <w:pgSz w:w="11910" w:h="16840"/>
          <w:pgMar w:header="1481" w:footer="0" w:top="1800" w:bottom="280" w:left="960" w:right="960"/>
        </w:sectPr>
      </w:pPr>
    </w:p>
    <w:p>
      <w:pPr>
        <w:pStyle w:val="BodyText"/>
        <w:spacing w:before="6"/>
        <w:rPr>
          <w:sz w:val="26"/>
        </w:rPr>
      </w:pPr>
    </w:p>
    <w:p>
      <w:pPr>
        <w:pStyle w:val="Heading3"/>
        <w:ind w:left="100"/>
      </w:pPr>
      <w:r>
        <w:rPr>
          <w:color w:val="121312"/>
        </w:rPr>
        <w:t>Editoras</w:t>
      </w:r>
    </w:p>
    <w:p>
      <w:pPr>
        <w:pStyle w:val="BodyText"/>
        <w:spacing w:before="6"/>
        <w:rPr>
          <w:sz w:val="28"/>
        </w:rPr>
      </w:pPr>
    </w:p>
    <w:p>
      <w:pPr>
        <w:spacing w:before="0"/>
        <w:ind w:left="100" w:right="0" w:firstLine="0"/>
        <w:jc w:val="left"/>
        <w:rPr>
          <w:b/>
          <w:sz w:val="56"/>
        </w:rPr>
      </w:pPr>
      <w:r>
        <w:rPr>
          <w:b/>
          <w:sz w:val="56"/>
        </w:rPr>
        <w:t>Desarrollo Económico en el crecimiento Empresarial</w:t>
      </w:r>
    </w:p>
    <w:p>
      <w:pPr>
        <w:spacing w:before="194"/>
        <w:ind w:left="100" w:right="0" w:firstLine="0"/>
        <w:jc w:val="left"/>
        <w:rPr>
          <w:sz w:val="22"/>
        </w:rPr>
      </w:pPr>
      <w:r>
        <w:rPr>
          <w:sz w:val="22"/>
        </w:rPr>
        <w:t>Universidad Mayor, Real y Pontificia de San Francisco Xavier de Chuquisaca.Bolivia Julio  15, 2014.</w:t>
      </w:r>
    </w:p>
    <w:p>
      <w:pPr>
        <w:spacing w:after="0"/>
        <w:jc w:val="left"/>
        <w:rPr>
          <w:sz w:val="22"/>
        </w:rPr>
        <w:sectPr>
          <w:headerReference w:type="default" r:id="rId12"/>
          <w:pgSz w:w="11910" w:h="16840"/>
          <w:pgMar w:header="1481" w:footer="0" w:top="1800" w:bottom="280" w:left="980" w:right="980"/>
        </w:sectPr>
      </w:pPr>
    </w:p>
    <w:p>
      <w:pPr>
        <w:pStyle w:val="Heading1"/>
        <w:spacing w:before="51"/>
        <w:rPr>
          <w:sz w:val="26"/>
        </w:rPr>
      </w:pPr>
      <w:r>
        <w:rPr/>
        <w:t>ECORFAN</w:t>
      </w:r>
      <w:r>
        <w:rPr>
          <w:position w:val="18"/>
          <w:sz w:val="26"/>
        </w:rPr>
        <w:t>®</w:t>
      </w:r>
    </w:p>
    <w:p>
      <w:pPr>
        <w:pStyle w:val="BodyText"/>
        <w:spacing w:line="552" w:lineRule="exact" w:before="45"/>
        <w:ind w:left="100" w:right="8550"/>
      </w:pPr>
      <w:r>
        <w:rPr>
          <w:color w:val="121312"/>
        </w:rPr>
        <w:t>Editoras </w:t>
      </w:r>
      <w:r>
        <w:rPr/>
        <w:t>María Ramos</w:t>
      </w:r>
    </w:p>
    <w:p>
      <w:pPr>
        <w:pStyle w:val="BodyText"/>
        <w:spacing w:line="218" w:lineRule="exact"/>
        <w:ind w:left="100"/>
      </w:pPr>
      <w:r>
        <w:rPr/>
        <w:t>Dirección de  Produccion Cientifica y Tecnologica</w:t>
      </w:r>
    </w:p>
    <w:p>
      <w:pPr>
        <w:pStyle w:val="BodyText"/>
        <w:ind w:left="100"/>
      </w:pPr>
      <w:hyperlink r:id="rId14">
        <w:r>
          <w:rPr/>
          <w:t>maria.ramos@usfx.bo</w:t>
        </w:r>
      </w:hyperlink>
    </w:p>
    <w:p>
      <w:pPr>
        <w:pStyle w:val="BodyText"/>
      </w:pPr>
    </w:p>
    <w:p>
      <w:pPr>
        <w:pStyle w:val="BodyText"/>
        <w:ind w:left="100"/>
      </w:pPr>
      <w:r>
        <w:rPr>
          <w:color w:val="121312"/>
        </w:rPr>
        <w:t>María Solís</w:t>
      </w:r>
    </w:p>
    <w:p>
      <w:pPr>
        <w:pStyle w:val="BodyText"/>
        <w:ind w:left="100" w:right="5365"/>
      </w:pPr>
      <w:r>
        <w:rPr/>
        <w:t>Direccion de Propiedad Intelectual e Industrial </w:t>
      </w:r>
      <w:hyperlink r:id="rId15">
        <w:r>
          <w:rPr/>
          <w:t>maria.solis@usfx.bo</w:t>
        </w:r>
      </w:hyperlink>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3"/>
        </w:rPr>
      </w:pPr>
    </w:p>
    <w:p>
      <w:pPr>
        <w:spacing w:line="229" w:lineRule="exact" w:before="0"/>
        <w:ind w:left="100" w:right="0" w:firstLine="0"/>
        <w:jc w:val="left"/>
        <w:rPr>
          <w:sz w:val="20"/>
        </w:rPr>
      </w:pPr>
      <w:r>
        <w:rPr>
          <w:sz w:val="20"/>
        </w:rPr>
        <w:t>ISBN 978-463-8976-50-0</w:t>
      </w:r>
    </w:p>
    <w:p>
      <w:pPr>
        <w:spacing w:line="229" w:lineRule="exact" w:before="0"/>
        <w:ind w:left="100" w:right="0" w:firstLine="0"/>
        <w:jc w:val="left"/>
        <w:rPr>
          <w:sz w:val="20"/>
        </w:rPr>
      </w:pPr>
      <w:r>
        <w:rPr>
          <w:sz w:val="20"/>
        </w:rPr>
        <w:t>ISSN 2007-1582</w:t>
      </w:r>
    </w:p>
    <w:p>
      <w:pPr>
        <w:spacing w:before="0"/>
        <w:ind w:left="100" w:right="0" w:firstLine="0"/>
        <w:jc w:val="left"/>
        <w:rPr>
          <w:sz w:val="20"/>
        </w:rPr>
      </w:pPr>
      <w:r>
        <w:rPr>
          <w:sz w:val="20"/>
        </w:rPr>
        <w:t>e-ISSN 2007-3682</w:t>
      </w:r>
    </w:p>
    <w:p>
      <w:pPr>
        <w:spacing w:before="0"/>
        <w:ind w:left="100" w:right="6622" w:firstLine="0"/>
        <w:jc w:val="left"/>
        <w:rPr>
          <w:sz w:val="20"/>
        </w:rPr>
      </w:pPr>
      <w:r>
        <w:rPr>
          <w:sz w:val="20"/>
        </w:rPr>
        <w:t>Sello Editorial ECORFAN: 607-8324 Número de Control TSR: 2014-01 Clasificación TSR (2014): 071514-0101</w:t>
      </w:r>
    </w:p>
    <w:p>
      <w:pPr>
        <w:pStyle w:val="BodyText"/>
        <w:spacing w:before="3"/>
        <w:rPr>
          <w:sz w:val="20"/>
        </w:rPr>
      </w:pPr>
    </w:p>
    <w:p>
      <w:pPr>
        <w:pStyle w:val="Heading1"/>
      </w:pPr>
      <w:r>
        <w:rPr/>
        <w:t>©ECORFAN-México.</w:t>
      </w:r>
    </w:p>
    <w:p>
      <w:pPr>
        <w:spacing w:before="264"/>
        <w:ind w:left="100" w:right="115" w:firstLine="0"/>
        <w:jc w:val="both"/>
        <w:rPr>
          <w:sz w:val="20"/>
        </w:rPr>
      </w:pPr>
      <w:r>
        <w:rPr>
          <w:sz w:val="20"/>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w:t>
      </w:r>
      <w:r>
        <w:rPr>
          <w:spacing w:val="5"/>
          <w:sz w:val="20"/>
        </w:rPr>
        <w:t>III </w:t>
      </w:r>
      <w:r>
        <w:rPr>
          <w:sz w:val="20"/>
        </w:rPr>
        <w:t>y demás relativos de la Ley  de Derechos de Autor. Violaciones: Ser obligado al procesamiento bajo ley de copyright mexicana.  El uso de nombres descriptivos generales, de nombres registrados, de marcas registradas, en esta publicación no implican, uniformemente en ausencia de una declaración específica, que tales nombres son exentos  del  protector relevante en leyes y regulaciones de México y por lo tanto libre para el uso general de la comunidad científica internacional. TSR es parte de los medios de ECORFAN</w:t>
      </w:r>
      <w:r>
        <w:rPr>
          <w:spacing w:val="-20"/>
          <w:sz w:val="20"/>
        </w:rPr>
        <w:t> </w:t>
      </w:r>
      <w:r>
        <w:rPr>
          <w:sz w:val="20"/>
        </w:rPr>
        <w:t>(www.ecorfan.org)</w:t>
      </w:r>
    </w:p>
    <w:p>
      <w:pPr>
        <w:spacing w:after="0"/>
        <w:jc w:val="both"/>
        <w:rPr>
          <w:sz w:val="20"/>
        </w:rPr>
        <w:sectPr>
          <w:headerReference w:type="default" r:id="rId13"/>
          <w:pgSz w:w="11910" w:h="16840"/>
          <w:pgMar w:header="0" w:footer="0" w:top="1320" w:bottom="280" w:left="980" w:right="960"/>
        </w:sectPr>
      </w:pPr>
    </w:p>
    <w:p>
      <w:pPr>
        <w:pStyle w:val="Heading2"/>
        <w:spacing w:line="240" w:lineRule="auto" w:before="41"/>
        <w:ind w:left="100"/>
        <w:jc w:val="both"/>
      </w:pPr>
      <w:r>
        <w:rPr/>
        <w:t>Prefacio</w:t>
      </w:r>
    </w:p>
    <w:p>
      <w:pPr>
        <w:pStyle w:val="BodyText"/>
        <w:spacing w:before="4"/>
        <w:rPr>
          <w:b/>
          <w:sz w:val="43"/>
        </w:rPr>
      </w:pPr>
    </w:p>
    <w:p>
      <w:pPr>
        <w:pStyle w:val="BodyText"/>
        <w:ind w:left="100" w:right="120"/>
        <w:jc w:val="both"/>
      </w:pPr>
      <w:r>
        <w:rPr/>
        <w:t>Una de las líneas estratégicas de la mision y vision universitaria ha sido la de impulsar una política de ciencia, tecnología e innovación que contribuya al crecimiento económico, a la competitividad, al desarrollo sustentable y al bienestar de la población, así como impulsar una mayor divulgación en beneficion del indice de desarrollo humano, a través de distintos medios y espacios, así como la consolidación de redes de innovación de la investigación, ciencia y tecnología en</w:t>
      </w:r>
      <w:r>
        <w:rPr>
          <w:spacing w:val="-14"/>
        </w:rPr>
        <w:t> </w:t>
      </w:r>
      <w:r>
        <w:rPr/>
        <w:t>Bolivia.</w:t>
      </w:r>
    </w:p>
    <w:p>
      <w:pPr>
        <w:pStyle w:val="BodyText"/>
      </w:pPr>
    </w:p>
    <w:p>
      <w:pPr>
        <w:pStyle w:val="BodyText"/>
        <w:ind w:left="100" w:right="113" w:firstLine="708"/>
        <w:jc w:val="both"/>
      </w:pPr>
      <w:r>
        <w:rPr/>
        <w:t>La Universidad Mayor, Real y Pontificia de San Francisco Xavier de Chuquisaca visualiza la necesidad de promover el proceso de la investigación, proporcionando un espacio de discusión y análisis de los trabajos realizados fomentando el conocimiento entre ellos y la formación y consolidación de redes que permitan una labor investigativa más eficaz y un incremento sustancial  en la difusión de los nuevos conocimientos</w:t>
      </w:r>
      <w:r>
        <w:rPr>
          <w:color w:val="C00000"/>
        </w:rPr>
        <w:t>. </w:t>
      </w:r>
      <w:r>
        <w:rPr/>
        <w:t>Este volumen I contiene 9 capítulos arbitrados que se ocupan de estos asuntos en Tópicos Selectos de Riesgos, elegidos de entre las contribuciones, reunimos algunos investigadores</w:t>
      </w:r>
      <w:r>
        <w:rPr>
          <w:spacing w:val="-8"/>
        </w:rPr>
        <w:t> </w:t>
      </w:r>
      <w:r>
        <w:rPr/>
        <w:t>PhD.</w:t>
      </w:r>
    </w:p>
    <w:p>
      <w:pPr>
        <w:pStyle w:val="BodyText"/>
      </w:pPr>
    </w:p>
    <w:p>
      <w:pPr>
        <w:pStyle w:val="BodyText"/>
      </w:pPr>
    </w:p>
    <w:p>
      <w:pPr>
        <w:pStyle w:val="BodyText"/>
      </w:pPr>
    </w:p>
    <w:p>
      <w:pPr>
        <w:pStyle w:val="BodyText"/>
        <w:ind w:left="100" w:right="112" w:firstLine="708"/>
        <w:jc w:val="both"/>
      </w:pPr>
      <w:r>
        <w:rPr>
          <w:i/>
        </w:rPr>
        <w:t>Pérez, Figueroa y Godínez </w:t>
      </w:r>
      <w:r>
        <w:rPr/>
        <w:t>miden el impacto esperado de la propuesta de Implementar el impuesto al valor agregado del 16% en alimentos y medicinas a los consumidores mexicanos, mediante la estimación de indicadores como el índice de Gini, la curva de Lorenz, el índice Foster Greer Thorbecke (FGT) y la estimación de deciles de ingreso; </w:t>
      </w:r>
      <w:r>
        <w:rPr>
          <w:i/>
        </w:rPr>
        <w:t>Vargas </w:t>
      </w:r>
      <w:r>
        <w:rPr/>
        <w:t>recapitula las principales teorías desde un enfoque sociocultural o institucional que fomentan la creación de nuevas empresas, planteando la importancia del estudio teórico de los factores  que influyen para tomar decisiones en  el desarrollo de nuevas empresas y como afecta el entorno en que se desenvuelven </w:t>
      </w:r>
      <w:r>
        <w:rPr>
          <w:spacing w:val="2"/>
        </w:rPr>
        <w:t>los </w:t>
      </w:r>
      <w:r>
        <w:rPr/>
        <w:t>mismos empresarios; </w:t>
      </w:r>
      <w:r>
        <w:rPr>
          <w:i/>
        </w:rPr>
        <w:t>Contreras, Segovia y Camacho </w:t>
      </w:r>
      <w:r>
        <w:rPr/>
        <w:t>proponen una línea de investigación utilizando metodologías basadas en inteligencia artificial como herramienta de detección anticipada ante los posibles problemas de insolvencia, que permitan reducir tiempos y costes en el concurso mercantil; </w:t>
      </w:r>
      <w:r>
        <w:rPr>
          <w:i/>
        </w:rPr>
        <w:t>Figueroa, Pérez, Godínez, Pérez </w:t>
      </w:r>
      <w:r>
        <w:rPr/>
        <w:t>elaboran un modelo de ecuaciones simultáneas estimado con mínimos cuadrados en dos y tres etapas con el paquete estadístico Statistical Analysis System (SAS) para obtener el resultado de que los ingresos por turismo son un motor de crecimiento para la economía, la inflación y el tipo de cambio resultaron significativas para la actividad turística y para  el crecimiento económico de México; </w:t>
      </w:r>
      <w:r>
        <w:rPr>
          <w:i/>
        </w:rPr>
        <w:t>Cuevas, Rangel y Hernández </w:t>
      </w:r>
      <w:r>
        <w:rPr/>
        <w:t>muestran la influencia de las actividades de innovación y la gestión del conocimiento en la competitividad de la pequeña y mediana empresa manufacturera; </w:t>
      </w:r>
      <w:r>
        <w:rPr>
          <w:i/>
        </w:rPr>
        <w:t>Cortés, Guevara y Antúnez </w:t>
      </w:r>
      <w:r>
        <w:rPr/>
        <w:t>Plantean la dimensión de la Violencia de Género en las estudiantes del Nivel Medio Superior de la Universidad Autónoma de Guerrero en Acapulco y los recursos que se aplican para prevenirla, atenderla y erradicarla; </w:t>
      </w:r>
      <w:r>
        <w:rPr>
          <w:i/>
        </w:rPr>
        <w:t>Vázquez, Salazar y </w:t>
      </w:r>
      <w:r>
        <w:rPr>
          <w:i/>
        </w:rPr>
        <w:t>Mendiola </w:t>
      </w:r>
      <w:r>
        <w:rPr/>
        <w:t>expresan que en la actualidad para un administrador de proyectos es de  mucha  importancia contar con un patrocinador adecuado dentro de la ejecución y progresión de cada proyecto, </w:t>
      </w:r>
      <w:r>
        <w:rPr>
          <w:spacing w:val="-3"/>
        </w:rPr>
        <w:t>ya </w:t>
      </w:r>
      <w:r>
        <w:rPr/>
        <w:t>que estará al tanto de lo que este realice como también propiciara los vistos buenos para continuar con el proyecto; </w:t>
      </w:r>
      <w:r>
        <w:rPr>
          <w:i/>
        </w:rPr>
        <w:t>Vera &amp; Lara </w:t>
      </w:r>
      <w:r>
        <w:rPr>
          <w:color w:val="212121"/>
        </w:rPr>
        <w:t>Desarrollan una mesa de mezclas con base en el proceso de mecanosíntesis, reducen en 40% el costo de la maquina con relación a su similar en el mercado de México, diseñan la mesa utilizando el software Inventor, logrando como resultado una velocidad de trabajo adecuada, operación continua y con doble capacidad; </w:t>
      </w:r>
      <w:r>
        <w:rPr>
          <w:i/>
        </w:rPr>
        <w:t>Manjarrez &amp; Gutiérrez </w:t>
      </w:r>
      <w:r>
        <w:rPr/>
        <w:t>ralizan un ejercicio de análisis teorico-metodologico de un estudio empírico actual como lo es la costruccion  del Cluster Automotriz AUDI en el estado de Puebla,</w:t>
      </w:r>
      <w:r>
        <w:rPr>
          <w:spacing w:val="-10"/>
        </w:rPr>
        <w:t> </w:t>
      </w:r>
      <w:r>
        <w:rPr/>
        <w:t>Mexico.</w:t>
      </w:r>
    </w:p>
    <w:p>
      <w:pPr>
        <w:spacing w:after="0"/>
        <w:jc w:val="both"/>
        <w:sectPr>
          <w:headerReference w:type="default" r:id="rId16"/>
          <w:pgSz w:w="11910" w:h="16840"/>
          <w:pgMar w:header="0" w:footer="0" w:top="1380" w:bottom="280" w:left="980" w:right="960"/>
        </w:sectPr>
      </w:pPr>
    </w:p>
    <w:p>
      <w:pPr>
        <w:pStyle w:val="BodyText"/>
        <w:spacing w:before="54"/>
        <w:ind w:left="100" w:right="116" w:firstLine="708"/>
        <w:jc w:val="both"/>
      </w:pPr>
      <w:r>
        <w:rPr/>
        <w:t>Quisiéramos agradecer a los revisores anónimos por sus informes y muchos otros que contribuyeron enormemente para la publicación en éstos procedimientos en los manuscritos que fueron sometidos. Finalmente, deseamos expresar nuestra gratitud a la Universidad Mayor, Real y Pontificia de San Francisco Xavier de Chuquisaca en el proceso de preparar esta edición  del volumen.</w:t>
      </w:r>
    </w:p>
    <w:p>
      <w:pPr>
        <w:pStyle w:val="BodyText"/>
      </w:pPr>
    </w:p>
    <w:p>
      <w:pPr>
        <w:pStyle w:val="BodyText"/>
      </w:pPr>
    </w:p>
    <w:p>
      <w:pPr>
        <w:pStyle w:val="BodyText"/>
      </w:pPr>
    </w:p>
    <w:p>
      <w:pPr>
        <w:tabs>
          <w:tab w:pos="8454" w:val="left" w:leader="none"/>
        </w:tabs>
        <w:spacing w:before="0"/>
        <w:ind w:left="0" w:right="115" w:firstLine="0"/>
        <w:jc w:val="right"/>
        <w:rPr>
          <w:i/>
          <w:sz w:val="24"/>
        </w:rPr>
      </w:pPr>
      <w:r>
        <w:rPr>
          <w:sz w:val="24"/>
        </w:rPr>
        <w:t>Sucre,</w:t>
      </w:r>
      <w:r>
        <w:rPr>
          <w:spacing w:val="-2"/>
          <w:sz w:val="24"/>
        </w:rPr>
        <w:t> </w:t>
      </w:r>
      <w:r>
        <w:rPr>
          <w:sz w:val="24"/>
        </w:rPr>
        <w:t>Bolivia.</w:t>
        <w:tab/>
      </w:r>
      <w:r>
        <w:rPr>
          <w:i/>
          <w:sz w:val="24"/>
        </w:rPr>
        <w:t>María</w:t>
      </w:r>
      <w:r>
        <w:rPr>
          <w:i/>
          <w:spacing w:val="-2"/>
          <w:sz w:val="24"/>
        </w:rPr>
        <w:t> </w:t>
      </w:r>
      <w:r>
        <w:rPr>
          <w:i/>
          <w:sz w:val="24"/>
        </w:rPr>
        <w:t>Palma</w:t>
      </w:r>
    </w:p>
    <w:p>
      <w:pPr>
        <w:tabs>
          <w:tab w:pos="8389" w:val="left" w:leader="none"/>
        </w:tabs>
        <w:spacing w:before="0"/>
        <w:ind w:left="0" w:right="161" w:firstLine="0"/>
        <w:jc w:val="right"/>
        <w:rPr>
          <w:i/>
          <w:sz w:val="24"/>
        </w:rPr>
      </w:pPr>
      <w:r>
        <w:rPr>
          <w:sz w:val="24"/>
        </w:rPr>
        <w:t>Julio</w:t>
      </w:r>
      <w:r>
        <w:rPr>
          <w:spacing w:val="-1"/>
          <w:sz w:val="24"/>
        </w:rPr>
        <w:t> </w:t>
      </w:r>
      <w:r>
        <w:rPr>
          <w:sz w:val="24"/>
        </w:rPr>
        <w:t>15,</w:t>
      </w:r>
      <w:r>
        <w:rPr>
          <w:spacing w:val="-1"/>
          <w:sz w:val="24"/>
        </w:rPr>
        <w:t> </w:t>
      </w:r>
      <w:r>
        <w:rPr>
          <w:sz w:val="24"/>
        </w:rPr>
        <w:t>2014.</w:t>
        <w:tab/>
      </w:r>
      <w:r>
        <w:rPr>
          <w:i/>
          <w:sz w:val="24"/>
        </w:rPr>
        <w:t>María</w:t>
      </w:r>
      <w:r>
        <w:rPr>
          <w:i/>
          <w:spacing w:val="-2"/>
          <w:sz w:val="24"/>
        </w:rPr>
        <w:t> </w:t>
      </w:r>
      <w:r>
        <w:rPr>
          <w:i/>
          <w:sz w:val="24"/>
        </w:rPr>
        <w:t>Ramos</w:t>
      </w:r>
    </w:p>
    <w:p>
      <w:pPr>
        <w:spacing w:before="0"/>
        <w:ind w:left="0" w:right="116" w:firstLine="0"/>
        <w:jc w:val="right"/>
        <w:rPr>
          <w:i/>
          <w:sz w:val="24"/>
        </w:rPr>
      </w:pPr>
      <w:r>
        <w:rPr>
          <w:i/>
          <w:sz w:val="24"/>
        </w:rPr>
        <w:t>María Solís</w:t>
      </w:r>
    </w:p>
    <w:p>
      <w:pPr>
        <w:spacing w:after="0"/>
        <w:jc w:val="right"/>
        <w:rPr>
          <w:sz w:val="24"/>
        </w:rPr>
        <w:sectPr>
          <w:headerReference w:type="default" r:id="rId17"/>
          <w:pgSz w:w="11910" w:h="16840"/>
          <w:pgMar w:header="0" w:footer="0" w:top="1360" w:bottom="280" w:left="980" w:right="96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68"/>
        <w:gridCol w:w="1106"/>
      </w:tblGrid>
      <w:tr>
        <w:trPr>
          <w:trHeight w:val="647" w:hRule="exact"/>
        </w:trPr>
        <w:tc>
          <w:tcPr>
            <w:tcW w:w="8468" w:type="dxa"/>
          </w:tcPr>
          <w:p>
            <w:pPr>
              <w:pStyle w:val="TableParagraph"/>
              <w:spacing w:line="401" w:lineRule="exact"/>
              <w:ind w:left="200" w:right="114"/>
              <w:rPr>
                <w:b/>
                <w:sz w:val="40"/>
              </w:rPr>
            </w:pPr>
            <w:r>
              <w:rPr>
                <w:b/>
                <w:sz w:val="40"/>
              </w:rPr>
              <w:t>Contenido</w:t>
            </w:r>
          </w:p>
        </w:tc>
        <w:tc>
          <w:tcPr>
            <w:tcW w:w="1106" w:type="dxa"/>
          </w:tcPr>
          <w:p>
            <w:pPr>
              <w:pStyle w:val="TableParagraph"/>
              <w:spacing w:line="401" w:lineRule="exact"/>
              <w:ind w:left="106"/>
              <w:rPr>
                <w:b/>
                <w:sz w:val="40"/>
              </w:rPr>
            </w:pPr>
            <w:r>
              <w:rPr>
                <w:b/>
                <w:sz w:val="40"/>
              </w:rPr>
              <w:t>Pag</w:t>
            </w:r>
          </w:p>
        </w:tc>
      </w:tr>
      <w:tr>
        <w:trPr>
          <w:trHeight w:val="1287" w:hRule="exact"/>
        </w:trPr>
        <w:tc>
          <w:tcPr>
            <w:tcW w:w="8468" w:type="dxa"/>
          </w:tcPr>
          <w:p>
            <w:pPr>
              <w:pStyle w:val="TableParagraph"/>
              <w:spacing w:before="212"/>
              <w:ind w:left="200" w:right="114"/>
              <w:rPr>
                <w:b/>
                <w:sz w:val="28"/>
              </w:rPr>
            </w:pPr>
            <w:r>
              <w:rPr>
                <w:b/>
                <w:sz w:val="28"/>
              </w:rPr>
              <w:t>1 Impacto de las polìticas fiscales en el gasto de los consumidores mexicanos, 2013</w:t>
            </w:r>
          </w:p>
          <w:p>
            <w:pPr>
              <w:pStyle w:val="TableParagraph"/>
              <w:spacing w:line="272" w:lineRule="exact"/>
              <w:ind w:left="200" w:right="114"/>
              <w:rPr>
                <w:i/>
                <w:sz w:val="24"/>
              </w:rPr>
            </w:pPr>
            <w:r>
              <w:rPr>
                <w:i/>
                <w:sz w:val="24"/>
              </w:rPr>
              <w:t>Francisco Pérez, Esther Figueroa y Lucila Godínez</w:t>
            </w:r>
          </w:p>
        </w:tc>
        <w:tc>
          <w:tcPr>
            <w:tcW w:w="1106" w:type="dxa"/>
          </w:tcPr>
          <w:p>
            <w:pPr>
              <w:pStyle w:val="TableParagraph"/>
              <w:spacing w:before="206"/>
              <w:ind w:left="106"/>
              <w:rPr>
                <w:sz w:val="24"/>
              </w:rPr>
            </w:pPr>
            <w:r>
              <w:rPr>
                <w:sz w:val="24"/>
              </w:rPr>
              <w:t>1-14</w:t>
            </w:r>
          </w:p>
        </w:tc>
      </w:tr>
      <w:tr>
        <w:trPr>
          <w:trHeight w:val="1195" w:hRule="exact"/>
        </w:trPr>
        <w:tc>
          <w:tcPr>
            <w:tcW w:w="8468" w:type="dxa"/>
          </w:tcPr>
          <w:p>
            <w:pPr>
              <w:pStyle w:val="TableParagraph"/>
              <w:tabs>
                <w:tab w:pos="540" w:val="left" w:leader="none"/>
              </w:tabs>
              <w:spacing w:before="122"/>
              <w:ind w:left="200" w:right="114"/>
              <w:rPr>
                <w:b/>
                <w:sz w:val="28"/>
              </w:rPr>
            </w:pPr>
            <w:r>
              <w:rPr>
                <w:b/>
                <w:sz w:val="28"/>
              </w:rPr>
              <w:t>2</w:t>
              <w:tab/>
              <w:t>Strategies   for   creating   new   businesses,   a</w:t>
            </w:r>
            <w:r>
              <w:rPr>
                <w:b/>
                <w:spacing w:val="45"/>
                <w:sz w:val="28"/>
              </w:rPr>
              <w:t> </w:t>
            </w:r>
            <w:r>
              <w:rPr>
                <w:b/>
                <w:sz w:val="28"/>
              </w:rPr>
              <w:t>sociocultural </w:t>
            </w:r>
            <w:r>
              <w:rPr>
                <w:b/>
                <w:spacing w:val="52"/>
                <w:sz w:val="28"/>
              </w:rPr>
              <w:t> </w:t>
            </w:r>
            <w:r>
              <w:rPr>
                <w:b/>
                <w:sz w:val="28"/>
              </w:rPr>
              <w:t>and</w:t>
            </w:r>
            <w:r>
              <w:rPr>
                <w:b/>
                <w:w w:val="100"/>
                <w:sz w:val="28"/>
              </w:rPr>
              <w:t> </w:t>
            </w:r>
            <w:r>
              <w:rPr>
                <w:b/>
                <w:sz w:val="28"/>
              </w:rPr>
              <w:t>institutional</w:t>
            </w:r>
            <w:r>
              <w:rPr>
                <w:b/>
                <w:spacing w:val="-10"/>
                <w:sz w:val="28"/>
              </w:rPr>
              <w:t> </w:t>
            </w:r>
            <w:r>
              <w:rPr>
                <w:b/>
                <w:sz w:val="28"/>
              </w:rPr>
              <w:t>approach</w:t>
            </w:r>
          </w:p>
          <w:p>
            <w:pPr>
              <w:pStyle w:val="TableParagraph"/>
              <w:spacing w:line="270" w:lineRule="exact"/>
              <w:ind w:left="200" w:right="114"/>
              <w:rPr>
                <w:i/>
                <w:sz w:val="24"/>
              </w:rPr>
            </w:pPr>
            <w:r>
              <w:rPr>
                <w:i/>
                <w:sz w:val="24"/>
              </w:rPr>
              <w:t>José Vargas</w:t>
            </w:r>
          </w:p>
        </w:tc>
        <w:tc>
          <w:tcPr>
            <w:tcW w:w="1106" w:type="dxa"/>
          </w:tcPr>
          <w:p>
            <w:pPr>
              <w:pStyle w:val="TableParagraph"/>
              <w:spacing w:before="116"/>
              <w:ind w:left="106"/>
              <w:rPr>
                <w:sz w:val="24"/>
              </w:rPr>
            </w:pPr>
            <w:r>
              <w:rPr>
                <w:sz w:val="24"/>
              </w:rPr>
              <w:t>15-22</w:t>
            </w:r>
          </w:p>
        </w:tc>
      </w:tr>
      <w:tr>
        <w:trPr>
          <w:trHeight w:val="1517" w:hRule="exact"/>
        </w:trPr>
        <w:tc>
          <w:tcPr>
            <w:tcW w:w="8468" w:type="dxa"/>
          </w:tcPr>
          <w:p>
            <w:pPr>
              <w:pStyle w:val="TableParagraph"/>
              <w:spacing w:before="122"/>
              <w:ind w:left="200" w:right="112"/>
              <w:jc w:val="both"/>
              <w:rPr>
                <w:b/>
                <w:sz w:val="28"/>
              </w:rPr>
            </w:pPr>
            <w:r>
              <w:rPr>
                <w:b/>
                <w:sz w:val="28"/>
              </w:rPr>
              <w:t>3 Origen del endeudamiento en empresas mexicanas y su entrada en concurso mercantil-Propuesta de detección anticipada de la insolvencia</w:t>
            </w:r>
          </w:p>
          <w:p>
            <w:pPr>
              <w:pStyle w:val="TableParagraph"/>
              <w:spacing w:line="270" w:lineRule="exact"/>
              <w:ind w:left="200"/>
              <w:jc w:val="both"/>
              <w:rPr>
                <w:i/>
                <w:sz w:val="24"/>
              </w:rPr>
            </w:pPr>
            <w:r>
              <w:rPr>
                <w:i/>
                <w:sz w:val="24"/>
              </w:rPr>
              <w:t>José Contreras, María Segovia  y María del Mar Camacho</w:t>
            </w:r>
          </w:p>
        </w:tc>
        <w:tc>
          <w:tcPr>
            <w:tcW w:w="1106" w:type="dxa"/>
          </w:tcPr>
          <w:p>
            <w:pPr>
              <w:pStyle w:val="TableParagraph"/>
              <w:spacing w:before="117"/>
              <w:ind w:left="106"/>
              <w:rPr>
                <w:sz w:val="24"/>
              </w:rPr>
            </w:pPr>
            <w:r>
              <w:rPr>
                <w:sz w:val="24"/>
              </w:rPr>
              <w:t>23-38</w:t>
            </w:r>
          </w:p>
        </w:tc>
      </w:tr>
      <w:tr>
        <w:trPr>
          <w:trHeight w:val="1217" w:hRule="exact"/>
        </w:trPr>
        <w:tc>
          <w:tcPr>
            <w:tcW w:w="8468" w:type="dxa"/>
          </w:tcPr>
          <w:p>
            <w:pPr>
              <w:pStyle w:val="TableParagraph"/>
              <w:spacing w:before="124"/>
              <w:ind w:left="200" w:right="104"/>
              <w:rPr>
                <w:b/>
                <w:sz w:val="28"/>
              </w:rPr>
            </w:pPr>
            <w:r>
              <w:rPr>
                <w:rFonts w:ascii="Calibri" w:hAnsi="Calibri"/>
                <w:b/>
                <w:sz w:val="28"/>
              </w:rPr>
              <w:t>4 </w:t>
            </w:r>
            <w:r>
              <w:rPr>
                <w:b/>
                <w:sz w:val="28"/>
              </w:rPr>
              <w:t>Importancia del turismo en el crecimiento económico de México, 1980-2013</w:t>
            </w:r>
          </w:p>
          <w:p>
            <w:pPr>
              <w:pStyle w:val="TableParagraph"/>
              <w:spacing w:line="270" w:lineRule="exact"/>
              <w:ind w:left="200" w:right="114"/>
              <w:rPr>
                <w:i/>
                <w:sz w:val="24"/>
              </w:rPr>
            </w:pPr>
            <w:r>
              <w:rPr>
                <w:i/>
                <w:sz w:val="24"/>
              </w:rPr>
              <w:t>Esther Figueroa, Francisco Pérez, Lucila Godínez, Rebeca Pérez</w:t>
            </w:r>
          </w:p>
        </w:tc>
        <w:tc>
          <w:tcPr>
            <w:tcW w:w="1106" w:type="dxa"/>
          </w:tcPr>
          <w:p>
            <w:pPr>
              <w:pStyle w:val="TableParagraph"/>
              <w:spacing w:before="116"/>
              <w:ind w:left="106"/>
              <w:rPr>
                <w:sz w:val="24"/>
              </w:rPr>
            </w:pPr>
            <w:r>
              <w:rPr>
                <w:sz w:val="24"/>
              </w:rPr>
              <w:t>39-52</w:t>
            </w:r>
          </w:p>
        </w:tc>
      </w:tr>
      <w:tr>
        <w:trPr>
          <w:trHeight w:val="1517" w:hRule="exact"/>
        </w:trPr>
        <w:tc>
          <w:tcPr>
            <w:tcW w:w="8468" w:type="dxa"/>
          </w:tcPr>
          <w:p>
            <w:pPr>
              <w:pStyle w:val="TableParagraph"/>
              <w:spacing w:before="122"/>
              <w:ind w:left="200" w:right="105"/>
              <w:jc w:val="both"/>
              <w:rPr>
                <w:b/>
                <w:sz w:val="28"/>
              </w:rPr>
            </w:pPr>
            <w:r>
              <w:rPr>
                <w:b/>
                <w:sz w:val="28"/>
              </w:rPr>
              <w:t>5 La influencia de las actividades de innovación y la gestión del conocimiento en la competitividad de las PyMES manufactureras- un estudio empírico</w:t>
            </w:r>
          </w:p>
          <w:p>
            <w:pPr>
              <w:pStyle w:val="TableParagraph"/>
              <w:spacing w:line="270" w:lineRule="exact"/>
              <w:ind w:left="200"/>
              <w:jc w:val="both"/>
              <w:rPr>
                <w:i/>
                <w:sz w:val="24"/>
              </w:rPr>
            </w:pPr>
            <w:r>
              <w:rPr>
                <w:i/>
                <w:sz w:val="24"/>
              </w:rPr>
              <w:t>Héctor Cuevas, Jorge Rangel y Octavio Hernández</w:t>
            </w:r>
          </w:p>
        </w:tc>
        <w:tc>
          <w:tcPr>
            <w:tcW w:w="1106" w:type="dxa"/>
          </w:tcPr>
          <w:p>
            <w:pPr>
              <w:pStyle w:val="TableParagraph"/>
              <w:spacing w:before="116"/>
              <w:ind w:left="106"/>
              <w:rPr>
                <w:sz w:val="24"/>
              </w:rPr>
            </w:pPr>
            <w:r>
              <w:rPr>
                <w:sz w:val="24"/>
              </w:rPr>
              <w:t>53-68</w:t>
            </w:r>
          </w:p>
        </w:tc>
      </w:tr>
      <w:tr>
        <w:trPr>
          <w:trHeight w:val="1294" w:hRule="exact"/>
        </w:trPr>
        <w:tc>
          <w:tcPr>
            <w:tcW w:w="8468" w:type="dxa"/>
          </w:tcPr>
          <w:p>
            <w:pPr>
              <w:pStyle w:val="TableParagraph"/>
              <w:spacing w:line="278" w:lineRule="auto" w:before="122"/>
              <w:ind w:left="200" w:right="105"/>
              <w:rPr>
                <w:b/>
                <w:sz w:val="28"/>
              </w:rPr>
            </w:pPr>
            <w:r>
              <w:rPr>
                <w:b/>
                <w:sz w:val="28"/>
              </w:rPr>
              <w:t>6 Violencia de Género en las estudiantes del Nivel medio superior de la UAGro</w:t>
            </w:r>
          </w:p>
          <w:p>
            <w:pPr>
              <w:pStyle w:val="TableParagraph"/>
              <w:spacing w:line="268" w:lineRule="exact"/>
              <w:ind w:left="200" w:right="114"/>
              <w:rPr>
                <w:i/>
                <w:sz w:val="24"/>
              </w:rPr>
            </w:pPr>
            <w:r>
              <w:rPr>
                <w:i/>
                <w:sz w:val="24"/>
              </w:rPr>
              <w:t>Yolanda Cortés, Mónica Guevara y Guadalupe Antúnez</w:t>
            </w:r>
          </w:p>
        </w:tc>
        <w:tc>
          <w:tcPr>
            <w:tcW w:w="1106" w:type="dxa"/>
          </w:tcPr>
          <w:p>
            <w:pPr>
              <w:pStyle w:val="TableParagraph"/>
              <w:spacing w:before="116"/>
              <w:ind w:left="106"/>
              <w:rPr>
                <w:sz w:val="24"/>
              </w:rPr>
            </w:pPr>
            <w:r>
              <w:rPr>
                <w:sz w:val="24"/>
              </w:rPr>
              <w:t>69-80</w:t>
            </w:r>
          </w:p>
        </w:tc>
      </w:tr>
      <w:tr>
        <w:trPr>
          <w:trHeight w:val="874" w:hRule="exact"/>
        </w:trPr>
        <w:tc>
          <w:tcPr>
            <w:tcW w:w="8468" w:type="dxa"/>
          </w:tcPr>
          <w:p>
            <w:pPr>
              <w:pStyle w:val="TableParagraph"/>
              <w:spacing w:line="319" w:lineRule="exact" w:before="122"/>
              <w:ind w:left="200" w:right="114"/>
              <w:rPr>
                <w:b/>
                <w:sz w:val="28"/>
              </w:rPr>
            </w:pPr>
            <w:r>
              <w:rPr>
                <w:b/>
                <w:sz w:val="28"/>
              </w:rPr>
              <w:t>7 PM Summit - Sponsor</w:t>
            </w:r>
          </w:p>
          <w:p>
            <w:pPr>
              <w:pStyle w:val="TableParagraph"/>
              <w:spacing w:line="273" w:lineRule="exact"/>
              <w:ind w:left="200" w:right="114"/>
              <w:rPr>
                <w:i/>
                <w:sz w:val="24"/>
              </w:rPr>
            </w:pPr>
            <w:r>
              <w:rPr>
                <w:i/>
                <w:sz w:val="24"/>
              </w:rPr>
              <w:t>Adrián Vázquez, Karina Salazar y María Mendiola</w:t>
            </w:r>
          </w:p>
        </w:tc>
        <w:tc>
          <w:tcPr>
            <w:tcW w:w="1106" w:type="dxa"/>
          </w:tcPr>
          <w:p>
            <w:pPr>
              <w:pStyle w:val="TableParagraph"/>
              <w:spacing w:before="116"/>
              <w:ind w:left="106"/>
              <w:rPr>
                <w:sz w:val="24"/>
              </w:rPr>
            </w:pPr>
            <w:r>
              <w:rPr>
                <w:sz w:val="24"/>
              </w:rPr>
              <w:t>81-94</w:t>
            </w:r>
          </w:p>
        </w:tc>
      </w:tr>
      <w:tr>
        <w:trPr>
          <w:trHeight w:val="1316" w:hRule="exact"/>
        </w:trPr>
        <w:tc>
          <w:tcPr>
            <w:tcW w:w="8468" w:type="dxa"/>
          </w:tcPr>
          <w:p>
            <w:pPr>
              <w:pStyle w:val="TableParagraph"/>
              <w:spacing w:line="276" w:lineRule="auto" w:before="123"/>
              <w:ind w:left="200" w:right="114"/>
              <w:rPr>
                <w:b/>
                <w:sz w:val="28"/>
              </w:rPr>
            </w:pPr>
            <w:r>
              <w:rPr>
                <w:b/>
                <w:sz w:val="28"/>
              </w:rPr>
              <w:t>8 Design and fabrication of high energy miller used to synthesis of materials</w:t>
            </w:r>
          </w:p>
          <w:p>
            <w:pPr>
              <w:pStyle w:val="TableParagraph"/>
              <w:ind w:left="200" w:right="114"/>
              <w:rPr>
                <w:i/>
                <w:sz w:val="24"/>
              </w:rPr>
            </w:pPr>
            <w:r>
              <w:rPr>
                <w:i/>
                <w:sz w:val="24"/>
              </w:rPr>
              <w:t>Pedro Vera &amp; Homer Lara</w:t>
            </w:r>
          </w:p>
        </w:tc>
        <w:tc>
          <w:tcPr>
            <w:tcW w:w="1106" w:type="dxa"/>
          </w:tcPr>
          <w:p>
            <w:pPr>
              <w:pStyle w:val="TableParagraph"/>
              <w:spacing w:before="116"/>
              <w:ind w:left="106"/>
              <w:rPr>
                <w:sz w:val="24"/>
              </w:rPr>
            </w:pPr>
            <w:r>
              <w:rPr>
                <w:sz w:val="24"/>
              </w:rPr>
              <w:t>95-100</w:t>
            </w:r>
          </w:p>
        </w:tc>
      </w:tr>
      <w:tr>
        <w:trPr>
          <w:trHeight w:val="1214" w:hRule="exact"/>
        </w:trPr>
        <w:tc>
          <w:tcPr>
            <w:tcW w:w="8468" w:type="dxa"/>
          </w:tcPr>
          <w:p>
            <w:pPr>
              <w:pStyle w:val="TableParagraph"/>
              <w:spacing w:line="237" w:lineRule="auto" w:before="144"/>
              <w:ind w:left="200" w:right="117"/>
              <w:rPr>
                <w:i/>
                <w:sz w:val="24"/>
              </w:rPr>
            </w:pPr>
            <w:r>
              <w:rPr>
                <w:b/>
                <w:sz w:val="28"/>
              </w:rPr>
              <w:t>9 Análisis teórico metodológico de la construcción del clúster automotriz audi en puebla y su impacto en el desarrollo regional </w:t>
            </w:r>
            <w:r>
              <w:rPr>
                <w:i/>
                <w:sz w:val="24"/>
              </w:rPr>
              <w:t>Juan Carlos Manjarrez López &amp; Francisco Gutiérrez</w:t>
            </w:r>
            <w:r>
              <w:rPr>
                <w:i/>
                <w:spacing w:val="-11"/>
                <w:sz w:val="24"/>
              </w:rPr>
              <w:t> </w:t>
            </w:r>
            <w:r>
              <w:rPr>
                <w:i/>
                <w:sz w:val="24"/>
              </w:rPr>
              <w:t>Ochoa</w:t>
            </w:r>
          </w:p>
        </w:tc>
        <w:tc>
          <w:tcPr>
            <w:tcW w:w="1106" w:type="dxa"/>
          </w:tcPr>
          <w:p>
            <w:pPr>
              <w:pStyle w:val="TableParagraph"/>
              <w:spacing w:before="135"/>
              <w:ind w:left="106"/>
              <w:rPr>
                <w:sz w:val="24"/>
              </w:rPr>
            </w:pPr>
            <w:r>
              <w:rPr>
                <w:sz w:val="24"/>
              </w:rPr>
              <w:t>101-117</w:t>
            </w:r>
          </w:p>
        </w:tc>
      </w:tr>
      <w:tr>
        <w:trPr>
          <w:trHeight w:val="828" w:hRule="exact"/>
        </w:trPr>
        <w:tc>
          <w:tcPr>
            <w:tcW w:w="8468" w:type="dxa"/>
          </w:tcPr>
          <w:p>
            <w:pPr>
              <w:pStyle w:val="TableParagraph"/>
              <w:spacing w:before="116"/>
              <w:ind w:left="200" w:right="114"/>
              <w:rPr>
                <w:sz w:val="24"/>
              </w:rPr>
            </w:pPr>
            <w:r>
              <w:rPr>
                <w:sz w:val="24"/>
              </w:rPr>
              <w:t>Apéndice A. Consejo Institucional de la Universidad de San Francisco Xavier de Chuquisaca</w:t>
            </w:r>
          </w:p>
        </w:tc>
        <w:tc>
          <w:tcPr>
            <w:tcW w:w="1106" w:type="dxa"/>
          </w:tcPr>
          <w:p>
            <w:pPr>
              <w:pStyle w:val="TableParagraph"/>
              <w:spacing w:before="116"/>
              <w:ind w:left="106"/>
              <w:rPr>
                <w:sz w:val="24"/>
              </w:rPr>
            </w:pPr>
            <w:r>
              <w:rPr>
                <w:sz w:val="24"/>
              </w:rPr>
              <w:t>118</w:t>
            </w:r>
          </w:p>
        </w:tc>
      </w:tr>
      <w:tr>
        <w:trPr>
          <w:trHeight w:val="396" w:hRule="exact"/>
        </w:trPr>
        <w:tc>
          <w:tcPr>
            <w:tcW w:w="8468" w:type="dxa"/>
          </w:tcPr>
          <w:p>
            <w:pPr>
              <w:pStyle w:val="TableParagraph"/>
              <w:spacing w:before="116"/>
              <w:ind w:left="200" w:right="114"/>
              <w:rPr>
                <w:sz w:val="24"/>
              </w:rPr>
            </w:pPr>
            <w:r>
              <w:rPr>
                <w:sz w:val="24"/>
              </w:rPr>
              <w:t>Apéndice B. Consejo Editor ECORFAN</w:t>
            </w:r>
          </w:p>
        </w:tc>
        <w:tc>
          <w:tcPr>
            <w:tcW w:w="1106" w:type="dxa"/>
          </w:tcPr>
          <w:p>
            <w:pPr>
              <w:pStyle w:val="TableParagraph"/>
              <w:spacing w:before="116"/>
              <w:ind w:left="106"/>
              <w:rPr>
                <w:sz w:val="24"/>
              </w:rPr>
            </w:pPr>
            <w:r>
              <w:rPr>
                <w:sz w:val="24"/>
              </w:rPr>
              <w:t>119-120</w:t>
            </w:r>
          </w:p>
        </w:tc>
      </w:tr>
    </w:tbl>
    <w:p>
      <w:pPr>
        <w:spacing w:after="0"/>
        <w:rPr>
          <w:sz w:val="24"/>
        </w:rPr>
        <w:sectPr>
          <w:headerReference w:type="default" r:id="rId18"/>
          <w:pgSz w:w="11910" w:h="16840"/>
          <w:pgMar w:header="0" w:footer="0" w:top="1480" w:bottom="280" w:left="780" w:right="134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401"/>
        <w:gridCol w:w="3174"/>
      </w:tblGrid>
      <w:tr>
        <w:trPr>
          <w:trHeight w:val="240" w:hRule="exact"/>
        </w:trPr>
        <w:tc>
          <w:tcPr>
            <w:tcW w:w="6401" w:type="dxa"/>
          </w:tcPr>
          <w:p>
            <w:pPr>
              <w:pStyle w:val="TableParagraph"/>
              <w:spacing w:line="245" w:lineRule="exact"/>
              <w:ind w:left="200"/>
              <w:rPr>
                <w:sz w:val="24"/>
              </w:rPr>
            </w:pPr>
            <w:r>
              <w:rPr>
                <w:sz w:val="24"/>
              </w:rPr>
              <w:t>Apéndice C. Comité Arbitral. ECORFAN</w:t>
            </w:r>
          </w:p>
        </w:tc>
        <w:tc>
          <w:tcPr>
            <w:tcW w:w="3174" w:type="dxa"/>
          </w:tcPr>
          <w:p>
            <w:pPr>
              <w:pStyle w:val="TableParagraph"/>
              <w:spacing w:line="245" w:lineRule="exact"/>
              <w:ind w:left="0" w:right="198"/>
              <w:jc w:val="right"/>
              <w:rPr>
                <w:sz w:val="24"/>
              </w:rPr>
            </w:pPr>
            <w:r>
              <w:rPr>
                <w:sz w:val="24"/>
              </w:rPr>
              <w:t>121-123</w:t>
            </w:r>
          </w:p>
        </w:tc>
      </w:tr>
    </w:tbl>
    <w:p>
      <w:pPr>
        <w:spacing w:after="0" w:line="245" w:lineRule="exact"/>
        <w:jc w:val="right"/>
        <w:rPr>
          <w:sz w:val="24"/>
        </w:rPr>
        <w:sectPr>
          <w:headerReference w:type="default" r:id="rId19"/>
          <w:pgSz w:w="11910" w:h="16840"/>
          <w:pgMar w:header="0" w:footer="0" w:top="1440" w:bottom="280" w:left="780" w:right="1340"/>
        </w:sectPr>
      </w:pPr>
    </w:p>
    <w:p>
      <w:pPr>
        <w:pStyle w:val="BodyText"/>
        <w:rPr>
          <w:i/>
          <w:sz w:val="20"/>
        </w:rPr>
      </w:pPr>
    </w:p>
    <w:p>
      <w:pPr>
        <w:spacing w:before="237"/>
        <w:ind w:left="100" w:right="0" w:firstLine="0"/>
        <w:jc w:val="left"/>
        <w:rPr>
          <w:b/>
          <w:sz w:val="28"/>
        </w:rPr>
      </w:pPr>
      <w:r>
        <w:rPr>
          <w:b/>
          <w:sz w:val="28"/>
        </w:rPr>
        <w:t>Impacto de las políticas fiscales  en el gasto de los consumidores mexicanos, 2013</w:t>
      </w:r>
    </w:p>
    <w:p>
      <w:pPr>
        <w:pStyle w:val="BodyText"/>
        <w:rPr>
          <w:b/>
          <w:sz w:val="28"/>
        </w:rPr>
      </w:pPr>
    </w:p>
    <w:p>
      <w:pPr>
        <w:pStyle w:val="BodyText"/>
        <w:spacing w:before="223"/>
        <w:ind w:left="100"/>
      </w:pPr>
      <w:r>
        <w:rPr/>
        <w:t>Francisco Pérez, Esther Figueroa y Lucila Godínez</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pPr>
    </w:p>
    <w:p>
      <w:pPr>
        <w:spacing w:before="0"/>
        <w:ind w:left="100" w:right="0" w:firstLine="0"/>
        <w:jc w:val="left"/>
        <w:rPr>
          <w:sz w:val="20"/>
        </w:rPr>
      </w:pPr>
      <w:r>
        <w:rPr>
          <w:sz w:val="24"/>
        </w:rPr>
        <w:t>F</w:t>
      </w:r>
      <w:r>
        <w:rPr>
          <w:sz w:val="20"/>
        </w:rPr>
        <w:t>. Pérez. E. Figueroa y L.Godínez.</w:t>
      </w:r>
    </w:p>
    <w:p>
      <w:pPr>
        <w:pStyle w:val="BodyText"/>
        <w:spacing w:before="1"/>
        <w:rPr>
          <w:sz w:val="20"/>
        </w:rPr>
      </w:pPr>
    </w:p>
    <w:p>
      <w:pPr>
        <w:spacing w:before="0"/>
        <w:ind w:left="100" w:right="0" w:firstLine="0"/>
        <w:jc w:val="left"/>
        <w:rPr>
          <w:sz w:val="20"/>
        </w:rPr>
      </w:pPr>
      <w:r>
        <w:rPr>
          <w:sz w:val="20"/>
        </w:rPr>
        <w:t>Universidad Autónoma Chapingo. Km 38.5 Carretera México-Texcoco. Chapingo, Estado de México. C.P. 56230. Tel.: (595)9521500, extensión 5153, ext. 5133 </w:t>
      </w:r>
      <w:hyperlink r:id="rId21">
        <w:r>
          <w:rPr>
            <w:sz w:val="20"/>
          </w:rPr>
          <w:t>perezsotof@hotmail.com</w:t>
        </w:r>
      </w:hyperlink>
    </w:p>
    <w:p>
      <w:pPr>
        <w:pStyle w:val="BodyText"/>
        <w:rPr>
          <w:sz w:val="20"/>
        </w:rPr>
      </w:pPr>
    </w:p>
    <w:p>
      <w:pPr>
        <w:spacing w:before="1"/>
        <w:ind w:left="100" w:right="0" w:firstLine="0"/>
        <w:jc w:val="left"/>
        <w:rPr>
          <w:sz w:val="20"/>
        </w:rPr>
      </w:pPr>
      <w:r>
        <w:rPr>
          <w:sz w:val="20"/>
        </w:rPr>
        <w:t>Universidad Autónoma del Estado de México, Campus Texcoco.</w:t>
      </w:r>
    </w:p>
    <w:p>
      <w:pPr>
        <w:pStyle w:val="BodyText"/>
        <w:spacing w:before="1"/>
        <w:rPr>
          <w:sz w:val="20"/>
        </w:rPr>
      </w:pPr>
    </w:p>
    <w:p>
      <w:pPr>
        <w:tabs>
          <w:tab w:pos="2046" w:val="left" w:leader="none"/>
        </w:tabs>
        <w:spacing w:before="0"/>
        <w:ind w:left="100" w:right="0" w:firstLine="0"/>
        <w:jc w:val="left"/>
        <w:rPr>
          <w:sz w:val="20"/>
        </w:rPr>
      </w:pPr>
      <w:r>
        <w:rPr>
          <w:sz w:val="20"/>
        </w:rPr>
        <w:t>M.Ramos, </w:t>
      </w:r>
      <w:r>
        <w:rPr>
          <w:spacing w:val="19"/>
          <w:sz w:val="20"/>
        </w:rPr>
        <w:t> </w:t>
      </w:r>
      <w:r>
        <w:rPr>
          <w:sz w:val="20"/>
        </w:rPr>
        <w:t>M. </w:t>
      </w:r>
      <w:r>
        <w:rPr>
          <w:spacing w:val="20"/>
          <w:sz w:val="20"/>
        </w:rPr>
        <w:t> </w:t>
      </w:r>
      <w:r>
        <w:rPr>
          <w:sz w:val="20"/>
        </w:rPr>
        <w:t>Solís</w:t>
        <w:tab/>
        <w:t>(eds).  Desarrollo  Económico  en  el  crecimiento  Empresarial.  Tópicos  selectos  de     </w:t>
      </w:r>
      <w:r>
        <w:rPr>
          <w:spacing w:val="1"/>
          <w:sz w:val="20"/>
        </w:rPr>
        <w:t> </w:t>
      </w:r>
      <w:r>
        <w:rPr>
          <w:sz w:val="20"/>
        </w:rPr>
        <w:t>Riesgo-</w:t>
      </w:r>
    </w:p>
    <w:p>
      <w:pPr>
        <w:spacing w:before="0"/>
        <w:ind w:left="100" w:right="0" w:firstLine="0"/>
        <w:jc w:val="left"/>
        <w:rPr>
          <w:sz w:val="20"/>
        </w:rPr>
      </w:pPr>
      <w:r>
        <w:rPr>
          <w:sz w:val="20"/>
        </w:rPr>
        <w:t>©ECORFAN-México- Sucre, Bolivia, 2014.</w:t>
      </w:r>
    </w:p>
    <w:p>
      <w:pPr>
        <w:spacing w:after="0"/>
        <w:jc w:val="left"/>
        <w:rPr>
          <w:sz w:val="20"/>
        </w:rPr>
        <w:sectPr>
          <w:headerReference w:type="default" r:id="rId20"/>
          <w:pgSz w:w="11910" w:h="16840"/>
          <w:pgMar w:header="731" w:footer="0" w:top="960" w:bottom="280" w:left="980" w:right="960"/>
          <w:pgNumType w:start="1"/>
        </w:sectPr>
      </w:pPr>
    </w:p>
    <w:p>
      <w:pPr>
        <w:pStyle w:val="BodyText"/>
        <w:rPr>
          <w:sz w:val="20"/>
        </w:rPr>
      </w:pPr>
    </w:p>
    <w:p>
      <w:pPr>
        <w:pStyle w:val="BodyText"/>
        <w:spacing w:before="6"/>
        <w:rPr>
          <w:sz w:val="20"/>
        </w:rPr>
      </w:pPr>
    </w:p>
    <w:p>
      <w:pPr>
        <w:pStyle w:val="Heading4"/>
        <w:spacing w:before="0"/>
        <w:ind w:left="100" w:firstLine="0"/>
      </w:pPr>
      <w:r>
        <w:rPr/>
        <w:t>Abstract</w:t>
      </w:r>
    </w:p>
    <w:p>
      <w:pPr>
        <w:pStyle w:val="BodyText"/>
        <w:spacing w:before="6"/>
        <w:rPr>
          <w:b/>
          <w:sz w:val="23"/>
        </w:rPr>
      </w:pPr>
    </w:p>
    <w:p>
      <w:pPr>
        <w:pStyle w:val="BodyText"/>
        <w:ind w:left="100" w:right="116"/>
        <w:jc w:val="both"/>
      </w:pPr>
      <w:r>
        <w:rPr/>
        <w:t>The purpose of this research is to measure the expected impact of the value-added tax of 16% on  food and medicine to Mexican consumers, by estimating indicators such as the Gini index, the Lorenz curves, the Foster Greer Thorbecke index (FGT) and the estimated income deciles. Taking monthly income per capita variable, the results show that the Gini index for the distribution of disposable income 2012, without application changes from 0.52 to 0.53 with iva iva application in food and medicine. Moreover poverty is more sensitive, because there is an increment of 2.3 million people, especially in the medium and lower income</w:t>
      </w:r>
      <w:r>
        <w:rPr>
          <w:spacing w:val="-12"/>
        </w:rPr>
        <w:t> </w:t>
      </w:r>
      <w:r>
        <w:rPr/>
        <w:t>strata.</w:t>
      </w:r>
    </w:p>
    <w:p>
      <w:pPr>
        <w:pStyle w:val="BodyText"/>
      </w:pPr>
    </w:p>
    <w:p>
      <w:pPr>
        <w:pStyle w:val="BodyText"/>
        <w:spacing w:before="4"/>
      </w:pPr>
    </w:p>
    <w:p>
      <w:pPr>
        <w:pStyle w:val="Heading4"/>
        <w:numPr>
          <w:ilvl w:val="0"/>
          <w:numId w:val="1"/>
        </w:numPr>
        <w:tabs>
          <w:tab w:pos="281" w:val="left" w:leader="none"/>
        </w:tabs>
        <w:spacing w:line="240" w:lineRule="auto" w:before="1" w:after="0"/>
        <w:ind w:left="280" w:right="0" w:hanging="180"/>
        <w:jc w:val="both"/>
      </w:pPr>
      <w:r>
        <w:rPr/>
        <w:t>Introducción</w:t>
      </w:r>
    </w:p>
    <w:p>
      <w:pPr>
        <w:pStyle w:val="BodyText"/>
        <w:spacing w:before="7"/>
        <w:rPr>
          <w:b/>
          <w:sz w:val="23"/>
        </w:rPr>
      </w:pPr>
    </w:p>
    <w:p>
      <w:pPr>
        <w:pStyle w:val="BodyText"/>
        <w:ind w:left="100" w:right="115"/>
        <w:jc w:val="both"/>
      </w:pPr>
      <w:r>
        <w:rPr/>
        <w:t>La existencia de los impuestos dentro de una economía se explica y justifica a partir de la existencia de una "doble necesidad". Por una parte la sentida por la </w:t>
      </w:r>
      <w:hyperlink r:id="rId22">
        <w:r>
          <w:rPr/>
          <w:t>sociedad</w:t>
        </w:r>
      </w:hyperlink>
      <w:r>
        <w:rPr/>
        <w:t> de que se le garantice la satisfacción de una amplia gama de servicios públicos, lo que no es posible lograr a través de los mecanismos usuales del </w:t>
      </w:r>
      <w:hyperlink r:id="rId23">
        <w:r>
          <w:rPr/>
          <w:t>mercado,</w:t>
        </w:r>
      </w:hyperlink>
      <w:r>
        <w:rPr/>
        <w:t> es decir, por la oferta y la demanda debido a la </w:t>
      </w:r>
      <w:hyperlink r:id="rId24">
        <w:r>
          <w:rPr/>
          <w:t>naturaleza</w:t>
        </w:r>
      </w:hyperlink>
      <w:r>
        <w:rPr/>
        <w:t> misma de la necesidad del servicio. No es posible, por ejemplo, adquirir en el mercado </w:t>
      </w:r>
      <w:hyperlink r:id="rId25">
        <w:r>
          <w:rPr/>
          <w:t>seguridad</w:t>
        </w:r>
      </w:hyperlink>
      <w:r>
        <w:rPr/>
        <w:t> pública, </w:t>
      </w:r>
      <w:hyperlink r:id="rId26">
        <w:r>
          <w:rPr/>
          <w:t>justicia</w:t>
        </w:r>
      </w:hyperlink>
      <w:r>
        <w:rPr/>
        <w:t>, servicios de </w:t>
      </w:r>
      <w:hyperlink r:id="rId27">
        <w:r>
          <w:rPr/>
          <w:t>salud</w:t>
        </w:r>
      </w:hyperlink>
      <w:r>
        <w:rPr/>
        <w:t> que garanticen mínimos de bienestar para la colectividad.</w:t>
      </w:r>
    </w:p>
    <w:p>
      <w:pPr>
        <w:pStyle w:val="BodyText"/>
      </w:pPr>
    </w:p>
    <w:p>
      <w:pPr>
        <w:pStyle w:val="BodyText"/>
        <w:ind w:left="100" w:right="120" w:firstLine="708"/>
        <w:jc w:val="both"/>
      </w:pPr>
      <w:r>
        <w:rPr/>
        <w:t>El </w:t>
      </w:r>
      <w:hyperlink r:id="rId28">
        <w:r>
          <w:rPr/>
          <w:t>estado</w:t>
        </w:r>
      </w:hyperlink>
      <w:r>
        <w:rPr/>
        <w:t> debe asegurar la provisión de los bienes y servicios que satisfagan tales necesidades constituye la más alta prioridad para el Estado, lo que lo vincula fatalmente con el problema de </w:t>
      </w:r>
      <w:hyperlink r:id="rId29">
        <w:r>
          <w:rPr/>
          <w:t>financiamiento</w:t>
        </w:r>
      </w:hyperlink>
      <w:r>
        <w:rPr/>
        <w:t> público, es decir con la arbitración de mecanismos que garanticen el flujo de los </w:t>
      </w:r>
      <w:hyperlink r:id="rId30">
        <w:r>
          <w:rPr/>
          <w:t>recursos</w:t>
        </w:r>
      </w:hyperlink>
      <w:r>
        <w:rPr/>
        <w:t> financieros necesarios para encarar tal cometido. La única vía que le garantiza la certeza y en parte la suficiencia de recursos (Castañeda Mónica, E.</w:t>
      </w:r>
      <w:r>
        <w:rPr>
          <w:spacing w:val="-12"/>
        </w:rPr>
        <w:t> </w:t>
      </w:r>
      <w:r>
        <w:rPr/>
        <w:t>2007)</w:t>
      </w:r>
    </w:p>
    <w:p>
      <w:pPr>
        <w:pStyle w:val="BodyText"/>
      </w:pPr>
    </w:p>
    <w:p>
      <w:pPr>
        <w:pStyle w:val="BodyText"/>
        <w:ind w:left="100" w:right="117" w:firstLine="708"/>
        <w:jc w:val="both"/>
      </w:pPr>
      <w:r>
        <w:rPr/>
        <w:t>En el año de 1969 se hizo un intento por parte de </w:t>
      </w:r>
      <w:hyperlink r:id="rId31">
        <w:r>
          <w:rPr/>
          <w:t>la administración</w:t>
        </w:r>
      </w:hyperlink>
      <w:r>
        <w:rPr/>
        <w:t> fiscal de instaurar en México un Impuesto al Valor Agregado, el cual se encontraba inserto en la Ley del Impuesto Federal sobre Egresos; en este </w:t>
      </w:r>
      <w:hyperlink r:id="rId32">
        <w:r>
          <w:rPr/>
          <w:t>proyecto</w:t>
        </w:r>
      </w:hyperlink>
      <w:r>
        <w:rPr/>
        <w:t> eran incorporados al Sistema de valor agregado los impuestos sobre Ingresos Mercantiles y del Timbre.</w:t>
      </w:r>
    </w:p>
    <w:p>
      <w:pPr>
        <w:pStyle w:val="BodyText"/>
      </w:pPr>
    </w:p>
    <w:p>
      <w:pPr>
        <w:pStyle w:val="BodyText"/>
        <w:ind w:left="100" w:right="118" w:firstLine="708"/>
        <w:jc w:val="both"/>
      </w:pPr>
      <w:r>
        <w:rPr/>
        <w:t>Fue así que la Ley del Impuesto al valor agregado, expedida por Decreto del Congreso de la Unión, de fecha 22 de diciembre de 1978, publicado en el Diario Oficial de la Federación el 29 de diciembre de 1978, entró en vigor hasta el 1ro de enero de 1980, prácticamente tardó un año para ser aplicada.</w:t>
      </w:r>
    </w:p>
    <w:p>
      <w:pPr>
        <w:pStyle w:val="BodyText"/>
      </w:pPr>
    </w:p>
    <w:p>
      <w:pPr>
        <w:pStyle w:val="BodyText"/>
        <w:ind w:left="100" w:right="121" w:firstLine="708"/>
        <w:jc w:val="both"/>
      </w:pPr>
      <w:r>
        <w:rPr/>
        <w:t>Dicha Ley obligaba en su artículo 32 a que en toda operación gravada con el IVA se expidieran documentos comprobatorios que señalasen expresamente el Impuesto al Valor Agregado trasladado a quien adquirió los bienes o servicios gravados.</w:t>
      </w:r>
    </w:p>
    <w:p>
      <w:pPr>
        <w:pStyle w:val="BodyText"/>
      </w:pPr>
    </w:p>
    <w:p>
      <w:pPr>
        <w:pStyle w:val="BodyText"/>
        <w:ind w:left="100" w:right="118" w:firstLine="708"/>
        <w:jc w:val="both"/>
      </w:pPr>
      <w:r>
        <w:rPr/>
        <w:t>La ley indicaba que esta </w:t>
      </w:r>
      <w:hyperlink r:id="rId33">
        <w:r>
          <w:rPr/>
          <w:t>documentación</w:t>
        </w:r>
      </w:hyperlink>
      <w:r>
        <w:rPr/>
        <w:t> con el monto del IVA expresamente señalado incluía "al </w:t>
      </w:r>
      <w:hyperlink r:id="rId34">
        <w:r>
          <w:rPr/>
          <w:t>consumidor</w:t>
        </w:r>
      </w:hyperlink>
      <w:r>
        <w:rPr/>
        <w:t> final" y que dichos documentos comprobatorios deberían expedirse a más tardar a los 15 días de realizada la transacción.</w:t>
      </w:r>
    </w:p>
    <w:p>
      <w:pPr>
        <w:spacing w:after="0"/>
        <w:jc w:val="both"/>
        <w:sectPr>
          <w:pgSz w:w="11910" w:h="16840"/>
          <w:pgMar w:header="731" w:footer="0" w:top="960" w:bottom="280" w:left="980" w:right="960"/>
        </w:sectPr>
      </w:pPr>
    </w:p>
    <w:p>
      <w:pPr>
        <w:pStyle w:val="BodyText"/>
        <w:rPr>
          <w:sz w:val="20"/>
        </w:rPr>
      </w:pPr>
    </w:p>
    <w:p>
      <w:pPr>
        <w:pStyle w:val="BodyText"/>
        <w:spacing w:before="1"/>
        <w:rPr>
          <w:sz w:val="20"/>
        </w:rPr>
      </w:pPr>
    </w:p>
    <w:p>
      <w:pPr>
        <w:pStyle w:val="BodyText"/>
        <w:ind w:left="100" w:right="117" w:firstLine="708"/>
        <w:jc w:val="both"/>
      </w:pPr>
      <w:r>
        <w:rPr/>
        <w:t>La ley busco una </w:t>
      </w:r>
      <w:hyperlink r:id="rId35">
        <w:r>
          <w:rPr/>
          <w:t>coordinación</w:t>
        </w:r>
      </w:hyperlink>
      <w:r>
        <w:rPr/>
        <w:t> fiscal la cual consistía en una </w:t>
      </w:r>
      <w:hyperlink r:id="rId36">
        <w:r>
          <w:rPr/>
          <w:t>distribución</w:t>
        </w:r>
      </w:hyperlink>
      <w:r>
        <w:rPr/>
        <w:t> de los ingresos con los estados, se incrementó la tasa impositiva del ISR y aparece el IVA, el cual es un impuesto indirecto al consumo, tiene sus debilidades por ser fácil de hacer exenciones en especial para la maquila y el </w:t>
      </w:r>
      <w:hyperlink r:id="rId37">
        <w:r>
          <w:rPr/>
          <w:t>transporte</w:t>
        </w:r>
      </w:hyperlink>
      <w:r>
        <w:rPr/>
        <w:t>; la reforma fiscal que se realizó consistía en gravar los productos de lujo y no a los trabajadores como </w:t>
      </w:r>
      <w:hyperlink r:id="rId38">
        <w:r>
          <w:rPr/>
          <w:t>grupos</w:t>
        </w:r>
      </w:hyperlink>
      <w:r>
        <w:rPr/>
        <w:t> social vulnerable, además de estimular a los industriales a la compra de maquinaria y establecer un nuevo impuesto a las utilidades extraordinarias con el fin de evitar la especulación.</w:t>
      </w:r>
    </w:p>
    <w:p>
      <w:pPr>
        <w:pStyle w:val="BodyText"/>
      </w:pPr>
    </w:p>
    <w:p>
      <w:pPr>
        <w:pStyle w:val="BodyText"/>
        <w:ind w:left="100" w:right="120" w:firstLine="708"/>
        <w:jc w:val="both"/>
      </w:pPr>
      <w:r>
        <w:rPr/>
        <w:t>Las razones por la que se implantó un impuesto al Valor Agregado en México fue la necesidad de actualizar y modernizar sus sistemas de imposición, fortaleciendo su principal fuente de ingresos tributaria que es el Impuesto Sobre la Renta.</w:t>
      </w:r>
    </w:p>
    <w:p>
      <w:pPr>
        <w:pStyle w:val="BodyText"/>
      </w:pPr>
    </w:p>
    <w:p>
      <w:pPr>
        <w:pStyle w:val="BodyText"/>
        <w:ind w:left="100" w:right="127" w:firstLine="708"/>
        <w:jc w:val="both"/>
      </w:pPr>
      <w:r>
        <w:rPr/>
        <w:t>Los cambios más importantes que se han registrado en el IVA desde la fecha de entrada en vigor, hasta nuestros días, son los siguientes:</w:t>
      </w:r>
    </w:p>
    <w:p>
      <w:pPr>
        <w:pStyle w:val="BodyText"/>
      </w:pPr>
    </w:p>
    <w:p>
      <w:pPr>
        <w:pStyle w:val="BodyText"/>
        <w:ind w:left="100" w:right="125" w:firstLine="708"/>
        <w:jc w:val="both"/>
      </w:pPr>
      <w:r>
        <w:rPr/>
        <w:t>En 1981, segundo año de su observancia, se reducen las exenciones en los diversos actos u operaciones que generan el Gravamen, para darle más generalidad en su aplicación.</w:t>
      </w:r>
    </w:p>
    <w:p>
      <w:pPr>
        <w:pStyle w:val="BodyText"/>
      </w:pPr>
    </w:p>
    <w:p>
      <w:pPr>
        <w:pStyle w:val="BodyText"/>
        <w:ind w:left="100" w:right="114" w:firstLine="708"/>
        <w:jc w:val="both"/>
      </w:pPr>
      <w:r>
        <w:rPr/>
        <w:t>En 1983, son el inicio de su tercer año de vida institucional aumenta la tasa general del 10%  al 15%, y surge la tasa especial del 6% para gravar ciertos artículos o actos que estaban exentos, incluyéndose importaciones de bienes para ser consumidos en la zona fronteriza de nuestro país, en una franja de 20 kilómetros contigua a la línea fronteriza con los </w:t>
      </w:r>
      <w:hyperlink r:id="rId39">
        <w:r>
          <w:rPr/>
          <w:t>Estados Unidos</w:t>
        </w:r>
      </w:hyperlink>
      <w:r>
        <w:rPr/>
        <w:t>, con Belice y </w:t>
      </w:r>
      <w:hyperlink r:id="rId40">
        <w:r>
          <w:rPr/>
          <w:t>Guatemala</w:t>
        </w:r>
      </w:hyperlink>
      <w:r>
        <w:rPr/>
        <w:t>; así mismo surge la tasa especial del 20% sobre su base para ser aplicada a ciertos  artículo o bienes gravados, considerados como suntuarios o de</w:t>
      </w:r>
      <w:r>
        <w:rPr>
          <w:spacing w:val="-10"/>
        </w:rPr>
        <w:t> </w:t>
      </w:r>
      <w:r>
        <w:rPr/>
        <w:t>lujo.</w:t>
      </w:r>
    </w:p>
    <w:p>
      <w:pPr>
        <w:pStyle w:val="BodyText"/>
      </w:pPr>
    </w:p>
    <w:p>
      <w:pPr>
        <w:pStyle w:val="BodyText"/>
        <w:ind w:left="100" w:right="126" w:firstLine="708"/>
        <w:jc w:val="both"/>
      </w:pPr>
      <w:r>
        <w:rPr/>
        <w:t>En 1991, nuevamente regresa la cuota general del 10%.En 1995 se vuelve a restablecer la cuota del 15%, y más tarde del 16% misma que se encuentra en vigor hasta nuestros días.</w:t>
      </w:r>
    </w:p>
    <w:p>
      <w:pPr>
        <w:pStyle w:val="BodyText"/>
      </w:pPr>
    </w:p>
    <w:p>
      <w:pPr>
        <w:pStyle w:val="BodyText"/>
        <w:ind w:left="100" w:right="119" w:firstLine="708"/>
        <w:jc w:val="both"/>
      </w:pPr>
      <w:r>
        <w:rPr/>
        <w:t>Según la Secretaria de Hacienda en México, no cobrar el gravamen en ambos rubros generará un hoyo fiscal en las finanzas públicas del país de 160,162 millones de pesos en el 2012, es decir, 1.04% del Producto Interno Bruto (PIB) esperado. La cifra equivale a 40% de la deuda estatal al primer trimestre de este año (390,000 millones), aproximadamente.En alimentos la suma será de 145,940 millones de pesos, mientras que en medicinas, de 14,222 millones.</w:t>
      </w:r>
    </w:p>
    <w:p>
      <w:pPr>
        <w:pStyle w:val="BodyText"/>
      </w:pPr>
    </w:p>
    <w:p>
      <w:pPr>
        <w:pStyle w:val="BodyText"/>
        <w:ind w:left="100" w:right="122" w:firstLine="708"/>
        <w:jc w:val="both"/>
      </w:pPr>
      <w:r>
        <w:rPr/>
        <w:t>Para el 2013, el monto total será de 172,068 millones de pesos. Si bien en términos absolutos es mayor que el estimado para este año, representará el mismo porcentaje del PIB que en el 2012.</w:t>
      </w:r>
    </w:p>
    <w:p>
      <w:pPr>
        <w:pStyle w:val="BodyText"/>
      </w:pPr>
    </w:p>
    <w:p>
      <w:pPr>
        <w:pStyle w:val="BodyText"/>
        <w:ind w:left="100" w:right="118" w:firstLine="708"/>
        <w:jc w:val="both"/>
      </w:pPr>
      <w:r>
        <w:rPr/>
        <w:t>Según la Secretaría de Hacienda, al igual que el subsidio a la gasolina, el beneficio de mantener tasa cero en IVA de alimentos y medicinas beneficia en mayor medida a los que más tienen.</w:t>
      </w:r>
    </w:p>
    <w:p>
      <w:pPr>
        <w:pStyle w:val="BodyText"/>
      </w:pPr>
    </w:p>
    <w:p>
      <w:pPr>
        <w:pStyle w:val="BodyText"/>
        <w:ind w:left="100" w:right="123" w:firstLine="708"/>
        <w:jc w:val="both"/>
      </w:pPr>
      <w:r>
        <w:rPr/>
        <w:t>Destaca que, si se quiere ayudar a los más pobres en México hay que hacerlo por la vía del Presupuesto </w:t>
      </w:r>
      <w:hyperlink r:id="rId41">
        <w:r>
          <w:rPr/>
          <w:t>con programas como Oportunidades,</w:t>
        </w:r>
      </w:hyperlink>
      <w:r>
        <w:rPr/>
        <w:t> en lugar de exentar los impuestos.</w:t>
      </w:r>
    </w:p>
    <w:p>
      <w:pPr>
        <w:pStyle w:val="BodyText"/>
      </w:pPr>
    </w:p>
    <w:p>
      <w:pPr>
        <w:pStyle w:val="BodyText"/>
        <w:ind w:left="100" w:right="112" w:firstLine="708"/>
        <w:jc w:val="both"/>
      </w:pPr>
      <w:r>
        <w:rPr/>
        <w:t>Ante ese panorama, las propuestas de reforma fiscal de algunos especialistas apuestan por homologar el IVA en ambos rubros a la tasa actual (16 por ciento). Sin embargo, existe otro grupo de expertos que asegura ser una medida inviable por las afectaciones que ocasionaría al bolsillo de la población de menores ingresos.Por lo cual se hacer necesario hacer un estudio que muestre cual sería el impacto de la aplicación de una tasa del 16% de IVA en Alimentos y Medicinas, en el ingreso y gasto de los diferentes estratos de población en México.</w:t>
      </w:r>
    </w:p>
    <w:p>
      <w:pPr>
        <w:spacing w:after="0"/>
        <w:jc w:val="both"/>
        <w:sectPr>
          <w:pgSz w:w="11910" w:h="16840"/>
          <w:pgMar w:header="731" w:footer="0" w:top="960" w:bottom="280" w:left="980" w:right="960"/>
        </w:sectPr>
      </w:pPr>
    </w:p>
    <w:p>
      <w:pPr>
        <w:pStyle w:val="BodyText"/>
        <w:rPr>
          <w:sz w:val="20"/>
        </w:rPr>
      </w:pPr>
    </w:p>
    <w:p>
      <w:pPr>
        <w:pStyle w:val="BodyText"/>
        <w:spacing w:before="1"/>
        <w:rPr>
          <w:sz w:val="20"/>
        </w:rPr>
      </w:pPr>
    </w:p>
    <w:p>
      <w:pPr>
        <w:pStyle w:val="BodyText"/>
        <w:ind w:left="100" w:right="113" w:firstLine="708"/>
        <w:jc w:val="both"/>
      </w:pPr>
      <w:r>
        <w:rPr/>
        <w:t>La presente investigación tiene como objetivo general medir el impacto que pudiese tener un incremento en el IVA de 16% en alimentos y medicinas. A partir de las Encuestas Nacionales de Ingreso y Gastos de los Hogares en México, 2012 nueva construcción; Calcular a partir de la distribución del ingreso y gasto de los hogares en México, la propensión marginal al consumo, es decir del ingreso disponible que porcentaje se gasta en consumo;Estimar el índice de Gini con y sin IVA para la distribución del ingreso 2012, con el propósito de medir si se incrementa o no la desigualdad del ingreso; Medir el efecto en la distribución del ingreso bajo el escenario con y sin IVA, mediante las curvas de Lorenz; Medir el impacto en cuanto a un índice de pobreza, con y sin IVA en alimentos y medicinas; Estimar un impacto en el gasto del consumidor por deciles de ingreso un incremento en el IVA de 16%  en alimentos y medicinas. Usando las ENIGH-2012.</w:t>
      </w:r>
    </w:p>
    <w:p>
      <w:pPr>
        <w:pStyle w:val="BodyText"/>
      </w:pPr>
    </w:p>
    <w:p>
      <w:pPr>
        <w:pStyle w:val="BodyText"/>
        <w:ind w:left="100" w:right="115" w:firstLine="708"/>
        <w:jc w:val="both"/>
      </w:pPr>
      <w:r>
        <w:rPr/>
        <w:t>Ante la propuesta de reforma fiscal, sobre todo del ejecutivo federal de homologar el IVA alimentos y medicinas. Por una parte reduciría el costo fiscal del Gobierno Mexicano, sobre todo en alimentos;  afectaría principalmente al bolsillo de la población de menores ingresos.</w:t>
      </w:r>
    </w:p>
    <w:p>
      <w:pPr>
        <w:pStyle w:val="BodyText"/>
      </w:pPr>
    </w:p>
    <w:p>
      <w:pPr>
        <w:pStyle w:val="BodyText"/>
        <w:ind w:left="100" w:right="121" w:firstLine="708"/>
        <w:jc w:val="both"/>
      </w:pPr>
      <w:r>
        <w:rPr/>
        <w:t>En cuanto a hipótesis particulares; el índice de Gini se incrementaría, por efecto en el incremento al impuesto al valor agregado de 16% en medicamentos y alimentos; la curva de Lorenz se desplazaría, mostrando mayor desigualdad del ingreso; Se esperaría mayores niveles de pobreza, sobre todo alimentaría en México; Los incrementos en el IVA (16%) en alimentos y medicinas, impactaría mayormente en los estratos de menor ingreso en México.</w:t>
      </w:r>
    </w:p>
    <w:p>
      <w:pPr>
        <w:pStyle w:val="BodyText"/>
        <w:spacing w:before="4"/>
      </w:pPr>
    </w:p>
    <w:p>
      <w:pPr>
        <w:pStyle w:val="Heading4"/>
        <w:numPr>
          <w:ilvl w:val="1"/>
          <w:numId w:val="1"/>
        </w:numPr>
        <w:tabs>
          <w:tab w:pos="461" w:val="left" w:leader="none"/>
        </w:tabs>
        <w:spacing w:line="240" w:lineRule="auto" w:before="1" w:after="0"/>
        <w:ind w:left="460" w:right="0" w:hanging="360"/>
        <w:jc w:val="both"/>
      </w:pPr>
      <w:r>
        <w:rPr/>
        <w:t>Fuentes de</w:t>
      </w:r>
      <w:r>
        <w:rPr>
          <w:spacing w:val="-9"/>
        </w:rPr>
        <w:t> </w:t>
      </w:r>
      <w:r>
        <w:rPr/>
        <w:t>Información</w:t>
      </w:r>
    </w:p>
    <w:p>
      <w:pPr>
        <w:pStyle w:val="BodyText"/>
        <w:spacing w:before="6"/>
        <w:rPr>
          <w:b/>
          <w:sz w:val="23"/>
        </w:rPr>
      </w:pPr>
    </w:p>
    <w:p>
      <w:pPr>
        <w:pStyle w:val="BodyText"/>
        <w:ind w:left="100" w:right="114"/>
        <w:jc w:val="both"/>
      </w:pPr>
      <w:r>
        <w:rPr/>
        <w:t>La Encuesta Nacional de Ingresos y Gastos de los Hogares (ENIGH), levantada por el Instituto Nacional de Estadística, Geografía e Informática (INEGI), referida al tercer trimestre de cada año, en este caso el año 2012 nueva construcción.</w:t>
      </w:r>
    </w:p>
    <w:p>
      <w:pPr>
        <w:pStyle w:val="BodyText"/>
      </w:pPr>
    </w:p>
    <w:p>
      <w:pPr>
        <w:pStyle w:val="BodyText"/>
        <w:ind w:left="100" w:right="122" w:firstLine="708"/>
        <w:jc w:val="both"/>
      </w:pPr>
      <w:r>
        <w:rPr/>
        <w:t>El gasto corriente monetario es la suma de los gastos regulares que directamente hacen los hogares en bienes y servicios para su consumo.</w:t>
      </w:r>
    </w:p>
    <w:p>
      <w:pPr>
        <w:pStyle w:val="BodyText"/>
      </w:pPr>
    </w:p>
    <w:p>
      <w:pPr>
        <w:pStyle w:val="BodyText"/>
        <w:ind w:left="100" w:right="117" w:firstLine="708"/>
        <w:jc w:val="both"/>
      </w:pPr>
      <w:r>
        <w:rPr/>
        <w:t>Por su composición, el gasto corriente monetario de los hogares se agrupa en  nuevecategorías: 1. Alimentos, bebidas y tabaco; 2. Vestido y calzado; 3. Energía electica y combustibles; 4. Artículos y servicios para limpieza, cuidados de lacasa, enseres domésticos y muebles, cristalería, utensilios domésticos y blancos; 5. Cuidados de lasalud; 6. Transporte; adquisición, mantenimiento, accesorios y servicios para vehículos;comunicaciones; 7. Servicios de educación, artículos educativos, artículos de esparcimiento y otros gastos; 8. Cuidados personales, accesorios, efectos y otros gastos; 9. Transferencias de gasto.</w:t>
      </w:r>
      <w:r>
        <w:rPr>
          <w:spacing w:val="-11"/>
        </w:rPr>
        <w:t> </w:t>
      </w:r>
      <w:r>
        <w:rPr/>
        <w:t>(ENIGH-2012)</w:t>
      </w:r>
    </w:p>
    <w:p>
      <w:pPr>
        <w:pStyle w:val="BodyText"/>
      </w:pPr>
    </w:p>
    <w:p>
      <w:pPr>
        <w:pStyle w:val="BodyText"/>
        <w:ind w:left="100" w:right="121" w:firstLine="708"/>
        <w:jc w:val="both"/>
      </w:pPr>
      <w:r>
        <w:rPr/>
        <w:t>El ingreso corriente total de los hogares resulta de la suma de las percepciones de ingreso corriente monetario y de ingreso no monetario. Los ingresos monetarios se derivan de fuentes como; remuneración al trabajo, ingreso por negocios propios, por cooperativas, renta de la propiedad y transferencias. Por otra parte, el ingreso no monetario deriva de autoconsumo, pago en especie, regalos recibidos en especie y la estimación de la renta por uso de vivienda (ENIGH-2012).</w:t>
      </w:r>
    </w:p>
    <w:p>
      <w:pPr>
        <w:pStyle w:val="BodyText"/>
      </w:pPr>
    </w:p>
    <w:p>
      <w:pPr>
        <w:pStyle w:val="BodyText"/>
        <w:ind w:left="100" w:right="121" w:firstLine="708"/>
        <w:jc w:val="both"/>
      </w:pPr>
      <w:r>
        <w:rPr/>
        <w:t>Las unidades de análisis para la ENIGH son, el hogar, la vivienda y los integrantes del hogar; para poder hacer una correcta explotación de la base de datos se debe considerar lo siguiente: Todas las tablas se relacionan con la tabla de HOGARES mediante los campos llave folioviv y foliohog; adicionalmente las tablas que contienen información a nivel integrante del hogar se relacionan con la tabla</w:t>
      </w:r>
    </w:p>
    <w:p>
      <w:pPr>
        <w:spacing w:after="0"/>
        <w:jc w:val="both"/>
        <w:sectPr>
          <w:pgSz w:w="11910" w:h="16840"/>
          <w:pgMar w:header="731" w:footer="0" w:top="960" w:bottom="280" w:left="980" w:right="960"/>
        </w:sectPr>
      </w:pPr>
    </w:p>
    <w:p>
      <w:pPr>
        <w:pStyle w:val="BodyText"/>
        <w:rPr>
          <w:sz w:val="20"/>
        </w:rPr>
      </w:pPr>
    </w:p>
    <w:p>
      <w:pPr>
        <w:pStyle w:val="BodyText"/>
        <w:spacing w:before="1"/>
        <w:rPr>
          <w:sz w:val="20"/>
        </w:rPr>
      </w:pPr>
    </w:p>
    <w:p>
      <w:pPr>
        <w:pStyle w:val="BodyText"/>
        <w:ind w:left="100" w:right="117" w:firstLine="708"/>
        <w:jc w:val="both"/>
      </w:pPr>
      <w:r>
        <w:rPr/>
        <w:t>A partir del ingreso corriente mensual del hogar y sabiendo el tamaño del hogar, se puede estimar el ingreso per cápita.</w:t>
      </w:r>
    </w:p>
    <w:p>
      <w:pPr>
        <w:pStyle w:val="BodyText"/>
      </w:pPr>
    </w:p>
    <w:p>
      <w:pPr>
        <w:pStyle w:val="BodyText"/>
        <w:ind w:left="100" w:right="119" w:firstLine="708"/>
        <w:jc w:val="both"/>
      </w:pPr>
      <w:r>
        <w:rPr/>
        <w:t>Entre las medidas utilizadas por los investigadores para medir la desigualdad de la renta en una población se tienen; el rango, la desviación media relativa, la varianza, el coeficiente de variación, la desviación típica de los logaritmos, el coeficiente de gini y el indice de theil, todos estos índices presentan ventajas y desventajas (Sen, 1973). No obstante en este trabajo de investigación se usa el índice de Gini por ser más intuitivo, lo valores van de cero a uno.</w:t>
      </w:r>
    </w:p>
    <w:p>
      <w:pPr>
        <w:pStyle w:val="BodyText"/>
        <w:spacing w:before="4"/>
      </w:pPr>
    </w:p>
    <w:p>
      <w:pPr>
        <w:pStyle w:val="Heading4"/>
        <w:numPr>
          <w:ilvl w:val="1"/>
          <w:numId w:val="1"/>
        </w:numPr>
        <w:tabs>
          <w:tab w:pos="461" w:val="left" w:leader="none"/>
        </w:tabs>
        <w:spacing w:line="240" w:lineRule="auto" w:before="1" w:after="0"/>
        <w:ind w:left="460" w:right="0" w:hanging="360"/>
        <w:jc w:val="both"/>
      </w:pPr>
      <w:r>
        <w:rPr/>
        <w:t>La curva de</w:t>
      </w:r>
      <w:r>
        <w:rPr>
          <w:spacing w:val="-6"/>
        </w:rPr>
        <w:t> </w:t>
      </w:r>
      <w:r>
        <w:rPr/>
        <w:t>Lorenz</w:t>
      </w:r>
    </w:p>
    <w:p>
      <w:pPr>
        <w:pStyle w:val="BodyText"/>
        <w:spacing w:before="6"/>
        <w:rPr>
          <w:b/>
          <w:sz w:val="23"/>
        </w:rPr>
      </w:pPr>
    </w:p>
    <w:p>
      <w:pPr>
        <w:pStyle w:val="BodyText"/>
        <w:ind w:left="100" w:right="118"/>
        <w:jc w:val="both"/>
      </w:pPr>
      <w:r>
        <w:rPr/>
        <w:t>Ha sido por varias décadas la más popular herramienta grafica para visualizar y comparar la desigualdad del ingreso de los individuos. Como podemos ver, esta curva es muy intuitiva y por lo tanto nos da mayor comprensión sobre la distribución del ingreso conjuntamente con otras medidas de desigualdad. Si la curva se desplaza hacia la línea de 45 grados, la distribución de ingreso se hace más igual y si se desplaza hacia la derecha la distribución se hace más desigual.</w:t>
      </w:r>
    </w:p>
    <w:p>
      <w:pPr>
        <w:pStyle w:val="BodyText"/>
        <w:ind w:left="100"/>
        <w:jc w:val="both"/>
      </w:pPr>
      <w:r>
        <w:rPr/>
        <w:t>Grafico</w:t>
      </w:r>
    </w:p>
    <w:p>
      <w:pPr>
        <w:spacing w:before="0"/>
        <w:ind w:left="156" w:right="174" w:firstLine="0"/>
        <w:jc w:val="center"/>
        <w:rPr>
          <w:sz w:val="24"/>
        </w:rPr>
      </w:pPr>
      <w:r>
        <w:rPr>
          <w:b/>
          <w:sz w:val="24"/>
        </w:rPr>
        <w:t>Figura 1 </w:t>
      </w:r>
      <w:r>
        <w:rPr>
          <w:sz w:val="24"/>
        </w:rPr>
        <w:t>Curva de Lorenz</w:t>
      </w:r>
    </w:p>
    <w:p>
      <w:pPr>
        <w:pStyle w:val="BodyText"/>
        <w:spacing w:before="5"/>
        <w:rPr>
          <w:sz w:val="20"/>
        </w:rPr>
      </w:pPr>
    </w:p>
    <w:p>
      <w:pPr>
        <w:spacing w:after="0"/>
        <w:rPr>
          <w:sz w:val="20"/>
        </w:rPr>
        <w:sectPr>
          <w:pgSz w:w="11910" w:h="16840"/>
          <w:pgMar w:header="731" w:footer="0" w:top="960" w:bottom="280" w:left="980" w:right="960"/>
        </w:sectPr>
      </w:pPr>
    </w:p>
    <w:p>
      <w:pPr>
        <w:spacing w:before="73"/>
        <w:ind w:left="0" w:right="0" w:firstLine="0"/>
        <w:jc w:val="right"/>
        <w:rPr>
          <w:sz w:val="20"/>
        </w:rPr>
      </w:pPr>
      <w:r>
        <w:rPr/>
        <w:pict>
          <v:group style="position:absolute;margin-left:201.074997pt;margin-top:14.350923pt;width:185.5pt;height:139.950pt;mso-position-horizontal-relative:page;mso-position-vertical-relative:paragraph;z-index:-53536" coordorigin="4021,287" coordsize="3710,2799">
            <v:shape style="position:absolute;left:4029;top:295;width:3695;height:2784" coordorigin="4029,295" coordsize="3695,2784" path="m4029,295l4029,3079,7724,3079e" filled="false" stroked="true" strokeweight=".75pt" strokecolor="#000000">
              <v:path arrowok="t"/>
            </v:shape>
            <v:line style="position:absolute" from="4029,3079" to="7531,487" stroked="true" strokeweight=".75pt" strokecolor="#000000">
              <v:stroke dashstyle="dash"/>
            </v:line>
            <v:shape style="position:absolute;left:4029;top:487;width:3502;height:2592" coordorigin="4029,487" coordsize="3502,2592" path="m4029,3079l4115,3060,4201,3041,4287,3023,4373,3004,4458,2985,4543,2966,4628,2947,4712,2928,4796,2908,4880,2888,4962,2868,5045,2848,5126,2827,5207,2806,5286,2784,5365,2762,5443,2739,5521,2716,5596,2692,5671,2668,5745,2643,5817,2618,5889,2592,5958,2565,6027,2537,6094,2509,6159,2480,6223,2450,6285,2419,6346,2387,6404,2355,6461,2321,6516,2287,6569,2251,6620,2215,6686,2164,6748,2112,6806,2057,6861,2001,6914,1943,6962,1884,7009,1823,7052,1761,7093,1698,7131,1633,7167,1567,7201,1500,7233,1432,7263,1363,7292,1293,7318,1222,7344,1151,7368,1078,7391,1006,7412,932,7434,859,7454,785,7474,710,7493,636,7512,561,7531,487e" filled="false" stroked="true" strokeweight=".75pt" strokecolor="#000000">
              <v:path arrowok="t"/>
            </v:shape>
            <v:shape style="position:absolute;left:4029;top:487;width:3504;height:2592" coordorigin="4029,487" coordsize="3504,2592" path="m4029,487l7533,487m7531,487l7531,3079e" filled="false" stroked="true" strokeweight=".75pt" strokecolor="#000000">
              <v:path arrowok="t"/>
              <v:stroke dashstyle="dash"/>
            </v:shape>
            <w10:wrap type="none"/>
          </v:group>
        </w:pict>
      </w:r>
      <w:r>
        <w:rPr>
          <w:sz w:val="20"/>
        </w:rPr>
        <w:t>L (p)</w:t>
      </w:r>
    </w:p>
    <w:p>
      <w:pPr>
        <w:spacing w:before="77"/>
        <w:ind w:left="0" w:right="477" w:firstLine="0"/>
        <w:jc w:val="right"/>
        <w:rPr>
          <w:sz w:val="28"/>
        </w:rPr>
      </w:pPr>
      <w:r>
        <w:rPr>
          <w:w w:val="100"/>
          <w:sz w:val="28"/>
        </w:rPr>
        <w:t>1</w:t>
      </w:r>
    </w:p>
    <w:p>
      <w:pPr>
        <w:spacing w:before="172"/>
        <w:ind w:left="108" w:right="0" w:firstLine="0"/>
        <w:jc w:val="left"/>
        <w:rPr>
          <w:sz w:val="20"/>
        </w:rPr>
      </w:pPr>
      <w:r>
        <w:rPr/>
        <w:br w:type="column"/>
      </w:r>
      <w:r>
        <w:rPr>
          <w:sz w:val="20"/>
        </w:rPr>
        <w:t>Curva de Lorenz</w:t>
      </w:r>
    </w:p>
    <w:p>
      <w:pPr>
        <w:spacing w:after="0"/>
        <w:jc w:val="left"/>
        <w:rPr>
          <w:sz w:val="20"/>
        </w:rPr>
        <w:sectPr>
          <w:type w:val="continuous"/>
          <w:pgSz w:w="11910" w:h="16840"/>
          <w:pgMar w:top="0" w:bottom="0" w:left="980" w:right="960"/>
          <w:cols w:num="2" w:equalWidth="0">
            <w:col w:w="3527" w:space="40"/>
            <w:col w:w="640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tabs>
          <w:tab w:pos="6553" w:val="left" w:leader="none"/>
          <w:tab w:pos="6937" w:val="left" w:leader="none"/>
        </w:tabs>
        <w:spacing w:before="199"/>
        <w:ind w:left="3002"/>
        <w:rPr>
          <w:sz w:val="20"/>
        </w:rPr>
      </w:pPr>
      <w:r>
        <w:rPr/>
        <w:t>0</w:t>
        <w:tab/>
        <w:t>1</w:t>
        <w:tab/>
      </w:r>
      <w:r>
        <w:rPr>
          <w:position w:val="17"/>
          <w:sz w:val="20"/>
        </w:rPr>
        <w:t>p</w:t>
      </w:r>
    </w:p>
    <w:p>
      <w:pPr>
        <w:pStyle w:val="BodyText"/>
        <w:rPr>
          <w:sz w:val="20"/>
        </w:rPr>
      </w:pPr>
    </w:p>
    <w:p>
      <w:pPr>
        <w:pStyle w:val="BodyText"/>
        <w:spacing w:before="10"/>
        <w:rPr>
          <w:sz w:val="22"/>
        </w:rPr>
      </w:pPr>
    </w:p>
    <w:p>
      <w:pPr>
        <w:pStyle w:val="Heading4"/>
        <w:numPr>
          <w:ilvl w:val="1"/>
          <w:numId w:val="1"/>
        </w:numPr>
        <w:tabs>
          <w:tab w:pos="461" w:val="left" w:leader="none"/>
        </w:tabs>
        <w:spacing w:line="240" w:lineRule="auto" w:before="69" w:after="0"/>
        <w:ind w:left="460" w:right="0" w:hanging="360"/>
        <w:jc w:val="both"/>
      </w:pPr>
      <w:r>
        <w:rPr/>
        <w:t>El indices Foster Greer Thorbecke</w:t>
      </w:r>
      <w:r>
        <w:rPr>
          <w:spacing w:val="-16"/>
        </w:rPr>
        <w:t> </w:t>
      </w:r>
      <w:r>
        <w:rPr/>
        <w:t>(FGT)</w:t>
      </w:r>
    </w:p>
    <w:p>
      <w:pPr>
        <w:pStyle w:val="BodyText"/>
        <w:spacing w:before="5"/>
        <w:rPr>
          <w:b/>
          <w:sz w:val="23"/>
        </w:rPr>
      </w:pPr>
    </w:p>
    <w:p>
      <w:pPr>
        <w:tabs>
          <w:tab w:pos="9450" w:val="left" w:leader="none"/>
        </w:tabs>
        <w:spacing w:before="0"/>
        <w:ind w:left="100" w:right="0" w:firstLine="0"/>
        <w:jc w:val="both"/>
        <w:rPr>
          <w:sz w:val="24"/>
        </w:rPr>
      </w:pPr>
      <w:r>
        <w:rPr>
          <w:position w:val="-16"/>
        </w:rPr>
        <w:drawing>
          <wp:inline distT="0" distB="0" distL="0" distR="0">
            <wp:extent cx="1113789" cy="266700"/>
            <wp:effectExtent l="0" t="0" r="0" b="0"/>
            <wp:docPr id="1" name="image6.png" descr=""/>
            <wp:cNvGraphicFramePr>
              <a:graphicFrameLocks noChangeAspect="1"/>
            </wp:cNvGraphicFramePr>
            <a:graphic>
              <a:graphicData uri="http://schemas.openxmlformats.org/drawingml/2006/picture">
                <pic:pic>
                  <pic:nvPicPr>
                    <pic:cNvPr id="2" name="image6.png"/>
                    <pic:cNvPicPr/>
                  </pic:nvPicPr>
                  <pic:blipFill>
                    <a:blip r:embed="rId42" cstate="print"/>
                    <a:stretch>
                      <a:fillRect/>
                    </a:stretch>
                  </pic:blipFill>
                  <pic:spPr>
                    <a:xfrm>
                      <a:off x="0" y="0"/>
                      <a:ext cx="1113789" cy="266700"/>
                    </a:xfrm>
                    <a:prstGeom prst="rect">
                      <a:avLst/>
                    </a:prstGeom>
                  </pic:spPr>
                </pic:pic>
              </a:graphicData>
            </a:graphic>
          </wp:inline>
        </w:drawing>
      </w:r>
      <w:r>
        <w:rPr>
          <w:position w:val="-16"/>
        </w:rPr>
      </w:r>
      <w:r>
        <w:rPr>
          <w:sz w:val="24"/>
        </w:rPr>
        <w:t>)</w:t>
      </w:r>
      <w:r>
        <w:rPr>
          <w:position w:val="11"/>
          <w:sz w:val="16"/>
        </w:rPr>
        <w:t>α </w:t>
      </w:r>
      <w:r>
        <w:rPr>
          <w:spacing w:val="38"/>
          <w:position w:val="11"/>
          <w:sz w:val="16"/>
        </w:rPr>
        <w:t> </w:t>
      </w:r>
      <w:r>
        <w:rPr>
          <w:sz w:val="24"/>
        </w:rPr>
        <w:t>dp</w:t>
        <w:tab/>
        <w:t>(1)</w:t>
      </w:r>
    </w:p>
    <w:p>
      <w:pPr>
        <w:pStyle w:val="BodyText"/>
        <w:spacing w:before="269"/>
        <w:ind w:left="100"/>
      </w:pPr>
      <w:r>
        <w:rPr/>
        <w:t>Cuando alfa es 0, el índice FGT proporciona simplemente la proporción de una población que se encuentra en pobreza, dada una línea de pobreza.</w:t>
      </w:r>
    </w:p>
    <w:p>
      <w:pPr>
        <w:pStyle w:val="BodyText"/>
        <w:spacing w:before="4"/>
      </w:pPr>
    </w:p>
    <w:p>
      <w:pPr>
        <w:pStyle w:val="Heading4"/>
        <w:numPr>
          <w:ilvl w:val="1"/>
          <w:numId w:val="1"/>
        </w:numPr>
        <w:tabs>
          <w:tab w:pos="461" w:val="left" w:leader="none"/>
        </w:tabs>
        <w:spacing w:line="240" w:lineRule="auto" w:before="1" w:after="0"/>
        <w:ind w:left="460" w:right="0" w:hanging="360"/>
        <w:jc w:val="both"/>
      </w:pPr>
      <w:r>
        <w:rPr/>
        <w:t>Línea de</w:t>
      </w:r>
      <w:r>
        <w:rPr>
          <w:spacing w:val="-5"/>
        </w:rPr>
        <w:t> </w:t>
      </w:r>
      <w:r>
        <w:rPr/>
        <w:t>pobreza</w:t>
      </w:r>
    </w:p>
    <w:p>
      <w:pPr>
        <w:pStyle w:val="BodyText"/>
        <w:spacing w:before="6"/>
        <w:rPr>
          <w:b/>
          <w:sz w:val="23"/>
        </w:rPr>
      </w:pPr>
    </w:p>
    <w:p>
      <w:pPr>
        <w:pStyle w:val="BodyText"/>
        <w:ind w:left="100" w:right="114"/>
        <w:jc w:val="both"/>
      </w:pPr>
      <w:r>
        <w:rPr/>
        <w:t>El Coneval mide el ingreso de los mexicanos a través de una línea de bienestar económico equivalente al costo de las canastas alimentaria y no alimentaria juntas. El ingreso establecido en la medición de 2012 para áreas urbanas es de 2,329 pesos de ingreso mensual y para zonas rurales, 1,490 pesos.</w:t>
      </w:r>
    </w:p>
    <w:p>
      <w:pPr>
        <w:spacing w:after="0"/>
        <w:jc w:val="both"/>
        <w:sectPr>
          <w:type w:val="continuous"/>
          <w:pgSz w:w="11910" w:h="16840"/>
          <w:pgMar w:top="0" w:bottom="0" w:left="980" w:right="960"/>
        </w:sectPr>
      </w:pPr>
    </w:p>
    <w:p>
      <w:pPr>
        <w:pStyle w:val="BodyText"/>
        <w:rPr>
          <w:sz w:val="20"/>
        </w:rPr>
      </w:pPr>
    </w:p>
    <w:p>
      <w:pPr>
        <w:pStyle w:val="BodyText"/>
        <w:spacing w:before="6"/>
        <w:rPr>
          <w:sz w:val="20"/>
        </w:rPr>
      </w:pPr>
    </w:p>
    <w:p>
      <w:pPr>
        <w:pStyle w:val="Heading4"/>
        <w:numPr>
          <w:ilvl w:val="1"/>
          <w:numId w:val="1"/>
        </w:numPr>
        <w:tabs>
          <w:tab w:pos="461" w:val="left" w:leader="none"/>
        </w:tabs>
        <w:spacing w:line="240" w:lineRule="auto" w:before="0" w:after="0"/>
        <w:ind w:left="460" w:right="0" w:hanging="360"/>
        <w:jc w:val="both"/>
      </w:pPr>
      <w:r>
        <w:rPr/>
        <w:t>El procesamiento de</w:t>
      </w:r>
      <w:r>
        <w:rPr>
          <w:spacing w:val="-6"/>
        </w:rPr>
        <w:t> </w:t>
      </w:r>
      <w:r>
        <w:rPr/>
        <w:t>datos</w:t>
      </w:r>
    </w:p>
    <w:p>
      <w:pPr>
        <w:pStyle w:val="BodyText"/>
        <w:spacing w:before="6"/>
        <w:rPr>
          <w:b/>
          <w:sz w:val="23"/>
        </w:rPr>
      </w:pPr>
    </w:p>
    <w:p>
      <w:pPr>
        <w:pStyle w:val="BodyText"/>
        <w:ind w:left="100" w:right="121"/>
        <w:jc w:val="both"/>
      </w:pPr>
      <w:r>
        <w:rPr/>
        <w:t>Para el procesamiento de datos, se utiliza los software DAD 4.3 (Distrivutive Analisis Date), es un software desarrollado por la Universidad de Laval, Canadá para el estudio de problemas de desigualdad del ingreso y pobreza, además de utilizará el software para procesar datos Acces y Excel y para elaboración del documento el software Word.</w:t>
      </w:r>
    </w:p>
    <w:p>
      <w:pPr>
        <w:pStyle w:val="BodyText"/>
        <w:spacing w:before="4"/>
      </w:pPr>
    </w:p>
    <w:p>
      <w:pPr>
        <w:pStyle w:val="Heading4"/>
        <w:numPr>
          <w:ilvl w:val="1"/>
          <w:numId w:val="1"/>
        </w:numPr>
        <w:tabs>
          <w:tab w:pos="461" w:val="left" w:leader="none"/>
        </w:tabs>
        <w:spacing w:line="240" w:lineRule="auto" w:before="1" w:after="0"/>
        <w:ind w:left="460" w:right="0" w:hanging="360"/>
        <w:jc w:val="both"/>
      </w:pPr>
      <w:r>
        <w:rPr/>
        <w:t>Análisis y discusión de</w:t>
      </w:r>
      <w:r>
        <w:rPr>
          <w:spacing w:val="-7"/>
        </w:rPr>
        <w:t> </w:t>
      </w:r>
      <w:r>
        <w:rPr/>
        <w:t>resultados</w:t>
      </w:r>
    </w:p>
    <w:p>
      <w:pPr>
        <w:pStyle w:val="BodyText"/>
        <w:spacing w:before="6"/>
        <w:rPr>
          <w:b/>
          <w:sz w:val="23"/>
        </w:rPr>
      </w:pPr>
    </w:p>
    <w:p>
      <w:pPr>
        <w:pStyle w:val="BodyText"/>
        <w:ind w:left="100" w:right="122"/>
        <w:jc w:val="both"/>
      </w:pPr>
      <w:r>
        <w:rPr/>
        <w:t>Primeramente, es conveniente describir el concepto de impuesto al valor agregado, este grava el  valor que una empresa añade en el curso de sus operaciones a los bienes y servicios que adquiere de otras empresas, para después brindar</w:t>
      </w:r>
      <w:r>
        <w:rPr>
          <w:spacing w:val="-7"/>
        </w:rPr>
        <w:t> </w:t>
      </w:r>
      <w:r>
        <w:rPr/>
        <w:t>servicios.</w:t>
      </w:r>
    </w:p>
    <w:p>
      <w:pPr>
        <w:pStyle w:val="BodyText"/>
      </w:pPr>
    </w:p>
    <w:p>
      <w:pPr>
        <w:pStyle w:val="BodyText"/>
        <w:ind w:left="100" w:right="116" w:firstLine="708"/>
        <w:jc w:val="both"/>
      </w:pPr>
      <w:r>
        <w:rPr/>
        <w:t>Este valor es agregado, al procesar esas adquisiciones mediante la fuerza de trabajo, maquinaria, edificios y bienes de capital, de la negociación. La cantidad del valor añadido puede ser cuantificada por la diferencia entre las cantidades en que la empresa efectúa sus ventas y sus compras de otras empresas.</w:t>
      </w:r>
    </w:p>
    <w:p>
      <w:pPr>
        <w:pStyle w:val="BodyText"/>
      </w:pPr>
    </w:p>
    <w:p>
      <w:pPr>
        <w:pStyle w:val="BodyText"/>
        <w:ind w:left="100" w:right="120" w:firstLine="708"/>
        <w:jc w:val="both"/>
      </w:pPr>
      <w:r>
        <w:rPr/>
        <w:t>Los cálculos del Valor Bruto de la Producción (VBP) se realizan a precios básicos y el Consumo Intermedio (CI) se valora a precios del comprador, este es un método que se calcula por rama de la actividad económica de los productores.</w:t>
      </w:r>
    </w:p>
    <w:p>
      <w:pPr>
        <w:pStyle w:val="BodyText"/>
      </w:pPr>
    </w:p>
    <w:p>
      <w:pPr>
        <w:pStyle w:val="BodyText"/>
        <w:ind w:left="100" w:right="277" w:firstLine="708"/>
      </w:pPr>
      <w:r>
        <w:rPr/>
        <w:t>El Método consiste en restar al VBP de cualquier agente productor, los insumos intermedios (o CI) que son utilizados en el proceso productivo.</w:t>
      </w:r>
    </w:p>
    <w:p>
      <w:pPr>
        <w:pStyle w:val="BodyText"/>
      </w:pPr>
    </w:p>
    <w:p>
      <w:pPr>
        <w:pStyle w:val="BodyText"/>
        <w:ind w:left="100" w:right="117" w:firstLine="708"/>
        <w:jc w:val="both"/>
      </w:pPr>
      <w:r>
        <w:rPr/>
        <w:t>A partir de procesar las Encuestas Nacionales de Ingresos y Gastos de los Hogares  en México, 2012 bajo la modalidad de nueva construcción, se estima que del ingreso corriente total que las familias perciben en México, el 67.3% lo destinan consumo, en tanto que solo el 32.7% del ingreso se va al ahorro (Ver Grafico1).</w:t>
      </w:r>
    </w:p>
    <w:p>
      <w:pPr>
        <w:pStyle w:val="BodyText"/>
      </w:pPr>
    </w:p>
    <w:p>
      <w:pPr>
        <w:pStyle w:val="BodyText"/>
        <w:ind w:left="100" w:right="119" w:firstLine="708"/>
        <w:jc w:val="both"/>
      </w:pPr>
      <w:r>
        <w:rPr/>
        <w:t>Por otra parte, los gastos en exclusivamente en alimentos representa el 22.4% y en medicamentos recetados y sin receta apenas representan el 0.52% del ingreso corriente del país. (Ver Tabla 1.2).</w:t>
      </w:r>
    </w:p>
    <w:p>
      <w:pPr>
        <w:pStyle w:val="BodyText"/>
      </w:pPr>
    </w:p>
    <w:p>
      <w:pPr>
        <w:pStyle w:val="BodyText"/>
        <w:ind w:left="157" w:right="174"/>
        <w:jc w:val="center"/>
      </w:pPr>
      <w:r>
        <w:rPr>
          <w:b/>
        </w:rPr>
        <w:t>Gráfico1 </w:t>
      </w:r>
      <w:r>
        <w:rPr/>
        <w:t>México-Distribución del Ingreso Corriente Total de las Familias Mexicanas, 2012</w:t>
      </w:r>
    </w:p>
    <w:p>
      <w:pPr>
        <w:pStyle w:val="BodyText"/>
        <w:spacing w:before="2"/>
        <w:rPr>
          <w:sz w:val="21"/>
        </w:rPr>
      </w:pPr>
      <w:r>
        <w:rPr/>
        <w:drawing>
          <wp:anchor distT="0" distB="0" distL="0" distR="0" allowOverlap="1" layoutInCell="1" locked="0" behindDoc="0" simplePos="0" relativeHeight="1240">
            <wp:simplePos x="0" y="0"/>
            <wp:positionH relativeFrom="page">
              <wp:posOffset>1746250</wp:posOffset>
            </wp:positionH>
            <wp:positionV relativeFrom="paragraph">
              <wp:posOffset>179505</wp:posOffset>
            </wp:positionV>
            <wp:extent cx="4066077" cy="2231136"/>
            <wp:effectExtent l="0" t="0" r="0" b="0"/>
            <wp:wrapTopAndBottom/>
            <wp:docPr id="3" name="image7.png" descr=""/>
            <wp:cNvGraphicFramePr>
              <a:graphicFrameLocks noChangeAspect="1"/>
            </wp:cNvGraphicFramePr>
            <a:graphic>
              <a:graphicData uri="http://schemas.openxmlformats.org/drawingml/2006/picture">
                <pic:pic>
                  <pic:nvPicPr>
                    <pic:cNvPr id="4" name="image7.png"/>
                    <pic:cNvPicPr/>
                  </pic:nvPicPr>
                  <pic:blipFill>
                    <a:blip r:embed="rId43" cstate="print"/>
                    <a:stretch>
                      <a:fillRect/>
                    </a:stretch>
                  </pic:blipFill>
                  <pic:spPr>
                    <a:xfrm>
                      <a:off x="0" y="0"/>
                      <a:ext cx="4066077" cy="2231136"/>
                    </a:xfrm>
                    <a:prstGeom prst="rect">
                      <a:avLst/>
                    </a:prstGeom>
                  </pic:spPr>
                </pic:pic>
              </a:graphicData>
            </a:graphic>
          </wp:anchor>
        </w:drawing>
      </w:r>
    </w:p>
    <w:p>
      <w:pPr>
        <w:pStyle w:val="BodyText"/>
        <w:ind w:left="156" w:right="174"/>
        <w:jc w:val="center"/>
      </w:pPr>
      <w:r>
        <w:rPr/>
        <w:t>Fuente: Elaboración propia estimación a partir de datos de las ENIGH-2012</w:t>
      </w:r>
    </w:p>
    <w:p>
      <w:pPr>
        <w:spacing w:after="0"/>
        <w:jc w:val="center"/>
        <w:sectPr>
          <w:pgSz w:w="11910" w:h="16840"/>
          <w:pgMar w:header="731" w:footer="0" w:top="960" w:bottom="280" w:left="980" w:right="960"/>
        </w:sectPr>
      </w:pPr>
    </w:p>
    <w:p>
      <w:pPr>
        <w:pStyle w:val="BodyText"/>
        <w:rPr>
          <w:sz w:val="20"/>
        </w:rPr>
      </w:pPr>
    </w:p>
    <w:p>
      <w:pPr>
        <w:pStyle w:val="BodyText"/>
        <w:spacing w:before="1"/>
        <w:rPr>
          <w:sz w:val="20"/>
        </w:rPr>
      </w:pPr>
    </w:p>
    <w:p>
      <w:pPr>
        <w:pStyle w:val="BodyText"/>
        <w:ind w:left="100" w:right="118" w:firstLine="708"/>
        <w:jc w:val="both"/>
      </w:pPr>
      <w:r>
        <w:rPr/>
        <w:t>En cuanto a la percepción de los ingresos corrientes de los hogares, en orden de importancia podemos observar que el 66.43% se obtiene por remuneraciones por trabajo, negocios y trabajo independiente; en tanto que las trasferencias representa el 17.25% del ingreso, que proviene de jubilaciones, pensiones, becas, donativos, remesas y programas gubernamentales. Le sigue una estimación por alquiler de vivienda del orden del 12.09%, la renta de la propiedad, principalmente arrendamiento de activos tangibles y financieros y por último otros ingresos (Ver Gráfico 1.2).</w:t>
      </w:r>
    </w:p>
    <w:p>
      <w:pPr>
        <w:pStyle w:val="BodyText"/>
      </w:pPr>
    </w:p>
    <w:p>
      <w:pPr>
        <w:pStyle w:val="BodyText"/>
        <w:ind w:left="734"/>
      </w:pPr>
      <w:r>
        <w:rPr>
          <w:b/>
        </w:rPr>
        <w:t>Gráfico 1.2 </w:t>
      </w:r>
      <w:r>
        <w:rPr/>
        <w:t>México-Composición de las principales Fuentes de Ingresos de los Hogares</w:t>
      </w:r>
    </w:p>
    <w:p>
      <w:pPr>
        <w:pStyle w:val="BodyText"/>
        <w:spacing w:before="4"/>
        <w:rPr>
          <w:sz w:val="27"/>
        </w:rPr>
      </w:pPr>
      <w:r>
        <w:rPr/>
        <w:pict>
          <v:group style="position:absolute;margin-left:140.642197pt;margin-top:17.681623pt;width:313.6pt;height:157.550pt;mso-position-horizontal-relative:page;mso-position-vertical-relative:paragraph;z-index:1384;mso-wrap-distance-left:0;mso-wrap-distance-right:0" coordorigin="2813,354" coordsize="6272,3151">
            <v:shape style="position:absolute;left:3404;top:748;width:5089;height:2363" type="#_x0000_t75" stroked="false">
              <v:imagedata r:id="rId44" o:title=""/>
            </v:shape>
            <v:shape style="position:absolute;left:4071;top:809;width:1128;height:41" coordorigin="4071,809" coordsize="1128,41" path="m5199,849l4154,809,4071,809e" filled="false" stroked="true" strokeweight=".679645pt" strokecolor="#000000">
              <v:path arrowok="t"/>
            </v:shape>
            <v:shape style="position:absolute;left:5942;top:605;width:179;height:177" coordorigin="5942,605" coordsize="179,177" path="m5942,782l6038,605,6121,605e" filled="false" stroked="true" strokeweight=".683929pt" strokecolor="#000000">
              <v:path arrowok="t"/>
            </v:shape>
            <v:rect style="position:absolute;left:2820;top:361;width:6258;height:3137" filled="false" stroked="true" strokeweight=".681381pt" strokecolor="#858585"/>
            <v:shape style="position:absolute;left:3211;top:468;width:834;height:849" type="#_x0000_t202" filled="false" stroked="false">
              <v:textbox inset="0,0,0,0">
                <w:txbxContent>
                  <w:p>
                    <w:pPr>
                      <w:spacing w:line="179" w:lineRule="exact" w:before="0"/>
                      <w:ind w:left="0" w:right="0" w:firstLine="0"/>
                      <w:jc w:val="center"/>
                      <w:rPr>
                        <w:rFonts w:ascii="Calibri"/>
                        <w:b/>
                        <w:sz w:val="17"/>
                      </w:rPr>
                    </w:pPr>
                    <w:r>
                      <w:rPr>
                        <w:rFonts w:ascii="Calibri"/>
                        <w:b/>
                        <w:w w:val="105"/>
                        <w:sz w:val="17"/>
                      </w:rPr>
                      <w:t>Estim.de</w:t>
                    </w:r>
                  </w:p>
                  <w:p>
                    <w:pPr>
                      <w:spacing w:line="256" w:lineRule="auto" w:before="11"/>
                      <w:ind w:left="0" w:right="0" w:firstLine="0"/>
                      <w:jc w:val="center"/>
                      <w:rPr>
                        <w:rFonts w:ascii="Calibri"/>
                        <w:b/>
                        <w:sz w:val="18"/>
                      </w:rPr>
                    </w:pPr>
                    <w:r>
                      <w:rPr>
                        <w:rFonts w:ascii="Calibri"/>
                        <w:b/>
                        <w:w w:val="105"/>
                        <w:sz w:val="17"/>
                      </w:rPr>
                      <w:t>Alquiler de</w:t>
                    </w:r>
                    <w:r>
                      <w:rPr>
                        <w:rFonts w:ascii="Calibri"/>
                        <w:b/>
                        <w:w w:val="105"/>
                        <w:sz w:val="17"/>
                      </w:rPr>
                      <w:t> </w:t>
                    </w:r>
                    <w:r>
                      <w:rPr>
                        <w:rFonts w:ascii="Calibri"/>
                        <w:b/>
                        <w:w w:val="105"/>
                        <w:sz w:val="17"/>
                      </w:rPr>
                      <w:t>Vivienda </w:t>
                    </w:r>
                    <w:r>
                      <w:rPr>
                        <w:rFonts w:ascii="Calibri"/>
                        <w:b/>
                        <w:w w:val="105"/>
                        <w:sz w:val="18"/>
                      </w:rPr>
                      <w:t>12,09%</w:t>
                    </w:r>
                  </w:p>
                </w:txbxContent>
              </v:textbox>
              <w10:wrap type="none"/>
            </v:shape>
            <v:shape style="position:absolute;left:6164;top:481;width:1096;height:397" type="#_x0000_t202" filled="false" stroked="false">
              <v:textbox inset="0,0,0,0">
                <w:txbxContent>
                  <w:p>
                    <w:pPr>
                      <w:spacing w:line="179" w:lineRule="exact" w:before="0"/>
                      <w:ind w:left="0" w:right="0" w:firstLine="0"/>
                      <w:jc w:val="center"/>
                      <w:rPr>
                        <w:rFonts w:ascii="Calibri"/>
                        <w:b/>
                        <w:sz w:val="17"/>
                      </w:rPr>
                    </w:pPr>
                    <w:r>
                      <w:rPr>
                        <w:rFonts w:ascii="Calibri"/>
                        <w:b/>
                        <w:w w:val="105"/>
                        <w:sz w:val="17"/>
                      </w:rPr>
                      <w:t>Otros Ingresos</w:t>
                    </w:r>
                  </w:p>
                  <w:p>
                    <w:pPr>
                      <w:spacing w:line="206" w:lineRule="exact" w:before="11"/>
                      <w:ind w:left="2" w:right="0" w:firstLine="0"/>
                      <w:jc w:val="center"/>
                      <w:rPr>
                        <w:rFonts w:ascii="Calibri"/>
                        <w:b/>
                        <w:sz w:val="17"/>
                      </w:rPr>
                    </w:pPr>
                    <w:r>
                      <w:rPr>
                        <w:rFonts w:ascii="Calibri"/>
                        <w:b/>
                        <w:w w:val="105"/>
                        <w:sz w:val="17"/>
                      </w:rPr>
                      <w:t>0,12%</w:t>
                    </w:r>
                  </w:p>
                </w:txbxContent>
              </v:textbox>
              <w10:wrap type="none"/>
            </v:shape>
            <v:shape style="position:absolute;left:2899;top:1521;width:1015;height:398" type="#_x0000_t202" filled="false" stroked="false">
              <v:textbox inset="0,0,0,0">
                <w:txbxContent>
                  <w:p>
                    <w:pPr>
                      <w:spacing w:line="182" w:lineRule="exact" w:before="0"/>
                      <w:ind w:left="0" w:right="0" w:firstLine="0"/>
                      <w:jc w:val="center"/>
                      <w:rPr>
                        <w:rFonts w:ascii="Calibri"/>
                        <w:b/>
                        <w:sz w:val="18"/>
                      </w:rPr>
                    </w:pPr>
                    <w:r>
                      <w:rPr>
                        <w:rFonts w:ascii="Calibri"/>
                        <w:b/>
                        <w:spacing w:val="-1"/>
                        <w:sz w:val="18"/>
                      </w:rPr>
                      <w:t>Transferencia</w:t>
                    </w:r>
                  </w:p>
                  <w:p>
                    <w:pPr>
                      <w:spacing w:line="216" w:lineRule="exact" w:before="0"/>
                      <w:ind w:left="0" w:right="11" w:firstLine="0"/>
                      <w:jc w:val="center"/>
                      <w:rPr>
                        <w:rFonts w:ascii="Calibri"/>
                        <w:b/>
                        <w:sz w:val="18"/>
                      </w:rPr>
                    </w:pPr>
                    <w:r>
                      <w:rPr>
                        <w:rFonts w:ascii="Calibri"/>
                        <w:b/>
                        <w:sz w:val="18"/>
                      </w:rPr>
                      <w:t>17,25%</w:t>
                    </w:r>
                  </w:p>
                </w:txbxContent>
              </v:textbox>
              <w10:wrap type="none"/>
            </v:shape>
            <v:shape style="position:absolute;left:3251;top:2618;width:845;height:617" type="#_x0000_t202" filled="false" stroked="false">
              <v:textbox inset="0,0,0,0">
                <w:txbxContent>
                  <w:p>
                    <w:pPr>
                      <w:spacing w:line="179" w:lineRule="exact" w:before="0"/>
                      <w:ind w:left="27" w:right="-9" w:hanging="28"/>
                      <w:jc w:val="left"/>
                      <w:rPr>
                        <w:rFonts w:ascii="Calibri"/>
                        <w:b/>
                        <w:sz w:val="17"/>
                      </w:rPr>
                    </w:pPr>
                    <w:r>
                      <w:rPr>
                        <w:rFonts w:ascii="Calibri"/>
                        <w:b/>
                        <w:w w:val="105"/>
                        <w:sz w:val="17"/>
                      </w:rPr>
                      <w:t>Renta de la</w:t>
                    </w:r>
                  </w:p>
                  <w:p>
                    <w:pPr>
                      <w:spacing w:line="254" w:lineRule="auto" w:before="11"/>
                      <w:ind w:left="192" w:right="35" w:hanging="166"/>
                      <w:jc w:val="left"/>
                      <w:rPr>
                        <w:rFonts w:ascii="Calibri"/>
                        <w:b/>
                        <w:sz w:val="17"/>
                      </w:rPr>
                    </w:pPr>
                    <w:r>
                      <w:rPr>
                        <w:rFonts w:ascii="Calibri"/>
                        <w:b/>
                        <w:w w:val="105"/>
                        <w:sz w:val="17"/>
                      </w:rPr>
                      <w:t>Propiedad 4,11%</w:t>
                    </w:r>
                  </w:p>
                </w:txbxContent>
              </v:textbox>
              <w10:wrap type="none"/>
            </v:shape>
            <v:shape style="position:absolute;left:7772;top:2645;width:866;height:617" type="#_x0000_t202" filled="false" stroked="false">
              <v:textbox inset="0,0,0,0">
                <w:txbxContent>
                  <w:p>
                    <w:pPr>
                      <w:spacing w:line="179" w:lineRule="exact" w:before="0"/>
                      <w:ind w:left="-1" w:right="0" w:firstLine="0"/>
                      <w:jc w:val="center"/>
                      <w:rPr>
                        <w:rFonts w:ascii="Calibri"/>
                        <w:b/>
                        <w:sz w:val="17"/>
                      </w:rPr>
                    </w:pPr>
                    <w:r>
                      <w:rPr>
                        <w:rFonts w:ascii="Calibri"/>
                        <w:b/>
                        <w:w w:val="105"/>
                        <w:sz w:val="17"/>
                      </w:rPr>
                      <w:t>Ingreso</w:t>
                    </w:r>
                    <w:r>
                      <w:rPr>
                        <w:rFonts w:ascii="Calibri"/>
                        <w:b/>
                        <w:spacing w:val="17"/>
                        <w:w w:val="105"/>
                        <w:sz w:val="17"/>
                      </w:rPr>
                      <w:t> </w:t>
                    </w:r>
                    <w:r>
                      <w:rPr>
                        <w:rFonts w:ascii="Calibri"/>
                        <w:b/>
                        <w:w w:val="105"/>
                        <w:sz w:val="17"/>
                      </w:rPr>
                      <w:t>por</w:t>
                    </w:r>
                  </w:p>
                  <w:p>
                    <w:pPr>
                      <w:spacing w:before="2"/>
                      <w:ind w:left="152" w:right="152" w:hanging="7"/>
                      <w:jc w:val="center"/>
                      <w:rPr>
                        <w:rFonts w:ascii="Calibri"/>
                        <w:b/>
                        <w:sz w:val="18"/>
                      </w:rPr>
                    </w:pPr>
                    <w:r>
                      <w:rPr>
                        <w:rFonts w:ascii="Calibri"/>
                        <w:b/>
                        <w:spacing w:val="-4"/>
                        <w:sz w:val="18"/>
                      </w:rPr>
                      <w:t>Trabajo </w:t>
                    </w:r>
                    <w:r>
                      <w:rPr>
                        <w:rFonts w:ascii="Calibri"/>
                        <w:b/>
                        <w:spacing w:val="2"/>
                        <w:sz w:val="18"/>
                      </w:rPr>
                      <w:t>66,43%</w:t>
                    </w:r>
                  </w:p>
                </w:txbxContent>
              </v:textbox>
              <w10:wrap type="none"/>
            </v:shape>
            <w10:wrap type="topAndBottom"/>
          </v:group>
        </w:pict>
      </w:r>
    </w:p>
    <w:p>
      <w:pPr>
        <w:pStyle w:val="BodyText"/>
        <w:spacing w:before="26"/>
        <w:ind w:left="156" w:right="174"/>
        <w:jc w:val="center"/>
      </w:pPr>
      <w:r>
        <w:rPr/>
        <w:t>Fuente: Elaboración propia estimación a partir de datos de las ENIGH-2012</w:t>
      </w:r>
    </w:p>
    <w:p>
      <w:pPr>
        <w:pStyle w:val="BodyText"/>
      </w:pPr>
    </w:p>
    <w:p>
      <w:pPr>
        <w:pStyle w:val="BodyText"/>
        <w:ind w:left="100" w:right="116" w:firstLine="708"/>
        <w:jc w:val="both"/>
      </w:pPr>
      <w:r>
        <w:rPr/>
        <w:t>En cuanto a estructura alimentos, bebidas y tabaco representa el 34% del consumo, le sigue  en orden de importancia, transporte y vehículos con el 18.5%; educación y esparcimiento con el 13.8%; gastos en energía y combustibles el 8.9%; cuidados personales el 7.3%; le sigue artículos de limpieza y enseres domésticos con 6.1%; vestido y calzado con 5.1%; transferencias de gasto en  3.9% y finalmente cuidado de la salud, donde incluye tanto servicios médicos como gasto en medicamentos con apenas el 2.5% del gasto familiar. (Ver Gráfico</w:t>
      </w:r>
      <w:r>
        <w:rPr>
          <w:spacing w:val="-9"/>
        </w:rPr>
        <w:t> </w:t>
      </w:r>
      <w:r>
        <w:rPr/>
        <w:t>1.3)</w:t>
      </w:r>
    </w:p>
    <w:p>
      <w:pPr>
        <w:pStyle w:val="BodyText"/>
      </w:pPr>
    </w:p>
    <w:p>
      <w:pPr>
        <w:pStyle w:val="BodyText"/>
        <w:ind w:left="154" w:right="174"/>
        <w:jc w:val="center"/>
      </w:pPr>
      <w:r>
        <w:rPr>
          <w:b/>
        </w:rPr>
        <w:t>Gráfico 1.3 </w:t>
      </w:r>
      <w:r>
        <w:rPr/>
        <w:t>México: Estructura del Gasto de los Hogares, 2012</w:t>
      </w:r>
    </w:p>
    <w:p>
      <w:pPr>
        <w:pStyle w:val="BodyText"/>
        <w:spacing w:before="5"/>
        <w:rPr>
          <w:sz w:val="27"/>
        </w:rPr>
      </w:pPr>
      <w:r>
        <w:rPr/>
        <w:pict>
          <v:group style="position:absolute;margin-left:112.288803pt;margin-top:17.763783pt;width:370.2pt;height:186.25pt;mso-position-horizontal-relative:page;mso-position-vertical-relative:paragraph;z-index:1648;mso-wrap-distance-left:0;mso-wrap-distance-right:0" coordorigin="2246,355" coordsize="7404,3725">
            <v:shape style="position:absolute;left:3671;top:551;width:5532;height:1813" type="#_x0000_t75" stroked="false">
              <v:imagedata r:id="rId45" o:title=""/>
            </v:shape>
            <v:shape style="position:absolute;left:2615;top:2450;width:6052;height:1444" type="#_x0000_t75" stroked="false">
              <v:imagedata r:id="rId46" o:title=""/>
            </v:shape>
            <v:rect style="position:absolute;left:2253;top:362;width:7390;height:3711" filled="false" stroked="true" strokeweight=".698363pt" strokecolor="#858585"/>
            <v:shape style="position:absolute;left:3834;top:500;width:466;height:183" type="#_x0000_t202" filled="false" stroked="false">
              <v:textbox inset="0,0,0,0">
                <w:txbxContent>
                  <w:p>
                    <w:pPr>
                      <w:spacing w:line="183" w:lineRule="exact" w:before="0"/>
                      <w:ind w:left="0" w:right="-2" w:firstLine="0"/>
                      <w:jc w:val="left"/>
                      <w:rPr>
                        <w:rFonts w:ascii="Calibri"/>
                        <w:sz w:val="18"/>
                      </w:rPr>
                    </w:pPr>
                    <w:r>
                      <w:rPr>
                        <w:rFonts w:ascii="Calibri"/>
                        <w:sz w:val="18"/>
                      </w:rPr>
                      <w:t>34,0%</w:t>
                    </w:r>
                  </w:p>
                </w:txbxContent>
              </v:textbox>
              <w10:wrap type="none"/>
            </v:shape>
            <v:shape style="position:absolute;left:3082;top:699;width:467;height:1752" type="#_x0000_t202" filled="false" stroked="false">
              <v:textbox inset="0,0,0,0">
                <w:txbxContent>
                  <w:p>
                    <w:pPr>
                      <w:spacing w:line="185" w:lineRule="exact" w:before="0"/>
                      <w:ind w:left="0" w:right="-1" w:firstLine="0"/>
                      <w:jc w:val="left"/>
                      <w:rPr>
                        <w:rFonts w:ascii="Calibri"/>
                        <w:sz w:val="18"/>
                      </w:rPr>
                    </w:pPr>
                    <w:r>
                      <w:rPr>
                        <w:rFonts w:ascii="Calibri"/>
                        <w:sz w:val="18"/>
                      </w:rPr>
                      <w:t>35,0%</w:t>
                    </w:r>
                  </w:p>
                  <w:p>
                    <w:pPr>
                      <w:spacing w:before="4"/>
                      <w:ind w:left="0" w:right="-1" w:firstLine="0"/>
                      <w:jc w:val="left"/>
                      <w:rPr>
                        <w:rFonts w:ascii="Calibri"/>
                        <w:sz w:val="18"/>
                      </w:rPr>
                    </w:pPr>
                    <w:r>
                      <w:rPr>
                        <w:rFonts w:ascii="Calibri"/>
                        <w:sz w:val="18"/>
                      </w:rPr>
                      <w:t>30,0%</w:t>
                    </w:r>
                  </w:p>
                  <w:p>
                    <w:pPr>
                      <w:spacing w:before="4"/>
                      <w:ind w:left="0" w:right="-1" w:firstLine="0"/>
                      <w:jc w:val="left"/>
                      <w:rPr>
                        <w:rFonts w:ascii="Calibri"/>
                        <w:sz w:val="18"/>
                      </w:rPr>
                    </w:pPr>
                    <w:r>
                      <w:rPr>
                        <w:rFonts w:ascii="Calibri"/>
                        <w:sz w:val="18"/>
                      </w:rPr>
                      <w:t>25,0%</w:t>
                    </w:r>
                  </w:p>
                  <w:p>
                    <w:pPr>
                      <w:spacing w:before="4"/>
                      <w:ind w:left="0" w:right="-1" w:firstLine="0"/>
                      <w:jc w:val="left"/>
                      <w:rPr>
                        <w:rFonts w:ascii="Calibri"/>
                        <w:sz w:val="18"/>
                      </w:rPr>
                    </w:pPr>
                    <w:r>
                      <w:rPr>
                        <w:rFonts w:ascii="Calibri"/>
                        <w:sz w:val="18"/>
                      </w:rPr>
                      <w:t>20,0%</w:t>
                    </w:r>
                  </w:p>
                  <w:p>
                    <w:pPr>
                      <w:spacing w:before="4"/>
                      <w:ind w:left="0" w:right="-1" w:firstLine="0"/>
                      <w:jc w:val="left"/>
                      <w:rPr>
                        <w:rFonts w:ascii="Calibri"/>
                        <w:sz w:val="18"/>
                      </w:rPr>
                    </w:pPr>
                    <w:r>
                      <w:rPr>
                        <w:rFonts w:ascii="Calibri"/>
                        <w:sz w:val="18"/>
                      </w:rPr>
                      <w:t>15,0%</w:t>
                    </w:r>
                  </w:p>
                  <w:p>
                    <w:pPr>
                      <w:spacing w:before="4"/>
                      <w:ind w:left="0" w:right="-1" w:firstLine="0"/>
                      <w:jc w:val="left"/>
                      <w:rPr>
                        <w:rFonts w:ascii="Calibri"/>
                        <w:sz w:val="18"/>
                      </w:rPr>
                    </w:pPr>
                    <w:r>
                      <w:rPr>
                        <w:rFonts w:ascii="Calibri"/>
                        <w:sz w:val="18"/>
                      </w:rPr>
                      <w:t>10,0%</w:t>
                    </w:r>
                  </w:p>
                  <w:p>
                    <w:pPr>
                      <w:spacing w:before="5"/>
                      <w:ind w:left="94" w:right="-4" w:firstLine="0"/>
                      <w:jc w:val="left"/>
                      <w:rPr>
                        <w:rFonts w:ascii="Calibri"/>
                        <w:sz w:val="18"/>
                      </w:rPr>
                    </w:pPr>
                    <w:r>
                      <w:rPr>
                        <w:rFonts w:ascii="Calibri"/>
                        <w:sz w:val="18"/>
                      </w:rPr>
                      <w:t>5,0%</w:t>
                    </w:r>
                  </w:p>
                  <w:p>
                    <w:pPr>
                      <w:spacing w:line="217" w:lineRule="exact" w:before="4"/>
                      <w:ind w:left="94" w:right="-4" w:firstLine="0"/>
                      <w:jc w:val="left"/>
                      <w:rPr>
                        <w:rFonts w:ascii="Calibri"/>
                        <w:sz w:val="18"/>
                      </w:rPr>
                    </w:pPr>
                    <w:r>
                      <w:rPr>
                        <w:rFonts w:ascii="Calibri"/>
                        <w:sz w:val="18"/>
                      </w:rPr>
                      <w:t>0,0%</w:t>
                    </w:r>
                  </w:p>
                </w:txbxContent>
              </v:textbox>
              <w10:wrap type="none"/>
            </v:shape>
            <v:shape style="position:absolute;left:4416;top:1196;width:467;height:183" type="#_x0000_t202" filled="false" stroked="false">
              <v:textbox inset="0,0,0,0">
                <w:txbxContent>
                  <w:p>
                    <w:pPr>
                      <w:spacing w:line="183" w:lineRule="exact" w:before="0"/>
                      <w:ind w:left="0" w:right="-1" w:firstLine="0"/>
                      <w:jc w:val="left"/>
                      <w:rPr>
                        <w:rFonts w:ascii="Calibri"/>
                        <w:sz w:val="18"/>
                      </w:rPr>
                    </w:pPr>
                    <w:r>
                      <w:rPr>
                        <w:rFonts w:ascii="Calibri"/>
                        <w:sz w:val="18"/>
                      </w:rPr>
                      <w:t>18,5%</w:t>
                    </w:r>
                  </w:p>
                </w:txbxContent>
              </v:textbox>
              <w10:wrap type="none"/>
            </v:shape>
            <v:shape style="position:absolute;left:4999;top:1404;width:467;height:183" type="#_x0000_t202" filled="false" stroked="false">
              <v:textbox inset="0,0,0,0">
                <w:txbxContent>
                  <w:p>
                    <w:pPr>
                      <w:spacing w:line="183" w:lineRule="exact" w:before="0"/>
                      <w:ind w:left="0" w:right="-1" w:firstLine="0"/>
                      <w:jc w:val="left"/>
                      <w:rPr>
                        <w:rFonts w:ascii="Calibri"/>
                        <w:sz w:val="18"/>
                      </w:rPr>
                    </w:pPr>
                    <w:r>
                      <w:rPr>
                        <w:rFonts w:ascii="Calibri"/>
                        <w:sz w:val="18"/>
                      </w:rPr>
                      <w:t>13,8%</w:t>
                    </w:r>
                  </w:p>
                </w:txbxContent>
              </v:textbox>
              <w10:wrap type="none"/>
            </v:shape>
            <v:shape style="position:absolute;left:5637;top:1627;width:369;height:183" type="#_x0000_t202" filled="false" stroked="false">
              <v:textbox inset="0,0,0,0">
                <w:txbxContent>
                  <w:p>
                    <w:pPr>
                      <w:spacing w:line="182" w:lineRule="exact" w:before="0"/>
                      <w:ind w:left="0" w:right="-8" w:firstLine="0"/>
                      <w:jc w:val="left"/>
                      <w:rPr>
                        <w:rFonts w:ascii="Calibri"/>
                        <w:sz w:val="18"/>
                      </w:rPr>
                    </w:pPr>
                    <w:r>
                      <w:rPr>
                        <w:rFonts w:ascii="Calibri"/>
                        <w:sz w:val="18"/>
                      </w:rPr>
                      <w:t>8,9%</w:t>
                    </w:r>
                  </w:p>
                </w:txbxContent>
              </v:textbox>
              <w10:wrap type="none"/>
            </v:shape>
            <v:shape style="position:absolute;left:6220;top:1695;width:370;height:183" type="#_x0000_t202" filled="false" stroked="false">
              <v:textbox inset="0,0,0,0">
                <w:txbxContent>
                  <w:p>
                    <w:pPr>
                      <w:spacing w:line="183" w:lineRule="exact" w:before="0"/>
                      <w:ind w:left="0" w:right="-7" w:firstLine="0"/>
                      <w:jc w:val="left"/>
                      <w:rPr>
                        <w:rFonts w:ascii="Calibri"/>
                        <w:sz w:val="18"/>
                      </w:rPr>
                    </w:pPr>
                    <w:r>
                      <w:rPr>
                        <w:rFonts w:ascii="Calibri"/>
                        <w:sz w:val="18"/>
                      </w:rPr>
                      <w:t>7,3%</w:t>
                    </w:r>
                  </w:p>
                </w:txbxContent>
              </v:textbox>
              <w10:wrap type="none"/>
            </v:shape>
            <v:shape style="position:absolute;left:6802;top:1752;width:370;height:183" type="#_x0000_t202" filled="false" stroked="false">
              <v:textbox inset="0,0,0,0">
                <w:txbxContent>
                  <w:p>
                    <w:pPr>
                      <w:spacing w:line="183" w:lineRule="exact" w:before="0"/>
                      <w:ind w:left="0" w:right="-7" w:firstLine="0"/>
                      <w:jc w:val="left"/>
                      <w:rPr>
                        <w:rFonts w:ascii="Calibri"/>
                        <w:sz w:val="18"/>
                      </w:rPr>
                    </w:pPr>
                    <w:r>
                      <w:rPr>
                        <w:rFonts w:ascii="Calibri"/>
                        <w:sz w:val="18"/>
                      </w:rPr>
                      <w:t>6,1%</w:t>
                    </w:r>
                  </w:p>
                </w:txbxContent>
              </v:textbox>
              <w10:wrap type="none"/>
            </v:shape>
            <v:shape style="position:absolute;left:7385;top:1795;width:370;height:183" type="#_x0000_t202" filled="false" stroked="false">
              <v:textbox inset="0,0,0,0">
                <w:txbxContent>
                  <w:p>
                    <w:pPr>
                      <w:spacing w:line="183" w:lineRule="exact" w:before="0"/>
                      <w:ind w:left="0" w:right="-7" w:firstLine="0"/>
                      <w:jc w:val="left"/>
                      <w:rPr>
                        <w:rFonts w:ascii="Calibri"/>
                        <w:sz w:val="18"/>
                      </w:rPr>
                    </w:pPr>
                    <w:r>
                      <w:rPr>
                        <w:rFonts w:ascii="Calibri"/>
                        <w:sz w:val="18"/>
                      </w:rPr>
                      <w:t>5,1%</w:t>
                    </w:r>
                  </w:p>
                </w:txbxContent>
              </v:textbox>
              <w10:wrap type="none"/>
            </v:shape>
            <v:shape style="position:absolute;left:7968;top:1850;width:368;height:183" type="#_x0000_t202" filled="false" stroked="false">
              <v:textbox inset="0,0,0,0">
                <w:txbxContent>
                  <w:p>
                    <w:pPr>
                      <w:spacing w:line="183" w:lineRule="exact" w:before="0"/>
                      <w:ind w:left="0" w:right="-9" w:firstLine="0"/>
                      <w:jc w:val="left"/>
                      <w:rPr>
                        <w:rFonts w:ascii="Calibri"/>
                        <w:sz w:val="18"/>
                      </w:rPr>
                    </w:pPr>
                    <w:r>
                      <w:rPr>
                        <w:rFonts w:ascii="Calibri"/>
                        <w:sz w:val="18"/>
                      </w:rPr>
                      <w:t>3,9%</w:t>
                    </w:r>
                  </w:p>
                </w:txbxContent>
              </v:textbox>
              <w10:wrap type="none"/>
            </v:shape>
            <v:shape style="position:absolute;left:8550;top:1912;width:368;height:183" type="#_x0000_t202" filled="false" stroked="false">
              <v:textbox inset="0,0,0,0">
                <w:txbxContent>
                  <w:p>
                    <w:pPr>
                      <w:spacing w:line="183" w:lineRule="exact" w:before="0"/>
                      <w:ind w:left="0" w:right="-9" w:firstLine="0"/>
                      <w:jc w:val="left"/>
                      <w:rPr>
                        <w:rFonts w:ascii="Calibri"/>
                        <w:sz w:val="18"/>
                      </w:rPr>
                    </w:pPr>
                    <w:r>
                      <w:rPr>
                        <w:rFonts w:ascii="Calibri"/>
                        <w:sz w:val="18"/>
                      </w:rPr>
                      <w:t>2,5%</w:t>
                    </w:r>
                  </w:p>
                </w:txbxContent>
              </v:textbox>
              <w10:wrap type="none"/>
            </v:shape>
            <w10:wrap type="topAndBottom"/>
          </v:group>
        </w:pict>
      </w:r>
    </w:p>
    <w:p>
      <w:pPr>
        <w:pStyle w:val="BodyText"/>
        <w:spacing w:before="44"/>
        <w:ind w:left="1326"/>
      </w:pPr>
      <w:r>
        <w:rPr/>
        <w:t>Fuente: Elaboración propia estimación a partir de datos de las ENIGH-2012</w:t>
      </w:r>
    </w:p>
    <w:p>
      <w:pPr>
        <w:spacing w:after="0"/>
        <w:sectPr>
          <w:pgSz w:w="11910" w:h="16840"/>
          <w:pgMar w:header="731" w:footer="0" w:top="960" w:bottom="280" w:left="980" w:right="960"/>
        </w:sectPr>
      </w:pPr>
    </w:p>
    <w:p>
      <w:pPr>
        <w:pStyle w:val="BodyText"/>
        <w:rPr>
          <w:sz w:val="20"/>
        </w:rPr>
      </w:pPr>
    </w:p>
    <w:p>
      <w:pPr>
        <w:pStyle w:val="BodyText"/>
        <w:spacing w:before="6"/>
        <w:rPr>
          <w:sz w:val="20"/>
        </w:rPr>
      </w:pPr>
    </w:p>
    <w:p>
      <w:pPr>
        <w:pStyle w:val="Heading4"/>
        <w:numPr>
          <w:ilvl w:val="1"/>
          <w:numId w:val="1"/>
        </w:numPr>
        <w:tabs>
          <w:tab w:pos="461" w:val="left" w:leader="none"/>
        </w:tabs>
        <w:spacing w:line="240" w:lineRule="auto" w:before="0" w:after="0"/>
        <w:ind w:left="460" w:right="0" w:hanging="360"/>
        <w:jc w:val="both"/>
      </w:pPr>
      <w:r>
        <w:rPr/>
        <w:t>Índice de</w:t>
      </w:r>
      <w:r>
        <w:rPr>
          <w:spacing w:val="-5"/>
        </w:rPr>
        <w:t> </w:t>
      </w:r>
      <w:r>
        <w:rPr/>
        <w:t>Gini</w:t>
      </w:r>
    </w:p>
    <w:p>
      <w:pPr>
        <w:pStyle w:val="BodyText"/>
        <w:spacing w:before="6"/>
        <w:rPr>
          <w:b/>
          <w:sz w:val="23"/>
        </w:rPr>
      </w:pPr>
    </w:p>
    <w:p>
      <w:pPr>
        <w:pStyle w:val="BodyText"/>
        <w:ind w:left="100" w:right="119"/>
        <w:jc w:val="both"/>
      </w:pPr>
      <w:r>
        <w:rPr/>
        <w:t>Por otra parte, la estimación del índice de Gini para la distribución del ingreso mensual per cápita, 2012; sin la aplicación del IVA del 16% se estima en 0.52 y con la aplicación del IVA del 16% se incrementa a 0.53 (Ver anexo 1.2). Si consideramos solo la distribución del ingreso que corresponde a la población urbana este pasa de 0.50 sin IVA y de 0.51 con IVA. En tanto que la distribución del ingreso rural, se estima de 0.48 sin IVA a 0.49 con IVA del 16%.  (Ver anexo 1.3 y</w:t>
      </w:r>
      <w:r>
        <w:rPr>
          <w:spacing w:val="-6"/>
        </w:rPr>
        <w:t> </w:t>
      </w:r>
      <w:r>
        <w:rPr/>
        <w:t>1.4)</w:t>
      </w:r>
    </w:p>
    <w:p>
      <w:pPr>
        <w:pStyle w:val="BodyText"/>
        <w:spacing w:before="2"/>
      </w:pPr>
    </w:p>
    <w:p>
      <w:pPr>
        <w:pStyle w:val="BodyText"/>
        <w:spacing w:line="276" w:lineRule="auto"/>
        <w:ind w:left="100" w:right="120" w:firstLine="708"/>
        <w:jc w:val="both"/>
      </w:pPr>
      <w:r>
        <w:rPr/>
        <w:t>Como podemos observar el grafico de abajo, es apenas perceptible el cambio en la curva de Lorenz, con y sin aplicación del IVA en alimentos y medicinas, siendo consistente con la estimación del qíndice de Gini.</w:t>
      </w:r>
    </w:p>
    <w:p>
      <w:pPr>
        <w:pStyle w:val="BodyText"/>
        <w:spacing w:before="200"/>
        <w:ind w:left="155" w:right="174"/>
        <w:jc w:val="center"/>
      </w:pPr>
      <w:r>
        <w:rPr>
          <w:b/>
        </w:rPr>
        <w:t>Grafico 1.4 </w:t>
      </w:r>
      <w:r>
        <w:rPr/>
        <w:t>Curva de Lorenz con y sin IVA en Alimentos y Medicinas</w:t>
      </w:r>
    </w:p>
    <w:p>
      <w:pPr>
        <w:pStyle w:val="BodyText"/>
        <w:spacing w:before="2"/>
        <w:rPr>
          <w:sz w:val="21"/>
        </w:rPr>
      </w:pPr>
      <w:r>
        <w:rPr/>
        <w:drawing>
          <wp:anchor distT="0" distB="0" distL="0" distR="0" allowOverlap="1" layoutInCell="1" locked="0" behindDoc="0" simplePos="0" relativeHeight="1672">
            <wp:simplePos x="0" y="0"/>
            <wp:positionH relativeFrom="page">
              <wp:posOffset>2127250</wp:posOffset>
            </wp:positionH>
            <wp:positionV relativeFrom="paragraph">
              <wp:posOffset>179759</wp:posOffset>
            </wp:positionV>
            <wp:extent cx="3233547" cy="2091308"/>
            <wp:effectExtent l="0" t="0" r="0" b="0"/>
            <wp:wrapTopAndBottom/>
            <wp:docPr id="5" name="image11.jpeg" descr="F:\TRABAJO IVA EN ALIMENTOS Y MEDICAMENTOS 2012\RESULTADOS\final 2012.jpg"/>
            <wp:cNvGraphicFramePr>
              <a:graphicFrameLocks noChangeAspect="1"/>
            </wp:cNvGraphicFramePr>
            <a:graphic>
              <a:graphicData uri="http://schemas.openxmlformats.org/drawingml/2006/picture">
                <pic:pic>
                  <pic:nvPicPr>
                    <pic:cNvPr id="6" name="image11.jpeg"/>
                    <pic:cNvPicPr/>
                  </pic:nvPicPr>
                  <pic:blipFill>
                    <a:blip r:embed="rId47" cstate="print"/>
                    <a:stretch>
                      <a:fillRect/>
                    </a:stretch>
                  </pic:blipFill>
                  <pic:spPr>
                    <a:xfrm>
                      <a:off x="0" y="0"/>
                      <a:ext cx="3233547" cy="2091308"/>
                    </a:xfrm>
                    <a:prstGeom prst="rect">
                      <a:avLst/>
                    </a:prstGeom>
                  </pic:spPr>
                </pic:pic>
              </a:graphicData>
            </a:graphic>
          </wp:anchor>
        </w:drawing>
      </w:r>
    </w:p>
    <w:p>
      <w:pPr>
        <w:pStyle w:val="BodyText"/>
        <w:spacing w:before="38"/>
        <w:ind w:left="156" w:right="174"/>
        <w:jc w:val="center"/>
      </w:pPr>
      <w:r>
        <w:rPr/>
        <w:t>Fuente: Elaboración propia estimación a partir de datos de las ENIGH-2012</w:t>
      </w:r>
    </w:p>
    <w:p>
      <w:pPr>
        <w:pStyle w:val="BodyText"/>
      </w:pPr>
    </w:p>
    <w:p>
      <w:pPr>
        <w:pStyle w:val="BodyText"/>
        <w:ind w:left="100" w:right="119" w:firstLine="708"/>
        <w:jc w:val="both"/>
      </w:pPr>
      <w:r>
        <w:rPr/>
        <w:t>La estimación de deciles de ingreso, sin considerar la aplicación del IVA (16%) EN Alimentos y Medicinas, muestra que el decil I, solo representa el 1.17% del ingreso corriente total,  en tanto que el último decil, concentra el 40.35% del ingreso. Si observamos el decil V, este concentra el 5.27% del ingreso, lo que nos da una idea de la fuerte desigualdad del ingreso en México, (Ver Tabla</w:t>
      </w:r>
      <w:r>
        <w:rPr>
          <w:spacing w:val="-5"/>
        </w:rPr>
        <w:t> </w:t>
      </w:r>
      <w:r>
        <w:rPr/>
        <w:t>1)</w:t>
      </w:r>
    </w:p>
    <w:p>
      <w:pPr>
        <w:pStyle w:val="BodyText"/>
      </w:pPr>
    </w:p>
    <w:p>
      <w:pPr>
        <w:pStyle w:val="BodyText"/>
        <w:ind w:left="154" w:right="174"/>
        <w:jc w:val="center"/>
      </w:pPr>
      <w:r>
        <w:rPr>
          <w:b/>
        </w:rPr>
        <w:t>Tabla 1 </w:t>
      </w:r>
      <w:r>
        <w:rPr/>
        <w:t>Estimación de decíles del Ingreso Corriente Total Trimestral (Miles de pesos corrientes)</w:t>
      </w:r>
    </w:p>
    <w:p>
      <w:pPr>
        <w:pStyle w:val="BodyText"/>
        <w:spacing w:before="8"/>
      </w:pPr>
    </w:p>
    <w:tbl>
      <w:tblPr>
        <w:tblW w:w="0" w:type="auto"/>
        <w:jc w:val="left"/>
        <w:tblInd w:w="21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93"/>
        <w:gridCol w:w="2979"/>
        <w:gridCol w:w="1515"/>
      </w:tblGrid>
      <w:tr>
        <w:trPr>
          <w:trHeight w:val="290" w:hRule="exact"/>
        </w:trPr>
        <w:tc>
          <w:tcPr>
            <w:tcW w:w="1093" w:type="dxa"/>
          </w:tcPr>
          <w:p>
            <w:pPr>
              <w:pStyle w:val="TableParagraph"/>
              <w:spacing w:before="34"/>
              <w:ind w:left="138" w:right="139"/>
              <w:jc w:val="center"/>
              <w:rPr>
                <w:sz w:val="20"/>
              </w:rPr>
            </w:pPr>
            <w:r>
              <w:rPr>
                <w:sz w:val="20"/>
              </w:rPr>
              <w:t>Decil</w:t>
            </w:r>
          </w:p>
        </w:tc>
        <w:tc>
          <w:tcPr>
            <w:tcW w:w="2979" w:type="dxa"/>
          </w:tcPr>
          <w:p>
            <w:pPr>
              <w:pStyle w:val="TableParagraph"/>
              <w:spacing w:before="34"/>
              <w:ind w:left="574" w:right="579"/>
              <w:jc w:val="center"/>
              <w:rPr>
                <w:sz w:val="20"/>
              </w:rPr>
            </w:pPr>
            <w:r>
              <w:rPr>
                <w:sz w:val="20"/>
              </w:rPr>
              <w:t>Ingreso corriente total</w:t>
            </w:r>
          </w:p>
        </w:tc>
        <w:tc>
          <w:tcPr>
            <w:tcW w:w="1515" w:type="dxa"/>
          </w:tcPr>
          <w:p>
            <w:pPr>
              <w:pStyle w:val="TableParagraph"/>
              <w:spacing w:before="34"/>
              <w:ind w:left="0"/>
              <w:jc w:val="center"/>
              <w:rPr>
                <w:sz w:val="20"/>
              </w:rPr>
            </w:pPr>
            <w:r>
              <w:rPr>
                <w:w w:val="99"/>
                <w:sz w:val="20"/>
              </w:rPr>
              <w:t>%</w:t>
            </w:r>
          </w:p>
        </w:tc>
      </w:tr>
      <w:tr>
        <w:trPr>
          <w:trHeight w:val="290" w:hRule="exact"/>
        </w:trPr>
        <w:tc>
          <w:tcPr>
            <w:tcW w:w="1093" w:type="dxa"/>
            <w:tcBorders>
              <w:bottom w:val="nil"/>
            </w:tcBorders>
          </w:tcPr>
          <w:p>
            <w:pPr>
              <w:pStyle w:val="TableParagraph"/>
              <w:spacing w:before="24"/>
              <w:ind w:left="0"/>
              <w:jc w:val="center"/>
              <w:rPr>
                <w:sz w:val="20"/>
              </w:rPr>
            </w:pPr>
            <w:r>
              <w:rPr>
                <w:w w:val="99"/>
                <w:sz w:val="20"/>
              </w:rPr>
              <w:t>I</w:t>
            </w:r>
          </w:p>
        </w:tc>
        <w:tc>
          <w:tcPr>
            <w:tcW w:w="2979" w:type="dxa"/>
            <w:tcBorders>
              <w:bottom w:val="nil"/>
            </w:tcBorders>
          </w:tcPr>
          <w:p>
            <w:pPr>
              <w:pStyle w:val="TableParagraph"/>
              <w:spacing w:before="24"/>
              <w:ind w:left="574" w:right="577"/>
              <w:jc w:val="center"/>
              <w:rPr>
                <w:sz w:val="20"/>
              </w:rPr>
            </w:pPr>
            <w:r>
              <w:rPr>
                <w:sz w:val="20"/>
              </w:rPr>
              <w:t>14,089,787</w:t>
            </w:r>
          </w:p>
        </w:tc>
        <w:tc>
          <w:tcPr>
            <w:tcW w:w="1515" w:type="dxa"/>
            <w:tcBorders>
              <w:bottom w:val="nil"/>
            </w:tcBorders>
          </w:tcPr>
          <w:p>
            <w:pPr>
              <w:pStyle w:val="TableParagraph"/>
              <w:spacing w:before="24"/>
              <w:ind w:left="369" w:right="367"/>
              <w:jc w:val="center"/>
              <w:rPr>
                <w:sz w:val="20"/>
              </w:rPr>
            </w:pPr>
            <w:r>
              <w:rPr>
                <w:sz w:val="20"/>
              </w:rPr>
              <w:t>1.17%</w:t>
            </w:r>
          </w:p>
        </w:tc>
      </w:tr>
      <w:tr>
        <w:trPr>
          <w:trHeight w:val="259" w:hRule="exact"/>
        </w:trPr>
        <w:tc>
          <w:tcPr>
            <w:tcW w:w="1093" w:type="dxa"/>
            <w:tcBorders>
              <w:top w:val="nil"/>
              <w:bottom w:val="nil"/>
            </w:tcBorders>
          </w:tcPr>
          <w:p>
            <w:pPr>
              <w:pStyle w:val="TableParagraph"/>
              <w:spacing w:before="3"/>
              <w:ind w:left="138" w:right="137"/>
              <w:jc w:val="center"/>
              <w:rPr>
                <w:sz w:val="20"/>
              </w:rPr>
            </w:pPr>
            <w:r>
              <w:rPr>
                <w:sz w:val="20"/>
              </w:rPr>
              <w:t>Ii</w:t>
            </w:r>
          </w:p>
        </w:tc>
        <w:tc>
          <w:tcPr>
            <w:tcW w:w="2979" w:type="dxa"/>
            <w:tcBorders>
              <w:top w:val="nil"/>
              <w:bottom w:val="nil"/>
            </w:tcBorders>
          </w:tcPr>
          <w:p>
            <w:pPr>
              <w:pStyle w:val="TableParagraph"/>
              <w:spacing w:before="3"/>
              <w:ind w:left="574" w:right="577"/>
              <w:jc w:val="center"/>
              <w:rPr>
                <w:sz w:val="20"/>
              </w:rPr>
            </w:pPr>
            <w:r>
              <w:rPr>
                <w:sz w:val="20"/>
              </w:rPr>
              <w:t>24,199,635</w:t>
            </w:r>
          </w:p>
        </w:tc>
        <w:tc>
          <w:tcPr>
            <w:tcW w:w="1515" w:type="dxa"/>
            <w:tcBorders>
              <w:top w:val="nil"/>
              <w:bottom w:val="nil"/>
            </w:tcBorders>
          </w:tcPr>
          <w:p>
            <w:pPr>
              <w:pStyle w:val="TableParagraph"/>
              <w:spacing w:before="3"/>
              <w:ind w:left="369" w:right="367"/>
              <w:jc w:val="center"/>
              <w:rPr>
                <w:sz w:val="20"/>
              </w:rPr>
            </w:pPr>
            <w:r>
              <w:rPr>
                <w:sz w:val="20"/>
              </w:rPr>
              <w:t>2.02%</w:t>
            </w:r>
          </w:p>
        </w:tc>
      </w:tr>
      <w:tr>
        <w:trPr>
          <w:trHeight w:val="260" w:hRule="exact"/>
        </w:trPr>
        <w:tc>
          <w:tcPr>
            <w:tcW w:w="1093" w:type="dxa"/>
            <w:tcBorders>
              <w:top w:val="nil"/>
              <w:bottom w:val="nil"/>
            </w:tcBorders>
          </w:tcPr>
          <w:p>
            <w:pPr>
              <w:pStyle w:val="TableParagraph"/>
              <w:spacing w:before="3"/>
              <w:ind w:left="138" w:right="139"/>
              <w:jc w:val="center"/>
              <w:rPr>
                <w:sz w:val="20"/>
              </w:rPr>
            </w:pPr>
            <w:r>
              <w:rPr>
                <w:sz w:val="20"/>
              </w:rPr>
              <w:t>Iii</w:t>
            </w:r>
          </w:p>
        </w:tc>
        <w:tc>
          <w:tcPr>
            <w:tcW w:w="2979" w:type="dxa"/>
            <w:tcBorders>
              <w:top w:val="nil"/>
              <w:bottom w:val="nil"/>
            </w:tcBorders>
          </w:tcPr>
          <w:p>
            <w:pPr>
              <w:pStyle w:val="TableParagraph"/>
              <w:spacing w:before="3"/>
              <w:ind w:left="574" w:right="577"/>
              <w:jc w:val="center"/>
              <w:rPr>
                <w:sz w:val="20"/>
              </w:rPr>
            </w:pPr>
            <w:r>
              <w:rPr>
                <w:sz w:val="20"/>
              </w:rPr>
              <w:t>35,640,190</w:t>
            </w:r>
          </w:p>
        </w:tc>
        <w:tc>
          <w:tcPr>
            <w:tcW w:w="1515" w:type="dxa"/>
            <w:tcBorders>
              <w:top w:val="nil"/>
              <w:bottom w:val="nil"/>
            </w:tcBorders>
          </w:tcPr>
          <w:p>
            <w:pPr>
              <w:pStyle w:val="TableParagraph"/>
              <w:spacing w:before="3"/>
              <w:ind w:left="369" w:right="367"/>
              <w:jc w:val="center"/>
              <w:rPr>
                <w:sz w:val="20"/>
              </w:rPr>
            </w:pPr>
            <w:r>
              <w:rPr>
                <w:sz w:val="20"/>
              </w:rPr>
              <w:t>2.97%</w:t>
            </w:r>
          </w:p>
        </w:tc>
      </w:tr>
      <w:tr>
        <w:trPr>
          <w:trHeight w:val="260" w:hRule="exact"/>
        </w:trPr>
        <w:tc>
          <w:tcPr>
            <w:tcW w:w="1093" w:type="dxa"/>
            <w:tcBorders>
              <w:top w:val="nil"/>
              <w:bottom w:val="nil"/>
            </w:tcBorders>
          </w:tcPr>
          <w:p>
            <w:pPr>
              <w:pStyle w:val="TableParagraph"/>
              <w:spacing w:before="4"/>
              <w:ind w:left="138" w:right="136"/>
              <w:jc w:val="center"/>
              <w:rPr>
                <w:sz w:val="20"/>
              </w:rPr>
            </w:pPr>
            <w:r>
              <w:rPr>
                <w:sz w:val="20"/>
              </w:rPr>
              <w:t>Iv</w:t>
            </w:r>
          </w:p>
        </w:tc>
        <w:tc>
          <w:tcPr>
            <w:tcW w:w="2979" w:type="dxa"/>
            <w:tcBorders>
              <w:top w:val="nil"/>
              <w:bottom w:val="nil"/>
            </w:tcBorders>
          </w:tcPr>
          <w:p>
            <w:pPr>
              <w:pStyle w:val="TableParagraph"/>
              <w:spacing w:before="4"/>
              <w:ind w:left="574" w:right="577"/>
              <w:jc w:val="center"/>
              <w:rPr>
                <w:sz w:val="20"/>
              </w:rPr>
            </w:pPr>
            <w:r>
              <w:rPr>
                <w:sz w:val="20"/>
              </w:rPr>
              <w:t>51,890,783</w:t>
            </w:r>
          </w:p>
        </w:tc>
        <w:tc>
          <w:tcPr>
            <w:tcW w:w="1515" w:type="dxa"/>
            <w:tcBorders>
              <w:top w:val="nil"/>
              <w:bottom w:val="nil"/>
            </w:tcBorders>
          </w:tcPr>
          <w:p>
            <w:pPr>
              <w:pStyle w:val="TableParagraph"/>
              <w:spacing w:before="4"/>
              <w:ind w:left="369" w:right="367"/>
              <w:jc w:val="center"/>
              <w:rPr>
                <w:sz w:val="20"/>
              </w:rPr>
            </w:pPr>
            <w:r>
              <w:rPr>
                <w:sz w:val="20"/>
              </w:rPr>
              <w:t>4.33%</w:t>
            </w:r>
          </w:p>
        </w:tc>
      </w:tr>
      <w:tr>
        <w:trPr>
          <w:trHeight w:val="259" w:hRule="exact"/>
        </w:trPr>
        <w:tc>
          <w:tcPr>
            <w:tcW w:w="1093" w:type="dxa"/>
            <w:tcBorders>
              <w:top w:val="nil"/>
              <w:bottom w:val="nil"/>
            </w:tcBorders>
          </w:tcPr>
          <w:p>
            <w:pPr>
              <w:pStyle w:val="TableParagraph"/>
              <w:spacing w:before="3"/>
              <w:ind w:left="0" w:right="1"/>
              <w:jc w:val="center"/>
              <w:rPr>
                <w:sz w:val="20"/>
              </w:rPr>
            </w:pPr>
            <w:r>
              <w:rPr>
                <w:w w:val="99"/>
                <w:sz w:val="20"/>
              </w:rPr>
              <w:t>V</w:t>
            </w:r>
          </w:p>
        </w:tc>
        <w:tc>
          <w:tcPr>
            <w:tcW w:w="2979" w:type="dxa"/>
            <w:tcBorders>
              <w:top w:val="nil"/>
              <w:bottom w:val="nil"/>
            </w:tcBorders>
          </w:tcPr>
          <w:p>
            <w:pPr>
              <w:pStyle w:val="TableParagraph"/>
              <w:spacing w:before="3"/>
              <w:ind w:left="574" w:right="577"/>
              <w:jc w:val="center"/>
              <w:rPr>
                <w:sz w:val="20"/>
              </w:rPr>
            </w:pPr>
            <w:r>
              <w:rPr>
                <w:sz w:val="20"/>
              </w:rPr>
              <w:t>63,191,258</w:t>
            </w:r>
          </w:p>
        </w:tc>
        <w:tc>
          <w:tcPr>
            <w:tcW w:w="1515" w:type="dxa"/>
            <w:tcBorders>
              <w:top w:val="nil"/>
              <w:bottom w:val="nil"/>
            </w:tcBorders>
          </w:tcPr>
          <w:p>
            <w:pPr>
              <w:pStyle w:val="TableParagraph"/>
              <w:spacing w:before="3"/>
              <w:ind w:left="369" w:right="367"/>
              <w:jc w:val="center"/>
              <w:rPr>
                <w:sz w:val="20"/>
              </w:rPr>
            </w:pPr>
            <w:r>
              <w:rPr>
                <w:sz w:val="20"/>
              </w:rPr>
              <w:t>5.27%</w:t>
            </w:r>
          </w:p>
        </w:tc>
      </w:tr>
      <w:tr>
        <w:trPr>
          <w:trHeight w:val="260" w:hRule="exact"/>
        </w:trPr>
        <w:tc>
          <w:tcPr>
            <w:tcW w:w="1093" w:type="dxa"/>
            <w:tcBorders>
              <w:top w:val="nil"/>
              <w:bottom w:val="nil"/>
            </w:tcBorders>
          </w:tcPr>
          <w:p>
            <w:pPr>
              <w:pStyle w:val="TableParagraph"/>
              <w:spacing w:before="3"/>
              <w:ind w:left="138" w:right="138"/>
              <w:jc w:val="center"/>
              <w:rPr>
                <w:sz w:val="20"/>
              </w:rPr>
            </w:pPr>
            <w:r>
              <w:rPr>
                <w:sz w:val="20"/>
              </w:rPr>
              <w:t>Vi</w:t>
            </w:r>
          </w:p>
        </w:tc>
        <w:tc>
          <w:tcPr>
            <w:tcW w:w="2979" w:type="dxa"/>
            <w:tcBorders>
              <w:top w:val="nil"/>
              <w:bottom w:val="nil"/>
            </w:tcBorders>
          </w:tcPr>
          <w:p>
            <w:pPr>
              <w:pStyle w:val="TableParagraph"/>
              <w:spacing w:before="3"/>
              <w:ind w:left="574" w:right="577"/>
              <w:jc w:val="center"/>
              <w:rPr>
                <w:sz w:val="20"/>
              </w:rPr>
            </w:pPr>
            <w:r>
              <w:rPr>
                <w:sz w:val="20"/>
              </w:rPr>
              <w:t>84,001,395</w:t>
            </w:r>
          </w:p>
        </w:tc>
        <w:tc>
          <w:tcPr>
            <w:tcW w:w="1515" w:type="dxa"/>
            <w:tcBorders>
              <w:top w:val="nil"/>
              <w:bottom w:val="nil"/>
            </w:tcBorders>
          </w:tcPr>
          <w:p>
            <w:pPr>
              <w:pStyle w:val="TableParagraph"/>
              <w:spacing w:before="3"/>
              <w:ind w:left="369" w:right="367"/>
              <w:jc w:val="center"/>
              <w:rPr>
                <w:sz w:val="20"/>
              </w:rPr>
            </w:pPr>
            <w:r>
              <w:rPr>
                <w:sz w:val="20"/>
              </w:rPr>
              <w:t>7.00%</w:t>
            </w:r>
          </w:p>
        </w:tc>
      </w:tr>
      <w:tr>
        <w:trPr>
          <w:trHeight w:val="260" w:hRule="exact"/>
        </w:trPr>
        <w:tc>
          <w:tcPr>
            <w:tcW w:w="1093" w:type="dxa"/>
            <w:tcBorders>
              <w:top w:val="nil"/>
              <w:bottom w:val="nil"/>
            </w:tcBorders>
          </w:tcPr>
          <w:p>
            <w:pPr>
              <w:pStyle w:val="TableParagraph"/>
              <w:spacing w:before="4"/>
              <w:ind w:left="138" w:right="139"/>
              <w:jc w:val="center"/>
              <w:rPr>
                <w:sz w:val="20"/>
              </w:rPr>
            </w:pPr>
            <w:r>
              <w:rPr>
                <w:sz w:val="20"/>
              </w:rPr>
              <w:t>Vii</w:t>
            </w:r>
          </w:p>
        </w:tc>
        <w:tc>
          <w:tcPr>
            <w:tcW w:w="2979" w:type="dxa"/>
            <w:tcBorders>
              <w:top w:val="nil"/>
              <w:bottom w:val="nil"/>
            </w:tcBorders>
          </w:tcPr>
          <w:p>
            <w:pPr>
              <w:pStyle w:val="TableParagraph"/>
              <w:spacing w:before="4"/>
              <w:ind w:left="574" w:right="577"/>
              <w:jc w:val="center"/>
              <w:rPr>
                <w:sz w:val="20"/>
              </w:rPr>
            </w:pPr>
            <w:r>
              <w:rPr>
                <w:sz w:val="20"/>
              </w:rPr>
              <w:t>109,613,921</w:t>
            </w:r>
          </w:p>
        </w:tc>
        <w:tc>
          <w:tcPr>
            <w:tcW w:w="1515" w:type="dxa"/>
            <w:tcBorders>
              <w:top w:val="nil"/>
              <w:bottom w:val="nil"/>
            </w:tcBorders>
          </w:tcPr>
          <w:p>
            <w:pPr>
              <w:pStyle w:val="TableParagraph"/>
              <w:spacing w:before="4"/>
              <w:ind w:left="369" w:right="367"/>
              <w:jc w:val="center"/>
              <w:rPr>
                <w:sz w:val="20"/>
              </w:rPr>
            </w:pPr>
            <w:r>
              <w:rPr>
                <w:sz w:val="20"/>
              </w:rPr>
              <w:t>9.14%</w:t>
            </w:r>
          </w:p>
        </w:tc>
      </w:tr>
      <w:tr>
        <w:trPr>
          <w:trHeight w:val="259" w:hRule="exact"/>
        </w:trPr>
        <w:tc>
          <w:tcPr>
            <w:tcW w:w="1093" w:type="dxa"/>
            <w:tcBorders>
              <w:top w:val="nil"/>
              <w:bottom w:val="nil"/>
            </w:tcBorders>
          </w:tcPr>
          <w:p>
            <w:pPr>
              <w:pStyle w:val="TableParagraph"/>
              <w:spacing w:before="3"/>
              <w:ind w:left="138" w:right="139"/>
              <w:jc w:val="center"/>
              <w:rPr>
                <w:sz w:val="20"/>
              </w:rPr>
            </w:pPr>
            <w:r>
              <w:rPr>
                <w:sz w:val="20"/>
              </w:rPr>
              <w:t>Viii</w:t>
            </w:r>
          </w:p>
        </w:tc>
        <w:tc>
          <w:tcPr>
            <w:tcW w:w="2979" w:type="dxa"/>
            <w:tcBorders>
              <w:top w:val="nil"/>
              <w:bottom w:val="nil"/>
            </w:tcBorders>
          </w:tcPr>
          <w:p>
            <w:pPr>
              <w:pStyle w:val="TableParagraph"/>
              <w:spacing w:before="3"/>
              <w:ind w:left="574" w:right="577"/>
              <w:jc w:val="center"/>
              <w:rPr>
                <w:sz w:val="20"/>
              </w:rPr>
            </w:pPr>
            <w:r>
              <w:rPr>
                <w:sz w:val="20"/>
              </w:rPr>
              <w:t>139,129,166</w:t>
            </w:r>
          </w:p>
        </w:tc>
        <w:tc>
          <w:tcPr>
            <w:tcW w:w="1515" w:type="dxa"/>
            <w:tcBorders>
              <w:top w:val="nil"/>
              <w:bottom w:val="nil"/>
            </w:tcBorders>
          </w:tcPr>
          <w:p>
            <w:pPr>
              <w:pStyle w:val="TableParagraph"/>
              <w:spacing w:before="3"/>
              <w:ind w:left="369" w:right="367"/>
              <w:jc w:val="center"/>
              <w:rPr>
                <w:sz w:val="20"/>
              </w:rPr>
            </w:pPr>
            <w:r>
              <w:rPr>
                <w:sz w:val="20"/>
              </w:rPr>
              <w:t>11.60%</w:t>
            </w:r>
          </w:p>
        </w:tc>
      </w:tr>
      <w:tr>
        <w:trPr>
          <w:trHeight w:val="260" w:hRule="exact"/>
        </w:trPr>
        <w:tc>
          <w:tcPr>
            <w:tcW w:w="1093" w:type="dxa"/>
            <w:tcBorders>
              <w:top w:val="nil"/>
              <w:bottom w:val="nil"/>
            </w:tcBorders>
          </w:tcPr>
          <w:p>
            <w:pPr>
              <w:pStyle w:val="TableParagraph"/>
              <w:spacing w:before="3"/>
              <w:ind w:left="138" w:right="136"/>
              <w:jc w:val="center"/>
              <w:rPr>
                <w:sz w:val="20"/>
              </w:rPr>
            </w:pPr>
            <w:r>
              <w:rPr>
                <w:sz w:val="20"/>
              </w:rPr>
              <w:t>Ix</w:t>
            </w:r>
          </w:p>
        </w:tc>
        <w:tc>
          <w:tcPr>
            <w:tcW w:w="2979" w:type="dxa"/>
            <w:tcBorders>
              <w:top w:val="nil"/>
              <w:bottom w:val="nil"/>
            </w:tcBorders>
          </w:tcPr>
          <w:p>
            <w:pPr>
              <w:pStyle w:val="TableParagraph"/>
              <w:spacing w:before="3"/>
              <w:ind w:left="574" w:right="577"/>
              <w:jc w:val="center"/>
              <w:rPr>
                <w:sz w:val="20"/>
              </w:rPr>
            </w:pPr>
            <w:r>
              <w:rPr>
                <w:sz w:val="20"/>
              </w:rPr>
              <w:t>193,621,536</w:t>
            </w:r>
          </w:p>
        </w:tc>
        <w:tc>
          <w:tcPr>
            <w:tcW w:w="1515" w:type="dxa"/>
            <w:tcBorders>
              <w:top w:val="nil"/>
              <w:bottom w:val="nil"/>
            </w:tcBorders>
          </w:tcPr>
          <w:p>
            <w:pPr>
              <w:pStyle w:val="TableParagraph"/>
              <w:spacing w:before="3"/>
              <w:ind w:left="369" w:right="367"/>
              <w:jc w:val="center"/>
              <w:rPr>
                <w:sz w:val="20"/>
              </w:rPr>
            </w:pPr>
            <w:r>
              <w:rPr>
                <w:sz w:val="20"/>
              </w:rPr>
              <w:t>16.15%</w:t>
            </w:r>
          </w:p>
        </w:tc>
      </w:tr>
      <w:tr>
        <w:trPr>
          <w:trHeight w:val="260" w:hRule="exact"/>
        </w:trPr>
        <w:tc>
          <w:tcPr>
            <w:tcW w:w="1093" w:type="dxa"/>
            <w:tcBorders>
              <w:top w:val="nil"/>
              <w:bottom w:val="nil"/>
            </w:tcBorders>
          </w:tcPr>
          <w:p>
            <w:pPr>
              <w:pStyle w:val="TableParagraph"/>
              <w:spacing w:before="4"/>
              <w:ind w:left="0" w:right="1"/>
              <w:jc w:val="center"/>
              <w:rPr>
                <w:sz w:val="20"/>
              </w:rPr>
            </w:pPr>
            <w:r>
              <w:rPr>
                <w:w w:val="99"/>
                <w:sz w:val="20"/>
              </w:rPr>
              <w:t>X</w:t>
            </w:r>
          </w:p>
        </w:tc>
        <w:tc>
          <w:tcPr>
            <w:tcW w:w="2979" w:type="dxa"/>
            <w:tcBorders>
              <w:top w:val="nil"/>
              <w:bottom w:val="nil"/>
            </w:tcBorders>
          </w:tcPr>
          <w:p>
            <w:pPr>
              <w:pStyle w:val="TableParagraph"/>
              <w:spacing w:before="4"/>
              <w:ind w:left="574" w:right="577"/>
              <w:jc w:val="center"/>
              <w:rPr>
                <w:sz w:val="20"/>
              </w:rPr>
            </w:pPr>
            <w:r>
              <w:rPr>
                <w:sz w:val="20"/>
              </w:rPr>
              <w:t>483,867,429</w:t>
            </w:r>
          </w:p>
        </w:tc>
        <w:tc>
          <w:tcPr>
            <w:tcW w:w="1515" w:type="dxa"/>
            <w:tcBorders>
              <w:top w:val="nil"/>
              <w:bottom w:val="nil"/>
            </w:tcBorders>
          </w:tcPr>
          <w:p>
            <w:pPr>
              <w:pStyle w:val="TableParagraph"/>
              <w:spacing w:before="4"/>
              <w:ind w:left="369" w:right="367"/>
              <w:jc w:val="center"/>
              <w:rPr>
                <w:sz w:val="20"/>
              </w:rPr>
            </w:pPr>
            <w:r>
              <w:rPr>
                <w:sz w:val="20"/>
              </w:rPr>
              <w:t>40.35%</w:t>
            </w:r>
          </w:p>
        </w:tc>
      </w:tr>
      <w:tr>
        <w:trPr>
          <w:trHeight w:val="522" w:hRule="exact"/>
        </w:trPr>
        <w:tc>
          <w:tcPr>
            <w:tcW w:w="1093" w:type="dxa"/>
            <w:tcBorders>
              <w:top w:val="nil"/>
            </w:tcBorders>
          </w:tcPr>
          <w:p>
            <w:pPr>
              <w:pStyle w:val="TableParagraph"/>
              <w:spacing w:before="3"/>
              <w:ind w:left="138" w:right="139"/>
              <w:jc w:val="center"/>
              <w:rPr>
                <w:sz w:val="20"/>
              </w:rPr>
            </w:pPr>
            <w:r>
              <w:rPr>
                <w:sz w:val="20"/>
              </w:rPr>
              <w:t>Gini 0.47</w:t>
            </w:r>
          </w:p>
        </w:tc>
        <w:tc>
          <w:tcPr>
            <w:tcW w:w="2979" w:type="dxa"/>
            <w:tcBorders>
              <w:top w:val="nil"/>
            </w:tcBorders>
          </w:tcPr>
          <w:p>
            <w:pPr>
              <w:pStyle w:val="TableParagraph"/>
              <w:spacing w:before="8"/>
              <w:ind w:left="0"/>
              <w:rPr>
                <w:sz w:val="23"/>
              </w:rPr>
            </w:pPr>
          </w:p>
          <w:p>
            <w:pPr>
              <w:pStyle w:val="TableParagraph"/>
              <w:ind w:left="574" w:right="577"/>
              <w:jc w:val="center"/>
              <w:rPr>
                <w:sz w:val="20"/>
              </w:rPr>
            </w:pPr>
            <w:r>
              <w:rPr>
                <w:sz w:val="20"/>
              </w:rPr>
              <w:t>1,199,245,100</w:t>
            </w:r>
          </w:p>
        </w:tc>
        <w:tc>
          <w:tcPr>
            <w:tcW w:w="1515" w:type="dxa"/>
            <w:tcBorders>
              <w:top w:val="nil"/>
            </w:tcBorders>
          </w:tcPr>
          <w:p>
            <w:pPr>
              <w:pStyle w:val="TableParagraph"/>
              <w:spacing w:before="8"/>
              <w:ind w:left="0"/>
              <w:rPr>
                <w:sz w:val="23"/>
              </w:rPr>
            </w:pPr>
          </w:p>
          <w:p>
            <w:pPr>
              <w:pStyle w:val="TableParagraph"/>
              <w:ind w:left="369" w:right="369"/>
              <w:jc w:val="center"/>
              <w:rPr>
                <w:sz w:val="20"/>
              </w:rPr>
            </w:pPr>
            <w:r>
              <w:rPr>
                <w:sz w:val="20"/>
              </w:rPr>
              <w:t>100.00%</w:t>
            </w:r>
          </w:p>
        </w:tc>
      </w:tr>
    </w:tbl>
    <w:p>
      <w:pPr>
        <w:pStyle w:val="BodyText"/>
        <w:spacing w:line="270" w:lineRule="exact"/>
        <w:ind w:left="1326"/>
      </w:pPr>
      <w:r>
        <w:rPr/>
        <w:t>Fuente: Elaboración propia estimación a partir de datos de las ENIGH-2012</w:t>
      </w:r>
    </w:p>
    <w:p>
      <w:pPr>
        <w:spacing w:after="0" w:line="270" w:lineRule="exact"/>
        <w:sectPr>
          <w:pgSz w:w="11910" w:h="16840"/>
          <w:pgMar w:header="731" w:footer="0" w:top="960" w:bottom="280" w:left="980" w:right="960"/>
        </w:sectPr>
      </w:pPr>
    </w:p>
    <w:p>
      <w:pPr>
        <w:pStyle w:val="BodyText"/>
        <w:rPr>
          <w:sz w:val="20"/>
        </w:rPr>
      </w:pPr>
    </w:p>
    <w:p>
      <w:pPr>
        <w:pStyle w:val="BodyText"/>
        <w:spacing w:before="3"/>
        <w:rPr>
          <w:sz w:val="20"/>
        </w:rPr>
      </w:pPr>
    </w:p>
    <w:p>
      <w:pPr>
        <w:pStyle w:val="BodyText"/>
        <w:spacing w:line="276" w:lineRule="auto" w:before="1"/>
        <w:ind w:left="100" w:right="112" w:firstLine="708"/>
        <w:jc w:val="both"/>
      </w:pPr>
      <w:r>
        <w:rPr/>
        <w:t>En la tabla 1.2, podemos observar que la participación del gasto de las familias mexicanas en cuando adquisición de alimentos para el primer decil, es del orden del 66.79%, le sigue el segundo decil con 47.92% y así sucesivamente hasta el decimó decil, el cual apenas representa el 13.04% de sus ingresos destinados a alimentos. Podemos observar también que el rubro de medicamentos no es tan significativo, en virtud de que representa solo 0.52% del ingreso disponible. Y sin embargo al considerar alimentos y medicinas representa el 22.9% del ingreso nacional disponible, (Ver tabla  1.2).</w:t>
      </w:r>
    </w:p>
    <w:p>
      <w:pPr>
        <w:pStyle w:val="BodyText"/>
        <w:spacing w:before="200"/>
        <w:ind w:left="4061" w:right="260" w:hanging="3803"/>
      </w:pPr>
      <w:r>
        <w:rPr>
          <w:b/>
        </w:rPr>
        <w:t>Tabla 1.2 </w:t>
      </w:r>
      <w:r>
        <w:rPr/>
        <w:t>Estimación de la participación porcentual del gasto en Alimentos, Medicamentos de los hogares en México</w:t>
      </w:r>
    </w:p>
    <w:p>
      <w:pPr>
        <w:pStyle w:val="BodyText"/>
        <w:spacing w:before="8"/>
      </w:pPr>
    </w:p>
    <w:tbl>
      <w:tblPr>
        <w:tblW w:w="0" w:type="auto"/>
        <w:jc w:val="left"/>
        <w:tblInd w:w="25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78"/>
        <w:gridCol w:w="1343"/>
        <w:gridCol w:w="1560"/>
        <w:gridCol w:w="1099"/>
      </w:tblGrid>
      <w:tr>
        <w:trPr>
          <w:trHeight w:val="291" w:hRule="exact"/>
        </w:trPr>
        <w:tc>
          <w:tcPr>
            <w:tcW w:w="878" w:type="dxa"/>
          </w:tcPr>
          <w:p>
            <w:pPr>
              <w:pStyle w:val="TableParagraph"/>
              <w:spacing w:before="34"/>
              <w:ind w:left="59"/>
              <w:rPr>
                <w:sz w:val="20"/>
              </w:rPr>
            </w:pPr>
            <w:r>
              <w:rPr>
                <w:sz w:val="20"/>
              </w:rPr>
              <w:t>Decil</w:t>
            </w:r>
          </w:p>
        </w:tc>
        <w:tc>
          <w:tcPr>
            <w:tcW w:w="1343" w:type="dxa"/>
            <w:tcBorders>
              <w:right w:val="nil"/>
            </w:tcBorders>
          </w:tcPr>
          <w:p>
            <w:pPr>
              <w:pStyle w:val="TableParagraph"/>
              <w:spacing w:before="34"/>
              <w:ind w:left="62"/>
              <w:rPr>
                <w:sz w:val="20"/>
              </w:rPr>
            </w:pPr>
            <w:r>
              <w:rPr>
                <w:sz w:val="20"/>
              </w:rPr>
              <w:t>Alimentos</w:t>
            </w:r>
          </w:p>
        </w:tc>
        <w:tc>
          <w:tcPr>
            <w:tcW w:w="1560" w:type="dxa"/>
            <w:tcBorders>
              <w:left w:val="nil"/>
              <w:right w:val="nil"/>
            </w:tcBorders>
          </w:tcPr>
          <w:p>
            <w:pPr>
              <w:pStyle w:val="TableParagraph"/>
              <w:spacing w:before="34"/>
              <w:ind w:left="68"/>
              <w:rPr>
                <w:sz w:val="20"/>
              </w:rPr>
            </w:pPr>
            <w:r>
              <w:rPr>
                <w:sz w:val="20"/>
              </w:rPr>
              <w:t>Medicamentos</w:t>
            </w:r>
          </w:p>
        </w:tc>
        <w:tc>
          <w:tcPr>
            <w:tcW w:w="1099" w:type="dxa"/>
            <w:tcBorders>
              <w:left w:val="nil"/>
            </w:tcBorders>
          </w:tcPr>
          <w:p>
            <w:pPr>
              <w:pStyle w:val="TableParagraph"/>
              <w:spacing w:before="34"/>
              <w:ind w:left="68"/>
              <w:rPr>
                <w:sz w:val="20"/>
              </w:rPr>
            </w:pPr>
            <w:r>
              <w:rPr>
                <w:sz w:val="20"/>
              </w:rPr>
              <w:t>AlimyMed</w:t>
            </w:r>
          </w:p>
        </w:tc>
      </w:tr>
      <w:tr>
        <w:trPr>
          <w:trHeight w:val="290" w:hRule="exact"/>
        </w:trPr>
        <w:tc>
          <w:tcPr>
            <w:tcW w:w="878" w:type="dxa"/>
            <w:tcBorders>
              <w:bottom w:val="nil"/>
            </w:tcBorders>
          </w:tcPr>
          <w:p>
            <w:pPr>
              <w:pStyle w:val="TableParagraph"/>
              <w:spacing w:before="24"/>
              <w:ind w:left="0"/>
              <w:jc w:val="center"/>
              <w:rPr>
                <w:sz w:val="20"/>
              </w:rPr>
            </w:pPr>
            <w:r>
              <w:rPr>
                <w:w w:val="99"/>
                <w:sz w:val="20"/>
              </w:rPr>
              <w:t>I</w:t>
            </w:r>
          </w:p>
        </w:tc>
        <w:tc>
          <w:tcPr>
            <w:tcW w:w="1343" w:type="dxa"/>
            <w:tcBorders>
              <w:bottom w:val="nil"/>
              <w:right w:val="nil"/>
            </w:tcBorders>
          </w:tcPr>
          <w:p>
            <w:pPr>
              <w:pStyle w:val="TableParagraph"/>
              <w:spacing w:before="24"/>
              <w:ind w:left="0" w:right="66"/>
              <w:jc w:val="right"/>
              <w:rPr>
                <w:sz w:val="20"/>
              </w:rPr>
            </w:pPr>
            <w:r>
              <w:rPr>
                <w:sz w:val="20"/>
              </w:rPr>
              <w:t>66.79%</w:t>
            </w:r>
          </w:p>
        </w:tc>
        <w:tc>
          <w:tcPr>
            <w:tcW w:w="1560" w:type="dxa"/>
            <w:tcBorders>
              <w:left w:val="nil"/>
              <w:bottom w:val="nil"/>
              <w:right w:val="nil"/>
            </w:tcBorders>
          </w:tcPr>
          <w:p>
            <w:pPr>
              <w:pStyle w:val="TableParagraph"/>
              <w:spacing w:before="24"/>
              <w:ind w:left="0" w:right="66"/>
              <w:jc w:val="right"/>
              <w:rPr>
                <w:sz w:val="20"/>
              </w:rPr>
            </w:pPr>
            <w:r>
              <w:rPr>
                <w:sz w:val="20"/>
              </w:rPr>
              <w:t>1.05%</w:t>
            </w:r>
          </w:p>
        </w:tc>
        <w:tc>
          <w:tcPr>
            <w:tcW w:w="1099" w:type="dxa"/>
            <w:tcBorders>
              <w:left w:val="nil"/>
              <w:bottom w:val="nil"/>
            </w:tcBorders>
          </w:tcPr>
          <w:p>
            <w:pPr>
              <w:pStyle w:val="TableParagraph"/>
              <w:spacing w:before="24"/>
              <w:ind w:left="0" w:right="56"/>
              <w:jc w:val="right"/>
              <w:rPr>
                <w:sz w:val="20"/>
              </w:rPr>
            </w:pPr>
            <w:r>
              <w:rPr>
                <w:sz w:val="20"/>
              </w:rPr>
              <w:t>67.83%</w:t>
            </w:r>
          </w:p>
        </w:tc>
      </w:tr>
      <w:tr>
        <w:trPr>
          <w:trHeight w:val="259" w:hRule="exact"/>
        </w:trPr>
        <w:tc>
          <w:tcPr>
            <w:tcW w:w="878" w:type="dxa"/>
            <w:tcBorders>
              <w:top w:val="nil"/>
              <w:bottom w:val="nil"/>
            </w:tcBorders>
          </w:tcPr>
          <w:p>
            <w:pPr>
              <w:pStyle w:val="TableParagraph"/>
              <w:spacing w:before="3"/>
              <w:ind w:left="304" w:right="304"/>
              <w:jc w:val="center"/>
              <w:rPr>
                <w:sz w:val="20"/>
              </w:rPr>
            </w:pPr>
            <w:r>
              <w:rPr>
                <w:sz w:val="20"/>
              </w:rPr>
              <w:t>II</w:t>
            </w:r>
          </w:p>
        </w:tc>
        <w:tc>
          <w:tcPr>
            <w:tcW w:w="1343" w:type="dxa"/>
            <w:tcBorders>
              <w:top w:val="nil"/>
              <w:bottom w:val="nil"/>
              <w:right w:val="nil"/>
            </w:tcBorders>
          </w:tcPr>
          <w:p>
            <w:pPr>
              <w:pStyle w:val="TableParagraph"/>
              <w:spacing w:before="3"/>
              <w:ind w:left="0" w:right="66"/>
              <w:jc w:val="right"/>
              <w:rPr>
                <w:sz w:val="20"/>
              </w:rPr>
            </w:pPr>
            <w:r>
              <w:rPr>
                <w:sz w:val="20"/>
              </w:rPr>
              <w:t>47.92%</w:t>
            </w:r>
          </w:p>
        </w:tc>
        <w:tc>
          <w:tcPr>
            <w:tcW w:w="1560" w:type="dxa"/>
            <w:tcBorders>
              <w:top w:val="nil"/>
              <w:left w:val="nil"/>
              <w:bottom w:val="nil"/>
              <w:right w:val="nil"/>
            </w:tcBorders>
          </w:tcPr>
          <w:p>
            <w:pPr>
              <w:pStyle w:val="TableParagraph"/>
              <w:spacing w:before="3"/>
              <w:ind w:left="0" w:right="66"/>
              <w:jc w:val="right"/>
              <w:rPr>
                <w:sz w:val="20"/>
              </w:rPr>
            </w:pPr>
            <w:r>
              <w:rPr>
                <w:sz w:val="20"/>
              </w:rPr>
              <w:t>0.92%</w:t>
            </w:r>
          </w:p>
        </w:tc>
        <w:tc>
          <w:tcPr>
            <w:tcW w:w="1099" w:type="dxa"/>
            <w:tcBorders>
              <w:top w:val="nil"/>
              <w:left w:val="nil"/>
              <w:bottom w:val="nil"/>
            </w:tcBorders>
          </w:tcPr>
          <w:p>
            <w:pPr>
              <w:pStyle w:val="TableParagraph"/>
              <w:spacing w:before="3"/>
              <w:ind w:left="0" w:right="56"/>
              <w:jc w:val="right"/>
              <w:rPr>
                <w:sz w:val="20"/>
              </w:rPr>
            </w:pPr>
            <w:r>
              <w:rPr>
                <w:sz w:val="20"/>
              </w:rPr>
              <w:t>48.85%</w:t>
            </w:r>
          </w:p>
        </w:tc>
      </w:tr>
      <w:tr>
        <w:trPr>
          <w:trHeight w:val="260" w:hRule="exact"/>
        </w:trPr>
        <w:tc>
          <w:tcPr>
            <w:tcW w:w="878" w:type="dxa"/>
            <w:tcBorders>
              <w:top w:val="nil"/>
              <w:bottom w:val="nil"/>
            </w:tcBorders>
          </w:tcPr>
          <w:p>
            <w:pPr>
              <w:pStyle w:val="TableParagraph"/>
              <w:spacing w:before="3"/>
              <w:ind w:left="304" w:right="304"/>
              <w:jc w:val="center"/>
              <w:rPr>
                <w:sz w:val="20"/>
              </w:rPr>
            </w:pPr>
            <w:r>
              <w:rPr>
                <w:sz w:val="20"/>
              </w:rPr>
              <w:t>III</w:t>
            </w:r>
          </w:p>
        </w:tc>
        <w:tc>
          <w:tcPr>
            <w:tcW w:w="1343" w:type="dxa"/>
            <w:tcBorders>
              <w:top w:val="nil"/>
              <w:bottom w:val="nil"/>
              <w:right w:val="nil"/>
            </w:tcBorders>
          </w:tcPr>
          <w:p>
            <w:pPr>
              <w:pStyle w:val="TableParagraph"/>
              <w:spacing w:before="3"/>
              <w:ind w:left="0" w:right="66"/>
              <w:jc w:val="right"/>
              <w:rPr>
                <w:sz w:val="20"/>
              </w:rPr>
            </w:pPr>
            <w:r>
              <w:rPr>
                <w:sz w:val="20"/>
              </w:rPr>
              <w:t>41.95%</w:t>
            </w:r>
          </w:p>
        </w:tc>
        <w:tc>
          <w:tcPr>
            <w:tcW w:w="1560" w:type="dxa"/>
            <w:tcBorders>
              <w:top w:val="nil"/>
              <w:left w:val="nil"/>
              <w:bottom w:val="nil"/>
              <w:right w:val="nil"/>
            </w:tcBorders>
          </w:tcPr>
          <w:p>
            <w:pPr>
              <w:pStyle w:val="TableParagraph"/>
              <w:spacing w:before="3"/>
              <w:ind w:left="0" w:right="66"/>
              <w:jc w:val="right"/>
              <w:rPr>
                <w:sz w:val="20"/>
              </w:rPr>
            </w:pPr>
            <w:r>
              <w:rPr>
                <w:sz w:val="20"/>
              </w:rPr>
              <w:t>0.84%</w:t>
            </w:r>
          </w:p>
        </w:tc>
        <w:tc>
          <w:tcPr>
            <w:tcW w:w="1099" w:type="dxa"/>
            <w:tcBorders>
              <w:top w:val="nil"/>
              <w:left w:val="nil"/>
              <w:bottom w:val="nil"/>
            </w:tcBorders>
          </w:tcPr>
          <w:p>
            <w:pPr>
              <w:pStyle w:val="TableParagraph"/>
              <w:spacing w:before="3"/>
              <w:ind w:left="0" w:right="56"/>
              <w:jc w:val="right"/>
              <w:rPr>
                <w:sz w:val="20"/>
              </w:rPr>
            </w:pPr>
            <w:r>
              <w:rPr>
                <w:sz w:val="20"/>
              </w:rPr>
              <w:t>42.80%</w:t>
            </w:r>
          </w:p>
        </w:tc>
      </w:tr>
      <w:tr>
        <w:trPr>
          <w:trHeight w:val="260" w:hRule="exact"/>
        </w:trPr>
        <w:tc>
          <w:tcPr>
            <w:tcW w:w="878" w:type="dxa"/>
            <w:tcBorders>
              <w:top w:val="nil"/>
              <w:bottom w:val="nil"/>
            </w:tcBorders>
          </w:tcPr>
          <w:p>
            <w:pPr>
              <w:pStyle w:val="TableParagraph"/>
              <w:spacing w:before="4"/>
              <w:ind w:left="304" w:right="304"/>
              <w:jc w:val="center"/>
              <w:rPr>
                <w:sz w:val="20"/>
              </w:rPr>
            </w:pPr>
            <w:r>
              <w:rPr>
                <w:sz w:val="20"/>
              </w:rPr>
              <w:t>IV</w:t>
            </w:r>
          </w:p>
        </w:tc>
        <w:tc>
          <w:tcPr>
            <w:tcW w:w="1343" w:type="dxa"/>
            <w:tcBorders>
              <w:top w:val="nil"/>
              <w:bottom w:val="nil"/>
              <w:right w:val="nil"/>
            </w:tcBorders>
          </w:tcPr>
          <w:p>
            <w:pPr>
              <w:pStyle w:val="TableParagraph"/>
              <w:spacing w:before="4"/>
              <w:ind w:left="0" w:right="66"/>
              <w:jc w:val="right"/>
              <w:rPr>
                <w:sz w:val="20"/>
              </w:rPr>
            </w:pPr>
            <w:r>
              <w:rPr>
                <w:sz w:val="20"/>
              </w:rPr>
              <w:t>37.59%</w:t>
            </w:r>
          </w:p>
        </w:tc>
        <w:tc>
          <w:tcPr>
            <w:tcW w:w="1560" w:type="dxa"/>
            <w:tcBorders>
              <w:top w:val="nil"/>
              <w:left w:val="nil"/>
              <w:bottom w:val="nil"/>
              <w:right w:val="nil"/>
            </w:tcBorders>
          </w:tcPr>
          <w:p>
            <w:pPr>
              <w:pStyle w:val="TableParagraph"/>
              <w:spacing w:before="4"/>
              <w:ind w:left="0" w:right="66"/>
              <w:jc w:val="right"/>
              <w:rPr>
                <w:sz w:val="20"/>
              </w:rPr>
            </w:pPr>
            <w:r>
              <w:rPr>
                <w:sz w:val="20"/>
              </w:rPr>
              <w:t>0.75%</w:t>
            </w:r>
          </w:p>
        </w:tc>
        <w:tc>
          <w:tcPr>
            <w:tcW w:w="1099" w:type="dxa"/>
            <w:tcBorders>
              <w:top w:val="nil"/>
              <w:left w:val="nil"/>
              <w:bottom w:val="nil"/>
            </w:tcBorders>
          </w:tcPr>
          <w:p>
            <w:pPr>
              <w:pStyle w:val="TableParagraph"/>
              <w:spacing w:before="4"/>
              <w:ind w:left="0" w:right="56"/>
              <w:jc w:val="right"/>
              <w:rPr>
                <w:sz w:val="20"/>
              </w:rPr>
            </w:pPr>
            <w:r>
              <w:rPr>
                <w:sz w:val="20"/>
              </w:rPr>
              <w:t>38.33%</w:t>
            </w:r>
          </w:p>
        </w:tc>
      </w:tr>
      <w:tr>
        <w:trPr>
          <w:trHeight w:val="259" w:hRule="exact"/>
        </w:trPr>
        <w:tc>
          <w:tcPr>
            <w:tcW w:w="878" w:type="dxa"/>
            <w:tcBorders>
              <w:top w:val="nil"/>
              <w:bottom w:val="nil"/>
            </w:tcBorders>
          </w:tcPr>
          <w:p>
            <w:pPr>
              <w:pStyle w:val="TableParagraph"/>
              <w:spacing w:before="3"/>
              <w:ind w:left="0"/>
              <w:jc w:val="center"/>
              <w:rPr>
                <w:sz w:val="20"/>
              </w:rPr>
            </w:pPr>
            <w:r>
              <w:rPr>
                <w:w w:val="99"/>
                <w:sz w:val="20"/>
              </w:rPr>
              <w:t>V</w:t>
            </w:r>
          </w:p>
        </w:tc>
        <w:tc>
          <w:tcPr>
            <w:tcW w:w="1343" w:type="dxa"/>
            <w:tcBorders>
              <w:top w:val="nil"/>
              <w:bottom w:val="nil"/>
              <w:right w:val="nil"/>
            </w:tcBorders>
          </w:tcPr>
          <w:p>
            <w:pPr>
              <w:pStyle w:val="TableParagraph"/>
              <w:spacing w:before="3"/>
              <w:ind w:left="0" w:right="66"/>
              <w:jc w:val="right"/>
              <w:rPr>
                <w:sz w:val="20"/>
              </w:rPr>
            </w:pPr>
            <w:r>
              <w:rPr>
                <w:sz w:val="20"/>
              </w:rPr>
              <w:t>34.41%</w:t>
            </w:r>
          </w:p>
        </w:tc>
        <w:tc>
          <w:tcPr>
            <w:tcW w:w="1560" w:type="dxa"/>
            <w:tcBorders>
              <w:top w:val="nil"/>
              <w:left w:val="nil"/>
              <w:bottom w:val="nil"/>
              <w:right w:val="nil"/>
            </w:tcBorders>
          </w:tcPr>
          <w:p>
            <w:pPr>
              <w:pStyle w:val="TableParagraph"/>
              <w:spacing w:before="3"/>
              <w:ind w:left="0" w:right="66"/>
              <w:jc w:val="right"/>
              <w:rPr>
                <w:sz w:val="20"/>
              </w:rPr>
            </w:pPr>
            <w:r>
              <w:rPr>
                <w:sz w:val="20"/>
              </w:rPr>
              <w:t>0.64%</w:t>
            </w:r>
          </w:p>
        </w:tc>
        <w:tc>
          <w:tcPr>
            <w:tcW w:w="1099" w:type="dxa"/>
            <w:tcBorders>
              <w:top w:val="nil"/>
              <w:left w:val="nil"/>
              <w:bottom w:val="nil"/>
            </w:tcBorders>
          </w:tcPr>
          <w:p>
            <w:pPr>
              <w:pStyle w:val="TableParagraph"/>
              <w:spacing w:before="3"/>
              <w:ind w:left="0" w:right="56"/>
              <w:jc w:val="right"/>
              <w:rPr>
                <w:sz w:val="20"/>
              </w:rPr>
            </w:pPr>
            <w:r>
              <w:rPr>
                <w:sz w:val="20"/>
              </w:rPr>
              <w:t>35.04%</w:t>
            </w:r>
          </w:p>
        </w:tc>
      </w:tr>
      <w:tr>
        <w:trPr>
          <w:trHeight w:val="260" w:hRule="exact"/>
        </w:trPr>
        <w:tc>
          <w:tcPr>
            <w:tcW w:w="878" w:type="dxa"/>
            <w:tcBorders>
              <w:top w:val="nil"/>
              <w:bottom w:val="nil"/>
            </w:tcBorders>
          </w:tcPr>
          <w:p>
            <w:pPr>
              <w:pStyle w:val="TableParagraph"/>
              <w:spacing w:before="3"/>
              <w:ind w:left="304" w:right="304"/>
              <w:jc w:val="center"/>
              <w:rPr>
                <w:sz w:val="20"/>
              </w:rPr>
            </w:pPr>
            <w:r>
              <w:rPr>
                <w:sz w:val="20"/>
              </w:rPr>
              <w:t>VI</w:t>
            </w:r>
          </w:p>
        </w:tc>
        <w:tc>
          <w:tcPr>
            <w:tcW w:w="1343" w:type="dxa"/>
            <w:tcBorders>
              <w:top w:val="nil"/>
              <w:bottom w:val="nil"/>
              <w:right w:val="nil"/>
            </w:tcBorders>
          </w:tcPr>
          <w:p>
            <w:pPr>
              <w:pStyle w:val="TableParagraph"/>
              <w:spacing w:before="3"/>
              <w:ind w:left="0" w:right="66"/>
              <w:jc w:val="right"/>
              <w:rPr>
                <w:sz w:val="20"/>
              </w:rPr>
            </w:pPr>
            <w:r>
              <w:rPr>
                <w:sz w:val="20"/>
              </w:rPr>
              <w:t>30.78%</w:t>
            </w:r>
          </w:p>
        </w:tc>
        <w:tc>
          <w:tcPr>
            <w:tcW w:w="1560" w:type="dxa"/>
            <w:tcBorders>
              <w:top w:val="nil"/>
              <w:left w:val="nil"/>
              <w:bottom w:val="nil"/>
              <w:right w:val="nil"/>
            </w:tcBorders>
          </w:tcPr>
          <w:p>
            <w:pPr>
              <w:pStyle w:val="TableParagraph"/>
              <w:spacing w:before="3"/>
              <w:ind w:left="0" w:right="66"/>
              <w:jc w:val="right"/>
              <w:rPr>
                <w:sz w:val="20"/>
              </w:rPr>
            </w:pPr>
            <w:r>
              <w:rPr>
                <w:sz w:val="20"/>
              </w:rPr>
              <w:t>0.60%</w:t>
            </w:r>
          </w:p>
        </w:tc>
        <w:tc>
          <w:tcPr>
            <w:tcW w:w="1099" w:type="dxa"/>
            <w:tcBorders>
              <w:top w:val="nil"/>
              <w:left w:val="nil"/>
              <w:bottom w:val="nil"/>
            </w:tcBorders>
          </w:tcPr>
          <w:p>
            <w:pPr>
              <w:pStyle w:val="TableParagraph"/>
              <w:spacing w:before="3"/>
              <w:ind w:left="0" w:right="56"/>
              <w:jc w:val="right"/>
              <w:rPr>
                <w:sz w:val="20"/>
              </w:rPr>
            </w:pPr>
            <w:r>
              <w:rPr>
                <w:sz w:val="20"/>
              </w:rPr>
              <w:t>31.37%</w:t>
            </w:r>
          </w:p>
        </w:tc>
      </w:tr>
      <w:tr>
        <w:trPr>
          <w:trHeight w:val="260" w:hRule="exact"/>
        </w:trPr>
        <w:tc>
          <w:tcPr>
            <w:tcW w:w="878" w:type="dxa"/>
            <w:tcBorders>
              <w:top w:val="nil"/>
              <w:bottom w:val="nil"/>
            </w:tcBorders>
          </w:tcPr>
          <w:p>
            <w:pPr>
              <w:pStyle w:val="TableParagraph"/>
              <w:spacing w:before="4"/>
              <w:ind w:left="0" w:right="289"/>
              <w:jc w:val="right"/>
              <w:rPr>
                <w:sz w:val="20"/>
              </w:rPr>
            </w:pPr>
            <w:r>
              <w:rPr>
                <w:w w:val="95"/>
                <w:sz w:val="20"/>
              </w:rPr>
              <w:t>VII</w:t>
            </w:r>
          </w:p>
        </w:tc>
        <w:tc>
          <w:tcPr>
            <w:tcW w:w="1343" w:type="dxa"/>
            <w:tcBorders>
              <w:top w:val="nil"/>
              <w:bottom w:val="nil"/>
              <w:right w:val="nil"/>
            </w:tcBorders>
          </w:tcPr>
          <w:p>
            <w:pPr>
              <w:pStyle w:val="TableParagraph"/>
              <w:spacing w:before="4"/>
              <w:ind w:left="0" w:right="66"/>
              <w:jc w:val="right"/>
              <w:rPr>
                <w:sz w:val="20"/>
              </w:rPr>
            </w:pPr>
            <w:r>
              <w:rPr>
                <w:sz w:val="20"/>
              </w:rPr>
              <w:t>27.00%</w:t>
            </w:r>
          </w:p>
        </w:tc>
        <w:tc>
          <w:tcPr>
            <w:tcW w:w="1560" w:type="dxa"/>
            <w:tcBorders>
              <w:top w:val="nil"/>
              <w:left w:val="nil"/>
              <w:bottom w:val="nil"/>
              <w:right w:val="nil"/>
            </w:tcBorders>
          </w:tcPr>
          <w:p>
            <w:pPr>
              <w:pStyle w:val="TableParagraph"/>
              <w:spacing w:before="4"/>
              <w:ind w:left="0" w:right="66"/>
              <w:jc w:val="right"/>
              <w:rPr>
                <w:sz w:val="20"/>
              </w:rPr>
            </w:pPr>
            <w:r>
              <w:rPr>
                <w:sz w:val="20"/>
              </w:rPr>
              <w:t>0.47%</w:t>
            </w:r>
          </w:p>
        </w:tc>
        <w:tc>
          <w:tcPr>
            <w:tcW w:w="1099" w:type="dxa"/>
            <w:tcBorders>
              <w:top w:val="nil"/>
              <w:left w:val="nil"/>
              <w:bottom w:val="nil"/>
            </w:tcBorders>
          </w:tcPr>
          <w:p>
            <w:pPr>
              <w:pStyle w:val="TableParagraph"/>
              <w:spacing w:before="4"/>
              <w:ind w:left="0" w:right="56"/>
              <w:jc w:val="right"/>
              <w:rPr>
                <w:sz w:val="20"/>
              </w:rPr>
            </w:pPr>
            <w:r>
              <w:rPr>
                <w:sz w:val="20"/>
              </w:rPr>
              <w:t>27.47%</w:t>
            </w:r>
          </w:p>
        </w:tc>
      </w:tr>
      <w:tr>
        <w:trPr>
          <w:trHeight w:val="259" w:hRule="exact"/>
        </w:trPr>
        <w:tc>
          <w:tcPr>
            <w:tcW w:w="878" w:type="dxa"/>
            <w:tcBorders>
              <w:top w:val="nil"/>
              <w:bottom w:val="nil"/>
            </w:tcBorders>
          </w:tcPr>
          <w:p>
            <w:pPr>
              <w:pStyle w:val="TableParagraph"/>
              <w:spacing w:before="3"/>
              <w:ind w:left="0" w:right="256"/>
              <w:jc w:val="right"/>
              <w:rPr>
                <w:sz w:val="20"/>
              </w:rPr>
            </w:pPr>
            <w:r>
              <w:rPr>
                <w:w w:val="95"/>
                <w:sz w:val="20"/>
              </w:rPr>
              <w:t>VIII</w:t>
            </w:r>
          </w:p>
        </w:tc>
        <w:tc>
          <w:tcPr>
            <w:tcW w:w="1343" w:type="dxa"/>
            <w:tcBorders>
              <w:top w:val="nil"/>
              <w:bottom w:val="nil"/>
              <w:right w:val="nil"/>
            </w:tcBorders>
          </w:tcPr>
          <w:p>
            <w:pPr>
              <w:pStyle w:val="TableParagraph"/>
              <w:spacing w:before="3"/>
              <w:ind w:left="0" w:right="66"/>
              <w:jc w:val="right"/>
              <w:rPr>
                <w:sz w:val="20"/>
              </w:rPr>
            </w:pPr>
            <w:r>
              <w:rPr>
                <w:sz w:val="20"/>
              </w:rPr>
              <w:t>24.28%</w:t>
            </w:r>
          </w:p>
        </w:tc>
        <w:tc>
          <w:tcPr>
            <w:tcW w:w="1560" w:type="dxa"/>
            <w:tcBorders>
              <w:top w:val="nil"/>
              <w:left w:val="nil"/>
              <w:bottom w:val="nil"/>
              <w:right w:val="nil"/>
            </w:tcBorders>
          </w:tcPr>
          <w:p>
            <w:pPr>
              <w:pStyle w:val="TableParagraph"/>
              <w:spacing w:before="3"/>
              <w:ind w:left="0" w:right="66"/>
              <w:jc w:val="right"/>
              <w:rPr>
                <w:sz w:val="20"/>
              </w:rPr>
            </w:pPr>
            <w:r>
              <w:rPr>
                <w:sz w:val="20"/>
              </w:rPr>
              <w:t>0.49%</w:t>
            </w:r>
          </w:p>
        </w:tc>
        <w:tc>
          <w:tcPr>
            <w:tcW w:w="1099" w:type="dxa"/>
            <w:tcBorders>
              <w:top w:val="nil"/>
              <w:left w:val="nil"/>
              <w:bottom w:val="nil"/>
            </w:tcBorders>
          </w:tcPr>
          <w:p>
            <w:pPr>
              <w:pStyle w:val="TableParagraph"/>
              <w:spacing w:before="3"/>
              <w:ind w:left="0" w:right="56"/>
              <w:jc w:val="right"/>
              <w:rPr>
                <w:sz w:val="20"/>
              </w:rPr>
            </w:pPr>
            <w:r>
              <w:rPr>
                <w:sz w:val="20"/>
              </w:rPr>
              <w:t>24.77%</w:t>
            </w:r>
          </w:p>
        </w:tc>
      </w:tr>
      <w:tr>
        <w:trPr>
          <w:trHeight w:val="265" w:hRule="exact"/>
        </w:trPr>
        <w:tc>
          <w:tcPr>
            <w:tcW w:w="878" w:type="dxa"/>
            <w:tcBorders>
              <w:top w:val="nil"/>
              <w:bottom w:val="nil"/>
            </w:tcBorders>
          </w:tcPr>
          <w:p>
            <w:pPr>
              <w:pStyle w:val="TableParagraph"/>
              <w:spacing w:before="3"/>
              <w:ind w:left="304" w:right="304"/>
              <w:jc w:val="center"/>
              <w:rPr>
                <w:sz w:val="20"/>
              </w:rPr>
            </w:pPr>
            <w:r>
              <w:rPr>
                <w:sz w:val="20"/>
              </w:rPr>
              <w:t>IX</w:t>
            </w:r>
          </w:p>
        </w:tc>
        <w:tc>
          <w:tcPr>
            <w:tcW w:w="1343" w:type="dxa"/>
            <w:tcBorders>
              <w:top w:val="nil"/>
              <w:bottom w:val="nil"/>
              <w:right w:val="nil"/>
            </w:tcBorders>
          </w:tcPr>
          <w:p>
            <w:pPr>
              <w:pStyle w:val="TableParagraph"/>
              <w:spacing w:before="3"/>
              <w:ind w:left="0" w:right="66"/>
              <w:jc w:val="right"/>
              <w:rPr>
                <w:sz w:val="20"/>
              </w:rPr>
            </w:pPr>
            <w:r>
              <w:rPr>
                <w:sz w:val="20"/>
              </w:rPr>
              <w:t>20.24%</w:t>
            </w:r>
          </w:p>
        </w:tc>
        <w:tc>
          <w:tcPr>
            <w:tcW w:w="1560" w:type="dxa"/>
            <w:tcBorders>
              <w:top w:val="nil"/>
              <w:left w:val="nil"/>
              <w:bottom w:val="nil"/>
              <w:right w:val="nil"/>
            </w:tcBorders>
          </w:tcPr>
          <w:p>
            <w:pPr>
              <w:pStyle w:val="TableParagraph"/>
              <w:spacing w:before="3"/>
              <w:ind w:left="0" w:right="66"/>
              <w:jc w:val="right"/>
              <w:rPr>
                <w:sz w:val="20"/>
              </w:rPr>
            </w:pPr>
            <w:r>
              <w:rPr>
                <w:sz w:val="20"/>
              </w:rPr>
              <w:t>0.48%</w:t>
            </w:r>
          </w:p>
        </w:tc>
        <w:tc>
          <w:tcPr>
            <w:tcW w:w="1099" w:type="dxa"/>
            <w:tcBorders>
              <w:top w:val="nil"/>
              <w:left w:val="nil"/>
              <w:bottom w:val="nil"/>
            </w:tcBorders>
          </w:tcPr>
          <w:p>
            <w:pPr>
              <w:pStyle w:val="TableParagraph"/>
              <w:spacing w:before="3"/>
              <w:ind w:left="0" w:right="56"/>
              <w:jc w:val="right"/>
              <w:rPr>
                <w:sz w:val="20"/>
              </w:rPr>
            </w:pPr>
            <w:r>
              <w:rPr>
                <w:sz w:val="20"/>
              </w:rPr>
              <w:t>20.72%</w:t>
            </w:r>
          </w:p>
        </w:tc>
      </w:tr>
      <w:tr>
        <w:trPr>
          <w:trHeight w:val="251" w:hRule="exact"/>
        </w:trPr>
        <w:tc>
          <w:tcPr>
            <w:tcW w:w="878" w:type="dxa"/>
            <w:tcBorders>
              <w:top w:val="nil"/>
              <w:bottom w:val="single" w:sz="4" w:space="0" w:color="000000"/>
            </w:tcBorders>
          </w:tcPr>
          <w:p>
            <w:pPr>
              <w:pStyle w:val="TableParagraph"/>
              <w:spacing w:before="9"/>
              <w:ind w:left="0"/>
              <w:jc w:val="center"/>
              <w:rPr>
                <w:sz w:val="20"/>
              </w:rPr>
            </w:pPr>
            <w:r>
              <w:rPr>
                <w:w w:val="99"/>
                <w:sz w:val="20"/>
              </w:rPr>
              <w:t>X</w:t>
            </w:r>
          </w:p>
        </w:tc>
        <w:tc>
          <w:tcPr>
            <w:tcW w:w="1343" w:type="dxa"/>
            <w:tcBorders>
              <w:top w:val="nil"/>
              <w:bottom w:val="single" w:sz="4" w:space="0" w:color="000000"/>
              <w:right w:val="nil"/>
            </w:tcBorders>
          </w:tcPr>
          <w:p>
            <w:pPr>
              <w:pStyle w:val="TableParagraph"/>
              <w:spacing w:before="9"/>
              <w:ind w:left="0" w:right="66"/>
              <w:jc w:val="right"/>
              <w:rPr>
                <w:sz w:val="20"/>
              </w:rPr>
            </w:pPr>
            <w:r>
              <w:rPr>
                <w:sz w:val="20"/>
              </w:rPr>
              <w:t>13.04%</w:t>
            </w:r>
          </w:p>
        </w:tc>
        <w:tc>
          <w:tcPr>
            <w:tcW w:w="1560" w:type="dxa"/>
            <w:tcBorders>
              <w:top w:val="nil"/>
              <w:left w:val="nil"/>
              <w:bottom w:val="single" w:sz="4" w:space="0" w:color="000000"/>
              <w:right w:val="nil"/>
            </w:tcBorders>
          </w:tcPr>
          <w:p>
            <w:pPr>
              <w:pStyle w:val="TableParagraph"/>
              <w:spacing w:before="9"/>
              <w:ind w:left="0" w:right="66"/>
              <w:jc w:val="right"/>
              <w:rPr>
                <w:sz w:val="20"/>
              </w:rPr>
            </w:pPr>
            <w:r>
              <w:rPr>
                <w:sz w:val="20"/>
              </w:rPr>
              <w:t>0.45%</w:t>
            </w:r>
          </w:p>
        </w:tc>
        <w:tc>
          <w:tcPr>
            <w:tcW w:w="1099" w:type="dxa"/>
            <w:tcBorders>
              <w:top w:val="nil"/>
              <w:left w:val="nil"/>
              <w:bottom w:val="single" w:sz="4" w:space="0" w:color="000000"/>
            </w:tcBorders>
          </w:tcPr>
          <w:p>
            <w:pPr>
              <w:pStyle w:val="TableParagraph"/>
              <w:spacing w:before="9"/>
              <w:ind w:left="0" w:right="56"/>
              <w:jc w:val="right"/>
              <w:rPr>
                <w:sz w:val="20"/>
              </w:rPr>
            </w:pPr>
            <w:r>
              <w:rPr>
                <w:sz w:val="20"/>
              </w:rPr>
              <w:t>13.49%</w:t>
            </w:r>
          </w:p>
        </w:tc>
      </w:tr>
      <w:tr>
        <w:trPr>
          <w:trHeight w:val="278" w:hRule="exact"/>
        </w:trPr>
        <w:tc>
          <w:tcPr>
            <w:tcW w:w="878" w:type="dxa"/>
            <w:tcBorders>
              <w:top w:val="single" w:sz="4" w:space="0" w:color="000000"/>
              <w:left w:val="single" w:sz="4" w:space="0" w:color="000000"/>
              <w:bottom w:val="single" w:sz="4" w:space="0" w:color="000000"/>
            </w:tcBorders>
          </w:tcPr>
          <w:p>
            <w:pPr/>
          </w:p>
        </w:tc>
        <w:tc>
          <w:tcPr>
            <w:tcW w:w="1343" w:type="dxa"/>
            <w:tcBorders>
              <w:top w:val="single" w:sz="4" w:space="0" w:color="000000"/>
              <w:bottom w:val="single" w:sz="4" w:space="0" w:color="000000"/>
              <w:right w:val="nil"/>
            </w:tcBorders>
          </w:tcPr>
          <w:p>
            <w:pPr>
              <w:pStyle w:val="TableParagraph"/>
              <w:spacing w:before="31"/>
              <w:ind w:left="0" w:right="66"/>
              <w:jc w:val="right"/>
              <w:rPr>
                <w:sz w:val="20"/>
              </w:rPr>
            </w:pPr>
            <w:r>
              <w:rPr>
                <w:sz w:val="20"/>
              </w:rPr>
              <w:t>22.41%</w:t>
            </w:r>
          </w:p>
        </w:tc>
        <w:tc>
          <w:tcPr>
            <w:tcW w:w="1560" w:type="dxa"/>
            <w:tcBorders>
              <w:top w:val="single" w:sz="4" w:space="0" w:color="000000"/>
              <w:left w:val="nil"/>
              <w:bottom w:val="single" w:sz="4" w:space="0" w:color="000000"/>
              <w:right w:val="nil"/>
            </w:tcBorders>
          </w:tcPr>
          <w:p>
            <w:pPr>
              <w:pStyle w:val="TableParagraph"/>
              <w:spacing w:before="31"/>
              <w:ind w:left="0" w:right="66"/>
              <w:jc w:val="right"/>
              <w:rPr>
                <w:sz w:val="20"/>
              </w:rPr>
            </w:pPr>
            <w:r>
              <w:rPr>
                <w:sz w:val="20"/>
              </w:rPr>
              <w:t>0.52%</w:t>
            </w:r>
          </w:p>
        </w:tc>
        <w:tc>
          <w:tcPr>
            <w:tcW w:w="1099" w:type="dxa"/>
            <w:tcBorders>
              <w:top w:val="single" w:sz="4" w:space="0" w:color="000000"/>
              <w:left w:val="nil"/>
              <w:bottom w:val="single" w:sz="4" w:space="0" w:color="000000"/>
              <w:right w:val="single" w:sz="4" w:space="0" w:color="000000"/>
            </w:tcBorders>
          </w:tcPr>
          <w:p>
            <w:pPr>
              <w:pStyle w:val="TableParagraph"/>
              <w:spacing w:before="31"/>
              <w:ind w:left="0" w:right="61"/>
              <w:jc w:val="right"/>
              <w:rPr>
                <w:sz w:val="20"/>
              </w:rPr>
            </w:pPr>
            <w:r>
              <w:rPr>
                <w:sz w:val="20"/>
              </w:rPr>
              <w:t>22.93%</w:t>
            </w:r>
          </w:p>
        </w:tc>
      </w:tr>
    </w:tbl>
    <w:p>
      <w:pPr>
        <w:pStyle w:val="BodyText"/>
        <w:spacing w:line="268" w:lineRule="exact"/>
        <w:ind w:left="156" w:right="174"/>
        <w:jc w:val="center"/>
      </w:pPr>
      <w:r>
        <w:rPr/>
        <w:t>Fuente: Elaboración propia estimación a partir de datos de las ENIGH-2012</w:t>
      </w:r>
    </w:p>
    <w:p>
      <w:pPr>
        <w:pStyle w:val="BodyText"/>
      </w:pPr>
    </w:p>
    <w:p>
      <w:pPr>
        <w:pStyle w:val="BodyText"/>
        <w:ind w:left="100" w:right="117" w:firstLine="708"/>
        <w:jc w:val="both"/>
      </w:pPr>
      <w:r>
        <w:rPr/>
        <w:pict>
          <v:line style="position:absolute;mso-position-horizontal-relative:page;mso-position-vertical-relative:paragraph;z-index:-53056" from="536.460022pt,41.323124pt" to="536.460022pt,55.483124pt" stroked="true" strokeweight="3pt" strokecolor="#f6f6f6">
            <w10:wrap type="none"/>
          </v:line>
        </w:pict>
      </w:r>
      <w:r>
        <w:rPr/>
        <w:t>Bajo un escenario de aplicación del IVA (16%) en alimentos y medicinas la situación cambia estructuralmente hablando. Es decir, ahora el primer decil le corresponde el 1.10% del ingreso, el segundo decil el 1.92% y asís sucesivamente hasta llegar al decil diez, el concentra el 40.92% del ingreso disponible, comparemos estos resultados con la tabla 1.1. Se observa una pérdida de ingreso.</w:t>
      </w:r>
    </w:p>
    <w:p>
      <w:pPr>
        <w:pStyle w:val="BodyText"/>
      </w:pPr>
    </w:p>
    <w:p>
      <w:pPr>
        <w:pStyle w:val="BodyText"/>
        <w:ind w:left="158" w:right="174"/>
        <w:jc w:val="center"/>
      </w:pPr>
      <w:r>
        <w:rPr>
          <w:b/>
        </w:rPr>
        <w:t>Cuadro 1.3 </w:t>
      </w:r>
      <w:r>
        <w:rPr/>
        <w:t>Estimación de la participación porcentual del gasto en Alimentos, Medicamentos de los hogares en México aplicando el IVA (16%)</w:t>
      </w:r>
    </w:p>
    <w:p>
      <w:pPr>
        <w:pStyle w:val="BodyText"/>
        <w:spacing w:before="8"/>
      </w:pPr>
    </w:p>
    <w:tbl>
      <w:tblPr>
        <w:tblW w:w="0" w:type="auto"/>
        <w:jc w:val="left"/>
        <w:tblInd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0"/>
        <w:gridCol w:w="1580"/>
        <w:gridCol w:w="1501"/>
      </w:tblGrid>
      <w:tr>
        <w:trPr>
          <w:trHeight w:val="480" w:hRule="exact"/>
        </w:trPr>
        <w:tc>
          <w:tcPr>
            <w:tcW w:w="1440" w:type="dxa"/>
          </w:tcPr>
          <w:p>
            <w:pPr>
              <w:pStyle w:val="TableParagraph"/>
              <w:spacing w:before="7"/>
              <w:ind w:left="0"/>
              <w:rPr>
                <w:sz w:val="19"/>
              </w:rPr>
            </w:pPr>
          </w:p>
          <w:p>
            <w:pPr>
              <w:pStyle w:val="TableParagraph"/>
              <w:ind w:left="311" w:right="311"/>
              <w:jc w:val="center"/>
              <w:rPr>
                <w:sz w:val="20"/>
              </w:rPr>
            </w:pPr>
            <w:r>
              <w:rPr>
                <w:sz w:val="20"/>
              </w:rPr>
              <w:t>Decil</w:t>
            </w:r>
          </w:p>
        </w:tc>
        <w:tc>
          <w:tcPr>
            <w:tcW w:w="1580" w:type="dxa"/>
          </w:tcPr>
          <w:p>
            <w:pPr>
              <w:pStyle w:val="TableParagraph"/>
              <w:ind w:left="602" w:hanging="529"/>
              <w:rPr>
                <w:sz w:val="20"/>
              </w:rPr>
            </w:pPr>
            <w:r>
              <w:rPr>
                <w:w w:val="95"/>
                <w:sz w:val="20"/>
              </w:rPr>
              <w:t>Ingreso_corriente </w:t>
            </w:r>
            <w:r>
              <w:rPr>
                <w:sz w:val="20"/>
              </w:rPr>
              <w:t>total</w:t>
            </w:r>
          </w:p>
        </w:tc>
        <w:tc>
          <w:tcPr>
            <w:tcW w:w="1501" w:type="dxa"/>
          </w:tcPr>
          <w:p>
            <w:pPr>
              <w:pStyle w:val="TableParagraph"/>
              <w:spacing w:before="7"/>
              <w:ind w:left="0"/>
              <w:rPr>
                <w:sz w:val="19"/>
              </w:rPr>
            </w:pPr>
          </w:p>
          <w:p>
            <w:pPr>
              <w:pStyle w:val="TableParagraph"/>
              <w:ind w:left="0"/>
              <w:jc w:val="center"/>
              <w:rPr>
                <w:sz w:val="20"/>
              </w:rPr>
            </w:pPr>
            <w:r>
              <w:rPr>
                <w:w w:val="99"/>
                <w:sz w:val="20"/>
              </w:rPr>
              <w:t>%</w:t>
            </w:r>
          </w:p>
        </w:tc>
      </w:tr>
      <w:tr>
        <w:trPr>
          <w:trHeight w:val="291" w:hRule="exact"/>
        </w:trPr>
        <w:tc>
          <w:tcPr>
            <w:tcW w:w="1440" w:type="dxa"/>
            <w:tcBorders>
              <w:bottom w:val="nil"/>
            </w:tcBorders>
          </w:tcPr>
          <w:p>
            <w:pPr>
              <w:pStyle w:val="TableParagraph"/>
              <w:spacing w:before="24"/>
              <w:ind w:left="0"/>
              <w:jc w:val="center"/>
              <w:rPr>
                <w:sz w:val="20"/>
              </w:rPr>
            </w:pPr>
            <w:r>
              <w:rPr>
                <w:w w:val="99"/>
                <w:sz w:val="20"/>
              </w:rPr>
              <w:t>I</w:t>
            </w:r>
          </w:p>
        </w:tc>
        <w:tc>
          <w:tcPr>
            <w:tcW w:w="1580" w:type="dxa"/>
            <w:tcBorders>
              <w:bottom w:val="nil"/>
            </w:tcBorders>
          </w:tcPr>
          <w:p>
            <w:pPr>
              <w:pStyle w:val="TableParagraph"/>
              <w:spacing w:before="24"/>
              <w:ind w:left="184" w:right="184"/>
              <w:jc w:val="center"/>
              <w:rPr>
                <w:sz w:val="20"/>
              </w:rPr>
            </w:pPr>
            <w:r>
              <w:rPr>
                <w:sz w:val="20"/>
              </w:rPr>
              <w:t>12,718,137</w:t>
            </w:r>
          </w:p>
        </w:tc>
        <w:tc>
          <w:tcPr>
            <w:tcW w:w="1501" w:type="dxa"/>
            <w:tcBorders>
              <w:bottom w:val="nil"/>
            </w:tcBorders>
          </w:tcPr>
          <w:p>
            <w:pPr>
              <w:pStyle w:val="TableParagraph"/>
              <w:spacing w:before="24"/>
              <w:ind w:left="0" w:right="479"/>
              <w:jc w:val="right"/>
              <w:rPr>
                <w:sz w:val="20"/>
              </w:rPr>
            </w:pPr>
            <w:r>
              <w:rPr>
                <w:sz w:val="20"/>
              </w:rPr>
              <w:t>1.10%</w:t>
            </w:r>
          </w:p>
        </w:tc>
      </w:tr>
      <w:tr>
        <w:trPr>
          <w:trHeight w:val="261" w:hRule="exact"/>
        </w:trPr>
        <w:tc>
          <w:tcPr>
            <w:tcW w:w="1440" w:type="dxa"/>
            <w:tcBorders>
              <w:top w:val="nil"/>
              <w:bottom w:val="nil"/>
            </w:tcBorders>
          </w:tcPr>
          <w:p>
            <w:pPr>
              <w:pStyle w:val="TableParagraph"/>
              <w:spacing w:before="5"/>
              <w:ind w:left="311" w:right="312"/>
              <w:jc w:val="center"/>
              <w:rPr>
                <w:sz w:val="20"/>
              </w:rPr>
            </w:pPr>
            <w:r>
              <w:rPr>
                <w:sz w:val="20"/>
              </w:rPr>
              <w:t>Ii</w:t>
            </w:r>
          </w:p>
        </w:tc>
        <w:tc>
          <w:tcPr>
            <w:tcW w:w="1580" w:type="dxa"/>
            <w:tcBorders>
              <w:top w:val="nil"/>
              <w:bottom w:val="nil"/>
            </w:tcBorders>
          </w:tcPr>
          <w:p>
            <w:pPr>
              <w:pStyle w:val="TableParagraph"/>
              <w:spacing w:before="5"/>
              <w:ind w:left="184" w:right="184"/>
              <w:jc w:val="center"/>
              <w:rPr>
                <w:sz w:val="20"/>
              </w:rPr>
            </w:pPr>
            <w:r>
              <w:rPr>
                <w:sz w:val="20"/>
              </w:rPr>
              <w:t>22,222,267</w:t>
            </w:r>
          </w:p>
        </w:tc>
        <w:tc>
          <w:tcPr>
            <w:tcW w:w="1501" w:type="dxa"/>
            <w:tcBorders>
              <w:top w:val="nil"/>
              <w:bottom w:val="nil"/>
            </w:tcBorders>
          </w:tcPr>
          <w:p>
            <w:pPr>
              <w:pStyle w:val="TableParagraph"/>
              <w:spacing w:before="5"/>
              <w:ind w:left="0" w:right="479"/>
              <w:jc w:val="right"/>
              <w:rPr>
                <w:sz w:val="20"/>
              </w:rPr>
            </w:pPr>
            <w:r>
              <w:rPr>
                <w:sz w:val="20"/>
              </w:rPr>
              <w:t>1.92%</w:t>
            </w:r>
          </w:p>
        </w:tc>
      </w:tr>
      <w:tr>
        <w:trPr>
          <w:trHeight w:val="259" w:hRule="exact"/>
        </w:trPr>
        <w:tc>
          <w:tcPr>
            <w:tcW w:w="1440" w:type="dxa"/>
            <w:tcBorders>
              <w:top w:val="nil"/>
              <w:bottom w:val="nil"/>
            </w:tcBorders>
          </w:tcPr>
          <w:p>
            <w:pPr>
              <w:pStyle w:val="TableParagraph"/>
              <w:spacing w:before="3"/>
              <w:ind w:left="311" w:right="311"/>
              <w:jc w:val="center"/>
              <w:rPr>
                <w:sz w:val="20"/>
              </w:rPr>
            </w:pPr>
            <w:r>
              <w:rPr>
                <w:sz w:val="20"/>
              </w:rPr>
              <w:t>Iii</w:t>
            </w:r>
          </w:p>
        </w:tc>
        <w:tc>
          <w:tcPr>
            <w:tcW w:w="1580" w:type="dxa"/>
            <w:tcBorders>
              <w:top w:val="nil"/>
              <w:bottom w:val="nil"/>
            </w:tcBorders>
          </w:tcPr>
          <w:p>
            <w:pPr>
              <w:pStyle w:val="TableParagraph"/>
              <w:spacing w:before="3"/>
              <w:ind w:left="184" w:right="184"/>
              <w:jc w:val="center"/>
              <w:rPr>
                <w:sz w:val="20"/>
              </w:rPr>
            </w:pPr>
            <w:r>
              <w:rPr>
                <w:sz w:val="20"/>
              </w:rPr>
              <w:t>33,794,443</w:t>
            </w:r>
          </w:p>
        </w:tc>
        <w:tc>
          <w:tcPr>
            <w:tcW w:w="1501" w:type="dxa"/>
            <w:tcBorders>
              <w:top w:val="nil"/>
              <w:bottom w:val="nil"/>
            </w:tcBorders>
          </w:tcPr>
          <w:p>
            <w:pPr>
              <w:pStyle w:val="TableParagraph"/>
              <w:spacing w:before="3"/>
              <w:ind w:left="0" w:right="479"/>
              <w:jc w:val="right"/>
              <w:rPr>
                <w:sz w:val="20"/>
              </w:rPr>
            </w:pPr>
            <w:r>
              <w:rPr>
                <w:sz w:val="20"/>
              </w:rPr>
              <w:t>2.93%</w:t>
            </w:r>
          </w:p>
        </w:tc>
      </w:tr>
      <w:tr>
        <w:trPr>
          <w:trHeight w:val="260" w:hRule="exact"/>
        </w:trPr>
        <w:tc>
          <w:tcPr>
            <w:tcW w:w="1440" w:type="dxa"/>
            <w:tcBorders>
              <w:top w:val="nil"/>
              <w:bottom w:val="nil"/>
            </w:tcBorders>
          </w:tcPr>
          <w:p>
            <w:pPr>
              <w:pStyle w:val="TableParagraph"/>
              <w:spacing w:before="3"/>
              <w:ind w:left="311" w:right="311"/>
              <w:jc w:val="center"/>
              <w:rPr>
                <w:sz w:val="20"/>
              </w:rPr>
            </w:pPr>
            <w:r>
              <w:rPr>
                <w:sz w:val="20"/>
              </w:rPr>
              <w:t>Iv</w:t>
            </w:r>
          </w:p>
        </w:tc>
        <w:tc>
          <w:tcPr>
            <w:tcW w:w="1580" w:type="dxa"/>
            <w:tcBorders>
              <w:top w:val="nil"/>
              <w:bottom w:val="nil"/>
            </w:tcBorders>
          </w:tcPr>
          <w:p>
            <w:pPr>
              <w:pStyle w:val="TableParagraph"/>
              <w:spacing w:before="3"/>
              <w:ind w:left="184" w:right="184"/>
              <w:jc w:val="center"/>
              <w:rPr>
                <w:sz w:val="20"/>
              </w:rPr>
            </w:pPr>
            <w:r>
              <w:rPr>
                <w:sz w:val="20"/>
              </w:rPr>
              <w:t>47,517,309</w:t>
            </w:r>
          </w:p>
        </w:tc>
        <w:tc>
          <w:tcPr>
            <w:tcW w:w="1501" w:type="dxa"/>
            <w:tcBorders>
              <w:top w:val="nil"/>
              <w:bottom w:val="nil"/>
            </w:tcBorders>
          </w:tcPr>
          <w:p>
            <w:pPr>
              <w:pStyle w:val="TableParagraph"/>
              <w:spacing w:before="3"/>
              <w:ind w:left="0" w:right="479"/>
              <w:jc w:val="right"/>
              <w:rPr>
                <w:sz w:val="20"/>
              </w:rPr>
            </w:pPr>
            <w:r>
              <w:rPr>
                <w:sz w:val="20"/>
              </w:rPr>
              <w:t>4.11%</w:t>
            </w:r>
          </w:p>
        </w:tc>
      </w:tr>
      <w:tr>
        <w:trPr>
          <w:trHeight w:val="260" w:hRule="exact"/>
        </w:trPr>
        <w:tc>
          <w:tcPr>
            <w:tcW w:w="1440" w:type="dxa"/>
            <w:tcBorders>
              <w:top w:val="nil"/>
              <w:bottom w:val="nil"/>
            </w:tcBorders>
          </w:tcPr>
          <w:p>
            <w:pPr>
              <w:pStyle w:val="TableParagraph"/>
              <w:spacing w:before="4"/>
              <w:ind w:left="0"/>
              <w:jc w:val="center"/>
              <w:rPr>
                <w:sz w:val="20"/>
              </w:rPr>
            </w:pPr>
            <w:r>
              <w:rPr>
                <w:w w:val="99"/>
                <w:sz w:val="20"/>
              </w:rPr>
              <w:t>V</w:t>
            </w:r>
          </w:p>
        </w:tc>
        <w:tc>
          <w:tcPr>
            <w:tcW w:w="1580" w:type="dxa"/>
            <w:tcBorders>
              <w:top w:val="nil"/>
              <w:bottom w:val="nil"/>
            </w:tcBorders>
          </w:tcPr>
          <w:p>
            <w:pPr>
              <w:pStyle w:val="TableParagraph"/>
              <w:spacing w:before="4"/>
              <w:ind w:left="184" w:right="184"/>
              <w:jc w:val="center"/>
              <w:rPr>
                <w:sz w:val="20"/>
              </w:rPr>
            </w:pPr>
            <w:r>
              <w:rPr>
                <w:sz w:val="20"/>
              </w:rPr>
              <w:t>60,236,184</w:t>
            </w:r>
          </w:p>
        </w:tc>
        <w:tc>
          <w:tcPr>
            <w:tcW w:w="1501" w:type="dxa"/>
            <w:tcBorders>
              <w:top w:val="nil"/>
              <w:bottom w:val="nil"/>
            </w:tcBorders>
          </w:tcPr>
          <w:p>
            <w:pPr>
              <w:pStyle w:val="TableParagraph"/>
              <w:spacing w:before="4"/>
              <w:ind w:left="0" w:right="479"/>
              <w:jc w:val="right"/>
              <w:rPr>
                <w:sz w:val="20"/>
              </w:rPr>
            </w:pPr>
            <w:r>
              <w:rPr>
                <w:sz w:val="20"/>
              </w:rPr>
              <w:t>5.21%</w:t>
            </w:r>
          </w:p>
        </w:tc>
      </w:tr>
      <w:tr>
        <w:trPr>
          <w:trHeight w:val="259" w:hRule="exact"/>
        </w:trPr>
        <w:tc>
          <w:tcPr>
            <w:tcW w:w="1440" w:type="dxa"/>
            <w:tcBorders>
              <w:top w:val="nil"/>
              <w:bottom w:val="nil"/>
            </w:tcBorders>
          </w:tcPr>
          <w:p>
            <w:pPr>
              <w:pStyle w:val="TableParagraph"/>
              <w:spacing w:before="3"/>
              <w:ind w:left="311" w:right="311"/>
              <w:jc w:val="center"/>
              <w:rPr>
                <w:sz w:val="20"/>
              </w:rPr>
            </w:pPr>
            <w:r>
              <w:rPr>
                <w:sz w:val="20"/>
              </w:rPr>
              <w:t>Vi</w:t>
            </w:r>
          </w:p>
        </w:tc>
        <w:tc>
          <w:tcPr>
            <w:tcW w:w="1580" w:type="dxa"/>
            <w:tcBorders>
              <w:top w:val="nil"/>
              <w:bottom w:val="nil"/>
            </w:tcBorders>
          </w:tcPr>
          <w:p>
            <w:pPr>
              <w:pStyle w:val="TableParagraph"/>
              <w:spacing w:before="3"/>
              <w:ind w:left="184" w:right="184"/>
              <w:jc w:val="center"/>
              <w:rPr>
                <w:sz w:val="20"/>
              </w:rPr>
            </w:pPr>
            <w:r>
              <w:rPr>
                <w:sz w:val="20"/>
              </w:rPr>
              <w:t>79,664,813</w:t>
            </w:r>
          </w:p>
        </w:tc>
        <w:tc>
          <w:tcPr>
            <w:tcW w:w="1501" w:type="dxa"/>
            <w:tcBorders>
              <w:top w:val="nil"/>
              <w:bottom w:val="nil"/>
            </w:tcBorders>
          </w:tcPr>
          <w:p>
            <w:pPr>
              <w:pStyle w:val="TableParagraph"/>
              <w:spacing w:before="3"/>
              <w:ind w:left="0" w:right="479"/>
              <w:jc w:val="right"/>
              <w:rPr>
                <w:sz w:val="20"/>
              </w:rPr>
            </w:pPr>
            <w:r>
              <w:rPr>
                <w:sz w:val="20"/>
              </w:rPr>
              <w:t>6.90%</w:t>
            </w:r>
          </w:p>
        </w:tc>
      </w:tr>
      <w:tr>
        <w:trPr>
          <w:trHeight w:val="260" w:hRule="exact"/>
        </w:trPr>
        <w:tc>
          <w:tcPr>
            <w:tcW w:w="1440" w:type="dxa"/>
            <w:tcBorders>
              <w:top w:val="nil"/>
              <w:bottom w:val="nil"/>
            </w:tcBorders>
          </w:tcPr>
          <w:p>
            <w:pPr>
              <w:pStyle w:val="TableParagraph"/>
              <w:spacing w:before="3"/>
              <w:ind w:left="311" w:right="311"/>
              <w:jc w:val="center"/>
              <w:rPr>
                <w:sz w:val="20"/>
              </w:rPr>
            </w:pPr>
            <w:r>
              <w:rPr>
                <w:sz w:val="20"/>
              </w:rPr>
              <w:t>Vii</w:t>
            </w:r>
          </w:p>
        </w:tc>
        <w:tc>
          <w:tcPr>
            <w:tcW w:w="1580" w:type="dxa"/>
            <w:tcBorders>
              <w:top w:val="nil"/>
              <w:bottom w:val="nil"/>
            </w:tcBorders>
          </w:tcPr>
          <w:p>
            <w:pPr>
              <w:pStyle w:val="TableParagraph"/>
              <w:spacing w:before="3"/>
              <w:ind w:left="184" w:right="184"/>
              <w:jc w:val="center"/>
              <w:rPr>
                <w:sz w:val="20"/>
              </w:rPr>
            </w:pPr>
            <w:r>
              <w:rPr>
                <w:sz w:val="20"/>
              </w:rPr>
              <w:t>104,488,976</w:t>
            </w:r>
          </w:p>
        </w:tc>
        <w:tc>
          <w:tcPr>
            <w:tcW w:w="1501" w:type="dxa"/>
            <w:tcBorders>
              <w:top w:val="nil"/>
              <w:bottom w:val="nil"/>
            </w:tcBorders>
          </w:tcPr>
          <w:p>
            <w:pPr>
              <w:pStyle w:val="TableParagraph"/>
              <w:spacing w:before="3"/>
              <w:ind w:left="0" w:right="479"/>
              <w:jc w:val="right"/>
              <w:rPr>
                <w:sz w:val="20"/>
              </w:rPr>
            </w:pPr>
            <w:r>
              <w:rPr>
                <w:sz w:val="20"/>
              </w:rPr>
              <w:t>9.04%</w:t>
            </w:r>
          </w:p>
        </w:tc>
      </w:tr>
      <w:tr>
        <w:trPr>
          <w:trHeight w:val="260" w:hRule="exact"/>
        </w:trPr>
        <w:tc>
          <w:tcPr>
            <w:tcW w:w="1440" w:type="dxa"/>
            <w:tcBorders>
              <w:top w:val="nil"/>
              <w:bottom w:val="nil"/>
            </w:tcBorders>
          </w:tcPr>
          <w:p>
            <w:pPr>
              <w:pStyle w:val="TableParagraph"/>
              <w:spacing w:before="4"/>
              <w:ind w:left="311" w:right="311"/>
              <w:jc w:val="center"/>
              <w:rPr>
                <w:sz w:val="20"/>
              </w:rPr>
            </w:pPr>
            <w:r>
              <w:rPr>
                <w:sz w:val="20"/>
              </w:rPr>
              <w:t>Viii</w:t>
            </w:r>
          </w:p>
        </w:tc>
        <w:tc>
          <w:tcPr>
            <w:tcW w:w="1580" w:type="dxa"/>
            <w:tcBorders>
              <w:top w:val="nil"/>
              <w:bottom w:val="nil"/>
            </w:tcBorders>
          </w:tcPr>
          <w:p>
            <w:pPr>
              <w:pStyle w:val="TableParagraph"/>
              <w:spacing w:before="4"/>
              <w:ind w:left="184" w:right="184"/>
              <w:jc w:val="center"/>
              <w:rPr>
                <w:sz w:val="20"/>
              </w:rPr>
            </w:pPr>
            <w:r>
              <w:rPr>
                <w:sz w:val="20"/>
              </w:rPr>
              <w:t>134,362,441</w:t>
            </w:r>
          </w:p>
        </w:tc>
        <w:tc>
          <w:tcPr>
            <w:tcW w:w="1501" w:type="dxa"/>
            <w:tcBorders>
              <w:top w:val="nil"/>
              <w:bottom w:val="nil"/>
            </w:tcBorders>
          </w:tcPr>
          <w:p>
            <w:pPr>
              <w:pStyle w:val="TableParagraph"/>
              <w:spacing w:before="4"/>
              <w:ind w:left="0" w:right="428"/>
              <w:jc w:val="right"/>
              <w:rPr>
                <w:sz w:val="20"/>
              </w:rPr>
            </w:pPr>
            <w:r>
              <w:rPr>
                <w:sz w:val="20"/>
              </w:rPr>
              <w:t>11.63%</w:t>
            </w:r>
          </w:p>
        </w:tc>
      </w:tr>
      <w:tr>
        <w:trPr>
          <w:trHeight w:val="259" w:hRule="exact"/>
        </w:trPr>
        <w:tc>
          <w:tcPr>
            <w:tcW w:w="1440" w:type="dxa"/>
            <w:tcBorders>
              <w:top w:val="nil"/>
              <w:bottom w:val="nil"/>
            </w:tcBorders>
          </w:tcPr>
          <w:p>
            <w:pPr>
              <w:pStyle w:val="TableParagraph"/>
              <w:spacing w:before="3"/>
              <w:ind w:left="311" w:right="311"/>
              <w:jc w:val="center"/>
              <w:rPr>
                <w:sz w:val="20"/>
              </w:rPr>
            </w:pPr>
            <w:r>
              <w:rPr>
                <w:sz w:val="20"/>
              </w:rPr>
              <w:t>Ix</w:t>
            </w:r>
          </w:p>
        </w:tc>
        <w:tc>
          <w:tcPr>
            <w:tcW w:w="1580" w:type="dxa"/>
            <w:tcBorders>
              <w:top w:val="nil"/>
              <w:bottom w:val="nil"/>
            </w:tcBorders>
          </w:tcPr>
          <w:p>
            <w:pPr>
              <w:pStyle w:val="TableParagraph"/>
              <w:spacing w:before="3"/>
              <w:ind w:left="184" w:right="184"/>
              <w:jc w:val="center"/>
              <w:rPr>
                <w:sz w:val="20"/>
              </w:rPr>
            </w:pPr>
            <w:r>
              <w:rPr>
                <w:sz w:val="20"/>
              </w:rPr>
              <w:t>187,494,728</w:t>
            </w:r>
          </w:p>
        </w:tc>
        <w:tc>
          <w:tcPr>
            <w:tcW w:w="1501" w:type="dxa"/>
            <w:tcBorders>
              <w:top w:val="nil"/>
              <w:bottom w:val="nil"/>
            </w:tcBorders>
          </w:tcPr>
          <w:p>
            <w:pPr>
              <w:pStyle w:val="TableParagraph"/>
              <w:spacing w:before="3"/>
              <w:ind w:left="0" w:right="428"/>
              <w:jc w:val="right"/>
              <w:rPr>
                <w:sz w:val="20"/>
              </w:rPr>
            </w:pPr>
            <w:r>
              <w:rPr>
                <w:sz w:val="20"/>
              </w:rPr>
              <w:t>16.23%</w:t>
            </w:r>
          </w:p>
        </w:tc>
      </w:tr>
      <w:tr>
        <w:trPr>
          <w:trHeight w:val="265" w:hRule="exact"/>
        </w:trPr>
        <w:tc>
          <w:tcPr>
            <w:tcW w:w="1440" w:type="dxa"/>
            <w:tcBorders>
              <w:top w:val="nil"/>
              <w:bottom w:val="nil"/>
            </w:tcBorders>
          </w:tcPr>
          <w:p>
            <w:pPr>
              <w:pStyle w:val="TableParagraph"/>
              <w:spacing w:before="3"/>
              <w:ind w:left="0"/>
              <w:jc w:val="center"/>
              <w:rPr>
                <w:sz w:val="20"/>
              </w:rPr>
            </w:pPr>
            <w:r>
              <w:rPr>
                <w:w w:val="99"/>
                <w:sz w:val="20"/>
              </w:rPr>
              <w:t>X</w:t>
            </w:r>
          </w:p>
        </w:tc>
        <w:tc>
          <w:tcPr>
            <w:tcW w:w="1580" w:type="dxa"/>
            <w:tcBorders>
              <w:top w:val="nil"/>
              <w:bottom w:val="nil"/>
            </w:tcBorders>
          </w:tcPr>
          <w:p>
            <w:pPr>
              <w:pStyle w:val="TableParagraph"/>
              <w:spacing w:before="3"/>
              <w:ind w:left="184" w:right="184"/>
              <w:jc w:val="center"/>
              <w:rPr>
                <w:sz w:val="20"/>
              </w:rPr>
            </w:pPr>
            <w:r>
              <w:rPr>
                <w:sz w:val="20"/>
              </w:rPr>
              <w:t>472,750,433</w:t>
            </w:r>
          </w:p>
        </w:tc>
        <w:tc>
          <w:tcPr>
            <w:tcW w:w="1501" w:type="dxa"/>
            <w:tcBorders>
              <w:top w:val="nil"/>
              <w:bottom w:val="nil"/>
            </w:tcBorders>
          </w:tcPr>
          <w:p>
            <w:pPr>
              <w:pStyle w:val="TableParagraph"/>
              <w:spacing w:before="3"/>
              <w:ind w:left="0" w:right="428"/>
              <w:jc w:val="right"/>
              <w:rPr>
                <w:sz w:val="20"/>
              </w:rPr>
            </w:pPr>
            <w:r>
              <w:rPr>
                <w:sz w:val="20"/>
              </w:rPr>
              <w:t>40.92%</w:t>
            </w:r>
          </w:p>
        </w:tc>
      </w:tr>
      <w:tr>
        <w:trPr>
          <w:trHeight w:val="256" w:hRule="exact"/>
        </w:trPr>
        <w:tc>
          <w:tcPr>
            <w:tcW w:w="1440" w:type="dxa"/>
            <w:tcBorders>
              <w:top w:val="nil"/>
            </w:tcBorders>
          </w:tcPr>
          <w:p>
            <w:pPr>
              <w:pStyle w:val="TableParagraph"/>
              <w:spacing w:before="9"/>
              <w:ind w:left="311" w:right="313"/>
              <w:jc w:val="center"/>
              <w:rPr>
                <w:sz w:val="20"/>
              </w:rPr>
            </w:pPr>
            <w:r>
              <w:rPr>
                <w:sz w:val="20"/>
              </w:rPr>
              <w:t>Gini 0.47</w:t>
            </w:r>
          </w:p>
        </w:tc>
        <w:tc>
          <w:tcPr>
            <w:tcW w:w="1580" w:type="dxa"/>
            <w:tcBorders>
              <w:top w:val="nil"/>
            </w:tcBorders>
          </w:tcPr>
          <w:p>
            <w:pPr/>
          </w:p>
        </w:tc>
        <w:tc>
          <w:tcPr>
            <w:tcW w:w="1501" w:type="dxa"/>
            <w:tcBorders>
              <w:top w:val="nil"/>
            </w:tcBorders>
          </w:tcPr>
          <w:p>
            <w:pPr/>
          </w:p>
        </w:tc>
      </w:tr>
      <w:tr>
        <w:trPr>
          <w:trHeight w:val="290" w:hRule="exact"/>
        </w:trPr>
        <w:tc>
          <w:tcPr>
            <w:tcW w:w="1440" w:type="dxa"/>
          </w:tcPr>
          <w:p>
            <w:pPr/>
          </w:p>
        </w:tc>
        <w:tc>
          <w:tcPr>
            <w:tcW w:w="1580" w:type="dxa"/>
          </w:tcPr>
          <w:p>
            <w:pPr>
              <w:pStyle w:val="TableParagraph"/>
              <w:spacing w:before="34"/>
              <w:ind w:left="184" w:right="185"/>
              <w:jc w:val="center"/>
              <w:rPr>
                <w:sz w:val="20"/>
              </w:rPr>
            </w:pPr>
            <w:r>
              <w:rPr>
                <w:sz w:val="20"/>
              </w:rPr>
              <w:t>1,155,249,732</w:t>
            </w:r>
          </w:p>
        </w:tc>
        <w:tc>
          <w:tcPr>
            <w:tcW w:w="1501" w:type="dxa"/>
          </w:tcPr>
          <w:p>
            <w:pPr>
              <w:pStyle w:val="TableParagraph"/>
              <w:spacing w:before="34"/>
              <w:ind w:left="0" w:right="380"/>
              <w:jc w:val="right"/>
              <w:rPr>
                <w:sz w:val="20"/>
              </w:rPr>
            </w:pPr>
            <w:r>
              <w:rPr>
                <w:w w:val="95"/>
                <w:sz w:val="20"/>
              </w:rPr>
              <w:t>100.00%</w:t>
            </w:r>
          </w:p>
        </w:tc>
      </w:tr>
    </w:tbl>
    <w:p>
      <w:pPr>
        <w:pStyle w:val="BodyText"/>
        <w:spacing w:line="270" w:lineRule="exact"/>
        <w:ind w:left="2304"/>
      </w:pPr>
      <w:r>
        <w:rPr/>
        <w:t>Fuente: Elaboración propia a partir de las ENIGH-2012</w:t>
      </w:r>
    </w:p>
    <w:p>
      <w:pPr>
        <w:spacing w:after="0" w:line="270" w:lineRule="exact"/>
        <w:sectPr>
          <w:pgSz w:w="11910" w:h="16840"/>
          <w:pgMar w:header="731" w:footer="0" w:top="960" w:bottom="280" w:left="980" w:right="960"/>
        </w:sectPr>
      </w:pPr>
    </w:p>
    <w:p>
      <w:pPr>
        <w:pStyle w:val="BodyText"/>
        <w:rPr>
          <w:sz w:val="20"/>
        </w:rPr>
      </w:pPr>
    </w:p>
    <w:p>
      <w:pPr>
        <w:pStyle w:val="BodyText"/>
        <w:spacing w:before="1"/>
        <w:rPr>
          <w:sz w:val="20"/>
        </w:rPr>
      </w:pPr>
    </w:p>
    <w:p>
      <w:pPr>
        <w:pStyle w:val="BodyText"/>
        <w:ind w:left="4061" w:right="418" w:hanging="3647"/>
      </w:pPr>
      <w:r>
        <w:rPr>
          <w:b/>
        </w:rPr>
        <w:t>Tabla 1.4 </w:t>
      </w:r>
      <w:r>
        <w:rPr/>
        <w:t>Participación porcentual de alimentos, médicamentos en el ingreso disponible de los hogares en México</w:t>
      </w:r>
    </w:p>
    <w:p>
      <w:pPr>
        <w:pStyle w:val="BodyText"/>
        <w:spacing w:before="8"/>
      </w:pPr>
    </w:p>
    <w:tbl>
      <w:tblPr>
        <w:tblW w:w="0" w:type="auto"/>
        <w:jc w:val="left"/>
        <w:tblInd w:w="26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8"/>
        <w:gridCol w:w="1213"/>
        <w:gridCol w:w="1501"/>
        <w:gridCol w:w="1053"/>
      </w:tblGrid>
      <w:tr>
        <w:trPr>
          <w:trHeight w:val="295" w:hRule="exact"/>
        </w:trPr>
        <w:tc>
          <w:tcPr>
            <w:tcW w:w="778" w:type="dxa"/>
          </w:tcPr>
          <w:p>
            <w:pPr>
              <w:pStyle w:val="TableParagraph"/>
              <w:spacing w:before="39"/>
              <w:ind w:left="59"/>
              <w:rPr>
                <w:sz w:val="20"/>
              </w:rPr>
            </w:pPr>
            <w:r>
              <w:rPr>
                <w:sz w:val="20"/>
              </w:rPr>
              <w:t>Decil</w:t>
            </w:r>
          </w:p>
        </w:tc>
        <w:tc>
          <w:tcPr>
            <w:tcW w:w="1213" w:type="dxa"/>
            <w:tcBorders>
              <w:right w:val="nil"/>
            </w:tcBorders>
          </w:tcPr>
          <w:p>
            <w:pPr>
              <w:pStyle w:val="TableParagraph"/>
              <w:spacing w:before="39"/>
              <w:ind w:left="62"/>
              <w:rPr>
                <w:sz w:val="20"/>
              </w:rPr>
            </w:pPr>
            <w:r>
              <w:rPr>
                <w:sz w:val="20"/>
              </w:rPr>
              <w:t>Alimentos</w:t>
            </w:r>
          </w:p>
        </w:tc>
        <w:tc>
          <w:tcPr>
            <w:tcW w:w="1501" w:type="dxa"/>
            <w:tcBorders>
              <w:left w:val="nil"/>
              <w:right w:val="nil"/>
            </w:tcBorders>
          </w:tcPr>
          <w:p>
            <w:pPr>
              <w:pStyle w:val="TableParagraph"/>
              <w:spacing w:before="39"/>
              <w:ind w:left="199" w:right="83"/>
              <w:jc w:val="center"/>
              <w:rPr>
                <w:sz w:val="20"/>
              </w:rPr>
            </w:pPr>
            <w:r>
              <w:rPr>
                <w:sz w:val="20"/>
              </w:rPr>
              <w:t>Medicamentos</w:t>
            </w:r>
          </w:p>
        </w:tc>
        <w:tc>
          <w:tcPr>
            <w:tcW w:w="1053" w:type="dxa"/>
            <w:tcBorders>
              <w:left w:val="nil"/>
            </w:tcBorders>
          </w:tcPr>
          <w:p>
            <w:pPr>
              <w:pStyle w:val="TableParagraph"/>
              <w:spacing w:before="39"/>
              <w:ind w:left="82" w:right="43"/>
              <w:jc w:val="center"/>
              <w:rPr>
                <w:sz w:val="20"/>
              </w:rPr>
            </w:pPr>
            <w:r>
              <w:rPr>
                <w:sz w:val="20"/>
              </w:rPr>
              <w:t>AlimyMed</w:t>
            </w:r>
          </w:p>
        </w:tc>
      </w:tr>
      <w:tr>
        <w:trPr>
          <w:trHeight w:val="299" w:hRule="exact"/>
        </w:trPr>
        <w:tc>
          <w:tcPr>
            <w:tcW w:w="778" w:type="dxa"/>
            <w:tcBorders>
              <w:bottom w:val="nil"/>
            </w:tcBorders>
          </w:tcPr>
          <w:p>
            <w:pPr>
              <w:pStyle w:val="TableParagraph"/>
              <w:spacing w:before="31"/>
              <w:ind w:left="0"/>
              <w:jc w:val="center"/>
              <w:rPr>
                <w:sz w:val="20"/>
              </w:rPr>
            </w:pPr>
            <w:r>
              <w:rPr>
                <w:w w:val="99"/>
                <w:sz w:val="20"/>
              </w:rPr>
              <w:t>I</w:t>
            </w:r>
          </w:p>
        </w:tc>
        <w:tc>
          <w:tcPr>
            <w:tcW w:w="1213" w:type="dxa"/>
            <w:tcBorders>
              <w:bottom w:val="nil"/>
              <w:right w:val="nil"/>
            </w:tcBorders>
          </w:tcPr>
          <w:p>
            <w:pPr>
              <w:pStyle w:val="TableParagraph"/>
              <w:spacing w:before="31"/>
              <w:ind w:left="0" w:right="218"/>
              <w:jc w:val="right"/>
              <w:rPr>
                <w:sz w:val="20"/>
              </w:rPr>
            </w:pPr>
            <w:r>
              <w:rPr>
                <w:sz w:val="20"/>
              </w:rPr>
              <w:t>93.47%</w:t>
            </w:r>
          </w:p>
        </w:tc>
        <w:tc>
          <w:tcPr>
            <w:tcW w:w="1501" w:type="dxa"/>
            <w:tcBorders>
              <w:left w:val="nil"/>
              <w:bottom w:val="nil"/>
              <w:right w:val="nil"/>
            </w:tcBorders>
          </w:tcPr>
          <w:p>
            <w:pPr>
              <w:pStyle w:val="TableParagraph"/>
              <w:spacing w:before="31"/>
              <w:ind w:left="199" w:right="13"/>
              <w:jc w:val="center"/>
              <w:rPr>
                <w:sz w:val="20"/>
              </w:rPr>
            </w:pPr>
            <w:r>
              <w:rPr>
                <w:sz w:val="20"/>
              </w:rPr>
              <w:t>1.37%</w:t>
            </w:r>
          </w:p>
        </w:tc>
        <w:tc>
          <w:tcPr>
            <w:tcW w:w="1053" w:type="dxa"/>
            <w:tcBorders>
              <w:left w:val="nil"/>
              <w:bottom w:val="nil"/>
            </w:tcBorders>
          </w:tcPr>
          <w:p>
            <w:pPr>
              <w:pStyle w:val="TableParagraph"/>
              <w:spacing w:before="31"/>
              <w:ind w:left="82" w:right="40"/>
              <w:jc w:val="center"/>
              <w:rPr>
                <w:sz w:val="20"/>
              </w:rPr>
            </w:pPr>
            <w:r>
              <w:rPr>
                <w:sz w:val="20"/>
              </w:rPr>
              <w:t>94.84%</w:t>
            </w:r>
          </w:p>
        </w:tc>
      </w:tr>
      <w:tr>
        <w:trPr>
          <w:trHeight w:val="265" w:hRule="exact"/>
        </w:trPr>
        <w:tc>
          <w:tcPr>
            <w:tcW w:w="778" w:type="dxa"/>
            <w:tcBorders>
              <w:top w:val="nil"/>
              <w:bottom w:val="nil"/>
            </w:tcBorders>
          </w:tcPr>
          <w:p>
            <w:pPr>
              <w:pStyle w:val="TableParagraph"/>
              <w:spacing w:before="6"/>
              <w:ind w:left="253" w:right="253"/>
              <w:jc w:val="center"/>
              <w:rPr>
                <w:sz w:val="20"/>
              </w:rPr>
            </w:pPr>
            <w:r>
              <w:rPr>
                <w:sz w:val="20"/>
              </w:rPr>
              <w:t>II</w:t>
            </w:r>
          </w:p>
        </w:tc>
        <w:tc>
          <w:tcPr>
            <w:tcW w:w="1213" w:type="dxa"/>
            <w:tcBorders>
              <w:top w:val="nil"/>
              <w:bottom w:val="nil"/>
              <w:right w:val="nil"/>
            </w:tcBorders>
          </w:tcPr>
          <w:p>
            <w:pPr>
              <w:pStyle w:val="TableParagraph"/>
              <w:spacing w:before="6"/>
              <w:ind w:left="0" w:right="218"/>
              <w:jc w:val="right"/>
              <w:rPr>
                <w:sz w:val="20"/>
              </w:rPr>
            </w:pPr>
            <w:r>
              <w:rPr>
                <w:sz w:val="20"/>
              </w:rPr>
              <w:t>62.46%</w:t>
            </w:r>
          </w:p>
        </w:tc>
        <w:tc>
          <w:tcPr>
            <w:tcW w:w="1501" w:type="dxa"/>
            <w:tcBorders>
              <w:top w:val="nil"/>
              <w:left w:val="nil"/>
              <w:bottom w:val="nil"/>
              <w:right w:val="nil"/>
            </w:tcBorders>
          </w:tcPr>
          <w:p>
            <w:pPr>
              <w:pStyle w:val="TableParagraph"/>
              <w:spacing w:before="6"/>
              <w:ind w:left="199" w:right="13"/>
              <w:jc w:val="center"/>
              <w:rPr>
                <w:sz w:val="20"/>
              </w:rPr>
            </w:pPr>
            <w:r>
              <w:rPr>
                <w:sz w:val="20"/>
              </w:rPr>
              <w:t>1.17%</w:t>
            </w:r>
          </w:p>
        </w:tc>
        <w:tc>
          <w:tcPr>
            <w:tcW w:w="1053" w:type="dxa"/>
            <w:tcBorders>
              <w:top w:val="nil"/>
              <w:left w:val="nil"/>
              <w:bottom w:val="nil"/>
            </w:tcBorders>
          </w:tcPr>
          <w:p>
            <w:pPr>
              <w:pStyle w:val="TableParagraph"/>
              <w:spacing w:before="6"/>
              <w:ind w:left="82" w:right="40"/>
              <w:jc w:val="center"/>
              <w:rPr>
                <w:sz w:val="20"/>
              </w:rPr>
            </w:pPr>
            <w:r>
              <w:rPr>
                <w:sz w:val="20"/>
              </w:rPr>
              <w:t>63.64%</w:t>
            </w:r>
          </w:p>
        </w:tc>
      </w:tr>
      <w:tr>
        <w:trPr>
          <w:trHeight w:val="266" w:hRule="exact"/>
        </w:trPr>
        <w:tc>
          <w:tcPr>
            <w:tcW w:w="778" w:type="dxa"/>
            <w:tcBorders>
              <w:top w:val="nil"/>
              <w:bottom w:val="nil"/>
            </w:tcBorders>
          </w:tcPr>
          <w:p>
            <w:pPr>
              <w:pStyle w:val="TableParagraph"/>
              <w:spacing w:before="7"/>
              <w:ind w:left="253" w:right="253"/>
              <w:jc w:val="center"/>
              <w:rPr>
                <w:sz w:val="20"/>
              </w:rPr>
            </w:pPr>
            <w:r>
              <w:rPr>
                <w:sz w:val="20"/>
              </w:rPr>
              <w:t>III</w:t>
            </w:r>
          </w:p>
        </w:tc>
        <w:tc>
          <w:tcPr>
            <w:tcW w:w="1213" w:type="dxa"/>
            <w:tcBorders>
              <w:top w:val="nil"/>
              <w:bottom w:val="nil"/>
              <w:right w:val="nil"/>
            </w:tcBorders>
          </w:tcPr>
          <w:p>
            <w:pPr>
              <w:pStyle w:val="TableParagraph"/>
              <w:spacing w:before="7"/>
              <w:ind w:left="0" w:right="218"/>
              <w:jc w:val="right"/>
              <w:rPr>
                <w:sz w:val="20"/>
              </w:rPr>
            </w:pPr>
            <w:r>
              <w:rPr>
                <w:sz w:val="20"/>
              </w:rPr>
              <w:t>52.66%</w:t>
            </w:r>
          </w:p>
        </w:tc>
        <w:tc>
          <w:tcPr>
            <w:tcW w:w="1501" w:type="dxa"/>
            <w:tcBorders>
              <w:top w:val="nil"/>
              <w:left w:val="nil"/>
              <w:bottom w:val="nil"/>
              <w:right w:val="nil"/>
            </w:tcBorders>
          </w:tcPr>
          <w:p>
            <w:pPr>
              <w:pStyle w:val="TableParagraph"/>
              <w:spacing w:before="7"/>
              <w:ind w:left="199" w:right="13"/>
              <w:jc w:val="center"/>
              <w:rPr>
                <w:sz w:val="20"/>
              </w:rPr>
            </w:pPr>
            <w:r>
              <w:rPr>
                <w:sz w:val="20"/>
              </w:rPr>
              <w:t>1.08%</w:t>
            </w:r>
          </w:p>
        </w:tc>
        <w:tc>
          <w:tcPr>
            <w:tcW w:w="1053" w:type="dxa"/>
            <w:tcBorders>
              <w:top w:val="nil"/>
              <w:left w:val="nil"/>
              <w:bottom w:val="nil"/>
            </w:tcBorders>
          </w:tcPr>
          <w:p>
            <w:pPr>
              <w:pStyle w:val="TableParagraph"/>
              <w:spacing w:before="7"/>
              <w:ind w:left="82" w:right="40"/>
              <w:jc w:val="center"/>
              <w:rPr>
                <w:sz w:val="20"/>
              </w:rPr>
            </w:pPr>
            <w:r>
              <w:rPr>
                <w:sz w:val="20"/>
              </w:rPr>
              <w:t>53.74%</w:t>
            </w:r>
          </w:p>
        </w:tc>
      </w:tr>
      <w:tr>
        <w:trPr>
          <w:trHeight w:val="266" w:hRule="exact"/>
        </w:trPr>
        <w:tc>
          <w:tcPr>
            <w:tcW w:w="778" w:type="dxa"/>
            <w:tcBorders>
              <w:top w:val="nil"/>
              <w:bottom w:val="nil"/>
            </w:tcBorders>
          </w:tcPr>
          <w:p>
            <w:pPr>
              <w:pStyle w:val="TableParagraph"/>
              <w:spacing w:before="7"/>
              <w:ind w:left="253" w:right="253"/>
              <w:jc w:val="center"/>
              <w:rPr>
                <w:sz w:val="20"/>
              </w:rPr>
            </w:pPr>
            <w:r>
              <w:rPr>
                <w:sz w:val="20"/>
              </w:rPr>
              <w:t>IV</w:t>
            </w:r>
          </w:p>
        </w:tc>
        <w:tc>
          <w:tcPr>
            <w:tcW w:w="1213" w:type="dxa"/>
            <w:tcBorders>
              <w:top w:val="nil"/>
              <w:bottom w:val="nil"/>
              <w:right w:val="nil"/>
            </w:tcBorders>
          </w:tcPr>
          <w:p>
            <w:pPr>
              <w:pStyle w:val="TableParagraph"/>
              <w:spacing w:before="7"/>
              <w:ind w:left="0" w:right="218"/>
              <w:jc w:val="right"/>
              <w:rPr>
                <w:sz w:val="20"/>
              </w:rPr>
            </w:pPr>
            <w:r>
              <w:rPr>
                <w:sz w:val="20"/>
              </w:rPr>
              <w:t>47.88%</w:t>
            </w:r>
          </w:p>
        </w:tc>
        <w:tc>
          <w:tcPr>
            <w:tcW w:w="1501" w:type="dxa"/>
            <w:tcBorders>
              <w:top w:val="nil"/>
              <w:left w:val="nil"/>
              <w:bottom w:val="nil"/>
              <w:right w:val="nil"/>
            </w:tcBorders>
          </w:tcPr>
          <w:p>
            <w:pPr>
              <w:pStyle w:val="TableParagraph"/>
              <w:spacing w:before="7"/>
              <w:ind w:left="199" w:right="13"/>
              <w:jc w:val="center"/>
              <w:rPr>
                <w:sz w:val="20"/>
              </w:rPr>
            </w:pPr>
            <w:r>
              <w:rPr>
                <w:sz w:val="20"/>
              </w:rPr>
              <w:t>0.96%</w:t>
            </w:r>
          </w:p>
        </w:tc>
        <w:tc>
          <w:tcPr>
            <w:tcW w:w="1053" w:type="dxa"/>
            <w:tcBorders>
              <w:top w:val="nil"/>
              <w:left w:val="nil"/>
              <w:bottom w:val="nil"/>
            </w:tcBorders>
          </w:tcPr>
          <w:p>
            <w:pPr>
              <w:pStyle w:val="TableParagraph"/>
              <w:spacing w:before="7"/>
              <w:ind w:left="82" w:right="40"/>
              <w:jc w:val="center"/>
              <w:rPr>
                <w:sz w:val="20"/>
              </w:rPr>
            </w:pPr>
            <w:r>
              <w:rPr>
                <w:sz w:val="20"/>
              </w:rPr>
              <w:t>48.85%</w:t>
            </w:r>
          </w:p>
        </w:tc>
      </w:tr>
      <w:tr>
        <w:trPr>
          <w:trHeight w:val="266" w:hRule="exact"/>
        </w:trPr>
        <w:tc>
          <w:tcPr>
            <w:tcW w:w="778" w:type="dxa"/>
            <w:tcBorders>
              <w:top w:val="nil"/>
              <w:bottom w:val="nil"/>
            </w:tcBorders>
          </w:tcPr>
          <w:p>
            <w:pPr>
              <w:pStyle w:val="TableParagraph"/>
              <w:spacing w:before="7"/>
              <w:ind w:left="0"/>
              <w:jc w:val="center"/>
              <w:rPr>
                <w:sz w:val="20"/>
              </w:rPr>
            </w:pPr>
            <w:r>
              <w:rPr>
                <w:w w:val="99"/>
                <w:sz w:val="20"/>
              </w:rPr>
              <w:t>V</w:t>
            </w:r>
          </w:p>
        </w:tc>
        <w:tc>
          <w:tcPr>
            <w:tcW w:w="1213" w:type="dxa"/>
            <w:tcBorders>
              <w:top w:val="nil"/>
              <w:bottom w:val="nil"/>
              <w:right w:val="nil"/>
            </w:tcBorders>
          </w:tcPr>
          <w:p>
            <w:pPr>
              <w:pStyle w:val="TableParagraph"/>
              <w:spacing w:before="7"/>
              <w:ind w:left="0" w:right="218"/>
              <w:jc w:val="right"/>
              <w:rPr>
                <w:sz w:val="20"/>
              </w:rPr>
            </w:pPr>
            <w:r>
              <w:rPr>
                <w:sz w:val="20"/>
              </w:rPr>
              <w:t>41.49%</w:t>
            </w:r>
          </w:p>
        </w:tc>
        <w:tc>
          <w:tcPr>
            <w:tcW w:w="1501" w:type="dxa"/>
            <w:tcBorders>
              <w:top w:val="nil"/>
              <w:left w:val="nil"/>
              <w:bottom w:val="nil"/>
              <w:right w:val="nil"/>
            </w:tcBorders>
          </w:tcPr>
          <w:p>
            <w:pPr>
              <w:pStyle w:val="TableParagraph"/>
              <w:spacing w:before="7"/>
              <w:ind w:left="199" w:right="13"/>
              <w:jc w:val="center"/>
              <w:rPr>
                <w:sz w:val="20"/>
              </w:rPr>
            </w:pPr>
            <w:r>
              <w:rPr>
                <w:sz w:val="20"/>
              </w:rPr>
              <w:t>0.83%</w:t>
            </w:r>
          </w:p>
        </w:tc>
        <w:tc>
          <w:tcPr>
            <w:tcW w:w="1053" w:type="dxa"/>
            <w:tcBorders>
              <w:top w:val="nil"/>
              <w:left w:val="nil"/>
              <w:bottom w:val="nil"/>
            </w:tcBorders>
          </w:tcPr>
          <w:p>
            <w:pPr>
              <w:pStyle w:val="TableParagraph"/>
              <w:spacing w:before="7"/>
              <w:ind w:left="82" w:right="40"/>
              <w:jc w:val="center"/>
              <w:rPr>
                <w:sz w:val="20"/>
              </w:rPr>
            </w:pPr>
            <w:r>
              <w:rPr>
                <w:sz w:val="20"/>
              </w:rPr>
              <w:t>42.32%</w:t>
            </w:r>
          </w:p>
        </w:tc>
      </w:tr>
      <w:tr>
        <w:trPr>
          <w:trHeight w:val="266" w:hRule="exact"/>
        </w:trPr>
        <w:tc>
          <w:tcPr>
            <w:tcW w:w="778" w:type="dxa"/>
            <w:tcBorders>
              <w:top w:val="nil"/>
              <w:bottom w:val="nil"/>
            </w:tcBorders>
          </w:tcPr>
          <w:p>
            <w:pPr>
              <w:pStyle w:val="TableParagraph"/>
              <w:spacing w:before="7"/>
              <w:ind w:left="253" w:right="253"/>
              <w:jc w:val="center"/>
              <w:rPr>
                <w:sz w:val="20"/>
              </w:rPr>
            </w:pPr>
            <w:r>
              <w:rPr>
                <w:sz w:val="20"/>
              </w:rPr>
              <w:t>VI</w:t>
            </w:r>
          </w:p>
        </w:tc>
        <w:tc>
          <w:tcPr>
            <w:tcW w:w="1213" w:type="dxa"/>
            <w:tcBorders>
              <w:top w:val="nil"/>
              <w:bottom w:val="nil"/>
              <w:right w:val="nil"/>
            </w:tcBorders>
          </w:tcPr>
          <w:p>
            <w:pPr>
              <w:pStyle w:val="TableParagraph"/>
              <w:spacing w:before="7"/>
              <w:ind w:left="0" w:right="218"/>
              <w:jc w:val="right"/>
              <w:rPr>
                <w:sz w:val="20"/>
              </w:rPr>
            </w:pPr>
            <w:r>
              <w:rPr>
                <w:sz w:val="20"/>
              </w:rPr>
              <w:t>37.37%</w:t>
            </w:r>
          </w:p>
        </w:tc>
        <w:tc>
          <w:tcPr>
            <w:tcW w:w="1501" w:type="dxa"/>
            <w:tcBorders>
              <w:top w:val="nil"/>
              <w:left w:val="nil"/>
              <w:bottom w:val="nil"/>
              <w:right w:val="nil"/>
            </w:tcBorders>
          </w:tcPr>
          <w:p>
            <w:pPr>
              <w:pStyle w:val="TableParagraph"/>
              <w:spacing w:before="7"/>
              <w:ind w:left="199" w:right="13"/>
              <w:jc w:val="center"/>
              <w:rPr>
                <w:sz w:val="20"/>
              </w:rPr>
            </w:pPr>
            <w:r>
              <w:rPr>
                <w:sz w:val="20"/>
              </w:rPr>
              <w:t>0.68%</w:t>
            </w:r>
          </w:p>
        </w:tc>
        <w:tc>
          <w:tcPr>
            <w:tcW w:w="1053" w:type="dxa"/>
            <w:tcBorders>
              <w:top w:val="nil"/>
              <w:left w:val="nil"/>
              <w:bottom w:val="nil"/>
            </w:tcBorders>
          </w:tcPr>
          <w:p>
            <w:pPr>
              <w:pStyle w:val="TableParagraph"/>
              <w:spacing w:before="7"/>
              <w:ind w:left="82" w:right="40"/>
              <w:jc w:val="center"/>
              <w:rPr>
                <w:sz w:val="20"/>
              </w:rPr>
            </w:pPr>
            <w:r>
              <w:rPr>
                <w:sz w:val="20"/>
              </w:rPr>
              <w:t>38.05%</w:t>
            </w:r>
          </w:p>
        </w:tc>
      </w:tr>
      <w:tr>
        <w:trPr>
          <w:trHeight w:val="265" w:hRule="exact"/>
        </w:trPr>
        <w:tc>
          <w:tcPr>
            <w:tcW w:w="778" w:type="dxa"/>
            <w:tcBorders>
              <w:top w:val="nil"/>
              <w:bottom w:val="nil"/>
            </w:tcBorders>
          </w:tcPr>
          <w:p>
            <w:pPr>
              <w:pStyle w:val="TableParagraph"/>
              <w:spacing w:before="7"/>
              <w:ind w:left="239"/>
              <w:rPr>
                <w:sz w:val="20"/>
              </w:rPr>
            </w:pPr>
            <w:r>
              <w:rPr>
                <w:sz w:val="20"/>
              </w:rPr>
              <w:t>VII</w:t>
            </w:r>
          </w:p>
        </w:tc>
        <w:tc>
          <w:tcPr>
            <w:tcW w:w="1213" w:type="dxa"/>
            <w:tcBorders>
              <w:top w:val="nil"/>
              <w:bottom w:val="nil"/>
              <w:right w:val="nil"/>
            </w:tcBorders>
          </w:tcPr>
          <w:p>
            <w:pPr>
              <w:pStyle w:val="TableParagraph"/>
              <w:spacing w:before="7"/>
              <w:ind w:left="0" w:right="218"/>
              <w:jc w:val="right"/>
              <w:rPr>
                <w:sz w:val="20"/>
              </w:rPr>
            </w:pPr>
            <w:r>
              <w:rPr>
                <w:sz w:val="20"/>
              </w:rPr>
              <w:t>32.35%</w:t>
            </w:r>
          </w:p>
        </w:tc>
        <w:tc>
          <w:tcPr>
            <w:tcW w:w="1501" w:type="dxa"/>
            <w:tcBorders>
              <w:top w:val="nil"/>
              <w:left w:val="nil"/>
              <w:bottom w:val="nil"/>
              <w:right w:val="nil"/>
            </w:tcBorders>
          </w:tcPr>
          <w:p>
            <w:pPr>
              <w:pStyle w:val="TableParagraph"/>
              <w:spacing w:before="7"/>
              <w:ind w:left="199" w:right="13"/>
              <w:jc w:val="center"/>
              <w:rPr>
                <w:sz w:val="20"/>
              </w:rPr>
            </w:pPr>
            <w:r>
              <w:rPr>
                <w:sz w:val="20"/>
              </w:rPr>
              <w:t>0.58%</w:t>
            </w:r>
          </w:p>
        </w:tc>
        <w:tc>
          <w:tcPr>
            <w:tcW w:w="1053" w:type="dxa"/>
            <w:tcBorders>
              <w:top w:val="nil"/>
              <w:left w:val="nil"/>
              <w:bottom w:val="nil"/>
            </w:tcBorders>
          </w:tcPr>
          <w:p>
            <w:pPr>
              <w:pStyle w:val="TableParagraph"/>
              <w:spacing w:before="7"/>
              <w:ind w:left="82" w:right="40"/>
              <w:jc w:val="center"/>
              <w:rPr>
                <w:sz w:val="20"/>
              </w:rPr>
            </w:pPr>
            <w:r>
              <w:rPr>
                <w:sz w:val="20"/>
              </w:rPr>
              <w:t>32.94%</w:t>
            </w:r>
          </w:p>
        </w:tc>
      </w:tr>
      <w:tr>
        <w:trPr>
          <w:trHeight w:val="266" w:hRule="exact"/>
        </w:trPr>
        <w:tc>
          <w:tcPr>
            <w:tcW w:w="778" w:type="dxa"/>
            <w:tcBorders>
              <w:top w:val="nil"/>
              <w:bottom w:val="nil"/>
            </w:tcBorders>
          </w:tcPr>
          <w:p>
            <w:pPr>
              <w:pStyle w:val="TableParagraph"/>
              <w:spacing w:before="6"/>
              <w:ind w:left="206"/>
              <w:rPr>
                <w:sz w:val="20"/>
              </w:rPr>
            </w:pPr>
            <w:r>
              <w:rPr>
                <w:sz w:val="20"/>
              </w:rPr>
              <w:t>VIII</w:t>
            </w:r>
          </w:p>
        </w:tc>
        <w:tc>
          <w:tcPr>
            <w:tcW w:w="1213" w:type="dxa"/>
            <w:tcBorders>
              <w:top w:val="nil"/>
              <w:bottom w:val="nil"/>
              <w:right w:val="nil"/>
            </w:tcBorders>
          </w:tcPr>
          <w:p>
            <w:pPr>
              <w:pStyle w:val="TableParagraph"/>
              <w:spacing w:before="6"/>
              <w:ind w:left="0" w:right="218"/>
              <w:jc w:val="right"/>
              <w:rPr>
                <w:sz w:val="20"/>
              </w:rPr>
            </w:pPr>
            <w:r>
              <w:rPr>
                <w:sz w:val="20"/>
              </w:rPr>
              <w:t>29.75%</w:t>
            </w:r>
          </w:p>
        </w:tc>
        <w:tc>
          <w:tcPr>
            <w:tcW w:w="1501" w:type="dxa"/>
            <w:tcBorders>
              <w:top w:val="nil"/>
              <w:left w:val="nil"/>
              <w:bottom w:val="nil"/>
              <w:right w:val="nil"/>
            </w:tcBorders>
          </w:tcPr>
          <w:p>
            <w:pPr>
              <w:pStyle w:val="TableParagraph"/>
              <w:spacing w:before="6"/>
              <w:ind w:left="199" w:right="13"/>
              <w:jc w:val="center"/>
              <w:rPr>
                <w:sz w:val="20"/>
              </w:rPr>
            </w:pPr>
            <w:r>
              <w:rPr>
                <w:sz w:val="20"/>
              </w:rPr>
              <w:t>0.63%</w:t>
            </w:r>
          </w:p>
        </w:tc>
        <w:tc>
          <w:tcPr>
            <w:tcW w:w="1053" w:type="dxa"/>
            <w:tcBorders>
              <w:top w:val="nil"/>
              <w:left w:val="nil"/>
              <w:bottom w:val="nil"/>
            </w:tcBorders>
          </w:tcPr>
          <w:p>
            <w:pPr>
              <w:pStyle w:val="TableParagraph"/>
              <w:spacing w:before="6"/>
              <w:ind w:left="82" w:right="40"/>
              <w:jc w:val="center"/>
              <w:rPr>
                <w:sz w:val="20"/>
              </w:rPr>
            </w:pPr>
            <w:r>
              <w:rPr>
                <w:sz w:val="20"/>
              </w:rPr>
              <w:t>30.38%</w:t>
            </w:r>
          </w:p>
        </w:tc>
      </w:tr>
      <w:tr>
        <w:trPr>
          <w:trHeight w:val="271" w:hRule="exact"/>
        </w:trPr>
        <w:tc>
          <w:tcPr>
            <w:tcW w:w="778" w:type="dxa"/>
            <w:tcBorders>
              <w:top w:val="nil"/>
              <w:bottom w:val="nil"/>
            </w:tcBorders>
          </w:tcPr>
          <w:p>
            <w:pPr>
              <w:pStyle w:val="TableParagraph"/>
              <w:spacing w:before="7"/>
              <w:ind w:left="253" w:right="253"/>
              <w:jc w:val="center"/>
              <w:rPr>
                <w:sz w:val="20"/>
              </w:rPr>
            </w:pPr>
            <w:r>
              <w:rPr>
                <w:sz w:val="20"/>
              </w:rPr>
              <w:t>IX</w:t>
            </w:r>
          </w:p>
        </w:tc>
        <w:tc>
          <w:tcPr>
            <w:tcW w:w="1213" w:type="dxa"/>
            <w:tcBorders>
              <w:top w:val="nil"/>
              <w:bottom w:val="nil"/>
              <w:right w:val="nil"/>
            </w:tcBorders>
          </w:tcPr>
          <w:p>
            <w:pPr>
              <w:pStyle w:val="TableParagraph"/>
              <w:spacing w:before="7"/>
              <w:ind w:left="0" w:right="218"/>
              <w:jc w:val="right"/>
              <w:rPr>
                <w:sz w:val="20"/>
              </w:rPr>
            </w:pPr>
            <w:r>
              <w:rPr>
                <w:sz w:val="20"/>
              </w:rPr>
              <w:t>23.92%</w:t>
            </w:r>
          </w:p>
        </w:tc>
        <w:tc>
          <w:tcPr>
            <w:tcW w:w="1501" w:type="dxa"/>
            <w:tcBorders>
              <w:top w:val="nil"/>
              <w:left w:val="nil"/>
              <w:bottom w:val="nil"/>
              <w:right w:val="nil"/>
            </w:tcBorders>
          </w:tcPr>
          <w:p>
            <w:pPr>
              <w:pStyle w:val="TableParagraph"/>
              <w:spacing w:before="7"/>
              <w:ind w:left="199" w:right="13"/>
              <w:jc w:val="center"/>
              <w:rPr>
                <w:sz w:val="20"/>
              </w:rPr>
            </w:pPr>
            <w:r>
              <w:rPr>
                <w:sz w:val="20"/>
              </w:rPr>
              <w:t>0.55%</w:t>
            </w:r>
          </w:p>
        </w:tc>
        <w:tc>
          <w:tcPr>
            <w:tcW w:w="1053" w:type="dxa"/>
            <w:tcBorders>
              <w:top w:val="nil"/>
              <w:left w:val="nil"/>
              <w:bottom w:val="nil"/>
            </w:tcBorders>
          </w:tcPr>
          <w:p>
            <w:pPr>
              <w:pStyle w:val="TableParagraph"/>
              <w:spacing w:before="7"/>
              <w:ind w:left="82" w:right="40"/>
              <w:jc w:val="center"/>
              <w:rPr>
                <w:sz w:val="20"/>
              </w:rPr>
            </w:pPr>
            <w:r>
              <w:rPr>
                <w:sz w:val="20"/>
              </w:rPr>
              <w:t>24.47%</w:t>
            </w:r>
          </w:p>
        </w:tc>
      </w:tr>
      <w:tr>
        <w:trPr>
          <w:trHeight w:val="259" w:hRule="exact"/>
        </w:trPr>
        <w:tc>
          <w:tcPr>
            <w:tcW w:w="778" w:type="dxa"/>
            <w:tcBorders>
              <w:top w:val="nil"/>
            </w:tcBorders>
          </w:tcPr>
          <w:p>
            <w:pPr>
              <w:pStyle w:val="TableParagraph"/>
              <w:spacing w:before="12"/>
              <w:ind w:left="0"/>
              <w:jc w:val="center"/>
              <w:rPr>
                <w:sz w:val="20"/>
              </w:rPr>
            </w:pPr>
            <w:r>
              <w:rPr>
                <w:w w:val="99"/>
                <w:sz w:val="20"/>
              </w:rPr>
              <w:t>X</w:t>
            </w:r>
          </w:p>
        </w:tc>
        <w:tc>
          <w:tcPr>
            <w:tcW w:w="1213" w:type="dxa"/>
            <w:tcBorders>
              <w:top w:val="nil"/>
              <w:bottom w:val="nil"/>
              <w:right w:val="nil"/>
            </w:tcBorders>
          </w:tcPr>
          <w:p>
            <w:pPr>
              <w:pStyle w:val="TableParagraph"/>
              <w:spacing w:before="12"/>
              <w:ind w:left="0" w:right="218"/>
              <w:jc w:val="right"/>
              <w:rPr>
                <w:sz w:val="20"/>
              </w:rPr>
            </w:pPr>
            <w:r>
              <w:rPr>
                <w:sz w:val="20"/>
              </w:rPr>
              <w:t>15.23%</w:t>
            </w:r>
          </w:p>
        </w:tc>
        <w:tc>
          <w:tcPr>
            <w:tcW w:w="1501" w:type="dxa"/>
            <w:tcBorders>
              <w:top w:val="nil"/>
              <w:left w:val="nil"/>
              <w:bottom w:val="nil"/>
              <w:right w:val="nil"/>
            </w:tcBorders>
          </w:tcPr>
          <w:p>
            <w:pPr>
              <w:pStyle w:val="TableParagraph"/>
              <w:spacing w:before="12"/>
              <w:ind w:left="199" w:right="13"/>
              <w:jc w:val="center"/>
              <w:rPr>
                <w:sz w:val="20"/>
              </w:rPr>
            </w:pPr>
            <w:r>
              <w:rPr>
                <w:sz w:val="20"/>
              </w:rPr>
              <w:t>0.53%</w:t>
            </w:r>
          </w:p>
        </w:tc>
        <w:tc>
          <w:tcPr>
            <w:tcW w:w="1053" w:type="dxa"/>
            <w:tcBorders>
              <w:top w:val="nil"/>
              <w:left w:val="nil"/>
              <w:bottom w:val="nil"/>
            </w:tcBorders>
          </w:tcPr>
          <w:p>
            <w:pPr>
              <w:pStyle w:val="TableParagraph"/>
              <w:spacing w:before="12"/>
              <w:ind w:left="82" w:right="40"/>
              <w:jc w:val="center"/>
              <w:rPr>
                <w:sz w:val="20"/>
              </w:rPr>
            </w:pPr>
            <w:r>
              <w:rPr>
                <w:sz w:val="20"/>
              </w:rPr>
              <w:t>15.75%</w:t>
            </w:r>
          </w:p>
        </w:tc>
      </w:tr>
      <w:tr>
        <w:trPr>
          <w:trHeight w:val="295" w:hRule="exact"/>
        </w:trPr>
        <w:tc>
          <w:tcPr>
            <w:tcW w:w="778" w:type="dxa"/>
          </w:tcPr>
          <w:p>
            <w:pPr/>
          </w:p>
        </w:tc>
        <w:tc>
          <w:tcPr>
            <w:tcW w:w="1213" w:type="dxa"/>
            <w:tcBorders>
              <w:top w:val="nil"/>
              <w:right w:val="nil"/>
            </w:tcBorders>
          </w:tcPr>
          <w:p>
            <w:pPr/>
          </w:p>
        </w:tc>
        <w:tc>
          <w:tcPr>
            <w:tcW w:w="1501" w:type="dxa"/>
            <w:tcBorders>
              <w:top w:val="nil"/>
              <w:left w:val="nil"/>
              <w:right w:val="nil"/>
            </w:tcBorders>
          </w:tcPr>
          <w:p>
            <w:pPr/>
          </w:p>
        </w:tc>
        <w:tc>
          <w:tcPr>
            <w:tcW w:w="1053" w:type="dxa"/>
            <w:tcBorders>
              <w:top w:val="nil"/>
              <w:left w:val="nil"/>
            </w:tcBorders>
          </w:tcPr>
          <w:p>
            <w:pPr/>
          </w:p>
        </w:tc>
      </w:tr>
      <w:tr>
        <w:trPr>
          <w:trHeight w:val="298" w:hRule="exact"/>
        </w:trPr>
        <w:tc>
          <w:tcPr>
            <w:tcW w:w="778" w:type="dxa"/>
          </w:tcPr>
          <w:p>
            <w:pPr/>
          </w:p>
        </w:tc>
        <w:tc>
          <w:tcPr>
            <w:tcW w:w="1213" w:type="dxa"/>
            <w:tcBorders>
              <w:right w:val="nil"/>
            </w:tcBorders>
          </w:tcPr>
          <w:p>
            <w:pPr>
              <w:pStyle w:val="TableParagraph"/>
              <w:spacing w:before="41"/>
              <w:ind w:left="0" w:right="218"/>
              <w:jc w:val="right"/>
              <w:rPr>
                <w:sz w:val="20"/>
              </w:rPr>
            </w:pPr>
            <w:r>
              <w:rPr>
                <w:sz w:val="20"/>
              </w:rPr>
              <w:t>26.98%</w:t>
            </w:r>
          </w:p>
        </w:tc>
        <w:tc>
          <w:tcPr>
            <w:tcW w:w="1501" w:type="dxa"/>
            <w:tcBorders>
              <w:left w:val="nil"/>
              <w:right w:val="nil"/>
            </w:tcBorders>
          </w:tcPr>
          <w:p>
            <w:pPr>
              <w:pStyle w:val="TableParagraph"/>
              <w:spacing w:before="41"/>
              <w:ind w:left="199" w:right="13"/>
              <w:jc w:val="center"/>
              <w:rPr>
                <w:sz w:val="20"/>
              </w:rPr>
            </w:pPr>
            <w:r>
              <w:rPr>
                <w:sz w:val="20"/>
              </w:rPr>
              <w:t>0.63%</w:t>
            </w:r>
          </w:p>
        </w:tc>
        <w:tc>
          <w:tcPr>
            <w:tcW w:w="1053" w:type="dxa"/>
            <w:tcBorders>
              <w:left w:val="nil"/>
            </w:tcBorders>
          </w:tcPr>
          <w:p>
            <w:pPr>
              <w:pStyle w:val="TableParagraph"/>
              <w:spacing w:before="41"/>
              <w:ind w:left="82" w:right="40"/>
              <w:jc w:val="center"/>
              <w:rPr>
                <w:sz w:val="20"/>
              </w:rPr>
            </w:pPr>
            <w:r>
              <w:rPr>
                <w:sz w:val="20"/>
              </w:rPr>
              <w:t>27.61%</w:t>
            </w:r>
          </w:p>
        </w:tc>
      </w:tr>
    </w:tbl>
    <w:p>
      <w:pPr>
        <w:pStyle w:val="BodyText"/>
        <w:spacing w:line="268" w:lineRule="exact"/>
        <w:ind w:left="157" w:right="174"/>
        <w:jc w:val="center"/>
      </w:pPr>
      <w:r>
        <w:rPr/>
        <w:t>Fuente: Elaboración propia a partir de las ENIGH-2012</w:t>
      </w:r>
    </w:p>
    <w:p>
      <w:pPr>
        <w:pStyle w:val="BodyText"/>
      </w:pPr>
    </w:p>
    <w:p>
      <w:pPr>
        <w:pStyle w:val="BodyText"/>
        <w:ind w:left="100" w:right="152" w:firstLine="708"/>
      </w:pPr>
      <w:r>
        <w:rPr/>
        <w:t>Tabla 1.3, nos permite mencionar que se da una pérdida de ingreso corriente disponible principalmente en los estratos de ingreso más bajos de la distribución, como así se puede observar en el Tabla 1.4.</w:t>
      </w:r>
    </w:p>
    <w:p>
      <w:pPr>
        <w:pStyle w:val="BodyText"/>
      </w:pPr>
    </w:p>
    <w:p>
      <w:pPr>
        <w:pStyle w:val="BodyText"/>
        <w:ind w:left="158" w:right="174"/>
        <w:jc w:val="center"/>
      </w:pPr>
      <w:r>
        <w:rPr>
          <w:b/>
        </w:rPr>
        <w:t>Tabla 1.5 </w:t>
      </w:r>
      <w:r>
        <w:rPr/>
        <w:t>Estimación de la perdida de ingreso disponible por decil de ingreso debido a la aplicación del IVA (16%)</w:t>
      </w:r>
    </w:p>
    <w:p>
      <w:pPr>
        <w:pStyle w:val="BodyText"/>
        <w:spacing w:before="8"/>
      </w:pPr>
    </w:p>
    <w:tbl>
      <w:tblPr>
        <w:tblW w:w="0" w:type="auto"/>
        <w:jc w:val="left"/>
        <w:tblInd w:w="31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42"/>
        <w:gridCol w:w="1500"/>
        <w:gridCol w:w="879"/>
      </w:tblGrid>
      <w:tr>
        <w:trPr>
          <w:trHeight w:val="480" w:hRule="exact"/>
        </w:trPr>
        <w:tc>
          <w:tcPr>
            <w:tcW w:w="1342" w:type="dxa"/>
          </w:tcPr>
          <w:p>
            <w:pPr>
              <w:pStyle w:val="TableParagraph"/>
              <w:spacing w:before="5"/>
              <w:ind w:left="0"/>
              <w:rPr>
                <w:sz w:val="19"/>
              </w:rPr>
            </w:pPr>
          </w:p>
          <w:p>
            <w:pPr>
              <w:pStyle w:val="TableParagraph"/>
              <w:ind w:left="230" w:right="228"/>
              <w:jc w:val="center"/>
              <w:rPr>
                <w:sz w:val="20"/>
              </w:rPr>
            </w:pPr>
            <w:r>
              <w:rPr>
                <w:sz w:val="20"/>
              </w:rPr>
              <w:t>Decil</w:t>
            </w:r>
          </w:p>
        </w:tc>
        <w:tc>
          <w:tcPr>
            <w:tcW w:w="1500" w:type="dxa"/>
          </w:tcPr>
          <w:p>
            <w:pPr>
              <w:pStyle w:val="TableParagraph"/>
              <w:ind w:left="405" w:right="298" w:hanging="92"/>
              <w:rPr>
                <w:sz w:val="20"/>
              </w:rPr>
            </w:pPr>
            <w:r>
              <w:rPr>
                <w:sz w:val="20"/>
              </w:rPr>
              <w:t>Pérdida de ingresos</w:t>
            </w:r>
          </w:p>
        </w:tc>
        <w:tc>
          <w:tcPr>
            <w:tcW w:w="879" w:type="dxa"/>
          </w:tcPr>
          <w:p>
            <w:pPr/>
          </w:p>
        </w:tc>
      </w:tr>
      <w:tr>
        <w:trPr>
          <w:trHeight w:val="290" w:hRule="exact"/>
        </w:trPr>
        <w:tc>
          <w:tcPr>
            <w:tcW w:w="1342" w:type="dxa"/>
            <w:tcBorders>
              <w:bottom w:val="nil"/>
            </w:tcBorders>
          </w:tcPr>
          <w:p>
            <w:pPr>
              <w:pStyle w:val="TableParagraph"/>
              <w:spacing w:before="24"/>
              <w:ind w:left="1"/>
              <w:jc w:val="center"/>
              <w:rPr>
                <w:sz w:val="20"/>
              </w:rPr>
            </w:pPr>
            <w:r>
              <w:rPr>
                <w:w w:val="99"/>
                <w:sz w:val="20"/>
              </w:rPr>
              <w:t>I</w:t>
            </w:r>
          </w:p>
        </w:tc>
        <w:tc>
          <w:tcPr>
            <w:tcW w:w="1500" w:type="dxa"/>
            <w:tcBorders>
              <w:bottom w:val="nil"/>
            </w:tcBorders>
          </w:tcPr>
          <w:p>
            <w:pPr>
              <w:pStyle w:val="TableParagraph"/>
              <w:spacing w:before="24"/>
              <w:ind w:left="340" w:right="298"/>
              <w:rPr>
                <w:sz w:val="20"/>
              </w:rPr>
            </w:pPr>
            <w:r>
              <w:rPr>
                <w:sz w:val="20"/>
              </w:rPr>
              <w:t>1,371,650</w:t>
            </w:r>
          </w:p>
        </w:tc>
        <w:tc>
          <w:tcPr>
            <w:tcW w:w="879" w:type="dxa"/>
            <w:tcBorders>
              <w:bottom w:val="nil"/>
            </w:tcBorders>
          </w:tcPr>
          <w:p>
            <w:pPr>
              <w:pStyle w:val="TableParagraph"/>
              <w:spacing w:before="24"/>
              <w:ind w:left="136"/>
              <w:rPr>
                <w:sz w:val="20"/>
              </w:rPr>
            </w:pPr>
            <w:r>
              <w:rPr>
                <w:sz w:val="20"/>
              </w:rPr>
              <w:t>-0.07%</w:t>
            </w:r>
          </w:p>
        </w:tc>
      </w:tr>
      <w:tr>
        <w:trPr>
          <w:trHeight w:val="260" w:hRule="exact"/>
        </w:trPr>
        <w:tc>
          <w:tcPr>
            <w:tcW w:w="1342" w:type="dxa"/>
            <w:tcBorders>
              <w:top w:val="nil"/>
              <w:bottom w:val="nil"/>
            </w:tcBorders>
          </w:tcPr>
          <w:p>
            <w:pPr>
              <w:pStyle w:val="TableParagraph"/>
              <w:spacing w:before="3"/>
              <w:ind w:left="230" w:right="229"/>
              <w:jc w:val="center"/>
              <w:rPr>
                <w:sz w:val="20"/>
              </w:rPr>
            </w:pPr>
            <w:r>
              <w:rPr>
                <w:sz w:val="20"/>
              </w:rPr>
              <w:t>II</w:t>
            </w:r>
          </w:p>
        </w:tc>
        <w:tc>
          <w:tcPr>
            <w:tcW w:w="1500" w:type="dxa"/>
            <w:tcBorders>
              <w:top w:val="nil"/>
              <w:bottom w:val="nil"/>
            </w:tcBorders>
          </w:tcPr>
          <w:p>
            <w:pPr>
              <w:pStyle w:val="TableParagraph"/>
              <w:spacing w:before="3"/>
              <w:ind w:left="340" w:right="298"/>
              <w:rPr>
                <w:sz w:val="20"/>
              </w:rPr>
            </w:pPr>
            <w:r>
              <w:rPr>
                <w:sz w:val="20"/>
              </w:rPr>
              <w:t>1,977,367</w:t>
            </w:r>
          </w:p>
        </w:tc>
        <w:tc>
          <w:tcPr>
            <w:tcW w:w="879" w:type="dxa"/>
            <w:tcBorders>
              <w:top w:val="nil"/>
              <w:bottom w:val="nil"/>
            </w:tcBorders>
          </w:tcPr>
          <w:p>
            <w:pPr>
              <w:pStyle w:val="TableParagraph"/>
              <w:spacing w:before="3"/>
              <w:ind w:left="136"/>
              <w:rPr>
                <w:sz w:val="20"/>
              </w:rPr>
            </w:pPr>
            <w:r>
              <w:rPr>
                <w:sz w:val="20"/>
              </w:rPr>
              <w:t>-0.09%</w:t>
            </w:r>
          </w:p>
        </w:tc>
      </w:tr>
      <w:tr>
        <w:trPr>
          <w:trHeight w:val="260" w:hRule="exact"/>
        </w:trPr>
        <w:tc>
          <w:tcPr>
            <w:tcW w:w="1342" w:type="dxa"/>
            <w:tcBorders>
              <w:top w:val="nil"/>
              <w:bottom w:val="nil"/>
            </w:tcBorders>
          </w:tcPr>
          <w:p>
            <w:pPr>
              <w:pStyle w:val="TableParagraph"/>
              <w:spacing w:before="4"/>
              <w:ind w:left="230" w:right="229"/>
              <w:jc w:val="center"/>
              <w:rPr>
                <w:sz w:val="20"/>
              </w:rPr>
            </w:pPr>
            <w:r>
              <w:rPr>
                <w:sz w:val="20"/>
              </w:rPr>
              <w:t>III</w:t>
            </w:r>
          </w:p>
        </w:tc>
        <w:tc>
          <w:tcPr>
            <w:tcW w:w="1500" w:type="dxa"/>
            <w:tcBorders>
              <w:top w:val="nil"/>
              <w:bottom w:val="nil"/>
            </w:tcBorders>
          </w:tcPr>
          <w:p>
            <w:pPr>
              <w:pStyle w:val="TableParagraph"/>
              <w:spacing w:before="4"/>
              <w:ind w:left="340" w:right="298"/>
              <w:rPr>
                <w:sz w:val="20"/>
              </w:rPr>
            </w:pPr>
            <w:r>
              <w:rPr>
                <w:sz w:val="20"/>
              </w:rPr>
              <w:t>1,845,747</w:t>
            </w:r>
          </w:p>
        </w:tc>
        <w:tc>
          <w:tcPr>
            <w:tcW w:w="879" w:type="dxa"/>
            <w:tcBorders>
              <w:top w:val="nil"/>
              <w:bottom w:val="nil"/>
            </w:tcBorders>
          </w:tcPr>
          <w:p>
            <w:pPr>
              <w:pStyle w:val="TableParagraph"/>
              <w:spacing w:before="4"/>
              <w:ind w:left="136"/>
              <w:rPr>
                <w:sz w:val="20"/>
              </w:rPr>
            </w:pPr>
            <w:r>
              <w:rPr>
                <w:sz w:val="20"/>
              </w:rPr>
              <w:t>-0.05%</w:t>
            </w:r>
          </w:p>
        </w:tc>
      </w:tr>
      <w:tr>
        <w:trPr>
          <w:trHeight w:val="259" w:hRule="exact"/>
        </w:trPr>
        <w:tc>
          <w:tcPr>
            <w:tcW w:w="1342" w:type="dxa"/>
            <w:tcBorders>
              <w:top w:val="nil"/>
              <w:bottom w:val="nil"/>
            </w:tcBorders>
          </w:tcPr>
          <w:p>
            <w:pPr>
              <w:pStyle w:val="TableParagraph"/>
              <w:spacing w:before="3"/>
              <w:ind w:left="230" w:right="228"/>
              <w:jc w:val="center"/>
              <w:rPr>
                <w:sz w:val="20"/>
              </w:rPr>
            </w:pPr>
            <w:r>
              <w:rPr>
                <w:sz w:val="20"/>
              </w:rPr>
              <w:t>IV</w:t>
            </w:r>
          </w:p>
        </w:tc>
        <w:tc>
          <w:tcPr>
            <w:tcW w:w="1500" w:type="dxa"/>
            <w:tcBorders>
              <w:top w:val="nil"/>
              <w:bottom w:val="nil"/>
            </w:tcBorders>
          </w:tcPr>
          <w:p>
            <w:pPr>
              <w:pStyle w:val="TableParagraph"/>
              <w:spacing w:before="3"/>
              <w:ind w:left="340" w:right="298"/>
              <w:rPr>
                <w:sz w:val="20"/>
              </w:rPr>
            </w:pPr>
            <w:r>
              <w:rPr>
                <w:sz w:val="20"/>
              </w:rPr>
              <w:t>4,373,474</w:t>
            </w:r>
          </w:p>
        </w:tc>
        <w:tc>
          <w:tcPr>
            <w:tcW w:w="879" w:type="dxa"/>
            <w:tcBorders>
              <w:top w:val="nil"/>
              <w:bottom w:val="nil"/>
            </w:tcBorders>
          </w:tcPr>
          <w:p>
            <w:pPr>
              <w:pStyle w:val="TableParagraph"/>
              <w:spacing w:before="3"/>
              <w:ind w:left="136"/>
              <w:rPr>
                <w:sz w:val="20"/>
              </w:rPr>
            </w:pPr>
            <w:r>
              <w:rPr>
                <w:sz w:val="20"/>
              </w:rPr>
              <w:t>-0.21%</w:t>
            </w:r>
          </w:p>
        </w:tc>
      </w:tr>
      <w:tr>
        <w:trPr>
          <w:trHeight w:val="260" w:hRule="exact"/>
        </w:trPr>
        <w:tc>
          <w:tcPr>
            <w:tcW w:w="1342" w:type="dxa"/>
            <w:tcBorders>
              <w:top w:val="nil"/>
              <w:bottom w:val="nil"/>
            </w:tcBorders>
          </w:tcPr>
          <w:p>
            <w:pPr>
              <w:pStyle w:val="TableParagraph"/>
              <w:spacing w:before="3"/>
              <w:ind w:left="1"/>
              <w:jc w:val="center"/>
              <w:rPr>
                <w:sz w:val="20"/>
              </w:rPr>
            </w:pPr>
            <w:r>
              <w:rPr>
                <w:w w:val="99"/>
                <w:sz w:val="20"/>
              </w:rPr>
              <w:t>V</w:t>
            </w:r>
          </w:p>
        </w:tc>
        <w:tc>
          <w:tcPr>
            <w:tcW w:w="1500" w:type="dxa"/>
            <w:tcBorders>
              <w:top w:val="nil"/>
              <w:bottom w:val="nil"/>
            </w:tcBorders>
          </w:tcPr>
          <w:p>
            <w:pPr>
              <w:pStyle w:val="TableParagraph"/>
              <w:spacing w:before="3"/>
              <w:ind w:left="340" w:right="298"/>
              <w:rPr>
                <w:sz w:val="20"/>
              </w:rPr>
            </w:pPr>
            <w:r>
              <w:rPr>
                <w:sz w:val="20"/>
              </w:rPr>
              <w:t>2,955,074</w:t>
            </w:r>
          </w:p>
        </w:tc>
        <w:tc>
          <w:tcPr>
            <w:tcW w:w="879" w:type="dxa"/>
            <w:tcBorders>
              <w:top w:val="nil"/>
              <w:bottom w:val="nil"/>
            </w:tcBorders>
          </w:tcPr>
          <w:p>
            <w:pPr>
              <w:pStyle w:val="TableParagraph"/>
              <w:spacing w:before="3"/>
              <w:ind w:left="136"/>
              <w:rPr>
                <w:sz w:val="20"/>
              </w:rPr>
            </w:pPr>
            <w:r>
              <w:rPr>
                <w:sz w:val="20"/>
              </w:rPr>
              <w:t>-0.06%</w:t>
            </w:r>
          </w:p>
        </w:tc>
      </w:tr>
      <w:tr>
        <w:trPr>
          <w:trHeight w:val="260" w:hRule="exact"/>
        </w:trPr>
        <w:tc>
          <w:tcPr>
            <w:tcW w:w="1342" w:type="dxa"/>
            <w:tcBorders>
              <w:top w:val="nil"/>
              <w:bottom w:val="nil"/>
            </w:tcBorders>
          </w:tcPr>
          <w:p>
            <w:pPr>
              <w:pStyle w:val="TableParagraph"/>
              <w:spacing w:before="4"/>
              <w:ind w:left="230" w:right="229"/>
              <w:jc w:val="center"/>
              <w:rPr>
                <w:sz w:val="20"/>
              </w:rPr>
            </w:pPr>
            <w:r>
              <w:rPr>
                <w:sz w:val="20"/>
              </w:rPr>
              <w:t>VI</w:t>
            </w:r>
          </w:p>
        </w:tc>
        <w:tc>
          <w:tcPr>
            <w:tcW w:w="1500" w:type="dxa"/>
            <w:tcBorders>
              <w:top w:val="nil"/>
              <w:bottom w:val="nil"/>
            </w:tcBorders>
          </w:tcPr>
          <w:p>
            <w:pPr>
              <w:pStyle w:val="TableParagraph"/>
              <w:spacing w:before="4"/>
              <w:ind w:left="340" w:right="298"/>
              <w:rPr>
                <w:sz w:val="20"/>
              </w:rPr>
            </w:pPr>
            <w:r>
              <w:rPr>
                <w:sz w:val="20"/>
              </w:rPr>
              <w:t>4,336,582</w:t>
            </w:r>
          </w:p>
        </w:tc>
        <w:tc>
          <w:tcPr>
            <w:tcW w:w="879" w:type="dxa"/>
            <w:tcBorders>
              <w:top w:val="nil"/>
              <w:bottom w:val="nil"/>
            </w:tcBorders>
          </w:tcPr>
          <w:p>
            <w:pPr>
              <w:pStyle w:val="TableParagraph"/>
              <w:spacing w:before="4"/>
              <w:ind w:left="136"/>
              <w:rPr>
                <w:sz w:val="20"/>
              </w:rPr>
            </w:pPr>
            <w:r>
              <w:rPr>
                <w:sz w:val="20"/>
              </w:rPr>
              <w:t>-0.11%</w:t>
            </w:r>
          </w:p>
        </w:tc>
      </w:tr>
      <w:tr>
        <w:trPr>
          <w:trHeight w:val="259" w:hRule="exact"/>
        </w:trPr>
        <w:tc>
          <w:tcPr>
            <w:tcW w:w="1342" w:type="dxa"/>
            <w:tcBorders>
              <w:top w:val="nil"/>
              <w:bottom w:val="nil"/>
            </w:tcBorders>
          </w:tcPr>
          <w:p>
            <w:pPr>
              <w:pStyle w:val="TableParagraph"/>
              <w:spacing w:before="3"/>
              <w:ind w:left="230" w:right="230"/>
              <w:jc w:val="center"/>
              <w:rPr>
                <w:sz w:val="20"/>
              </w:rPr>
            </w:pPr>
            <w:r>
              <w:rPr>
                <w:sz w:val="20"/>
              </w:rPr>
              <w:t>VII</w:t>
            </w:r>
          </w:p>
        </w:tc>
        <w:tc>
          <w:tcPr>
            <w:tcW w:w="1500" w:type="dxa"/>
            <w:tcBorders>
              <w:top w:val="nil"/>
              <w:bottom w:val="nil"/>
            </w:tcBorders>
          </w:tcPr>
          <w:p>
            <w:pPr>
              <w:pStyle w:val="TableParagraph"/>
              <w:spacing w:before="3"/>
              <w:ind w:left="340" w:right="298"/>
              <w:rPr>
                <w:sz w:val="20"/>
              </w:rPr>
            </w:pPr>
            <w:r>
              <w:rPr>
                <w:sz w:val="20"/>
              </w:rPr>
              <w:t>5,124,945</w:t>
            </w:r>
          </w:p>
        </w:tc>
        <w:tc>
          <w:tcPr>
            <w:tcW w:w="879" w:type="dxa"/>
            <w:tcBorders>
              <w:top w:val="nil"/>
              <w:bottom w:val="nil"/>
            </w:tcBorders>
          </w:tcPr>
          <w:p>
            <w:pPr>
              <w:pStyle w:val="TableParagraph"/>
              <w:spacing w:before="3"/>
              <w:ind w:left="136"/>
              <w:rPr>
                <w:sz w:val="20"/>
              </w:rPr>
            </w:pPr>
            <w:r>
              <w:rPr>
                <w:sz w:val="20"/>
              </w:rPr>
              <w:t>-0.10%</w:t>
            </w:r>
          </w:p>
        </w:tc>
      </w:tr>
      <w:tr>
        <w:trPr>
          <w:trHeight w:val="260" w:hRule="exact"/>
        </w:trPr>
        <w:tc>
          <w:tcPr>
            <w:tcW w:w="1342" w:type="dxa"/>
            <w:tcBorders>
              <w:top w:val="nil"/>
              <w:bottom w:val="nil"/>
            </w:tcBorders>
          </w:tcPr>
          <w:p>
            <w:pPr>
              <w:pStyle w:val="TableParagraph"/>
              <w:spacing w:before="3"/>
              <w:ind w:left="230" w:right="230"/>
              <w:jc w:val="center"/>
              <w:rPr>
                <w:sz w:val="20"/>
              </w:rPr>
            </w:pPr>
            <w:r>
              <w:rPr>
                <w:sz w:val="20"/>
              </w:rPr>
              <w:t>VIII</w:t>
            </w:r>
          </w:p>
        </w:tc>
        <w:tc>
          <w:tcPr>
            <w:tcW w:w="1500" w:type="dxa"/>
            <w:tcBorders>
              <w:top w:val="nil"/>
              <w:bottom w:val="nil"/>
            </w:tcBorders>
          </w:tcPr>
          <w:p>
            <w:pPr>
              <w:pStyle w:val="TableParagraph"/>
              <w:spacing w:before="3"/>
              <w:ind w:left="340" w:right="298"/>
              <w:rPr>
                <w:sz w:val="20"/>
              </w:rPr>
            </w:pPr>
            <w:r>
              <w:rPr>
                <w:sz w:val="20"/>
              </w:rPr>
              <w:t>4,766,725</w:t>
            </w:r>
          </w:p>
        </w:tc>
        <w:tc>
          <w:tcPr>
            <w:tcW w:w="879" w:type="dxa"/>
            <w:tcBorders>
              <w:top w:val="nil"/>
              <w:bottom w:val="nil"/>
            </w:tcBorders>
          </w:tcPr>
          <w:p>
            <w:pPr>
              <w:pStyle w:val="TableParagraph"/>
              <w:spacing w:before="3"/>
              <w:ind w:left="170"/>
              <w:rPr>
                <w:sz w:val="20"/>
              </w:rPr>
            </w:pPr>
            <w:r>
              <w:rPr>
                <w:sz w:val="20"/>
              </w:rPr>
              <w:t>0.03%</w:t>
            </w:r>
          </w:p>
        </w:tc>
      </w:tr>
      <w:tr>
        <w:trPr>
          <w:trHeight w:val="260" w:hRule="exact"/>
        </w:trPr>
        <w:tc>
          <w:tcPr>
            <w:tcW w:w="1342" w:type="dxa"/>
            <w:tcBorders>
              <w:top w:val="nil"/>
              <w:bottom w:val="nil"/>
            </w:tcBorders>
          </w:tcPr>
          <w:p>
            <w:pPr>
              <w:pStyle w:val="TableParagraph"/>
              <w:spacing w:before="4"/>
              <w:ind w:left="230" w:right="228"/>
              <w:jc w:val="center"/>
              <w:rPr>
                <w:sz w:val="20"/>
              </w:rPr>
            </w:pPr>
            <w:r>
              <w:rPr>
                <w:sz w:val="20"/>
              </w:rPr>
              <w:t>IX</w:t>
            </w:r>
          </w:p>
        </w:tc>
        <w:tc>
          <w:tcPr>
            <w:tcW w:w="1500" w:type="dxa"/>
            <w:tcBorders>
              <w:top w:val="nil"/>
              <w:bottom w:val="nil"/>
            </w:tcBorders>
          </w:tcPr>
          <w:p>
            <w:pPr>
              <w:pStyle w:val="TableParagraph"/>
              <w:spacing w:before="4"/>
              <w:ind w:left="340" w:right="298"/>
              <w:rPr>
                <w:sz w:val="20"/>
              </w:rPr>
            </w:pPr>
            <w:r>
              <w:rPr>
                <w:sz w:val="20"/>
              </w:rPr>
              <w:t>6,126,808</w:t>
            </w:r>
          </w:p>
        </w:tc>
        <w:tc>
          <w:tcPr>
            <w:tcW w:w="879" w:type="dxa"/>
            <w:tcBorders>
              <w:top w:val="nil"/>
              <w:bottom w:val="nil"/>
            </w:tcBorders>
          </w:tcPr>
          <w:p>
            <w:pPr>
              <w:pStyle w:val="TableParagraph"/>
              <w:spacing w:before="4"/>
              <w:ind w:left="170"/>
              <w:rPr>
                <w:sz w:val="20"/>
              </w:rPr>
            </w:pPr>
            <w:r>
              <w:rPr>
                <w:sz w:val="20"/>
              </w:rPr>
              <w:t>0.08%</w:t>
            </w:r>
          </w:p>
        </w:tc>
      </w:tr>
      <w:tr>
        <w:trPr>
          <w:trHeight w:val="264" w:hRule="exact"/>
        </w:trPr>
        <w:tc>
          <w:tcPr>
            <w:tcW w:w="1342" w:type="dxa"/>
            <w:tcBorders>
              <w:top w:val="nil"/>
              <w:bottom w:val="nil"/>
            </w:tcBorders>
          </w:tcPr>
          <w:p>
            <w:pPr>
              <w:pStyle w:val="TableParagraph"/>
              <w:spacing w:before="3"/>
              <w:ind w:left="1"/>
              <w:jc w:val="center"/>
              <w:rPr>
                <w:sz w:val="20"/>
              </w:rPr>
            </w:pPr>
            <w:r>
              <w:rPr>
                <w:w w:val="99"/>
                <w:sz w:val="20"/>
              </w:rPr>
              <w:t>X</w:t>
            </w:r>
          </w:p>
        </w:tc>
        <w:tc>
          <w:tcPr>
            <w:tcW w:w="1500" w:type="dxa"/>
            <w:tcBorders>
              <w:top w:val="nil"/>
              <w:bottom w:val="nil"/>
            </w:tcBorders>
          </w:tcPr>
          <w:p>
            <w:pPr>
              <w:pStyle w:val="TableParagraph"/>
              <w:spacing w:before="3"/>
              <w:ind w:left="290"/>
              <w:rPr>
                <w:sz w:val="20"/>
              </w:rPr>
            </w:pPr>
            <w:r>
              <w:rPr>
                <w:sz w:val="20"/>
              </w:rPr>
              <w:t>11,116,996</w:t>
            </w:r>
          </w:p>
        </w:tc>
        <w:tc>
          <w:tcPr>
            <w:tcW w:w="879" w:type="dxa"/>
            <w:tcBorders>
              <w:top w:val="nil"/>
              <w:bottom w:val="nil"/>
            </w:tcBorders>
          </w:tcPr>
          <w:p>
            <w:pPr>
              <w:pStyle w:val="TableParagraph"/>
              <w:spacing w:before="3"/>
              <w:ind w:left="170"/>
              <w:rPr>
                <w:sz w:val="20"/>
              </w:rPr>
            </w:pPr>
            <w:r>
              <w:rPr>
                <w:sz w:val="20"/>
              </w:rPr>
              <w:t>0.57%</w:t>
            </w:r>
          </w:p>
        </w:tc>
      </w:tr>
      <w:tr>
        <w:trPr>
          <w:trHeight w:val="255" w:hRule="exact"/>
        </w:trPr>
        <w:tc>
          <w:tcPr>
            <w:tcW w:w="1342" w:type="dxa"/>
            <w:tcBorders>
              <w:top w:val="nil"/>
            </w:tcBorders>
          </w:tcPr>
          <w:p>
            <w:pPr>
              <w:pStyle w:val="TableParagraph"/>
              <w:spacing w:before="8"/>
              <w:ind w:left="230" w:right="230"/>
              <w:jc w:val="center"/>
              <w:rPr>
                <w:sz w:val="20"/>
              </w:rPr>
            </w:pPr>
            <w:r>
              <w:rPr>
                <w:sz w:val="20"/>
              </w:rPr>
              <w:t>GINI 0.47</w:t>
            </w:r>
          </w:p>
        </w:tc>
        <w:tc>
          <w:tcPr>
            <w:tcW w:w="1500" w:type="dxa"/>
            <w:tcBorders>
              <w:top w:val="nil"/>
            </w:tcBorders>
          </w:tcPr>
          <w:p>
            <w:pPr/>
          </w:p>
        </w:tc>
        <w:tc>
          <w:tcPr>
            <w:tcW w:w="879" w:type="dxa"/>
            <w:tcBorders>
              <w:top w:val="nil"/>
            </w:tcBorders>
          </w:tcPr>
          <w:p>
            <w:pPr/>
          </w:p>
        </w:tc>
      </w:tr>
      <w:tr>
        <w:trPr>
          <w:trHeight w:val="290" w:hRule="exact"/>
        </w:trPr>
        <w:tc>
          <w:tcPr>
            <w:tcW w:w="1342" w:type="dxa"/>
          </w:tcPr>
          <w:p>
            <w:pPr/>
          </w:p>
        </w:tc>
        <w:tc>
          <w:tcPr>
            <w:tcW w:w="1500" w:type="dxa"/>
          </w:tcPr>
          <w:p>
            <w:pPr>
              <w:pStyle w:val="TableParagraph"/>
              <w:spacing w:before="34"/>
              <w:ind w:left="290"/>
              <w:rPr>
                <w:sz w:val="20"/>
              </w:rPr>
            </w:pPr>
            <w:r>
              <w:rPr>
                <w:sz w:val="20"/>
              </w:rPr>
              <w:t>43,995,369</w:t>
            </w:r>
          </w:p>
        </w:tc>
        <w:tc>
          <w:tcPr>
            <w:tcW w:w="879" w:type="dxa"/>
          </w:tcPr>
          <w:p>
            <w:pPr/>
          </w:p>
        </w:tc>
      </w:tr>
    </w:tbl>
    <w:p>
      <w:pPr>
        <w:pStyle w:val="BodyText"/>
        <w:spacing w:line="268" w:lineRule="exact"/>
        <w:ind w:left="2304"/>
      </w:pPr>
      <w:r>
        <w:rPr/>
        <w:t>Fuente: Elaboración propia a partir de las ENIGH-2012</w:t>
      </w:r>
    </w:p>
    <w:p>
      <w:pPr>
        <w:pStyle w:val="BodyText"/>
      </w:pPr>
    </w:p>
    <w:p>
      <w:pPr>
        <w:pStyle w:val="BodyText"/>
        <w:ind w:left="100" w:right="118" w:firstLine="708"/>
        <w:jc w:val="both"/>
      </w:pPr>
      <w:r>
        <w:rPr/>
        <w:t>Por otra parte, si se considera una línea de pobreza de $1000.00 mensuales per cápita para gastos de alimentación y se considera la distribución de ingreso nacional. La pobreza cambia del 12.7% a 14.9% de la población si se aplicara el IVA (16%). Si consideramos una población estimada por la encuesta de 117, 284,429, La pobreza se incrementaría en 2.3 millones de personas. Si se considera el sector urbano, con una línea de pobreza mensual per cápita de $2,329.00, el índice FGT se estimó en 0.37 y al aplicar el IVA (16%), se incrementa a 0.40; en tanto que si tomamos la población rural, con una línea de pobreza de $1,490 el índice FGT, pasa de 0.53 a 0.57. Es decir se incrementa la pobreza urbana y rural, en aproximadamente 2.7 millones y 1.08 millones mas respectivamente.</w:t>
      </w:r>
    </w:p>
    <w:p>
      <w:pPr>
        <w:spacing w:after="0"/>
        <w:jc w:val="both"/>
        <w:sectPr>
          <w:pgSz w:w="11910" w:h="16840"/>
          <w:pgMar w:header="731" w:footer="0" w:top="960" w:bottom="280" w:left="980" w:right="960"/>
        </w:sectPr>
      </w:pPr>
    </w:p>
    <w:p>
      <w:pPr>
        <w:pStyle w:val="BodyText"/>
        <w:rPr>
          <w:sz w:val="20"/>
        </w:rPr>
      </w:pPr>
    </w:p>
    <w:p>
      <w:pPr>
        <w:pStyle w:val="BodyText"/>
        <w:spacing w:before="6"/>
        <w:rPr>
          <w:sz w:val="20"/>
        </w:rPr>
      </w:pPr>
    </w:p>
    <w:p>
      <w:pPr>
        <w:pStyle w:val="Heading4"/>
        <w:numPr>
          <w:ilvl w:val="1"/>
          <w:numId w:val="1"/>
        </w:numPr>
        <w:tabs>
          <w:tab w:pos="461" w:val="left" w:leader="none"/>
        </w:tabs>
        <w:spacing w:line="240" w:lineRule="auto" w:before="0" w:after="0"/>
        <w:ind w:left="460" w:right="0" w:hanging="360"/>
        <w:jc w:val="both"/>
      </w:pPr>
      <w:r>
        <w:rPr/>
        <w:t>Conclusiones</w:t>
      </w:r>
    </w:p>
    <w:p>
      <w:pPr>
        <w:pStyle w:val="BodyText"/>
        <w:spacing w:before="6"/>
        <w:rPr>
          <w:b/>
          <w:sz w:val="23"/>
        </w:rPr>
      </w:pPr>
    </w:p>
    <w:p>
      <w:pPr>
        <w:pStyle w:val="BodyText"/>
        <w:ind w:left="100"/>
      </w:pPr>
      <w:r>
        <w:rPr/>
        <w:t>La estimación del índice de Gini para la distribución del ingreso mensual per cápita, 2012; sin la aplicación del IVA del 16% se estima en 0.52 y con la aplicación del IVA del 16% se incrementa a</w:t>
      </w:r>
    </w:p>
    <w:p>
      <w:pPr>
        <w:pStyle w:val="BodyText"/>
        <w:ind w:left="100" w:right="117"/>
      </w:pPr>
      <w:r>
        <w:rPr/>
        <w:t>0.53. Si consideramos solo la distribución del ingreso que corresponde a la población urbana este pasa de  0.50 sin IVA y de 0.51 con IVA. En tanto que la distribución del ingreso rural, se estima  de</w:t>
      </w:r>
    </w:p>
    <w:p>
      <w:pPr>
        <w:pStyle w:val="BodyText"/>
        <w:ind w:left="100" w:right="119"/>
        <w:jc w:val="both"/>
      </w:pPr>
      <w:r>
        <w:rPr/>
        <w:t>0.48 sin IVA a 0.49 con IVA del 16%. Lo que significa que la desigualdad del ingreso no se incrementa significativamente. Este resultado se puede confirmar con la estimación de la curva de Lorenz, con y sin la aplicación del IVA (16%), en alimentos y medicinas.</w:t>
      </w:r>
    </w:p>
    <w:p>
      <w:pPr>
        <w:pStyle w:val="BodyText"/>
      </w:pPr>
    </w:p>
    <w:p>
      <w:pPr>
        <w:pStyle w:val="BodyText"/>
        <w:ind w:left="100" w:right="120" w:firstLine="708"/>
        <w:jc w:val="both"/>
      </w:pPr>
      <w:r>
        <w:rPr/>
        <w:t>Los resultados muestran que la estimación de la participación porcentual del gasto en Alimentos, Medicamentos de los hogares en México, sin considerar la aplicación del  IVA (16%),  por niveles de ingreso va desde 67.83% en el décil más bajo, hasta 13.49% en el décil decimo. Lo que implica que aplicar el iva en alimentos y medicinas, le pegaría a los estratos más bajos de ingreso. Este se incrementaría para el primer decil en 94.84%, le sigue el segundo decil en 63.64%, hasta llegar al décimo decil</w:t>
      </w:r>
      <w:r>
        <w:rPr>
          <w:spacing w:val="54"/>
        </w:rPr>
        <w:t> </w:t>
      </w:r>
      <w:r>
        <w:rPr/>
        <w:t>con15.75%</w:t>
      </w:r>
    </w:p>
    <w:p>
      <w:pPr>
        <w:pStyle w:val="BodyText"/>
      </w:pPr>
    </w:p>
    <w:p>
      <w:pPr>
        <w:pStyle w:val="BodyText"/>
        <w:ind w:left="100" w:right="122" w:firstLine="708"/>
        <w:jc w:val="both"/>
      </w:pPr>
      <w:r>
        <w:rPr/>
        <w:t>Si se considera una línea de pobreza mensual per cápita, de $1000 para la distribución del ingreso 2012, y se estima el índice FGT, el porcentaje cambiaria de 12.7% a 14.9% de la población, al aplicar el IVA (16%), en alimentos y medicinas. Si se considera una población de 117,284,429, la pobreza se incrementa en 2.3 millones de personas</w:t>
      </w:r>
    </w:p>
    <w:p>
      <w:pPr>
        <w:pStyle w:val="BodyText"/>
        <w:spacing w:before="4"/>
      </w:pPr>
    </w:p>
    <w:p>
      <w:pPr>
        <w:pStyle w:val="Heading4"/>
        <w:numPr>
          <w:ilvl w:val="1"/>
          <w:numId w:val="2"/>
        </w:numPr>
        <w:tabs>
          <w:tab w:pos="461" w:val="left" w:leader="none"/>
        </w:tabs>
        <w:spacing w:line="240" w:lineRule="auto" w:before="1" w:after="0"/>
        <w:ind w:left="460" w:right="0" w:hanging="360"/>
        <w:jc w:val="both"/>
      </w:pPr>
      <w:r>
        <w:rPr/>
        <w:t>Referencias</w:t>
      </w:r>
    </w:p>
    <w:p>
      <w:pPr>
        <w:pStyle w:val="BodyText"/>
        <w:spacing w:before="7"/>
        <w:rPr>
          <w:b/>
          <w:sz w:val="23"/>
        </w:rPr>
      </w:pPr>
    </w:p>
    <w:p>
      <w:pPr>
        <w:pStyle w:val="BodyText"/>
        <w:ind w:left="100" w:right="236"/>
        <w:jc w:val="both"/>
      </w:pPr>
      <w:r>
        <w:rPr/>
        <w:t>C</w:t>
      </w:r>
      <w:r>
        <w:rPr>
          <w:spacing w:val="-1"/>
        </w:rPr>
        <w:t>a</w:t>
      </w:r>
      <w:r>
        <w:rPr/>
        <w:t>stañ</w:t>
      </w:r>
      <w:r>
        <w:rPr>
          <w:spacing w:val="-2"/>
        </w:rPr>
        <w:t>e</w:t>
      </w:r>
      <w:r>
        <w:rPr/>
        <w:t>da</w:t>
      </w:r>
      <w:r>
        <w:rPr>
          <w:spacing w:val="-1"/>
        </w:rPr>
        <w:t> </w:t>
      </w:r>
      <w:r>
        <w:rPr>
          <w:w w:val="99"/>
        </w:rPr>
        <w:t>Ar</w:t>
      </w:r>
      <w:r>
        <w:rPr>
          <w:spacing w:val="1"/>
        </w:rPr>
        <w:t>a</w:t>
      </w:r>
      <w:r>
        <w:rPr>
          <w:spacing w:val="-3"/>
        </w:rPr>
        <w:t>g</w:t>
      </w:r>
      <w:r>
        <w:rPr/>
        <w:t>ón Móni</w:t>
      </w:r>
      <w:r>
        <w:rPr>
          <w:spacing w:val="1"/>
        </w:rPr>
        <w:t>c</w:t>
      </w:r>
      <w:r>
        <w:rPr/>
        <w:t>a</w:t>
      </w:r>
      <w:r>
        <w:rPr>
          <w:spacing w:val="-1"/>
        </w:rPr>
        <w:t> </w:t>
      </w:r>
      <w:r>
        <w:rPr/>
        <w:t>E</w:t>
      </w:r>
      <w:r>
        <w:rPr>
          <w:b/>
        </w:rPr>
        <w:t>.</w:t>
      </w:r>
      <w:r>
        <w:rPr>
          <w:b/>
          <w:spacing w:val="2"/>
        </w:rPr>
        <w:t> </w:t>
      </w:r>
      <w:r>
        <w:rPr/>
        <w:t>y</w:t>
      </w:r>
      <w:r>
        <w:rPr>
          <w:spacing w:val="-5"/>
        </w:rPr>
        <w:t> </w:t>
      </w:r>
      <w:r>
        <w:rPr/>
        <w:t>o</w:t>
      </w:r>
      <w:r>
        <w:rPr>
          <w:spacing w:val="2"/>
        </w:rPr>
        <w:t>t</w:t>
      </w:r>
      <w:r>
        <w:rPr>
          <w:w w:val="99"/>
        </w:rPr>
        <w:t>ros</w:t>
      </w:r>
      <w:r>
        <w:rPr/>
        <w:t> </w:t>
      </w:r>
      <w:r>
        <w:rPr>
          <w:spacing w:val="-2"/>
        </w:rPr>
        <w:t>a</w:t>
      </w:r>
      <w:r>
        <w:rPr/>
        <w:t>utor</w:t>
      </w:r>
      <w:r>
        <w:rPr>
          <w:spacing w:val="-2"/>
        </w:rPr>
        <w:t>e</w:t>
      </w:r>
      <w:r>
        <w:rPr>
          <w:w w:val="99"/>
        </w:rPr>
        <w:t>s,</w:t>
      </w:r>
      <w:r>
        <w:rPr/>
        <w:t> 200</w:t>
      </w:r>
      <w:r>
        <w:rPr>
          <w:spacing w:val="2"/>
        </w:rPr>
        <w:t>7</w:t>
      </w:r>
      <w:r>
        <w:rPr/>
        <w:t>, </w:t>
      </w:r>
      <w:r>
        <w:rPr>
          <w:spacing w:val="-16"/>
          <w:w w:val="44"/>
        </w:rPr>
        <w:t>―</w:t>
      </w:r>
      <w:r>
        <w:rPr>
          <w:spacing w:val="-15"/>
          <w:w w:val="99"/>
        </w:rPr>
        <w:t>A</w:t>
      </w:r>
      <w:r>
        <w:rPr>
          <w:spacing w:val="-15"/>
        </w:rPr>
        <w:t>n</w:t>
      </w:r>
      <w:r>
        <w:rPr>
          <w:spacing w:val="-14"/>
          <w:w w:val="100"/>
        </w:rPr>
        <w:t>t</w:t>
      </w:r>
      <w:r>
        <w:rPr>
          <w:spacing w:val="-16"/>
          <w:w w:val="100"/>
        </w:rPr>
        <w:t>ece</w:t>
      </w:r>
      <w:r>
        <w:rPr>
          <w:spacing w:val="-15"/>
        </w:rPr>
        <w:t>d</w:t>
      </w:r>
      <w:r>
        <w:rPr>
          <w:spacing w:val="-16"/>
          <w:w w:val="100"/>
        </w:rPr>
        <w:t>e</w:t>
      </w:r>
      <w:r>
        <w:rPr>
          <w:spacing w:val="-15"/>
        </w:rPr>
        <w:t>n</w:t>
      </w:r>
      <w:r>
        <w:rPr>
          <w:spacing w:val="-14"/>
          <w:w w:val="100"/>
        </w:rPr>
        <w:t>t</w:t>
      </w:r>
      <w:r>
        <w:rPr>
          <w:spacing w:val="-16"/>
          <w:w w:val="100"/>
        </w:rPr>
        <w:t>e</w:t>
      </w:r>
      <w:r>
        <w:rPr>
          <w:spacing w:val="29"/>
          <w:w w:val="99"/>
        </w:rPr>
        <w:t>s</w:t>
      </w:r>
      <w:r>
        <w:rPr>
          <w:spacing w:val="-15"/>
        </w:rPr>
        <w:t>d</w:t>
      </w:r>
      <w:r>
        <w:rPr>
          <w:spacing w:val="-16"/>
          <w:w w:val="100"/>
        </w:rPr>
        <w:t>e</w:t>
      </w:r>
      <w:r>
        <w:rPr>
          <w:w w:val="100"/>
        </w:rPr>
        <w:t>l</w:t>
      </w:r>
      <w:r>
        <w:rPr>
          <w:spacing w:val="-29"/>
        </w:rPr>
        <w:t> </w:t>
      </w:r>
      <w:r>
        <w:rPr>
          <w:spacing w:val="-20"/>
        </w:rPr>
        <w:t>I</w:t>
      </w:r>
      <w:r>
        <w:rPr>
          <w:spacing w:val="-15"/>
          <w:w w:val="99"/>
        </w:rPr>
        <w:t>V</w:t>
      </w:r>
      <w:r>
        <w:rPr>
          <w:w w:val="99"/>
        </w:rPr>
        <w:t>A</w:t>
      </w:r>
      <w:r>
        <w:rPr>
          <w:spacing w:val="-30"/>
        </w:rPr>
        <w:t> </w:t>
      </w:r>
      <w:r>
        <w:rPr>
          <w:spacing w:val="-16"/>
          <w:w w:val="100"/>
        </w:rPr>
        <w:t>e</w:t>
      </w:r>
      <w:r>
        <w:rPr/>
        <w:t>n</w:t>
      </w:r>
      <w:r>
        <w:rPr>
          <w:spacing w:val="-29"/>
        </w:rPr>
        <w:t> </w:t>
      </w:r>
      <w:r>
        <w:rPr>
          <w:spacing w:val="-16"/>
          <w:w w:val="100"/>
        </w:rPr>
        <w:t>e</w:t>
      </w:r>
      <w:r>
        <w:rPr>
          <w:w w:val="100"/>
        </w:rPr>
        <w:t>l</w:t>
      </w:r>
      <w:r>
        <w:rPr>
          <w:spacing w:val="-29"/>
        </w:rPr>
        <w:t> </w:t>
      </w:r>
      <w:r>
        <w:rPr>
          <w:spacing w:val="-14"/>
          <w:w w:val="100"/>
        </w:rPr>
        <w:t>m</w:t>
      </w:r>
      <w:r>
        <w:rPr>
          <w:spacing w:val="-17"/>
        </w:rPr>
        <w:t>u</w:t>
      </w:r>
      <w:r>
        <w:rPr>
          <w:spacing w:val="-15"/>
        </w:rPr>
        <w:t>nd</w:t>
      </w:r>
      <w:r>
        <w:rPr/>
        <w:t>o</w:t>
      </w:r>
      <w:r>
        <w:rPr>
          <w:spacing w:val="-29"/>
        </w:rPr>
        <w:t> </w:t>
      </w:r>
      <w:r>
        <w:rPr>
          <w:spacing w:val="24"/>
        </w:rPr>
        <w:t>y</w:t>
      </w:r>
      <w:r>
        <w:rPr>
          <w:spacing w:val="-16"/>
          <w:w w:val="100"/>
        </w:rPr>
        <w:t>e</w:t>
      </w:r>
      <w:r>
        <w:rPr>
          <w:spacing w:val="-15"/>
          <w:w w:val="99"/>
        </w:rPr>
        <w:t>s</w:t>
      </w:r>
      <w:r>
        <w:rPr>
          <w:spacing w:val="-15"/>
        </w:rPr>
        <w:t>p</w:t>
      </w:r>
      <w:r>
        <w:rPr>
          <w:spacing w:val="-16"/>
          <w:w w:val="100"/>
        </w:rPr>
        <w:t>ec</w:t>
      </w:r>
      <w:r>
        <w:rPr>
          <w:spacing w:val="-14"/>
          <w:w w:val="100"/>
        </w:rPr>
        <w:t>i</w:t>
      </w:r>
      <w:r>
        <w:rPr>
          <w:spacing w:val="-16"/>
          <w:w w:val="100"/>
        </w:rPr>
        <w:t>a</w:t>
      </w:r>
      <w:r>
        <w:rPr>
          <w:spacing w:val="-14"/>
          <w:w w:val="100"/>
        </w:rPr>
        <w:t>l</w:t>
      </w:r>
      <w:r>
        <w:rPr>
          <w:spacing w:val="-14"/>
          <w:w w:val="100"/>
        </w:rPr>
        <w:t>m</w:t>
      </w:r>
      <w:r>
        <w:rPr>
          <w:spacing w:val="-16"/>
          <w:w w:val="100"/>
        </w:rPr>
        <w:t>e</w:t>
      </w:r>
      <w:r>
        <w:rPr>
          <w:spacing w:val="-15"/>
        </w:rPr>
        <w:t>n</w:t>
      </w:r>
      <w:r>
        <w:rPr>
          <w:spacing w:val="-14"/>
          <w:w w:val="100"/>
        </w:rPr>
        <w:t>t</w:t>
      </w:r>
      <w:r>
        <w:rPr>
          <w:w w:val="100"/>
        </w:rPr>
        <w:t>e</w:t>
      </w:r>
      <w:r>
        <w:rPr>
          <w:spacing w:val="-30"/>
        </w:rPr>
        <w:t> </w:t>
      </w:r>
      <w:r>
        <w:rPr>
          <w:spacing w:val="-16"/>
          <w:w w:val="100"/>
        </w:rPr>
        <w:t>e</w:t>
      </w:r>
      <w:r>
        <w:rPr/>
        <w:t>n </w:t>
      </w:r>
      <w:r>
        <w:rPr>
          <w:spacing w:val="-13"/>
        </w:rPr>
        <w:t>México</w:t>
      </w:r>
      <w:r>
        <w:rPr>
          <w:spacing w:val="-34"/>
        </w:rPr>
        <w:t> </w:t>
      </w:r>
      <w:r>
        <w:rPr>
          <w:w w:val="85"/>
        </w:rPr>
        <w:t>―</w:t>
      </w:r>
      <w:r>
        <w:rPr>
          <w:spacing w:val="-26"/>
          <w:w w:val="85"/>
        </w:rPr>
        <w:t> </w:t>
      </w:r>
      <w:hyperlink r:id="rId48">
        <w:r>
          <w:rPr/>
          <w:t>Universidad</w:t>
        </w:r>
      </w:hyperlink>
      <w:r>
        <w:rPr>
          <w:spacing w:val="-10"/>
        </w:rPr>
        <w:t> </w:t>
      </w:r>
      <w:r>
        <w:rPr/>
        <w:t>Autónoma</w:t>
      </w:r>
      <w:r>
        <w:rPr>
          <w:spacing w:val="-10"/>
        </w:rPr>
        <w:t> </w:t>
      </w:r>
      <w:r>
        <w:rPr/>
        <w:t>De</w:t>
      </w:r>
      <w:r>
        <w:rPr>
          <w:spacing w:val="-10"/>
        </w:rPr>
        <w:t> </w:t>
      </w:r>
      <w:r>
        <w:rPr/>
        <w:t>Sinaloa</w:t>
      </w:r>
      <w:r>
        <w:rPr>
          <w:spacing w:val="-10"/>
        </w:rPr>
        <w:t> </w:t>
      </w:r>
      <w:r>
        <w:rPr/>
        <w:t>Facultad</w:t>
      </w:r>
      <w:r>
        <w:rPr>
          <w:spacing w:val="-10"/>
        </w:rPr>
        <w:t> </w:t>
      </w:r>
      <w:r>
        <w:rPr/>
        <w:t>De</w:t>
      </w:r>
      <w:r>
        <w:rPr>
          <w:spacing w:val="-11"/>
        </w:rPr>
        <w:t> </w:t>
      </w:r>
      <w:r>
        <w:rPr/>
        <w:t>Derecho-Culiacán,</w:t>
      </w:r>
      <w:r>
        <w:rPr>
          <w:spacing w:val="-8"/>
        </w:rPr>
        <w:t> </w:t>
      </w:r>
      <w:r>
        <w:rPr/>
        <w:t>Unidad</w:t>
      </w:r>
      <w:r>
        <w:rPr>
          <w:spacing w:val="-10"/>
        </w:rPr>
        <w:t> </w:t>
      </w:r>
      <w:r>
        <w:rPr/>
        <w:t>De</w:t>
      </w:r>
      <w:r>
        <w:rPr>
          <w:spacing w:val="-11"/>
        </w:rPr>
        <w:t> </w:t>
      </w:r>
      <w:r>
        <w:rPr/>
        <w:t>Estudios</w:t>
      </w:r>
      <w:r>
        <w:rPr>
          <w:spacing w:val="-10"/>
        </w:rPr>
        <w:t> </w:t>
      </w:r>
      <w:r>
        <w:rPr/>
        <w:t>De Posgrado, </w:t>
      </w:r>
      <w:hyperlink r:id="rId49">
        <w:r>
          <w:rPr/>
          <w:t>Programa</w:t>
        </w:r>
      </w:hyperlink>
      <w:r>
        <w:rPr>
          <w:spacing w:val="-10"/>
        </w:rPr>
        <w:t> </w:t>
      </w:r>
      <w:r>
        <w:rPr/>
        <w:t>Integral.</w:t>
      </w:r>
    </w:p>
    <w:p>
      <w:pPr>
        <w:pStyle w:val="BodyText"/>
      </w:pPr>
    </w:p>
    <w:p>
      <w:pPr>
        <w:pStyle w:val="BodyText"/>
        <w:ind w:left="100" w:right="218"/>
      </w:pPr>
      <w:r>
        <w:rPr/>
        <w:t>EL </w:t>
      </w:r>
      <w:r>
        <w:rPr>
          <w:w w:val="99"/>
        </w:rPr>
        <w:t>ECONOM</w:t>
      </w:r>
      <w:r>
        <w:rPr>
          <w:w w:val="99"/>
        </w:rPr>
        <w:t>I</w:t>
      </w:r>
      <w:r>
        <w:rPr>
          <w:w w:val="99"/>
        </w:rPr>
        <w:t>S</w:t>
      </w:r>
      <w:r>
        <w:rPr>
          <w:w w:val="99"/>
        </w:rPr>
        <w:t>TA</w:t>
      </w:r>
      <w:r>
        <w:rPr/>
        <w:t> </w:t>
      </w:r>
      <w:r>
        <w:rPr>
          <w:w w:val="44"/>
        </w:rPr>
        <w:t>―</w:t>
      </w:r>
      <w:r>
        <w:rPr>
          <w:w w:val="99"/>
        </w:rPr>
        <w:t>I</w:t>
      </w:r>
      <w:r>
        <w:rPr>
          <w:w w:val="99"/>
        </w:rPr>
        <w:t>VA</w:t>
      </w:r>
      <w:r>
        <w:rPr/>
        <w:t> </w:t>
      </w:r>
      <w:r>
        <w:rPr>
          <w:w w:val="100"/>
        </w:rPr>
        <w:t>ce</w:t>
      </w:r>
      <w:r>
        <w:rPr>
          <w:w w:val="99"/>
        </w:rPr>
        <w:t>ro </w:t>
      </w:r>
      <w:r>
        <w:rPr>
          <w:w w:val="100"/>
        </w:rPr>
        <w:t>e</w:t>
      </w:r>
      <w:r>
        <w:rPr/>
        <w:t>n </w:t>
      </w:r>
      <w:r>
        <w:rPr>
          <w:w w:val="100"/>
        </w:rPr>
        <w:t>a</w:t>
      </w:r>
      <w:r>
        <w:rPr>
          <w:w w:val="100"/>
        </w:rPr>
        <w:t>li</w:t>
      </w:r>
      <w:r>
        <w:rPr>
          <w:w w:val="100"/>
        </w:rPr>
        <w:t>mentos</w:t>
      </w:r>
      <w:r>
        <w:rPr/>
        <w:t> y </w:t>
      </w:r>
      <w:r>
        <w:rPr>
          <w:w w:val="100"/>
        </w:rPr>
        <w:t>medic</w:t>
      </w:r>
      <w:r>
        <w:rPr>
          <w:w w:val="100"/>
        </w:rPr>
        <w:t>inas g</w:t>
      </w:r>
      <w:r>
        <w:rPr>
          <w:w w:val="100"/>
        </w:rPr>
        <w:t>e</w:t>
      </w:r>
      <w:r>
        <w:rPr>
          <w:w w:val="100"/>
        </w:rPr>
        <w:t>nera</w:t>
      </w:r>
      <w:r>
        <w:rPr/>
        <w:t> </w:t>
      </w:r>
      <w:r>
        <w:rPr>
          <w:w w:val="100"/>
        </w:rPr>
        <w:t>ga</w:t>
      </w:r>
      <w:r>
        <w:rPr/>
        <w:t>sto fis</w:t>
      </w:r>
      <w:r>
        <w:rPr>
          <w:w w:val="100"/>
        </w:rPr>
        <w:t>ca</w:t>
      </w:r>
      <w:r>
        <w:rPr>
          <w:w w:val="100"/>
        </w:rPr>
        <w:t>l</w:t>
      </w:r>
      <w:r>
        <w:rPr/>
        <w:t> </w:t>
      </w:r>
      <w:r>
        <w:rPr>
          <w:w w:val="100"/>
        </w:rPr>
        <w:t>de</w:t>
      </w:r>
      <w:r>
        <w:rPr/>
        <w:t> $160,000 </w:t>
      </w:r>
      <w:r>
        <w:rPr>
          <w:w w:val="100"/>
        </w:rPr>
        <w:t>mil</w:t>
      </w:r>
      <w:r>
        <w:rPr>
          <w:w w:val="106"/>
        </w:rPr>
        <w:t>lones‖</w:t>
      </w:r>
      <w:r>
        <w:rPr/>
        <w:t>, 3 de julio, 2012</w:t>
      </w:r>
    </w:p>
    <w:p>
      <w:pPr>
        <w:pStyle w:val="BodyText"/>
      </w:pPr>
    </w:p>
    <w:p>
      <w:pPr>
        <w:pStyle w:val="BodyText"/>
        <w:ind w:left="100" w:right="705"/>
      </w:pPr>
      <w:r>
        <w:rPr/>
        <w:t>Encuesta Nacional de Ingresos y Gastos de los Hogares en México, 2012, Instituto Nacional de Geografía e Informática.</w:t>
      </w:r>
    </w:p>
    <w:p>
      <w:pPr>
        <w:pStyle w:val="BodyText"/>
      </w:pPr>
    </w:p>
    <w:p>
      <w:pPr>
        <w:pStyle w:val="BodyText"/>
        <w:ind w:left="100" w:right="277"/>
      </w:pPr>
      <w:r>
        <w:rPr>
          <w:w w:val="100"/>
        </w:rPr>
        <w:t>Gil</w:t>
      </w:r>
      <w:r>
        <w:rPr/>
        <w:t> Va</w:t>
      </w:r>
      <w:r>
        <w:rPr>
          <w:w w:val="100"/>
        </w:rPr>
        <w:t>ldivia</w:t>
      </w:r>
      <w:r>
        <w:rPr/>
        <w:t> </w:t>
      </w:r>
      <w:r>
        <w:rPr>
          <w:w w:val="99"/>
        </w:rPr>
        <w:t>G</w:t>
      </w:r>
      <w:r>
        <w:rPr>
          <w:w w:val="100"/>
        </w:rPr>
        <w:t>e</w:t>
      </w:r>
      <w:r>
        <w:rPr>
          <w:w w:val="100"/>
        </w:rPr>
        <w:t>ra</w:t>
      </w:r>
      <w:r>
        <w:rPr>
          <w:w w:val="99"/>
        </w:rPr>
        <w:t>rdo </w:t>
      </w:r>
      <w:r>
        <w:rPr>
          <w:w w:val="44"/>
        </w:rPr>
        <w:t>―</w:t>
      </w:r>
      <w:r>
        <w:rPr>
          <w:w w:val="100"/>
        </w:rPr>
        <w:t>El</w:t>
      </w:r>
      <w:r>
        <w:rPr/>
        <w:t> </w:t>
      </w:r>
      <w:r>
        <w:rPr>
          <w:w w:val="100"/>
        </w:rPr>
        <w:t>e</w:t>
      </w:r>
      <w:r>
        <w:rPr>
          <w:w w:val="100"/>
        </w:rPr>
        <w:t>stable</w:t>
      </w:r>
      <w:r>
        <w:rPr>
          <w:w w:val="100"/>
        </w:rPr>
        <w:t>cimiento</w:t>
      </w:r>
      <w:r>
        <w:rPr/>
        <w:t> </w:t>
      </w:r>
      <w:r>
        <w:rPr>
          <w:w w:val="100"/>
        </w:rPr>
        <w:t>de</w:t>
      </w:r>
      <w:r>
        <w:rPr>
          <w:w w:val="100"/>
        </w:rPr>
        <w:t>l</w:t>
      </w:r>
      <w:r>
        <w:rPr/>
        <w:t> </w:t>
      </w:r>
      <w:r>
        <w:rPr>
          <w:w w:val="100"/>
        </w:rPr>
        <w:t>i</w:t>
      </w:r>
      <w:r>
        <w:rPr>
          <w:w w:val="100"/>
        </w:rPr>
        <w:t>mpuesto </w:t>
      </w:r>
      <w:r>
        <w:rPr>
          <w:w w:val="100"/>
        </w:rPr>
        <w:t>a</w:t>
      </w:r>
      <w:r>
        <w:rPr>
          <w:w w:val="100"/>
        </w:rPr>
        <w:t>l</w:t>
      </w:r>
      <w:r>
        <w:rPr/>
        <w:t> </w:t>
      </w:r>
      <w:r>
        <w:rPr>
          <w:w w:val="100"/>
        </w:rPr>
        <w:t>valor</w:t>
      </w:r>
      <w:r>
        <w:rPr/>
        <w:t> </w:t>
      </w:r>
      <w:r>
        <w:rPr>
          <w:w w:val="100"/>
        </w:rPr>
        <w:t>a</w:t>
      </w:r>
      <w:r>
        <w:rPr/>
        <w:t>gr</w:t>
      </w:r>
      <w:r>
        <w:rPr>
          <w:w w:val="100"/>
        </w:rPr>
        <w:t>e</w:t>
      </w:r>
      <w:r>
        <w:rPr/>
        <w:t>g</w:t>
      </w:r>
      <w:r>
        <w:rPr>
          <w:w w:val="100"/>
        </w:rPr>
        <w:t>a</w:t>
      </w:r>
      <w:r>
        <w:rPr/>
        <w:t>do </w:t>
      </w:r>
      <w:r>
        <w:rPr>
          <w:w w:val="100"/>
        </w:rPr>
        <w:t>e</w:t>
      </w:r>
      <w:r>
        <w:rPr/>
        <w:t>n Méx</w:t>
      </w:r>
      <w:r>
        <w:rPr>
          <w:w w:val="110"/>
        </w:rPr>
        <w:t>ico‖</w:t>
      </w:r>
      <w:r>
        <w:rPr/>
        <w:t> Inv</w:t>
      </w:r>
      <w:r>
        <w:rPr>
          <w:w w:val="100"/>
        </w:rPr>
        <w:t>e</w:t>
      </w:r>
      <w:r>
        <w:rPr>
          <w:w w:val="100"/>
        </w:rPr>
        <w:t>sti</w:t>
      </w:r>
      <w:r>
        <w:rPr/>
        <w:t>g</w:t>
      </w:r>
      <w:r>
        <w:rPr>
          <w:w w:val="100"/>
        </w:rPr>
        <w:t>a</w:t>
      </w:r>
      <w:r>
        <w:rPr/>
        <w:t>dor del Instituto de Investigaciones jurídicas de la UNAM</w:t>
      </w:r>
    </w:p>
    <w:p>
      <w:pPr>
        <w:pStyle w:val="BodyText"/>
      </w:pPr>
    </w:p>
    <w:p>
      <w:pPr>
        <w:pStyle w:val="BodyText"/>
        <w:spacing w:line="480" w:lineRule="auto"/>
        <w:ind w:left="100" w:right="825"/>
      </w:pPr>
      <w:r>
        <w:rPr>
          <w:w w:val="99"/>
        </w:rPr>
        <w:t>S</w:t>
      </w:r>
      <w:r>
        <w:rPr>
          <w:w w:val="100"/>
        </w:rPr>
        <w:t>a</w:t>
      </w:r>
      <w:r>
        <w:rPr>
          <w:w w:val="100"/>
        </w:rPr>
        <w:t>ve</w:t>
      </w:r>
      <w:r>
        <w:rPr>
          <w:w w:val="99"/>
        </w:rPr>
        <w:t>dr</w:t>
      </w:r>
      <w:r>
        <w:rPr>
          <w:w w:val="100"/>
        </w:rPr>
        <w:t>a</w:t>
      </w:r>
      <w:r>
        <w:rPr/>
        <w:t> </w:t>
      </w:r>
      <w:r>
        <w:rPr>
          <w:w w:val="99"/>
        </w:rPr>
        <w:t>G.</w:t>
      </w:r>
      <w:r>
        <w:rPr/>
        <w:t> </w:t>
      </w:r>
      <w:r>
        <w:rPr>
          <w:w w:val="99"/>
        </w:rPr>
        <w:t>J</w:t>
      </w:r>
      <w:r>
        <w:rPr>
          <w:w w:val="99"/>
        </w:rPr>
        <w:t>osé </w:t>
      </w:r>
      <w:r>
        <w:rPr>
          <w:w w:val="99"/>
        </w:rPr>
        <w:t>J</w:t>
      </w:r>
      <w:r>
        <w:rPr>
          <w:w w:val="99"/>
        </w:rPr>
        <w:t>org</w:t>
      </w:r>
      <w:r>
        <w:rPr>
          <w:w w:val="100"/>
        </w:rPr>
        <w:t>e</w:t>
      </w:r>
      <w:r>
        <w:rPr/>
        <w:t>. </w:t>
      </w:r>
      <w:r>
        <w:rPr>
          <w:w w:val="44"/>
        </w:rPr>
        <w:t>―</w:t>
      </w:r>
      <w:r>
        <w:rPr>
          <w:w w:val="100"/>
        </w:rPr>
        <w:t>Te</w:t>
      </w:r>
      <w:r>
        <w:rPr>
          <w:w w:val="100"/>
        </w:rPr>
        <w:t>ndenc</w:t>
      </w:r>
      <w:r>
        <w:rPr>
          <w:w w:val="100"/>
        </w:rPr>
        <w:t>ia</w:t>
      </w:r>
      <w:r>
        <w:rPr/>
        <w:t> d</w:t>
      </w:r>
      <w:r>
        <w:rPr>
          <w:w w:val="100"/>
        </w:rPr>
        <w:t>e</w:t>
      </w:r>
      <w:r>
        <w:rPr>
          <w:w w:val="100"/>
        </w:rPr>
        <w:t>l</w:t>
      </w:r>
      <w:r>
        <w:rPr/>
        <w:t> Impuesto </w:t>
      </w:r>
      <w:r>
        <w:rPr>
          <w:w w:val="100"/>
        </w:rPr>
        <w:t>a</w:t>
      </w:r>
      <w:r>
        <w:rPr>
          <w:w w:val="100"/>
        </w:rPr>
        <w:t>l</w:t>
      </w:r>
      <w:r>
        <w:rPr/>
        <w:t> Va</w:t>
      </w:r>
      <w:r>
        <w:rPr>
          <w:w w:val="100"/>
        </w:rPr>
        <w:t>lor</w:t>
      </w:r>
      <w:r>
        <w:rPr/>
        <w:t> </w:t>
      </w:r>
      <w:r>
        <w:rPr>
          <w:w w:val="99"/>
        </w:rPr>
        <w:t>A</w:t>
      </w:r>
      <w:r>
        <w:rPr/>
        <w:t>gr</w:t>
      </w:r>
      <w:r>
        <w:rPr>
          <w:w w:val="100"/>
        </w:rPr>
        <w:t>e</w:t>
      </w:r>
      <w:r>
        <w:rPr/>
        <w:t>g</w:t>
      </w:r>
      <w:r>
        <w:rPr>
          <w:w w:val="100"/>
        </w:rPr>
        <w:t>a</w:t>
      </w:r>
      <w:r>
        <w:rPr/>
        <w:t>do </w:t>
      </w:r>
      <w:r>
        <w:rPr>
          <w:w w:val="100"/>
        </w:rPr>
        <w:t>e</w:t>
      </w:r>
      <w:r>
        <w:rPr/>
        <w:t>n Méx</w:t>
      </w:r>
      <w:r>
        <w:rPr>
          <w:w w:val="110"/>
        </w:rPr>
        <w:t>ico‖ </w:t>
      </w:r>
      <w:hyperlink r:id="rId50">
        <w:r>
          <w:rPr/>
          <w:t>http://eleconomista.com.mx/inventario/2012/07/03/iva-cero-alimentos-</w:t>
        </w:r>
      </w:hyperlink>
      <w:r>
        <w:rPr/>
        <w:t> </w:t>
      </w:r>
      <w:hyperlink r:id="rId51">
        <w:r>
          <w:rPr/>
          <w:t>http://biblio.juridicas.unam.mx/revista/pdf/derechocomparado/30/art/art4.pdf</w:t>
        </w:r>
      </w:hyperlink>
    </w:p>
    <w:p>
      <w:pPr>
        <w:pStyle w:val="BodyText"/>
        <w:spacing w:before="10"/>
        <w:ind w:left="100" w:right="825" w:firstLine="12"/>
      </w:pPr>
      <w:hyperlink r:id="rId52">
        <w:r>
          <w:rPr/>
          <w:t>http://www.docstoc.com/docs/92133936/%E2%80%9CTENDENCIA-DEL-IMPUESTO-AL-</w:t>
        </w:r>
      </w:hyperlink>
      <w:r>
        <w:rPr/>
        <w:t> VALOR-AGREGADO-EN-MXICO%E2%80%9D</w:t>
      </w:r>
    </w:p>
    <w:p>
      <w:pPr>
        <w:spacing w:after="0"/>
        <w:sectPr>
          <w:pgSz w:w="11910" w:h="16840"/>
          <w:pgMar w:header="731" w:footer="0" w:top="960" w:bottom="280" w:left="980" w:right="960"/>
        </w:sectPr>
      </w:pPr>
    </w:p>
    <w:p>
      <w:pPr>
        <w:pStyle w:val="BodyText"/>
        <w:rPr>
          <w:sz w:val="20"/>
        </w:rPr>
      </w:pPr>
    </w:p>
    <w:p>
      <w:pPr>
        <w:pStyle w:val="BodyText"/>
        <w:spacing w:before="6"/>
        <w:rPr>
          <w:sz w:val="20"/>
        </w:rPr>
      </w:pPr>
    </w:p>
    <w:p>
      <w:pPr>
        <w:pStyle w:val="Heading4"/>
        <w:numPr>
          <w:ilvl w:val="1"/>
          <w:numId w:val="2"/>
        </w:numPr>
        <w:tabs>
          <w:tab w:pos="581" w:val="left" w:leader="none"/>
        </w:tabs>
        <w:spacing w:line="240" w:lineRule="auto" w:before="0" w:after="0"/>
        <w:ind w:left="580" w:right="0" w:hanging="480"/>
        <w:jc w:val="left"/>
      </w:pPr>
      <w:r>
        <w:rPr/>
        <w:t>Anexos</w:t>
      </w:r>
    </w:p>
    <w:p>
      <w:pPr>
        <w:pStyle w:val="BodyText"/>
        <w:spacing w:before="6"/>
        <w:rPr>
          <w:b/>
          <w:sz w:val="23"/>
        </w:rPr>
      </w:pPr>
    </w:p>
    <w:p>
      <w:pPr>
        <w:pStyle w:val="BodyText"/>
        <w:ind w:left="4061" w:hanging="3613"/>
      </w:pPr>
      <w:r>
        <w:rPr>
          <w:b/>
        </w:rPr>
        <w:t>Anexo 1 </w:t>
      </w:r>
      <w:r>
        <w:rPr/>
        <w:t>Participación porcentual de alimentos, medicamentos en el ingreso disponible de los hogares en México</w:t>
      </w:r>
    </w:p>
    <w:p>
      <w:pPr>
        <w:pStyle w:val="BodyText"/>
        <w:spacing w:before="8"/>
      </w:pPr>
    </w:p>
    <w:tbl>
      <w:tblPr>
        <w:tblW w:w="0" w:type="auto"/>
        <w:jc w:val="left"/>
        <w:tblInd w:w="23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83"/>
        <w:gridCol w:w="1545"/>
        <w:gridCol w:w="1571"/>
        <w:gridCol w:w="1195"/>
      </w:tblGrid>
      <w:tr>
        <w:trPr>
          <w:trHeight w:val="295" w:hRule="exact"/>
        </w:trPr>
        <w:tc>
          <w:tcPr>
            <w:tcW w:w="883" w:type="dxa"/>
          </w:tcPr>
          <w:p>
            <w:pPr>
              <w:pStyle w:val="TableParagraph"/>
              <w:spacing w:line="268" w:lineRule="exact"/>
              <w:ind w:left="59"/>
              <w:rPr>
                <w:sz w:val="24"/>
              </w:rPr>
            </w:pPr>
            <w:r>
              <w:rPr>
                <w:sz w:val="24"/>
              </w:rPr>
              <w:t>decil</w:t>
            </w:r>
          </w:p>
        </w:tc>
        <w:tc>
          <w:tcPr>
            <w:tcW w:w="1545" w:type="dxa"/>
            <w:tcBorders>
              <w:right w:val="nil"/>
            </w:tcBorders>
          </w:tcPr>
          <w:p>
            <w:pPr>
              <w:pStyle w:val="TableParagraph"/>
              <w:spacing w:line="268" w:lineRule="exact"/>
              <w:ind w:left="59"/>
              <w:rPr>
                <w:sz w:val="24"/>
              </w:rPr>
            </w:pPr>
            <w:r>
              <w:rPr>
                <w:sz w:val="24"/>
              </w:rPr>
              <w:t>Alimentos</w:t>
            </w:r>
          </w:p>
        </w:tc>
        <w:tc>
          <w:tcPr>
            <w:tcW w:w="1571" w:type="dxa"/>
            <w:tcBorders>
              <w:left w:val="nil"/>
              <w:right w:val="nil"/>
            </w:tcBorders>
          </w:tcPr>
          <w:p>
            <w:pPr>
              <w:pStyle w:val="TableParagraph"/>
              <w:spacing w:line="268" w:lineRule="exact"/>
              <w:ind w:left="0" w:right="87"/>
              <w:jc w:val="right"/>
              <w:rPr>
                <w:sz w:val="24"/>
              </w:rPr>
            </w:pPr>
            <w:r>
              <w:rPr>
                <w:sz w:val="24"/>
              </w:rPr>
              <w:t>Medicamentos</w:t>
            </w:r>
          </w:p>
        </w:tc>
        <w:tc>
          <w:tcPr>
            <w:tcW w:w="1195" w:type="dxa"/>
            <w:tcBorders>
              <w:left w:val="nil"/>
            </w:tcBorders>
          </w:tcPr>
          <w:p>
            <w:pPr>
              <w:pStyle w:val="TableParagraph"/>
              <w:spacing w:line="268" w:lineRule="exact"/>
              <w:ind w:left="0" w:right="62"/>
              <w:jc w:val="right"/>
              <w:rPr>
                <w:sz w:val="24"/>
              </w:rPr>
            </w:pPr>
            <w:r>
              <w:rPr>
                <w:sz w:val="24"/>
              </w:rPr>
              <w:t>AlimyMed</w:t>
            </w:r>
          </w:p>
        </w:tc>
      </w:tr>
      <w:tr>
        <w:trPr>
          <w:trHeight w:val="293" w:hRule="exact"/>
        </w:trPr>
        <w:tc>
          <w:tcPr>
            <w:tcW w:w="883" w:type="dxa"/>
            <w:tcBorders>
              <w:bottom w:val="nil"/>
            </w:tcBorders>
          </w:tcPr>
          <w:p>
            <w:pPr>
              <w:pStyle w:val="TableParagraph"/>
              <w:spacing w:line="270" w:lineRule="exact"/>
              <w:ind w:left="59"/>
              <w:rPr>
                <w:sz w:val="24"/>
              </w:rPr>
            </w:pPr>
            <w:r>
              <w:rPr>
                <w:w w:val="99"/>
                <w:sz w:val="24"/>
              </w:rPr>
              <w:t>I</w:t>
            </w:r>
          </w:p>
        </w:tc>
        <w:tc>
          <w:tcPr>
            <w:tcW w:w="1545" w:type="dxa"/>
            <w:tcBorders>
              <w:bottom w:val="nil"/>
              <w:right w:val="nil"/>
            </w:tcBorders>
          </w:tcPr>
          <w:p>
            <w:pPr>
              <w:pStyle w:val="TableParagraph"/>
              <w:spacing w:line="270" w:lineRule="exact"/>
              <w:ind w:left="0" w:right="68"/>
              <w:jc w:val="right"/>
              <w:rPr>
                <w:sz w:val="24"/>
              </w:rPr>
            </w:pPr>
            <w:r>
              <w:rPr>
                <w:sz w:val="24"/>
              </w:rPr>
              <w:t>93.47%</w:t>
            </w:r>
          </w:p>
        </w:tc>
        <w:tc>
          <w:tcPr>
            <w:tcW w:w="1571" w:type="dxa"/>
            <w:tcBorders>
              <w:left w:val="nil"/>
              <w:bottom w:val="nil"/>
              <w:right w:val="nil"/>
            </w:tcBorders>
          </w:tcPr>
          <w:p>
            <w:pPr>
              <w:pStyle w:val="TableParagraph"/>
              <w:spacing w:line="270" w:lineRule="exact"/>
              <w:ind w:left="0" w:right="67"/>
              <w:jc w:val="right"/>
              <w:rPr>
                <w:sz w:val="24"/>
              </w:rPr>
            </w:pPr>
            <w:r>
              <w:rPr>
                <w:sz w:val="24"/>
              </w:rPr>
              <w:t>1.37%</w:t>
            </w:r>
          </w:p>
        </w:tc>
        <w:tc>
          <w:tcPr>
            <w:tcW w:w="1195" w:type="dxa"/>
            <w:tcBorders>
              <w:left w:val="nil"/>
              <w:bottom w:val="nil"/>
            </w:tcBorders>
          </w:tcPr>
          <w:p>
            <w:pPr>
              <w:pStyle w:val="TableParagraph"/>
              <w:spacing w:line="270" w:lineRule="exact"/>
              <w:ind w:left="0" w:right="59"/>
              <w:jc w:val="right"/>
              <w:rPr>
                <w:sz w:val="24"/>
              </w:rPr>
            </w:pPr>
            <w:r>
              <w:rPr>
                <w:sz w:val="24"/>
              </w:rPr>
              <w:t>94.84%</w:t>
            </w:r>
          </w:p>
        </w:tc>
      </w:tr>
      <w:tr>
        <w:trPr>
          <w:trHeight w:val="276" w:hRule="exact"/>
        </w:trPr>
        <w:tc>
          <w:tcPr>
            <w:tcW w:w="883" w:type="dxa"/>
            <w:tcBorders>
              <w:top w:val="nil"/>
              <w:bottom w:val="nil"/>
            </w:tcBorders>
          </w:tcPr>
          <w:p>
            <w:pPr>
              <w:pStyle w:val="TableParagraph"/>
              <w:spacing w:line="263" w:lineRule="exact"/>
              <w:ind w:left="59"/>
              <w:rPr>
                <w:sz w:val="24"/>
              </w:rPr>
            </w:pPr>
            <w:r>
              <w:rPr>
                <w:sz w:val="24"/>
              </w:rPr>
              <w:t>II</w:t>
            </w:r>
          </w:p>
        </w:tc>
        <w:tc>
          <w:tcPr>
            <w:tcW w:w="1545" w:type="dxa"/>
            <w:tcBorders>
              <w:top w:val="nil"/>
              <w:bottom w:val="nil"/>
              <w:right w:val="nil"/>
            </w:tcBorders>
          </w:tcPr>
          <w:p>
            <w:pPr>
              <w:pStyle w:val="TableParagraph"/>
              <w:spacing w:line="263" w:lineRule="exact"/>
              <w:ind w:left="0" w:right="68"/>
              <w:jc w:val="right"/>
              <w:rPr>
                <w:sz w:val="24"/>
              </w:rPr>
            </w:pPr>
            <w:r>
              <w:rPr>
                <w:sz w:val="24"/>
              </w:rPr>
              <w:t>62.46%</w:t>
            </w:r>
          </w:p>
        </w:tc>
        <w:tc>
          <w:tcPr>
            <w:tcW w:w="1571" w:type="dxa"/>
            <w:tcBorders>
              <w:top w:val="nil"/>
              <w:left w:val="nil"/>
              <w:bottom w:val="nil"/>
              <w:right w:val="nil"/>
            </w:tcBorders>
          </w:tcPr>
          <w:p>
            <w:pPr>
              <w:pStyle w:val="TableParagraph"/>
              <w:spacing w:line="263" w:lineRule="exact"/>
              <w:ind w:left="0" w:right="67"/>
              <w:jc w:val="right"/>
              <w:rPr>
                <w:sz w:val="24"/>
              </w:rPr>
            </w:pPr>
            <w:r>
              <w:rPr>
                <w:sz w:val="24"/>
              </w:rPr>
              <w:t>1.17%</w:t>
            </w:r>
          </w:p>
        </w:tc>
        <w:tc>
          <w:tcPr>
            <w:tcW w:w="1195" w:type="dxa"/>
            <w:tcBorders>
              <w:top w:val="nil"/>
              <w:left w:val="nil"/>
              <w:bottom w:val="nil"/>
            </w:tcBorders>
          </w:tcPr>
          <w:p>
            <w:pPr>
              <w:pStyle w:val="TableParagraph"/>
              <w:spacing w:line="263" w:lineRule="exact"/>
              <w:ind w:left="0" w:right="59"/>
              <w:jc w:val="right"/>
              <w:rPr>
                <w:sz w:val="24"/>
              </w:rPr>
            </w:pPr>
            <w:r>
              <w:rPr>
                <w:sz w:val="24"/>
              </w:rPr>
              <w:t>63.64%</w:t>
            </w:r>
          </w:p>
        </w:tc>
      </w:tr>
      <w:tr>
        <w:trPr>
          <w:trHeight w:val="276" w:hRule="exact"/>
        </w:trPr>
        <w:tc>
          <w:tcPr>
            <w:tcW w:w="883" w:type="dxa"/>
            <w:tcBorders>
              <w:top w:val="nil"/>
              <w:bottom w:val="nil"/>
            </w:tcBorders>
          </w:tcPr>
          <w:p>
            <w:pPr>
              <w:pStyle w:val="TableParagraph"/>
              <w:spacing w:line="263" w:lineRule="exact"/>
              <w:ind w:left="59"/>
              <w:rPr>
                <w:sz w:val="24"/>
              </w:rPr>
            </w:pPr>
            <w:r>
              <w:rPr>
                <w:sz w:val="24"/>
              </w:rPr>
              <w:t>III</w:t>
            </w:r>
          </w:p>
        </w:tc>
        <w:tc>
          <w:tcPr>
            <w:tcW w:w="1545" w:type="dxa"/>
            <w:tcBorders>
              <w:top w:val="nil"/>
              <w:bottom w:val="nil"/>
              <w:right w:val="nil"/>
            </w:tcBorders>
          </w:tcPr>
          <w:p>
            <w:pPr>
              <w:pStyle w:val="TableParagraph"/>
              <w:spacing w:line="263" w:lineRule="exact"/>
              <w:ind w:left="0" w:right="68"/>
              <w:jc w:val="right"/>
              <w:rPr>
                <w:sz w:val="24"/>
              </w:rPr>
            </w:pPr>
            <w:r>
              <w:rPr>
                <w:sz w:val="24"/>
              </w:rPr>
              <w:t>52.66%</w:t>
            </w:r>
          </w:p>
        </w:tc>
        <w:tc>
          <w:tcPr>
            <w:tcW w:w="1571" w:type="dxa"/>
            <w:tcBorders>
              <w:top w:val="nil"/>
              <w:left w:val="nil"/>
              <w:bottom w:val="nil"/>
              <w:right w:val="nil"/>
            </w:tcBorders>
          </w:tcPr>
          <w:p>
            <w:pPr>
              <w:pStyle w:val="TableParagraph"/>
              <w:spacing w:line="263" w:lineRule="exact"/>
              <w:ind w:left="0" w:right="67"/>
              <w:jc w:val="right"/>
              <w:rPr>
                <w:sz w:val="24"/>
              </w:rPr>
            </w:pPr>
            <w:r>
              <w:rPr>
                <w:sz w:val="24"/>
              </w:rPr>
              <w:t>1.08%</w:t>
            </w:r>
          </w:p>
        </w:tc>
        <w:tc>
          <w:tcPr>
            <w:tcW w:w="1195" w:type="dxa"/>
            <w:tcBorders>
              <w:top w:val="nil"/>
              <w:left w:val="nil"/>
              <w:bottom w:val="nil"/>
            </w:tcBorders>
          </w:tcPr>
          <w:p>
            <w:pPr>
              <w:pStyle w:val="TableParagraph"/>
              <w:spacing w:line="263" w:lineRule="exact"/>
              <w:ind w:left="0" w:right="59"/>
              <w:jc w:val="right"/>
              <w:rPr>
                <w:sz w:val="24"/>
              </w:rPr>
            </w:pPr>
            <w:r>
              <w:rPr>
                <w:sz w:val="24"/>
              </w:rPr>
              <w:t>53.74%</w:t>
            </w:r>
          </w:p>
        </w:tc>
      </w:tr>
      <w:tr>
        <w:trPr>
          <w:trHeight w:val="276" w:hRule="exact"/>
        </w:trPr>
        <w:tc>
          <w:tcPr>
            <w:tcW w:w="883" w:type="dxa"/>
            <w:tcBorders>
              <w:top w:val="nil"/>
              <w:bottom w:val="nil"/>
            </w:tcBorders>
          </w:tcPr>
          <w:p>
            <w:pPr>
              <w:pStyle w:val="TableParagraph"/>
              <w:spacing w:line="263" w:lineRule="exact"/>
              <w:ind w:left="59"/>
              <w:rPr>
                <w:sz w:val="24"/>
              </w:rPr>
            </w:pPr>
            <w:r>
              <w:rPr>
                <w:sz w:val="24"/>
              </w:rPr>
              <w:t>IV</w:t>
            </w:r>
          </w:p>
        </w:tc>
        <w:tc>
          <w:tcPr>
            <w:tcW w:w="1545" w:type="dxa"/>
            <w:tcBorders>
              <w:top w:val="nil"/>
              <w:bottom w:val="nil"/>
              <w:right w:val="nil"/>
            </w:tcBorders>
          </w:tcPr>
          <w:p>
            <w:pPr>
              <w:pStyle w:val="TableParagraph"/>
              <w:spacing w:line="263" w:lineRule="exact"/>
              <w:ind w:left="0" w:right="68"/>
              <w:jc w:val="right"/>
              <w:rPr>
                <w:sz w:val="24"/>
              </w:rPr>
            </w:pPr>
            <w:r>
              <w:rPr>
                <w:sz w:val="24"/>
              </w:rPr>
              <w:t>47.88%</w:t>
            </w:r>
          </w:p>
        </w:tc>
        <w:tc>
          <w:tcPr>
            <w:tcW w:w="1571" w:type="dxa"/>
            <w:tcBorders>
              <w:top w:val="nil"/>
              <w:left w:val="nil"/>
              <w:bottom w:val="nil"/>
              <w:right w:val="nil"/>
            </w:tcBorders>
          </w:tcPr>
          <w:p>
            <w:pPr>
              <w:pStyle w:val="TableParagraph"/>
              <w:spacing w:line="263" w:lineRule="exact"/>
              <w:ind w:left="0" w:right="67"/>
              <w:jc w:val="right"/>
              <w:rPr>
                <w:sz w:val="24"/>
              </w:rPr>
            </w:pPr>
            <w:r>
              <w:rPr>
                <w:sz w:val="24"/>
              </w:rPr>
              <w:t>0.96%</w:t>
            </w:r>
          </w:p>
        </w:tc>
        <w:tc>
          <w:tcPr>
            <w:tcW w:w="1195" w:type="dxa"/>
            <w:tcBorders>
              <w:top w:val="nil"/>
              <w:left w:val="nil"/>
              <w:bottom w:val="nil"/>
            </w:tcBorders>
          </w:tcPr>
          <w:p>
            <w:pPr>
              <w:pStyle w:val="TableParagraph"/>
              <w:spacing w:line="263" w:lineRule="exact"/>
              <w:ind w:left="0" w:right="59"/>
              <w:jc w:val="right"/>
              <w:rPr>
                <w:sz w:val="24"/>
              </w:rPr>
            </w:pPr>
            <w:r>
              <w:rPr>
                <w:sz w:val="24"/>
              </w:rPr>
              <w:t>48.85%</w:t>
            </w:r>
          </w:p>
        </w:tc>
      </w:tr>
      <w:tr>
        <w:trPr>
          <w:trHeight w:val="276" w:hRule="exact"/>
        </w:trPr>
        <w:tc>
          <w:tcPr>
            <w:tcW w:w="883" w:type="dxa"/>
            <w:tcBorders>
              <w:top w:val="nil"/>
              <w:bottom w:val="nil"/>
            </w:tcBorders>
          </w:tcPr>
          <w:p>
            <w:pPr>
              <w:pStyle w:val="TableParagraph"/>
              <w:spacing w:line="263" w:lineRule="exact"/>
              <w:ind w:left="59"/>
              <w:rPr>
                <w:sz w:val="24"/>
              </w:rPr>
            </w:pPr>
            <w:r>
              <w:rPr>
                <w:w w:val="99"/>
                <w:sz w:val="24"/>
              </w:rPr>
              <w:t>V</w:t>
            </w:r>
          </w:p>
        </w:tc>
        <w:tc>
          <w:tcPr>
            <w:tcW w:w="1545" w:type="dxa"/>
            <w:tcBorders>
              <w:top w:val="nil"/>
              <w:bottom w:val="nil"/>
              <w:right w:val="nil"/>
            </w:tcBorders>
          </w:tcPr>
          <w:p>
            <w:pPr>
              <w:pStyle w:val="TableParagraph"/>
              <w:spacing w:line="263" w:lineRule="exact"/>
              <w:ind w:left="0" w:right="68"/>
              <w:jc w:val="right"/>
              <w:rPr>
                <w:sz w:val="24"/>
              </w:rPr>
            </w:pPr>
            <w:r>
              <w:rPr>
                <w:sz w:val="24"/>
              </w:rPr>
              <w:t>41.49%</w:t>
            </w:r>
          </w:p>
        </w:tc>
        <w:tc>
          <w:tcPr>
            <w:tcW w:w="1571" w:type="dxa"/>
            <w:tcBorders>
              <w:top w:val="nil"/>
              <w:left w:val="nil"/>
              <w:bottom w:val="nil"/>
              <w:right w:val="nil"/>
            </w:tcBorders>
          </w:tcPr>
          <w:p>
            <w:pPr>
              <w:pStyle w:val="TableParagraph"/>
              <w:spacing w:line="263" w:lineRule="exact"/>
              <w:ind w:left="0" w:right="67"/>
              <w:jc w:val="right"/>
              <w:rPr>
                <w:sz w:val="24"/>
              </w:rPr>
            </w:pPr>
            <w:r>
              <w:rPr>
                <w:sz w:val="24"/>
              </w:rPr>
              <w:t>0.83%</w:t>
            </w:r>
          </w:p>
        </w:tc>
        <w:tc>
          <w:tcPr>
            <w:tcW w:w="1195" w:type="dxa"/>
            <w:tcBorders>
              <w:top w:val="nil"/>
              <w:left w:val="nil"/>
              <w:bottom w:val="nil"/>
            </w:tcBorders>
          </w:tcPr>
          <w:p>
            <w:pPr>
              <w:pStyle w:val="TableParagraph"/>
              <w:spacing w:line="263" w:lineRule="exact"/>
              <w:ind w:left="0" w:right="59"/>
              <w:jc w:val="right"/>
              <w:rPr>
                <w:sz w:val="24"/>
              </w:rPr>
            </w:pPr>
            <w:r>
              <w:rPr>
                <w:sz w:val="24"/>
              </w:rPr>
              <w:t>42.32%</w:t>
            </w:r>
          </w:p>
        </w:tc>
      </w:tr>
      <w:tr>
        <w:trPr>
          <w:trHeight w:val="276" w:hRule="exact"/>
        </w:trPr>
        <w:tc>
          <w:tcPr>
            <w:tcW w:w="883" w:type="dxa"/>
            <w:tcBorders>
              <w:top w:val="nil"/>
              <w:bottom w:val="nil"/>
            </w:tcBorders>
          </w:tcPr>
          <w:p>
            <w:pPr>
              <w:pStyle w:val="TableParagraph"/>
              <w:spacing w:line="263" w:lineRule="exact"/>
              <w:ind w:left="59"/>
              <w:rPr>
                <w:sz w:val="24"/>
              </w:rPr>
            </w:pPr>
            <w:r>
              <w:rPr>
                <w:sz w:val="24"/>
              </w:rPr>
              <w:t>VI</w:t>
            </w:r>
          </w:p>
        </w:tc>
        <w:tc>
          <w:tcPr>
            <w:tcW w:w="1545" w:type="dxa"/>
            <w:tcBorders>
              <w:top w:val="nil"/>
              <w:bottom w:val="nil"/>
              <w:right w:val="nil"/>
            </w:tcBorders>
          </w:tcPr>
          <w:p>
            <w:pPr>
              <w:pStyle w:val="TableParagraph"/>
              <w:spacing w:line="263" w:lineRule="exact"/>
              <w:ind w:left="0" w:right="68"/>
              <w:jc w:val="right"/>
              <w:rPr>
                <w:sz w:val="24"/>
              </w:rPr>
            </w:pPr>
            <w:r>
              <w:rPr>
                <w:sz w:val="24"/>
              </w:rPr>
              <w:t>37.37%</w:t>
            </w:r>
          </w:p>
        </w:tc>
        <w:tc>
          <w:tcPr>
            <w:tcW w:w="1571" w:type="dxa"/>
            <w:tcBorders>
              <w:top w:val="nil"/>
              <w:left w:val="nil"/>
              <w:bottom w:val="nil"/>
              <w:right w:val="nil"/>
            </w:tcBorders>
          </w:tcPr>
          <w:p>
            <w:pPr>
              <w:pStyle w:val="TableParagraph"/>
              <w:spacing w:line="263" w:lineRule="exact"/>
              <w:ind w:left="0" w:right="67"/>
              <w:jc w:val="right"/>
              <w:rPr>
                <w:sz w:val="24"/>
              </w:rPr>
            </w:pPr>
            <w:r>
              <w:rPr>
                <w:sz w:val="24"/>
              </w:rPr>
              <w:t>0.68%</w:t>
            </w:r>
          </w:p>
        </w:tc>
        <w:tc>
          <w:tcPr>
            <w:tcW w:w="1195" w:type="dxa"/>
            <w:tcBorders>
              <w:top w:val="nil"/>
              <w:left w:val="nil"/>
              <w:bottom w:val="nil"/>
            </w:tcBorders>
          </w:tcPr>
          <w:p>
            <w:pPr>
              <w:pStyle w:val="TableParagraph"/>
              <w:spacing w:line="263" w:lineRule="exact"/>
              <w:ind w:left="0" w:right="59"/>
              <w:jc w:val="right"/>
              <w:rPr>
                <w:sz w:val="24"/>
              </w:rPr>
            </w:pPr>
            <w:r>
              <w:rPr>
                <w:sz w:val="24"/>
              </w:rPr>
              <w:t>38.05%</w:t>
            </w:r>
          </w:p>
        </w:tc>
      </w:tr>
      <w:tr>
        <w:trPr>
          <w:trHeight w:val="276" w:hRule="exact"/>
        </w:trPr>
        <w:tc>
          <w:tcPr>
            <w:tcW w:w="883" w:type="dxa"/>
            <w:tcBorders>
              <w:top w:val="nil"/>
              <w:bottom w:val="nil"/>
            </w:tcBorders>
          </w:tcPr>
          <w:p>
            <w:pPr>
              <w:pStyle w:val="TableParagraph"/>
              <w:spacing w:line="263" w:lineRule="exact"/>
              <w:ind w:left="59"/>
              <w:rPr>
                <w:sz w:val="24"/>
              </w:rPr>
            </w:pPr>
            <w:r>
              <w:rPr>
                <w:sz w:val="24"/>
              </w:rPr>
              <w:t>VII</w:t>
            </w:r>
          </w:p>
        </w:tc>
        <w:tc>
          <w:tcPr>
            <w:tcW w:w="1545" w:type="dxa"/>
            <w:tcBorders>
              <w:top w:val="nil"/>
              <w:bottom w:val="nil"/>
              <w:right w:val="nil"/>
            </w:tcBorders>
          </w:tcPr>
          <w:p>
            <w:pPr>
              <w:pStyle w:val="TableParagraph"/>
              <w:spacing w:line="263" w:lineRule="exact"/>
              <w:ind w:left="0" w:right="68"/>
              <w:jc w:val="right"/>
              <w:rPr>
                <w:sz w:val="24"/>
              </w:rPr>
            </w:pPr>
            <w:r>
              <w:rPr>
                <w:sz w:val="24"/>
              </w:rPr>
              <w:t>32.35%</w:t>
            </w:r>
          </w:p>
        </w:tc>
        <w:tc>
          <w:tcPr>
            <w:tcW w:w="1571" w:type="dxa"/>
            <w:tcBorders>
              <w:top w:val="nil"/>
              <w:left w:val="nil"/>
              <w:bottom w:val="nil"/>
              <w:right w:val="nil"/>
            </w:tcBorders>
          </w:tcPr>
          <w:p>
            <w:pPr>
              <w:pStyle w:val="TableParagraph"/>
              <w:spacing w:line="263" w:lineRule="exact"/>
              <w:ind w:left="0" w:right="67"/>
              <w:jc w:val="right"/>
              <w:rPr>
                <w:sz w:val="24"/>
              </w:rPr>
            </w:pPr>
            <w:r>
              <w:rPr>
                <w:sz w:val="24"/>
              </w:rPr>
              <w:t>0.58%</w:t>
            </w:r>
          </w:p>
        </w:tc>
        <w:tc>
          <w:tcPr>
            <w:tcW w:w="1195" w:type="dxa"/>
            <w:tcBorders>
              <w:top w:val="nil"/>
              <w:left w:val="nil"/>
              <w:bottom w:val="nil"/>
            </w:tcBorders>
          </w:tcPr>
          <w:p>
            <w:pPr>
              <w:pStyle w:val="TableParagraph"/>
              <w:spacing w:line="263" w:lineRule="exact"/>
              <w:ind w:left="0" w:right="59"/>
              <w:jc w:val="right"/>
              <w:rPr>
                <w:sz w:val="24"/>
              </w:rPr>
            </w:pPr>
            <w:r>
              <w:rPr>
                <w:sz w:val="24"/>
              </w:rPr>
              <w:t>32.94%</w:t>
            </w:r>
          </w:p>
        </w:tc>
      </w:tr>
      <w:tr>
        <w:trPr>
          <w:trHeight w:val="276" w:hRule="exact"/>
        </w:trPr>
        <w:tc>
          <w:tcPr>
            <w:tcW w:w="883" w:type="dxa"/>
            <w:tcBorders>
              <w:top w:val="nil"/>
              <w:bottom w:val="nil"/>
            </w:tcBorders>
          </w:tcPr>
          <w:p>
            <w:pPr>
              <w:pStyle w:val="TableParagraph"/>
              <w:spacing w:line="263" w:lineRule="exact"/>
              <w:ind w:left="59"/>
              <w:rPr>
                <w:sz w:val="24"/>
              </w:rPr>
            </w:pPr>
            <w:r>
              <w:rPr>
                <w:sz w:val="24"/>
              </w:rPr>
              <w:t>VIII</w:t>
            </w:r>
          </w:p>
        </w:tc>
        <w:tc>
          <w:tcPr>
            <w:tcW w:w="1545" w:type="dxa"/>
            <w:tcBorders>
              <w:top w:val="nil"/>
              <w:bottom w:val="nil"/>
              <w:right w:val="nil"/>
            </w:tcBorders>
          </w:tcPr>
          <w:p>
            <w:pPr>
              <w:pStyle w:val="TableParagraph"/>
              <w:spacing w:line="263" w:lineRule="exact"/>
              <w:ind w:left="0" w:right="68"/>
              <w:jc w:val="right"/>
              <w:rPr>
                <w:sz w:val="24"/>
              </w:rPr>
            </w:pPr>
            <w:r>
              <w:rPr>
                <w:sz w:val="24"/>
              </w:rPr>
              <w:t>29.75%</w:t>
            </w:r>
          </w:p>
        </w:tc>
        <w:tc>
          <w:tcPr>
            <w:tcW w:w="1571" w:type="dxa"/>
            <w:tcBorders>
              <w:top w:val="nil"/>
              <w:left w:val="nil"/>
              <w:bottom w:val="nil"/>
              <w:right w:val="nil"/>
            </w:tcBorders>
          </w:tcPr>
          <w:p>
            <w:pPr>
              <w:pStyle w:val="TableParagraph"/>
              <w:spacing w:line="263" w:lineRule="exact"/>
              <w:ind w:left="0" w:right="67"/>
              <w:jc w:val="right"/>
              <w:rPr>
                <w:sz w:val="24"/>
              </w:rPr>
            </w:pPr>
            <w:r>
              <w:rPr>
                <w:sz w:val="24"/>
              </w:rPr>
              <w:t>0.63%</w:t>
            </w:r>
          </w:p>
        </w:tc>
        <w:tc>
          <w:tcPr>
            <w:tcW w:w="1195" w:type="dxa"/>
            <w:tcBorders>
              <w:top w:val="nil"/>
              <w:left w:val="nil"/>
              <w:bottom w:val="nil"/>
            </w:tcBorders>
          </w:tcPr>
          <w:p>
            <w:pPr>
              <w:pStyle w:val="TableParagraph"/>
              <w:spacing w:line="263" w:lineRule="exact"/>
              <w:ind w:left="0" w:right="59"/>
              <w:jc w:val="right"/>
              <w:rPr>
                <w:sz w:val="24"/>
              </w:rPr>
            </w:pPr>
            <w:r>
              <w:rPr>
                <w:sz w:val="24"/>
              </w:rPr>
              <w:t>30.38%</w:t>
            </w:r>
          </w:p>
        </w:tc>
      </w:tr>
      <w:tr>
        <w:trPr>
          <w:trHeight w:val="276" w:hRule="exact"/>
        </w:trPr>
        <w:tc>
          <w:tcPr>
            <w:tcW w:w="883" w:type="dxa"/>
            <w:tcBorders>
              <w:top w:val="nil"/>
              <w:bottom w:val="nil"/>
            </w:tcBorders>
          </w:tcPr>
          <w:p>
            <w:pPr>
              <w:pStyle w:val="TableParagraph"/>
              <w:spacing w:line="263" w:lineRule="exact"/>
              <w:ind w:left="59"/>
              <w:rPr>
                <w:sz w:val="24"/>
              </w:rPr>
            </w:pPr>
            <w:r>
              <w:rPr>
                <w:sz w:val="24"/>
              </w:rPr>
              <w:t>IX</w:t>
            </w:r>
          </w:p>
        </w:tc>
        <w:tc>
          <w:tcPr>
            <w:tcW w:w="1545" w:type="dxa"/>
            <w:tcBorders>
              <w:top w:val="nil"/>
              <w:bottom w:val="nil"/>
              <w:right w:val="nil"/>
            </w:tcBorders>
          </w:tcPr>
          <w:p>
            <w:pPr>
              <w:pStyle w:val="TableParagraph"/>
              <w:spacing w:line="263" w:lineRule="exact"/>
              <w:ind w:left="0" w:right="68"/>
              <w:jc w:val="right"/>
              <w:rPr>
                <w:sz w:val="24"/>
              </w:rPr>
            </w:pPr>
            <w:r>
              <w:rPr>
                <w:sz w:val="24"/>
              </w:rPr>
              <w:t>23.92%</w:t>
            </w:r>
          </w:p>
        </w:tc>
        <w:tc>
          <w:tcPr>
            <w:tcW w:w="1571" w:type="dxa"/>
            <w:tcBorders>
              <w:top w:val="nil"/>
              <w:left w:val="nil"/>
              <w:bottom w:val="nil"/>
              <w:right w:val="nil"/>
            </w:tcBorders>
          </w:tcPr>
          <w:p>
            <w:pPr>
              <w:pStyle w:val="TableParagraph"/>
              <w:spacing w:line="263" w:lineRule="exact"/>
              <w:ind w:left="0" w:right="67"/>
              <w:jc w:val="right"/>
              <w:rPr>
                <w:sz w:val="24"/>
              </w:rPr>
            </w:pPr>
            <w:r>
              <w:rPr>
                <w:sz w:val="24"/>
              </w:rPr>
              <w:t>0.55%</w:t>
            </w:r>
          </w:p>
        </w:tc>
        <w:tc>
          <w:tcPr>
            <w:tcW w:w="1195" w:type="dxa"/>
            <w:tcBorders>
              <w:top w:val="nil"/>
              <w:left w:val="nil"/>
              <w:bottom w:val="nil"/>
            </w:tcBorders>
          </w:tcPr>
          <w:p>
            <w:pPr>
              <w:pStyle w:val="TableParagraph"/>
              <w:spacing w:line="263" w:lineRule="exact"/>
              <w:ind w:left="0" w:right="59"/>
              <w:jc w:val="right"/>
              <w:rPr>
                <w:sz w:val="24"/>
              </w:rPr>
            </w:pPr>
            <w:r>
              <w:rPr>
                <w:sz w:val="24"/>
              </w:rPr>
              <w:t>24.47%</w:t>
            </w:r>
          </w:p>
        </w:tc>
      </w:tr>
      <w:tr>
        <w:trPr>
          <w:trHeight w:val="281" w:hRule="exact"/>
        </w:trPr>
        <w:tc>
          <w:tcPr>
            <w:tcW w:w="883" w:type="dxa"/>
            <w:tcBorders>
              <w:top w:val="nil"/>
            </w:tcBorders>
          </w:tcPr>
          <w:p>
            <w:pPr>
              <w:pStyle w:val="TableParagraph"/>
              <w:spacing w:line="263" w:lineRule="exact"/>
              <w:ind w:left="59"/>
              <w:rPr>
                <w:sz w:val="24"/>
              </w:rPr>
            </w:pPr>
            <w:r>
              <w:rPr>
                <w:w w:val="99"/>
                <w:sz w:val="24"/>
              </w:rPr>
              <w:t>X</w:t>
            </w:r>
          </w:p>
        </w:tc>
        <w:tc>
          <w:tcPr>
            <w:tcW w:w="1545" w:type="dxa"/>
            <w:tcBorders>
              <w:top w:val="nil"/>
              <w:bottom w:val="nil"/>
              <w:right w:val="nil"/>
            </w:tcBorders>
          </w:tcPr>
          <w:p>
            <w:pPr>
              <w:pStyle w:val="TableParagraph"/>
              <w:spacing w:line="263" w:lineRule="exact"/>
              <w:ind w:left="0" w:right="68"/>
              <w:jc w:val="right"/>
              <w:rPr>
                <w:sz w:val="24"/>
              </w:rPr>
            </w:pPr>
            <w:r>
              <w:rPr>
                <w:sz w:val="24"/>
              </w:rPr>
              <w:t>15.23%</w:t>
            </w:r>
          </w:p>
        </w:tc>
        <w:tc>
          <w:tcPr>
            <w:tcW w:w="1571" w:type="dxa"/>
            <w:tcBorders>
              <w:top w:val="nil"/>
              <w:left w:val="nil"/>
              <w:bottom w:val="nil"/>
              <w:right w:val="nil"/>
            </w:tcBorders>
          </w:tcPr>
          <w:p>
            <w:pPr>
              <w:pStyle w:val="TableParagraph"/>
              <w:spacing w:line="263" w:lineRule="exact"/>
              <w:ind w:left="0" w:right="67"/>
              <w:jc w:val="right"/>
              <w:rPr>
                <w:sz w:val="24"/>
              </w:rPr>
            </w:pPr>
            <w:r>
              <w:rPr>
                <w:sz w:val="24"/>
              </w:rPr>
              <w:t>0.53%</w:t>
            </w:r>
          </w:p>
        </w:tc>
        <w:tc>
          <w:tcPr>
            <w:tcW w:w="1195" w:type="dxa"/>
            <w:tcBorders>
              <w:top w:val="nil"/>
              <w:left w:val="nil"/>
              <w:bottom w:val="nil"/>
            </w:tcBorders>
          </w:tcPr>
          <w:p>
            <w:pPr>
              <w:pStyle w:val="TableParagraph"/>
              <w:spacing w:line="263" w:lineRule="exact"/>
              <w:ind w:left="0" w:right="59"/>
              <w:jc w:val="right"/>
              <w:rPr>
                <w:sz w:val="24"/>
              </w:rPr>
            </w:pPr>
            <w:r>
              <w:rPr>
                <w:sz w:val="24"/>
              </w:rPr>
              <w:t>15.75%</w:t>
            </w:r>
          </w:p>
        </w:tc>
      </w:tr>
      <w:tr>
        <w:trPr>
          <w:trHeight w:val="295" w:hRule="exact"/>
        </w:trPr>
        <w:tc>
          <w:tcPr>
            <w:tcW w:w="883" w:type="dxa"/>
          </w:tcPr>
          <w:p>
            <w:pPr/>
          </w:p>
        </w:tc>
        <w:tc>
          <w:tcPr>
            <w:tcW w:w="1545" w:type="dxa"/>
            <w:tcBorders>
              <w:top w:val="nil"/>
              <w:right w:val="nil"/>
            </w:tcBorders>
          </w:tcPr>
          <w:p>
            <w:pPr/>
          </w:p>
        </w:tc>
        <w:tc>
          <w:tcPr>
            <w:tcW w:w="1571" w:type="dxa"/>
            <w:tcBorders>
              <w:top w:val="nil"/>
              <w:left w:val="nil"/>
              <w:right w:val="nil"/>
            </w:tcBorders>
          </w:tcPr>
          <w:p>
            <w:pPr/>
          </w:p>
        </w:tc>
        <w:tc>
          <w:tcPr>
            <w:tcW w:w="1195" w:type="dxa"/>
            <w:tcBorders>
              <w:top w:val="nil"/>
              <w:left w:val="nil"/>
            </w:tcBorders>
          </w:tcPr>
          <w:p>
            <w:pPr/>
          </w:p>
        </w:tc>
      </w:tr>
      <w:tr>
        <w:trPr>
          <w:trHeight w:val="295" w:hRule="exact"/>
        </w:trPr>
        <w:tc>
          <w:tcPr>
            <w:tcW w:w="883" w:type="dxa"/>
          </w:tcPr>
          <w:p>
            <w:pPr/>
          </w:p>
        </w:tc>
        <w:tc>
          <w:tcPr>
            <w:tcW w:w="1545" w:type="dxa"/>
            <w:tcBorders>
              <w:right w:val="nil"/>
            </w:tcBorders>
          </w:tcPr>
          <w:p>
            <w:pPr>
              <w:pStyle w:val="TableParagraph"/>
              <w:spacing w:line="268" w:lineRule="exact"/>
              <w:ind w:left="0" w:right="68"/>
              <w:jc w:val="right"/>
              <w:rPr>
                <w:sz w:val="24"/>
              </w:rPr>
            </w:pPr>
            <w:r>
              <w:rPr>
                <w:sz w:val="24"/>
              </w:rPr>
              <w:t>26.98%</w:t>
            </w:r>
          </w:p>
        </w:tc>
        <w:tc>
          <w:tcPr>
            <w:tcW w:w="1571" w:type="dxa"/>
            <w:tcBorders>
              <w:left w:val="nil"/>
              <w:right w:val="nil"/>
            </w:tcBorders>
          </w:tcPr>
          <w:p>
            <w:pPr>
              <w:pStyle w:val="TableParagraph"/>
              <w:spacing w:line="268" w:lineRule="exact"/>
              <w:ind w:left="0" w:right="67"/>
              <w:jc w:val="right"/>
              <w:rPr>
                <w:sz w:val="24"/>
              </w:rPr>
            </w:pPr>
            <w:r>
              <w:rPr>
                <w:sz w:val="24"/>
              </w:rPr>
              <w:t>0.63%</w:t>
            </w:r>
          </w:p>
        </w:tc>
        <w:tc>
          <w:tcPr>
            <w:tcW w:w="1195" w:type="dxa"/>
            <w:tcBorders>
              <w:left w:val="nil"/>
            </w:tcBorders>
          </w:tcPr>
          <w:p>
            <w:pPr>
              <w:pStyle w:val="TableParagraph"/>
              <w:spacing w:line="268" w:lineRule="exact"/>
              <w:ind w:left="0" w:right="59"/>
              <w:jc w:val="right"/>
              <w:rPr>
                <w:sz w:val="24"/>
              </w:rPr>
            </w:pPr>
            <w:r>
              <w:rPr>
                <w:sz w:val="24"/>
              </w:rPr>
              <w:t>27.61%</w:t>
            </w:r>
          </w:p>
        </w:tc>
      </w:tr>
    </w:tbl>
    <w:p>
      <w:pPr>
        <w:pStyle w:val="BodyText"/>
        <w:spacing w:before="3"/>
        <w:rPr>
          <w:sz w:val="17"/>
        </w:rPr>
      </w:pPr>
    </w:p>
    <w:p>
      <w:pPr>
        <w:pStyle w:val="BodyText"/>
        <w:spacing w:before="69"/>
        <w:ind w:left="4488" w:right="577" w:hanging="3913"/>
      </w:pPr>
      <w:r>
        <w:rPr>
          <w:b/>
        </w:rPr>
        <w:t>Anexo 1.2 </w:t>
      </w:r>
      <w:r>
        <w:rPr/>
        <w:t>Estimación del índice de Gini sin y con aplicacióndel IVA (16%) en alimentos y medicinas</w:t>
      </w:r>
    </w:p>
    <w:p>
      <w:pPr>
        <w:pStyle w:val="BodyText"/>
        <w:spacing w:before="8"/>
      </w:pPr>
    </w:p>
    <w:tbl>
      <w:tblPr>
        <w:tblW w:w="0" w:type="auto"/>
        <w:jc w:val="left"/>
        <w:tblInd w:w="20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1"/>
        <w:gridCol w:w="1800"/>
        <w:gridCol w:w="1801"/>
      </w:tblGrid>
      <w:tr>
        <w:trPr>
          <w:trHeight w:val="240" w:hRule="exact"/>
        </w:trPr>
        <w:tc>
          <w:tcPr>
            <w:tcW w:w="5932" w:type="dxa"/>
            <w:gridSpan w:val="3"/>
          </w:tcPr>
          <w:p>
            <w:pPr>
              <w:pStyle w:val="TableParagraph"/>
              <w:spacing w:line="226" w:lineRule="exact"/>
              <w:ind w:left="1942"/>
              <w:rPr>
                <w:sz w:val="20"/>
              </w:rPr>
            </w:pPr>
            <w:r>
              <w:rPr>
                <w:sz w:val="20"/>
              </w:rPr>
              <w:t>Gini / S-Gini (Inequality)</w:t>
            </w:r>
          </w:p>
        </w:tc>
      </w:tr>
      <w:tr>
        <w:trPr>
          <w:trHeight w:val="471" w:hRule="exact"/>
        </w:trPr>
        <w:tc>
          <w:tcPr>
            <w:tcW w:w="2331" w:type="dxa"/>
          </w:tcPr>
          <w:p>
            <w:pPr>
              <w:pStyle w:val="TableParagraph"/>
              <w:spacing w:line="226" w:lineRule="exact"/>
              <w:rPr>
                <w:sz w:val="20"/>
              </w:rPr>
            </w:pPr>
            <w:r>
              <w:rPr>
                <w:sz w:val="20"/>
              </w:rPr>
              <w:t>Session date</w:t>
            </w:r>
          </w:p>
        </w:tc>
        <w:tc>
          <w:tcPr>
            <w:tcW w:w="1800" w:type="dxa"/>
          </w:tcPr>
          <w:p>
            <w:pPr>
              <w:pStyle w:val="TableParagraph"/>
              <w:spacing w:line="225" w:lineRule="exact"/>
              <w:rPr>
                <w:sz w:val="20"/>
              </w:rPr>
            </w:pPr>
            <w:r>
              <w:rPr>
                <w:sz w:val="20"/>
              </w:rPr>
              <w:t>Thu sep 26</w:t>
            </w:r>
          </w:p>
          <w:p>
            <w:pPr>
              <w:pStyle w:val="TableParagraph"/>
              <w:spacing w:line="229" w:lineRule="exact"/>
              <w:rPr>
                <w:sz w:val="20"/>
              </w:rPr>
            </w:pPr>
            <w:r>
              <w:rPr>
                <w:sz w:val="20"/>
              </w:rPr>
              <w:t>21:03:45 cdt 2013</w:t>
            </w:r>
          </w:p>
        </w:tc>
        <w:tc>
          <w:tcPr>
            <w:tcW w:w="1801" w:type="dxa"/>
          </w:tcPr>
          <w:p>
            <w:pPr/>
          </w:p>
        </w:tc>
      </w:tr>
      <w:tr>
        <w:trPr>
          <w:trHeight w:val="240" w:hRule="exact"/>
        </w:trPr>
        <w:tc>
          <w:tcPr>
            <w:tcW w:w="2331" w:type="dxa"/>
          </w:tcPr>
          <w:p>
            <w:pPr>
              <w:pStyle w:val="TableParagraph"/>
              <w:spacing w:line="223" w:lineRule="exact"/>
              <w:rPr>
                <w:sz w:val="20"/>
              </w:rPr>
            </w:pPr>
            <w:r>
              <w:rPr>
                <w:sz w:val="20"/>
              </w:rPr>
              <w:t>Execution time</w:t>
            </w:r>
          </w:p>
        </w:tc>
        <w:tc>
          <w:tcPr>
            <w:tcW w:w="1800" w:type="dxa"/>
          </w:tcPr>
          <w:p>
            <w:pPr>
              <w:pStyle w:val="TableParagraph"/>
              <w:spacing w:line="223" w:lineRule="exact"/>
              <w:rPr>
                <w:sz w:val="20"/>
              </w:rPr>
            </w:pPr>
            <w:r>
              <w:rPr>
                <w:sz w:val="20"/>
              </w:rPr>
              <w:t>10.748 sec</w:t>
            </w:r>
          </w:p>
        </w:tc>
        <w:tc>
          <w:tcPr>
            <w:tcW w:w="1801" w:type="dxa"/>
          </w:tcPr>
          <w:p>
            <w:pPr/>
          </w:p>
        </w:tc>
      </w:tr>
      <w:tr>
        <w:trPr>
          <w:trHeight w:val="240" w:hRule="exact"/>
        </w:trPr>
        <w:tc>
          <w:tcPr>
            <w:tcW w:w="2331" w:type="dxa"/>
          </w:tcPr>
          <w:p>
            <w:pPr>
              <w:pStyle w:val="TableParagraph"/>
              <w:spacing w:line="223" w:lineRule="exact"/>
              <w:rPr>
                <w:sz w:val="20"/>
              </w:rPr>
            </w:pPr>
            <w:r>
              <w:rPr>
                <w:sz w:val="20"/>
              </w:rPr>
              <w:t>Filename</w:t>
            </w:r>
          </w:p>
        </w:tc>
        <w:tc>
          <w:tcPr>
            <w:tcW w:w="1800" w:type="dxa"/>
          </w:tcPr>
          <w:p>
            <w:pPr>
              <w:pStyle w:val="TableParagraph"/>
              <w:spacing w:line="223" w:lineRule="exact"/>
              <w:rPr>
                <w:sz w:val="20"/>
              </w:rPr>
            </w:pPr>
            <w:r>
              <w:rPr>
                <w:sz w:val="20"/>
              </w:rPr>
              <w:t>Basesin1.prn</w:t>
            </w:r>
          </w:p>
        </w:tc>
        <w:tc>
          <w:tcPr>
            <w:tcW w:w="1801" w:type="dxa"/>
          </w:tcPr>
          <w:p>
            <w:pPr>
              <w:pStyle w:val="TableParagraph"/>
              <w:spacing w:line="223" w:lineRule="exact"/>
              <w:rPr>
                <w:sz w:val="20"/>
              </w:rPr>
            </w:pPr>
            <w:r>
              <w:rPr>
                <w:sz w:val="20"/>
              </w:rPr>
              <w:t>Baseiva2.prn</w:t>
            </w:r>
          </w:p>
        </w:tc>
      </w:tr>
      <w:tr>
        <w:trPr>
          <w:trHeight w:val="240" w:hRule="exact"/>
        </w:trPr>
        <w:tc>
          <w:tcPr>
            <w:tcW w:w="2331" w:type="dxa"/>
          </w:tcPr>
          <w:p>
            <w:pPr>
              <w:pStyle w:val="TableParagraph"/>
              <w:spacing w:line="223" w:lineRule="exact"/>
              <w:rPr>
                <w:sz w:val="20"/>
              </w:rPr>
            </w:pPr>
            <w:r>
              <w:rPr>
                <w:sz w:val="20"/>
              </w:rPr>
              <w:t>Obs</w:t>
            </w:r>
          </w:p>
        </w:tc>
        <w:tc>
          <w:tcPr>
            <w:tcW w:w="1800" w:type="dxa"/>
          </w:tcPr>
          <w:p>
            <w:pPr>
              <w:pStyle w:val="TableParagraph"/>
              <w:spacing w:line="223" w:lineRule="exact"/>
              <w:rPr>
                <w:sz w:val="20"/>
              </w:rPr>
            </w:pPr>
            <w:r>
              <w:rPr>
                <w:sz w:val="20"/>
              </w:rPr>
              <w:t>9002</w:t>
            </w:r>
          </w:p>
        </w:tc>
        <w:tc>
          <w:tcPr>
            <w:tcW w:w="1801" w:type="dxa"/>
          </w:tcPr>
          <w:p>
            <w:pPr>
              <w:pStyle w:val="TableParagraph"/>
              <w:spacing w:line="223" w:lineRule="exact"/>
              <w:rPr>
                <w:sz w:val="20"/>
              </w:rPr>
            </w:pPr>
            <w:r>
              <w:rPr>
                <w:sz w:val="20"/>
              </w:rPr>
              <w:t>9002</w:t>
            </w:r>
          </w:p>
        </w:tc>
      </w:tr>
      <w:tr>
        <w:trPr>
          <w:trHeight w:val="245" w:hRule="exact"/>
        </w:trPr>
        <w:tc>
          <w:tcPr>
            <w:tcW w:w="2331" w:type="dxa"/>
            <w:tcBorders>
              <w:bottom w:val="single" w:sz="8" w:space="0" w:color="000000"/>
            </w:tcBorders>
          </w:tcPr>
          <w:p>
            <w:pPr>
              <w:pStyle w:val="TableParagraph"/>
              <w:spacing w:line="223" w:lineRule="exact"/>
              <w:rPr>
                <w:sz w:val="20"/>
              </w:rPr>
            </w:pPr>
            <w:r>
              <w:rPr>
                <w:sz w:val="20"/>
              </w:rPr>
              <w:t>Sampling weight</w:t>
            </w:r>
          </w:p>
        </w:tc>
        <w:tc>
          <w:tcPr>
            <w:tcW w:w="1800" w:type="dxa"/>
            <w:tcBorders>
              <w:bottom w:val="single" w:sz="8" w:space="0" w:color="000000"/>
            </w:tcBorders>
          </w:tcPr>
          <w:p>
            <w:pPr>
              <w:pStyle w:val="TableParagraph"/>
              <w:spacing w:line="223" w:lineRule="exact"/>
              <w:rPr>
                <w:sz w:val="20"/>
              </w:rPr>
            </w:pPr>
            <w:r>
              <w:rPr>
                <w:sz w:val="20"/>
              </w:rPr>
              <w:t>No selection</w:t>
            </w:r>
          </w:p>
        </w:tc>
        <w:tc>
          <w:tcPr>
            <w:tcW w:w="1801" w:type="dxa"/>
            <w:tcBorders>
              <w:bottom w:val="single" w:sz="8" w:space="0" w:color="000000"/>
            </w:tcBorders>
          </w:tcPr>
          <w:p>
            <w:pPr>
              <w:pStyle w:val="TableParagraph"/>
              <w:spacing w:line="223" w:lineRule="exact"/>
              <w:rPr>
                <w:sz w:val="20"/>
              </w:rPr>
            </w:pPr>
            <w:r>
              <w:rPr>
                <w:sz w:val="20"/>
              </w:rPr>
              <w:t>No selection</w:t>
            </w:r>
          </w:p>
        </w:tc>
      </w:tr>
      <w:tr>
        <w:trPr>
          <w:trHeight w:val="245" w:hRule="exact"/>
        </w:trPr>
        <w:tc>
          <w:tcPr>
            <w:tcW w:w="2331" w:type="dxa"/>
            <w:tcBorders>
              <w:top w:val="single" w:sz="8" w:space="0" w:color="000000"/>
            </w:tcBorders>
          </w:tcPr>
          <w:p>
            <w:pPr>
              <w:pStyle w:val="TableParagraph"/>
              <w:spacing w:line="226" w:lineRule="exact"/>
              <w:rPr>
                <w:sz w:val="20"/>
              </w:rPr>
            </w:pPr>
            <w:r>
              <w:rPr>
                <w:sz w:val="20"/>
              </w:rPr>
              <w:t>Variable of interest</w:t>
            </w:r>
          </w:p>
        </w:tc>
        <w:tc>
          <w:tcPr>
            <w:tcW w:w="1800" w:type="dxa"/>
            <w:tcBorders>
              <w:top w:val="single" w:sz="8" w:space="0" w:color="000000"/>
            </w:tcBorders>
          </w:tcPr>
          <w:p>
            <w:pPr>
              <w:pStyle w:val="TableParagraph"/>
              <w:spacing w:line="226" w:lineRule="exact"/>
              <w:rPr>
                <w:sz w:val="20"/>
              </w:rPr>
            </w:pPr>
            <w:r>
              <w:rPr>
                <w:sz w:val="20"/>
              </w:rPr>
              <w:t>Ing_normal</w:t>
            </w:r>
          </w:p>
        </w:tc>
        <w:tc>
          <w:tcPr>
            <w:tcW w:w="1801" w:type="dxa"/>
            <w:tcBorders>
              <w:top w:val="single" w:sz="8" w:space="0" w:color="000000"/>
            </w:tcBorders>
          </w:tcPr>
          <w:p>
            <w:pPr>
              <w:pStyle w:val="TableParagraph"/>
              <w:spacing w:line="226" w:lineRule="exact"/>
              <w:rPr>
                <w:sz w:val="20"/>
              </w:rPr>
            </w:pPr>
            <w:r>
              <w:rPr>
                <w:sz w:val="20"/>
              </w:rPr>
              <w:t>Ing_conivapc</w:t>
            </w:r>
          </w:p>
        </w:tc>
      </w:tr>
      <w:tr>
        <w:trPr>
          <w:trHeight w:val="240" w:hRule="exact"/>
        </w:trPr>
        <w:tc>
          <w:tcPr>
            <w:tcW w:w="2331" w:type="dxa"/>
          </w:tcPr>
          <w:p>
            <w:pPr>
              <w:pStyle w:val="TableParagraph"/>
              <w:spacing w:line="226" w:lineRule="exact"/>
              <w:rPr>
                <w:sz w:val="20"/>
              </w:rPr>
            </w:pPr>
            <w:r>
              <w:rPr>
                <w:sz w:val="20"/>
              </w:rPr>
              <w:t>Size variable</w:t>
            </w:r>
          </w:p>
        </w:tc>
        <w:tc>
          <w:tcPr>
            <w:tcW w:w="1800" w:type="dxa"/>
          </w:tcPr>
          <w:p>
            <w:pPr>
              <w:pStyle w:val="TableParagraph"/>
              <w:spacing w:line="226" w:lineRule="exact"/>
              <w:rPr>
                <w:sz w:val="20"/>
              </w:rPr>
            </w:pPr>
            <w:r>
              <w:rPr>
                <w:sz w:val="20"/>
              </w:rPr>
              <w:t>Factor</w:t>
            </w:r>
          </w:p>
        </w:tc>
        <w:tc>
          <w:tcPr>
            <w:tcW w:w="1801" w:type="dxa"/>
          </w:tcPr>
          <w:p>
            <w:pPr>
              <w:pStyle w:val="TableParagraph"/>
              <w:spacing w:line="226" w:lineRule="exact"/>
              <w:rPr>
                <w:sz w:val="20"/>
              </w:rPr>
            </w:pPr>
            <w:r>
              <w:rPr>
                <w:sz w:val="20"/>
              </w:rPr>
              <w:t>Factor_hog</w:t>
            </w:r>
          </w:p>
        </w:tc>
      </w:tr>
      <w:tr>
        <w:trPr>
          <w:trHeight w:val="240" w:hRule="exact"/>
        </w:trPr>
        <w:tc>
          <w:tcPr>
            <w:tcW w:w="2331" w:type="dxa"/>
          </w:tcPr>
          <w:p>
            <w:pPr>
              <w:pStyle w:val="TableParagraph"/>
              <w:spacing w:line="226" w:lineRule="exact"/>
              <w:rPr>
                <w:sz w:val="20"/>
              </w:rPr>
            </w:pPr>
            <w:r>
              <w:rPr>
                <w:sz w:val="20"/>
              </w:rPr>
              <w:t>Group variable</w:t>
            </w:r>
          </w:p>
        </w:tc>
        <w:tc>
          <w:tcPr>
            <w:tcW w:w="1800" w:type="dxa"/>
          </w:tcPr>
          <w:p>
            <w:pPr>
              <w:pStyle w:val="TableParagraph"/>
              <w:spacing w:line="226" w:lineRule="exact"/>
              <w:rPr>
                <w:sz w:val="20"/>
              </w:rPr>
            </w:pPr>
            <w:r>
              <w:rPr>
                <w:sz w:val="20"/>
              </w:rPr>
              <w:t>No selection</w:t>
            </w:r>
          </w:p>
        </w:tc>
        <w:tc>
          <w:tcPr>
            <w:tcW w:w="1801" w:type="dxa"/>
          </w:tcPr>
          <w:p>
            <w:pPr>
              <w:pStyle w:val="TableParagraph"/>
              <w:spacing w:line="226" w:lineRule="exact"/>
              <w:rPr>
                <w:sz w:val="20"/>
              </w:rPr>
            </w:pPr>
            <w:r>
              <w:rPr>
                <w:sz w:val="20"/>
              </w:rPr>
              <w:t>No selection</w:t>
            </w:r>
          </w:p>
        </w:tc>
      </w:tr>
      <w:tr>
        <w:trPr>
          <w:trHeight w:val="240" w:hRule="exact"/>
        </w:trPr>
        <w:tc>
          <w:tcPr>
            <w:tcW w:w="2331" w:type="dxa"/>
          </w:tcPr>
          <w:p>
            <w:pPr>
              <w:pStyle w:val="TableParagraph"/>
              <w:spacing w:line="226" w:lineRule="exact"/>
              <w:rPr>
                <w:sz w:val="20"/>
              </w:rPr>
            </w:pPr>
            <w:r>
              <w:rPr>
                <w:sz w:val="20"/>
              </w:rPr>
              <w:t>Index of groups</w:t>
            </w:r>
          </w:p>
        </w:tc>
        <w:tc>
          <w:tcPr>
            <w:tcW w:w="1800" w:type="dxa"/>
          </w:tcPr>
          <w:p>
            <w:pPr>
              <w:pStyle w:val="TableParagraph"/>
              <w:spacing w:line="226" w:lineRule="exact"/>
              <w:rPr>
                <w:sz w:val="20"/>
              </w:rPr>
            </w:pPr>
            <w:r>
              <w:rPr>
                <w:w w:val="99"/>
                <w:sz w:val="20"/>
              </w:rPr>
              <w:t>1</w:t>
            </w:r>
          </w:p>
        </w:tc>
        <w:tc>
          <w:tcPr>
            <w:tcW w:w="1801" w:type="dxa"/>
          </w:tcPr>
          <w:p>
            <w:pPr>
              <w:pStyle w:val="TableParagraph"/>
              <w:spacing w:line="226" w:lineRule="exact"/>
              <w:rPr>
                <w:sz w:val="20"/>
              </w:rPr>
            </w:pPr>
            <w:r>
              <w:rPr>
                <w:w w:val="99"/>
                <w:sz w:val="20"/>
              </w:rPr>
              <w:t>1</w:t>
            </w:r>
          </w:p>
        </w:tc>
      </w:tr>
      <w:tr>
        <w:trPr>
          <w:trHeight w:val="240" w:hRule="exact"/>
        </w:trPr>
        <w:tc>
          <w:tcPr>
            <w:tcW w:w="2331" w:type="dxa"/>
          </w:tcPr>
          <w:p>
            <w:pPr>
              <w:pStyle w:val="TableParagraph"/>
              <w:spacing w:line="226" w:lineRule="exact"/>
              <w:rPr>
                <w:sz w:val="20"/>
              </w:rPr>
            </w:pPr>
            <w:r>
              <w:rPr>
                <w:sz w:val="20"/>
              </w:rPr>
              <w:t>Option</w:t>
            </w:r>
          </w:p>
        </w:tc>
        <w:tc>
          <w:tcPr>
            <w:tcW w:w="1800" w:type="dxa"/>
          </w:tcPr>
          <w:p>
            <w:pPr>
              <w:pStyle w:val="TableParagraph"/>
              <w:spacing w:line="226" w:lineRule="exact"/>
              <w:rPr>
                <w:sz w:val="20"/>
              </w:rPr>
            </w:pPr>
            <w:r>
              <w:rPr>
                <w:sz w:val="20"/>
              </w:rPr>
              <w:t>Standard error=yes</w:t>
            </w:r>
          </w:p>
        </w:tc>
        <w:tc>
          <w:tcPr>
            <w:tcW w:w="1801" w:type="dxa"/>
          </w:tcPr>
          <w:p>
            <w:pPr/>
          </w:p>
        </w:tc>
      </w:tr>
      <w:tr>
        <w:trPr>
          <w:trHeight w:val="246" w:hRule="exact"/>
        </w:trPr>
        <w:tc>
          <w:tcPr>
            <w:tcW w:w="2331" w:type="dxa"/>
            <w:tcBorders>
              <w:bottom w:val="double" w:sz="3" w:space="0" w:color="000000"/>
            </w:tcBorders>
          </w:tcPr>
          <w:p>
            <w:pPr>
              <w:pStyle w:val="TableParagraph"/>
              <w:spacing w:line="226" w:lineRule="exact"/>
              <w:rPr>
                <w:sz w:val="20"/>
              </w:rPr>
            </w:pPr>
            <w:r>
              <w:rPr>
                <w:sz w:val="20"/>
              </w:rPr>
              <w:t>Parameters</w:t>
            </w:r>
          </w:p>
        </w:tc>
        <w:tc>
          <w:tcPr>
            <w:tcW w:w="1800" w:type="dxa"/>
            <w:tcBorders>
              <w:bottom w:val="double" w:sz="3" w:space="0" w:color="000000"/>
            </w:tcBorders>
          </w:tcPr>
          <w:p>
            <w:pPr>
              <w:pStyle w:val="TableParagraph"/>
              <w:spacing w:line="226" w:lineRule="exact"/>
              <w:rPr>
                <w:sz w:val="20"/>
              </w:rPr>
            </w:pPr>
            <w:r>
              <w:rPr>
                <w:sz w:val="20"/>
              </w:rPr>
              <w:t>Ρ =2.0</w:t>
            </w:r>
          </w:p>
        </w:tc>
        <w:tc>
          <w:tcPr>
            <w:tcW w:w="1801" w:type="dxa"/>
            <w:tcBorders>
              <w:bottom w:val="double" w:sz="3" w:space="0" w:color="000000"/>
            </w:tcBorders>
          </w:tcPr>
          <w:p>
            <w:pPr>
              <w:pStyle w:val="TableParagraph"/>
              <w:spacing w:line="226" w:lineRule="exact"/>
              <w:rPr>
                <w:sz w:val="20"/>
              </w:rPr>
            </w:pPr>
            <w:r>
              <w:rPr>
                <w:sz w:val="20"/>
              </w:rPr>
              <w:t>Ρ =2.0</w:t>
            </w:r>
          </w:p>
        </w:tc>
      </w:tr>
      <w:tr>
        <w:trPr>
          <w:trHeight w:val="246" w:hRule="exact"/>
        </w:trPr>
        <w:tc>
          <w:tcPr>
            <w:tcW w:w="2331" w:type="dxa"/>
            <w:tcBorders>
              <w:top w:val="double" w:sz="3" w:space="0" w:color="000000"/>
            </w:tcBorders>
          </w:tcPr>
          <w:p>
            <w:pPr>
              <w:pStyle w:val="TableParagraph"/>
              <w:spacing w:line="223" w:lineRule="exact"/>
              <w:rPr>
                <w:sz w:val="20"/>
              </w:rPr>
            </w:pPr>
            <w:r>
              <w:rPr>
                <w:sz w:val="20"/>
              </w:rPr>
              <w:t>Estimate</w:t>
            </w:r>
          </w:p>
        </w:tc>
        <w:tc>
          <w:tcPr>
            <w:tcW w:w="1800" w:type="dxa"/>
            <w:tcBorders>
              <w:top w:val="double" w:sz="3" w:space="0" w:color="000000"/>
            </w:tcBorders>
          </w:tcPr>
          <w:p>
            <w:pPr>
              <w:pStyle w:val="TableParagraph"/>
              <w:spacing w:line="223" w:lineRule="exact"/>
              <w:rPr>
                <w:sz w:val="20"/>
              </w:rPr>
            </w:pPr>
            <w:r>
              <w:rPr>
                <w:sz w:val="20"/>
              </w:rPr>
              <w:t>0.52</w:t>
            </w:r>
          </w:p>
        </w:tc>
        <w:tc>
          <w:tcPr>
            <w:tcW w:w="1801" w:type="dxa"/>
            <w:tcBorders>
              <w:top w:val="double" w:sz="3" w:space="0" w:color="000000"/>
            </w:tcBorders>
          </w:tcPr>
          <w:p>
            <w:pPr>
              <w:pStyle w:val="TableParagraph"/>
              <w:spacing w:line="223" w:lineRule="exact"/>
              <w:rPr>
                <w:sz w:val="20"/>
              </w:rPr>
            </w:pPr>
            <w:r>
              <w:rPr>
                <w:sz w:val="20"/>
              </w:rPr>
              <w:t>0.53</w:t>
            </w:r>
          </w:p>
        </w:tc>
      </w:tr>
      <w:tr>
        <w:trPr>
          <w:trHeight w:val="238" w:hRule="exact"/>
        </w:trPr>
        <w:tc>
          <w:tcPr>
            <w:tcW w:w="2331" w:type="dxa"/>
          </w:tcPr>
          <w:p>
            <w:pPr/>
          </w:p>
        </w:tc>
        <w:tc>
          <w:tcPr>
            <w:tcW w:w="1800" w:type="dxa"/>
          </w:tcPr>
          <w:p>
            <w:pPr>
              <w:pStyle w:val="TableParagraph"/>
              <w:spacing w:line="223" w:lineRule="exact"/>
              <w:rPr>
                <w:sz w:val="20"/>
              </w:rPr>
            </w:pPr>
            <w:r>
              <w:rPr>
                <w:sz w:val="20"/>
              </w:rPr>
              <w:t>(0.01)</w:t>
            </w:r>
          </w:p>
        </w:tc>
        <w:tc>
          <w:tcPr>
            <w:tcW w:w="1801" w:type="dxa"/>
          </w:tcPr>
          <w:p>
            <w:pPr>
              <w:pStyle w:val="TableParagraph"/>
              <w:spacing w:line="223" w:lineRule="exact"/>
              <w:rPr>
                <w:sz w:val="20"/>
              </w:rPr>
            </w:pPr>
            <w:r>
              <w:rPr>
                <w:sz w:val="20"/>
              </w:rPr>
              <w:t>(0.01)</w:t>
            </w:r>
          </w:p>
        </w:tc>
      </w:tr>
      <w:tr>
        <w:trPr>
          <w:trHeight w:val="241" w:hRule="exact"/>
        </w:trPr>
        <w:tc>
          <w:tcPr>
            <w:tcW w:w="2331" w:type="dxa"/>
          </w:tcPr>
          <w:p>
            <w:pPr>
              <w:pStyle w:val="TableParagraph"/>
              <w:spacing w:line="226" w:lineRule="exact"/>
              <w:rPr>
                <w:sz w:val="20"/>
              </w:rPr>
            </w:pPr>
            <w:r>
              <w:rPr>
                <w:sz w:val="20"/>
              </w:rPr>
              <w:t>Difference index1-index2</w:t>
            </w:r>
          </w:p>
        </w:tc>
        <w:tc>
          <w:tcPr>
            <w:tcW w:w="1800" w:type="dxa"/>
          </w:tcPr>
          <w:p>
            <w:pPr>
              <w:pStyle w:val="TableParagraph"/>
              <w:spacing w:line="226" w:lineRule="exact"/>
              <w:rPr>
                <w:sz w:val="20"/>
              </w:rPr>
            </w:pPr>
            <w:r>
              <w:rPr>
                <w:sz w:val="20"/>
              </w:rPr>
              <w:t>-0.01</w:t>
            </w:r>
          </w:p>
        </w:tc>
        <w:tc>
          <w:tcPr>
            <w:tcW w:w="1801" w:type="dxa"/>
          </w:tcPr>
          <w:p>
            <w:pPr/>
          </w:p>
        </w:tc>
      </w:tr>
      <w:tr>
        <w:trPr>
          <w:trHeight w:val="240" w:hRule="exact"/>
        </w:trPr>
        <w:tc>
          <w:tcPr>
            <w:tcW w:w="2331" w:type="dxa"/>
          </w:tcPr>
          <w:p>
            <w:pPr/>
          </w:p>
        </w:tc>
        <w:tc>
          <w:tcPr>
            <w:tcW w:w="1800" w:type="dxa"/>
          </w:tcPr>
          <w:p>
            <w:pPr>
              <w:pStyle w:val="TableParagraph"/>
              <w:spacing w:line="226" w:lineRule="exact"/>
              <w:rPr>
                <w:sz w:val="20"/>
              </w:rPr>
            </w:pPr>
            <w:r>
              <w:rPr>
                <w:sz w:val="20"/>
              </w:rPr>
              <w:t>(0.02)</w:t>
            </w:r>
          </w:p>
        </w:tc>
        <w:tc>
          <w:tcPr>
            <w:tcW w:w="1801" w:type="dxa"/>
          </w:tcPr>
          <w:p>
            <w:pPr/>
          </w:p>
        </w:tc>
      </w:tr>
      <w:tr>
        <w:trPr>
          <w:trHeight w:val="242" w:hRule="exact"/>
        </w:trPr>
        <w:tc>
          <w:tcPr>
            <w:tcW w:w="2331" w:type="dxa"/>
          </w:tcPr>
          <w:p>
            <w:pPr>
              <w:pStyle w:val="TableParagraph"/>
              <w:spacing w:line="226" w:lineRule="exact"/>
              <w:rPr>
                <w:sz w:val="20"/>
              </w:rPr>
            </w:pPr>
            <w:r>
              <w:rPr>
                <w:sz w:val="20"/>
              </w:rPr>
              <w:t>Covariance index1-index2</w:t>
            </w:r>
          </w:p>
        </w:tc>
        <w:tc>
          <w:tcPr>
            <w:tcW w:w="1800" w:type="dxa"/>
          </w:tcPr>
          <w:p>
            <w:pPr>
              <w:pStyle w:val="TableParagraph"/>
              <w:spacing w:line="226" w:lineRule="exact"/>
              <w:rPr>
                <w:sz w:val="20"/>
              </w:rPr>
            </w:pPr>
            <w:r>
              <w:rPr>
                <w:sz w:val="20"/>
              </w:rPr>
              <w:t>0.00</w:t>
            </w:r>
          </w:p>
        </w:tc>
        <w:tc>
          <w:tcPr>
            <w:tcW w:w="1801" w:type="dxa"/>
          </w:tcPr>
          <w:p>
            <w:pPr/>
          </w:p>
        </w:tc>
      </w:tr>
    </w:tbl>
    <w:p>
      <w:pPr>
        <w:spacing w:after="0"/>
        <w:sectPr>
          <w:pgSz w:w="11910" w:h="16840"/>
          <w:pgMar w:header="731" w:footer="0" w:top="960" w:bottom="280" w:left="980" w:right="960"/>
        </w:sectPr>
      </w:pPr>
    </w:p>
    <w:p>
      <w:pPr>
        <w:pStyle w:val="BodyText"/>
        <w:rPr>
          <w:sz w:val="20"/>
        </w:rPr>
      </w:pPr>
    </w:p>
    <w:p>
      <w:pPr>
        <w:pStyle w:val="BodyText"/>
        <w:rPr>
          <w:sz w:val="20"/>
        </w:rPr>
      </w:pPr>
    </w:p>
    <w:p>
      <w:pPr>
        <w:pStyle w:val="BodyText"/>
        <w:spacing w:before="1"/>
        <w:rPr>
          <w:sz w:val="18"/>
        </w:rPr>
      </w:pPr>
    </w:p>
    <w:p>
      <w:pPr>
        <w:pStyle w:val="BodyText"/>
        <w:tabs>
          <w:tab w:pos="8084" w:val="left" w:leader="none"/>
        </w:tabs>
        <w:spacing w:before="69"/>
        <w:ind w:left="3133" w:right="442" w:hanging="3030"/>
      </w:pPr>
      <w:r>
        <w:rPr>
          <w:b/>
        </w:rPr>
        <w:t>Anexo 1.3 </w:t>
      </w:r>
      <w:r>
        <w:rPr/>
        <w:t>Estimación del índice de Gini sin y con aplicación del IVA</w:t>
      </w:r>
      <w:r>
        <w:rPr>
          <w:spacing w:val="-15"/>
        </w:rPr>
        <w:t> </w:t>
      </w:r>
      <w:r>
        <w:rPr/>
        <w:t>(16%)</w:t>
      </w:r>
      <w:r>
        <w:rPr>
          <w:spacing w:val="-1"/>
        </w:rPr>
        <w:t> </w:t>
      </w:r>
      <w:r>
        <w:rPr/>
        <w:t>en</w:t>
        <w:tab/>
        <w:t>alimentos</w:t>
      </w:r>
      <w:r>
        <w:rPr>
          <w:spacing w:val="3"/>
        </w:rPr>
        <w:t> </w:t>
      </w:r>
      <w:r>
        <w:rPr/>
        <w:t>y medicinas para el sector</w:t>
      </w:r>
      <w:r>
        <w:rPr>
          <w:spacing w:val="-6"/>
        </w:rPr>
        <w:t> </w:t>
      </w:r>
      <w:r>
        <w:rPr/>
        <w:t>urbano</w:t>
      </w:r>
    </w:p>
    <w:p>
      <w:pPr>
        <w:pStyle w:val="BodyText"/>
        <w:spacing w:before="8"/>
      </w:pPr>
    </w:p>
    <w:tbl>
      <w:tblPr>
        <w:tblW w:w="0" w:type="auto"/>
        <w:jc w:val="left"/>
        <w:tblInd w:w="13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50"/>
        <w:gridCol w:w="2081"/>
        <w:gridCol w:w="1861"/>
      </w:tblGrid>
      <w:tr>
        <w:trPr>
          <w:trHeight w:val="240" w:hRule="exact"/>
        </w:trPr>
        <w:tc>
          <w:tcPr>
            <w:tcW w:w="6592" w:type="dxa"/>
            <w:gridSpan w:val="3"/>
          </w:tcPr>
          <w:p>
            <w:pPr>
              <w:pStyle w:val="TableParagraph"/>
              <w:spacing w:line="223" w:lineRule="exact"/>
              <w:ind w:left="2247" w:right="2256"/>
              <w:jc w:val="center"/>
              <w:rPr>
                <w:sz w:val="20"/>
              </w:rPr>
            </w:pPr>
            <w:r>
              <w:rPr>
                <w:sz w:val="20"/>
              </w:rPr>
              <w:t>Gini / S-Gini (Inequality)</w:t>
            </w:r>
          </w:p>
        </w:tc>
      </w:tr>
      <w:tr>
        <w:trPr>
          <w:trHeight w:val="470" w:hRule="exact"/>
        </w:trPr>
        <w:tc>
          <w:tcPr>
            <w:tcW w:w="2650" w:type="dxa"/>
          </w:tcPr>
          <w:p>
            <w:pPr>
              <w:pStyle w:val="TableParagraph"/>
              <w:spacing w:line="223" w:lineRule="exact"/>
              <w:ind w:left="100"/>
              <w:rPr>
                <w:sz w:val="20"/>
              </w:rPr>
            </w:pPr>
            <w:r>
              <w:rPr>
                <w:sz w:val="20"/>
              </w:rPr>
              <w:t>Session Date</w:t>
            </w:r>
          </w:p>
        </w:tc>
        <w:tc>
          <w:tcPr>
            <w:tcW w:w="2081" w:type="dxa"/>
          </w:tcPr>
          <w:p>
            <w:pPr>
              <w:pStyle w:val="TableParagraph"/>
              <w:spacing w:line="223" w:lineRule="exact"/>
              <w:rPr>
                <w:sz w:val="20"/>
              </w:rPr>
            </w:pPr>
            <w:r>
              <w:rPr>
                <w:sz w:val="20"/>
              </w:rPr>
              <w:t>Wed Oct 16 11:10:29</w:t>
            </w:r>
          </w:p>
          <w:p>
            <w:pPr>
              <w:pStyle w:val="TableParagraph"/>
              <w:rPr>
                <w:sz w:val="20"/>
              </w:rPr>
            </w:pPr>
            <w:r>
              <w:rPr>
                <w:sz w:val="20"/>
              </w:rPr>
              <w:t>CDT 2013</w:t>
            </w:r>
          </w:p>
        </w:tc>
        <w:tc>
          <w:tcPr>
            <w:tcW w:w="1861" w:type="dxa"/>
          </w:tcPr>
          <w:p>
            <w:pPr/>
          </w:p>
        </w:tc>
      </w:tr>
      <w:tr>
        <w:trPr>
          <w:trHeight w:val="240" w:hRule="exact"/>
        </w:trPr>
        <w:tc>
          <w:tcPr>
            <w:tcW w:w="2650" w:type="dxa"/>
          </w:tcPr>
          <w:p>
            <w:pPr>
              <w:pStyle w:val="TableParagraph"/>
              <w:spacing w:line="223" w:lineRule="exact"/>
              <w:ind w:left="100"/>
              <w:rPr>
                <w:sz w:val="20"/>
              </w:rPr>
            </w:pPr>
            <w:r>
              <w:rPr>
                <w:sz w:val="20"/>
              </w:rPr>
              <w:t>Execution Time</w:t>
            </w:r>
          </w:p>
        </w:tc>
        <w:tc>
          <w:tcPr>
            <w:tcW w:w="2081" w:type="dxa"/>
          </w:tcPr>
          <w:p>
            <w:pPr>
              <w:pStyle w:val="TableParagraph"/>
              <w:spacing w:line="223" w:lineRule="exact"/>
              <w:rPr>
                <w:sz w:val="20"/>
              </w:rPr>
            </w:pPr>
            <w:r>
              <w:rPr>
                <w:sz w:val="20"/>
              </w:rPr>
              <w:t>0.094 sec</w:t>
            </w:r>
          </w:p>
        </w:tc>
        <w:tc>
          <w:tcPr>
            <w:tcW w:w="1861" w:type="dxa"/>
          </w:tcPr>
          <w:p>
            <w:pPr/>
          </w:p>
        </w:tc>
      </w:tr>
      <w:tr>
        <w:trPr>
          <w:trHeight w:val="240" w:hRule="exact"/>
        </w:trPr>
        <w:tc>
          <w:tcPr>
            <w:tcW w:w="2650" w:type="dxa"/>
          </w:tcPr>
          <w:p>
            <w:pPr>
              <w:pStyle w:val="TableParagraph"/>
              <w:spacing w:line="223" w:lineRule="exact"/>
              <w:ind w:left="100"/>
              <w:rPr>
                <w:sz w:val="20"/>
              </w:rPr>
            </w:pPr>
            <w:r>
              <w:rPr>
                <w:sz w:val="20"/>
              </w:rPr>
              <w:t>FileName</w:t>
            </w:r>
          </w:p>
        </w:tc>
        <w:tc>
          <w:tcPr>
            <w:tcW w:w="2081" w:type="dxa"/>
          </w:tcPr>
          <w:p>
            <w:pPr>
              <w:pStyle w:val="TableParagraph"/>
              <w:spacing w:line="223" w:lineRule="exact"/>
              <w:rPr>
                <w:sz w:val="20"/>
              </w:rPr>
            </w:pPr>
            <w:r>
              <w:rPr>
                <w:sz w:val="20"/>
              </w:rPr>
              <w:t>urbsin.prn</w:t>
            </w:r>
          </w:p>
        </w:tc>
        <w:tc>
          <w:tcPr>
            <w:tcW w:w="1861" w:type="dxa"/>
          </w:tcPr>
          <w:p>
            <w:pPr>
              <w:pStyle w:val="TableParagraph"/>
              <w:spacing w:line="223" w:lineRule="exact"/>
              <w:rPr>
                <w:sz w:val="20"/>
              </w:rPr>
            </w:pPr>
            <w:r>
              <w:rPr>
                <w:sz w:val="20"/>
              </w:rPr>
              <w:t>urbcon.prn</w:t>
            </w:r>
          </w:p>
        </w:tc>
      </w:tr>
      <w:tr>
        <w:trPr>
          <w:trHeight w:val="240" w:hRule="exact"/>
        </w:trPr>
        <w:tc>
          <w:tcPr>
            <w:tcW w:w="2650" w:type="dxa"/>
          </w:tcPr>
          <w:p>
            <w:pPr>
              <w:pStyle w:val="TableParagraph"/>
              <w:spacing w:line="223" w:lineRule="exact"/>
              <w:ind w:left="100"/>
              <w:rPr>
                <w:sz w:val="20"/>
              </w:rPr>
            </w:pPr>
            <w:r>
              <w:rPr>
                <w:sz w:val="20"/>
              </w:rPr>
              <w:t>OBS</w:t>
            </w:r>
          </w:p>
        </w:tc>
        <w:tc>
          <w:tcPr>
            <w:tcW w:w="2081" w:type="dxa"/>
          </w:tcPr>
          <w:p>
            <w:pPr>
              <w:pStyle w:val="TableParagraph"/>
              <w:spacing w:line="223" w:lineRule="exact"/>
              <w:rPr>
                <w:sz w:val="20"/>
              </w:rPr>
            </w:pPr>
            <w:r>
              <w:rPr>
                <w:sz w:val="20"/>
              </w:rPr>
              <w:t>5692</w:t>
            </w:r>
          </w:p>
        </w:tc>
        <w:tc>
          <w:tcPr>
            <w:tcW w:w="1861" w:type="dxa"/>
          </w:tcPr>
          <w:p>
            <w:pPr>
              <w:pStyle w:val="TableParagraph"/>
              <w:spacing w:line="223" w:lineRule="exact"/>
              <w:rPr>
                <w:sz w:val="20"/>
              </w:rPr>
            </w:pPr>
            <w:r>
              <w:rPr>
                <w:sz w:val="20"/>
              </w:rPr>
              <w:t>5692</w:t>
            </w:r>
          </w:p>
        </w:tc>
      </w:tr>
      <w:tr>
        <w:trPr>
          <w:trHeight w:val="245" w:hRule="exact"/>
        </w:trPr>
        <w:tc>
          <w:tcPr>
            <w:tcW w:w="2650" w:type="dxa"/>
            <w:tcBorders>
              <w:bottom w:val="single" w:sz="8" w:space="0" w:color="000000"/>
            </w:tcBorders>
          </w:tcPr>
          <w:p>
            <w:pPr>
              <w:pStyle w:val="TableParagraph"/>
              <w:spacing w:line="223" w:lineRule="exact"/>
              <w:ind w:left="100"/>
              <w:rPr>
                <w:sz w:val="20"/>
              </w:rPr>
            </w:pPr>
            <w:r>
              <w:rPr>
                <w:sz w:val="20"/>
              </w:rPr>
              <w:t>SamplingWeight</w:t>
            </w:r>
          </w:p>
        </w:tc>
        <w:tc>
          <w:tcPr>
            <w:tcW w:w="2081" w:type="dxa"/>
            <w:tcBorders>
              <w:bottom w:val="single" w:sz="8" w:space="0" w:color="000000"/>
            </w:tcBorders>
          </w:tcPr>
          <w:p>
            <w:pPr>
              <w:pStyle w:val="TableParagraph"/>
              <w:spacing w:line="223" w:lineRule="exact"/>
              <w:rPr>
                <w:sz w:val="20"/>
              </w:rPr>
            </w:pPr>
            <w:r>
              <w:rPr>
                <w:sz w:val="20"/>
              </w:rPr>
              <w:t>No Selection</w:t>
            </w:r>
          </w:p>
        </w:tc>
        <w:tc>
          <w:tcPr>
            <w:tcW w:w="1861" w:type="dxa"/>
            <w:tcBorders>
              <w:bottom w:val="single" w:sz="8" w:space="0" w:color="000000"/>
            </w:tcBorders>
          </w:tcPr>
          <w:p>
            <w:pPr>
              <w:pStyle w:val="TableParagraph"/>
              <w:spacing w:line="223" w:lineRule="exact"/>
              <w:rPr>
                <w:sz w:val="20"/>
              </w:rPr>
            </w:pPr>
            <w:r>
              <w:rPr>
                <w:sz w:val="20"/>
              </w:rPr>
              <w:t>No Selection</w:t>
            </w:r>
          </w:p>
        </w:tc>
      </w:tr>
      <w:tr>
        <w:trPr>
          <w:trHeight w:val="245" w:hRule="exact"/>
        </w:trPr>
        <w:tc>
          <w:tcPr>
            <w:tcW w:w="2650" w:type="dxa"/>
            <w:tcBorders>
              <w:top w:val="single" w:sz="8" w:space="0" w:color="000000"/>
            </w:tcBorders>
          </w:tcPr>
          <w:p>
            <w:pPr>
              <w:pStyle w:val="TableParagraph"/>
              <w:spacing w:line="223" w:lineRule="exact"/>
              <w:ind w:left="100"/>
              <w:rPr>
                <w:sz w:val="20"/>
              </w:rPr>
            </w:pPr>
            <w:r>
              <w:rPr>
                <w:sz w:val="20"/>
              </w:rPr>
              <w:t>Variable of interest</w:t>
            </w:r>
          </w:p>
        </w:tc>
        <w:tc>
          <w:tcPr>
            <w:tcW w:w="2081" w:type="dxa"/>
            <w:tcBorders>
              <w:top w:val="single" w:sz="8" w:space="0" w:color="000000"/>
            </w:tcBorders>
          </w:tcPr>
          <w:p>
            <w:pPr>
              <w:pStyle w:val="TableParagraph"/>
              <w:spacing w:line="223" w:lineRule="exact"/>
              <w:rPr>
                <w:sz w:val="20"/>
              </w:rPr>
            </w:pPr>
            <w:r>
              <w:rPr>
                <w:sz w:val="20"/>
              </w:rPr>
              <w:t>ing_urbsin</w:t>
            </w:r>
          </w:p>
        </w:tc>
        <w:tc>
          <w:tcPr>
            <w:tcW w:w="1861" w:type="dxa"/>
            <w:tcBorders>
              <w:top w:val="single" w:sz="8" w:space="0" w:color="000000"/>
            </w:tcBorders>
          </w:tcPr>
          <w:p>
            <w:pPr>
              <w:pStyle w:val="TableParagraph"/>
              <w:spacing w:line="223" w:lineRule="exact"/>
              <w:rPr>
                <w:sz w:val="20"/>
              </w:rPr>
            </w:pPr>
            <w:r>
              <w:rPr>
                <w:sz w:val="20"/>
              </w:rPr>
              <w:t>ing_urbcon</w:t>
            </w:r>
          </w:p>
        </w:tc>
      </w:tr>
      <w:tr>
        <w:trPr>
          <w:trHeight w:val="240" w:hRule="exact"/>
        </w:trPr>
        <w:tc>
          <w:tcPr>
            <w:tcW w:w="2650" w:type="dxa"/>
          </w:tcPr>
          <w:p>
            <w:pPr>
              <w:pStyle w:val="TableParagraph"/>
              <w:spacing w:line="223" w:lineRule="exact"/>
              <w:ind w:left="100"/>
              <w:rPr>
                <w:sz w:val="20"/>
              </w:rPr>
            </w:pPr>
            <w:r>
              <w:rPr>
                <w:sz w:val="20"/>
              </w:rPr>
              <w:t>Size variable</w:t>
            </w:r>
          </w:p>
        </w:tc>
        <w:tc>
          <w:tcPr>
            <w:tcW w:w="2081" w:type="dxa"/>
          </w:tcPr>
          <w:p>
            <w:pPr>
              <w:pStyle w:val="TableParagraph"/>
              <w:spacing w:line="223" w:lineRule="exact"/>
              <w:rPr>
                <w:sz w:val="20"/>
              </w:rPr>
            </w:pPr>
            <w:r>
              <w:rPr>
                <w:sz w:val="20"/>
              </w:rPr>
              <w:t>factor_hogusin</w:t>
            </w:r>
          </w:p>
        </w:tc>
        <w:tc>
          <w:tcPr>
            <w:tcW w:w="1861" w:type="dxa"/>
          </w:tcPr>
          <w:p>
            <w:pPr>
              <w:pStyle w:val="TableParagraph"/>
              <w:spacing w:line="223" w:lineRule="exact"/>
              <w:rPr>
                <w:sz w:val="20"/>
              </w:rPr>
            </w:pPr>
            <w:r>
              <w:rPr>
                <w:sz w:val="20"/>
              </w:rPr>
              <w:t>factor_hogucon</w:t>
            </w:r>
          </w:p>
        </w:tc>
      </w:tr>
      <w:tr>
        <w:trPr>
          <w:trHeight w:val="241" w:hRule="exact"/>
        </w:trPr>
        <w:tc>
          <w:tcPr>
            <w:tcW w:w="2650" w:type="dxa"/>
          </w:tcPr>
          <w:p>
            <w:pPr>
              <w:pStyle w:val="TableParagraph"/>
              <w:spacing w:line="224" w:lineRule="exact"/>
              <w:ind w:left="100"/>
              <w:rPr>
                <w:sz w:val="20"/>
              </w:rPr>
            </w:pPr>
            <w:r>
              <w:rPr>
                <w:sz w:val="20"/>
              </w:rPr>
              <w:t>Group variable</w:t>
            </w:r>
          </w:p>
        </w:tc>
        <w:tc>
          <w:tcPr>
            <w:tcW w:w="2081" w:type="dxa"/>
          </w:tcPr>
          <w:p>
            <w:pPr>
              <w:pStyle w:val="TableParagraph"/>
              <w:spacing w:line="224" w:lineRule="exact"/>
              <w:rPr>
                <w:sz w:val="20"/>
              </w:rPr>
            </w:pPr>
            <w:r>
              <w:rPr>
                <w:sz w:val="20"/>
              </w:rPr>
              <w:t>No Selection</w:t>
            </w:r>
          </w:p>
        </w:tc>
        <w:tc>
          <w:tcPr>
            <w:tcW w:w="1861" w:type="dxa"/>
          </w:tcPr>
          <w:p>
            <w:pPr>
              <w:pStyle w:val="TableParagraph"/>
              <w:spacing w:line="224" w:lineRule="exact"/>
              <w:rPr>
                <w:sz w:val="20"/>
              </w:rPr>
            </w:pPr>
            <w:r>
              <w:rPr>
                <w:sz w:val="20"/>
              </w:rPr>
              <w:t>No Selection</w:t>
            </w:r>
          </w:p>
        </w:tc>
      </w:tr>
      <w:tr>
        <w:trPr>
          <w:trHeight w:val="240" w:hRule="exact"/>
        </w:trPr>
        <w:tc>
          <w:tcPr>
            <w:tcW w:w="2650" w:type="dxa"/>
          </w:tcPr>
          <w:p>
            <w:pPr>
              <w:pStyle w:val="TableParagraph"/>
              <w:spacing w:line="223" w:lineRule="exact"/>
              <w:ind w:left="100"/>
              <w:rPr>
                <w:sz w:val="20"/>
              </w:rPr>
            </w:pPr>
            <w:r>
              <w:rPr>
                <w:sz w:val="20"/>
              </w:rPr>
              <w:t>Index of Groups</w:t>
            </w:r>
          </w:p>
        </w:tc>
        <w:tc>
          <w:tcPr>
            <w:tcW w:w="2081" w:type="dxa"/>
          </w:tcPr>
          <w:p>
            <w:pPr>
              <w:pStyle w:val="TableParagraph"/>
              <w:spacing w:line="223" w:lineRule="exact"/>
              <w:rPr>
                <w:sz w:val="20"/>
              </w:rPr>
            </w:pPr>
            <w:r>
              <w:rPr>
                <w:w w:val="99"/>
                <w:sz w:val="20"/>
              </w:rPr>
              <w:t>1</w:t>
            </w:r>
          </w:p>
        </w:tc>
        <w:tc>
          <w:tcPr>
            <w:tcW w:w="1861" w:type="dxa"/>
          </w:tcPr>
          <w:p>
            <w:pPr>
              <w:pStyle w:val="TableParagraph"/>
              <w:spacing w:line="223" w:lineRule="exact"/>
              <w:rPr>
                <w:sz w:val="20"/>
              </w:rPr>
            </w:pPr>
            <w:r>
              <w:rPr>
                <w:w w:val="99"/>
                <w:sz w:val="20"/>
              </w:rPr>
              <w:t>1</w:t>
            </w:r>
          </w:p>
        </w:tc>
      </w:tr>
      <w:tr>
        <w:trPr>
          <w:trHeight w:val="240" w:hRule="exact"/>
        </w:trPr>
        <w:tc>
          <w:tcPr>
            <w:tcW w:w="2650" w:type="dxa"/>
          </w:tcPr>
          <w:p>
            <w:pPr>
              <w:pStyle w:val="TableParagraph"/>
              <w:spacing w:line="223" w:lineRule="exact"/>
              <w:ind w:left="100"/>
              <w:rPr>
                <w:sz w:val="20"/>
              </w:rPr>
            </w:pPr>
            <w:r>
              <w:rPr>
                <w:sz w:val="20"/>
              </w:rPr>
              <w:t>Option</w:t>
            </w:r>
          </w:p>
        </w:tc>
        <w:tc>
          <w:tcPr>
            <w:tcW w:w="2081" w:type="dxa"/>
          </w:tcPr>
          <w:p>
            <w:pPr>
              <w:pStyle w:val="TableParagraph"/>
              <w:spacing w:line="223" w:lineRule="exact"/>
              <w:rPr>
                <w:sz w:val="20"/>
              </w:rPr>
            </w:pPr>
            <w:r>
              <w:rPr>
                <w:sz w:val="20"/>
              </w:rPr>
              <w:t>Standard Error=No</w:t>
            </w:r>
          </w:p>
        </w:tc>
        <w:tc>
          <w:tcPr>
            <w:tcW w:w="1861" w:type="dxa"/>
          </w:tcPr>
          <w:p>
            <w:pPr/>
          </w:p>
        </w:tc>
      </w:tr>
      <w:tr>
        <w:trPr>
          <w:trHeight w:val="245" w:hRule="exact"/>
        </w:trPr>
        <w:tc>
          <w:tcPr>
            <w:tcW w:w="2650" w:type="dxa"/>
          </w:tcPr>
          <w:p>
            <w:pPr>
              <w:pStyle w:val="TableParagraph"/>
              <w:spacing w:line="223" w:lineRule="exact"/>
              <w:ind w:left="100"/>
              <w:rPr>
                <w:sz w:val="20"/>
              </w:rPr>
            </w:pPr>
            <w:r>
              <w:rPr>
                <w:sz w:val="20"/>
              </w:rPr>
              <w:t>Parameters</w:t>
            </w:r>
          </w:p>
        </w:tc>
        <w:tc>
          <w:tcPr>
            <w:tcW w:w="2081" w:type="dxa"/>
          </w:tcPr>
          <w:p>
            <w:pPr>
              <w:pStyle w:val="TableParagraph"/>
              <w:spacing w:line="223" w:lineRule="exact"/>
              <w:rPr>
                <w:sz w:val="20"/>
              </w:rPr>
            </w:pPr>
            <w:r>
              <w:rPr>
                <w:sz w:val="20"/>
              </w:rPr>
              <w:t>ρ =2.0</w:t>
            </w:r>
          </w:p>
        </w:tc>
        <w:tc>
          <w:tcPr>
            <w:tcW w:w="1861" w:type="dxa"/>
          </w:tcPr>
          <w:p>
            <w:pPr>
              <w:pStyle w:val="TableParagraph"/>
              <w:spacing w:line="223" w:lineRule="exact"/>
              <w:rPr>
                <w:sz w:val="20"/>
              </w:rPr>
            </w:pPr>
            <w:r>
              <w:rPr>
                <w:sz w:val="20"/>
              </w:rPr>
              <w:t>ρ =2.0</w:t>
            </w:r>
          </w:p>
        </w:tc>
      </w:tr>
      <w:tr>
        <w:trPr>
          <w:trHeight w:val="245" w:hRule="exact"/>
        </w:trPr>
        <w:tc>
          <w:tcPr>
            <w:tcW w:w="2650" w:type="dxa"/>
          </w:tcPr>
          <w:p>
            <w:pPr>
              <w:pStyle w:val="TableParagraph"/>
              <w:spacing w:line="228" w:lineRule="exact"/>
              <w:ind w:left="100"/>
              <w:rPr>
                <w:sz w:val="20"/>
              </w:rPr>
            </w:pPr>
            <w:r>
              <w:rPr>
                <w:sz w:val="20"/>
              </w:rPr>
              <w:t>Estimate</w:t>
            </w:r>
          </w:p>
        </w:tc>
        <w:tc>
          <w:tcPr>
            <w:tcW w:w="2081" w:type="dxa"/>
          </w:tcPr>
          <w:p>
            <w:pPr>
              <w:pStyle w:val="TableParagraph"/>
              <w:spacing w:line="228" w:lineRule="exact"/>
              <w:rPr>
                <w:sz w:val="20"/>
              </w:rPr>
            </w:pPr>
            <w:r>
              <w:rPr>
                <w:sz w:val="20"/>
              </w:rPr>
              <w:t>0.50295106</w:t>
            </w:r>
          </w:p>
        </w:tc>
        <w:tc>
          <w:tcPr>
            <w:tcW w:w="1861" w:type="dxa"/>
          </w:tcPr>
          <w:p>
            <w:pPr>
              <w:pStyle w:val="TableParagraph"/>
              <w:spacing w:line="228" w:lineRule="exact"/>
              <w:rPr>
                <w:sz w:val="20"/>
              </w:rPr>
            </w:pPr>
            <w:r>
              <w:rPr>
                <w:sz w:val="20"/>
              </w:rPr>
              <w:t>0.51103578</w:t>
            </w:r>
          </w:p>
        </w:tc>
      </w:tr>
      <w:tr>
        <w:trPr>
          <w:trHeight w:val="240" w:hRule="exact"/>
        </w:trPr>
        <w:tc>
          <w:tcPr>
            <w:tcW w:w="2650" w:type="dxa"/>
          </w:tcPr>
          <w:p>
            <w:pPr>
              <w:pStyle w:val="TableParagraph"/>
              <w:spacing w:line="223" w:lineRule="exact"/>
              <w:ind w:left="100"/>
              <w:rPr>
                <w:sz w:val="20"/>
              </w:rPr>
            </w:pPr>
            <w:r>
              <w:rPr>
                <w:sz w:val="20"/>
              </w:rPr>
              <w:t>Difference Index1-Index2</w:t>
            </w:r>
          </w:p>
        </w:tc>
        <w:tc>
          <w:tcPr>
            <w:tcW w:w="2081" w:type="dxa"/>
          </w:tcPr>
          <w:p>
            <w:pPr>
              <w:pStyle w:val="TableParagraph"/>
              <w:spacing w:line="223" w:lineRule="exact"/>
              <w:rPr>
                <w:sz w:val="20"/>
              </w:rPr>
            </w:pPr>
            <w:r>
              <w:rPr>
                <w:sz w:val="20"/>
              </w:rPr>
              <w:t>-0.00808472</w:t>
            </w:r>
          </w:p>
        </w:tc>
        <w:tc>
          <w:tcPr>
            <w:tcW w:w="1861" w:type="dxa"/>
          </w:tcPr>
          <w:p>
            <w:pPr/>
          </w:p>
        </w:tc>
      </w:tr>
    </w:tbl>
    <w:p>
      <w:pPr>
        <w:pStyle w:val="BodyText"/>
        <w:rPr>
          <w:sz w:val="20"/>
        </w:rPr>
      </w:pPr>
    </w:p>
    <w:p>
      <w:pPr>
        <w:pStyle w:val="BodyText"/>
        <w:rPr>
          <w:sz w:val="20"/>
        </w:rPr>
      </w:pPr>
    </w:p>
    <w:p>
      <w:pPr>
        <w:pStyle w:val="BodyText"/>
        <w:spacing w:before="3"/>
        <w:rPr>
          <w:sz w:val="25"/>
        </w:rPr>
      </w:pPr>
    </w:p>
    <w:p>
      <w:pPr>
        <w:pStyle w:val="BodyText"/>
        <w:tabs>
          <w:tab w:pos="8088" w:val="left" w:leader="none"/>
        </w:tabs>
        <w:spacing w:before="69"/>
        <w:ind w:left="3241" w:right="438" w:hanging="3138"/>
      </w:pPr>
      <w:r>
        <w:rPr>
          <w:b/>
        </w:rPr>
        <w:t>Anexo 1.4 </w:t>
      </w:r>
      <w:r>
        <w:rPr/>
        <w:t>Estimación del índice de Gini sin y con aplicación del IVA</w:t>
      </w:r>
      <w:r>
        <w:rPr>
          <w:spacing w:val="-13"/>
        </w:rPr>
        <w:t> </w:t>
      </w:r>
      <w:r>
        <w:rPr/>
        <w:t>(16%)</w:t>
      </w:r>
      <w:r>
        <w:rPr>
          <w:spacing w:val="-1"/>
        </w:rPr>
        <w:t> </w:t>
      </w:r>
      <w:r>
        <w:rPr/>
        <w:t>en</w:t>
        <w:tab/>
        <w:t>alimentos</w:t>
      </w:r>
      <w:r>
        <w:rPr>
          <w:spacing w:val="3"/>
        </w:rPr>
        <w:t> </w:t>
      </w:r>
      <w:r>
        <w:rPr/>
        <w:t>y medicinas para el sector</w:t>
      </w:r>
      <w:r>
        <w:rPr>
          <w:spacing w:val="-7"/>
        </w:rPr>
        <w:t> </w:t>
      </w:r>
      <w:r>
        <w:rPr/>
        <w:t>rural</w:t>
      </w:r>
    </w:p>
    <w:p>
      <w:pPr>
        <w:pStyle w:val="BodyText"/>
        <w:spacing w:before="8"/>
      </w:pPr>
    </w:p>
    <w:tbl>
      <w:tblPr>
        <w:tblW w:w="0" w:type="auto"/>
        <w:jc w:val="left"/>
        <w:tblInd w:w="13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50"/>
        <w:gridCol w:w="2081"/>
        <w:gridCol w:w="1861"/>
      </w:tblGrid>
      <w:tr>
        <w:trPr>
          <w:trHeight w:val="240" w:hRule="exact"/>
        </w:trPr>
        <w:tc>
          <w:tcPr>
            <w:tcW w:w="6592" w:type="dxa"/>
            <w:gridSpan w:val="3"/>
          </w:tcPr>
          <w:p>
            <w:pPr>
              <w:pStyle w:val="TableParagraph"/>
              <w:spacing w:line="223" w:lineRule="exact"/>
              <w:ind w:left="2247" w:right="2256"/>
              <w:jc w:val="center"/>
              <w:rPr>
                <w:sz w:val="20"/>
              </w:rPr>
            </w:pPr>
            <w:r>
              <w:rPr>
                <w:sz w:val="20"/>
              </w:rPr>
              <w:t>Gini / S-Gini (Inequality)</w:t>
            </w:r>
          </w:p>
        </w:tc>
      </w:tr>
      <w:tr>
        <w:trPr>
          <w:trHeight w:val="471" w:hRule="exact"/>
        </w:trPr>
        <w:tc>
          <w:tcPr>
            <w:tcW w:w="2650" w:type="dxa"/>
          </w:tcPr>
          <w:p>
            <w:pPr>
              <w:pStyle w:val="TableParagraph"/>
              <w:spacing w:line="224" w:lineRule="exact"/>
              <w:ind w:left="100"/>
              <w:rPr>
                <w:sz w:val="20"/>
              </w:rPr>
            </w:pPr>
            <w:r>
              <w:rPr>
                <w:sz w:val="20"/>
              </w:rPr>
              <w:t>Session Date</w:t>
            </w:r>
          </w:p>
        </w:tc>
        <w:tc>
          <w:tcPr>
            <w:tcW w:w="2081" w:type="dxa"/>
          </w:tcPr>
          <w:p>
            <w:pPr>
              <w:pStyle w:val="TableParagraph"/>
              <w:spacing w:line="224" w:lineRule="exact"/>
              <w:rPr>
                <w:sz w:val="20"/>
              </w:rPr>
            </w:pPr>
            <w:r>
              <w:rPr>
                <w:sz w:val="20"/>
              </w:rPr>
              <w:t>Wed Oct 16 11:06:09</w:t>
            </w:r>
          </w:p>
          <w:p>
            <w:pPr>
              <w:pStyle w:val="TableParagraph"/>
              <w:rPr>
                <w:sz w:val="20"/>
              </w:rPr>
            </w:pPr>
            <w:r>
              <w:rPr>
                <w:sz w:val="20"/>
              </w:rPr>
              <w:t>CDT 2013</w:t>
            </w:r>
          </w:p>
        </w:tc>
        <w:tc>
          <w:tcPr>
            <w:tcW w:w="1861" w:type="dxa"/>
          </w:tcPr>
          <w:p>
            <w:pPr/>
          </w:p>
        </w:tc>
      </w:tr>
      <w:tr>
        <w:trPr>
          <w:trHeight w:val="240" w:hRule="exact"/>
        </w:trPr>
        <w:tc>
          <w:tcPr>
            <w:tcW w:w="2650" w:type="dxa"/>
          </w:tcPr>
          <w:p>
            <w:pPr>
              <w:pStyle w:val="TableParagraph"/>
              <w:spacing w:line="223" w:lineRule="exact"/>
              <w:ind w:left="100"/>
              <w:rPr>
                <w:sz w:val="20"/>
              </w:rPr>
            </w:pPr>
            <w:r>
              <w:rPr>
                <w:sz w:val="20"/>
              </w:rPr>
              <w:t>Execution Time</w:t>
            </w:r>
          </w:p>
        </w:tc>
        <w:tc>
          <w:tcPr>
            <w:tcW w:w="2081" w:type="dxa"/>
          </w:tcPr>
          <w:p>
            <w:pPr>
              <w:pStyle w:val="TableParagraph"/>
              <w:spacing w:line="223" w:lineRule="exact"/>
              <w:rPr>
                <w:sz w:val="20"/>
              </w:rPr>
            </w:pPr>
            <w:r>
              <w:rPr>
                <w:sz w:val="20"/>
              </w:rPr>
              <w:t>0.093 sec</w:t>
            </w:r>
          </w:p>
        </w:tc>
        <w:tc>
          <w:tcPr>
            <w:tcW w:w="1861" w:type="dxa"/>
          </w:tcPr>
          <w:p>
            <w:pPr/>
          </w:p>
        </w:tc>
      </w:tr>
      <w:tr>
        <w:trPr>
          <w:trHeight w:val="240" w:hRule="exact"/>
        </w:trPr>
        <w:tc>
          <w:tcPr>
            <w:tcW w:w="2650" w:type="dxa"/>
          </w:tcPr>
          <w:p>
            <w:pPr>
              <w:pStyle w:val="TableParagraph"/>
              <w:spacing w:line="223" w:lineRule="exact"/>
              <w:ind w:left="100"/>
              <w:rPr>
                <w:sz w:val="20"/>
              </w:rPr>
            </w:pPr>
            <w:r>
              <w:rPr>
                <w:sz w:val="20"/>
              </w:rPr>
              <w:t>FileName</w:t>
            </w:r>
          </w:p>
        </w:tc>
        <w:tc>
          <w:tcPr>
            <w:tcW w:w="2081" w:type="dxa"/>
          </w:tcPr>
          <w:p>
            <w:pPr>
              <w:pStyle w:val="TableParagraph"/>
              <w:spacing w:line="223" w:lineRule="exact"/>
              <w:rPr>
                <w:sz w:val="20"/>
              </w:rPr>
            </w:pPr>
            <w:r>
              <w:rPr>
                <w:sz w:val="20"/>
              </w:rPr>
              <w:t>rursin.prn</w:t>
            </w:r>
          </w:p>
        </w:tc>
        <w:tc>
          <w:tcPr>
            <w:tcW w:w="1861" w:type="dxa"/>
          </w:tcPr>
          <w:p>
            <w:pPr>
              <w:pStyle w:val="TableParagraph"/>
              <w:spacing w:line="223" w:lineRule="exact"/>
              <w:rPr>
                <w:sz w:val="20"/>
              </w:rPr>
            </w:pPr>
            <w:r>
              <w:rPr>
                <w:sz w:val="20"/>
              </w:rPr>
              <w:t>rurcon.prn</w:t>
            </w:r>
          </w:p>
        </w:tc>
      </w:tr>
      <w:tr>
        <w:trPr>
          <w:trHeight w:val="240" w:hRule="exact"/>
        </w:trPr>
        <w:tc>
          <w:tcPr>
            <w:tcW w:w="2650" w:type="dxa"/>
          </w:tcPr>
          <w:p>
            <w:pPr>
              <w:pStyle w:val="TableParagraph"/>
              <w:spacing w:line="223" w:lineRule="exact"/>
              <w:ind w:left="100"/>
              <w:rPr>
                <w:sz w:val="20"/>
              </w:rPr>
            </w:pPr>
            <w:r>
              <w:rPr>
                <w:sz w:val="20"/>
              </w:rPr>
              <w:t>OBS</w:t>
            </w:r>
          </w:p>
        </w:tc>
        <w:tc>
          <w:tcPr>
            <w:tcW w:w="2081" w:type="dxa"/>
          </w:tcPr>
          <w:p>
            <w:pPr>
              <w:pStyle w:val="TableParagraph"/>
              <w:spacing w:line="223" w:lineRule="exact"/>
              <w:rPr>
                <w:sz w:val="20"/>
              </w:rPr>
            </w:pPr>
            <w:r>
              <w:rPr>
                <w:sz w:val="20"/>
              </w:rPr>
              <w:t>3310</w:t>
            </w:r>
          </w:p>
        </w:tc>
        <w:tc>
          <w:tcPr>
            <w:tcW w:w="1861" w:type="dxa"/>
          </w:tcPr>
          <w:p>
            <w:pPr>
              <w:pStyle w:val="TableParagraph"/>
              <w:spacing w:line="223" w:lineRule="exact"/>
              <w:rPr>
                <w:sz w:val="20"/>
              </w:rPr>
            </w:pPr>
            <w:r>
              <w:rPr>
                <w:sz w:val="20"/>
              </w:rPr>
              <w:t>3310</w:t>
            </w:r>
          </w:p>
        </w:tc>
      </w:tr>
      <w:tr>
        <w:trPr>
          <w:trHeight w:val="245" w:hRule="exact"/>
        </w:trPr>
        <w:tc>
          <w:tcPr>
            <w:tcW w:w="2650" w:type="dxa"/>
            <w:tcBorders>
              <w:bottom w:val="single" w:sz="8" w:space="0" w:color="000000"/>
            </w:tcBorders>
          </w:tcPr>
          <w:p>
            <w:pPr>
              <w:pStyle w:val="TableParagraph"/>
              <w:spacing w:line="223" w:lineRule="exact"/>
              <w:ind w:left="100"/>
              <w:rPr>
                <w:sz w:val="20"/>
              </w:rPr>
            </w:pPr>
            <w:r>
              <w:rPr>
                <w:sz w:val="20"/>
              </w:rPr>
              <w:t>SamplingWeight</w:t>
            </w:r>
          </w:p>
        </w:tc>
        <w:tc>
          <w:tcPr>
            <w:tcW w:w="2081" w:type="dxa"/>
            <w:tcBorders>
              <w:bottom w:val="single" w:sz="8" w:space="0" w:color="000000"/>
            </w:tcBorders>
          </w:tcPr>
          <w:p>
            <w:pPr>
              <w:pStyle w:val="TableParagraph"/>
              <w:spacing w:line="223" w:lineRule="exact"/>
              <w:rPr>
                <w:sz w:val="20"/>
              </w:rPr>
            </w:pPr>
            <w:r>
              <w:rPr>
                <w:sz w:val="20"/>
              </w:rPr>
              <w:t>No Selection</w:t>
            </w:r>
          </w:p>
        </w:tc>
        <w:tc>
          <w:tcPr>
            <w:tcW w:w="1861" w:type="dxa"/>
            <w:tcBorders>
              <w:bottom w:val="single" w:sz="8" w:space="0" w:color="000000"/>
            </w:tcBorders>
          </w:tcPr>
          <w:p>
            <w:pPr>
              <w:pStyle w:val="TableParagraph"/>
              <w:spacing w:line="223" w:lineRule="exact"/>
              <w:rPr>
                <w:sz w:val="20"/>
              </w:rPr>
            </w:pPr>
            <w:r>
              <w:rPr>
                <w:sz w:val="20"/>
              </w:rPr>
              <w:t>No Selection</w:t>
            </w:r>
          </w:p>
        </w:tc>
      </w:tr>
      <w:tr>
        <w:trPr>
          <w:trHeight w:val="245" w:hRule="exact"/>
        </w:trPr>
        <w:tc>
          <w:tcPr>
            <w:tcW w:w="2650" w:type="dxa"/>
            <w:tcBorders>
              <w:top w:val="single" w:sz="8" w:space="0" w:color="000000"/>
            </w:tcBorders>
          </w:tcPr>
          <w:p>
            <w:pPr>
              <w:pStyle w:val="TableParagraph"/>
              <w:spacing w:line="223" w:lineRule="exact"/>
              <w:ind w:left="100"/>
              <w:rPr>
                <w:sz w:val="20"/>
              </w:rPr>
            </w:pPr>
            <w:r>
              <w:rPr>
                <w:sz w:val="20"/>
              </w:rPr>
              <w:t>Variable of interest</w:t>
            </w:r>
          </w:p>
        </w:tc>
        <w:tc>
          <w:tcPr>
            <w:tcW w:w="2081" w:type="dxa"/>
            <w:tcBorders>
              <w:top w:val="single" w:sz="8" w:space="0" w:color="000000"/>
            </w:tcBorders>
          </w:tcPr>
          <w:p>
            <w:pPr>
              <w:pStyle w:val="TableParagraph"/>
              <w:spacing w:line="223" w:lineRule="exact"/>
              <w:rPr>
                <w:sz w:val="20"/>
              </w:rPr>
            </w:pPr>
            <w:r>
              <w:rPr>
                <w:sz w:val="20"/>
              </w:rPr>
              <w:t>ing_rursin</w:t>
            </w:r>
          </w:p>
        </w:tc>
        <w:tc>
          <w:tcPr>
            <w:tcW w:w="1861" w:type="dxa"/>
            <w:tcBorders>
              <w:top w:val="single" w:sz="8" w:space="0" w:color="000000"/>
            </w:tcBorders>
          </w:tcPr>
          <w:p>
            <w:pPr>
              <w:pStyle w:val="TableParagraph"/>
              <w:spacing w:line="223" w:lineRule="exact"/>
              <w:rPr>
                <w:sz w:val="20"/>
              </w:rPr>
            </w:pPr>
            <w:r>
              <w:rPr>
                <w:sz w:val="20"/>
              </w:rPr>
              <w:t>ing_rurcon</w:t>
            </w:r>
          </w:p>
        </w:tc>
      </w:tr>
      <w:tr>
        <w:trPr>
          <w:trHeight w:val="240" w:hRule="exact"/>
        </w:trPr>
        <w:tc>
          <w:tcPr>
            <w:tcW w:w="2650" w:type="dxa"/>
          </w:tcPr>
          <w:p>
            <w:pPr>
              <w:pStyle w:val="TableParagraph"/>
              <w:spacing w:line="223" w:lineRule="exact"/>
              <w:ind w:left="100"/>
              <w:rPr>
                <w:sz w:val="20"/>
              </w:rPr>
            </w:pPr>
            <w:r>
              <w:rPr>
                <w:sz w:val="20"/>
              </w:rPr>
              <w:t>Size variable</w:t>
            </w:r>
          </w:p>
        </w:tc>
        <w:tc>
          <w:tcPr>
            <w:tcW w:w="2081" w:type="dxa"/>
          </w:tcPr>
          <w:p>
            <w:pPr>
              <w:pStyle w:val="TableParagraph"/>
              <w:spacing w:line="223" w:lineRule="exact"/>
              <w:rPr>
                <w:sz w:val="20"/>
              </w:rPr>
            </w:pPr>
            <w:r>
              <w:rPr>
                <w:sz w:val="20"/>
              </w:rPr>
              <w:t>factor_hogrsin</w:t>
            </w:r>
          </w:p>
        </w:tc>
        <w:tc>
          <w:tcPr>
            <w:tcW w:w="1861" w:type="dxa"/>
          </w:tcPr>
          <w:p>
            <w:pPr>
              <w:pStyle w:val="TableParagraph"/>
              <w:spacing w:line="223" w:lineRule="exact"/>
              <w:rPr>
                <w:sz w:val="20"/>
              </w:rPr>
            </w:pPr>
            <w:r>
              <w:rPr>
                <w:sz w:val="20"/>
              </w:rPr>
              <w:t>factor_hogrcon</w:t>
            </w:r>
          </w:p>
        </w:tc>
      </w:tr>
      <w:tr>
        <w:trPr>
          <w:trHeight w:val="240" w:hRule="exact"/>
        </w:trPr>
        <w:tc>
          <w:tcPr>
            <w:tcW w:w="2650" w:type="dxa"/>
          </w:tcPr>
          <w:p>
            <w:pPr>
              <w:pStyle w:val="TableParagraph"/>
              <w:spacing w:line="223" w:lineRule="exact"/>
              <w:ind w:left="100"/>
              <w:rPr>
                <w:sz w:val="20"/>
              </w:rPr>
            </w:pPr>
            <w:r>
              <w:rPr>
                <w:sz w:val="20"/>
              </w:rPr>
              <w:t>Group variable</w:t>
            </w:r>
          </w:p>
        </w:tc>
        <w:tc>
          <w:tcPr>
            <w:tcW w:w="2081" w:type="dxa"/>
          </w:tcPr>
          <w:p>
            <w:pPr>
              <w:pStyle w:val="TableParagraph"/>
              <w:spacing w:line="223" w:lineRule="exact"/>
              <w:rPr>
                <w:sz w:val="20"/>
              </w:rPr>
            </w:pPr>
            <w:r>
              <w:rPr>
                <w:sz w:val="20"/>
              </w:rPr>
              <w:t>No Selection</w:t>
            </w:r>
          </w:p>
        </w:tc>
        <w:tc>
          <w:tcPr>
            <w:tcW w:w="1861" w:type="dxa"/>
          </w:tcPr>
          <w:p>
            <w:pPr>
              <w:pStyle w:val="TableParagraph"/>
              <w:spacing w:line="223" w:lineRule="exact"/>
              <w:rPr>
                <w:sz w:val="20"/>
              </w:rPr>
            </w:pPr>
            <w:r>
              <w:rPr>
                <w:sz w:val="20"/>
              </w:rPr>
              <w:t>No Selection</w:t>
            </w:r>
          </w:p>
        </w:tc>
      </w:tr>
      <w:tr>
        <w:trPr>
          <w:trHeight w:val="240" w:hRule="exact"/>
        </w:trPr>
        <w:tc>
          <w:tcPr>
            <w:tcW w:w="2650" w:type="dxa"/>
          </w:tcPr>
          <w:p>
            <w:pPr>
              <w:pStyle w:val="TableParagraph"/>
              <w:spacing w:line="223" w:lineRule="exact"/>
              <w:ind w:left="100"/>
              <w:rPr>
                <w:sz w:val="20"/>
              </w:rPr>
            </w:pPr>
            <w:r>
              <w:rPr>
                <w:sz w:val="20"/>
              </w:rPr>
              <w:t>Index of Groups</w:t>
            </w:r>
          </w:p>
        </w:tc>
        <w:tc>
          <w:tcPr>
            <w:tcW w:w="2081" w:type="dxa"/>
          </w:tcPr>
          <w:p>
            <w:pPr>
              <w:pStyle w:val="TableParagraph"/>
              <w:spacing w:line="223" w:lineRule="exact"/>
              <w:rPr>
                <w:sz w:val="20"/>
              </w:rPr>
            </w:pPr>
            <w:r>
              <w:rPr>
                <w:w w:val="99"/>
                <w:sz w:val="20"/>
              </w:rPr>
              <w:t>1</w:t>
            </w:r>
          </w:p>
        </w:tc>
        <w:tc>
          <w:tcPr>
            <w:tcW w:w="1861" w:type="dxa"/>
          </w:tcPr>
          <w:p>
            <w:pPr>
              <w:pStyle w:val="TableParagraph"/>
              <w:spacing w:line="223" w:lineRule="exact"/>
              <w:rPr>
                <w:sz w:val="20"/>
              </w:rPr>
            </w:pPr>
            <w:r>
              <w:rPr>
                <w:w w:val="99"/>
                <w:sz w:val="20"/>
              </w:rPr>
              <w:t>1</w:t>
            </w:r>
          </w:p>
        </w:tc>
      </w:tr>
      <w:tr>
        <w:trPr>
          <w:trHeight w:val="240" w:hRule="exact"/>
        </w:trPr>
        <w:tc>
          <w:tcPr>
            <w:tcW w:w="2650" w:type="dxa"/>
          </w:tcPr>
          <w:p>
            <w:pPr>
              <w:pStyle w:val="TableParagraph"/>
              <w:spacing w:line="223" w:lineRule="exact"/>
              <w:ind w:left="100"/>
              <w:rPr>
                <w:sz w:val="20"/>
              </w:rPr>
            </w:pPr>
            <w:r>
              <w:rPr>
                <w:sz w:val="20"/>
              </w:rPr>
              <w:t>Option</w:t>
            </w:r>
          </w:p>
        </w:tc>
        <w:tc>
          <w:tcPr>
            <w:tcW w:w="2081" w:type="dxa"/>
          </w:tcPr>
          <w:p>
            <w:pPr>
              <w:pStyle w:val="TableParagraph"/>
              <w:spacing w:line="223" w:lineRule="exact"/>
              <w:rPr>
                <w:sz w:val="20"/>
              </w:rPr>
            </w:pPr>
            <w:r>
              <w:rPr>
                <w:sz w:val="20"/>
              </w:rPr>
              <w:t>Standard Error=No</w:t>
            </w:r>
          </w:p>
        </w:tc>
        <w:tc>
          <w:tcPr>
            <w:tcW w:w="1861" w:type="dxa"/>
          </w:tcPr>
          <w:p>
            <w:pPr/>
          </w:p>
        </w:tc>
      </w:tr>
      <w:tr>
        <w:trPr>
          <w:trHeight w:val="245" w:hRule="exact"/>
        </w:trPr>
        <w:tc>
          <w:tcPr>
            <w:tcW w:w="2650" w:type="dxa"/>
            <w:tcBorders>
              <w:bottom w:val="single" w:sz="8" w:space="0" w:color="000000"/>
            </w:tcBorders>
          </w:tcPr>
          <w:p>
            <w:pPr>
              <w:pStyle w:val="TableParagraph"/>
              <w:spacing w:line="223" w:lineRule="exact"/>
              <w:ind w:left="100"/>
              <w:rPr>
                <w:sz w:val="20"/>
              </w:rPr>
            </w:pPr>
            <w:r>
              <w:rPr>
                <w:sz w:val="20"/>
              </w:rPr>
              <w:t>Parameters</w:t>
            </w:r>
          </w:p>
        </w:tc>
        <w:tc>
          <w:tcPr>
            <w:tcW w:w="2081" w:type="dxa"/>
            <w:tcBorders>
              <w:bottom w:val="single" w:sz="8" w:space="0" w:color="000000"/>
            </w:tcBorders>
          </w:tcPr>
          <w:p>
            <w:pPr>
              <w:pStyle w:val="TableParagraph"/>
              <w:spacing w:line="223" w:lineRule="exact"/>
              <w:rPr>
                <w:sz w:val="20"/>
              </w:rPr>
            </w:pPr>
            <w:r>
              <w:rPr>
                <w:sz w:val="20"/>
              </w:rPr>
              <w:t>ρ =2.0</w:t>
            </w:r>
          </w:p>
        </w:tc>
        <w:tc>
          <w:tcPr>
            <w:tcW w:w="1861" w:type="dxa"/>
            <w:tcBorders>
              <w:bottom w:val="single" w:sz="8" w:space="0" w:color="000000"/>
            </w:tcBorders>
          </w:tcPr>
          <w:p>
            <w:pPr>
              <w:pStyle w:val="TableParagraph"/>
              <w:spacing w:line="223" w:lineRule="exact"/>
              <w:rPr>
                <w:sz w:val="20"/>
              </w:rPr>
            </w:pPr>
            <w:r>
              <w:rPr>
                <w:sz w:val="20"/>
              </w:rPr>
              <w:t>ρ =2.0</w:t>
            </w:r>
          </w:p>
        </w:tc>
      </w:tr>
      <w:tr>
        <w:trPr>
          <w:trHeight w:val="245" w:hRule="exact"/>
        </w:trPr>
        <w:tc>
          <w:tcPr>
            <w:tcW w:w="2650" w:type="dxa"/>
            <w:tcBorders>
              <w:top w:val="single" w:sz="8" w:space="0" w:color="000000"/>
            </w:tcBorders>
          </w:tcPr>
          <w:p>
            <w:pPr>
              <w:pStyle w:val="TableParagraph"/>
              <w:spacing w:line="223" w:lineRule="exact"/>
              <w:ind w:left="100"/>
              <w:rPr>
                <w:sz w:val="20"/>
              </w:rPr>
            </w:pPr>
            <w:r>
              <w:rPr>
                <w:sz w:val="20"/>
              </w:rPr>
              <w:t>Estimate</w:t>
            </w:r>
          </w:p>
        </w:tc>
        <w:tc>
          <w:tcPr>
            <w:tcW w:w="2081" w:type="dxa"/>
            <w:tcBorders>
              <w:top w:val="single" w:sz="8" w:space="0" w:color="000000"/>
            </w:tcBorders>
          </w:tcPr>
          <w:p>
            <w:pPr>
              <w:pStyle w:val="TableParagraph"/>
              <w:spacing w:line="223" w:lineRule="exact"/>
              <w:rPr>
                <w:sz w:val="20"/>
              </w:rPr>
            </w:pPr>
            <w:r>
              <w:rPr>
                <w:sz w:val="20"/>
              </w:rPr>
              <w:t>0.48120731</w:t>
            </w:r>
          </w:p>
        </w:tc>
        <w:tc>
          <w:tcPr>
            <w:tcW w:w="1861" w:type="dxa"/>
            <w:tcBorders>
              <w:top w:val="single" w:sz="8" w:space="0" w:color="000000"/>
            </w:tcBorders>
          </w:tcPr>
          <w:p>
            <w:pPr>
              <w:pStyle w:val="TableParagraph"/>
              <w:spacing w:line="223" w:lineRule="exact"/>
              <w:rPr>
                <w:sz w:val="20"/>
              </w:rPr>
            </w:pPr>
            <w:r>
              <w:rPr>
                <w:sz w:val="20"/>
              </w:rPr>
              <w:t>0.49316344</w:t>
            </w:r>
          </w:p>
        </w:tc>
      </w:tr>
      <w:tr>
        <w:trPr>
          <w:trHeight w:val="241" w:hRule="exact"/>
        </w:trPr>
        <w:tc>
          <w:tcPr>
            <w:tcW w:w="2650" w:type="dxa"/>
          </w:tcPr>
          <w:p>
            <w:pPr>
              <w:pStyle w:val="TableParagraph"/>
              <w:spacing w:line="223" w:lineRule="exact"/>
              <w:ind w:left="100"/>
              <w:rPr>
                <w:sz w:val="20"/>
              </w:rPr>
            </w:pPr>
            <w:r>
              <w:rPr>
                <w:sz w:val="20"/>
              </w:rPr>
              <w:t>Difference Index1-Index2</w:t>
            </w:r>
          </w:p>
        </w:tc>
        <w:tc>
          <w:tcPr>
            <w:tcW w:w="2081" w:type="dxa"/>
          </w:tcPr>
          <w:p>
            <w:pPr>
              <w:pStyle w:val="TableParagraph"/>
              <w:spacing w:line="223" w:lineRule="exact"/>
              <w:rPr>
                <w:sz w:val="20"/>
              </w:rPr>
            </w:pPr>
            <w:r>
              <w:rPr>
                <w:sz w:val="20"/>
              </w:rPr>
              <w:t>-0.01195613</w:t>
            </w:r>
          </w:p>
        </w:tc>
        <w:tc>
          <w:tcPr>
            <w:tcW w:w="1861" w:type="dxa"/>
          </w:tcPr>
          <w:p>
            <w:pPr/>
          </w:p>
        </w:tc>
      </w:tr>
    </w:tbl>
    <w:p>
      <w:pPr>
        <w:spacing w:after="0"/>
        <w:sectPr>
          <w:pgSz w:w="11910" w:h="16840"/>
          <w:pgMar w:header="731" w:footer="0" w:top="960" w:bottom="280" w:left="1300" w:right="960"/>
        </w:sectPr>
      </w:pPr>
    </w:p>
    <w:p>
      <w:pPr>
        <w:pStyle w:val="BodyText"/>
        <w:rPr>
          <w:sz w:val="20"/>
        </w:rPr>
      </w:pPr>
    </w:p>
    <w:p>
      <w:pPr>
        <w:pStyle w:val="BodyText"/>
        <w:rPr>
          <w:sz w:val="20"/>
        </w:rPr>
      </w:pPr>
    </w:p>
    <w:p>
      <w:pPr>
        <w:pStyle w:val="BodyText"/>
        <w:spacing w:before="1"/>
        <w:rPr>
          <w:sz w:val="18"/>
        </w:rPr>
      </w:pPr>
    </w:p>
    <w:p>
      <w:pPr>
        <w:pStyle w:val="BodyText"/>
        <w:spacing w:before="69"/>
        <w:ind w:left="4167" w:right="140" w:hanging="4055"/>
      </w:pPr>
      <w:r>
        <w:rPr>
          <w:b/>
        </w:rPr>
        <w:t>Anexo 1.5 </w:t>
      </w:r>
      <w:r>
        <w:rPr/>
        <w:t>Estimación del índice FGT pobreza sin y con IVA (16%) en alimentos y medicinas para el sector urbano</w:t>
      </w:r>
    </w:p>
    <w:p>
      <w:pPr>
        <w:pStyle w:val="BodyText"/>
        <w:spacing w:before="8"/>
      </w:pPr>
    </w:p>
    <w:tbl>
      <w:tblPr>
        <w:tblW w:w="0" w:type="auto"/>
        <w:jc w:val="left"/>
        <w:tblInd w:w="1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51"/>
        <w:gridCol w:w="1942"/>
        <w:gridCol w:w="1861"/>
      </w:tblGrid>
      <w:tr>
        <w:trPr>
          <w:trHeight w:val="240" w:hRule="exact"/>
        </w:trPr>
        <w:tc>
          <w:tcPr>
            <w:tcW w:w="6453" w:type="dxa"/>
            <w:gridSpan w:val="3"/>
          </w:tcPr>
          <w:p>
            <w:pPr>
              <w:pStyle w:val="TableParagraph"/>
              <w:spacing w:line="223" w:lineRule="exact"/>
              <w:ind w:left="2608" w:right="2612"/>
              <w:jc w:val="center"/>
              <w:rPr>
                <w:sz w:val="20"/>
              </w:rPr>
            </w:pPr>
            <w:r>
              <w:rPr>
                <w:sz w:val="20"/>
              </w:rPr>
              <w:t>FGT (Poverty)</w:t>
            </w:r>
          </w:p>
        </w:tc>
      </w:tr>
      <w:tr>
        <w:trPr>
          <w:trHeight w:val="470" w:hRule="exact"/>
        </w:trPr>
        <w:tc>
          <w:tcPr>
            <w:tcW w:w="2651" w:type="dxa"/>
          </w:tcPr>
          <w:p>
            <w:pPr>
              <w:pStyle w:val="TableParagraph"/>
              <w:spacing w:line="223" w:lineRule="exact"/>
              <w:rPr>
                <w:sz w:val="20"/>
              </w:rPr>
            </w:pPr>
            <w:r>
              <w:rPr>
                <w:sz w:val="20"/>
              </w:rPr>
              <w:t>Session Date</w:t>
            </w:r>
          </w:p>
        </w:tc>
        <w:tc>
          <w:tcPr>
            <w:tcW w:w="1942" w:type="dxa"/>
          </w:tcPr>
          <w:p>
            <w:pPr>
              <w:pStyle w:val="TableParagraph"/>
              <w:spacing w:line="223" w:lineRule="exact"/>
              <w:rPr>
                <w:sz w:val="20"/>
              </w:rPr>
            </w:pPr>
            <w:r>
              <w:rPr>
                <w:sz w:val="20"/>
              </w:rPr>
              <w:t>Wed Oct 16</w:t>
            </w:r>
          </w:p>
          <w:p>
            <w:pPr>
              <w:pStyle w:val="TableParagraph"/>
              <w:rPr>
                <w:sz w:val="20"/>
              </w:rPr>
            </w:pPr>
            <w:r>
              <w:rPr>
                <w:sz w:val="20"/>
              </w:rPr>
              <w:t>11:11:19 CDT 2013</w:t>
            </w:r>
          </w:p>
        </w:tc>
        <w:tc>
          <w:tcPr>
            <w:tcW w:w="1861" w:type="dxa"/>
          </w:tcPr>
          <w:p>
            <w:pPr/>
          </w:p>
        </w:tc>
      </w:tr>
      <w:tr>
        <w:trPr>
          <w:trHeight w:val="240" w:hRule="exact"/>
        </w:trPr>
        <w:tc>
          <w:tcPr>
            <w:tcW w:w="2651" w:type="dxa"/>
          </w:tcPr>
          <w:p>
            <w:pPr>
              <w:pStyle w:val="TableParagraph"/>
              <w:spacing w:line="223" w:lineRule="exact"/>
              <w:rPr>
                <w:sz w:val="20"/>
              </w:rPr>
            </w:pPr>
            <w:r>
              <w:rPr>
                <w:sz w:val="20"/>
              </w:rPr>
              <w:t>Execution Time</w:t>
            </w:r>
          </w:p>
        </w:tc>
        <w:tc>
          <w:tcPr>
            <w:tcW w:w="1942" w:type="dxa"/>
          </w:tcPr>
          <w:p>
            <w:pPr>
              <w:pStyle w:val="TableParagraph"/>
              <w:spacing w:line="223" w:lineRule="exact"/>
              <w:rPr>
                <w:sz w:val="20"/>
              </w:rPr>
            </w:pPr>
            <w:r>
              <w:rPr>
                <w:sz w:val="20"/>
              </w:rPr>
              <w:t>0.062 sec</w:t>
            </w:r>
          </w:p>
        </w:tc>
        <w:tc>
          <w:tcPr>
            <w:tcW w:w="1861" w:type="dxa"/>
          </w:tcPr>
          <w:p>
            <w:pPr/>
          </w:p>
        </w:tc>
      </w:tr>
      <w:tr>
        <w:trPr>
          <w:trHeight w:val="240" w:hRule="exact"/>
        </w:trPr>
        <w:tc>
          <w:tcPr>
            <w:tcW w:w="2651" w:type="dxa"/>
          </w:tcPr>
          <w:p>
            <w:pPr>
              <w:pStyle w:val="TableParagraph"/>
              <w:spacing w:line="223" w:lineRule="exact"/>
              <w:rPr>
                <w:sz w:val="20"/>
              </w:rPr>
            </w:pPr>
            <w:r>
              <w:rPr>
                <w:sz w:val="20"/>
              </w:rPr>
              <w:t>FileName</w:t>
            </w:r>
          </w:p>
        </w:tc>
        <w:tc>
          <w:tcPr>
            <w:tcW w:w="1942" w:type="dxa"/>
          </w:tcPr>
          <w:p>
            <w:pPr>
              <w:pStyle w:val="TableParagraph"/>
              <w:spacing w:line="223" w:lineRule="exact"/>
              <w:rPr>
                <w:sz w:val="20"/>
              </w:rPr>
            </w:pPr>
            <w:r>
              <w:rPr>
                <w:sz w:val="20"/>
              </w:rPr>
              <w:t>urbsin.prn</w:t>
            </w:r>
          </w:p>
        </w:tc>
        <w:tc>
          <w:tcPr>
            <w:tcW w:w="1861" w:type="dxa"/>
          </w:tcPr>
          <w:p>
            <w:pPr>
              <w:pStyle w:val="TableParagraph"/>
              <w:spacing w:line="223" w:lineRule="exact"/>
              <w:rPr>
                <w:sz w:val="20"/>
              </w:rPr>
            </w:pPr>
            <w:r>
              <w:rPr>
                <w:sz w:val="20"/>
              </w:rPr>
              <w:t>urbcon.prn</w:t>
            </w:r>
          </w:p>
        </w:tc>
      </w:tr>
      <w:tr>
        <w:trPr>
          <w:trHeight w:val="240" w:hRule="exact"/>
        </w:trPr>
        <w:tc>
          <w:tcPr>
            <w:tcW w:w="2651" w:type="dxa"/>
          </w:tcPr>
          <w:p>
            <w:pPr>
              <w:pStyle w:val="TableParagraph"/>
              <w:spacing w:line="223" w:lineRule="exact"/>
              <w:rPr>
                <w:sz w:val="20"/>
              </w:rPr>
            </w:pPr>
            <w:r>
              <w:rPr>
                <w:sz w:val="20"/>
              </w:rPr>
              <w:t>OBS</w:t>
            </w:r>
          </w:p>
        </w:tc>
        <w:tc>
          <w:tcPr>
            <w:tcW w:w="1942" w:type="dxa"/>
          </w:tcPr>
          <w:p>
            <w:pPr>
              <w:pStyle w:val="TableParagraph"/>
              <w:spacing w:line="223" w:lineRule="exact"/>
              <w:rPr>
                <w:sz w:val="20"/>
              </w:rPr>
            </w:pPr>
            <w:r>
              <w:rPr>
                <w:sz w:val="20"/>
              </w:rPr>
              <w:t>5692</w:t>
            </w:r>
          </w:p>
        </w:tc>
        <w:tc>
          <w:tcPr>
            <w:tcW w:w="1861" w:type="dxa"/>
          </w:tcPr>
          <w:p>
            <w:pPr>
              <w:pStyle w:val="TableParagraph"/>
              <w:spacing w:line="223" w:lineRule="exact"/>
              <w:rPr>
                <w:sz w:val="20"/>
              </w:rPr>
            </w:pPr>
            <w:r>
              <w:rPr>
                <w:sz w:val="20"/>
              </w:rPr>
              <w:t>5692</w:t>
            </w:r>
          </w:p>
        </w:tc>
      </w:tr>
      <w:tr>
        <w:trPr>
          <w:trHeight w:val="245" w:hRule="exact"/>
        </w:trPr>
        <w:tc>
          <w:tcPr>
            <w:tcW w:w="2651" w:type="dxa"/>
            <w:tcBorders>
              <w:bottom w:val="single" w:sz="8" w:space="0" w:color="000000"/>
            </w:tcBorders>
          </w:tcPr>
          <w:p>
            <w:pPr>
              <w:pStyle w:val="TableParagraph"/>
              <w:spacing w:line="223" w:lineRule="exact"/>
              <w:rPr>
                <w:sz w:val="20"/>
              </w:rPr>
            </w:pPr>
            <w:r>
              <w:rPr>
                <w:sz w:val="20"/>
              </w:rPr>
              <w:t>SamplingWeight</w:t>
            </w:r>
          </w:p>
        </w:tc>
        <w:tc>
          <w:tcPr>
            <w:tcW w:w="1942" w:type="dxa"/>
            <w:tcBorders>
              <w:bottom w:val="single" w:sz="8" w:space="0" w:color="000000"/>
            </w:tcBorders>
          </w:tcPr>
          <w:p>
            <w:pPr>
              <w:pStyle w:val="TableParagraph"/>
              <w:spacing w:line="223" w:lineRule="exact"/>
              <w:rPr>
                <w:sz w:val="20"/>
              </w:rPr>
            </w:pPr>
            <w:r>
              <w:rPr>
                <w:sz w:val="20"/>
              </w:rPr>
              <w:t>No Selection</w:t>
            </w:r>
          </w:p>
        </w:tc>
        <w:tc>
          <w:tcPr>
            <w:tcW w:w="1861" w:type="dxa"/>
            <w:tcBorders>
              <w:bottom w:val="single" w:sz="8" w:space="0" w:color="000000"/>
            </w:tcBorders>
          </w:tcPr>
          <w:p>
            <w:pPr>
              <w:pStyle w:val="TableParagraph"/>
              <w:spacing w:line="223" w:lineRule="exact"/>
              <w:rPr>
                <w:sz w:val="20"/>
              </w:rPr>
            </w:pPr>
            <w:r>
              <w:rPr>
                <w:sz w:val="20"/>
              </w:rPr>
              <w:t>No Selection</w:t>
            </w:r>
          </w:p>
        </w:tc>
      </w:tr>
      <w:tr>
        <w:trPr>
          <w:trHeight w:val="245" w:hRule="exact"/>
        </w:trPr>
        <w:tc>
          <w:tcPr>
            <w:tcW w:w="2651" w:type="dxa"/>
            <w:tcBorders>
              <w:top w:val="single" w:sz="8" w:space="0" w:color="000000"/>
            </w:tcBorders>
          </w:tcPr>
          <w:p>
            <w:pPr>
              <w:pStyle w:val="TableParagraph"/>
              <w:spacing w:line="223" w:lineRule="exact"/>
              <w:rPr>
                <w:sz w:val="20"/>
              </w:rPr>
            </w:pPr>
            <w:r>
              <w:rPr>
                <w:sz w:val="20"/>
              </w:rPr>
              <w:t>Variable of interest</w:t>
            </w:r>
          </w:p>
        </w:tc>
        <w:tc>
          <w:tcPr>
            <w:tcW w:w="1942" w:type="dxa"/>
            <w:tcBorders>
              <w:top w:val="single" w:sz="8" w:space="0" w:color="000000"/>
            </w:tcBorders>
          </w:tcPr>
          <w:p>
            <w:pPr>
              <w:pStyle w:val="TableParagraph"/>
              <w:spacing w:line="223" w:lineRule="exact"/>
              <w:rPr>
                <w:sz w:val="20"/>
              </w:rPr>
            </w:pPr>
            <w:r>
              <w:rPr>
                <w:sz w:val="20"/>
              </w:rPr>
              <w:t>ing_urbsin</w:t>
            </w:r>
          </w:p>
        </w:tc>
        <w:tc>
          <w:tcPr>
            <w:tcW w:w="1861" w:type="dxa"/>
            <w:tcBorders>
              <w:top w:val="single" w:sz="8" w:space="0" w:color="000000"/>
            </w:tcBorders>
          </w:tcPr>
          <w:p>
            <w:pPr>
              <w:pStyle w:val="TableParagraph"/>
              <w:spacing w:line="223" w:lineRule="exact"/>
              <w:rPr>
                <w:sz w:val="20"/>
              </w:rPr>
            </w:pPr>
            <w:r>
              <w:rPr>
                <w:sz w:val="20"/>
              </w:rPr>
              <w:t>ing_urbcon</w:t>
            </w:r>
          </w:p>
        </w:tc>
      </w:tr>
      <w:tr>
        <w:trPr>
          <w:trHeight w:val="240" w:hRule="exact"/>
        </w:trPr>
        <w:tc>
          <w:tcPr>
            <w:tcW w:w="2651" w:type="dxa"/>
          </w:tcPr>
          <w:p>
            <w:pPr>
              <w:pStyle w:val="TableParagraph"/>
              <w:spacing w:line="223" w:lineRule="exact"/>
              <w:rPr>
                <w:sz w:val="20"/>
              </w:rPr>
            </w:pPr>
            <w:r>
              <w:rPr>
                <w:sz w:val="20"/>
              </w:rPr>
              <w:t>Size variable</w:t>
            </w:r>
          </w:p>
        </w:tc>
        <w:tc>
          <w:tcPr>
            <w:tcW w:w="1942" w:type="dxa"/>
          </w:tcPr>
          <w:p>
            <w:pPr>
              <w:pStyle w:val="TableParagraph"/>
              <w:spacing w:line="223" w:lineRule="exact"/>
              <w:rPr>
                <w:sz w:val="20"/>
              </w:rPr>
            </w:pPr>
            <w:r>
              <w:rPr>
                <w:sz w:val="20"/>
              </w:rPr>
              <w:t>factor_hogusin</w:t>
            </w:r>
          </w:p>
        </w:tc>
        <w:tc>
          <w:tcPr>
            <w:tcW w:w="1861" w:type="dxa"/>
          </w:tcPr>
          <w:p>
            <w:pPr>
              <w:pStyle w:val="TableParagraph"/>
              <w:spacing w:line="223" w:lineRule="exact"/>
              <w:rPr>
                <w:sz w:val="20"/>
              </w:rPr>
            </w:pPr>
            <w:r>
              <w:rPr>
                <w:sz w:val="20"/>
              </w:rPr>
              <w:t>factor_hogucon</w:t>
            </w:r>
          </w:p>
        </w:tc>
      </w:tr>
      <w:tr>
        <w:trPr>
          <w:trHeight w:val="241" w:hRule="exact"/>
        </w:trPr>
        <w:tc>
          <w:tcPr>
            <w:tcW w:w="2651" w:type="dxa"/>
          </w:tcPr>
          <w:p>
            <w:pPr>
              <w:pStyle w:val="TableParagraph"/>
              <w:spacing w:line="224" w:lineRule="exact"/>
              <w:rPr>
                <w:sz w:val="20"/>
              </w:rPr>
            </w:pPr>
            <w:r>
              <w:rPr>
                <w:sz w:val="20"/>
              </w:rPr>
              <w:t>Group variable</w:t>
            </w:r>
          </w:p>
        </w:tc>
        <w:tc>
          <w:tcPr>
            <w:tcW w:w="1942" w:type="dxa"/>
          </w:tcPr>
          <w:p>
            <w:pPr>
              <w:pStyle w:val="TableParagraph"/>
              <w:spacing w:line="224" w:lineRule="exact"/>
              <w:rPr>
                <w:sz w:val="20"/>
              </w:rPr>
            </w:pPr>
            <w:r>
              <w:rPr>
                <w:sz w:val="20"/>
              </w:rPr>
              <w:t>No Selection</w:t>
            </w:r>
          </w:p>
        </w:tc>
        <w:tc>
          <w:tcPr>
            <w:tcW w:w="1861" w:type="dxa"/>
          </w:tcPr>
          <w:p>
            <w:pPr>
              <w:pStyle w:val="TableParagraph"/>
              <w:spacing w:line="224" w:lineRule="exact"/>
              <w:rPr>
                <w:sz w:val="20"/>
              </w:rPr>
            </w:pPr>
            <w:r>
              <w:rPr>
                <w:sz w:val="20"/>
              </w:rPr>
              <w:t>No Selection</w:t>
            </w:r>
          </w:p>
        </w:tc>
      </w:tr>
      <w:tr>
        <w:trPr>
          <w:trHeight w:val="240" w:hRule="exact"/>
        </w:trPr>
        <w:tc>
          <w:tcPr>
            <w:tcW w:w="2651" w:type="dxa"/>
          </w:tcPr>
          <w:p>
            <w:pPr>
              <w:pStyle w:val="TableParagraph"/>
              <w:spacing w:line="223" w:lineRule="exact"/>
              <w:rPr>
                <w:sz w:val="20"/>
              </w:rPr>
            </w:pPr>
            <w:r>
              <w:rPr>
                <w:sz w:val="20"/>
              </w:rPr>
              <w:t>Index of Groups</w:t>
            </w:r>
          </w:p>
        </w:tc>
        <w:tc>
          <w:tcPr>
            <w:tcW w:w="1942" w:type="dxa"/>
          </w:tcPr>
          <w:p>
            <w:pPr>
              <w:pStyle w:val="TableParagraph"/>
              <w:spacing w:line="223" w:lineRule="exact"/>
              <w:rPr>
                <w:sz w:val="20"/>
              </w:rPr>
            </w:pPr>
            <w:r>
              <w:rPr>
                <w:w w:val="99"/>
                <w:sz w:val="20"/>
              </w:rPr>
              <w:t>1</w:t>
            </w:r>
          </w:p>
        </w:tc>
        <w:tc>
          <w:tcPr>
            <w:tcW w:w="1861" w:type="dxa"/>
          </w:tcPr>
          <w:p>
            <w:pPr>
              <w:pStyle w:val="TableParagraph"/>
              <w:spacing w:line="223" w:lineRule="exact"/>
              <w:rPr>
                <w:sz w:val="20"/>
              </w:rPr>
            </w:pPr>
            <w:r>
              <w:rPr>
                <w:w w:val="99"/>
                <w:sz w:val="20"/>
              </w:rPr>
              <w:t>1</w:t>
            </w:r>
          </w:p>
        </w:tc>
      </w:tr>
      <w:tr>
        <w:trPr>
          <w:trHeight w:val="240" w:hRule="exact"/>
        </w:trPr>
        <w:tc>
          <w:tcPr>
            <w:tcW w:w="2651" w:type="dxa"/>
          </w:tcPr>
          <w:p>
            <w:pPr>
              <w:pStyle w:val="TableParagraph"/>
              <w:spacing w:line="223" w:lineRule="exact"/>
              <w:rPr>
                <w:sz w:val="20"/>
              </w:rPr>
            </w:pPr>
            <w:r>
              <w:rPr>
                <w:sz w:val="20"/>
              </w:rPr>
              <w:t>Option</w:t>
            </w:r>
          </w:p>
        </w:tc>
        <w:tc>
          <w:tcPr>
            <w:tcW w:w="1942" w:type="dxa"/>
          </w:tcPr>
          <w:p>
            <w:pPr>
              <w:pStyle w:val="TableParagraph"/>
              <w:spacing w:line="223" w:lineRule="exact"/>
              <w:rPr>
                <w:sz w:val="20"/>
              </w:rPr>
            </w:pPr>
            <w:r>
              <w:rPr>
                <w:sz w:val="20"/>
              </w:rPr>
              <w:t>Normalised = YES</w:t>
            </w:r>
          </w:p>
        </w:tc>
        <w:tc>
          <w:tcPr>
            <w:tcW w:w="1861" w:type="dxa"/>
          </w:tcPr>
          <w:p>
            <w:pPr/>
          </w:p>
        </w:tc>
      </w:tr>
      <w:tr>
        <w:trPr>
          <w:trHeight w:val="245" w:hRule="exact"/>
        </w:trPr>
        <w:tc>
          <w:tcPr>
            <w:tcW w:w="2651" w:type="dxa"/>
          </w:tcPr>
          <w:p>
            <w:pPr>
              <w:pStyle w:val="TableParagraph"/>
              <w:spacing w:line="223" w:lineRule="exact"/>
              <w:rPr>
                <w:sz w:val="20"/>
              </w:rPr>
            </w:pPr>
            <w:r>
              <w:rPr>
                <w:sz w:val="20"/>
              </w:rPr>
              <w:t>Parameter(s)</w:t>
            </w:r>
          </w:p>
        </w:tc>
        <w:tc>
          <w:tcPr>
            <w:tcW w:w="1942" w:type="dxa"/>
          </w:tcPr>
          <w:p>
            <w:pPr>
              <w:pStyle w:val="TableParagraph"/>
              <w:spacing w:line="223" w:lineRule="exact"/>
              <w:rPr>
                <w:sz w:val="20"/>
              </w:rPr>
            </w:pPr>
            <w:r>
              <w:rPr>
                <w:sz w:val="20"/>
              </w:rPr>
              <w:t>α=0.0</w:t>
            </w:r>
          </w:p>
        </w:tc>
        <w:tc>
          <w:tcPr>
            <w:tcW w:w="1861" w:type="dxa"/>
          </w:tcPr>
          <w:p>
            <w:pPr>
              <w:pStyle w:val="TableParagraph"/>
              <w:spacing w:line="223" w:lineRule="exact"/>
              <w:rPr>
                <w:sz w:val="20"/>
              </w:rPr>
            </w:pPr>
            <w:r>
              <w:rPr>
                <w:sz w:val="20"/>
              </w:rPr>
              <w:t>α=0.0</w:t>
            </w:r>
          </w:p>
        </w:tc>
      </w:tr>
      <w:tr>
        <w:trPr>
          <w:trHeight w:val="245" w:hRule="exact"/>
        </w:trPr>
        <w:tc>
          <w:tcPr>
            <w:tcW w:w="2651" w:type="dxa"/>
          </w:tcPr>
          <w:p>
            <w:pPr>
              <w:pStyle w:val="TableParagraph"/>
              <w:spacing w:line="228" w:lineRule="exact"/>
              <w:rPr>
                <w:sz w:val="20"/>
              </w:rPr>
            </w:pPr>
            <w:r>
              <w:rPr>
                <w:sz w:val="20"/>
              </w:rPr>
              <w:t>Estimate</w:t>
            </w:r>
          </w:p>
        </w:tc>
        <w:tc>
          <w:tcPr>
            <w:tcW w:w="1942" w:type="dxa"/>
          </w:tcPr>
          <w:p>
            <w:pPr>
              <w:pStyle w:val="TableParagraph"/>
              <w:spacing w:line="228" w:lineRule="exact"/>
              <w:rPr>
                <w:sz w:val="20"/>
              </w:rPr>
            </w:pPr>
            <w:r>
              <w:rPr>
                <w:sz w:val="20"/>
              </w:rPr>
              <w:t>0.37702474</w:t>
            </w:r>
          </w:p>
        </w:tc>
        <w:tc>
          <w:tcPr>
            <w:tcW w:w="1861" w:type="dxa"/>
          </w:tcPr>
          <w:p>
            <w:pPr>
              <w:pStyle w:val="TableParagraph"/>
              <w:spacing w:line="228" w:lineRule="exact"/>
              <w:rPr>
                <w:sz w:val="20"/>
              </w:rPr>
            </w:pPr>
            <w:r>
              <w:rPr>
                <w:sz w:val="20"/>
              </w:rPr>
              <w:t>0.40083820</w:t>
            </w:r>
          </w:p>
        </w:tc>
      </w:tr>
      <w:tr>
        <w:trPr>
          <w:trHeight w:val="240" w:hRule="exact"/>
        </w:trPr>
        <w:tc>
          <w:tcPr>
            <w:tcW w:w="2651" w:type="dxa"/>
          </w:tcPr>
          <w:p>
            <w:pPr>
              <w:pStyle w:val="TableParagraph"/>
              <w:spacing w:line="223" w:lineRule="exact"/>
              <w:rPr>
                <w:sz w:val="20"/>
              </w:rPr>
            </w:pPr>
            <w:r>
              <w:rPr>
                <w:sz w:val="20"/>
              </w:rPr>
              <w:t>Difference Index1-Index2</w:t>
            </w:r>
          </w:p>
        </w:tc>
        <w:tc>
          <w:tcPr>
            <w:tcW w:w="1942" w:type="dxa"/>
          </w:tcPr>
          <w:p>
            <w:pPr>
              <w:pStyle w:val="TableParagraph"/>
              <w:spacing w:line="223" w:lineRule="exact"/>
              <w:rPr>
                <w:sz w:val="20"/>
              </w:rPr>
            </w:pPr>
            <w:r>
              <w:rPr>
                <w:sz w:val="20"/>
              </w:rPr>
              <w:t>-0.02381346</w:t>
            </w:r>
          </w:p>
        </w:tc>
        <w:tc>
          <w:tcPr>
            <w:tcW w:w="1861" w:type="dxa"/>
          </w:tcPr>
          <w:p>
            <w:pPr/>
          </w:p>
        </w:tc>
      </w:tr>
      <w:tr>
        <w:trPr>
          <w:trHeight w:val="240" w:hRule="exact"/>
        </w:trPr>
        <w:tc>
          <w:tcPr>
            <w:tcW w:w="2651" w:type="dxa"/>
          </w:tcPr>
          <w:p>
            <w:pPr>
              <w:pStyle w:val="TableParagraph"/>
              <w:spacing w:line="223" w:lineRule="exact"/>
              <w:rPr>
                <w:sz w:val="20"/>
              </w:rPr>
            </w:pPr>
            <w:r>
              <w:rPr>
                <w:sz w:val="20"/>
              </w:rPr>
              <w:t>Poverty Line</w:t>
            </w:r>
          </w:p>
        </w:tc>
        <w:tc>
          <w:tcPr>
            <w:tcW w:w="1942" w:type="dxa"/>
          </w:tcPr>
          <w:p>
            <w:pPr>
              <w:pStyle w:val="TableParagraph"/>
              <w:spacing w:line="223" w:lineRule="exact"/>
              <w:rPr>
                <w:sz w:val="20"/>
              </w:rPr>
            </w:pPr>
            <w:r>
              <w:rPr>
                <w:sz w:val="20"/>
              </w:rPr>
              <w:t>2329.00000000</w:t>
            </w:r>
          </w:p>
        </w:tc>
        <w:tc>
          <w:tcPr>
            <w:tcW w:w="1861" w:type="dxa"/>
          </w:tcPr>
          <w:p>
            <w:pPr>
              <w:pStyle w:val="TableParagraph"/>
              <w:spacing w:line="223" w:lineRule="exact"/>
              <w:rPr>
                <w:sz w:val="20"/>
              </w:rPr>
            </w:pPr>
            <w:r>
              <w:rPr>
                <w:sz w:val="20"/>
              </w:rPr>
              <w:t>2329.00000000</w:t>
            </w:r>
          </w:p>
        </w:tc>
      </w:tr>
    </w:tbl>
    <w:p>
      <w:pPr>
        <w:pStyle w:val="BodyText"/>
        <w:spacing w:before="3"/>
        <w:rPr>
          <w:sz w:val="17"/>
        </w:rPr>
      </w:pPr>
    </w:p>
    <w:p>
      <w:pPr>
        <w:pStyle w:val="BodyText"/>
        <w:spacing w:before="69"/>
        <w:ind w:left="4272" w:right="140" w:hanging="4131"/>
      </w:pPr>
      <w:r>
        <w:rPr>
          <w:b/>
        </w:rPr>
        <w:t>Anexo 1.6 </w:t>
      </w:r>
      <w:r>
        <w:rPr/>
        <w:t>Estimación del índice FGT pobreza sin y con IVA (16%) en alimentos y medicinas para el sector rural</w:t>
      </w:r>
    </w:p>
    <w:p>
      <w:pPr>
        <w:pStyle w:val="BodyText"/>
        <w:spacing w:before="8"/>
      </w:pPr>
    </w:p>
    <w:tbl>
      <w:tblPr>
        <w:tblW w:w="0" w:type="auto"/>
        <w:jc w:val="left"/>
        <w:tblInd w:w="1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51"/>
        <w:gridCol w:w="1942"/>
        <w:gridCol w:w="1861"/>
      </w:tblGrid>
      <w:tr>
        <w:trPr>
          <w:trHeight w:val="240" w:hRule="exact"/>
        </w:trPr>
        <w:tc>
          <w:tcPr>
            <w:tcW w:w="6453" w:type="dxa"/>
            <w:gridSpan w:val="3"/>
          </w:tcPr>
          <w:p>
            <w:pPr>
              <w:pStyle w:val="TableParagraph"/>
              <w:spacing w:line="223" w:lineRule="exact"/>
              <w:ind w:left="2608" w:right="2612"/>
              <w:jc w:val="center"/>
              <w:rPr>
                <w:sz w:val="20"/>
              </w:rPr>
            </w:pPr>
            <w:r>
              <w:rPr>
                <w:sz w:val="20"/>
              </w:rPr>
              <w:t>FGT (Poverty)</w:t>
            </w:r>
          </w:p>
        </w:tc>
      </w:tr>
      <w:tr>
        <w:trPr>
          <w:trHeight w:val="471" w:hRule="exact"/>
        </w:trPr>
        <w:tc>
          <w:tcPr>
            <w:tcW w:w="2651" w:type="dxa"/>
          </w:tcPr>
          <w:p>
            <w:pPr>
              <w:pStyle w:val="TableParagraph"/>
              <w:spacing w:line="223" w:lineRule="exact"/>
              <w:rPr>
                <w:sz w:val="20"/>
              </w:rPr>
            </w:pPr>
            <w:r>
              <w:rPr>
                <w:sz w:val="20"/>
              </w:rPr>
              <w:t>Session Date</w:t>
            </w:r>
          </w:p>
        </w:tc>
        <w:tc>
          <w:tcPr>
            <w:tcW w:w="1942" w:type="dxa"/>
          </w:tcPr>
          <w:p>
            <w:pPr>
              <w:pStyle w:val="TableParagraph"/>
              <w:spacing w:line="223" w:lineRule="exact"/>
              <w:rPr>
                <w:sz w:val="20"/>
              </w:rPr>
            </w:pPr>
            <w:r>
              <w:rPr>
                <w:sz w:val="20"/>
              </w:rPr>
              <w:t>Wed Oct 16</w:t>
            </w:r>
          </w:p>
          <w:p>
            <w:pPr>
              <w:pStyle w:val="TableParagraph"/>
              <w:spacing w:before="1"/>
              <w:rPr>
                <w:sz w:val="20"/>
              </w:rPr>
            </w:pPr>
            <w:r>
              <w:rPr>
                <w:sz w:val="20"/>
              </w:rPr>
              <w:t>11:06:48 CDT 2013</w:t>
            </w:r>
          </w:p>
        </w:tc>
        <w:tc>
          <w:tcPr>
            <w:tcW w:w="1861" w:type="dxa"/>
          </w:tcPr>
          <w:p>
            <w:pPr/>
          </w:p>
        </w:tc>
      </w:tr>
      <w:tr>
        <w:trPr>
          <w:trHeight w:val="240" w:hRule="exact"/>
        </w:trPr>
        <w:tc>
          <w:tcPr>
            <w:tcW w:w="2651" w:type="dxa"/>
          </w:tcPr>
          <w:p>
            <w:pPr>
              <w:pStyle w:val="TableParagraph"/>
              <w:spacing w:line="223" w:lineRule="exact"/>
              <w:rPr>
                <w:sz w:val="20"/>
              </w:rPr>
            </w:pPr>
            <w:r>
              <w:rPr>
                <w:sz w:val="20"/>
              </w:rPr>
              <w:t>Execution Time</w:t>
            </w:r>
          </w:p>
        </w:tc>
        <w:tc>
          <w:tcPr>
            <w:tcW w:w="1942" w:type="dxa"/>
          </w:tcPr>
          <w:p>
            <w:pPr>
              <w:pStyle w:val="TableParagraph"/>
              <w:spacing w:line="223" w:lineRule="exact"/>
              <w:rPr>
                <w:sz w:val="20"/>
              </w:rPr>
            </w:pPr>
            <w:r>
              <w:rPr>
                <w:sz w:val="20"/>
              </w:rPr>
              <w:t>0.078 sec</w:t>
            </w:r>
          </w:p>
        </w:tc>
        <w:tc>
          <w:tcPr>
            <w:tcW w:w="1861" w:type="dxa"/>
          </w:tcPr>
          <w:p>
            <w:pPr/>
          </w:p>
        </w:tc>
      </w:tr>
      <w:tr>
        <w:trPr>
          <w:trHeight w:val="240" w:hRule="exact"/>
        </w:trPr>
        <w:tc>
          <w:tcPr>
            <w:tcW w:w="2651" w:type="dxa"/>
          </w:tcPr>
          <w:p>
            <w:pPr>
              <w:pStyle w:val="TableParagraph"/>
              <w:spacing w:line="223" w:lineRule="exact"/>
              <w:rPr>
                <w:sz w:val="20"/>
              </w:rPr>
            </w:pPr>
            <w:r>
              <w:rPr>
                <w:sz w:val="20"/>
              </w:rPr>
              <w:t>FileName</w:t>
            </w:r>
          </w:p>
        </w:tc>
        <w:tc>
          <w:tcPr>
            <w:tcW w:w="1942" w:type="dxa"/>
          </w:tcPr>
          <w:p>
            <w:pPr>
              <w:pStyle w:val="TableParagraph"/>
              <w:spacing w:line="223" w:lineRule="exact"/>
              <w:rPr>
                <w:sz w:val="20"/>
              </w:rPr>
            </w:pPr>
            <w:r>
              <w:rPr>
                <w:sz w:val="20"/>
              </w:rPr>
              <w:t>rursin.prn</w:t>
            </w:r>
          </w:p>
        </w:tc>
        <w:tc>
          <w:tcPr>
            <w:tcW w:w="1861" w:type="dxa"/>
          </w:tcPr>
          <w:p>
            <w:pPr>
              <w:pStyle w:val="TableParagraph"/>
              <w:spacing w:line="223" w:lineRule="exact"/>
              <w:rPr>
                <w:sz w:val="20"/>
              </w:rPr>
            </w:pPr>
            <w:r>
              <w:rPr>
                <w:sz w:val="20"/>
              </w:rPr>
              <w:t>rurcon.prn</w:t>
            </w:r>
          </w:p>
        </w:tc>
      </w:tr>
      <w:tr>
        <w:trPr>
          <w:trHeight w:val="240" w:hRule="exact"/>
        </w:trPr>
        <w:tc>
          <w:tcPr>
            <w:tcW w:w="2651" w:type="dxa"/>
          </w:tcPr>
          <w:p>
            <w:pPr>
              <w:pStyle w:val="TableParagraph"/>
              <w:spacing w:line="223" w:lineRule="exact"/>
              <w:rPr>
                <w:sz w:val="20"/>
              </w:rPr>
            </w:pPr>
            <w:r>
              <w:rPr>
                <w:sz w:val="20"/>
              </w:rPr>
              <w:t>OBS</w:t>
            </w:r>
          </w:p>
        </w:tc>
        <w:tc>
          <w:tcPr>
            <w:tcW w:w="1942" w:type="dxa"/>
          </w:tcPr>
          <w:p>
            <w:pPr>
              <w:pStyle w:val="TableParagraph"/>
              <w:spacing w:line="223" w:lineRule="exact"/>
              <w:rPr>
                <w:sz w:val="20"/>
              </w:rPr>
            </w:pPr>
            <w:r>
              <w:rPr>
                <w:sz w:val="20"/>
              </w:rPr>
              <w:t>3310</w:t>
            </w:r>
          </w:p>
        </w:tc>
        <w:tc>
          <w:tcPr>
            <w:tcW w:w="1861" w:type="dxa"/>
          </w:tcPr>
          <w:p>
            <w:pPr>
              <w:pStyle w:val="TableParagraph"/>
              <w:spacing w:line="223" w:lineRule="exact"/>
              <w:rPr>
                <w:sz w:val="20"/>
              </w:rPr>
            </w:pPr>
            <w:r>
              <w:rPr>
                <w:sz w:val="20"/>
              </w:rPr>
              <w:t>3310</w:t>
            </w:r>
          </w:p>
        </w:tc>
      </w:tr>
      <w:tr>
        <w:trPr>
          <w:trHeight w:val="245" w:hRule="exact"/>
        </w:trPr>
        <w:tc>
          <w:tcPr>
            <w:tcW w:w="2651" w:type="dxa"/>
          </w:tcPr>
          <w:p>
            <w:pPr>
              <w:pStyle w:val="TableParagraph"/>
              <w:spacing w:line="223" w:lineRule="exact"/>
              <w:rPr>
                <w:sz w:val="20"/>
              </w:rPr>
            </w:pPr>
            <w:r>
              <w:rPr>
                <w:sz w:val="20"/>
              </w:rPr>
              <w:t>SamplingWeight</w:t>
            </w:r>
          </w:p>
        </w:tc>
        <w:tc>
          <w:tcPr>
            <w:tcW w:w="1942" w:type="dxa"/>
          </w:tcPr>
          <w:p>
            <w:pPr>
              <w:pStyle w:val="TableParagraph"/>
              <w:spacing w:line="223" w:lineRule="exact"/>
              <w:rPr>
                <w:sz w:val="20"/>
              </w:rPr>
            </w:pPr>
            <w:r>
              <w:rPr>
                <w:sz w:val="20"/>
              </w:rPr>
              <w:t>No Selection</w:t>
            </w:r>
          </w:p>
        </w:tc>
        <w:tc>
          <w:tcPr>
            <w:tcW w:w="1861" w:type="dxa"/>
          </w:tcPr>
          <w:p>
            <w:pPr>
              <w:pStyle w:val="TableParagraph"/>
              <w:spacing w:line="223" w:lineRule="exact"/>
              <w:rPr>
                <w:sz w:val="20"/>
              </w:rPr>
            </w:pPr>
            <w:r>
              <w:rPr>
                <w:sz w:val="20"/>
              </w:rPr>
              <w:t>No Selection</w:t>
            </w:r>
          </w:p>
        </w:tc>
      </w:tr>
      <w:tr>
        <w:trPr>
          <w:trHeight w:val="245" w:hRule="exact"/>
        </w:trPr>
        <w:tc>
          <w:tcPr>
            <w:tcW w:w="2651" w:type="dxa"/>
          </w:tcPr>
          <w:p>
            <w:pPr>
              <w:pStyle w:val="TableParagraph"/>
              <w:spacing w:line="228" w:lineRule="exact"/>
              <w:rPr>
                <w:sz w:val="20"/>
              </w:rPr>
            </w:pPr>
            <w:r>
              <w:rPr>
                <w:sz w:val="20"/>
              </w:rPr>
              <w:t>Variable of interest</w:t>
            </w:r>
          </w:p>
        </w:tc>
        <w:tc>
          <w:tcPr>
            <w:tcW w:w="1942" w:type="dxa"/>
          </w:tcPr>
          <w:p>
            <w:pPr>
              <w:pStyle w:val="TableParagraph"/>
              <w:spacing w:line="228" w:lineRule="exact"/>
              <w:rPr>
                <w:sz w:val="20"/>
              </w:rPr>
            </w:pPr>
            <w:r>
              <w:rPr>
                <w:sz w:val="20"/>
              </w:rPr>
              <w:t>ing_rursin</w:t>
            </w:r>
          </w:p>
        </w:tc>
        <w:tc>
          <w:tcPr>
            <w:tcW w:w="1861" w:type="dxa"/>
          </w:tcPr>
          <w:p>
            <w:pPr>
              <w:pStyle w:val="TableParagraph"/>
              <w:spacing w:line="228" w:lineRule="exact"/>
              <w:rPr>
                <w:sz w:val="20"/>
              </w:rPr>
            </w:pPr>
            <w:r>
              <w:rPr>
                <w:sz w:val="20"/>
              </w:rPr>
              <w:t>ing_rurcon</w:t>
            </w:r>
          </w:p>
        </w:tc>
      </w:tr>
      <w:tr>
        <w:trPr>
          <w:trHeight w:val="240" w:hRule="exact"/>
        </w:trPr>
        <w:tc>
          <w:tcPr>
            <w:tcW w:w="2651" w:type="dxa"/>
          </w:tcPr>
          <w:p>
            <w:pPr>
              <w:pStyle w:val="TableParagraph"/>
              <w:spacing w:line="223" w:lineRule="exact"/>
              <w:rPr>
                <w:sz w:val="20"/>
              </w:rPr>
            </w:pPr>
            <w:r>
              <w:rPr>
                <w:sz w:val="20"/>
              </w:rPr>
              <w:t>Size variable</w:t>
            </w:r>
          </w:p>
        </w:tc>
        <w:tc>
          <w:tcPr>
            <w:tcW w:w="1942" w:type="dxa"/>
          </w:tcPr>
          <w:p>
            <w:pPr>
              <w:pStyle w:val="TableParagraph"/>
              <w:spacing w:line="223" w:lineRule="exact"/>
              <w:rPr>
                <w:sz w:val="20"/>
              </w:rPr>
            </w:pPr>
            <w:r>
              <w:rPr>
                <w:sz w:val="20"/>
              </w:rPr>
              <w:t>factor_hogrsin</w:t>
            </w:r>
          </w:p>
        </w:tc>
        <w:tc>
          <w:tcPr>
            <w:tcW w:w="1861" w:type="dxa"/>
          </w:tcPr>
          <w:p>
            <w:pPr>
              <w:pStyle w:val="TableParagraph"/>
              <w:spacing w:line="223" w:lineRule="exact"/>
              <w:rPr>
                <w:sz w:val="20"/>
              </w:rPr>
            </w:pPr>
            <w:r>
              <w:rPr>
                <w:sz w:val="20"/>
              </w:rPr>
              <w:t>factor_hogrcon</w:t>
            </w:r>
          </w:p>
        </w:tc>
      </w:tr>
      <w:tr>
        <w:trPr>
          <w:trHeight w:val="240" w:hRule="exact"/>
        </w:trPr>
        <w:tc>
          <w:tcPr>
            <w:tcW w:w="2651" w:type="dxa"/>
          </w:tcPr>
          <w:p>
            <w:pPr>
              <w:pStyle w:val="TableParagraph"/>
              <w:spacing w:line="223" w:lineRule="exact"/>
              <w:rPr>
                <w:sz w:val="20"/>
              </w:rPr>
            </w:pPr>
            <w:r>
              <w:rPr>
                <w:sz w:val="20"/>
              </w:rPr>
              <w:t>Group variable</w:t>
            </w:r>
          </w:p>
        </w:tc>
        <w:tc>
          <w:tcPr>
            <w:tcW w:w="1942" w:type="dxa"/>
          </w:tcPr>
          <w:p>
            <w:pPr>
              <w:pStyle w:val="TableParagraph"/>
              <w:spacing w:line="223" w:lineRule="exact"/>
              <w:rPr>
                <w:sz w:val="20"/>
              </w:rPr>
            </w:pPr>
            <w:r>
              <w:rPr>
                <w:sz w:val="20"/>
              </w:rPr>
              <w:t>No Selection</w:t>
            </w:r>
          </w:p>
        </w:tc>
        <w:tc>
          <w:tcPr>
            <w:tcW w:w="1861" w:type="dxa"/>
          </w:tcPr>
          <w:p>
            <w:pPr>
              <w:pStyle w:val="TableParagraph"/>
              <w:spacing w:line="223" w:lineRule="exact"/>
              <w:rPr>
                <w:sz w:val="20"/>
              </w:rPr>
            </w:pPr>
            <w:r>
              <w:rPr>
                <w:sz w:val="20"/>
              </w:rPr>
              <w:t>No Selection</w:t>
            </w:r>
          </w:p>
        </w:tc>
      </w:tr>
      <w:tr>
        <w:trPr>
          <w:trHeight w:val="240" w:hRule="exact"/>
        </w:trPr>
        <w:tc>
          <w:tcPr>
            <w:tcW w:w="2651" w:type="dxa"/>
          </w:tcPr>
          <w:p>
            <w:pPr>
              <w:pStyle w:val="TableParagraph"/>
              <w:spacing w:line="223" w:lineRule="exact"/>
              <w:rPr>
                <w:sz w:val="20"/>
              </w:rPr>
            </w:pPr>
            <w:r>
              <w:rPr>
                <w:sz w:val="20"/>
              </w:rPr>
              <w:t>Index of Groups</w:t>
            </w:r>
          </w:p>
        </w:tc>
        <w:tc>
          <w:tcPr>
            <w:tcW w:w="1942" w:type="dxa"/>
          </w:tcPr>
          <w:p>
            <w:pPr>
              <w:pStyle w:val="TableParagraph"/>
              <w:spacing w:line="223" w:lineRule="exact"/>
              <w:rPr>
                <w:sz w:val="20"/>
              </w:rPr>
            </w:pPr>
            <w:r>
              <w:rPr>
                <w:w w:val="99"/>
                <w:sz w:val="20"/>
              </w:rPr>
              <w:t>1</w:t>
            </w:r>
          </w:p>
        </w:tc>
        <w:tc>
          <w:tcPr>
            <w:tcW w:w="1861" w:type="dxa"/>
          </w:tcPr>
          <w:p>
            <w:pPr>
              <w:pStyle w:val="TableParagraph"/>
              <w:spacing w:line="223" w:lineRule="exact"/>
              <w:rPr>
                <w:sz w:val="20"/>
              </w:rPr>
            </w:pPr>
            <w:r>
              <w:rPr>
                <w:w w:val="99"/>
                <w:sz w:val="20"/>
              </w:rPr>
              <w:t>1</w:t>
            </w:r>
          </w:p>
        </w:tc>
      </w:tr>
      <w:tr>
        <w:trPr>
          <w:trHeight w:val="240" w:hRule="exact"/>
        </w:trPr>
        <w:tc>
          <w:tcPr>
            <w:tcW w:w="2651" w:type="dxa"/>
          </w:tcPr>
          <w:p>
            <w:pPr>
              <w:pStyle w:val="TableParagraph"/>
              <w:spacing w:line="223" w:lineRule="exact"/>
              <w:rPr>
                <w:sz w:val="20"/>
              </w:rPr>
            </w:pPr>
            <w:r>
              <w:rPr>
                <w:sz w:val="20"/>
              </w:rPr>
              <w:t>Option</w:t>
            </w:r>
          </w:p>
        </w:tc>
        <w:tc>
          <w:tcPr>
            <w:tcW w:w="1942" w:type="dxa"/>
          </w:tcPr>
          <w:p>
            <w:pPr>
              <w:pStyle w:val="TableParagraph"/>
              <w:spacing w:line="223" w:lineRule="exact"/>
              <w:rPr>
                <w:sz w:val="20"/>
              </w:rPr>
            </w:pPr>
            <w:r>
              <w:rPr>
                <w:sz w:val="20"/>
              </w:rPr>
              <w:t>Normalised = YES</w:t>
            </w:r>
          </w:p>
        </w:tc>
        <w:tc>
          <w:tcPr>
            <w:tcW w:w="1861" w:type="dxa"/>
          </w:tcPr>
          <w:p>
            <w:pPr/>
          </w:p>
        </w:tc>
      </w:tr>
      <w:tr>
        <w:trPr>
          <w:trHeight w:val="245" w:hRule="exact"/>
        </w:trPr>
        <w:tc>
          <w:tcPr>
            <w:tcW w:w="2651" w:type="dxa"/>
          </w:tcPr>
          <w:p>
            <w:pPr>
              <w:pStyle w:val="TableParagraph"/>
              <w:spacing w:line="223" w:lineRule="exact"/>
              <w:rPr>
                <w:sz w:val="20"/>
              </w:rPr>
            </w:pPr>
            <w:r>
              <w:rPr>
                <w:sz w:val="20"/>
              </w:rPr>
              <w:t>Parameter(s)</w:t>
            </w:r>
          </w:p>
        </w:tc>
        <w:tc>
          <w:tcPr>
            <w:tcW w:w="1942" w:type="dxa"/>
          </w:tcPr>
          <w:p>
            <w:pPr>
              <w:pStyle w:val="TableParagraph"/>
              <w:spacing w:line="223" w:lineRule="exact"/>
              <w:rPr>
                <w:sz w:val="20"/>
              </w:rPr>
            </w:pPr>
            <w:r>
              <w:rPr>
                <w:sz w:val="20"/>
              </w:rPr>
              <w:t>α=0.0</w:t>
            </w:r>
          </w:p>
        </w:tc>
        <w:tc>
          <w:tcPr>
            <w:tcW w:w="1861" w:type="dxa"/>
          </w:tcPr>
          <w:p>
            <w:pPr>
              <w:pStyle w:val="TableParagraph"/>
              <w:spacing w:line="223" w:lineRule="exact"/>
              <w:rPr>
                <w:sz w:val="20"/>
              </w:rPr>
            </w:pPr>
            <w:r>
              <w:rPr>
                <w:sz w:val="20"/>
              </w:rPr>
              <w:t>α=0.0</w:t>
            </w:r>
          </w:p>
        </w:tc>
      </w:tr>
      <w:tr>
        <w:trPr>
          <w:trHeight w:val="245" w:hRule="exact"/>
        </w:trPr>
        <w:tc>
          <w:tcPr>
            <w:tcW w:w="2651" w:type="dxa"/>
          </w:tcPr>
          <w:p>
            <w:pPr>
              <w:pStyle w:val="TableParagraph"/>
              <w:spacing w:line="228" w:lineRule="exact"/>
              <w:rPr>
                <w:sz w:val="20"/>
              </w:rPr>
            </w:pPr>
            <w:r>
              <w:rPr>
                <w:sz w:val="20"/>
              </w:rPr>
              <w:t>Estimate</w:t>
            </w:r>
          </w:p>
        </w:tc>
        <w:tc>
          <w:tcPr>
            <w:tcW w:w="1942" w:type="dxa"/>
          </w:tcPr>
          <w:p>
            <w:pPr>
              <w:pStyle w:val="TableParagraph"/>
              <w:spacing w:line="228" w:lineRule="exact"/>
              <w:rPr>
                <w:sz w:val="20"/>
              </w:rPr>
            </w:pPr>
            <w:r>
              <w:rPr>
                <w:sz w:val="20"/>
              </w:rPr>
              <w:t>0.53081059</w:t>
            </w:r>
          </w:p>
        </w:tc>
        <w:tc>
          <w:tcPr>
            <w:tcW w:w="1861" w:type="dxa"/>
          </w:tcPr>
          <w:p>
            <w:pPr>
              <w:pStyle w:val="TableParagraph"/>
              <w:spacing w:line="228" w:lineRule="exact"/>
              <w:rPr>
                <w:sz w:val="20"/>
              </w:rPr>
            </w:pPr>
            <w:r>
              <w:rPr>
                <w:sz w:val="20"/>
              </w:rPr>
              <w:t>0.57142025</w:t>
            </w:r>
          </w:p>
        </w:tc>
      </w:tr>
      <w:tr>
        <w:trPr>
          <w:trHeight w:val="240" w:hRule="exact"/>
        </w:trPr>
        <w:tc>
          <w:tcPr>
            <w:tcW w:w="2651" w:type="dxa"/>
          </w:tcPr>
          <w:p>
            <w:pPr>
              <w:pStyle w:val="TableParagraph"/>
              <w:spacing w:line="223" w:lineRule="exact"/>
              <w:rPr>
                <w:sz w:val="20"/>
              </w:rPr>
            </w:pPr>
            <w:r>
              <w:rPr>
                <w:sz w:val="20"/>
              </w:rPr>
              <w:t>Difference Index1-Index2</w:t>
            </w:r>
          </w:p>
        </w:tc>
        <w:tc>
          <w:tcPr>
            <w:tcW w:w="1942" w:type="dxa"/>
          </w:tcPr>
          <w:p>
            <w:pPr>
              <w:pStyle w:val="TableParagraph"/>
              <w:spacing w:line="223" w:lineRule="exact"/>
              <w:rPr>
                <w:sz w:val="20"/>
              </w:rPr>
            </w:pPr>
            <w:r>
              <w:rPr>
                <w:sz w:val="20"/>
              </w:rPr>
              <w:t>-0.04060966</w:t>
            </w:r>
          </w:p>
        </w:tc>
        <w:tc>
          <w:tcPr>
            <w:tcW w:w="1861" w:type="dxa"/>
          </w:tcPr>
          <w:p>
            <w:pPr/>
          </w:p>
        </w:tc>
      </w:tr>
      <w:tr>
        <w:trPr>
          <w:trHeight w:val="240" w:hRule="exact"/>
        </w:trPr>
        <w:tc>
          <w:tcPr>
            <w:tcW w:w="2651" w:type="dxa"/>
          </w:tcPr>
          <w:p>
            <w:pPr>
              <w:pStyle w:val="TableParagraph"/>
              <w:spacing w:line="223" w:lineRule="exact"/>
              <w:rPr>
                <w:sz w:val="20"/>
              </w:rPr>
            </w:pPr>
            <w:r>
              <w:rPr>
                <w:sz w:val="20"/>
              </w:rPr>
              <w:t>Poverty Line</w:t>
            </w:r>
          </w:p>
        </w:tc>
        <w:tc>
          <w:tcPr>
            <w:tcW w:w="1942" w:type="dxa"/>
          </w:tcPr>
          <w:p>
            <w:pPr>
              <w:pStyle w:val="TableParagraph"/>
              <w:spacing w:line="223" w:lineRule="exact"/>
              <w:rPr>
                <w:sz w:val="20"/>
              </w:rPr>
            </w:pPr>
            <w:r>
              <w:rPr>
                <w:sz w:val="20"/>
              </w:rPr>
              <w:t>1490.00000000</w:t>
            </w:r>
          </w:p>
        </w:tc>
        <w:tc>
          <w:tcPr>
            <w:tcW w:w="1861" w:type="dxa"/>
          </w:tcPr>
          <w:p>
            <w:pPr>
              <w:pStyle w:val="TableParagraph"/>
              <w:spacing w:line="223" w:lineRule="exact"/>
              <w:rPr>
                <w:sz w:val="20"/>
              </w:rPr>
            </w:pPr>
            <w:r>
              <w:rPr>
                <w:sz w:val="20"/>
              </w:rPr>
              <w:t>1490.00000000</w:t>
            </w:r>
          </w:p>
        </w:tc>
      </w:tr>
    </w:tbl>
    <w:sectPr>
      <w:pgSz w:w="11910" w:h="16840"/>
      <w:pgMar w:header="731" w:footer="0" w:top="960" w:bottom="280" w:left="1020" w:right="9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023998pt;margin-top:73.057388pt;width:272.350pt;height:18pt;mso-position-horizontal-relative:page;mso-position-vertical-relative:page;z-index:-53728" type="#_x0000_t202" filled="false" stroked="false">
          <v:textbox inset="0,0,0,0">
            <w:txbxContent>
              <w:p>
                <w:pPr>
                  <w:spacing w:line="346" w:lineRule="exact" w:before="0"/>
                  <w:ind w:left="20" w:right="0" w:firstLine="0"/>
                  <w:jc w:val="left"/>
                  <w:rPr>
                    <w:b/>
                    <w:sz w:val="32"/>
                  </w:rPr>
                </w:pPr>
                <w:r>
                  <w:rPr>
                    <w:b/>
                    <w:sz w:val="32"/>
                  </w:rPr>
                  <w:t>ECORFAN Tópicos Selectos de Riesgos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023998pt;margin-top:73.057388pt;width:187.7pt;height:18pt;mso-position-horizontal-relative:page;mso-position-vertical-relative:page;z-index:-53704" type="#_x0000_t202" filled="false" stroked="false">
          <v:textbox inset="0,0,0,0">
            <w:txbxContent>
              <w:p>
                <w:pPr>
                  <w:spacing w:line="346" w:lineRule="exact" w:before="0"/>
                  <w:ind w:left="20" w:right="-1" w:firstLine="0"/>
                  <w:jc w:val="left"/>
                  <w:rPr>
                    <w:b/>
                    <w:sz w:val="32"/>
                  </w:rPr>
                </w:pPr>
                <w:r>
                  <w:rPr>
                    <w:b/>
                    <w:color w:val="121312"/>
                    <w:sz w:val="32"/>
                  </w:rPr>
                  <w:t>María Ramos · María Solis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440002pt;margin-top:35.5439pt;width:16pt;height:14pt;mso-position-horizontal-relative:page;mso-position-vertical-relative:page;z-index:-536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460" w:hanging="360"/>
        <w:jc w:val="left"/>
      </w:pPr>
      <w:rPr>
        <w:rFonts w:hint="default"/>
      </w:rPr>
    </w:lvl>
    <w:lvl w:ilvl="1">
      <w:start w:val="9"/>
      <w:numFmt w:val="decimal"/>
      <w:lvlText w:val="%1.%2"/>
      <w:lvlJc w:val="left"/>
      <w:pPr>
        <w:ind w:left="460" w:hanging="36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361" w:hanging="360"/>
      </w:pPr>
      <w:rPr>
        <w:rFonts w:hint="default"/>
      </w:rPr>
    </w:lvl>
    <w:lvl w:ilvl="3">
      <w:start w:val="1"/>
      <w:numFmt w:val="bullet"/>
      <w:lvlText w:val="•"/>
      <w:lvlJc w:val="left"/>
      <w:pPr>
        <w:ind w:left="3311" w:hanging="360"/>
      </w:pPr>
      <w:rPr>
        <w:rFonts w:hint="default"/>
      </w:rPr>
    </w:lvl>
    <w:lvl w:ilvl="4">
      <w:start w:val="1"/>
      <w:numFmt w:val="bullet"/>
      <w:lvlText w:val="•"/>
      <w:lvlJc w:val="left"/>
      <w:pPr>
        <w:ind w:left="4262" w:hanging="360"/>
      </w:pPr>
      <w:rPr>
        <w:rFonts w:hint="default"/>
      </w:rPr>
    </w:lvl>
    <w:lvl w:ilvl="5">
      <w:start w:val="1"/>
      <w:numFmt w:val="bullet"/>
      <w:lvlText w:val="•"/>
      <w:lvlJc w:val="left"/>
      <w:pPr>
        <w:ind w:left="5213" w:hanging="360"/>
      </w:pPr>
      <w:rPr>
        <w:rFonts w:hint="default"/>
      </w:rPr>
    </w:lvl>
    <w:lvl w:ilvl="6">
      <w:start w:val="1"/>
      <w:numFmt w:val="bullet"/>
      <w:lvlText w:val="•"/>
      <w:lvlJc w:val="left"/>
      <w:pPr>
        <w:ind w:left="6163" w:hanging="360"/>
      </w:pPr>
      <w:rPr>
        <w:rFonts w:hint="default"/>
      </w:rPr>
    </w:lvl>
    <w:lvl w:ilvl="7">
      <w:start w:val="1"/>
      <w:numFmt w:val="bullet"/>
      <w:lvlText w:val="•"/>
      <w:lvlJc w:val="left"/>
      <w:pPr>
        <w:ind w:left="7114" w:hanging="360"/>
      </w:pPr>
      <w:rPr>
        <w:rFonts w:hint="default"/>
      </w:rPr>
    </w:lvl>
    <w:lvl w:ilvl="8">
      <w:start w:val="1"/>
      <w:numFmt w:val="bullet"/>
      <w:lvlText w:val="•"/>
      <w:lvlJc w:val="left"/>
      <w:pPr>
        <w:ind w:left="8065" w:hanging="360"/>
      </w:pPr>
      <w:rPr>
        <w:rFonts w:hint="default"/>
      </w:rPr>
    </w:lvl>
  </w:abstractNum>
  <w:abstractNum w:abstractNumId="0">
    <w:multiLevelType w:val="hybridMultilevel"/>
    <w:lvl w:ilvl="0">
      <w:start w:val="1"/>
      <w:numFmt w:val="decimal"/>
      <w:lvlText w:val="%1"/>
      <w:lvlJc w:val="left"/>
      <w:pPr>
        <w:ind w:left="280" w:hanging="180"/>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460" w:hanging="36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1516" w:hanging="360"/>
      </w:pPr>
      <w:rPr>
        <w:rFonts w:hint="default"/>
      </w:rPr>
    </w:lvl>
    <w:lvl w:ilvl="3">
      <w:start w:val="1"/>
      <w:numFmt w:val="bullet"/>
      <w:lvlText w:val="•"/>
      <w:lvlJc w:val="left"/>
      <w:pPr>
        <w:ind w:left="2572" w:hanging="360"/>
      </w:pPr>
      <w:rPr>
        <w:rFonts w:hint="default"/>
      </w:rPr>
    </w:lvl>
    <w:lvl w:ilvl="4">
      <w:start w:val="1"/>
      <w:numFmt w:val="bullet"/>
      <w:lvlText w:val="•"/>
      <w:lvlJc w:val="left"/>
      <w:pPr>
        <w:ind w:left="3628" w:hanging="360"/>
      </w:pPr>
      <w:rPr>
        <w:rFonts w:hint="default"/>
      </w:rPr>
    </w:lvl>
    <w:lvl w:ilvl="5">
      <w:start w:val="1"/>
      <w:numFmt w:val="bullet"/>
      <w:lvlText w:val="•"/>
      <w:lvlJc w:val="left"/>
      <w:pPr>
        <w:ind w:left="4685" w:hanging="360"/>
      </w:pPr>
      <w:rPr>
        <w:rFonts w:hint="default"/>
      </w:rPr>
    </w:lvl>
    <w:lvl w:ilvl="6">
      <w:start w:val="1"/>
      <w:numFmt w:val="bullet"/>
      <w:lvlText w:val="•"/>
      <w:lvlJc w:val="left"/>
      <w:pPr>
        <w:ind w:left="5741" w:hanging="360"/>
      </w:pPr>
      <w:rPr>
        <w:rFonts w:hint="default"/>
      </w:rPr>
    </w:lvl>
    <w:lvl w:ilvl="7">
      <w:start w:val="1"/>
      <w:numFmt w:val="bullet"/>
      <w:lvlText w:val="•"/>
      <w:lvlJc w:val="left"/>
      <w:pPr>
        <w:ind w:left="6797" w:hanging="360"/>
      </w:pPr>
      <w:rPr>
        <w:rFonts w:hint="default"/>
      </w:rPr>
    </w:lvl>
    <w:lvl w:ilvl="8">
      <w:start w:val="1"/>
      <w:numFmt w:val="bullet"/>
      <w:lvlText w:val="•"/>
      <w:lvlJc w:val="left"/>
      <w:pPr>
        <w:ind w:left="7853"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0"/>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spacing w:line="346" w:lineRule="exact"/>
      <w:ind w:left="20"/>
      <w:outlineLvl w:val="2"/>
    </w:pPr>
    <w:rPr>
      <w:rFonts w:ascii="Times New Roman" w:hAnsi="Times New Roman" w:eastAsia="Times New Roman" w:cs="Times New Roman"/>
      <w:b/>
      <w:bCs/>
      <w:sz w:val="32"/>
      <w:szCs w:val="32"/>
    </w:rPr>
  </w:style>
  <w:style w:styleId="Heading3" w:type="paragraph">
    <w:name w:val="Heading 3"/>
    <w:basedOn w:val="Normal"/>
    <w:uiPriority w:val="1"/>
    <w:qFormat/>
    <w:pPr>
      <w:spacing w:before="65"/>
      <w:outlineLvl w:val="3"/>
    </w:pPr>
    <w:rPr>
      <w:rFonts w:ascii="Times New Roman" w:hAnsi="Times New Roman" w:eastAsia="Times New Roman" w:cs="Times New Roman"/>
      <w:sz w:val="28"/>
      <w:szCs w:val="28"/>
    </w:rPr>
  </w:style>
  <w:style w:styleId="Heading4" w:type="paragraph">
    <w:name w:val="Heading 4"/>
    <w:basedOn w:val="Normal"/>
    <w:uiPriority w:val="1"/>
    <w:qFormat/>
    <w:pPr>
      <w:spacing w:before="1"/>
      <w:ind w:left="460" w:hanging="360"/>
      <w:jc w:val="both"/>
      <w:outlineLvl w:val="4"/>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
      <w:ind w:left="460" w:hanging="360"/>
      <w:jc w:val="both"/>
    </w:pPr>
    <w:rPr>
      <w:rFonts w:ascii="Times New Roman" w:hAnsi="Times New Roman" w:eastAsia="Times New Roman" w:cs="Times New Roman"/>
    </w:rPr>
  </w:style>
  <w:style w:styleId="TableParagraph" w:type="paragraph">
    <w:name w:val="Table Paragraph"/>
    <w:basedOn w:val="Normal"/>
    <w:uiPriority w:val="1"/>
    <w:qFormat/>
    <w:pPr>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hyperlink" Target="http://www.ecorfan.org/series/" TargetMode="External"/><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header" Target="header3.xml"/><Relationship Id="rId14" Type="http://schemas.openxmlformats.org/officeDocument/2006/relationships/hyperlink" Target="mailto:maria.ramos@usfx.bo" TargetMode="External"/><Relationship Id="rId15" Type="http://schemas.openxmlformats.org/officeDocument/2006/relationships/hyperlink" Target="mailto:maria.solis@usfx.bo" TargetMode="External"/><Relationship Id="rId16" Type="http://schemas.openxmlformats.org/officeDocument/2006/relationships/header" Target="header4.xml"/><Relationship Id="rId17" Type="http://schemas.openxmlformats.org/officeDocument/2006/relationships/header" Target="header5.xml"/><Relationship Id="rId18" Type="http://schemas.openxmlformats.org/officeDocument/2006/relationships/header" Target="header6.xml"/><Relationship Id="rId19" Type="http://schemas.openxmlformats.org/officeDocument/2006/relationships/header" Target="header7.xml"/><Relationship Id="rId20" Type="http://schemas.openxmlformats.org/officeDocument/2006/relationships/header" Target="header8.xml"/><Relationship Id="rId21" Type="http://schemas.openxmlformats.org/officeDocument/2006/relationships/hyperlink" Target="mailto:perezsotof@hotmail.com" TargetMode="External"/><Relationship Id="rId22" Type="http://schemas.openxmlformats.org/officeDocument/2006/relationships/hyperlink" Target="http://www.monografias.com/trabajos35/sociedad/sociedad.shtml" TargetMode="External"/><Relationship Id="rId23" Type="http://schemas.openxmlformats.org/officeDocument/2006/relationships/hyperlink" Target="http://www.monografias.com/trabajos13/mercado/mercado.shtml" TargetMode="External"/><Relationship Id="rId24" Type="http://schemas.openxmlformats.org/officeDocument/2006/relationships/hyperlink" Target="http://www.monografias.com/trabajos36/naturaleza/naturaleza.shtml" TargetMode="External"/><Relationship Id="rId25" Type="http://schemas.openxmlformats.org/officeDocument/2006/relationships/hyperlink" Target="http://www.monografias.com/trabajos/seguinfo/seguinfo.shtml" TargetMode="External"/><Relationship Id="rId26" Type="http://schemas.openxmlformats.org/officeDocument/2006/relationships/hyperlink" Target="http://www.monografias.com/trabajos14/hanskelsen/hanskelsen.shtml" TargetMode="External"/><Relationship Id="rId27" Type="http://schemas.openxmlformats.org/officeDocument/2006/relationships/hyperlink" Target="http://www.monografias.com/Salud/index.shtml" TargetMode="External"/><Relationship Id="rId28" Type="http://schemas.openxmlformats.org/officeDocument/2006/relationships/hyperlink" Target="http://www.monografias.com/trabajos12/elorigest/elorigest.shtml" TargetMode="External"/><Relationship Id="rId29" Type="http://schemas.openxmlformats.org/officeDocument/2006/relationships/hyperlink" Target="http://www.monografias.com/trabajos15/financiamiento/financiamiento.shtml" TargetMode="External"/><Relationship Id="rId30" Type="http://schemas.openxmlformats.org/officeDocument/2006/relationships/hyperlink" Target="http://www.monografias.com/trabajos4/refrec/refrec.shtml" TargetMode="External"/><Relationship Id="rId31" Type="http://schemas.openxmlformats.org/officeDocument/2006/relationships/hyperlink" Target="http://www.monografias.com/Administracion_y_Finanzas/index.shtml" TargetMode="External"/><Relationship Id="rId32" Type="http://schemas.openxmlformats.org/officeDocument/2006/relationships/hyperlink" Target="http://www.monografias.com/trabajos12/pmbok/pmbok.shtml" TargetMode="External"/><Relationship Id="rId33" Type="http://schemas.openxmlformats.org/officeDocument/2006/relationships/hyperlink" Target="http://www.monografias.com/trabajos11/ladocont/ladocont.shtml" TargetMode="External"/><Relationship Id="rId34" Type="http://schemas.openxmlformats.org/officeDocument/2006/relationships/hyperlink" Target="http://www.monografias.com/trabajos5/comco/comco.shtml#aspe" TargetMode="External"/><Relationship Id="rId35" Type="http://schemas.openxmlformats.org/officeDocument/2006/relationships/hyperlink" Target="http://www.monografias.com/trabajos/hipoteorg/hipoteorg.shtml" TargetMode="External"/><Relationship Id="rId36" Type="http://schemas.openxmlformats.org/officeDocument/2006/relationships/hyperlink" Target="http://www.monografias.com/trabajos11/travent/travent.shtml" TargetMode="External"/><Relationship Id="rId37" Type="http://schemas.openxmlformats.org/officeDocument/2006/relationships/hyperlink" Target="http://www.monografias.com/trabajos/transporte/transporte.shtml" TargetMode="External"/><Relationship Id="rId38" Type="http://schemas.openxmlformats.org/officeDocument/2006/relationships/hyperlink" Target="http://www.monografias.com/trabajos11/grupo/grupo.shtml" TargetMode="External"/><Relationship Id="rId39" Type="http://schemas.openxmlformats.org/officeDocument/2006/relationships/hyperlink" Target="http://www.monografias.com/trabajos7/esun/esun.shtml" TargetMode="External"/><Relationship Id="rId40" Type="http://schemas.openxmlformats.org/officeDocument/2006/relationships/hyperlink" Target="http://www.monografias.com/trabajos12/presguat/presguat.shtml" TargetMode="External"/><Relationship Id="rId41" Type="http://schemas.openxmlformats.org/officeDocument/2006/relationships/hyperlink" Target="http://www.cnnexpansion.com/economia/2012/08/14/moody039s-duda-sobre-reformas-en-mexico" TargetMode="External"/><Relationship Id="rId42" Type="http://schemas.openxmlformats.org/officeDocument/2006/relationships/image" Target="media/image6.png"/><Relationship Id="rId43" Type="http://schemas.openxmlformats.org/officeDocument/2006/relationships/image" Target="media/image7.png"/><Relationship Id="rId44" Type="http://schemas.openxmlformats.org/officeDocument/2006/relationships/image" Target="media/image8.png"/><Relationship Id="rId45" Type="http://schemas.openxmlformats.org/officeDocument/2006/relationships/image" Target="media/image9.png"/><Relationship Id="rId46" Type="http://schemas.openxmlformats.org/officeDocument/2006/relationships/image" Target="media/image10.png"/><Relationship Id="rId47" Type="http://schemas.openxmlformats.org/officeDocument/2006/relationships/image" Target="media/image11.jpeg"/><Relationship Id="rId48" Type="http://schemas.openxmlformats.org/officeDocument/2006/relationships/hyperlink" Target="http://www.monografias.com/trabajos13/admuniv/admuniv.shtml" TargetMode="External"/><Relationship Id="rId49" Type="http://schemas.openxmlformats.org/officeDocument/2006/relationships/hyperlink" Target="http://www.monografias.com/Computacion/Programacion/" TargetMode="External"/><Relationship Id="rId50" Type="http://schemas.openxmlformats.org/officeDocument/2006/relationships/hyperlink" Target="http://eleconomista.com.mx/inventario/2012/07/03/iva-cero-alimentos-" TargetMode="External"/><Relationship Id="rId51" Type="http://schemas.openxmlformats.org/officeDocument/2006/relationships/hyperlink" Target="http://biblio.juridicas.unam.mx/revista/pdf/derechocomparado/30/art/art4.pdf" TargetMode="External"/><Relationship Id="rId52" Type="http://schemas.openxmlformats.org/officeDocument/2006/relationships/hyperlink" Target="http://www.docstoc.com/docs/92133936/%E2%80%9CTENDENCIA-DEL-IMPUESTO-AL-" TargetMode="External"/><Relationship Id="rId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ECORFAN</dc:creator>
  <dcterms:created xsi:type="dcterms:W3CDTF">2017-05-30T18:49:15Z</dcterms:created>
  <dcterms:modified xsi:type="dcterms:W3CDTF">2017-05-30T18:49:15Z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2015-01-12T00:00:00Z</vt:filetime>
  </property>
  <property fmtid="{D5CDD505-2E9C-101B-9397-08002B2CF9AE}" pid="3" name="Creator">
    <vt:lpwstr>Microsoft® Word 2010</vt:lpwstr>
  </property>
  <property fmtid="{D5CDD505-2E9C-101B-9397-08002B2CF9AE}" pid="4" name="LastSaved">
    <vt:filetime>2017-05-30T00:00:00Z</vt:filetime>
  </property>
</Properties>
</file>